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FC2B" w14:textId="1CBCFFBF" w:rsidR="001973B2" w:rsidRPr="00965EC2" w:rsidRDefault="001973B2" w:rsidP="001973B2">
      <w:pPr>
        <w:pStyle w:val="Title"/>
      </w:pPr>
      <w:r w:rsidRPr="00965EC2">
        <w:t>ENZ Manual</w:t>
      </w:r>
      <w:r w:rsidR="00C42AF1">
        <w:t xml:space="preserve"> – 3</w:t>
      </w:r>
      <w:r w:rsidR="00C42AF1" w:rsidRPr="00C42AF1">
        <w:rPr>
          <w:vertAlign w:val="superscript"/>
        </w:rPr>
        <w:t>rd</w:t>
      </w:r>
      <w:r w:rsidR="00C42AF1">
        <w:t xml:space="preserve"> Edition</w:t>
      </w:r>
    </w:p>
    <w:sdt>
      <w:sdtPr>
        <w:rPr>
          <w:rFonts w:asciiTheme="minorHAnsi" w:eastAsiaTheme="minorEastAsia" w:hAnsiTheme="minorHAnsi" w:cstheme="minorBidi"/>
          <w:color w:val="auto"/>
          <w:sz w:val="22"/>
          <w:szCs w:val="22"/>
          <w:lang w:val="en-NZ"/>
        </w:rPr>
        <w:id w:val="-1524160462"/>
        <w:docPartObj>
          <w:docPartGallery w:val="Table of Contents"/>
          <w:docPartUnique/>
        </w:docPartObj>
      </w:sdtPr>
      <w:sdtEndPr>
        <w:rPr>
          <w:b/>
          <w:bCs/>
        </w:rPr>
      </w:sdtEndPr>
      <w:sdtContent>
        <w:p w14:paraId="75108880" w14:textId="21274BAD" w:rsidR="00E00C24" w:rsidRPr="00965EC2" w:rsidRDefault="00E00C24">
          <w:pPr>
            <w:pStyle w:val="TOCHeading"/>
          </w:pPr>
          <w:r w:rsidRPr="00965EC2">
            <w:t>Contents</w:t>
          </w:r>
        </w:p>
        <w:p w14:paraId="496089DD" w14:textId="2BE5BBA3" w:rsidR="000E1E76" w:rsidRDefault="00E00C24">
          <w:pPr>
            <w:pStyle w:val="TOC1"/>
            <w:tabs>
              <w:tab w:val="right" w:leader="dot" w:pos="9016"/>
            </w:tabs>
            <w:rPr>
              <w:rFonts w:cstheme="minorBidi"/>
              <w:noProof/>
              <w:kern w:val="2"/>
              <w:lang w:val="en-NZ" w:eastAsia="en-NZ"/>
              <w14:ligatures w14:val="standardContextual"/>
            </w:rPr>
          </w:pPr>
          <w:r w:rsidRPr="00965EC2">
            <w:fldChar w:fldCharType="begin"/>
          </w:r>
          <w:r w:rsidRPr="00965EC2">
            <w:instrText xml:space="preserve"> TOC \o "1-3" \h \z \u </w:instrText>
          </w:r>
          <w:r w:rsidRPr="00965EC2">
            <w:fldChar w:fldCharType="separate"/>
          </w:r>
          <w:hyperlink w:anchor="_Toc184814224" w:history="1">
            <w:r w:rsidR="000E1E76" w:rsidRPr="00E91846">
              <w:rPr>
                <w:rStyle w:val="Hyperlink"/>
                <w:noProof/>
              </w:rPr>
              <w:t>About this document</w:t>
            </w:r>
            <w:r w:rsidR="000E1E76">
              <w:rPr>
                <w:noProof/>
                <w:webHidden/>
              </w:rPr>
              <w:tab/>
            </w:r>
            <w:r w:rsidR="000E1E76">
              <w:rPr>
                <w:noProof/>
                <w:webHidden/>
              </w:rPr>
              <w:fldChar w:fldCharType="begin"/>
            </w:r>
            <w:r w:rsidR="000E1E76">
              <w:rPr>
                <w:noProof/>
                <w:webHidden/>
              </w:rPr>
              <w:instrText xml:space="preserve"> PAGEREF _Toc184814224 \h </w:instrText>
            </w:r>
            <w:r w:rsidR="000E1E76">
              <w:rPr>
                <w:noProof/>
                <w:webHidden/>
              </w:rPr>
            </w:r>
            <w:r w:rsidR="000E1E76">
              <w:rPr>
                <w:noProof/>
                <w:webHidden/>
              </w:rPr>
              <w:fldChar w:fldCharType="separate"/>
            </w:r>
            <w:r w:rsidR="000E1E76">
              <w:rPr>
                <w:noProof/>
                <w:webHidden/>
              </w:rPr>
              <w:t>2</w:t>
            </w:r>
            <w:r w:rsidR="000E1E76">
              <w:rPr>
                <w:noProof/>
                <w:webHidden/>
              </w:rPr>
              <w:fldChar w:fldCharType="end"/>
            </w:r>
          </w:hyperlink>
        </w:p>
        <w:p w14:paraId="1795C931" w14:textId="6A691E71" w:rsidR="000E1E76" w:rsidRDefault="000E1E76">
          <w:pPr>
            <w:pStyle w:val="TOC1"/>
            <w:tabs>
              <w:tab w:val="right" w:leader="dot" w:pos="9016"/>
            </w:tabs>
            <w:rPr>
              <w:rFonts w:cstheme="minorBidi"/>
              <w:noProof/>
              <w:kern w:val="2"/>
              <w:lang w:val="en-NZ" w:eastAsia="en-NZ"/>
              <w14:ligatures w14:val="standardContextual"/>
            </w:rPr>
          </w:pPr>
          <w:hyperlink w:anchor="_Toc184814225" w:history="1">
            <w:r w:rsidRPr="00E91846">
              <w:rPr>
                <w:rStyle w:val="Hyperlink"/>
                <w:noProof/>
              </w:rPr>
              <w:t>Software required</w:t>
            </w:r>
            <w:r>
              <w:rPr>
                <w:noProof/>
                <w:webHidden/>
              </w:rPr>
              <w:tab/>
            </w:r>
            <w:r>
              <w:rPr>
                <w:noProof/>
                <w:webHidden/>
              </w:rPr>
              <w:fldChar w:fldCharType="begin"/>
            </w:r>
            <w:r>
              <w:rPr>
                <w:noProof/>
                <w:webHidden/>
              </w:rPr>
              <w:instrText xml:space="preserve"> PAGEREF _Toc184814225 \h </w:instrText>
            </w:r>
            <w:r>
              <w:rPr>
                <w:noProof/>
                <w:webHidden/>
              </w:rPr>
            </w:r>
            <w:r>
              <w:rPr>
                <w:noProof/>
                <w:webHidden/>
              </w:rPr>
              <w:fldChar w:fldCharType="separate"/>
            </w:r>
            <w:r>
              <w:rPr>
                <w:noProof/>
                <w:webHidden/>
              </w:rPr>
              <w:t>2</w:t>
            </w:r>
            <w:r>
              <w:rPr>
                <w:noProof/>
                <w:webHidden/>
              </w:rPr>
              <w:fldChar w:fldCharType="end"/>
            </w:r>
          </w:hyperlink>
        </w:p>
        <w:p w14:paraId="68541179" w14:textId="56C4F1D2" w:rsidR="000E1E76" w:rsidRDefault="000E1E76">
          <w:pPr>
            <w:pStyle w:val="TOC1"/>
            <w:tabs>
              <w:tab w:val="right" w:leader="dot" w:pos="9016"/>
            </w:tabs>
            <w:rPr>
              <w:rFonts w:cstheme="minorBidi"/>
              <w:noProof/>
              <w:kern w:val="2"/>
              <w:lang w:val="en-NZ" w:eastAsia="en-NZ"/>
              <w14:ligatures w14:val="standardContextual"/>
            </w:rPr>
          </w:pPr>
          <w:hyperlink w:anchor="_Toc184814226" w:history="1">
            <w:r w:rsidRPr="00E91846">
              <w:rPr>
                <w:rStyle w:val="Hyperlink"/>
                <w:noProof/>
              </w:rPr>
              <w:t>Installation</w:t>
            </w:r>
            <w:r>
              <w:rPr>
                <w:noProof/>
                <w:webHidden/>
              </w:rPr>
              <w:tab/>
            </w:r>
            <w:r>
              <w:rPr>
                <w:noProof/>
                <w:webHidden/>
              </w:rPr>
              <w:fldChar w:fldCharType="begin"/>
            </w:r>
            <w:r>
              <w:rPr>
                <w:noProof/>
                <w:webHidden/>
              </w:rPr>
              <w:instrText xml:space="preserve"> PAGEREF _Toc184814226 \h </w:instrText>
            </w:r>
            <w:r>
              <w:rPr>
                <w:noProof/>
                <w:webHidden/>
              </w:rPr>
            </w:r>
            <w:r>
              <w:rPr>
                <w:noProof/>
                <w:webHidden/>
              </w:rPr>
              <w:fldChar w:fldCharType="separate"/>
            </w:r>
            <w:r>
              <w:rPr>
                <w:noProof/>
                <w:webHidden/>
              </w:rPr>
              <w:t>3</w:t>
            </w:r>
            <w:r>
              <w:rPr>
                <w:noProof/>
                <w:webHidden/>
              </w:rPr>
              <w:fldChar w:fldCharType="end"/>
            </w:r>
          </w:hyperlink>
        </w:p>
        <w:p w14:paraId="7C2F4364" w14:textId="6EEC2D5A" w:rsidR="000E1E76" w:rsidRDefault="000E1E76">
          <w:pPr>
            <w:pStyle w:val="TOC1"/>
            <w:tabs>
              <w:tab w:val="right" w:leader="dot" w:pos="9016"/>
            </w:tabs>
            <w:rPr>
              <w:rFonts w:cstheme="minorBidi"/>
              <w:noProof/>
              <w:kern w:val="2"/>
              <w:lang w:val="en-NZ" w:eastAsia="en-NZ"/>
              <w14:ligatures w14:val="standardContextual"/>
            </w:rPr>
          </w:pPr>
          <w:hyperlink w:anchor="_Toc184814227" w:history="1">
            <w:r w:rsidRPr="00E91846">
              <w:rPr>
                <w:rStyle w:val="Hyperlink"/>
                <w:noProof/>
              </w:rPr>
              <w:t>Model structure</w:t>
            </w:r>
            <w:r>
              <w:rPr>
                <w:noProof/>
                <w:webHidden/>
              </w:rPr>
              <w:tab/>
            </w:r>
            <w:r>
              <w:rPr>
                <w:noProof/>
                <w:webHidden/>
              </w:rPr>
              <w:fldChar w:fldCharType="begin"/>
            </w:r>
            <w:r>
              <w:rPr>
                <w:noProof/>
                <w:webHidden/>
              </w:rPr>
              <w:instrText xml:space="preserve"> PAGEREF _Toc184814227 \h </w:instrText>
            </w:r>
            <w:r>
              <w:rPr>
                <w:noProof/>
                <w:webHidden/>
              </w:rPr>
            </w:r>
            <w:r>
              <w:rPr>
                <w:noProof/>
                <w:webHidden/>
              </w:rPr>
              <w:fldChar w:fldCharType="separate"/>
            </w:r>
            <w:r>
              <w:rPr>
                <w:noProof/>
                <w:webHidden/>
              </w:rPr>
              <w:t>3</w:t>
            </w:r>
            <w:r>
              <w:rPr>
                <w:noProof/>
                <w:webHidden/>
              </w:rPr>
              <w:fldChar w:fldCharType="end"/>
            </w:r>
          </w:hyperlink>
        </w:p>
        <w:p w14:paraId="3C395DDF" w14:textId="6578FC4A" w:rsidR="000E1E76" w:rsidRDefault="000E1E76">
          <w:pPr>
            <w:pStyle w:val="TOC2"/>
            <w:rPr>
              <w:rFonts w:cstheme="minorBidi"/>
              <w:noProof/>
              <w:kern w:val="2"/>
              <w:lang w:val="en-NZ" w:eastAsia="en-NZ"/>
              <w14:ligatures w14:val="standardContextual"/>
            </w:rPr>
          </w:pPr>
          <w:hyperlink w:anchor="_Toc184814228" w:history="1">
            <w:r w:rsidRPr="00E91846">
              <w:rPr>
                <w:rStyle w:val="Hyperlink"/>
                <w:noProof/>
              </w:rPr>
              <w:t>Model use</w:t>
            </w:r>
            <w:r>
              <w:rPr>
                <w:noProof/>
                <w:webHidden/>
              </w:rPr>
              <w:tab/>
            </w:r>
            <w:r>
              <w:rPr>
                <w:noProof/>
                <w:webHidden/>
              </w:rPr>
              <w:fldChar w:fldCharType="begin"/>
            </w:r>
            <w:r>
              <w:rPr>
                <w:noProof/>
                <w:webHidden/>
              </w:rPr>
              <w:instrText xml:space="preserve"> PAGEREF _Toc184814228 \h </w:instrText>
            </w:r>
            <w:r>
              <w:rPr>
                <w:noProof/>
                <w:webHidden/>
              </w:rPr>
            </w:r>
            <w:r>
              <w:rPr>
                <w:noProof/>
                <w:webHidden/>
              </w:rPr>
              <w:fldChar w:fldCharType="separate"/>
            </w:r>
            <w:r>
              <w:rPr>
                <w:noProof/>
                <w:webHidden/>
              </w:rPr>
              <w:t>4</w:t>
            </w:r>
            <w:r>
              <w:rPr>
                <w:noProof/>
                <w:webHidden/>
              </w:rPr>
              <w:fldChar w:fldCharType="end"/>
            </w:r>
          </w:hyperlink>
        </w:p>
        <w:p w14:paraId="7FD3084D" w14:textId="095D30D5" w:rsidR="000E1E76" w:rsidRDefault="000E1E76">
          <w:pPr>
            <w:pStyle w:val="TOC2"/>
            <w:rPr>
              <w:rFonts w:cstheme="minorBidi"/>
              <w:noProof/>
              <w:kern w:val="2"/>
              <w:lang w:val="en-NZ" w:eastAsia="en-NZ"/>
              <w14:ligatures w14:val="standardContextual"/>
            </w:rPr>
          </w:pPr>
          <w:hyperlink w:anchor="_Toc184814229" w:history="1">
            <w:r w:rsidRPr="00E91846">
              <w:rPr>
                <w:rStyle w:val="Hyperlink"/>
                <w:noProof/>
              </w:rPr>
              <w:t>Defining a scenario</w:t>
            </w:r>
            <w:r>
              <w:rPr>
                <w:noProof/>
                <w:webHidden/>
              </w:rPr>
              <w:tab/>
            </w:r>
            <w:r>
              <w:rPr>
                <w:noProof/>
                <w:webHidden/>
              </w:rPr>
              <w:fldChar w:fldCharType="begin"/>
            </w:r>
            <w:r>
              <w:rPr>
                <w:noProof/>
                <w:webHidden/>
              </w:rPr>
              <w:instrText xml:space="preserve"> PAGEREF _Toc184814229 \h </w:instrText>
            </w:r>
            <w:r>
              <w:rPr>
                <w:noProof/>
                <w:webHidden/>
              </w:rPr>
            </w:r>
            <w:r>
              <w:rPr>
                <w:noProof/>
                <w:webHidden/>
              </w:rPr>
              <w:fldChar w:fldCharType="separate"/>
            </w:r>
            <w:r>
              <w:rPr>
                <w:noProof/>
                <w:webHidden/>
              </w:rPr>
              <w:t>4</w:t>
            </w:r>
            <w:r>
              <w:rPr>
                <w:noProof/>
                <w:webHidden/>
              </w:rPr>
              <w:fldChar w:fldCharType="end"/>
            </w:r>
          </w:hyperlink>
        </w:p>
        <w:p w14:paraId="5DF27F70" w14:textId="3A3FC8AA" w:rsidR="000E1E76" w:rsidRDefault="000E1E76">
          <w:pPr>
            <w:pStyle w:val="TOC2"/>
            <w:rPr>
              <w:rFonts w:cstheme="minorBidi"/>
              <w:noProof/>
              <w:kern w:val="2"/>
              <w:lang w:val="en-NZ" w:eastAsia="en-NZ"/>
              <w14:ligatures w14:val="standardContextual"/>
            </w:rPr>
          </w:pPr>
          <w:hyperlink w:anchor="_Toc184814230" w:history="1">
            <w:r w:rsidRPr="00E91846">
              <w:rPr>
                <w:rStyle w:val="Hyperlink"/>
                <w:noProof/>
              </w:rPr>
              <w:t>Common scenario parameters</w:t>
            </w:r>
            <w:r>
              <w:rPr>
                <w:noProof/>
                <w:webHidden/>
              </w:rPr>
              <w:tab/>
            </w:r>
            <w:r>
              <w:rPr>
                <w:noProof/>
                <w:webHidden/>
              </w:rPr>
              <w:fldChar w:fldCharType="begin"/>
            </w:r>
            <w:r>
              <w:rPr>
                <w:noProof/>
                <w:webHidden/>
              </w:rPr>
              <w:instrText xml:space="preserve"> PAGEREF _Toc184814230 \h </w:instrText>
            </w:r>
            <w:r>
              <w:rPr>
                <w:noProof/>
                <w:webHidden/>
              </w:rPr>
            </w:r>
            <w:r>
              <w:rPr>
                <w:noProof/>
                <w:webHidden/>
              </w:rPr>
              <w:fldChar w:fldCharType="separate"/>
            </w:r>
            <w:r>
              <w:rPr>
                <w:noProof/>
                <w:webHidden/>
              </w:rPr>
              <w:t>5</w:t>
            </w:r>
            <w:r>
              <w:rPr>
                <w:noProof/>
                <w:webHidden/>
              </w:rPr>
              <w:fldChar w:fldCharType="end"/>
            </w:r>
          </w:hyperlink>
        </w:p>
        <w:p w14:paraId="3B0FC321" w14:textId="09200617" w:rsidR="000E1E76" w:rsidRDefault="000E1E76">
          <w:pPr>
            <w:pStyle w:val="TOC2"/>
            <w:rPr>
              <w:rFonts w:cstheme="minorBidi"/>
              <w:noProof/>
              <w:kern w:val="2"/>
              <w:lang w:val="en-NZ" w:eastAsia="en-NZ"/>
              <w14:ligatures w14:val="standardContextual"/>
            </w:rPr>
          </w:pPr>
          <w:hyperlink w:anchor="_Toc184814231" w:history="1">
            <w:r w:rsidRPr="00E91846">
              <w:rPr>
                <w:rStyle w:val="Hyperlink"/>
                <w:noProof/>
              </w:rPr>
              <w:t>Running the model</w:t>
            </w:r>
            <w:r>
              <w:rPr>
                <w:noProof/>
                <w:webHidden/>
              </w:rPr>
              <w:tab/>
            </w:r>
            <w:r>
              <w:rPr>
                <w:noProof/>
                <w:webHidden/>
              </w:rPr>
              <w:fldChar w:fldCharType="begin"/>
            </w:r>
            <w:r>
              <w:rPr>
                <w:noProof/>
                <w:webHidden/>
              </w:rPr>
              <w:instrText xml:space="preserve"> PAGEREF _Toc184814231 \h </w:instrText>
            </w:r>
            <w:r>
              <w:rPr>
                <w:noProof/>
                <w:webHidden/>
              </w:rPr>
            </w:r>
            <w:r>
              <w:rPr>
                <w:noProof/>
                <w:webHidden/>
              </w:rPr>
              <w:fldChar w:fldCharType="separate"/>
            </w:r>
            <w:r>
              <w:rPr>
                <w:noProof/>
                <w:webHidden/>
              </w:rPr>
              <w:t>5</w:t>
            </w:r>
            <w:r>
              <w:rPr>
                <w:noProof/>
                <w:webHidden/>
              </w:rPr>
              <w:fldChar w:fldCharType="end"/>
            </w:r>
          </w:hyperlink>
        </w:p>
        <w:p w14:paraId="66BDA1DA" w14:textId="00B2B88A" w:rsidR="000E1E76" w:rsidRDefault="000E1E76">
          <w:pPr>
            <w:pStyle w:val="TOC2"/>
            <w:rPr>
              <w:rFonts w:cstheme="minorBidi"/>
              <w:noProof/>
              <w:kern w:val="2"/>
              <w:lang w:val="en-NZ" w:eastAsia="en-NZ"/>
              <w14:ligatures w14:val="standardContextual"/>
            </w:rPr>
          </w:pPr>
          <w:hyperlink w:anchor="_Toc184814232" w:history="1">
            <w:r w:rsidRPr="00E91846">
              <w:rPr>
                <w:rStyle w:val="Hyperlink"/>
                <w:noProof/>
              </w:rPr>
              <w:t>Specifying output to include in results file</w:t>
            </w:r>
            <w:r>
              <w:rPr>
                <w:noProof/>
                <w:webHidden/>
              </w:rPr>
              <w:tab/>
            </w:r>
            <w:r>
              <w:rPr>
                <w:noProof/>
                <w:webHidden/>
              </w:rPr>
              <w:fldChar w:fldCharType="begin"/>
            </w:r>
            <w:r>
              <w:rPr>
                <w:noProof/>
                <w:webHidden/>
              </w:rPr>
              <w:instrText xml:space="preserve"> PAGEREF _Toc184814232 \h </w:instrText>
            </w:r>
            <w:r>
              <w:rPr>
                <w:noProof/>
                <w:webHidden/>
              </w:rPr>
            </w:r>
            <w:r>
              <w:rPr>
                <w:noProof/>
                <w:webHidden/>
              </w:rPr>
              <w:fldChar w:fldCharType="separate"/>
            </w:r>
            <w:r>
              <w:rPr>
                <w:noProof/>
                <w:webHidden/>
              </w:rPr>
              <w:t>5</w:t>
            </w:r>
            <w:r>
              <w:rPr>
                <w:noProof/>
                <w:webHidden/>
              </w:rPr>
              <w:fldChar w:fldCharType="end"/>
            </w:r>
          </w:hyperlink>
        </w:p>
        <w:p w14:paraId="13F7125F" w14:textId="063D5CE4" w:rsidR="000E1E76" w:rsidRDefault="000E1E76">
          <w:pPr>
            <w:pStyle w:val="TOC2"/>
            <w:rPr>
              <w:rFonts w:cstheme="minorBidi"/>
              <w:noProof/>
              <w:kern w:val="2"/>
              <w:lang w:val="en-NZ" w:eastAsia="en-NZ"/>
              <w14:ligatures w14:val="standardContextual"/>
            </w:rPr>
          </w:pPr>
          <w:hyperlink w:anchor="_Toc184814233" w:history="1">
            <w:r w:rsidRPr="00E91846">
              <w:rPr>
                <w:rStyle w:val="Hyperlink"/>
                <w:noProof/>
              </w:rPr>
              <w:t>The results file</w:t>
            </w:r>
            <w:r>
              <w:rPr>
                <w:noProof/>
                <w:webHidden/>
              </w:rPr>
              <w:tab/>
            </w:r>
            <w:r>
              <w:rPr>
                <w:noProof/>
                <w:webHidden/>
              </w:rPr>
              <w:fldChar w:fldCharType="begin"/>
            </w:r>
            <w:r>
              <w:rPr>
                <w:noProof/>
                <w:webHidden/>
              </w:rPr>
              <w:instrText xml:space="preserve"> PAGEREF _Toc184814233 \h </w:instrText>
            </w:r>
            <w:r>
              <w:rPr>
                <w:noProof/>
                <w:webHidden/>
              </w:rPr>
            </w:r>
            <w:r>
              <w:rPr>
                <w:noProof/>
                <w:webHidden/>
              </w:rPr>
              <w:fldChar w:fldCharType="separate"/>
            </w:r>
            <w:r>
              <w:rPr>
                <w:noProof/>
                <w:webHidden/>
              </w:rPr>
              <w:t>5</w:t>
            </w:r>
            <w:r>
              <w:rPr>
                <w:noProof/>
                <w:webHidden/>
              </w:rPr>
              <w:fldChar w:fldCharType="end"/>
            </w:r>
          </w:hyperlink>
        </w:p>
        <w:p w14:paraId="088888C1" w14:textId="127BEC19" w:rsidR="000E1E76" w:rsidRDefault="000E1E76">
          <w:pPr>
            <w:pStyle w:val="TOC2"/>
            <w:rPr>
              <w:rFonts w:cstheme="minorBidi"/>
              <w:noProof/>
              <w:kern w:val="2"/>
              <w:lang w:val="en-NZ" w:eastAsia="en-NZ"/>
              <w14:ligatures w14:val="standardContextual"/>
            </w:rPr>
          </w:pPr>
          <w:hyperlink w:anchor="_Toc184814234" w:history="1">
            <w:r w:rsidRPr="00E91846">
              <w:rPr>
                <w:rStyle w:val="Hyperlink"/>
                <w:noProof/>
              </w:rPr>
              <w:t>Live viewing a scenario</w:t>
            </w:r>
            <w:r>
              <w:rPr>
                <w:noProof/>
                <w:webHidden/>
              </w:rPr>
              <w:tab/>
            </w:r>
            <w:r>
              <w:rPr>
                <w:noProof/>
                <w:webHidden/>
              </w:rPr>
              <w:fldChar w:fldCharType="begin"/>
            </w:r>
            <w:r>
              <w:rPr>
                <w:noProof/>
                <w:webHidden/>
              </w:rPr>
              <w:instrText xml:space="preserve"> PAGEREF _Toc184814234 \h </w:instrText>
            </w:r>
            <w:r>
              <w:rPr>
                <w:noProof/>
                <w:webHidden/>
              </w:rPr>
            </w:r>
            <w:r>
              <w:rPr>
                <w:noProof/>
                <w:webHidden/>
              </w:rPr>
              <w:fldChar w:fldCharType="separate"/>
            </w:r>
            <w:r>
              <w:rPr>
                <w:noProof/>
                <w:webHidden/>
              </w:rPr>
              <w:t>5</w:t>
            </w:r>
            <w:r>
              <w:rPr>
                <w:noProof/>
                <w:webHidden/>
              </w:rPr>
              <w:fldChar w:fldCharType="end"/>
            </w:r>
          </w:hyperlink>
        </w:p>
        <w:p w14:paraId="78F2F71A" w14:textId="6BD53AF2" w:rsidR="000E1E76" w:rsidRDefault="000E1E76">
          <w:pPr>
            <w:pStyle w:val="TOC1"/>
            <w:tabs>
              <w:tab w:val="right" w:leader="dot" w:pos="9016"/>
            </w:tabs>
            <w:rPr>
              <w:rFonts w:cstheme="minorBidi"/>
              <w:noProof/>
              <w:kern w:val="2"/>
              <w:lang w:val="en-NZ" w:eastAsia="en-NZ"/>
              <w14:ligatures w14:val="standardContextual"/>
            </w:rPr>
          </w:pPr>
          <w:hyperlink w:anchor="_Toc184814235" w:history="1">
            <w:r w:rsidRPr="00E91846">
              <w:rPr>
                <w:rStyle w:val="Hyperlink"/>
                <w:noProof/>
              </w:rPr>
              <w:t>The HIP workbook (HIP.xlsx)</w:t>
            </w:r>
            <w:r>
              <w:rPr>
                <w:noProof/>
                <w:webHidden/>
              </w:rPr>
              <w:tab/>
            </w:r>
            <w:r>
              <w:rPr>
                <w:noProof/>
                <w:webHidden/>
              </w:rPr>
              <w:fldChar w:fldCharType="begin"/>
            </w:r>
            <w:r>
              <w:rPr>
                <w:noProof/>
                <w:webHidden/>
              </w:rPr>
              <w:instrText xml:space="preserve"> PAGEREF _Toc184814235 \h </w:instrText>
            </w:r>
            <w:r>
              <w:rPr>
                <w:noProof/>
                <w:webHidden/>
              </w:rPr>
            </w:r>
            <w:r>
              <w:rPr>
                <w:noProof/>
                <w:webHidden/>
              </w:rPr>
              <w:fldChar w:fldCharType="separate"/>
            </w:r>
            <w:r>
              <w:rPr>
                <w:noProof/>
                <w:webHidden/>
              </w:rPr>
              <w:t>6</w:t>
            </w:r>
            <w:r>
              <w:rPr>
                <w:noProof/>
                <w:webHidden/>
              </w:rPr>
              <w:fldChar w:fldCharType="end"/>
            </w:r>
          </w:hyperlink>
        </w:p>
        <w:p w14:paraId="1BFE99FB" w14:textId="622AD34E" w:rsidR="000E1E76" w:rsidRDefault="000E1E76">
          <w:pPr>
            <w:pStyle w:val="TOC2"/>
            <w:rPr>
              <w:rFonts w:cstheme="minorBidi"/>
              <w:noProof/>
              <w:kern w:val="2"/>
              <w:lang w:val="en-NZ" w:eastAsia="en-NZ"/>
              <w14:ligatures w14:val="standardContextual"/>
            </w:rPr>
          </w:pPr>
          <w:hyperlink w:anchor="_Toc184814236" w:history="1">
            <w:r w:rsidRPr="00E91846">
              <w:rPr>
                <w:rStyle w:val="Hyperlink"/>
                <w:noProof/>
              </w:rPr>
              <w:t>Overview</w:t>
            </w:r>
            <w:r>
              <w:rPr>
                <w:noProof/>
                <w:webHidden/>
              </w:rPr>
              <w:tab/>
            </w:r>
            <w:r>
              <w:rPr>
                <w:noProof/>
                <w:webHidden/>
              </w:rPr>
              <w:fldChar w:fldCharType="begin"/>
            </w:r>
            <w:r>
              <w:rPr>
                <w:noProof/>
                <w:webHidden/>
              </w:rPr>
              <w:instrText xml:space="preserve"> PAGEREF _Toc184814236 \h </w:instrText>
            </w:r>
            <w:r>
              <w:rPr>
                <w:noProof/>
                <w:webHidden/>
              </w:rPr>
            </w:r>
            <w:r>
              <w:rPr>
                <w:noProof/>
                <w:webHidden/>
              </w:rPr>
              <w:fldChar w:fldCharType="separate"/>
            </w:r>
            <w:r>
              <w:rPr>
                <w:noProof/>
                <w:webHidden/>
              </w:rPr>
              <w:t>6</w:t>
            </w:r>
            <w:r>
              <w:rPr>
                <w:noProof/>
                <w:webHidden/>
              </w:rPr>
              <w:fldChar w:fldCharType="end"/>
            </w:r>
          </w:hyperlink>
        </w:p>
        <w:p w14:paraId="1165FDA4" w14:textId="4D4FBBB5" w:rsidR="000E1E76" w:rsidRDefault="000E1E76">
          <w:pPr>
            <w:pStyle w:val="TOC2"/>
            <w:rPr>
              <w:rFonts w:cstheme="minorBidi"/>
              <w:noProof/>
              <w:kern w:val="2"/>
              <w:lang w:val="en-NZ" w:eastAsia="en-NZ"/>
              <w14:ligatures w14:val="standardContextual"/>
            </w:rPr>
          </w:pPr>
          <w:hyperlink w:anchor="_Toc184814237" w:history="1">
            <w:r w:rsidRPr="00E91846">
              <w:rPr>
                <w:rStyle w:val="Hyperlink"/>
                <w:noProof/>
              </w:rPr>
              <w:t>Description of the HIP worksheets</w:t>
            </w:r>
            <w:r>
              <w:rPr>
                <w:noProof/>
                <w:webHidden/>
              </w:rPr>
              <w:tab/>
            </w:r>
            <w:r>
              <w:rPr>
                <w:noProof/>
                <w:webHidden/>
              </w:rPr>
              <w:fldChar w:fldCharType="begin"/>
            </w:r>
            <w:r>
              <w:rPr>
                <w:noProof/>
                <w:webHidden/>
              </w:rPr>
              <w:instrText xml:space="preserve"> PAGEREF _Toc184814237 \h </w:instrText>
            </w:r>
            <w:r>
              <w:rPr>
                <w:noProof/>
                <w:webHidden/>
              </w:rPr>
            </w:r>
            <w:r>
              <w:rPr>
                <w:noProof/>
                <w:webHidden/>
              </w:rPr>
              <w:fldChar w:fldCharType="separate"/>
            </w:r>
            <w:r>
              <w:rPr>
                <w:noProof/>
                <w:webHidden/>
              </w:rPr>
              <w:t>6</w:t>
            </w:r>
            <w:r>
              <w:rPr>
                <w:noProof/>
                <w:webHidden/>
              </w:rPr>
              <w:fldChar w:fldCharType="end"/>
            </w:r>
          </w:hyperlink>
        </w:p>
        <w:p w14:paraId="10C02CAF" w14:textId="6B55E695" w:rsidR="000E1E76" w:rsidRDefault="000E1E76">
          <w:pPr>
            <w:pStyle w:val="TOC2"/>
            <w:rPr>
              <w:rFonts w:cstheme="minorBidi"/>
              <w:noProof/>
              <w:kern w:val="2"/>
              <w:lang w:val="en-NZ" w:eastAsia="en-NZ"/>
              <w14:ligatures w14:val="standardContextual"/>
            </w:rPr>
          </w:pPr>
          <w:hyperlink w:anchor="_Toc184814238" w:history="1">
            <w:r w:rsidRPr="00E91846">
              <w:rPr>
                <w:rStyle w:val="Hyperlink"/>
                <w:noProof/>
              </w:rPr>
              <w:t>Input data</w:t>
            </w:r>
            <w:r>
              <w:rPr>
                <w:noProof/>
                <w:webHidden/>
              </w:rPr>
              <w:tab/>
            </w:r>
            <w:r>
              <w:rPr>
                <w:noProof/>
                <w:webHidden/>
              </w:rPr>
              <w:fldChar w:fldCharType="begin"/>
            </w:r>
            <w:r>
              <w:rPr>
                <w:noProof/>
                <w:webHidden/>
              </w:rPr>
              <w:instrText xml:space="preserve"> PAGEREF _Toc184814238 \h </w:instrText>
            </w:r>
            <w:r>
              <w:rPr>
                <w:noProof/>
                <w:webHidden/>
              </w:rPr>
            </w:r>
            <w:r>
              <w:rPr>
                <w:noProof/>
                <w:webHidden/>
              </w:rPr>
              <w:fldChar w:fldCharType="separate"/>
            </w:r>
            <w:r>
              <w:rPr>
                <w:noProof/>
                <w:webHidden/>
              </w:rPr>
              <w:t>9</w:t>
            </w:r>
            <w:r>
              <w:rPr>
                <w:noProof/>
                <w:webHidden/>
              </w:rPr>
              <w:fldChar w:fldCharType="end"/>
            </w:r>
          </w:hyperlink>
        </w:p>
        <w:p w14:paraId="377F0094" w14:textId="00E04B35" w:rsidR="000E1E76" w:rsidRDefault="000E1E76">
          <w:pPr>
            <w:pStyle w:val="TOC2"/>
            <w:rPr>
              <w:rFonts w:cstheme="minorBidi"/>
              <w:noProof/>
              <w:kern w:val="2"/>
              <w:lang w:val="en-NZ" w:eastAsia="en-NZ"/>
              <w14:ligatures w14:val="standardContextual"/>
            </w:rPr>
          </w:pPr>
          <w:hyperlink w:anchor="_Toc184814239" w:history="1">
            <w:r w:rsidRPr="00E91846">
              <w:rPr>
                <w:rStyle w:val="Hyperlink"/>
                <w:noProof/>
              </w:rPr>
              <w:t>Residential, commercial and agriculture sectors</w:t>
            </w:r>
            <w:r>
              <w:rPr>
                <w:noProof/>
                <w:webHidden/>
              </w:rPr>
              <w:tab/>
            </w:r>
            <w:r>
              <w:rPr>
                <w:noProof/>
                <w:webHidden/>
              </w:rPr>
              <w:fldChar w:fldCharType="begin"/>
            </w:r>
            <w:r>
              <w:rPr>
                <w:noProof/>
                <w:webHidden/>
              </w:rPr>
              <w:instrText xml:space="preserve"> PAGEREF _Toc184814239 \h </w:instrText>
            </w:r>
            <w:r>
              <w:rPr>
                <w:noProof/>
                <w:webHidden/>
              </w:rPr>
            </w:r>
            <w:r>
              <w:rPr>
                <w:noProof/>
                <w:webHidden/>
              </w:rPr>
              <w:fldChar w:fldCharType="separate"/>
            </w:r>
            <w:r>
              <w:rPr>
                <w:noProof/>
                <w:webHidden/>
              </w:rPr>
              <w:t>9</w:t>
            </w:r>
            <w:r>
              <w:rPr>
                <w:noProof/>
                <w:webHidden/>
              </w:rPr>
              <w:fldChar w:fldCharType="end"/>
            </w:r>
          </w:hyperlink>
        </w:p>
        <w:p w14:paraId="1E4600CA" w14:textId="1E5EBD72" w:rsidR="000E1E76" w:rsidRDefault="000E1E76">
          <w:pPr>
            <w:pStyle w:val="TOC3"/>
            <w:tabs>
              <w:tab w:val="right" w:leader="dot" w:pos="9016"/>
            </w:tabs>
            <w:rPr>
              <w:rFonts w:cstheme="minorBidi"/>
              <w:noProof/>
              <w:kern w:val="2"/>
              <w:lang w:val="en-NZ" w:eastAsia="en-NZ"/>
              <w14:ligatures w14:val="standardContextual"/>
            </w:rPr>
          </w:pPr>
          <w:hyperlink w:anchor="_Toc184814240" w:history="1">
            <w:r w:rsidRPr="00E91846">
              <w:rPr>
                <w:rStyle w:val="Hyperlink"/>
                <w:noProof/>
              </w:rPr>
              <w:t>Mobile machinery and off-road vehicles</w:t>
            </w:r>
            <w:r>
              <w:rPr>
                <w:noProof/>
                <w:webHidden/>
              </w:rPr>
              <w:tab/>
            </w:r>
            <w:r>
              <w:rPr>
                <w:noProof/>
                <w:webHidden/>
              </w:rPr>
              <w:fldChar w:fldCharType="begin"/>
            </w:r>
            <w:r>
              <w:rPr>
                <w:noProof/>
                <w:webHidden/>
              </w:rPr>
              <w:instrText xml:space="preserve"> PAGEREF _Toc184814240 \h </w:instrText>
            </w:r>
            <w:r>
              <w:rPr>
                <w:noProof/>
                <w:webHidden/>
              </w:rPr>
            </w:r>
            <w:r>
              <w:rPr>
                <w:noProof/>
                <w:webHidden/>
              </w:rPr>
              <w:fldChar w:fldCharType="separate"/>
            </w:r>
            <w:r>
              <w:rPr>
                <w:noProof/>
                <w:webHidden/>
              </w:rPr>
              <w:t>9</w:t>
            </w:r>
            <w:r>
              <w:rPr>
                <w:noProof/>
                <w:webHidden/>
              </w:rPr>
              <w:fldChar w:fldCharType="end"/>
            </w:r>
          </w:hyperlink>
        </w:p>
        <w:p w14:paraId="7E9902BF" w14:textId="22FE8BBC" w:rsidR="000E1E76" w:rsidRDefault="000E1E76">
          <w:pPr>
            <w:pStyle w:val="TOC2"/>
            <w:rPr>
              <w:rFonts w:cstheme="minorBidi"/>
              <w:noProof/>
              <w:kern w:val="2"/>
              <w:lang w:val="en-NZ" w:eastAsia="en-NZ"/>
              <w14:ligatures w14:val="standardContextual"/>
            </w:rPr>
          </w:pPr>
          <w:hyperlink w:anchor="_Toc184814241" w:history="1">
            <w:r w:rsidRPr="00E91846">
              <w:rPr>
                <w:rStyle w:val="Hyperlink"/>
                <w:noProof/>
              </w:rPr>
              <w:t>Energy supply modules</w:t>
            </w:r>
            <w:r>
              <w:rPr>
                <w:noProof/>
                <w:webHidden/>
              </w:rPr>
              <w:tab/>
            </w:r>
            <w:r>
              <w:rPr>
                <w:noProof/>
                <w:webHidden/>
              </w:rPr>
              <w:fldChar w:fldCharType="begin"/>
            </w:r>
            <w:r>
              <w:rPr>
                <w:noProof/>
                <w:webHidden/>
              </w:rPr>
              <w:instrText xml:space="preserve"> PAGEREF _Toc184814241 \h </w:instrText>
            </w:r>
            <w:r>
              <w:rPr>
                <w:noProof/>
                <w:webHidden/>
              </w:rPr>
            </w:r>
            <w:r>
              <w:rPr>
                <w:noProof/>
                <w:webHidden/>
              </w:rPr>
              <w:fldChar w:fldCharType="separate"/>
            </w:r>
            <w:r>
              <w:rPr>
                <w:noProof/>
                <w:webHidden/>
              </w:rPr>
              <w:t>10</w:t>
            </w:r>
            <w:r>
              <w:rPr>
                <w:noProof/>
                <w:webHidden/>
              </w:rPr>
              <w:fldChar w:fldCharType="end"/>
            </w:r>
          </w:hyperlink>
        </w:p>
        <w:p w14:paraId="4F0B5086" w14:textId="0DDC0985" w:rsidR="000E1E76" w:rsidRDefault="000E1E76">
          <w:pPr>
            <w:pStyle w:val="TOC2"/>
            <w:rPr>
              <w:rFonts w:cstheme="minorBidi"/>
              <w:noProof/>
              <w:kern w:val="2"/>
              <w:lang w:val="en-NZ" w:eastAsia="en-NZ"/>
              <w14:ligatures w14:val="standardContextual"/>
            </w:rPr>
          </w:pPr>
          <w:hyperlink w:anchor="_Toc184814242" w:history="1">
            <w:r w:rsidRPr="00E91846">
              <w:rPr>
                <w:rStyle w:val="Hyperlink"/>
                <w:noProof/>
              </w:rPr>
              <w:t>Industrial sectors</w:t>
            </w:r>
            <w:r>
              <w:rPr>
                <w:noProof/>
                <w:webHidden/>
              </w:rPr>
              <w:tab/>
            </w:r>
            <w:r>
              <w:rPr>
                <w:noProof/>
                <w:webHidden/>
              </w:rPr>
              <w:fldChar w:fldCharType="begin"/>
            </w:r>
            <w:r>
              <w:rPr>
                <w:noProof/>
                <w:webHidden/>
              </w:rPr>
              <w:instrText xml:space="preserve"> PAGEREF _Toc184814242 \h </w:instrText>
            </w:r>
            <w:r>
              <w:rPr>
                <w:noProof/>
                <w:webHidden/>
              </w:rPr>
            </w:r>
            <w:r>
              <w:rPr>
                <w:noProof/>
                <w:webHidden/>
              </w:rPr>
              <w:fldChar w:fldCharType="separate"/>
            </w:r>
            <w:r>
              <w:rPr>
                <w:noProof/>
                <w:webHidden/>
              </w:rPr>
              <w:t>10</w:t>
            </w:r>
            <w:r>
              <w:rPr>
                <w:noProof/>
                <w:webHidden/>
              </w:rPr>
              <w:fldChar w:fldCharType="end"/>
            </w:r>
          </w:hyperlink>
        </w:p>
        <w:p w14:paraId="001CF754" w14:textId="0A956E13" w:rsidR="000E1E76" w:rsidRDefault="000E1E76">
          <w:pPr>
            <w:pStyle w:val="TOC3"/>
            <w:tabs>
              <w:tab w:val="right" w:leader="dot" w:pos="9016"/>
            </w:tabs>
            <w:rPr>
              <w:rFonts w:cstheme="minorBidi"/>
              <w:noProof/>
              <w:kern w:val="2"/>
              <w:lang w:val="en-NZ" w:eastAsia="en-NZ"/>
              <w14:ligatures w14:val="standardContextual"/>
            </w:rPr>
          </w:pPr>
          <w:hyperlink w:anchor="_Toc184814243" w:history="1">
            <w:r w:rsidRPr="00E91846">
              <w:rPr>
                <w:rStyle w:val="Hyperlink"/>
                <w:noProof/>
              </w:rPr>
              <w:t>Food processing</w:t>
            </w:r>
            <w:r>
              <w:rPr>
                <w:noProof/>
                <w:webHidden/>
              </w:rPr>
              <w:tab/>
            </w:r>
            <w:r>
              <w:rPr>
                <w:noProof/>
                <w:webHidden/>
              </w:rPr>
              <w:fldChar w:fldCharType="begin"/>
            </w:r>
            <w:r>
              <w:rPr>
                <w:noProof/>
                <w:webHidden/>
              </w:rPr>
              <w:instrText xml:space="preserve"> PAGEREF _Toc184814243 \h </w:instrText>
            </w:r>
            <w:r>
              <w:rPr>
                <w:noProof/>
                <w:webHidden/>
              </w:rPr>
            </w:r>
            <w:r>
              <w:rPr>
                <w:noProof/>
                <w:webHidden/>
              </w:rPr>
              <w:fldChar w:fldCharType="separate"/>
            </w:r>
            <w:r>
              <w:rPr>
                <w:noProof/>
                <w:webHidden/>
              </w:rPr>
              <w:t>10</w:t>
            </w:r>
            <w:r>
              <w:rPr>
                <w:noProof/>
                <w:webHidden/>
              </w:rPr>
              <w:fldChar w:fldCharType="end"/>
            </w:r>
          </w:hyperlink>
        </w:p>
        <w:p w14:paraId="72491267" w14:textId="5196330E" w:rsidR="000E1E76" w:rsidRDefault="000E1E76">
          <w:pPr>
            <w:pStyle w:val="TOC3"/>
            <w:tabs>
              <w:tab w:val="right" w:leader="dot" w:pos="9016"/>
            </w:tabs>
            <w:rPr>
              <w:rFonts w:cstheme="minorBidi"/>
              <w:noProof/>
              <w:kern w:val="2"/>
              <w:lang w:val="en-NZ" w:eastAsia="en-NZ"/>
              <w14:ligatures w14:val="standardContextual"/>
            </w:rPr>
          </w:pPr>
          <w:hyperlink w:anchor="_Toc184814244" w:history="1">
            <w:r w:rsidRPr="00E91846">
              <w:rPr>
                <w:rStyle w:val="Hyperlink"/>
                <w:noProof/>
              </w:rPr>
              <w:t>Petrochemical production</w:t>
            </w:r>
            <w:r>
              <w:rPr>
                <w:noProof/>
                <w:webHidden/>
              </w:rPr>
              <w:tab/>
            </w:r>
            <w:r>
              <w:rPr>
                <w:noProof/>
                <w:webHidden/>
              </w:rPr>
              <w:fldChar w:fldCharType="begin"/>
            </w:r>
            <w:r>
              <w:rPr>
                <w:noProof/>
                <w:webHidden/>
              </w:rPr>
              <w:instrText xml:space="preserve"> PAGEREF _Toc184814244 \h </w:instrText>
            </w:r>
            <w:r>
              <w:rPr>
                <w:noProof/>
                <w:webHidden/>
              </w:rPr>
            </w:r>
            <w:r>
              <w:rPr>
                <w:noProof/>
                <w:webHidden/>
              </w:rPr>
              <w:fldChar w:fldCharType="separate"/>
            </w:r>
            <w:r>
              <w:rPr>
                <w:noProof/>
                <w:webHidden/>
              </w:rPr>
              <w:t>11</w:t>
            </w:r>
            <w:r>
              <w:rPr>
                <w:noProof/>
                <w:webHidden/>
              </w:rPr>
              <w:fldChar w:fldCharType="end"/>
            </w:r>
          </w:hyperlink>
        </w:p>
        <w:p w14:paraId="7853DECB" w14:textId="140486C6" w:rsidR="000E1E76" w:rsidRDefault="000E1E76">
          <w:pPr>
            <w:pStyle w:val="TOC3"/>
            <w:tabs>
              <w:tab w:val="right" w:leader="dot" w:pos="9016"/>
            </w:tabs>
            <w:rPr>
              <w:rFonts w:cstheme="minorBidi"/>
              <w:noProof/>
              <w:kern w:val="2"/>
              <w:lang w:val="en-NZ" w:eastAsia="en-NZ"/>
              <w14:ligatures w14:val="standardContextual"/>
            </w:rPr>
          </w:pPr>
          <w:hyperlink w:anchor="_Toc184814245" w:history="1">
            <w:r w:rsidRPr="00E91846">
              <w:rPr>
                <w:rStyle w:val="Hyperlink"/>
                <w:noProof/>
              </w:rPr>
              <w:t>Iron and steel production</w:t>
            </w:r>
            <w:r>
              <w:rPr>
                <w:noProof/>
                <w:webHidden/>
              </w:rPr>
              <w:tab/>
            </w:r>
            <w:r>
              <w:rPr>
                <w:noProof/>
                <w:webHidden/>
              </w:rPr>
              <w:fldChar w:fldCharType="begin"/>
            </w:r>
            <w:r>
              <w:rPr>
                <w:noProof/>
                <w:webHidden/>
              </w:rPr>
              <w:instrText xml:space="preserve"> PAGEREF _Toc184814245 \h </w:instrText>
            </w:r>
            <w:r>
              <w:rPr>
                <w:noProof/>
                <w:webHidden/>
              </w:rPr>
            </w:r>
            <w:r>
              <w:rPr>
                <w:noProof/>
                <w:webHidden/>
              </w:rPr>
              <w:fldChar w:fldCharType="separate"/>
            </w:r>
            <w:r>
              <w:rPr>
                <w:noProof/>
                <w:webHidden/>
              </w:rPr>
              <w:t>11</w:t>
            </w:r>
            <w:r>
              <w:rPr>
                <w:noProof/>
                <w:webHidden/>
              </w:rPr>
              <w:fldChar w:fldCharType="end"/>
            </w:r>
          </w:hyperlink>
        </w:p>
        <w:p w14:paraId="44971732" w14:textId="56C71B8B" w:rsidR="000E1E76" w:rsidRDefault="000E1E76">
          <w:pPr>
            <w:pStyle w:val="TOC3"/>
            <w:tabs>
              <w:tab w:val="right" w:leader="dot" w:pos="9016"/>
            </w:tabs>
            <w:rPr>
              <w:rFonts w:cstheme="minorBidi"/>
              <w:noProof/>
              <w:kern w:val="2"/>
              <w:lang w:val="en-NZ" w:eastAsia="en-NZ"/>
              <w14:ligatures w14:val="standardContextual"/>
            </w:rPr>
          </w:pPr>
          <w:hyperlink w:anchor="_Toc184814246" w:history="1">
            <w:r w:rsidRPr="00E91846">
              <w:rPr>
                <w:rStyle w:val="Hyperlink"/>
                <w:noProof/>
              </w:rPr>
              <w:t>Cement and lime production</w:t>
            </w:r>
            <w:r>
              <w:rPr>
                <w:noProof/>
                <w:webHidden/>
              </w:rPr>
              <w:tab/>
            </w:r>
            <w:r>
              <w:rPr>
                <w:noProof/>
                <w:webHidden/>
              </w:rPr>
              <w:fldChar w:fldCharType="begin"/>
            </w:r>
            <w:r>
              <w:rPr>
                <w:noProof/>
                <w:webHidden/>
              </w:rPr>
              <w:instrText xml:space="preserve"> PAGEREF _Toc184814246 \h </w:instrText>
            </w:r>
            <w:r>
              <w:rPr>
                <w:noProof/>
                <w:webHidden/>
              </w:rPr>
            </w:r>
            <w:r>
              <w:rPr>
                <w:noProof/>
                <w:webHidden/>
              </w:rPr>
              <w:fldChar w:fldCharType="separate"/>
            </w:r>
            <w:r>
              <w:rPr>
                <w:noProof/>
                <w:webHidden/>
              </w:rPr>
              <w:t>11</w:t>
            </w:r>
            <w:r>
              <w:rPr>
                <w:noProof/>
                <w:webHidden/>
              </w:rPr>
              <w:fldChar w:fldCharType="end"/>
            </w:r>
          </w:hyperlink>
        </w:p>
        <w:p w14:paraId="73619FF8" w14:textId="13AF5E6F" w:rsidR="000E1E76" w:rsidRDefault="000E1E76">
          <w:pPr>
            <w:pStyle w:val="TOC3"/>
            <w:tabs>
              <w:tab w:val="right" w:leader="dot" w:pos="9016"/>
            </w:tabs>
            <w:rPr>
              <w:rFonts w:cstheme="minorBidi"/>
              <w:noProof/>
              <w:kern w:val="2"/>
              <w:lang w:val="en-NZ" w:eastAsia="en-NZ"/>
              <w14:ligatures w14:val="standardContextual"/>
            </w:rPr>
          </w:pPr>
          <w:hyperlink w:anchor="_Toc184814247" w:history="1">
            <w:r w:rsidRPr="00E91846">
              <w:rPr>
                <w:rStyle w:val="Hyperlink"/>
                <w:noProof/>
              </w:rPr>
              <w:t>Aluminium production</w:t>
            </w:r>
            <w:r>
              <w:rPr>
                <w:noProof/>
                <w:webHidden/>
              </w:rPr>
              <w:tab/>
            </w:r>
            <w:r>
              <w:rPr>
                <w:noProof/>
                <w:webHidden/>
              </w:rPr>
              <w:fldChar w:fldCharType="begin"/>
            </w:r>
            <w:r>
              <w:rPr>
                <w:noProof/>
                <w:webHidden/>
              </w:rPr>
              <w:instrText xml:space="preserve"> PAGEREF _Toc184814247 \h </w:instrText>
            </w:r>
            <w:r>
              <w:rPr>
                <w:noProof/>
                <w:webHidden/>
              </w:rPr>
            </w:r>
            <w:r>
              <w:rPr>
                <w:noProof/>
                <w:webHidden/>
              </w:rPr>
              <w:fldChar w:fldCharType="separate"/>
            </w:r>
            <w:r>
              <w:rPr>
                <w:noProof/>
                <w:webHidden/>
              </w:rPr>
              <w:t>11</w:t>
            </w:r>
            <w:r>
              <w:rPr>
                <w:noProof/>
                <w:webHidden/>
              </w:rPr>
              <w:fldChar w:fldCharType="end"/>
            </w:r>
          </w:hyperlink>
        </w:p>
        <w:p w14:paraId="0342DFE3" w14:textId="032893F4" w:rsidR="000E1E76" w:rsidRDefault="000E1E76">
          <w:pPr>
            <w:pStyle w:val="TOC3"/>
            <w:tabs>
              <w:tab w:val="right" w:leader="dot" w:pos="9016"/>
            </w:tabs>
            <w:rPr>
              <w:rFonts w:cstheme="minorBidi"/>
              <w:noProof/>
              <w:kern w:val="2"/>
              <w:lang w:val="en-NZ" w:eastAsia="en-NZ"/>
              <w14:ligatures w14:val="standardContextual"/>
            </w:rPr>
          </w:pPr>
          <w:hyperlink w:anchor="_Toc184814248" w:history="1">
            <w:r w:rsidRPr="00E91846">
              <w:rPr>
                <w:rStyle w:val="Hyperlink"/>
                <w:noProof/>
              </w:rPr>
              <w:t>Wood, pulp, and paper production</w:t>
            </w:r>
            <w:r>
              <w:rPr>
                <w:noProof/>
                <w:webHidden/>
              </w:rPr>
              <w:tab/>
            </w:r>
            <w:r>
              <w:rPr>
                <w:noProof/>
                <w:webHidden/>
              </w:rPr>
              <w:fldChar w:fldCharType="begin"/>
            </w:r>
            <w:r>
              <w:rPr>
                <w:noProof/>
                <w:webHidden/>
              </w:rPr>
              <w:instrText xml:space="preserve"> PAGEREF _Toc184814248 \h </w:instrText>
            </w:r>
            <w:r>
              <w:rPr>
                <w:noProof/>
                <w:webHidden/>
              </w:rPr>
            </w:r>
            <w:r>
              <w:rPr>
                <w:noProof/>
                <w:webHidden/>
              </w:rPr>
              <w:fldChar w:fldCharType="separate"/>
            </w:r>
            <w:r>
              <w:rPr>
                <w:noProof/>
                <w:webHidden/>
              </w:rPr>
              <w:t>12</w:t>
            </w:r>
            <w:r>
              <w:rPr>
                <w:noProof/>
                <w:webHidden/>
              </w:rPr>
              <w:fldChar w:fldCharType="end"/>
            </w:r>
          </w:hyperlink>
        </w:p>
        <w:p w14:paraId="3793C56E" w14:textId="3D39D9F0" w:rsidR="000E1E76" w:rsidRDefault="000E1E76">
          <w:pPr>
            <w:pStyle w:val="TOC3"/>
            <w:tabs>
              <w:tab w:val="right" w:leader="dot" w:pos="9016"/>
            </w:tabs>
            <w:rPr>
              <w:rFonts w:cstheme="minorBidi"/>
              <w:noProof/>
              <w:kern w:val="2"/>
              <w:lang w:val="en-NZ" w:eastAsia="en-NZ"/>
              <w14:ligatures w14:val="standardContextual"/>
            </w:rPr>
          </w:pPr>
          <w:hyperlink w:anchor="_Toc184814249" w:history="1">
            <w:r w:rsidRPr="00E91846">
              <w:rPr>
                <w:rStyle w:val="Hyperlink"/>
                <w:noProof/>
              </w:rPr>
              <w:t>Mining and construction</w:t>
            </w:r>
            <w:r>
              <w:rPr>
                <w:noProof/>
                <w:webHidden/>
              </w:rPr>
              <w:tab/>
            </w:r>
            <w:r>
              <w:rPr>
                <w:noProof/>
                <w:webHidden/>
              </w:rPr>
              <w:fldChar w:fldCharType="begin"/>
            </w:r>
            <w:r>
              <w:rPr>
                <w:noProof/>
                <w:webHidden/>
              </w:rPr>
              <w:instrText xml:space="preserve"> PAGEREF _Toc184814249 \h </w:instrText>
            </w:r>
            <w:r>
              <w:rPr>
                <w:noProof/>
                <w:webHidden/>
              </w:rPr>
            </w:r>
            <w:r>
              <w:rPr>
                <w:noProof/>
                <w:webHidden/>
              </w:rPr>
              <w:fldChar w:fldCharType="separate"/>
            </w:r>
            <w:r>
              <w:rPr>
                <w:noProof/>
                <w:webHidden/>
              </w:rPr>
              <w:t>12</w:t>
            </w:r>
            <w:r>
              <w:rPr>
                <w:noProof/>
                <w:webHidden/>
              </w:rPr>
              <w:fldChar w:fldCharType="end"/>
            </w:r>
          </w:hyperlink>
        </w:p>
        <w:p w14:paraId="3B09EF1F" w14:textId="62A5AD32" w:rsidR="000E1E76" w:rsidRDefault="000E1E76">
          <w:pPr>
            <w:pStyle w:val="TOC3"/>
            <w:tabs>
              <w:tab w:val="right" w:leader="dot" w:pos="9016"/>
            </w:tabs>
            <w:rPr>
              <w:rFonts w:cstheme="minorBidi"/>
              <w:noProof/>
              <w:kern w:val="2"/>
              <w:lang w:val="en-NZ" w:eastAsia="en-NZ"/>
              <w14:ligatures w14:val="standardContextual"/>
            </w:rPr>
          </w:pPr>
          <w:hyperlink w:anchor="_Toc184814250" w:history="1">
            <w:r w:rsidRPr="00E91846">
              <w:rPr>
                <w:rStyle w:val="Hyperlink"/>
                <w:noProof/>
              </w:rPr>
              <w:t>Other industry</w:t>
            </w:r>
            <w:r>
              <w:rPr>
                <w:noProof/>
                <w:webHidden/>
              </w:rPr>
              <w:tab/>
            </w:r>
            <w:r>
              <w:rPr>
                <w:noProof/>
                <w:webHidden/>
              </w:rPr>
              <w:fldChar w:fldCharType="begin"/>
            </w:r>
            <w:r>
              <w:rPr>
                <w:noProof/>
                <w:webHidden/>
              </w:rPr>
              <w:instrText xml:space="preserve"> PAGEREF _Toc184814250 \h </w:instrText>
            </w:r>
            <w:r>
              <w:rPr>
                <w:noProof/>
                <w:webHidden/>
              </w:rPr>
            </w:r>
            <w:r>
              <w:rPr>
                <w:noProof/>
                <w:webHidden/>
              </w:rPr>
              <w:fldChar w:fldCharType="separate"/>
            </w:r>
            <w:r>
              <w:rPr>
                <w:noProof/>
                <w:webHidden/>
              </w:rPr>
              <w:t>12</w:t>
            </w:r>
            <w:r>
              <w:rPr>
                <w:noProof/>
                <w:webHidden/>
              </w:rPr>
              <w:fldChar w:fldCharType="end"/>
            </w:r>
          </w:hyperlink>
        </w:p>
        <w:p w14:paraId="072740CC" w14:textId="6056EEB5" w:rsidR="000E1E76" w:rsidRDefault="000E1E76">
          <w:pPr>
            <w:pStyle w:val="TOC3"/>
            <w:tabs>
              <w:tab w:val="right" w:leader="dot" w:pos="9016"/>
            </w:tabs>
            <w:rPr>
              <w:rFonts w:cstheme="minorBidi"/>
              <w:noProof/>
              <w:kern w:val="2"/>
              <w:lang w:val="en-NZ" w:eastAsia="en-NZ"/>
              <w14:ligatures w14:val="standardContextual"/>
            </w:rPr>
          </w:pPr>
          <w:hyperlink w:anchor="_Toc184814251" w:history="1">
            <w:r w:rsidRPr="00E91846">
              <w:rPr>
                <w:rStyle w:val="Hyperlink"/>
                <w:noProof/>
              </w:rPr>
              <w:t>Fossil fuel production</w:t>
            </w:r>
            <w:r>
              <w:rPr>
                <w:noProof/>
                <w:webHidden/>
              </w:rPr>
              <w:tab/>
            </w:r>
            <w:r>
              <w:rPr>
                <w:noProof/>
                <w:webHidden/>
              </w:rPr>
              <w:fldChar w:fldCharType="begin"/>
            </w:r>
            <w:r>
              <w:rPr>
                <w:noProof/>
                <w:webHidden/>
              </w:rPr>
              <w:instrText xml:space="preserve"> PAGEREF _Toc184814251 \h </w:instrText>
            </w:r>
            <w:r>
              <w:rPr>
                <w:noProof/>
                <w:webHidden/>
              </w:rPr>
            </w:r>
            <w:r>
              <w:rPr>
                <w:noProof/>
                <w:webHidden/>
              </w:rPr>
              <w:fldChar w:fldCharType="separate"/>
            </w:r>
            <w:r>
              <w:rPr>
                <w:noProof/>
                <w:webHidden/>
              </w:rPr>
              <w:t>12</w:t>
            </w:r>
            <w:r>
              <w:rPr>
                <w:noProof/>
                <w:webHidden/>
              </w:rPr>
              <w:fldChar w:fldCharType="end"/>
            </w:r>
          </w:hyperlink>
        </w:p>
        <w:p w14:paraId="07ED7EFF" w14:textId="34071D68" w:rsidR="000E1E76" w:rsidRDefault="000E1E76">
          <w:pPr>
            <w:pStyle w:val="TOC3"/>
            <w:tabs>
              <w:tab w:val="right" w:leader="dot" w:pos="9016"/>
            </w:tabs>
            <w:rPr>
              <w:rFonts w:cstheme="minorBidi"/>
              <w:noProof/>
              <w:kern w:val="2"/>
              <w:lang w:val="en-NZ" w:eastAsia="en-NZ"/>
              <w14:ligatures w14:val="standardContextual"/>
            </w:rPr>
          </w:pPr>
          <w:hyperlink w:anchor="_Toc184814252" w:history="1">
            <w:r w:rsidRPr="00E91846">
              <w:rPr>
                <w:rStyle w:val="Hyperlink"/>
                <w:noProof/>
              </w:rPr>
              <w:t>New industrial segments</w:t>
            </w:r>
            <w:r>
              <w:rPr>
                <w:noProof/>
                <w:webHidden/>
              </w:rPr>
              <w:tab/>
            </w:r>
            <w:r>
              <w:rPr>
                <w:noProof/>
                <w:webHidden/>
              </w:rPr>
              <w:fldChar w:fldCharType="begin"/>
            </w:r>
            <w:r>
              <w:rPr>
                <w:noProof/>
                <w:webHidden/>
              </w:rPr>
              <w:instrText xml:space="preserve"> PAGEREF _Toc184814252 \h </w:instrText>
            </w:r>
            <w:r>
              <w:rPr>
                <w:noProof/>
                <w:webHidden/>
              </w:rPr>
            </w:r>
            <w:r>
              <w:rPr>
                <w:noProof/>
                <w:webHidden/>
              </w:rPr>
              <w:fldChar w:fldCharType="separate"/>
            </w:r>
            <w:r>
              <w:rPr>
                <w:noProof/>
                <w:webHidden/>
              </w:rPr>
              <w:t>13</w:t>
            </w:r>
            <w:r>
              <w:rPr>
                <w:noProof/>
                <w:webHidden/>
              </w:rPr>
              <w:fldChar w:fldCharType="end"/>
            </w:r>
          </w:hyperlink>
        </w:p>
        <w:p w14:paraId="3D2DA88C" w14:textId="604AA707" w:rsidR="000E1E76" w:rsidRDefault="000E1E76">
          <w:pPr>
            <w:pStyle w:val="TOC2"/>
            <w:rPr>
              <w:rFonts w:cstheme="minorBidi"/>
              <w:noProof/>
              <w:kern w:val="2"/>
              <w:lang w:val="en-NZ" w:eastAsia="en-NZ"/>
              <w14:ligatures w14:val="standardContextual"/>
            </w:rPr>
          </w:pPr>
          <w:hyperlink w:anchor="_Toc184814253" w:history="1">
            <w:r w:rsidRPr="00E91846">
              <w:rPr>
                <w:rStyle w:val="Hyperlink"/>
                <w:noProof/>
              </w:rPr>
              <w:t>Key linkages</w:t>
            </w:r>
            <w:r>
              <w:rPr>
                <w:noProof/>
                <w:webHidden/>
              </w:rPr>
              <w:tab/>
            </w:r>
            <w:r>
              <w:rPr>
                <w:noProof/>
                <w:webHidden/>
              </w:rPr>
              <w:fldChar w:fldCharType="begin"/>
            </w:r>
            <w:r>
              <w:rPr>
                <w:noProof/>
                <w:webHidden/>
              </w:rPr>
              <w:instrText xml:space="preserve"> PAGEREF _Toc184814253 \h </w:instrText>
            </w:r>
            <w:r>
              <w:rPr>
                <w:noProof/>
                <w:webHidden/>
              </w:rPr>
            </w:r>
            <w:r>
              <w:rPr>
                <w:noProof/>
                <w:webHidden/>
              </w:rPr>
              <w:fldChar w:fldCharType="separate"/>
            </w:r>
            <w:r>
              <w:rPr>
                <w:noProof/>
                <w:webHidden/>
              </w:rPr>
              <w:t>13</w:t>
            </w:r>
            <w:r>
              <w:rPr>
                <w:noProof/>
                <w:webHidden/>
              </w:rPr>
              <w:fldChar w:fldCharType="end"/>
            </w:r>
          </w:hyperlink>
        </w:p>
        <w:p w14:paraId="1BA7C745" w14:textId="37C17B57" w:rsidR="000E1E76" w:rsidRDefault="000E1E76">
          <w:pPr>
            <w:pStyle w:val="TOC1"/>
            <w:tabs>
              <w:tab w:val="right" w:leader="dot" w:pos="9016"/>
            </w:tabs>
            <w:rPr>
              <w:rFonts w:cstheme="minorBidi"/>
              <w:noProof/>
              <w:kern w:val="2"/>
              <w:lang w:val="en-NZ" w:eastAsia="en-NZ"/>
              <w14:ligatures w14:val="standardContextual"/>
            </w:rPr>
          </w:pPr>
          <w:hyperlink w:anchor="_Toc184814254" w:history="1">
            <w:r w:rsidRPr="00E91846">
              <w:rPr>
                <w:rStyle w:val="Hyperlink"/>
                <w:noProof/>
              </w:rPr>
              <w:t>The Transport (Tpt.xlsx) workbook</w:t>
            </w:r>
            <w:r>
              <w:rPr>
                <w:noProof/>
                <w:webHidden/>
              </w:rPr>
              <w:tab/>
            </w:r>
            <w:r>
              <w:rPr>
                <w:noProof/>
                <w:webHidden/>
              </w:rPr>
              <w:fldChar w:fldCharType="begin"/>
            </w:r>
            <w:r>
              <w:rPr>
                <w:noProof/>
                <w:webHidden/>
              </w:rPr>
              <w:instrText xml:space="preserve"> PAGEREF _Toc184814254 \h </w:instrText>
            </w:r>
            <w:r>
              <w:rPr>
                <w:noProof/>
                <w:webHidden/>
              </w:rPr>
            </w:r>
            <w:r>
              <w:rPr>
                <w:noProof/>
                <w:webHidden/>
              </w:rPr>
              <w:fldChar w:fldCharType="separate"/>
            </w:r>
            <w:r>
              <w:rPr>
                <w:noProof/>
                <w:webHidden/>
              </w:rPr>
              <w:t>13</w:t>
            </w:r>
            <w:r>
              <w:rPr>
                <w:noProof/>
                <w:webHidden/>
              </w:rPr>
              <w:fldChar w:fldCharType="end"/>
            </w:r>
          </w:hyperlink>
        </w:p>
        <w:p w14:paraId="0E9475B1" w14:textId="1AF1F5E9" w:rsidR="000E1E76" w:rsidRDefault="000E1E76">
          <w:pPr>
            <w:pStyle w:val="TOC2"/>
            <w:rPr>
              <w:rFonts w:cstheme="minorBidi"/>
              <w:noProof/>
              <w:kern w:val="2"/>
              <w:lang w:val="en-NZ" w:eastAsia="en-NZ"/>
              <w14:ligatures w14:val="standardContextual"/>
            </w:rPr>
          </w:pPr>
          <w:hyperlink w:anchor="_Toc184814255" w:history="1">
            <w:r w:rsidRPr="00E91846">
              <w:rPr>
                <w:rStyle w:val="Hyperlink"/>
                <w:noProof/>
              </w:rPr>
              <w:t>Mode shift and Travel and freight demand</w:t>
            </w:r>
            <w:r>
              <w:rPr>
                <w:noProof/>
                <w:webHidden/>
              </w:rPr>
              <w:tab/>
            </w:r>
            <w:r>
              <w:rPr>
                <w:noProof/>
                <w:webHidden/>
              </w:rPr>
              <w:fldChar w:fldCharType="begin"/>
            </w:r>
            <w:r>
              <w:rPr>
                <w:noProof/>
                <w:webHidden/>
              </w:rPr>
              <w:instrText xml:space="preserve"> PAGEREF _Toc184814255 \h </w:instrText>
            </w:r>
            <w:r>
              <w:rPr>
                <w:noProof/>
                <w:webHidden/>
              </w:rPr>
            </w:r>
            <w:r>
              <w:rPr>
                <w:noProof/>
                <w:webHidden/>
              </w:rPr>
              <w:fldChar w:fldCharType="separate"/>
            </w:r>
            <w:r>
              <w:rPr>
                <w:noProof/>
                <w:webHidden/>
              </w:rPr>
              <w:t>13</w:t>
            </w:r>
            <w:r>
              <w:rPr>
                <w:noProof/>
                <w:webHidden/>
              </w:rPr>
              <w:fldChar w:fldCharType="end"/>
            </w:r>
          </w:hyperlink>
        </w:p>
        <w:p w14:paraId="7073AFAF" w14:textId="64F323D4" w:rsidR="000E1E76" w:rsidRDefault="000E1E76">
          <w:pPr>
            <w:pStyle w:val="TOC2"/>
            <w:rPr>
              <w:rFonts w:cstheme="minorBidi"/>
              <w:noProof/>
              <w:kern w:val="2"/>
              <w:lang w:val="en-NZ" w:eastAsia="en-NZ"/>
              <w14:ligatures w14:val="standardContextual"/>
            </w:rPr>
          </w:pPr>
          <w:hyperlink w:anchor="_Toc184814256" w:history="1">
            <w:r w:rsidRPr="00E91846">
              <w:rPr>
                <w:rStyle w:val="Hyperlink"/>
                <w:rFonts w:eastAsia="Times New Roman"/>
                <w:noProof/>
                <w:lang w:eastAsia="en-NZ"/>
              </w:rPr>
              <w:t>Road transport</w:t>
            </w:r>
            <w:r>
              <w:rPr>
                <w:noProof/>
                <w:webHidden/>
              </w:rPr>
              <w:tab/>
            </w:r>
            <w:r>
              <w:rPr>
                <w:noProof/>
                <w:webHidden/>
              </w:rPr>
              <w:fldChar w:fldCharType="begin"/>
            </w:r>
            <w:r>
              <w:rPr>
                <w:noProof/>
                <w:webHidden/>
              </w:rPr>
              <w:instrText xml:space="preserve"> PAGEREF _Toc184814256 \h </w:instrText>
            </w:r>
            <w:r>
              <w:rPr>
                <w:noProof/>
                <w:webHidden/>
              </w:rPr>
            </w:r>
            <w:r>
              <w:rPr>
                <w:noProof/>
                <w:webHidden/>
              </w:rPr>
              <w:fldChar w:fldCharType="separate"/>
            </w:r>
            <w:r>
              <w:rPr>
                <w:noProof/>
                <w:webHidden/>
              </w:rPr>
              <w:t>14</w:t>
            </w:r>
            <w:r>
              <w:rPr>
                <w:noProof/>
                <w:webHidden/>
              </w:rPr>
              <w:fldChar w:fldCharType="end"/>
            </w:r>
          </w:hyperlink>
        </w:p>
        <w:p w14:paraId="2127C91B" w14:textId="51D696D4" w:rsidR="000E1E76" w:rsidRDefault="000E1E76">
          <w:pPr>
            <w:pStyle w:val="TOC2"/>
            <w:rPr>
              <w:rFonts w:cstheme="minorBidi"/>
              <w:noProof/>
              <w:kern w:val="2"/>
              <w:lang w:val="en-NZ" w:eastAsia="en-NZ"/>
              <w14:ligatures w14:val="standardContextual"/>
            </w:rPr>
          </w:pPr>
          <w:hyperlink w:anchor="_Toc184814257" w:history="1">
            <w:r w:rsidRPr="00E91846">
              <w:rPr>
                <w:rStyle w:val="Hyperlink"/>
                <w:noProof/>
              </w:rPr>
              <w:t>Electric vehicles</w:t>
            </w:r>
            <w:r>
              <w:rPr>
                <w:noProof/>
                <w:webHidden/>
              </w:rPr>
              <w:tab/>
            </w:r>
            <w:r>
              <w:rPr>
                <w:noProof/>
                <w:webHidden/>
              </w:rPr>
              <w:fldChar w:fldCharType="begin"/>
            </w:r>
            <w:r>
              <w:rPr>
                <w:noProof/>
                <w:webHidden/>
              </w:rPr>
              <w:instrText xml:space="preserve"> PAGEREF _Toc184814257 \h </w:instrText>
            </w:r>
            <w:r>
              <w:rPr>
                <w:noProof/>
                <w:webHidden/>
              </w:rPr>
            </w:r>
            <w:r>
              <w:rPr>
                <w:noProof/>
                <w:webHidden/>
              </w:rPr>
              <w:fldChar w:fldCharType="separate"/>
            </w:r>
            <w:r>
              <w:rPr>
                <w:noProof/>
                <w:webHidden/>
              </w:rPr>
              <w:t>15</w:t>
            </w:r>
            <w:r>
              <w:rPr>
                <w:noProof/>
                <w:webHidden/>
              </w:rPr>
              <w:fldChar w:fldCharType="end"/>
            </w:r>
          </w:hyperlink>
        </w:p>
        <w:p w14:paraId="0E5AE674" w14:textId="16C422AB" w:rsidR="000E1E76" w:rsidRDefault="000E1E76">
          <w:pPr>
            <w:pStyle w:val="TOC3"/>
            <w:tabs>
              <w:tab w:val="right" w:leader="dot" w:pos="9016"/>
            </w:tabs>
            <w:rPr>
              <w:rFonts w:cstheme="minorBidi"/>
              <w:noProof/>
              <w:kern w:val="2"/>
              <w:lang w:val="en-NZ" w:eastAsia="en-NZ"/>
              <w14:ligatures w14:val="standardContextual"/>
            </w:rPr>
          </w:pPr>
          <w:hyperlink w:anchor="_Toc184814258" w:history="1">
            <w:r w:rsidRPr="00E91846">
              <w:rPr>
                <w:rStyle w:val="Hyperlink"/>
                <w:noProof/>
              </w:rPr>
              <w:t>Aviation</w:t>
            </w:r>
            <w:r>
              <w:rPr>
                <w:noProof/>
                <w:webHidden/>
              </w:rPr>
              <w:tab/>
            </w:r>
            <w:r>
              <w:rPr>
                <w:noProof/>
                <w:webHidden/>
              </w:rPr>
              <w:fldChar w:fldCharType="begin"/>
            </w:r>
            <w:r>
              <w:rPr>
                <w:noProof/>
                <w:webHidden/>
              </w:rPr>
              <w:instrText xml:space="preserve"> PAGEREF _Toc184814258 \h </w:instrText>
            </w:r>
            <w:r>
              <w:rPr>
                <w:noProof/>
                <w:webHidden/>
              </w:rPr>
            </w:r>
            <w:r>
              <w:rPr>
                <w:noProof/>
                <w:webHidden/>
              </w:rPr>
              <w:fldChar w:fldCharType="separate"/>
            </w:r>
            <w:r>
              <w:rPr>
                <w:noProof/>
                <w:webHidden/>
              </w:rPr>
              <w:t>16</w:t>
            </w:r>
            <w:r>
              <w:rPr>
                <w:noProof/>
                <w:webHidden/>
              </w:rPr>
              <w:fldChar w:fldCharType="end"/>
            </w:r>
          </w:hyperlink>
        </w:p>
        <w:p w14:paraId="5047BB38" w14:textId="499FB442" w:rsidR="000E1E76" w:rsidRDefault="000E1E76">
          <w:pPr>
            <w:pStyle w:val="TOC3"/>
            <w:tabs>
              <w:tab w:val="right" w:leader="dot" w:pos="9016"/>
            </w:tabs>
            <w:rPr>
              <w:rFonts w:cstheme="minorBidi"/>
              <w:noProof/>
              <w:kern w:val="2"/>
              <w:lang w:val="en-NZ" w:eastAsia="en-NZ"/>
              <w14:ligatures w14:val="standardContextual"/>
            </w:rPr>
          </w:pPr>
          <w:hyperlink w:anchor="_Toc184814259" w:history="1">
            <w:r w:rsidRPr="00E91846">
              <w:rPr>
                <w:rStyle w:val="Hyperlink"/>
                <w:noProof/>
              </w:rPr>
              <w:t>Shipping and rail</w:t>
            </w:r>
            <w:r>
              <w:rPr>
                <w:noProof/>
                <w:webHidden/>
              </w:rPr>
              <w:tab/>
            </w:r>
            <w:r>
              <w:rPr>
                <w:noProof/>
                <w:webHidden/>
              </w:rPr>
              <w:fldChar w:fldCharType="begin"/>
            </w:r>
            <w:r>
              <w:rPr>
                <w:noProof/>
                <w:webHidden/>
              </w:rPr>
              <w:instrText xml:space="preserve"> PAGEREF _Toc184814259 \h </w:instrText>
            </w:r>
            <w:r>
              <w:rPr>
                <w:noProof/>
                <w:webHidden/>
              </w:rPr>
            </w:r>
            <w:r>
              <w:rPr>
                <w:noProof/>
                <w:webHidden/>
              </w:rPr>
              <w:fldChar w:fldCharType="separate"/>
            </w:r>
            <w:r>
              <w:rPr>
                <w:noProof/>
                <w:webHidden/>
              </w:rPr>
              <w:t>16</w:t>
            </w:r>
            <w:r>
              <w:rPr>
                <w:noProof/>
                <w:webHidden/>
              </w:rPr>
              <w:fldChar w:fldCharType="end"/>
            </w:r>
          </w:hyperlink>
        </w:p>
        <w:p w14:paraId="6AE62D55" w14:textId="44FAAB9D" w:rsidR="000E1E76" w:rsidRDefault="000E1E76">
          <w:pPr>
            <w:pStyle w:val="TOC2"/>
            <w:rPr>
              <w:rFonts w:cstheme="minorBidi"/>
              <w:noProof/>
              <w:kern w:val="2"/>
              <w:lang w:val="en-NZ" w:eastAsia="en-NZ"/>
              <w14:ligatures w14:val="standardContextual"/>
            </w:rPr>
          </w:pPr>
          <w:hyperlink w:anchor="_Toc184814260" w:history="1">
            <w:r w:rsidRPr="00E91846">
              <w:rPr>
                <w:rStyle w:val="Hyperlink"/>
                <w:noProof/>
              </w:rPr>
              <w:t>Low carbon liquid fuels</w:t>
            </w:r>
            <w:r>
              <w:rPr>
                <w:noProof/>
                <w:webHidden/>
              </w:rPr>
              <w:tab/>
            </w:r>
            <w:r>
              <w:rPr>
                <w:noProof/>
                <w:webHidden/>
              </w:rPr>
              <w:fldChar w:fldCharType="begin"/>
            </w:r>
            <w:r>
              <w:rPr>
                <w:noProof/>
                <w:webHidden/>
              </w:rPr>
              <w:instrText xml:space="preserve"> PAGEREF _Toc184814260 \h </w:instrText>
            </w:r>
            <w:r>
              <w:rPr>
                <w:noProof/>
                <w:webHidden/>
              </w:rPr>
            </w:r>
            <w:r>
              <w:rPr>
                <w:noProof/>
                <w:webHidden/>
              </w:rPr>
              <w:fldChar w:fldCharType="separate"/>
            </w:r>
            <w:r>
              <w:rPr>
                <w:noProof/>
                <w:webHidden/>
              </w:rPr>
              <w:t>16</w:t>
            </w:r>
            <w:r>
              <w:rPr>
                <w:noProof/>
                <w:webHidden/>
              </w:rPr>
              <w:fldChar w:fldCharType="end"/>
            </w:r>
          </w:hyperlink>
        </w:p>
        <w:p w14:paraId="1B65F57D" w14:textId="0C488DE9" w:rsidR="000E1E76" w:rsidRDefault="000E1E76">
          <w:pPr>
            <w:pStyle w:val="TOC1"/>
            <w:tabs>
              <w:tab w:val="right" w:leader="dot" w:pos="9016"/>
            </w:tabs>
            <w:rPr>
              <w:rFonts w:cstheme="minorBidi"/>
              <w:noProof/>
              <w:kern w:val="2"/>
              <w:lang w:val="en-NZ" w:eastAsia="en-NZ"/>
              <w14:ligatures w14:val="standardContextual"/>
            </w:rPr>
          </w:pPr>
          <w:hyperlink w:anchor="_Toc184814261" w:history="1">
            <w:r w:rsidRPr="00E91846">
              <w:rPr>
                <w:rStyle w:val="Hyperlink"/>
                <w:noProof/>
              </w:rPr>
              <w:t>The Land and Waste workbook (LnW.xlsx)</w:t>
            </w:r>
            <w:r>
              <w:rPr>
                <w:noProof/>
                <w:webHidden/>
              </w:rPr>
              <w:tab/>
            </w:r>
            <w:r>
              <w:rPr>
                <w:noProof/>
                <w:webHidden/>
              </w:rPr>
              <w:fldChar w:fldCharType="begin"/>
            </w:r>
            <w:r>
              <w:rPr>
                <w:noProof/>
                <w:webHidden/>
              </w:rPr>
              <w:instrText xml:space="preserve"> PAGEREF _Toc184814261 \h </w:instrText>
            </w:r>
            <w:r>
              <w:rPr>
                <w:noProof/>
                <w:webHidden/>
              </w:rPr>
            </w:r>
            <w:r>
              <w:rPr>
                <w:noProof/>
                <w:webHidden/>
              </w:rPr>
              <w:fldChar w:fldCharType="separate"/>
            </w:r>
            <w:r>
              <w:rPr>
                <w:noProof/>
                <w:webHidden/>
              </w:rPr>
              <w:t>16</w:t>
            </w:r>
            <w:r>
              <w:rPr>
                <w:noProof/>
                <w:webHidden/>
              </w:rPr>
              <w:fldChar w:fldCharType="end"/>
            </w:r>
          </w:hyperlink>
        </w:p>
        <w:p w14:paraId="31878D8F" w14:textId="1FCC5CF6" w:rsidR="000E1E76" w:rsidRDefault="000E1E76">
          <w:pPr>
            <w:pStyle w:val="TOC2"/>
            <w:rPr>
              <w:rFonts w:cstheme="minorBidi"/>
              <w:noProof/>
              <w:kern w:val="2"/>
              <w:lang w:val="en-NZ" w:eastAsia="en-NZ"/>
              <w14:ligatures w14:val="standardContextual"/>
            </w:rPr>
          </w:pPr>
          <w:hyperlink w:anchor="_Toc184814262" w:history="1">
            <w:r w:rsidRPr="00E91846">
              <w:rPr>
                <w:rStyle w:val="Hyperlink"/>
                <w:noProof/>
              </w:rPr>
              <w:t>Description of the Land and waste worksheets</w:t>
            </w:r>
            <w:r>
              <w:rPr>
                <w:noProof/>
                <w:webHidden/>
              </w:rPr>
              <w:tab/>
            </w:r>
            <w:r>
              <w:rPr>
                <w:noProof/>
                <w:webHidden/>
              </w:rPr>
              <w:fldChar w:fldCharType="begin"/>
            </w:r>
            <w:r>
              <w:rPr>
                <w:noProof/>
                <w:webHidden/>
              </w:rPr>
              <w:instrText xml:space="preserve"> PAGEREF _Toc184814262 \h </w:instrText>
            </w:r>
            <w:r>
              <w:rPr>
                <w:noProof/>
                <w:webHidden/>
              </w:rPr>
            </w:r>
            <w:r>
              <w:rPr>
                <w:noProof/>
                <w:webHidden/>
              </w:rPr>
              <w:fldChar w:fldCharType="separate"/>
            </w:r>
            <w:r>
              <w:rPr>
                <w:noProof/>
                <w:webHidden/>
              </w:rPr>
              <w:t>17</w:t>
            </w:r>
            <w:r>
              <w:rPr>
                <w:noProof/>
                <w:webHidden/>
              </w:rPr>
              <w:fldChar w:fldCharType="end"/>
            </w:r>
          </w:hyperlink>
        </w:p>
        <w:p w14:paraId="384E75ED" w14:textId="2D1EFA41" w:rsidR="000E1E76" w:rsidRDefault="000E1E76">
          <w:pPr>
            <w:pStyle w:val="TOC2"/>
            <w:rPr>
              <w:rFonts w:cstheme="minorBidi"/>
              <w:noProof/>
              <w:kern w:val="2"/>
              <w:lang w:val="en-NZ" w:eastAsia="en-NZ"/>
              <w14:ligatures w14:val="standardContextual"/>
            </w:rPr>
          </w:pPr>
          <w:hyperlink w:anchor="_Toc184814263" w:history="1">
            <w:r w:rsidRPr="00E91846">
              <w:rPr>
                <w:rStyle w:val="Hyperlink"/>
                <w:noProof/>
              </w:rPr>
              <w:t>Land use</w:t>
            </w:r>
            <w:r>
              <w:rPr>
                <w:noProof/>
                <w:webHidden/>
              </w:rPr>
              <w:tab/>
            </w:r>
            <w:r>
              <w:rPr>
                <w:noProof/>
                <w:webHidden/>
              </w:rPr>
              <w:fldChar w:fldCharType="begin"/>
            </w:r>
            <w:r>
              <w:rPr>
                <w:noProof/>
                <w:webHidden/>
              </w:rPr>
              <w:instrText xml:space="preserve"> PAGEREF _Toc184814263 \h </w:instrText>
            </w:r>
            <w:r>
              <w:rPr>
                <w:noProof/>
                <w:webHidden/>
              </w:rPr>
            </w:r>
            <w:r>
              <w:rPr>
                <w:noProof/>
                <w:webHidden/>
              </w:rPr>
              <w:fldChar w:fldCharType="separate"/>
            </w:r>
            <w:r>
              <w:rPr>
                <w:noProof/>
                <w:webHidden/>
              </w:rPr>
              <w:t>17</w:t>
            </w:r>
            <w:r>
              <w:rPr>
                <w:noProof/>
                <w:webHidden/>
              </w:rPr>
              <w:fldChar w:fldCharType="end"/>
            </w:r>
          </w:hyperlink>
        </w:p>
        <w:p w14:paraId="350EC9CF" w14:textId="69F8A5AF" w:rsidR="000E1E76" w:rsidRDefault="000E1E76">
          <w:pPr>
            <w:pStyle w:val="TOC2"/>
            <w:rPr>
              <w:rFonts w:cstheme="minorBidi"/>
              <w:noProof/>
              <w:kern w:val="2"/>
              <w:lang w:val="en-NZ" w:eastAsia="en-NZ"/>
              <w14:ligatures w14:val="standardContextual"/>
            </w:rPr>
          </w:pPr>
          <w:hyperlink w:anchor="_Toc184814264" w:history="1">
            <w:r w:rsidRPr="00E91846">
              <w:rPr>
                <w:rStyle w:val="Hyperlink"/>
                <w:noProof/>
              </w:rPr>
              <w:t>Agriculture</w:t>
            </w:r>
            <w:r>
              <w:rPr>
                <w:noProof/>
                <w:webHidden/>
              </w:rPr>
              <w:tab/>
            </w:r>
            <w:r>
              <w:rPr>
                <w:noProof/>
                <w:webHidden/>
              </w:rPr>
              <w:fldChar w:fldCharType="begin"/>
            </w:r>
            <w:r>
              <w:rPr>
                <w:noProof/>
                <w:webHidden/>
              </w:rPr>
              <w:instrText xml:space="preserve"> PAGEREF _Toc184814264 \h </w:instrText>
            </w:r>
            <w:r>
              <w:rPr>
                <w:noProof/>
                <w:webHidden/>
              </w:rPr>
            </w:r>
            <w:r>
              <w:rPr>
                <w:noProof/>
                <w:webHidden/>
              </w:rPr>
              <w:fldChar w:fldCharType="separate"/>
            </w:r>
            <w:r>
              <w:rPr>
                <w:noProof/>
                <w:webHidden/>
              </w:rPr>
              <w:t>18</w:t>
            </w:r>
            <w:r>
              <w:rPr>
                <w:noProof/>
                <w:webHidden/>
              </w:rPr>
              <w:fldChar w:fldCharType="end"/>
            </w:r>
          </w:hyperlink>
        </w:p>
        <w:p w14:paraId="1360D355" w14:textId="50813CBC" w:rsidR="000E1E76" w:rsidRDefault="000E1E76">
          <w:pPr>
            <w:pStyle w:val="TOC3"/>
            <w:tabs>
              <w:tab w:val="right" w:leader="dot" w:pos="9016"/>
            </w:tabs>
            <w:rPr>
              <w:rFonts w:cstheme="minorBidi"/>
              <w:noProof/>
              <w:kern w:val="2"/>
              <w:lang w:val="en-NZ" w:eastAsia="en-NZ"/>
              <w14:ligatures w14:val="standardContextual"/>
            </w:rPr>
          </w:pPr>
          <w:hyperlink w:anchor="_Toc184814265" w:history="1">
            <w:r w:rsidRPr="00E91846">
              <w:rPr>
                <w:rStyle w:val="Hyperlink"/>
                <w:noProof/>
              </w:rPr>
              <w:t>Livestock population</w:t>
            </w:r>
            <w:r>
              <w:rPr>
                <w:noProof/>
                <w:webHidden/>
              </w:rPr>
              <w:tab/>
            </w:r>
            <w:r>
              <w:rPr>
                <w:noProof/>
                <w:webHidden/>
              </w:rPr>
              <w:fldChar w:fldCharType="begin"/>
            </w:r>
            <w:r>
              <w:rPr>
                <w:noProof/>
                <w:webHidden/>
              </w:rPr>
              <w:instrText xml:space="preserve"> PAGEREF _Toc184814265 \h </w:instrText>
            </w:r>
            <w:r>
              <w:rPr>
                <w:noProof/>
                <w:webHidden/>
              </w:rPr>
            </w:r>
            <w:r>
              <w:rPr>
                <w:noProof/>
                <w:webHidden/>
              </w:rPr>
              <w:fldChar w:fldCharType="separate"/>
            </w:r>
            <w:r>
              <w:rPr>
                <w:noProof/>
                <w:webHidden/>
              </w:rPr>
              <w:t>18</w:t>
            </w:r>
            <w:r>
              <w:rPr>
                <w:noProof/>
                <w:webHidden/>
              </w:rPr>
              <w:fldChar w:fldCharType="end"/>
            </w:r>
          </w:hyperlink>
        </w:p>
        <w:p w14:paraId="04982226" w14:textId="424C81DE" w:rsidR="000E1E76" w:rsidRDefault="000E1E76">
          <w:pPr>
            <w:pStyle w:val="TOC3"/>
            <w:tabs>
              <w:tab w:val="right" w:leader="dot" w:pos="9016"/>
            </w:tabs>
            <w:rPr>
              <w:rFonts w:cstheme="minorBidi"/>
              <w:noProof/>
              <w:kern w:val="2"/>
              <w:lang w:val="en-NZ" w:eastAsia="en-NZ"/>
              <w14:ligatures w14:val="standardContextual"/>
            </w:rPr>
          </w:pPr>
          <w:hyperlink w:anchor="_Toc184814266" w:history="1">
            <w:r w:rsidRPr="00E91846">
              <w:rPr>
                <w:rStyle w:val="Hyperlink"/>
                <w:noProof/>
              </w:rPr>
              <w:t>Milk and meat production</w:t>
            </w:r>
            <w:r>
              <w:rPr>
                <w:noProof/>
                <w:webHidden/>
              </w:rPr>
              <w:tab/>
            </w:r>
            <w:r>
              <w:rPr>
                <w:noProof/>
                <w:webHidden/>
              </w:rPr>
              <w:fldChar w:fldCharType="begin"/>
            </w:r>
            <w:r>
              <w:rPr>
                <w:noProof/>
                <w:webHidden/>
              </w:rPr>
              <w:instrText xml:space="preserve"> PAGEREF _Toc184814266 \h </w:instrText>
            </w:r>
            <w:r>
              <w:rPr>
                <w:noProof/>
                <w:webHidden/>
              </w:rPr>
            </w:r>
            <w:r>
              <w:rPr>
                <w:noProof/>
                <w:webHidden/>
              </w:rPr>
              <w:fldChar w:fldCharType="separate"/>
            </w:r>
            <w:r>
              <w:rPr>
                <w:noProof/>
                <w:webHidden/>
              </w:rPr>
              <w:t>18</w:t>
            </w:r>
            <w:r>
              <w:rPr>
                <w:noProof/>
                <w:webHidden/>
              </w:rPr>
              <w:fldChar w:fldCharType="end"/>
            </w:r>
          </w:hyperlink>
        </w:p>
        <w:p w14:paraId="5B62BD1B" w14:textId="1C52E25B" w:rsidR="000E1E76" w:rsidRDefault="000E1E76">
          <w:pPr>
            <w:pStyle w:val="TOC3"/>
            <w:tabs>
              <w:tab w:val="right" w:leader="dot" w:pos="9016"/>
            </w:tabs>
            <w:rPr>
              <w:rFonts w:cstheme="minorBidi"/>
              <w:noProof/>
              <w:kern w:val="2"/>
              <w:lang w:val="en-NZ" w:eastAsia="en-NZ"/>
              <w14:ligatures w14:val="standardContextual"/>
            </w:rPr>
          </w:pPr>
          <w:hyperlink w:anchor="_Toc184814267" w:history="1">
            <w:r w:rsidRPr="00E91846">
              <w:rPr>
                <w:rStyle w:val="Hyperlink"/>
                <w:noProof/>
              </w:rPr>
              <w:t>Modelling livestock emissions, before impact of technologies</w:t>
            </w:r>
            <w:r>
              <w:rPr>
                <w:noProof/>
                <w:webHidden/>
              </w:rPr>
              <w:tab/>
            </w:r>
            <w:r>
              <w:rPr>
                <w:noProof/>
                <w:webHidden/>
              </w:rPr>
              <w:fldChar w:fldCharType="begin"/>
            </w:r>
            <w:r>
              <w:rPr>
                <w:noProof/>
                <w:webHidden/>
              </w:rPr>
              <w:instrText xml:space="preserve"> PAGEREF _Toc184814267 \h </w:instrText>
            </w:r>
            <w:r>
              <w:rPr>
                <w:noProof/>
                <w:webHidden/>
              </w:rPr>
            </w:r>
            <w:r>
              <w:rPr>
                <w:noProof/>
                <w:webHidden/>
              </w:rPr>
              <w:fldChar w:fldCharType="separate"/>
            </w:r>
            <w:r>
              <w:rPr>
                <w:noProof/>
                <w:webHidden/>
              </w:rPr>
              <w:t>19</w:t>
            </w:r>
            <w:r>
              <w:rPr>
                <w:noProof/>
                <w:webHidden/>
              </w:rPr>
              <w:fldChar w:fldCharType="end"/>
            </w:r>
          </w:hyperlink>
        </w:p>
        <w:p w14:paraId="75FDA293" w14:textId="4ED33D1E" w:rsidR="000E1E76" w:rsidRDefault="000E1E76">
          <w:pPr>
            <w:pStyle w:val="TOC3"/>
            <w:tabs>
              <w:tab w:val="right" w:leader="dot" w:pos="9016"/>
            </w:tabs>
            <w:rPr>
              <w:rFonts w:cstheme="minorBidi"/>
              <w:noProof/>
              <w:kern w:val="2"/>
              <w:lang w:val="en-NZ" w:eastAsia="en-NZ"/>
              <w14:ligatures w14:val="standardContextual"/>
            </w:rPr>
          </w:pPr>
          <w:hyperlink w:anchor="_Toc184814268" w:history="1">
            <w:r w:rsidRPr="00E91846">
              <w:rPr>
                <w:rStyle w:val="Hyperlink"/>
                <w:noProof/>
              </w:rPr>
              <w:t>Technologies to reduce livestock emissions</w:t>
            </w:r>
            <w:r>
              <w:rPr>
                <w:noProof/>
                <w:webHidden/>
              </w:rPr>
              <w:tab/>
            </w:r>
            <w:r>
              <w:rPr>
                <w:noProof/>
                <w:webHidden/>
              </w:rPr>
              <w:fldChar w:fldCharType="begin"/>
            </w:r>
            <w:r>
              <w:rPr>
                <w:noProof/>
                <w:webHidden/>
              </w:rPr>
              <w:instrText xml:space="preserve"> PAGEREF _Toc184814268 \h </w:instrText>
            </w:r>
            <w:r>
              <w:rPr>
                <w:noProof/>
                <w:webHidden/>
              </w:rPr>
            </w:r>
            <w:r>
              <w:rPr>
                <w:noProof/>
                <w:webHidden/>
              </w:rPr>
              <w:fldChar w:fldCharType="separate"/>
            </w:r>
            <w:r>
              <w:rPr>
                <w:noProof/>
                <w:webHidden/>
              </w:rPr>
              <w:t>19</w:t>
            </w:r>
            <w:r>
              <w:rPr>
                <w:noProof/>
                <w:webHidden/>
              </w:rPr>
              <w:fldChar w:fldCharType="end"/>
            </w:r>
          </w:hyperlink>
        </w:p>
        <w:p w14:paraId="1E52E594" w14:textId="7874FC94" w:rsidR="000E1E76" w:rsidRDefault="000E1E76">
          <w:pPr>
            <w:pStyle w:val="TOC3"/>
            <w:tabs>
              <w:tab w:val="right" w:leader="dot" w:pos="9016"/>
            </w:tabs>
            <w:rPr>
              <w:rFonts w:cstheme="minorBidi"/>
              <w:noProof/>
              <w:kern w:val="2"/>
              <w:lang w:val="en-NZ" w:eastAsia="en-NZ"/>
              <w14:ligatures w14:val="standardContextual"/>
            </w:rPr>
          </w:pPr>
          <w:hyperlink w:anchor="_Toc184814269" w:history="1">
            <w:r w:rsidRPr="00E91846">
              <w:rPr>
                <w:rStyle w:val="Hyperlink"/>
                <w:noProof/>
              </w:rPr>
              <w:t>Fertiliser use and emissions</w:t>
            </w:r>
            <w:r>
              <w:rPr>
                <w:noProof/>
                <w:webHidden/>
              </w:rPr>
              <w:tab/>
            </w:r>
            <w:r>
              <w:rPr>
                <w:noProof/>
                <w:webHidden/>
              </w:rPr>
              <w:fldChar w:fldCharType="begin"/>
            </w:r>
            <w:r>
              <w:rPr>
                <w:noProof/>
                <w:webHidden/>
              </w:rPr>
              <w:instrText xml:space="preserve"> PAGEREF _Toc184814269 \h </w:instrText>
            </w:r>
            <w:r>
              <w:rPr>
                <w:noProof/>
                <w:webHidden/>
              </w:rPr>
            </w:r>
            <w:r>
              <w:rPr>
                <w:noProof/>
                <w:webHidden/>
              </w:rPr>
              <w:fldChar w:fldCharType="separate"/>
            </w:r>
            <w:r>
              <w:rPr>
                <w:noProof/>
                <w:webHidden/>
              </w:rPr>
              <w:t>20</w:t>
            </w:r>
            <w:r>
              <w:rPr>
                <w:noProof/>
                <w:webHidden/>
              </w:rPr>
              <w:fldChar w:fldCharType="end"/>
            </w:r>
          </w:hyperlink>
        </w:p>
        <w:p w14:paraId="6D3E2220" w14:textId="1771BA1A" w:rsidR="000E1E76" w:rsidRDefault="000E1E76">
          <w:pPr>
            <w:pStyle w:val="TOC2"/>
            <w:rPr>
              <w:rFonts w:cstheme="minorBidi"/>
              <w:noProof/>
              <w:kern w:val="2"/>
              <w:lang w:val="en-NZ" w:eastAsia="en-NZ"/>
              <w14:ligatures w14:val="standardContextual"/>
            </w:rPr>
          </w:pPr>
          <w:hyperlink w:anchor="_Toc184814270" w:history="1">
            <w:r w:rsidRPr="00E91846">
              <w:rPr>
                <w:rStyle w:val="Hyperlink"/>
                <w:noProof/>
              </w:rPr>
              <w:t>Forestry</w:t>
            </w:r>
            <w:r>
              <w:rPr>
                <w:noProof/>
                <w:webHidden/>
              </w:rPr>
              <w:tab/>
            </w:r>
            <w:r>
              <w:rPr>
                <w:noProof/>
                <w:webHidden/>
              </w:rPr>
              <w:fldChar w:fldCharType="begin"/>
            </w:r>
            <w:r>
              <w:rPr>
                <w:noProof/>
                <w:webHidden/>
              </w:rPr>
              <w:instrText xml:space="preserve"> PAGEREF _Toc184814270 \h </w:instrText>
            </w:r>
            <w:r>
              <w:rPr>
                <w:noProof/>
                <w:webHidden/>
              </w:rPr>
            </w:r>
            <w:r>
              <w:rPr>
                <w:noProof/>
                <w:webHidden/>
              </w:rPr>
              <w:fldChar w:fldCharType="separate"/>
            </w:r>
            <w:r>
              <w:rPr>
                <w:noProof/>
                <w:webHidden/>
              </w:rPr>
              <w:t>20</w:t>
            </w:r>
            <w:r>
              <w:rPr>
                <w:noProof/>
                <w:webHidden/>
              </w:rPr>
              <w:fldChar w:fldCharType="end"/>
            </w:r>
          </w:hyperlink>
        </w:p>
        <w:p w14:paraId="03B00AC8" w14:textId="778A0EB6" w:rsidR="000E1E76" w:rsidRDefault="000E1E76">
          <w:pPr>
            <w:pStyle w:val="TOC3"/>
            <w:tabs>
              <w:tab w:val="right" w:leader="dot" w:pos="9016"/>
            </w:tabs>
            <w:rPr>
              <w:rFonts w:cstheme="minorBidi"/>
              <w:noProof/>
              <w:kern w:val="2"/>
              <w:lang w:val="en-NZ" w:eastAsia="en-NZ"/>
              <w14:ligatures w14:val="standardContextual"/>
            </w:rPr>
          </w:pPr>
          <w:hyperlink w:anchor="_Toc184814271" w:history="1">
            <w:r w:rsidRPr="00E91846">
              <w:rPr>
                <w:rStyle w:val="Hyperlink"/>
                <w:noProof/>
              </w:rPr>
              <w:t>Modelling emissions and removals</w:t>
            </w:r>
            <w:r>
              <w:rPr>
                <w:noProof/>
                <w:webHidden/>
              </w:rPr>
              <w:tab/>
            </w:r>
            <w:r>
              <w:rPr>
                <w:noProof/>
                <w:webHidden/>
              </w:rPr>
              <w:fldChar w:fldCharType="begin"/>
            </w:r>
            <w:r>
              <w:rPr>
                <w:noProof/>
                <w:webHidden/>
              </w:rPr>
              <w:instrText xml:space="preserve"> PAGEREF _Toc184814271 \h </w:instrText>
            </w:r>
            <w:r>
              <w:rPr>
                <w:noProof/>
                <w:webHidden/>
              </w:rPr>
            </w:r>
            <w:r>
              <w:rPr>
                <w:noProof/>
                <w:webHidden/>
              </w:rPr>
              <w:fldChar w:fldCharType="separate"/>
            </w:r>
            <w:r>
              <w:rPr>
                <w:noProof/>
                <w:webHidden/>
              </w:rPr>
              <w:t>20</w:t>
            </w:r>
            <w:r>
              <w:rPr>
                <w:noProof/>
                <w:webHidden/>
              </w:rPr>
              <w:fldChar w:fldCharType="end"/>
            </w:r>
          </w:hyperlink>
        </w:p>
        <w:p w14:paraId="139A5687" w14:textId="751FE902" w:rsidR="000E1E76" w:rsidRDefault="000E1E76">
          <w:pPr>
            <w:pStyle w:val="TOC3"/>
            <w:tabs>
              <w:tab w:val="right" w:leader="dot" w:pos="9016"/>
            </w:tabs>
            <w:rPr>
              <w:rFonts w:cstheme="minorBidi"/>
              <w:noProof/>
              <w:kern w:val="2"/>
              <w:lang w:val="en-NZ" w:eastAsia="en-NZ"/>
              <w14:ligatures w14:val="standardContextual"/>
            </w:rPr>
          </w:pPr>
          <w:hyperlink w:anchor="_Toc184814272" w:history="1">
            <w:r w:rsidRPr="00E91846">
              <w:rPr>
                <w:rStyle w:val="Hyperlink"/>
                <w:noProof/>
              </w:rPr>
              <w:t>Regional breakdown of exotic forest area</w:t>
            </w:r>
            <w:r>
              <w:rPr>
                <w:noProof/>
                <w:webHidden/>
              </w:rPr>
              <w:tab/>
            </w:r>
            <w:r>
              <w:rPr>
                <w:noProof/>
                <w:webHidden/>
              </w:rPr>
              <w:fldChar w:fldCharType="begin"/>
            </w:r>
            <w:r>
              <w:rPr>
                <w:noProof/>
                <w:webHidden/>
              </w:rPr>
              <w:instrText xml:space="preserve"> PAGEREF _Toc184814272 \h </w:instrText>
            </w:r>
            <w:r>
              <w:rPr>
                <w:noProof/>
                <w:webHidden/>
              </w:rPr>
            </w:r>
            <w:r>
              <w:rPr>
                <w:noProof/>
                <w:webHidden/>
              </w:rPr>
              <w:fldChar w:fldCharType="separate"/>
            </w:r>
            <w:r>
              <w:rPr>
                <w:noProof/>
                <w:webHidden/>
              </w:rPr>
              <w:t>21</w:t>
            </w:r>
            <w:r>
              <w:rPr>
                <w:noProof/>
                <w:webHidden/>
              </w:rPr>
              <w:fldChar w:fldCharType="end"/>
            </w:r>
          </w:hyperlink>
        </w:p>
        <w:p w14:paraId="22F6318A" w14:textId="3534FAAD" w:rsidR="000E1E76" w:rsidRDefault="000E1E76">
          <w:pPr>
            <w:pStyle w:val="TOC3"/>
            <w:tabs>
              <w:tab w:val="right" w:leader="dot" w:pos="9016"/>
            </w:tabs>
            <w:rPr>
              <w:rFonts w:cstheme="minorBidi"/>
              <w:noProof/>
              <w:kern w:val="2"/>
              <w:lang w:val="en-NZ" w:eastAsia="en-NZ"/>
              <w14:ligatures w14:val="standardContextual"/>
            </w:rPr>
          </w:pPr>
          <w:hyperlink w:anchor="_Toc184814273" w:history="1">
            <w:r w:rsidRPr="00E91846">
              <w:rPr>
                <w:rStyle w:val="Hyperlink"/>
                <w:noProof/>
              </w:rPr>
              <w:t>Wood harvesting</w:t>
            </w:r>
            <w:r>
              <w:rPr>
                <w:noProof/>
                <w:webHidden/>
              </w:rPr>
              <w:tab/>
            </w:r>
            <w:r>
              <w:rPr>
                <w:noProof/>
                <w:webHidden/>
              </w:rPr>
              <w:fldChar w:fldCharType="begin"/>
            </w:r>
            <w:r>
              <w:rPr>
                <w:noProof/>
                <w:webHidden/>
              </w:rPr>
              <w:instrText xml:space="preserve"> PAGEREF _Toc184814273 \h </w:instrText>
            </w:r>
            <w:r>
              <w:rPr>
                <w:noProof/>
                <w:webHidden/>
              </w:rPr>
            </w:r>
            <w:r>
              <w:rPr>
                <w:noProof/>
                <w:webHidden/>
              </w:rPr>
              <w:fldChar w:fldCharType="separate"/>
            </w:r>
            <w:r>
              <w:rPr>
                <w:noProof/>
                <w:webHidden/>
              </w:rPr>
              <w:t>21</w:t>
            </w:r>
            <w:r>
              <w:rPr>
                <w:noProof/>
                <w:webHidden/>
              </w:rPr>
              <w:fldChar w:fldCharType="end"/>
            </w:r>
          </w:hyperlink>
        </w:p>
        <w:p w14:paraId="59D75352" w14:textId="045EF658" w:rsidR="000E1E76" w:rsidRDefault="000E1E76">
          <w:pPr>
            <w:pStyle w:val="TOC3"/>
            <w:tabs>
              <w:tab w:val="right" w:leader="dot" w:pos="9016"/>
            </w:tabs>
            <w:rPr>
              <w:rFonts w:cstheme="minorBidi"/>
              <w:noProof/>
              <w:kern w:val="2"/>
              <w:lang w:val="en-NZ" w:eastAsia="en-NZ"/>
              <w14:ligatures w14:val="standardContextual"/>
            </w:rPr>
          </w:pPr>
          <w:hyperlink w:anchor="_Toc184814274" w:history="1">
            <w:r w:rsidRPr="00E91846">
              <w:rPr>
                <w:rStyle w:val="Hyperlink"/>
                <w:noProof/>
              </w:rPr>
              <w:t>Biomass supply</w:t>
            </w:r>
            <w:r>
              <w:rPr>
                <w:noProof/>
                <w:webHidden/>
              </w:rPr>
              <w:tab/>
            </w:r>
            <w:r>
              <w:rPr>
                <w:noProof/>
                <w:webHidden/>
              </w:rPr>
              <w:fldChar w:fldCharType="begin"/>
            </w:r>
            <w:r>
              <w:rPr>
                <w:noProof/>
                <w:webHidden/>
              </w:rPr>
              <w:instrText xml:space="preserve"> PAGEREF _Toc184814274 \h </w:instrText>
            </w:r>
            <w:r>
              <w:rPr>
                <w:noProof/>
                <w:webHidden/>
              </w:rPr>
            </w:r>
            <w:r>
              <w:rPr>
                <w:noProof/>
                <w:webHidden/>
              </w:rPr>
              <w:fldChar w:fldCharType="separate"/>
            </w:r>
            <w:r>
              <w:rPr>
                <w:noProof/>
                <w:webHidden/>
              </w:rPr>
              <w:t>21</w:t>
            </w:r>
            <w:r>
              <w:rPr>
                <w:noProof/>
                <w:webHidden/>
              </w:rPr>
              <w:fldChar w:fldCharType="end"/>
            </w:r>
          </w:hyperlink>
        </w:p>
        <w:p w14:paraId="34A468FA" w14:textId="591BB8BF" w:rsidR="000E1E76" w:rsidRDefault="000E1E76">
          <w:pPr>
            <w:pStyle w:val="TOC1"/>
            <w:tabs>
              <w:tab w:val="right" w:leader="dot" w:pos="9016"/>
            </w:tabs>
            <w:rPr>
              <w:rFonts w:cstheme="minorBidi"/>
              <w:noProof/>
              <w:kern w:val="2"/>
              <w:lang w:val="en-NZ" w:eastAsia="en-NZ"/>
              <w14:ligatures w14:val="standardContextual"/>
            </w:rPr>
          </w:pPr>
          <w:hyperlink w:anchor="_Toc184814275" w:history="1">
            <w:r w:rsidRPr="00E91846">
              <w:rPr>
                <w:rStyle w:val="Hyperlink"/>
                <w:noProof/>
              </w:rPr>
              <w:t>Waste</w:t>
            </w:r>
            <w:r>
              <w:rPr>
                <w:noProof/>
                <w:webHidden/>
              </w:rPr>
              <w:tab/>
            </w:r>
            <w:r>
              <w:rPr>
                <w:noProof/>
                <w:webHidden/>
              </w:rPr>
              <w:fldChar w:fldCharType="begin"/>
            </w:r>
            <w:r>
              <w:rPr>
                <w:noProof/>
                <w:webHidden/>
              </w:rPr>
              <w:instrText xml:space="preserve"> PAGEREF _Toc184814275 \h </w:instrText>
            </w:r>
            <w:r>
              <w:rPr>
                <w:noProof/>
                <w:webHidden/>
              </w:rPr>
            </w:r>
            <w:r>
              <w:rPr>
                <w:noProof/>
                <w:webHidden/>
              </w:rPr>
              <w:fldChar w:fldCharType="separate"/>
            </w:r>
            <w:r>
              <w:rPr>
                <w:noProof/>
                <w:webHidden/>
              </w:rPr>
              <w:t>21</w:t>
            </w:r>
            <w:r>
              <w:rPr>
                <w:noProof/>
                <w:webHidden/>
              </w:rPr>
              <w:fldChar w:fldCharType="end"/>
            </w:r>
          </w:hyperlink>
        </w:p>
        <w:p w14:paraId="225BFFC9" w14:textId="6EAD5D2D" w:rsidR="000E1E76" w:rsidRDefault="000E1E76">
          <w:pPr>
            <w:pStyle w:val="TOC2"/>
            <w:rPr>
              <w:rFonts w:cstheme="minorBidi"/>
              <w:noProof/>
              <w:kern w:val="2"/>
              <w:lang w:val="en-NZ" w:eastAsia="en-NZ"/>
              <w14:ligatures w14:val="standardContextual"/>
            </w:rPr>
          </w:pPr>
          <w:hyperlink w:anchor="_Toc184814276" w:history="1">
            <w:r w:rsidRPr="00E91846">
              <w:rPr>
                <w:rStyle w:val="Hyperlink"/>
                <w:noProof/>
              </w:rPr>
              <w:t>Waste generation</w:t>
            </w:r>
            <w:r>
              <w:rPr>
                <w:noProof/>
                <w:webHidden/>
              </w:rPr>
              <w:tab/>
            </w:r>
            <w:r>
              <w:rPr>
                <w:noProof/>
                <w:webHidden/>
              </w:rPr>
              <w:fldChar w:fldCharType="begin"/>
            </w:r>
            <w:r>
              <w:rPr>
                <w:noProof/>
                <w:webHidden/>
              </w:rPr>
              <w:instrText xml:space="preserve"> PAGEREF _Toc184814276 \h </w:instrText>
            </w:r>
            <w:r>
              <w:rPr>
                <w:noProof/>
                <w:webHidden/>
              </w:rPr>
            </w:r>
            <w:r>
              <w:rPr>
                <w:noProof/>
                <w:webHidden/>
              </w:rPr>
              <w:fldChar w:fldCharType="separate"/>
            </w:r>
            <w:r>
              <w:rPr>
                <w:noProof/>
                <w:webHidden/>
              </w:rPr>
              <w:t>21</w:t>
            </w:r>
            <w:r>
              <w:rPr>
                <w:noProof/>
                <w:webHidden/>
              </w:rPr>
              <w:fldChar w:fldCharType="end"/>
            </w:r>
          </w:hyperlink>
        </w:p>
        <w:p w14:paraId="3E708801" w14:textId="7B68ED44" w:rsidR="000E1E76" w:rsidRDefault="000E1E76">
          <w:pPr>
            <w:pStyle w:val="TOC2"/>
            <w:rPr>
              <w:rFonts w:cstheme="minorBidi"/>
              <w:noProof/>
              <w:kern w:val="2"/>
              <w:lang w:val="en-NZ" w:eastAsia="en-NZ"/>
              <w14:ligatures w14:val="standardContextual"/>
            </w:rPr>
          </w:pPr>
          <w:hyperlink w:anchor="_Toc184814277" w:history="1">
            <w:r w:rsidRPr="00E91846">
              <w:rPr>
                <w:rStyle w:val="Hyperlink"/>
                <w:noProof/>
              </w:rPr>
              <w:t>Waste recovery/diversion</w:t>
            </w:r>
            <w:r>
              <w:rPr>
                <w:noProof/>
                <w:webHidden/>
              </w:rPr>
              <w:tab/>
            </w:r>
            <w:r>
              <w:rPr>
                <w:noProof/>
                <w:webHidden/>
              </w:rPr>
              <w:fldChar w:fldCharType="begin"/>
            </w:r>
            <w:r>
              <w:rPr>
                <w:noProof/>
                <w:webHidden/>
              </w:rPr>
              <w:instrText xml:space="preserve"> PAGEREF _Toc184814277 \h </w:instrText>
            </w:r>
            <w:r>
              <w:rPr>
                <w:noProof/>
                <w:webHidden/>
              </w:rPr>
            </w:r>
            <w:r>
              <w:rPr>
                <w:noProof/>
                <w:webHidden/>
              </w:rPr>
              <w:fldChar w:fldCharType="separate"/>
            </w:r>
            <w:r>
              <w:rPr>
                <w:noProof/>
                <w:webHidden/>
              </w:rPr>
              <w:t>23</w:t>
            </w:r>
            <w:r>
              <w:rPr>
                <w:noProof/>
                <w:webHidden/>
              </w:rPr>
              <w:fldChar w:fldCharType="end"/>
            </w:r>
          </w:hyperlink>
        </w:p>
        <w:p w14:paraId="7E1E5ADD" w14:textId="11E8FF60" w:rsidR="000E1E76" w:rsidRDefault="000E1E76">
          <w:pPr>
            <w:pStyle w:val="TOC2"/>
            <w:rPr>
              <w:rFonts w:cstheme="minorBidi"/>
              <w:noProof/>
              <w:kern w:val="2"/>
              <w:lang w:val="en-NZ" w:eastAsia="en-NZ"/>
              <w14:ligatures w14:val="standardContextual"/>
            </w:rPr>
          </w:pPr>
          <w:hyperlink w:anchor="_Toc184814278" w:history="1">
            <w:r w:rsidRPr="00E91846">
              <w:rPr>
                <w:rStyle w:val="Hyperlink"/>
                <w:noProof/>
              </w:rPr>
              <w:t>Landfill gas capture</w:t>
            </w:r>
            <w:r>
              <w:rPr>
                <w:noProof/>
                <w:webHidden/>
              </w:rPr>
              <w:tab/>
            </w:r>
            <w:r>
              <w:rPr>
                <w:noProof/>
                <w:webHidden/>
              </w:rPr>
              <w:fldChar w:fldCharType="begin"/>
            </w:r>
            <w:r>
              <w:rPr>
                <w:noProof/>
                <w:webHidden/>
              </w:rPr>
              <w:instrText xml:space="preserve"> PAGEREF _Toc184814278 \h </w:instrText>
            </w:r>
            <w:r>
              <w:rPr>
                <w:noProof/>
                <w:webHidden/>
              </w:rPr>
            </w:r>
            <w:r>
              <w:rPr>
                <w:noProof/>
                <w:webHidden/>
              </w:rPr>
              <w:fldChar w:fldCharType="separate"/>
            </w:r>
            <w:r>
              <w:rPr>
                <w:noProof/>
                <w:webHidden/>
              </w:rPr>
              <w:t>23</w:t>
            </w:r>
            <w:r>
              <w:rPr>
                <w:noProof/>
                <w:webHidden/>
              </w:rPr>
              <w:fldChar w:fldCharType="end"/>
            </w:r>
          </w:hyperlink>
        </w:p>
        <w:p w14:paraId="6D90BB94" w14:textId="2406FADC" w:rsidR="000E1E76" w:rsidRDefault="000E1E76">
          <w:pPr>
            <w:pStyle w:val="TOC2"/>
            <w:rPr>
              <w:rFonts w:cstheme="minorBidi"/>
              <w:noProof/>
              <w:kern w:val="2"/>
              <w:lang w:val="en-NZ" w:eastAsia="en-NZ"/>
              <w14:ligatures w14:val="standardContextual"/>
            </w:rPr>
          </w:pPr>
          <w:hyperlink w:anchor="_Toc184814279" w:history="1">
            <w:r w:rsidRPr="00E91846">
              <w:rPr>
                <w:rStyle w:val="Hyperlink"/>
                <w:noProof/>
              </w:rPr>
              <w:t>Modelling waste emissions</w:t>
            </w:r>
            <w:r>
              <w:rPr>
                <w:noProof/>
                <w:webHidden/>
              </w:rPr>
              <w:tab/>
            </w:r>
            <w:r>
              <w:rPr>
                <w:noProof/>
                <w:webHidden/>
              </w:rPr>
              <w:fldChar w:fldCharType="begin"/>
            </w:r>
            <w:r>
              <w:rPr>
                <w:noProof/>
                <w:webHidden/>
              </w:rPr>
              <w:instrText xml:space="preserve"> PAGEREF _Toc184814279 \h </w:instrText>
            </w:r>
            <w:r>
              <w:rPr>
                <w:noProof/>
                <w:webHidden/>
              </w:rPr>
            </w:r>
            <w:r>
              <w:rPr>
                <w:noProof/>
                <w:webHidden/>
              </w:rPr>
              <w:fldChar w:fldCharType="separate"/>
            </w:r>
            <w:r>
              <w:rPr>
                <w:noProof/>
                <w:webHidden/>
              </w:rPr>
              <w:t>23</w:t>
            </w:r>
            <w:r>
              <w:rPr>
                <w:noProof/>
                <w:webHidden/>
              </w:rPr>
              <w:fldChar w:fldCharType="end"/>
            </w:r>
          </w:hyperlink>
        </w:p>
        <w:p w14:paraId="0143E408" w14:textId="64792129" w:rsidR="00587C25" w:rsidRPr="001E507E" w:rsidRDefault="00E00C24" w:rsidP="00952FE8">
          <w:pPr>
            <w:rPr>
              <w:rStyle w:val="normaltextrun"/>
              <w:highlight w:val="yellow"/>
            </w:rPr>
          </w:pPr>
          <w:r w:rsidRPr="00965EC2">
            <w:rPr>
              <w:b/>
              <w:bCs/>
              <w:noProof/>
            </w:rPr>
            <w:fldChar w:fldCharType="end"/>
          </w:r>
        </w:p>
      </w:sdtContent>
    </w:sdt>
    <w:p w14:paraId="4AC36944" w14:textId="4A3EA4DB" w:rsidR="5FF90195" w:rsidRPr="001E507E" w:rsidRDefault="5FF90195" w:rsidP="5FF90195">
      <w:pPr>
        <w:pStyle w:val="Heading1"/>
        <w:rPr>
          <w:rStyle w:val="normaltextrun"/>
          <w:highlight w:val="yellow"/>
        </w:rPr>
      </w:pPr>
    </w:p>
    <w:p w14:paraId="2FF28BAF" w14:textId="371C5CC4" w:rsidR="00095008" w:rsidRPr="000747F4" w:rsidRDefault="00095008" w:rsidP="00377F2A">
      <w:pPr>
        <w:pStyle w:val="Heading1"/>
        <w:rPr>
          <w:rStyle w:val="normaltextrun"/>
        </w:rPr>
      </w:pPr>
      <w:bookmarkStart w:id="0" w:name="_Toc184814224"/>
      <w:r w:rsidRPr="000747F4">
        <w:rPr>
          <w:rStyle w:val="normaltextrun"/>
        </w:rPr>
        <w:t>About this document</w:t>
      </w:r>
      <w:bookmarkEnd w:id="0"/>
    </w:p>
    <w:p w14:paraId="2B88B3B9" w14:textId="34D0E3A8" w:rsidR="00095008" w:rsidRPr="001E507E" w:rsidRDefault="00095008" w:rsidP="00E71301">
      <w:pPr>
        <w:rPr>
          <w:rStyle w:val="normaltextrun"/>
          <w:rFonts w:ascii="Calibri" w:hAnsi="Calibri" w:cs="Calibri"/>
          <w:b/>
          <w:bCs/>
          <w:highlight w:val="yellow"/>
        </w:rPr>
      </w:pPr>
      <w:r w:rsidRPr="000747F4">
        <w:rPr>
          <w:rStyle w:val="normaltextrun"/>
          <w:rFonts w:ascii="Calibri" w:hAnsi="Calibri" w:cs="Calibri"/>
        </w:rPr>
        <w:t xml:space="preserve">This manual accompanies the public release </w:t>
      </w:r>
      <w:r w:rsidR="00F72DC2" w:rsidRPr="000747F4">
        <w:rPr>
          <w:rStyle w:val="normaltextrun"/>
          <w:rFonts w:ascii="Calibri" w:hAnsi="Calibri" w:cs="Calibri"/>
        </w:rPr>
        <w:t xml:space="preserve">of the ‘Emissions in New Zealand (ENZ)’ model by </w:t>
      </w:r>
      <w:proofErr w:type="spellStart"/>
      <w:r w:rsidR="0013525B">
        <w:rPr>
          <w:rStyle w:val="normaltextrun"/>
          <w:rFonts w:ascii="Calibri" w:hAnsi="Calibri" w:cs="Calibri"/>
        </w:rPr>
        <w:t>He</w:t>
      </w:r>
      <w:proofErr w:type="spellEnd"/>
      <w:r w:rsidR="0013525B">
        <w:rPr>
          <w:rStyle w:val="normaltextrun"/>
          <w:rFonts w:ascii="Calibri" w:hAnsi="Calibri" w:cs="Calibri"/>
        </w:rPr>
        <w:t xml:space="preserve"> Pou a Rangi</w:t>
      </w:r>
      <w:r w:rsidR="00F72DC2" w:rsidRPr="000747F4">
        <w:rPr>
          <w:rStyle w:val="normaltextrun"/>
          <w:rFonts w:ascii="Calibri" w:hAnsi="Calibri" w:cs="Calibri"/>
        </w:rPr>
        <w:t xml:space="preserve"> Climate Change Commission</w:t>
      </w:r>
      <w:r w:rsidR="002E5B05">
        <w:rPr>
          <w:rStyle w:val="normaltextrun"/>
          <w:rFonts w:ascii="Calibri" w:hAnsi="Calibri" w:cs="Calibri"/>
        </w:rPr>
        <w:t xml:space="preserve"> (the Commission)</w:t>
      </w:r>
      <w:r w:rsidR="00EC1A78" w:rsidRPr="000747F4">
        <w:rPr>
          <w:rStyle w:val="normaltextrun"/>
          <w:rFonts w:ascii="Calibri" w:hAnsi="Calibri" w:cs="Calibri"/>
        </w:rPr>
        <w:t>. It</w:t>
      </w:r>
      <w:r w:rsidR="00E1714E" w:rsidRPr="000747F4">
        <w:rPr>
          <w:rStyle w:val="normaltextrun"/>
          <w:rFonts w:ascii="Calibri" w:hAnsi="Calibri" w:cs="Calibri"/>
        </w:rPr>
        <w:t xml:space="preserve"> provides a guide for using the model</w:t>
      </w:r>
      <w:r w:rsidR="00EC1A78" w:rsidRPr="000747F4">
        <w:rPr>
          <w:rStyle w:val="normaltextrun"/>
          <w:rFonts w:ascii="Calibri" w:hAnsi="Calibri" w:cs="Calibri"/>
        </w:rPr>
        <w:t xml:space="preserve"> and a summary of some of the core functionality and architecture.</w:t>
      </w:r>
      <w:r w:rsidR="00C42AF1">
        <w:rPr>
          <w:rStyle w:val="normaltextrun"/>
          <w:rFonts w:ascii="Calibri" w:hAnsi="Calibri" w:cs="Calibri"/>
        </w:rPr>
        <w:t xml:space="preserve"> </w:t>
      </w:r>
      <w:hyperlink r:id="rId12" w:history="1">
        <w:r w:rsidR="00C42AF1" w:rsidRPr="00C42AF1">
          <w:rPr>
            <w:rStyle w:val="Hyperlink"/>
            <w:rFonts w:ascii="Calibri" w:hAnsi="Calibri" w:cs="Calibri"/>
          </w:rPr>
          <w:t>Information about the ENZ model is available on the Commission’s website</w:t>
        </w:r>
      </w:hyperlink>
      <w:r w:rsidR="00C42AF1">
        <w:rPr>
          <w:rStyle w:val="normaltextrun"/>
          <w:rFonts w:ascii="Calibri" w:hAnsi="Calibri" w:cs="Calibri"/>
        </w:rPr>
        <w:t>.</w:t>
      </w:r>
    </w:p>
    <w:p w14:paraId="52E96FDD" w14:textId="370710E6" w:rsidR="001E3943" w:rsidRPr="001E507E" w:rsidRDefault="001E3943" w:rsidP="00E71301">
      <w:pPr>
        <w:rPr>
          <w:rStyle w:val="normaltextrun"/>
          <w:rFonts w:ascii="Calibri" w:hAnsi="Calibri" w:cs="Calibri"/>
          <w:highlight w:val="yellow"/>
        </w:rPr>
      </w:pPr>
      <w:r w:rsidRPr="039D010A">
        <w:rPr>
          <w:rStyle w:val="normaltextrun"/>
          <w:rFonts w:ascii="Calibri" w:hAnsi="Calibri" w:cs="Calibri"/>
        </w:rPr>
        <w:t xml:space="preserve">This document is the </w:t>
      </w:r>
      <w:r w:rsidR="004B6BCE">
        <w:rPr>
          <w:rStyle w:val="normaltextrun"/>
          <w:rFonts w:ascii="Calibri" w:hAnsi="Calibri" w:cs="Calibri"/>
        </w:rPr>
        <w:t>t</w:t>
      </w:r>
      <w:r w:rsidR="3E508253" w:rsidRPr="039D010A">
        <w:rPr>
          <w:rStyle w:val="normaltextrun"/>
          <w:rFonts w:ascii="Calibri" w:hAnsi="Calibri" w:cs="Calibri"/>
        </w:rPr>
        <w:t xml:space="preserve">hird </w:t>
      </w:r>
      <w:r w:rsidRPr="039D010A">
        <w:rPr>
          <w:rStyle w:val="normaltextrun"/>
          <w:rFonts w:ascii="Calibri" w:hAnsi="Calibri" w:cs="Calibri"/>
        </w:rPr>
        <w:t>version of the ENZ Manual a</w:t>
      </w:r>
      <w:r w:rsidR="001973B2" w:rsidRPr="039D010A">
        <w:rPr>
          <w:rStyle w:val="normaltextrun"/>
          <w:rFonts w:ascii="Calibri" w:hAnsi="Calibri" w:cs="Calibri"/>
        </w:rPr>
        <w:t xml:space="preserve">nd was published on </w:t>
      </w:r>
      <w:r w:rsidR="00C02006">
        <w:rPr>
          <w:rStyle w:val="normaltextrun"/>
          <w:rFonts w:ascii="Calibri" w:hAnsi="Calibri" w:cs="Calibri"/>
        </w:rPr>
        <w:t>12 December 2024</w:t>
      </w:r>
      <w:r w:rsidR="001973B2" w:rsidRPr="039D010A">
        <w:rPr>
          <w:rStyle w:val="normaltextrun"/>
          <w:rFonts w:ascii="Calibri" w:hAnsi="Calibri" w:cs="Calibri"/>
        </w:rPr>
        <w:t>.</w:t>
      </w:r>
    </w:p>
    <w:p w14:paraId="7A8E2FD3" w14:textId="52CD9E32" w:rsidR="00067675" w:rsidRPr="007D4E3E" w:rsidRDefault="00067675" w:rsidP="00377F2A">
      <w:pPr>
        <w:pStyle w:val="Heading1"/>
        <w:rPr>
          <w:rStyle w:val="normaltextrun"/>
        </w:rPr>
      </w:pPr>
      <w:bookmarkStart w:id="1" w:name="_Toc184814225"/>
      <w:r w:rsidRPr="007D4E3E">
        <w:rPr>
          <w:rStyle w:val="normaltextrun"/>
        </w:rPr>
        <w:t xml:space="preserve">Software </w:t>
      </w:r>
      <w:proofErr w:type="gramStart"/>
      <w:r w:rsidRPr="007D4E3E">
        <w:rPr>
          <w:rStyle w:val="normaltextrun"/>
        </w:rPr>
        <w:t>required</w:t>
      </w:r>
      <w:bookmarkEnd w:id="1"/>
      <w:proofErr w:type="gramEnd"/>
    </w:p>
    <w:p w14:paraId="5BF67E45" w14:textId="6BEFF83E" w:rsidR="00413916" w:rsidRPr="001E507E" w:rsidRDefault="00067675" w:rsidP="00E71301">
      <w:pPr>
        <w:rPr>
          <w:rStyle w:val="normaltextrun"/>
          <w:rFonts w:ascii="Calibri" w:hAnsi="Calibri" w:cs="Calibri"/>
          <w:b/>
          <w:bCs/>
          <w:highlight w:val="yellow"/>
        </w:rPr>
      </w:pPr>
      <w:r w:rsidRPr="00D14CFB">
        <w:rPr>
          <w:rStyle w:val="normaltextrun"/>
          <w:rFonts w:ascii="Calibri" w:hAnsi="Calibri" w:cs="Calibri"/>
        </w:rPr>
        <w:t>The</w:t>
      </w:r>
      <w:r w:rsidR="00EC1A78" w:rsidRPr="00D14CFB">
        <w:rPr>
          <w:rStyle w:val="normaltextrun"/>
          <w:rFonts w:ascii="Calibri" w:hAnsi="Calibri" w:cs="Calibri"/>
        </w:rPr>
        <w:t xml:space="preserve"> ENZ</w:t>
      </w:r>
      <w:r w:rsidRPr="00D14CFB">
        <w:rPr>
          <w:rStyle w:val="normaltextrun"/>
          <w:rFonts w:ascii="Calibri" w:hAnsi="Calibri" w:cs="Calibri"/>
        </w:rPr>
        <w:t xml:space="preserve"> model has been developed and tested to work on the latest version of Microsoft Office on a Windows 10 Enterprise device. </w:t>
      </w:r>
      <w:r w:rsidR="00D91F85" w:rsidRPr="00D14CFB">
        <w:rPr>
          <w:rStyle w:val="normaltextrun"/>
          <w:rFonts w:ascii="Calibri" w:hAnsi="Calibri" w:cs="Calibri"/>
        </w:rPr>
        <w:t>Visual basic macros</w:t>
      </w:r>
      <w:r w:rsidRPr="00D14CFB">
        <w:rPr>
          <w:rStyle w:val="normaltextrun"/>
          <w:rFonts w:ascii="Calibri" w:hAnsi="Calibri" w:cs="Calibri"/>
        </w:rPr>
        <w:t xml:space="preserve"> will have to be enabled in Excel </w:t>
      </w:r>
      <w:proofErr w:type="gramStart"/>
      <w:r w:rsidRPr="00D14CFB">
        <w:rPr>
          <w:rStyle w:val="normaltextrun"/>
          <w:rFonts w:ascii="Calibri" w:hAnsi="Calibri" w:cs="Calibri"/>
        </w:rPr>
        <w:t>in order for</w:t>
      </w:r>
      <w:proofErr w:type="gramEnd"/>
      <w:r w:rsidRPr="00D14CFB">
        <w:rPr>
          <w:rStyle w:val="normaltextrun"/>
          <w:rFonts w:ascii="Calibri" w:hAnsi="Calibri" w:cs="Calibri"/>
        </w:rPr>
        <w:t xml:space="preserve"> the </w:t>
      </w:r>
      <w:r w:rsidRPr="00D14CFB">
        <w:rPr>
          <w:rStyle w:val="normaltextrun"/>
          <w:rFonts w:ascii="Calibri" w:hAnsi="Calibri" w:cs="Calibri"/>
        </w:rPr>
        <w:lastRenderedPageBreak/>
        <w:t>model to run. Performance may be reduced</w:t>
      </w:r>
      <w:r w:rsidR="002412D7">
        <w:rPr>
          <w:rStyle w:val="normaltextrun"/>
          <w:rFonts w:ascii="Calibri" w:hAnsi="Calibri" w:cs="Calibri"/>
        </w:rPr>
        <w:t>,</w:t>
      </w:r>
      <w:r w:rsidRPr="00D14CFB">
        <w:rPr>
          <w:rStyle w:val="normaltextrun"/>
          <w:rFonts w:ascii="Calibri" w:hAnsi="Calibri" w:cs="Calibri"/>
        </w:rPr>
        <w:t xml:space="preserve"> o</w:t>
      </w:r>
      <w:r w:rsidR="003169BA" w:rsidRPr="00D14CFB">
        <w:rPr>
          <w:rStyle w:val="normaltextrun"/>
          <w:rFonts w:ascii="Calibri" w:hAnsi="Calibri" w:cs="Calibri"/>
        </w:rPr>
        <w:t>r</w:t>
      </w:r>
      <w:r w:rsidRPr="00D14CFB">
        <w:rPr>
          <w:rStyle w:val="normaltextrun"/>
          <w:rFonts w:ascii="Calibri" w:hAnsi="Calibri" w:cs="Calibri"/>
        </w:rPr>
        <w:t xml:space="preserve"> the model may not function on legacy versions of </w:t>
      </w:r>
      <w:r w:rsidR="00B57EDF" w:rsidRPr="00D14CFB">
        <w:rPr>
          <w:rStyle w:val="normaltextrun"/>
          <w:rFonts w:ascii="Calibri" w:hAnsi="Calibri" w:cs="Calibri"/>
        </w:rPr>
        <w:t>E</w:t>
      </w:r>
      <w:r w:rsidRPr="00D14CFB">
        <w:rPr>
          <w:rStyle w:val="normaltextrun"/>
          <w:rFonts w:ascii="Calibri" w:hAnsi="Calibri" w:cs="Calibri"/>
        </w:rPr>
        <w:t>xcel or under alternative operating systems.</w:t>
      </w:r>
    </w:p>
    <w:p w14:paraId="40704D17" w14:textId="17FABCF4" w:rsidR="001E2DA0" w:rsidRPr="004837EC" w:rsidRDefault="001E2DA0" w:rsidP="001E2DA0">
      <w:pPr>
        <w:pStyle w:val="Heading1"/>
        <w:rPr>
          <w:rStyle w:val="normaltextrun"/>
        </w:rPr>
      </w:pPr>
      <w:bookmarkStart w:id="2" w:name="_Toc184814226"/>
      <w:r w:rsidRPr="004837EC">
        <w:rPr>
          <w:rStyle w:val="normaltextrun"/>
        </w:rPr>
        <w:t>Installation</w:t>
      </w:r>
      <w:bookmarkEnd w:id="2"/>
    </w:p>
    <w:p w14:paraId="553CD7DA" w14:textId="251BE975" w:rsidR="001E2DA0" w:rsidRPr="007D4E3E" w:rsidRDefault="001E2DA0" w:rsidP="001E2DA0">
      <w:r w:rsidRPr="004837EC">
        <w:t xml:space="preserve">The </w:t>
      </w:r>
      <w:r w:rsidR="00E22479" w:rsidRPr="004837EC">
        <w:t xml:space="preserve">ENZ </w:t>
      </w:r>
      <w:r w:rsidRPr="004837EC">
        <w:t xml:space="preserve">model is provided </w:t>
      </w:r>
      <w:r w:rsidR="00E22479" w:rsidRPr="004837EC">
        <w:t xml:space="preserve">as </w:t>
      </w:r>
      <w:r w:rsidR="009A158A" w:rsidRPr="004837EC">
        <w:t>a</w:t>
      </w:r>
      <w:r w:rsidR="00E22479" w:rsidRPr="004837EC">
        <w:t xml:space="preserve"> zipped fil</w:t>
      </w:r>
      <w:r w:rsidR="00B6003D" w:rsidRPr="004837EC">
        <w:t>e</w:t>
      </w:r>
      <w:r w:rsidR="00D678D6" w:rsidRPr="004837EC">
        <w:t xml:space="preserve"> for download</w:t>
      </w:r>
      <w:r w:rsidR="00C06F85" w:rsidRPr="004837EC">
        <w:t xml:space="preserve"> and t</w:t>
      </w:r>
      <w:r w:rsidR="00D678D6" w:rsidRPr="004837EC">
        <w:t xml:space="preserve">he file </w:t>
      </w:r>
      <w:r w:rsidR="00567645" w:rsidRPr="004837EC">
        <w:t xml:space="preserve">contents </w:t>
      </w:r>
      <w:r w:rsidR="00D678D6" w:rsidRPr="004837EC">
        <w:t xml:space="preserve">will have to be </w:t>
      </w:r>
      <w:r w:rsidR="00567645" w:rsidRPr="004837EC">
        <w:t xml:space="preserve">extracted </w:t>
      </w:r>
      <w:r w:rsidR="00C06F85" w:rsidRPr="004837EC">
        <w:t>into a local directory</w:t>
      </w:r>
      <w:r w:rsidR="00567645" w:rsidRPr="004837EC">
        <w:t>. By default</w:t>
      </w:r>
      <w:r w:rsidR="00482911" w:rsidRPr="004837EC">
        <w:t>,</w:t>
      </w:r>
      <w:r w:rsidR="00567645" w:rsidRPr="004837EC">
        <w:t xml:space="preserve"> Excel open</w:t>
      </w:r>
      <w:r w:rsidR="00322B65" w:rsidRPr="004837EC">
        <w:t>s spreadsheets with macros disabled</w:t>
      </w:r>
      <w:r w:rsidR="00D678D6" w:rsidRPr="004837EC">
        <w:t xml:space="preserve"> </w:t>
      </w:r>
      <w:r w:rsidR="00482911" w:rsidRPr="004837EC">
        <w:t xml:space="preserve">and </w:t>
      </w:r>
      <w:r w:rsidR="00603BF3" w:rsidRPr="004837EC">
        <w:t>the</w:t>
      </w:r>
      <w:r w:rsidR="00C00D59" w:rsidRPr="004837EC">
        <w:t xml:space="preserve"> </w:t>
      </w:r>
      <w:r w:rsidR="001C2765" w:rsidRPr="004837EC">
        <w:t>‘</w:t>
      </w:r>
      <w:r w:rsidR="001E42ED" w:rsidRPr="004837EC">
        <w:t>Enable</w:t>
      </w:r>
      <w:r w:rsidR="00825C61" w:rsidRPr="004837EC">
        <w:t xml:space="preserve"> </w:t>
      </w:r>
      <w:r w:rsidR="001E42ED" w:rsidRPr="004837EC">
        <w:t>C</w:t>
      </w:r>
      <w:r w:rsidR="00825C61" w:rsidRPr="004837EC">
        <w:t>ontent</w:t>
      </w:r>
      <w:r w:rsidR="001C2765" w:rsidRPr="004837EC">
        <w:t>’</w:t>
      </w:r>
      <w:r w:rsidR="00C06F85" w:rsidRPr="004837EC">
        <w:t xml:space="preserve"> prompt </w:t>
      </w:r>
      <w:r w:rsidR="00825C61" w:rsidRPr="007D4E3E">
        <w:t xml:space="preserve">will have to be </w:t>
      </w:r>
      <w:r w:rsidR="00C06F85" w:rsidRPr="007D4E3E">
        <w:t>accepted</w:t>
      </w:r>
      <w:r w:rsidR="00E84080" w:rsidRPr="007D4E3E">
        <w:t xml:space="preserve"> </w:t>
      </w:r>
      <w:proofErr w:type="gramStart"/>
      <w:r w:rsidR="00E84080" w:rsidRPr="007D4E3E">
        <w:t>in order for</w:t>
      </w:r>
      <w:proofErr w:type="gramEnd"/>
      <w:r w:rsidR="00E84080" w:rsidRPr="007D4E3E">
        <w:t xml:space="preserve"> the model to run.</w:t>
      </w:r>
      <w:r w:rsidR="00825C61" w:rsidRPr="007D4E3E">
        <w:t xml:space="preserve"> </w:t>
      </w:r>
      <w:r w:rsidR="00011157" w:rsidRPr="007D4E3E">
        <w:t xml:space="preserve">If asked to make the </w:t>
      </w:r>
      <w:r w:rsidR="0088685D" w:rsidRPr="007D4E3E">
        <w:t xml:space="preserve">file a trusted document, </w:t>
      </w:r>
      <w:r w:rsidR="00DA7E3D" w:rsidRPr="007D4E3E">
        <w:t>select</w:t>
      </w:r>
      <w:r w:rsidR="00D64BA9" w:rsidRPr="007D4E3E">
        <w:t xml:space="preserve"> </w:t>
      </w:r>
      <w:r w:rsidR="0091431B">
        <w:t>‘</w:t>
      </w:r>
      <w:r w:rsidR="007A1030" w:rsidRPr="007D4E3E">
        <w:t>yes</w:t>
      </w:r>
      <w:r w:rsidR="0091431B">
        <w:t>’</w:t>
      </w:r>
      <w:r w:rsidR="007A1030" w:rsidRPr="007D4E3E">
        <w:t>.</w:t>
      </w:r>
      <w:r w:rsidR="00D678D6" w:rsidRPr="007D4E3E">
        <w:t xml:space="preserve"> </w:t>
      </w:r>
      <w:r w:rsidR="00B6003D" w:rsidRPr="007D4E3E">
        <w:t xml:space="preserve"> </w:t>
      </w:r>
    </w:p>
    <w:p w14:paraId="57AD3CD4" w14:textId="7BA23276" w:rsidR="0099762E" w:rsidRPr="007D4E3E" w:rsidRDefault="008F33BA" w:rsidP="00377F2A">
      <w:pPr>
        <w:pStyle w:val="Heading1"/>
        <w:rPr>
          <w:rStyle w:val="normaltextrun"/>
        </w:rPr>
      </w:pPr>
      <w:bookmarkStart w:id="3" w:name="_Toc184814227"/>
      <w:r w:rsidRPr="007D4E3E">
        <w:rPr>
          <w:rStyle w:val="normaltextrun"/>
        </w:rPr>
        <w:t xml:space="preserve">Model </w:t>
      </w:r>
      <w:proofErr w:type="gramStart"/>
      <w:r w:rsidR="005A0F24" w:rsidRPr="007D4E3E">
        <w:rPr>
          <w:rStyle w:val="normaltextrun"/>
        </w:rPr>
        <w:t>structure</w:t>
      </w:r>
      <w:bookmarkEnd w:id="3"/>
      <w:proofErr w:type="gramEnd"/>
    </w:p>
    <w:p w14:paraId="7FF353A1" w14:textId="0BD1A977" w:rsidR="006B0A27" w:rsidRPr="00A10C75" w:rsidRDefault="008F33BA" w:rsidP="00E71301">
      <w:pPr>
        <w:rPr>
          <w:rStyle w:val="normaltextrun"/>
          <w:rFonts w:ascii="Calibri" w:hAnsi="Calibri" w:cs="Calibri"/>
        </w:rPr>
      </w:pPr>
      <w:r w:rsidRPr="00BC102B">
        <w:rPr>
          <w:rStyle w:val="normaltextrun"/>
          <w:rFonts w:ascii="Calibri" w:hAnsi="Calibri" w:cs="Calibri"/>
        </w:rPr>
        <w:t xml:space="preserve">ENZ is </w:t>
      </w:r>
      <w:r w:rsidR="005A0F24" w:rsidRPr="00BC102B">
        <w:rPr>
          <w:rStyle w:val="normaltextrun"/>
          <w:rFonts w:ascii="Calibri" w:hAnsi="Calibri" w:cs="Calibri"/>
        </w:rPr>
        <w:t xml:space="preserve">an Excel based model with </w:t>
      </w:r>
      <w:r w:rsidR="00405A66" w:rsidRPr="00BC102B">
        <w:rPr>
          <w:rStyle w:val="normaltextrun"/>
          <w:rFonts w:ascii="Calibri" w:hAnsi="Calibri" w:cs="Calibri"/>
        </w:rPr>
        <w:t xml:space="preserve">functionality distributed across </w:t>
      </w:r>
      <w:r w:rsidR="00095D31" w:rsidRPr="00BC102B">
        <w:rPr>
          <w:rStyle w:val="normaltextrun"/>
          <w:rFonts w:ascii="Calibri" w:hAnsi="Calibri" w:cs="Calibri"/>
        </w:rPr>
        <w:t xml:space="preserve">multiple </w:t>
      </w:r>
      <w:r w:rsidR="00AF56D8" w:rsidRPr="00BC102B">
        <w:rPr>
          <w:rStyle w:val="normaltextrun"/>
          <w:rFonts w:ascii="Calibri" w:hAnsi="Calibri" w:cs="Calibri"/>
        </w:rPr>
        <w:t xml:space="preserve">linked workbooks. </w:t>
      </w:r>
      <w:r w:rsidR="00067675" w:rsidRPr="00BC102B">
        <w:rPr>
          <w:rStyle w:val="normaltextrun"/>
          <w:rFonts w:ascii="Calibri" w:hAnsi="Calibri" w:cs="Calibri"/>
        </w:rPr>
        <w:t xml:space="preserve">The </w:t>
      </w:r>
      <w:r w:rsidR="00E32B30" w:rsidRPr="00BC102B">
        <w:rPr>
          <w:rStyle w:val="normaltextrun"/>
          <w:rFonts w:ascii="Calibri" w:hAnsi="Calibri" w:cs="Calibri"/>
        </w:rPr>
        <w:t>workbooks disaggregate the core emitting sectors of the econom</w:t>
      </w:r>
      <w:r w:rsidR="00E32B30" w:rsidRPr="000811AD">
        <w:rPr>
          <w:rStyle w:val="normaltextrun"/>
          <w:rFonts w:ascii="Calibri" w:hAnsi="Calibri" w:cs="Calibri"/>
        </w:rPr>
        <w:t xml:space="preserve">y into </w:t>
      </w:r>
      <w:r w:rsidR="00153708" w:rsidRPr="000811AD">
        <w:rPr>
          <w:rStyle w:val="normaltextrun"/>
          <w:rFonts w:ascii="Calibri" w:hAnsi="Calibri" w:cs="Calibri"/>
        </w:rPr>
        <w:t>heat</w:t>
      </w:r>
      <w:r w:rsidR="005E44DC" w:rsidRPr="000811AD">
        <w:rPr>
          <w:rStyle w:val="normaltextrun"/>
          <w:rFonts w:ascii="Calibri" w:hAnsi="Calibri" w:cs="Calibri"/>
        </w:rPr>
        <w:t>,</w:t>
      </w:r>
      <w:r w:rsidR="00153708" w:rsidRPr="000811AD">
        <w:rPr>
          <w:rStyle w:val="normaltextrun"/>
          <w:rFonts w:ascii="Calibri" w:hAnsi="Calibri" w:cs="Calibri"/>
        </w:rPr>
        <w:t xml:space="preserve"> </w:t>
      </w:r>
      <w:proofErr w:type="gramStart"/>
      <w:r w:rsidR="00153708" w:rsidRPr="000811AD">
        <w:rPr>
          <w:rStyle w:val="normaltextrun"/>
          <w:rFonts w:ascii="Calibri" w:hAnsi="Calibri" w:cs="Calibri"/>
        </w:rPr>
        <w:t>industry</w:t>
      </w:r>
      <w:proofErr w:type="gramEnd"/>
      <w:r w:rsidR="00153708" w:rsidRPr="000811AD">
        <w:rPr>
          <w:rStyle w:val="normaltextrun"/>
          <w:rFonts w:ascii="Calibri" w:hAnsi="Calibri" w:cs="Calibri"/>
        </w:rPr>
        <w:t xml:space="preserve"> and power</w:t>
      </w:r>
      <w:r w:rsidR="00A55457">
        <w:rPr>
          <w:rStyle w:val="normaltextrun"/>
          <w:rFonts w:ascii="Calibri" w:hAnsi="Calibri" w:cs="Calibri"/>
        </w:rPr>
        <w:t xml:space="preserve"> </w:t>
      </w:r>
      <w:r w:rsidR="004D5CBF" w:rsidRPr="000811AD">
        <w:rPr>
          <w:rStyle w:val="normaltextrun"/>
          <w:rFonts w:ascii="Calibri" w:hAnsi="Calibri" w:cs="Calibri"/>
        </w:rPr>
        <w:t>(HIP.xlsx)</w:t>
      </w:r>
      <w:r w:rsidR="00153708" w:rsidRPr="000811AD">
        <w:rPr>
          <w:rStyle w:val="normaltextrun"/>
          <w:rFonts w:ascii="Calibri" w:hAnsi="Calibri" w:cs="Calibri"/>
        </w:rPr>
        <w:t>, transport</w:t>
      </w:r>
      <w:r w:rsidR="004D5CBF" w:rsidRPr="000811AD">
        <w:rPr>
          <w:rStyle w:val="normaltextrun"/>
          <w:rFonts w:ascii="Calibri" w:hAnsi="Calibri" w:cs="Calibri"/>
        </w:rPr>
        <w:t xml:space="preserve"> (Tpt.xlsx)</w:t>
      </w:r>
      <w:r w:rsidR="00153708" w:rsidRPr="000811AD">
        <w:rPr>
          <w:rStyle w:val="normaltextrun"/>
          <w:rFonts w:ascii="Calibri" w:hAnsi="Calibri" w:cs="Calibri"/>
        </w:rPr>
        <w:t xml:space="preserve">, </w:t>
      </w:r>
      <w:r w:rsidR="00BC102B" w:rsidRPr="000811AD">
        <w:rPr>
          <w:rStyle w:val="normaltextrun"/>
          <w:rFonts w:ascii="Calibri" w:hAnsi="Calibri" w:cs="Calibri"/>
        </w:rPr>
        <w:t xml:space="preserve">and </w:t>
      </w:r>
      <w:r w:rsidR="00153708" w:rsidRPr="000811AD">
        <w:rPr>
          <w:rStyle w:val="normaltextrun"/>
          <w:rFonts w:ascii="Calibri" w:hAnsi="Calibri" w:cs="Calibri"/>
        </w:rPr>
        <w:t>land use and waste</w:t>
      </w:r>
      <w:r w:rsidR="004D5CBF" w:rsidRPr="000811AD">
        <w:rPr>
          <w:rStyle w:val="normaltextrun"/>
          <w:rFonts w:ascii="Calibri" w:hAnsi="Calibri" w:cs="Calibri"/>
        </w:rPr>
        <w:t xml:space="preserve"> (</w:t>
      </w:r>
      <w:r w:rsidR="00BC102B" w:rsidRPr="000811AD">
        <w:rPr>
          <w:rStyle w:val="normaltextrun"/>
          <w:rFonts w:ascii="Calibri" w:hAnsi="Calibri" w:cs="Calibri"/>
        </w:rPr>
        <w:t>L</w:t>
      </w:r>
      <w:r w:rsidR="00A10C75" w:rsidRPr="000811AD">
        <w:rPr>
          <w:rStyle w:val="normaltextrun"/>
          <w:rFonts w:ascii="Calibri" w:hAnsi="Calibri" w:cs="Calibri"/>
        </w:rPr>
        <w:t>n</w:t>
      </w:r>
      <w:r w:rsidR="00BC102B" w:rsidRPr="000811AD">
        <w:rPr>
          <w:rStyle w:val="normaltextrun"/>
          <w:rFonts w:ascii="Calibri" w:hAnsi="Calibri" w:cs="Calibri"/>
        </w:rPr>
        <w:t>W</w:t>
      </w:r>
      <w:r w:rsidR="004D5CBF" w:rsidRPr="000811AD">
        <w:rPr>
          <w:rStyle w:val="normaltextrun"/>
          <w:rFonts w:ascii="Calibri" w:hAnsi="Calibri" w:cs="Calibri"/>
        </w:rPr>
        <w:t>.xlsx)</w:t>
      </w:r>
      <w:r w:rsidR="00153708" w:rsidRPr="000811AD">
        <w:rPr>
          <w:rStyle w:val="normaltextrun"/>
          <w:rFonts w:ascii="Calibri" w:hAnsi="Calibri" w:cs="Calibri"/>
        </w:rPr>
        <w:t xml:space="preserve">. The </w:t>
      </w:r>
      <w:r w:rsidR="00067675" w:rsidRPr="000811AD">
        <w:rPr>
          <w:rStyle w:val="normaltextrun"/>
          <w:rFonts w:ascii="Calibri" w:hAnsi="Calibri" w:cs="Calibri"/>
        </w:rPr>
        <w:t>structure</w:t>
      </w:r>
      <w:r w:rsidR="00067675" w:rsidRPr="00A10C75">
        <w:rPr>
          <w:rStyle w:val="normaltextrun"/>
          <w:rFonts w:ascii="Calibri" w:hAnsi="Calibri" w:cs="Calibri"/>
        </w:rPr>
        <w:t xml:space="preserve"> of</w:t>
      </w:r>
      <w:r w:rsidR="006B0A27" w:rsidRPr="00A10C75">
        <w:rPr>
          <w:rStyle w:val="normaltextrun"/>
          <w:rFonts w:ascii="Calibri" w:hAnsi="Calibri" w:cs="Calibri"/>
        </w:rPr>
        <w:t xml:space="preserve"> the workbooks</w:t>
      </w:r>
      <w:r w:rsidR="00153708" w:rsidRPr="00A10C75">
        <w:rPr>
          <w:rStyle w:val="normaltextrun"/>
          <w:rFonts w:ascii="Calibri" w:hAnsi="Calibri" w:cs="Calibri"/>
        </w:rPr>
        <w:t xml:space="preserve"> and key interactions i</w:t>
      </w:r>
      <w:r w:rsidR="006B0A27" w:rsidRPr="00A10C75">
        <w:rPr>
          <w:rStyle w:val="normaltextrun"/>
          <w:rFonts w:ascii="Calibri" w:hAnsi="Calibri" w:cs="Calibri"/>
        </w:rPr>
        <w:t xml:space="preserve">s </w:t>
      </w:r>
      <w:r w:rsidR="00153708" w:rsidRPr="00A10C75">
        <w:rPr>
          <w:rStyle w:val="normaltextrun"/>
          <w:rFonts w:ascii="Calibri" w:hAnsi="Calibri" w:cs="Calibri"/>
        </w:rPr>
        <w:t>depicted</w:t>
      </w:r>
      <w:r w:rsidR="006B0A27" w:rsidRPr="00A10C75">
        <w:rPr>
          <w:rStyle w:val="normaltextrun"/>
          <w:rFonts w:ascii="Calibri" w:hAnsi="Calibri" w:cs="Calibri"/>
        </w:rPr>
        <w:t xml:space="preserve"> in </w:t>
      </w:r>
      <w:r w:rsidR="00904DD8">
        <w:rPr>
          <w:rStyle w:val="normaltextrun"/>
          <w:rFonts w:ascii="Calibri" w:hAnsi="Calibri" w:cs="Calibri"/>
        </w:rPr>
        <w:t>F</w:t>
      </w:r>
      <w:r w:rsidR="006B0A27" w:rsidRPr="00A10C75">
        <w:rPr>
          <w:rStyle w:val="normaltextrun"/>
          <w:rFonts w:ascii="Calibri" w:hAnsi="Calibri" w:cs="Calibri"/>
        </w:rPr>
        <w:t>igure</w:t>
      </w:r>
      <w:r w:rsidR="00904DD8">
        <w:rPr>
          <w:rStyle w:val="normaltextrun"/>
          <w:rFonts w:ascii="Calibri" w:hAnsi="Calibri" w:cs="Calibri"/>
        </w:rPr>
        <w:t xml:space="preserve"> 1</w:t>
      </w:r>
      <w:r w:rsidR="006B0A27" w:rsidRPr="00A10C75">
        <w:rPr>
          <w:rStyle w:val="normaltextrun"/>
          <w:rFonts w:ascii="Calibri" w:hAnsi="Calibri" w:cs="Calibri"/>
        </w:rPr>
        <w:t xml:space="preserve"> below.</w:t>
      </w:r>
    </w:p>
    <w:p w14:paraId="685464AA" w14:textId="77777777" w:rsidR="00DF1B79" w:rsidRPr="00144FDD" w:rsidRDefault="00DF1B79" w:rsidP="00830179">
      <w:pPr>
        <w:pStyle w:val="paragraph"/>
        <w:spacing w:before="0" w:beforeAutospacing="0" w:after="0" w:afterAutospacing="0"/>
        <w:textAlignment w:val="baseline"/>
        <w:rPr>
          <w:rStyle w:val="normaltextrun"/>
          <w:rFonts w:ascii="Calibri" w:hAnsi="Calibri" w:cs="Calibri"/>
          <w:sz w:val="22"/>
          <w:szCs w:val="22"/>
        </w:rPr>
      </w:pPr>
    </w:p>
    <w:p w14:paraId="2A35C35C" w14:textId="4533EDA0" w:rsidR="003415A6" w:rsidRPr="003415A6" w:rsidRDefault="003415A6" w:rsidP="003415A6">
      <w:pPr>
        <w:spacing w:after="0" w:line="240" w:lineRule="auto"/>
        <w:rPr>
          <w:rFonts w:ascii="Times New Roman" w:eastAsia="Times New Roman" w:hAnsi="Times New Roman" w:cs="Times New Roman"/>
          <w:sz w:val="24"/>
          <w:szCs w:val="24"/>
          <w:lang w:eastAsia="en-NZ"/>
        </w:rPr>
      </w:pPr>
      <w:r w:rsidRPr="003415A6">
        <w:rPr>
          <w:rFonts w:ascii="Times New Roman" w:eastAsia="Times New Roman" w:hAnsi="Times New Roman" w:cs="Times New Roman"/>
          <w:noProof/>
          <w:sz w:val="24"/>
          <w:szCs w:val="24"/>
          <w:lang w:eastAsia="en-NZ"/>
        </w:rPr>
        <w:drawing>
          <wp:inline distT="0" distB="0" distL="0" distR="0" wp14:anchorId="5175AB34" wp14:editId="060692A1">
            <wp:extent cx="5731510" cy="42005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200525"/>
                    </a:xfrm>
                    <a:prstGeom prst="rect">
                      <a:avLst/>
                    </a:prstGeom>
                    <a:noFill/>
                    <a:ln>
                      <a:noFill/>
                    </a:ln>
                  </pic:spPr>
                </pic:pic>
              </a:graphicData>
            </a:graphic>
          </wp:inline>
        </w:drawing>
      </w:r>
    </w:p>
    <w:p w14:paraId="0E66E16D" w14:textId="33DB8CF1" w:rsidR="005C44DA" w:rsidRPr="0095586B" w:rsidRDefault="005C44DA" w:rsidP="0095586B">
      <w:pPr>
        <w:spacing w:after="0" w:line="240" w:lineRule="auto"/>
        <w:rPr>
          <w:rFonts w:ascii="Times New Roman" w:eastAsia="Times New Roman" w:hAnsi="Times New Roman" w:cs="Times New Roman"/>
          <w:sz w:val="24"/>
          <w:szCs w:val="24"/>
          <w:lang w:eastAsia="en-NZ"/>
        </w:rPr>
      </w:pPr>
    </w:p>
    <w:p w14:paraId="0194A49B" w14:textId="3FCFF35B" w:rsidR="006B0A27" w:rsidRPr="00C103C1" w:rsidRDefault="005C44DA" w:rsidP="005C44DA">
      <w:pPr>
        <w:pStyle w:val="Caption"/>
      </w:pPr>
      <w:r w:rsidRPr="00C103C1">
        <w:t xml:space="preserve">Figure </w:t>
      </w:r>
      <w:r w:rsidRPr="00C103C1">
        <w:fldChar w:fldCharType="begin"/>
      </w:r>
      <w:r w:rsidRPr="00C103C1">
        <w:instrText>SEQ Figure \* ARABIC</w:instrText>
      </w:r>
      <w:r w:rsidRPr="00C103C1">
        <w:fldChar w:fldCharType="separate"/>
      </w:r>
      <w:r w:rsidR="005F448D">
        <w:rPr>
          <w:noProof/>
        </w:rPr>
        <w:t>1</w:t>
      </w:r>
      <w:r w:rsidRPr="00C103C1">
        <w:fldChar w:fldCharType="end"/>
      </w:r>
      <w:r w:rsidRPr="00C103C1">
        <w:t xml:space="preserve"> The structure and linkage between workbooks of the ENZ </w:t>
      </w:r>
      <w:proofErr w:type="gramStart"/>
      <w:r w:rsidRPr="00C103C1">
        <w:t>model</w:t>
      </w:r>
      <w:proofErr w:type="gramEnd"/>
    </w:p>
    <w:p w14:paraId="7D05E2C2" w14:textId="227D12AD" w:rsidR="00662A08" w:rsidRDefault="7A797B93" w:rsidP="00E71301">
      <w:pPr>
        <w:rPr>
          <w:rStyle w:val="normaltextrun"/>
          <w:rFonts w:ascii="Calibri" w:hAnsi="Calibri" w:cs="Calibri"/>
        </w:rPr>
      </w:pPr>
      <w:r w:rsidRPr="4868DAB2">
        <w:rPr>
          <w:rStyle w:val="normaltextrun"/>
          <w:rFonts w:ascii="Calibri" w:hAnsi="Calibri" w:cs="Calibri"/>
        </w:rPr>
        <w:t xml:space="preserve">The </w:t>
      </w:r>
      <w:r w:rsidRPr="4868DAB2">
        <w:rPr>
          <w:rStyle w:val="normaltextrun"/>
          <w:rFonts w:ascii="Calibri" w:hAnsi="Calibri" w:cs="Calibri"/>
          <w:b/>
          <w:bCs/>
        </w:rPr>
        <w:t xml:space="preserve">Code </w:t>
      </w:r>
      <w:r w:rsidRPr="4868DAB2">
        <w:rPr>
          <w:rStyle w:val="normaltextrun"/>
          <w:rFonts w:ascii="Calibri" w:hAnsi="Calibri" w:cs="Calibri"/>
        </w:rPr>
        <w:t xml:space="preserve">workbook is used to initiate a model run. It has </w:t>
      </w:r>
      <w:proofErr w:type="gramStart"/>
      <w:r w:rsidRPr="4868DAB2">
        <w:rPr>
          <w:rStyle w:val="normaltextrun"/>
          <w:rFonts w:ascii="Calibri" w:hAnsi="Calibri" w:cs="Calibri"/>
        </w:rPr>
        <w:t>a number of</w:t>
      </w:r>
      <w:proofErr w:type="gramEnd"/>
      <w:r w:rsidRPr="4868DAB2">
        <w:rPr>
          <w:rStyle w:val="normaltextrun"/>
          <w:rFonts w:ascii="Calibri" w:hAnsi="Calibri" w:cs="Calibri"/>
        </w:rPr>
        <w:t xml:space="preserve"> underlying Visual </w:t>
      </w:r>
      <w:r w:rsidR="377677AE" w:rsidRPr="4868DAB2">
        <w:rPr>
          <w:rStyle w:val="normaltextrun"/>
          <w:rFonts w:ascii="Calibri" w:hAnsi="Calibri" w:cs="Calibri"/>
        </w:rPr>
        <w:t>B</w:t>
      </w:r>
      <w:r w:rsidRPr="4868DAB2">
        <w:rPr>
          <w:rStyle w:val="normaltextrun"/>
          <w:rFonts w:ascii="Calibri" w:hAnsi="Calibri" w:cs="Calibri"/>
        </w:rPr>
        <w:t>asic</w:t>
      </w:r>
      <w:r w:rsidR="58DB40B0" w:rsidRPr="4868DAB2">
        <w:rPr>
          <w:rStyle w:val="normaltextrun"/>
          <w:rFonts w:ascii="Calibri" w:hAnsi="Calibri" w:cs="Calibri"/>
        </w:rPr>
        <w:t xml:space="preserve"> (VB) </w:t>
      </w:r>
      <w:r w:rsidRPr="4868DAB2">
        <w:rPr>
          <w:rStyle w:val="normaltextrun"/>
          <w:rFonts w:ascii="Calibri" w:hAnsi="Calibri" w:cs="Calibri"/>
        </w:rPr>
        <w:t>routines which pass settings to the other workbooks, drive some of the workbook interactions and copy back specified output arrays into a results file.</w:t>
      </w:r>
    </w:p>
    <w:p w14:paraId="2253EFB0" w14:textId="757DFAA8" w:rsidR="00E27598" w:rsidRDefault="00AF56D8" w:rsidP="00E71301">
      <w:pPr>
        <w:rPr>
          <w:rStyle w:val="normaltextrun"/>
          <w:rFonts w:ascii="Calibri" w:hAnsi="Calibri" w:cs="Calibri"/>
        </w:rPr>
      </w:pPr>
      <w:r w:rsidRPr="008A3208">
        <w:rPr>
          <w:rStyle w:val="normaltextrun"/>
          <w:rFonts w:ascii="Calibri" w:hAnsi="Calibri" w:cs="Calibri"/>
        </w:rPr>
        <w:t xml:space="preserve">The </w:t>
      </w:r>
      <w:r w:rsidRPr="008A3208">
        <w:rPr>
          <w:rStyle w:val="normaltextrun"/>
          <w:rFonts w:ascii="Calibri" w:hAnsi="Calibri" w:cs="Calibri"/>
          <w:b/>
        </w:rPr>
        <w:t xml:space="preserve">Ctrl </w:t>
      </w:r>
      <w:r w:rsidRPr="008A3208">
        <w:rPr>
          <w:rStyle w:val="normaltextrun"/>
          <w:rFonts w:ascii="Calibri" w:hAnsi="Calibri" w:cs="Calibri"/>
        </w:rPr>
        <w:t xml:space="preserve">workbook is the control panel for the model and is used to set the </w:t>
      </w:r>
      <w:r w:rsidR="004B2509" w:rsidRPr="008A3208">
        <w:rPr>
          <w:rStyle w:val="normaltextrun"/>
          <w:rFonts w:ascii="Calibri" w:hAnsi="Calibri" w:cs="Calibri"/>
        </w:rPr>
        <w:t xml:space="preserve">main model scenario </w:t>
      </w:r>
      <w:r w:rsidR="004B2509" w:rsidRPr="00E27598">
        <w:rPr>
          <w:rStyle w:val="normaltextrun"/>
          <w:rFonts w:ascii="Calibri" w:hAnsi="Calibri" w:cs="Calibri"/>
        </w:rPr>
        <w:t>parameters.</w:t>
      </w:r>
      <w:r w:rsidR="006428A1" w:rsidRPr="00E27598">
        <w:rPr>
          <w:rStyle w:val="normaltextrun"/>
          <w:rFonts w:ascii="Calibri" w:hAnsi="Calibri" w:cs="Calibri"/>
        </w:rPr>
        <w:t xml:space="preserve"> </w:t>
      </w:r>
    </w:p>
    <w:p w14:paraId="7F1FB7DA" w14:textId="7EDD2472" w:rsidR="005168E6" w:rsidRPr="001E507E" w:rsidRDefault="005168E6" w:rsidP="00830179">
      <w:pPr>
        <w:pStyle w:val="paragraph"/>
        <w:spacing w:before="0" w:beforeAutospacing="0" w:after="0" w:afterAutospacing="0"/>
        <w:textAlignment w:val="baseline"/>
        <w:rPr>
          <w:rStyle w:val="normaltextrun"/>
          <w:rFonts w:ascii="Calibri" w:hAnsi="Calibri" w:cs="Calibri"/>
          <w:sz w:val="22"/>
          <w:szCs w:val="22"/>
          <w:highlight w:val="yellow"/>
        </w:rPr>
      </w:pPr>
    </w:p>
    <w:p w14:paraId="4BD04530" w14:textId="005EAF84" w:rsidR="008A702F" w:rsidRPr="001E507E" w:rsidRDefault="008A702F" w:rsidP="00E71301">
      <w:pPr>
        <w:rPr>
          <w:rStyle w:val="normaltextrun"/>
          <w:rFonts w:ascii="Calibri" w:hAnsi="Calibri" w:cs="Calibri"/>
          <w:highlight w:val="yellow"/>
        </w:rPr>
      </w:pPr>
      <w:r w:rsidRPr="039D010A">
        <w:rPr>
          <w:rStyle w:val="normaltextrun"/>
          <w:rFonts w:ascii="Calibri" w:hAnsi="Calibri" w:cs="Calibri"/>
        </w:rPr>
        <w:t>The</w:t>
      </w:r>
      <w:r w:rsidR="00957DD3" w:rsidRPr="039D010A">
        <w:rPr>
          <w:rStyle w:val="normaltextrun"/>
          <w:rFonts w:ascii="Calibri" w:hAnsi="Calibri" w:cs="Calibri"/>
        </w:rPr>
        <w:t xml:space="preserve"> </w:t>
      </w:r>
      <w:r w:rsidR="00957DD3" w:rsidRPr="039D010A">
        <w:rPr>
          <w:rStyle w:val="normaltextrun"/>
          <w:rFonts w:ascii="Calibri" w:hAnsi="Calibri" w:cs="Calibri"/>
          <w:b/>
          <w:bCs/>
        </w:rPr>
        <w:t>heat, industry, and power</w:t>
      </w:r>
      <w:r w:rsidRPr="039D010A">
        <w:rPr>
          <w:rStyle w:val="normaltextrun"/>
          <w:rFonts w:ascii="Calibri" w:hAnsi="Calibri" w:cs="Calibri"/>
        </w:rPr>
        <w:t xml:space="preserve"> </w:t>
      </w:r>
      <w:r w:rsidR="00957DD3" w:rsidRPr="039D010A">
        <w:rPr>
          <w:rStyle w:val="normaltextrun"/>
          <w:rFonts w:ascii="Calibri" w:hAnsi="Calibri" w:cs="Calibri"/>
        </w:rPr>
        <w:t>(</w:t>
      </w:r>
      <w:r w:rsidRPr="039D010A">
        <w:rPr>
          <w:rStyle w:val="normaltextrun"/>
          <w:rFonts w:ascii="Calibri" w:hAnsi="Calibri" w:cs="Calibri"/>
          <w:b/>
          <w:bCs/>
        </w:rPr>
        <w:t>HIP</w:t>
      </w:r>
      <w:r w:rsidR="00957DD3" w:rsidRPr="039D010A">
        <w:rPr>
          <w:rStyle w:val="normaltextrun"/>
          <w:rFonts w:ascii="Calibri" w:hAnsi="Calibri" w:cs="Calibri"/>
        </w:rPr>
        <w:t>)</w:t>
      </w:r>
      <w:r w:rsidRPr="039D010A">
        <w:rPr>
          <w:rStyle w:val="normaltextrun"/>
          <w:rFonts w:ascii="Calibri" w:hAnsi="Calibri" w:cs="Calibri"/>
        </w:rPr>
        <w:t xml:space="preserve"> </w:t>
      </w:r>
      <w:r w:rsidR="00DE6EA2" w:rsidRPr="039D010A">
        <w:rPr>
          <w:rStyle w:val="normaltextrun"/>
          <w:rFonts w:ascii="Calibri" w:hAnsi="Calibri" w:cs="Calibri"/>
        </w:rPr>
        <w:t>work</w:t>
      </w:r>
      <w:r w:rsidRPr="039D010A">
        <w:rPr>
          <w:rStyle w:val="normaltextrun"/>
          <w:rFonts w:ascii="Calibri" w:hAnsi="Calibri" w:cs="Calibri"/>
        </w:rPr>
        <w:t>book</w:t>
      </w:r>
      <w:r w:rsidR="006E65FB" w:rsidRPr="039D010A">
        <w:rPr>
          <w:rStyle w:val="normaltextrun"/>
          <w:rFonts w:ascii="Calibri" w:hAnsi="Calibri" w:cs="Calibri"/>
        </w:rPr>
        <w:t xml:space="preserve"> contains the underlying data and projection functionality for</w:t>
      </w:r>
      <w:r w:rsidR="008F0F73" w:rsidRPr="039D010A">
        <w:rPr>
          <w:rStyle w:val="normaltextrun"/>
          <w:rFonts w:ascii="Calibri" w:hAnsi="Calibri" w:cs="Calibri"/>
        </w:rPr>
        <w:t xml:space="preserve"> energy use and emissions from </w:t>
      </w:r>
      <w:r w:rsidR="00F52409" w:rsidRPr="039D010A">
        <w:rPr>
          <w:rStyle w:val="normaltextrun"/>
          <w:rFonts w:ascii="Calibri" w:hAnsi="Calibri" w:cs="Calibri"/>
        </w:rPr>
        <w:t>industr</w:t>
      </w:r>
      <w:r w:rsidR="00421780" w:rsidRPr="039D010A">
        <w:rPr>
          <w:rStyle w:val="normaltextrun"/>
          <w:rFonts w:ascii="Calibri" w:hAnsi="Calibri" w:cs="Calibri"/>
        </w:rPr>
        <w:t>ial,</w:t>
      </w:r>
      <w:r w:rsidR="00F52409" w:rsidRPr="039D010A">
        <w:rPr>
          <w:rStyle w:val="normaltextrun"/>
          <w:rFonts w:ascii="Calibri" w:hAnsi="Calibri" w:cs="Calibri"/>
        </w:rPr>
        <w:t xml:space="preserve"> resid</w:t>
      </w:r>
      <w:r w:rsidR="00421780" w:rsidRPr="039D010A">
        <w:rPr>
          <w:rStyle w:val="normaltextrun"/>
          <w:rFonts w:ascii="Calibri" w:hAnsi="Calibri" w:cs="Calibri"/>
        </w:rPr>
        <w:t>ential</w:t>
      </w:r>
      <w:r w:rsidR="00011157" w:rsidRPr="039D010A">
        <w:rPr>
          <w:rStyle w:val="normaltextrun"/>
          <w:rFonts w:ascii="Calibri" w:hAnsi="Calibri" w:cs="Calibri"/>
        </w:rPr>
        <w:t>,</w:t>
      </w:r>
      <w:r w:rsidR="00CB461F" w:rsidRPr="039D010A">
        <w:rPr>
          <w:rStyle w:val="normaltextrun"/>
          <w:rFonts w:ascii="Calibri" w:hAnsi="Calibri" w:cs="Calibri"/>
        </w:rPr>
        <w:t xml:space="preserve"> </w:t>
      </w:r>
      <w:r w:rsidR="00421780" w:rsidRPr="039D010A">
        <w:rPr>
          <w:rStyle w:val="normaltextrun"/>
          <w:rFonts w:ascii="Calibri" w:hAnsi="Calibri" w:cs="Calibri"/>
        </w:rPr>
        <w:t>commercial</w:t>
      </w:r>
      <w:r w:rsidR="00C9789A" w:rsidRPr="039D010A">
        <w:rPr>
          <w:rStyle w:val="normaltextrun"/>
          <w:rFonts w:ascii="Calibri" w:hAnsi="Calibri" w:cs="Calibri"/>
        </w:rPr>
        <w:t>,</w:t>
      </w:r>
      <w:r w:rsidR="00421780" w:rsidRPr="039D010A">
        <w:rPr>
          <w:rStyle w:val="normaltextrun"/>
          <w:rFonts w:ascii="Calibri" w:hAnsi="Calibri" w:cs="Calibri"/>
        </w:rPr>
        <w:t xml:space="preserve"> </w:t>
      </w:r>
      <w:r w:rsidR="00011157" w:rsidRPr="039D010A">
        <w:rPr>
          <w:rStyle w:val="normaltextrun"/>
          <w:rFonts w:ascii="Calibri" w:hAnsi="Calibri" w:cs="Calibri"/>
        </w:rPr>
        <w:t>and agricultural</w:t>
      </w:r>
      <w:r w:rsidR="00421780" w:rsidRPr="039D010A">
        <w:rPr>
          <w:rStyle w:val="normaltextrun"/>
          <w:rFonts w:ascii="Calibri" w:hAnsi="Calibri" w:cs="Calibri"/>
        </w:rPr>
        <w:t xml:space="preserve"> </w:t>
      </w:r>
      <w:r w:rsidR="00CB461F" w:rsidRPr="039D010A">
        <w:rPr>
          <w:rStyle w:val="normaltextrun"/>
          <w:rFonts w:ascii="Calibri" w:hAnsi="Calibri" w:cs="Calibri"/>
        </w:rPr>
        <w:t>sector</w:t>
      </w:r>
      <w:r w:rsidR="009F4009" w:rsidRPr="039D010A">
        <w:rPr>
          <w:rStyle w:val="normaltextrun"/>
          <w:rFonts w:ascii="Calibri" w:hAnsi="Calibri" w:cs="Calibri"/>
        </w:rPr>
        <w:t>s</w:t>
      </w:r>
      <w:r w:rsidR="00CB461F" w:rsidRPr="039D010A">
        <w:rPr>
          <w:rStyle w:val="normaltextrun"/>
          <w:rFonts w:ascii="Calibri" w:hAnsi="Calibri" w:cs="Calibri"/>
        </w:rPr>
        <w:t xml:space="preserve">. The </w:t>
      </w:r>
      <w:r w:rsidR="00EC52C0" w:rsidRPr="039D010A">
        <w:rPr>
          <w:rStyle w:val="normaltextrun"/>
          <w:rFonts w:ascii="Calibri" w:hAnsi="Calibri" w:cs="Calibri"/>
        </w:rPr>
        <w:t xml:space="preserve">workbook includes </w:t>
      </w:r>
      <w:r w:rsidR="001B074D" w:rsidRPr="039D010A">
        <w:rPr>
          <w:rStyle w:val="normaltextrun"/>
          <w:rFonts w:ascii="Calibri" w:hAnsi="Calibri" w:cs="Calibri"/>
        </w:rPr>
        <w:t xml:space="preserve">detailed models of electricity supply and </w:t>
      </w:r>
      <w:r w:rsidR="009F4009" w:rsidRPr="039D010A">
        <w:rPr>
          <w:rStyle w:val="normaltextrun"/>
          <w:rFonts w:ascii="Calibri" w:hAnsi="Calibri" w:cs="Calibri"/>
        </w:rPr>
        <w:t xml:space="preserve">fossil </w:t>
      </w:r>
      <w:r w:rsidR="001B074D" w:rsidRPr="039D010A">
        <w:rPr>
          <w:rStyle w:val="normaltextrun"/>
          <w:rFonts w:ascii="Calibri" w:hAnsi="Calibri" w:cs="Calibri"/>
        </w:rPr>
        <w:t xml:space="preserve">gas production </w:t>
      </w:r>
      <w:r w:rsidR="009F4009" w:rsidRPr="039D010A">
        <w:rPr>
          <w:rStyle w:val="normaltextrun"/>
          <w:rFonts w:ascii="Calibri" w:hAnsi="Calibri" w:cs="Calibri"/>
        </w:rPr>
        <w:t xml:space="preserve">and has significant interactions with the </w:t>
      </w:r>
      <w:r w:rsidR="00791A9D" w:rsidRPr="039D010A">
        <w:rPr>
          <w:rStyle w:val="normaltextrun"/>
          <w:rFonts w:ascii="Calibri" w:hAnsi="Calibri" w:cs="Calibri"/>
          <w:b/>
          <w:bCs/>
        </w:rPr>
        <w:t>transport</w:t>
      </w:r>
      <w:r w:rsidR="009F4009" w:rsidRPr="039D010A">
        <w:rPr>
          <w:rStyle w:val="normaltextrun"/>
          <w:rFonts w:ascii="Calibri" w:hAnsi="Calibri" w:cs="Calibri"/>
        </w:rPr>
        <w:t xml:space="preserve"> </w:t>
      </w:r>
      <w:r w:rsidR="00DE6EA2" w:rsidRPr="039D010A">
        <w:rPr>
          <w:rStyle w:val="normaltextrun"/>
          <w:rFonts w:ascii="Calibri" w:hAnsi="Calibri" w:cs="Calibri"/>
        </w:rPr>
        <w:t>work</w:t>
      </w:r>
      <w:r w:rsidR="009F4009" w:rsidRPr="039D010A">
        <w:rPr>
          <w:rStyle w:val="normaltextrun"/>
          <w:rFonts w:ascii="Calibri" w:hAnsi="Calibri" w:cs="Calibri"/>
        </w:rPr>
        <w:t xml:space="preserve">book. </w:t>
      </w:r>
    </w:p>
    <w:p w14:paraId="3A6A01C5" w14:textId="1809F2F5" w:rsidR="008A702F" w:rsidRPr="001E507E" w:rsidRDefault="00391F66" w:rsidP="00E71301">
      <w:pPr>
        <w:rPr>
          <w:rStyle w:val="normaltextrun"/>
          <w:rFonts w:ascii="Calibri" w:hAnsi="Calibri" w:cs="Calibri"/>
          <w:highlight w:val="yellow"/>
        </w:rPr>
      </w:pPr>
      <w:r w:rsidRPr="039D010A">
        <w:rPr>
          <w:rStyle w:val="normaltextrun"/>
          <w:rFonts w:ascii="Calibri" w:hAnsi="Calibri" w:cs="Calibri"/>
        </w:rPr>
        <w:t xml:space="preserve">The </w:t>
      </w:r>
      <w:r w:rsidR="00791A9D" w:rsidRPr="039D010A">
        <w:rPr>
          <w:rStyle w:val="normaltextrun"/>
          <w:rFonts w:ascii="Calibri" w:hAnsi="Calibri" w:cs="Calibri"/>
          <w:b/>
          <w:bCs/>
        </w:rPr>
        <w:t>transport</w:t>
      </w:r>
      <w:r w:rsidRPr="039D010A">
        <w:rPr>
          <w:rStyle w:val="normaltextrun"/>
          <w:rFonts w:ascii="Calibri" w:hAnsi="Calibri" w:cs="Calibri"/>
        </w:rPr>
        <w:t xml:space="preserve"> </w:t>
      </w:r>
      <w:r w:rsidR="00DE6EA2" w:rsidRPr="039D010A">
        <w:rPr>
          <w:rStyle w:val="normaltextrun"/>
          <w:rFonts w:ascii="Calibri" w:hAnsi="Calibri" w:cs="Calibri"/>
        </w:rPr>
        <w:t>work</w:t>
      </w:r>
      <w:r w:rsidRPr="039D010A">
        <w:rPr>
          <w:rStyle w:val="normaltextrun"/>
          <w:rFonts w:ascii="Calibri" w:hAnsi="Calibri" w:cs="Calibri"/>
        </w:rPr>
        <w:t xml:space="preserve">book </w:t>
      </w:r>
      <w:r w:rsidR="00791A9D" w:rsidRPr="039D010A">
        <w:rPr>
          <w:rStyle w:val="normaltextrun"/>
          <w:rFonts w:ascii="Calibri" w:hAnsi="Calibri" w:cs="Calibri"/>
        </w:rPr>
        <w:t>(</w:t>
      </w:r>
      <w:proofErr w:type="spellStart"/>
      <w:r w:rsidR="00791A9D" w:rsidRPr="039D010A">
        <w:rPr>
          <w:rStyle w:val="normaltextrun"/>
          <w:rFonts w:ascii="Calibri" w:hAnsi="Calibri" w:cs="Calibri"/>
          <w:b/>
          <w:bCs/>
        </w:rPr>
        <w:t>T</w:t>
      </w:r>
      <w:r w:rsidR="00F36B4F" w:rsidRPr="039D010A">
        <w:rPr>
          <w:rStyle w:val="normaltextrun"/>
          <w:rFonts w:ascii="Calibri" w:hAnsi="Calibri" w:cs="Calibri"/>
          <w:b/>
          <w:bCs/>
        </w:rPr>
        <w:t>pt</w:t>
      </w:r>
      <w:proofErr w:type="spellEnd"/>
      <w:r w:rsidR="00791A9D" w:rsidRPr="039D010A">
        <w:rPr>
          <w:rStyle w:val="normaltextrun"/>
          <w:rFonts w:ascii="Calibri" w:hAnsi="Calibri" w:cs="Calibri"/>
        </w:rPr>
        <w:t>)</w:t>
      </w:r>
      <w:r w:rsidRPr="039D010A">
        <w:rPr>
          <w:rStyle w:val="normaltextrun"/>
          <w:rFonts w:ascii="Calibri" w:hAnsi="Calibri" w:cs="Calibri"/>
        </w:rPr>
        <w:t xml:space="preserve"> contains the underlying data and projection functionality for </w:t>
      </w:r>
      <w:r w:rsidR="00460D7E" w:rsidRPr="039D010A">
        <w:rPr>
          <w:rStyle w:val="normaltextrun"/>
          <w:rFonts w:ascii="Calibri" w:hAnsi="Calibri" w:cs="Calibri"/>
        </w:rPr>
        <w:t xml:space="preserve">transport activity and emissions. This workbook </w:t>
      </w:r>
      <w:r w:rsidR="006563D4" w:rsidRPr="039D010A">
        <w:rPr>
          <w:rStyle w:val="normaltextrun"/>
          <w:rFonts w:ascii="Calibri" w:hAnsi="Calibri" w:cs="Calibri"/>
        </w:rPr>
        <w:t>interacts</w:t>
      </w:r>
      <w:r w:rsidR="00460D7E" w:rsidRPr="039D010A">
        <w:rPr>
          <w:rStyle w:val="normaltextrun"/>
          <w:rFonts w:ascii="Calibri" w:hAnsi="Calibri" w:cs="Calibri"/>
        </w:rPr>
        <w:t xml:space="preserve"> heavily with the </w:t>
      </w:r>
      <w:r w:rsidR="00460D7E" w:rsidRPr="039D010A">
        <w:rPr>
          <w:rStyle w:val="normaltextrun"/>
          <w:rFonts w:ascii="Calibri" w:hAnsi="Calibri" w:cs="Calibri"/>
          <w:b/>
          <w:bCs/>
        </w:rPr>
        <w:t xml:space="preserve">HIP </w:t>
      </w:r>
      <w:r w:rsidR="00460D7E" w:rsidRPr="039D010A">
        <w:rPr>
          <w:rStyle w:val="normaltextrun"/>
          <w:rFonts w:ascii="Calibri" w:hAnsi="Calibri" w:cs="Calibri"/>
        </w:rPr>
        <w:t xml:space="preserve">workbook </w:t>
      </w:r>
      <w:r w:rsidR="00477C19" w:rsidRPr="039D010A">
        <w:rPr>
          <w:rStyle w:val="normaltextrun"/>
          <w:rFonts w:ascii="Calibri" w:hAnsi="Calibri" w:cs="Calibri"/>
        </w:rPr>
        <w:t xml:space="preserve">by setting the requirement for </w:t>
      </w:r>
      <w:r w:rsidR="03653078" w:rsidRPr="039D010A">
        <w:rPr>
          <w:rStyle w:val="normaltextrun"/>
          <w:rFonts w:ascii="Calibri" w:hAnsi="Calibri" w:cs="Calibri"/>
        </w:rPr>
        <w:t>oil products</w:t>
      </w:r>
      <w:r w:rsidR="00983031" w:rsidRPr="039D010A">
        <w:rPr>
          <w:rStyle w:val="normaltextrun"/>
          <w:rFonts w:ascii="Calibri" w:hAnsi="Calibri" w:cs="Calibri"/>
        </w:rPr>
        <w:t xml:space="preserve">, </w:t>
      </w:r>
      <w:r w:rsidR="00F332C9" w:rsidRPr="039D010A">
        <w:rPr>
          <w:rStyle w:val="normaltextrun"/>
          <w:rFonts w:ascii="Calibri" w:hAnsi="Calibri" w:cs="Calibri"/>
        </w:rPr>
        <w:t>biofuels</w:t>
      </w:r>
      <w:r w:rsidR="00C9789A" w:rsidRPr="039D010A">
        <w:rPr>
          <w:rStyle w:val="normaltextrun"/>
          <w:rFonts w:ascii="Calibri" w:hAnsi="Calibri" w:cs="Calibri"/>
        </w:rPr>
        <w:t>,</w:t>
      </w:r>
      <w:r w:rsidR="004F1981" w:rsidRPr="039D010A">
        <w:rPr>
          <w:rStyle w:val="normaltextrun"/>
          <w:rFonts w:ascii="Calibri" w:hAnsi="Calibri" w:cs="Calibri"/>
        </w:rPr>
        <w:t xml:space="preserve"> and</w:t>
      </w:r>
      <w:r w:rsidR="00477C19" w:rsidRPr="039D010A">
        <w:rPr>
          <w:rStyle w:val="normaltextrun"/>
          <w:rFonts w:ascii="Calibri" w:hAnsi="Calibri" w:cs="Calibri"/>
        </w:rPr>
        <w:t xml:space="preserve"> </w:t>
      </w:r>
      <w:r w:rsidR="00F332C9" w:rsidRPr="039D010A">
        <w:rPr>
          <w:rStyle w:val="normaltextrun"/>
          <w:rFonts w:ascii="Calibri" w:hAnsi="Calibri" w:cs="Calibri"/>
        </w:rPr>
        <w:t>electricity demand</w:t>
      </w:r>
      <w:r w:rsidR="004F1981" w:rsidRPr="039D010A">
        <w:rPr>
          <w:rStyle w:val="normaltextrun"/>
          <w:rFonts w:ascii="Calibri" w:hAnsi="Calibri" w:cs="Calibri"/>
        </w:rPr>
        <w:t xml:space="preserve"> from </w:t>
      </w:r>
      <w:r w:rsidR="00301B45" w:rsidRPr="039D010A">
        <w:rPr>
          <w:rStyle w:val="normaltextrun"/>
          <w:rFonts w:ascii="Calibri" w:hAnsi="Calibri" w:cs="Calibri"/>
        </w:rPr>
        <w:t xml:space="preserve">the </w:t>
      </w:r>
      <w:r w:rsidR="004F1981" w:rsidRPr="039D010A">
        <w:rPr>
          <w:rStyle w:val="normaltextrun"/>
          <w:rFonts w:ascii="Calibri" w:hAnsi="Calibri" w:cs="Calibri"/>
        </w:rPr>
        <w:t>electrification of transport</w:t>
      </w:r>
      <w:r w:rsidR="00E16F35" w:rsidRPr="039D010A">
        <w:rPr>
          <w:rStyle w:val="normaltextrun"/>
          <w:rFonts w:ascii="Calibri" w:hAnsi="Calibri" w:cs="Calibri"/>
        </w:rPr>
        <w:t xml:space="preserve">. Transport outcomes are driven by </w:t>
      </w:r>
      <w:r w:rsidR="004F1981" w:rsidRPr="039D010A">
        <w:rPr>
          <w:rStyle w:val="normaltextrun"/>
          <w:rFonts w:ascii="Calibri" w:hAnsi="Calibri" w:cs="Calibri"/>
        </w:rPr>
        <w:t xml:space="preserve">the price of electricity which is calculated endogenously and passed from the </w:t>
      </w:r>
      <w:r w:rsidR="004F1981" w:rsidRPr="039D010A">
        <w:rPr>
          <w:rStyle w:val="normaltextrun"/>
          <w:rFonts w:ascii="Calibri" w:hAnsi="Calibri" w:cs="Calibri"/>
          <w:b/>
          <w:bCs/>
        </w:rPr>
        <w:t>HIP</w:t>
      </w:r>
      <w:r w:rsidR="004F1981" w:rsidRPr="039D010A">
        <w:rPr>
          <w:rStyle w:val="normaltextrun"/>
          <w:rFonts w:ascii="Calibri" w:hAnsi="Calibri" w:cs="Calibri"/>
        </w:rPr>
        <w:t xml:space="preserve"> </w:t>
      </w:r>
      <w:r w:rsidR="00161775" w:rsidRPr="039D010A">
        <w:rPr>
          <w:rStyle w:val="normaltextrun"/>
          <w:rFonts w:ascii="Calibri" w:hAnsi="Calibri" w:cs="Calibri"/>
        </w:rPr>
        <w:t>work</w:t>
      </w:r>
      <w:r w:rsidR="006563D4" w:rsidRPr="039D010A">
        <w:rPr>
          <w:rStyle w:val="normaltextrun"/>
          <w:rFonts w:ascii="Calibri" w:hAnsi="Calibri" w:cs="Calibri"/>
        </w:rPr>
        <w:t>book.</w:t>
      </w:r>
    </w:p>
    <w:p w14:paraId="41FE2230" w14:textId="512AD9B4" w:rsidR="00985E1A" w:rsidRPr="001E507E" w:rsidRDefault="00983031" w:rsidP="00E71301">
      <w:pPr>
        <w:rPr>
          <w:rStyle w:val="normaltextrun"/>
          <w:rFonts w:ascii="Calibri" w:hAnsi="Calibri" w:cs="Calibri"/>
          <w:highlight w:val="yellow"/>
        </w:rPr>
      </w:pPr>
      <w:r w:rsidRPr="039D010A">
        <w:rPr>
          <w:rStyle w:val="normaltextrun"/>
          <w:rFonts w:ascii="Calibri" w:hAnsi="Calibri" w:cs="Calibri"/>
        </w:rPr>
        <w:t xml:space="preserve">The </w:t>
      </w:r>
      <w:r w:rsidR="00791A9D" w:rsidRPr="039D010A">
        <w:rPr>
          <w:rStyle w:val="normaltextrun"/>
          <w:rFonts w:ascii="Calibri" w:hAnsi="Calibri" w:cs="Calibri"/>
          <w:b/>
          <w:bCs/>
        </w:rPr>
        <w:t>land</w:t>
      </w:r>
      <w:r w:rsidR="008961AB" w:rsidRPr="039D010A">
        <w:rPr>
          <w:rStyle w:val="normaltextrun"/>
          <w:rFonts w:ascii="Calibri" w:hAnsi="Calibri" w:cs="Calibri"/>
          <w:b/>
          <w:bCs/>
        </w:rPr>
        <w:t xml:space="preserve"> and waste</w:t>
      </w:r>
      <w:r w:rsidR="005B4FDB" w:rsidRPr="039D010A">
        <w:rPr>
          <w:rStyle w:val="normaltextrun"/>
          <w:rFonts w:ascii="Calibri" w:hAnsi="Calibri" w:cs="Calibri"/>
          <w:b/>
          <w:bCs/>
        </w:rPr>
        <w:t xml:space="preserve"> </w:t>
      </w:r>
      <w:r w:rsidR="00DE6EA2" w:rsidRPr="039D010A">
        <w:rPr>
          <w:rStyle w:val="normaltextrun"/>
          <w:rFonts w:ascii="Calibri" w:hAnsi="Calibri" w:cs="Calibri"/>
        </w:rPr>
        <w:t>work</w:t>
      </w:r>
      <w:r w:rsidR="005B4FDB" w:rsidRPr="039D010A">
        <w:rPr>
          <w:rStyle w:val="normaltextrun"/>
          <w:rFonts w:ascii="Calibri" w:hAnsi="Calibri" w:cs="Calibri"/>
        </w:rPr>
        <w:t>book</w:t>
      </w:r>
      <w:r w:rsidR="00791A9D" w:rsidRPr="039D010A">
        <w:rPr>
          <w:rStyle w:val="normaltextrun"/>
          <w:rFonts w:ascii="Calibri" w:hAnsi="Calibri" w:cs="Calibri"/>
        </w:rPr>
        <w:t xml:space="preserve"> (</w:t>
      </w:r>
      <w:proofErr w:type="spellStart"/>
      <w:r w:rsidR="005B4FDB" w:rsidRPr="039D010A">
        <w:rPr>
          <w:rStyle w:val="normaltextrun"/>
          <w:rFonts w:ascii="Calibri" w:hAnsi="Calibri" w:cs="Calibri"/>
          <w:b/>
          <w:bCs/>
        </w:rPr>
        <w:t>Ln</w:t>
      </w:r>
      <w:r w:rsidR="008961AB" w:rsidRPr="039D010A">
        <w:rPr>
          <w:rStyle w:val="normaltextrun"/>
          <w:rFonts w:ascii="Calibri" w:hAnsi="Calibri" w:cs="Calibri"/>
          <w:b/>
          <w:bCs/>
        </w:rPr>
        <w:t>W</w:t>
      </w:r>
      <w:proofErr w:type="spellEnd"/>
      <w:r w:rsidR="00791A9D" w:rsidRPr="039D010A">
        <w:rPr>
          <w:rStyle w:val="normaltextrun"/>
          <w:rFonts w:ascii="Calibri" w:hAnsi="Calibri" w:cs="Calibri"/>
        </w:rPr>
        <w:t>)</w:t>
      </w:r>
      <w:r w:rsidR="005B4FDB" w:rsidRPr="039D010A">
        <w:rPr>
          <w:rStyle w:val="normaltextrun"/>
          <w:rFonts w:ascii="Calibri" w:hAnsi="Calibri" w:cs="Calibri"/>
        </w:rPr>
        <w:t xml:space="preserve"> </w:t>
      </w:r>
      <w:r w:rsidR="00D54EEE" w:rsidRPr="039D010A">
        <w:rPr>
          <w:rStyle w:val="normaltextrun"/>
          <w:rFonts w:ascii="Calibri" w:hAnsi="Calibri" w:cs="Calibri"/>
        </w:rPr>
        <w:t>contains the underlying data and projection functionality for activity and emissions source or removals</w:t>
      </w:r>
      <w:r w:rsidR="002F2B4B" w:rsidRPr="039D010A">
        <w:rPr>
          <w:rStyle w:val="normaltextrun"/>
          <w:rFonts w:ascii="Calibri" w:hAnsi="Calibri" w:cs="Calibri"/>
        </w:rPr>
        <w:t xml:space="preserve"> in the agricultural</w:t>
      </w:r>
      <w:r w:rsidR="00BC5D6E" w:rsidRPr="039D010A">
        <w:rPr>
          <w:rStyle w:val="normaltextrun"/>
          <w:rFonts w:ascii="Calibri" w:hAnsi="Calibri" w:cs="Calibri"/>
        </w:rPr>
        <w:t xml:space="preserve">, </w:t>
      </w:r>
      <w:r w:rsidR="002F2B4B" w:rsidRPr="039D010A">
        <w:rPr>
          <w:rStyle w:val="normaltextrun"/>
          <w:rFonts w:ascii="Calibri" w:hAnsi="Calibri" w:cs="Calibri"/>
        </w:rPr>
        <w:t xml:space="preserve">forestry </w:t>
      </w:r>
      <w:r w:rsidR="00BC5D6E" w:rsidRPr="039D010A">
        <w:rPr>
          <w:rStyle w:val="normaltextrun"/>
          <w:rFonts w:ascii="Calibri" w:hAnsi="Calibri" w:cs="Calibri"/>
        </w:rPr>
        <w:t xml:space="preserve">and waste </w:t>
      </w:r>
      <w:r w:rsidR="002F2B4B" w:rsidRPr="039D010A">
        <w:rPr>
          <w:rStyle w:val="normaltextrun"/>
          <w:rFonts w:ascii="Calibri" w:hAnsi="Calibri" w:cs="Calibri"/>
        </w:rPr>
        <w:t>sectors</w:t>
      </w:r>
      <w:r w:rsidR="001210D0" w:rsidRPr="039D010A">
        <w:rPr>
          <w:rStyle w:val="normaltextrun"/>
          <w:rFonts w:ascii="Calibri" w:hAnsi="Calibri" w:cs="Calibri"/>
        </w:rPr>
        <w:t xml:space="preserve"> (note that emissions from energy use in the agricultural sector are </w:t>
      </w:r>
      <w:r w:rsidR="00E327DD" w:rsidRPr="039D010A">
        <w:rPr>
          <w:rStyle w:val="normaltextrun"/>
          <w:rFonts w:ascii="Calibri" w:hAnsi="Calibri" w:cs="Calibri"/>
        </w:rPr>
        <w:t xml:space="preserve">included under the </w:t>
      </w:r>
      <w:r w:rsidR="00E327DD" w:rsidRPr="039D010A">
        <w:rPr>
          <w:rStyle w:val="normaltextrun"/>
          <w:rFonts w:ascii="Calibri" w:hAnsi="Calibri" w:cs="Calibri"/>
          <w:b/>
          <w:bCs/>
        </w:rPr>
        <w:t xml:space="preserve">HIP </w:t>
      </w:r>
      <w:r w:rsidR="00DE6EA2" w:rsidRPr="039D010A">
        <w:rPr>
          <w:rStyle w:val="normaltextrun"/>
          <w:rFonts w:ascii="Calibri" w:hAnsi="Calibri" w:cs="Calibri"/>
        </w:rPr>
        <w:t>work</w:t>
      </w:r>
      <w:r w:rsidR="00E327DD" w:rsidRPr="039D010A">
        <w:rPr>
          <w:rStyle w:val="normaltextrun"/>
          <w:rFonts w:ascii="Calibri" w:hAnsi="Calibri" w:cs="Calibri"/>
        </w:rPr>
        <w:t xml:space="preserve">book and the </w:t>
      </w:r>
      <w:r w:rsidR="00791A9D" w:rsidRPr="039D010A">
        <w:rPr>
          <w:rStyle w:val="normaltextrun"/>
          <w:rFonts w:ascii="Calibri" w:hAnsi="Calibri" w:cs="Calibri"/>
          <w:b/>
          <w:bCs/>
        </w:rPr>
        <w:t>la</w:t>
      </w:r>
      <w:r w:rsidR="00E327DD" w:rsidRPr="039D010A">
        <w:rPr>
          <w:rStyle w:val="normaltextrun"/>
          <w:rFonts w:ascii="Calibri" w:hAnsi="Calibri" w:cs="Calibri"/>
          <w:b/>
          <w:bCs/>
        </w:rPr>
        <w:t>n</w:t>
      </w:r>
      <w:r w:rsidR="00BC5D6E" w:rsidRPr="039D010A">
        <w:rPr>
          <w:rStyle w:val="normaltextrun"/>
          <w:rFonts w:ascii="Calibri" w:hAnsi="Calibri" w:cs="Calibri"/>
          <w:b/>
          <w:bCs/>
        </w:rPr>
        <w:t>d and waste</w:t>
      </w:r>
      <w:r w:rsidR="00E327DD" w:rsidRPr="039D010A">
        <w:rPr>
          <w:rStyle w:val="normaltextrun"/>
          <w:rFonts w:ascii="Calibri" w:hAnsi="Calibri" w:cs="Calibri"/>
        </w:rPr>
        <w:t xml:space="preserve"> </w:t>
      </w:r>
      <w:r w:rsidR="00DE6EA2" w:rsidRPr="039D010A">
        <w:rPr>
          <w:rStyle w:val="normaltextrun"/>
          <w:rFonts w:ascii="Calibri" w:hAnsi="Calibri" w:cs="Calibri"/>
        </w:rPr>
        <w:t>work</w:t>
      </w:r>
      <w:r w:rsidR="00E327DD" w:rsidRPr="039D010A">
        <w:rPr>
          <w:rStyle w:val="normaltextrun"/>
          <w:rFonts w:ascii="Calibri" w:hAnsi="Calibri" w:cs="Calibri"/>
        </w:rPr>
        <w:t>book includes emissions from livestock).</w:t>
      </w:r>
      <w:r w:rsidR="00056F8B" w:rsidRPr="039D010A">
        <w:rPr>
          <w:rStyle w:val="normaltextrun"/>
          <w:rFonts w:ascii="Calibri" w:hAnsi="Calibri" w:cs="Calibri"/>
        </w:rPr>
        <w:t xml:space="preserve"> </w:t>
      </w:r>
      <w:r w:rsidR="0054597F" w:rsidRPr="039D010A">
        <w:rPr>
          <w:rStyle w:val="normaltextrun"/>
          <w:rFonts w:ascii="Calibri" w:hAnsi="Calibri" w:cs="Calibri"/>
        </w:rPr>
        <w:t xml:space="preserve">Forestry and agricultural production projected in the </w:t>
      </w:r>
      <w:r w:rsidR="00791A9D" w:rsidRPr="039D010A">
        <w:rPr>
          <w:rStyle w:val="normaltextrun"/>
          <w:rFonts w:ascii="Calibri" w:hAnsi="Calibri" w:cs="Calibri"/>
          <w:b/>
          <w:bCs/>
        </w:rPr>
        <w:t>land</w:t>
      </w:r>
      <w:r w:rsidR="00012A05" w:rsidRPr="039D010A">
        <w:rPr>
          <w:rStyle w:val="normaltextrun"/>
          <w:rFonts w:ascii="Calibri" w:hAnsi="Calibri" w:cs="Calibri"/>
          <w:b/>
          <w:bCs/>
        </w:rPr>
        <w:t xml:space="preserve"> and waste</w:t>
      </w:r>
      <w:r w:rsidR="0054597F" w:rsidRPr="039D010A">
        <w:rPr>
          <w:rStyle w:val="normaltextrun"/>
          <w:rFonts w:ascii="Calibri" w:hAnsi="Calibri" w:cs="Calibri"/>
          <w:b/>
          <w:bCs/>
        </w:rPr>
        <w:t xml:space="preserve"> </w:t>
      </w:r>
      <w:r w:rsidR="00DE6EA2" w:rsidRPr="039D010A">
        <w:rPr>
          <w:rStyle w:val="normaltextrun"/>
          <w:rFonts w:ascii="Calibri" w:hAnsi="Calibri" w:cs="Calibri"/>
        </w:rPr>
        <w:t>work</w:t>
      </w:r>
      <w:r w:rsidR="0054597F" w:rsidRPr="039D010A">
        <w:rPr>
          <w:rStyle w:val="normaltextrun"/>
          <w:rFonts w:ascii="Calibri" w:hAnsi="Calibri" w:cs="Calibri"/>
        </w:rPr>
        <w:t xml:space="preserve">book </w:t>
      </w:r>
      <w:r w:rsidR="00C62FC7" w:rsidRPr="039D010A">
        <w:rPr>
          <w:rStyle w:val="normaltextrun"/>
          <w:rFonts w:ascii="Calibri" w:hAnsi="Calibri" w:cs="Calibri"/>
        </w:rPr>
        <w:t xml:space="preserve">provides an input to the </w:t>
      </w:r>
      <w:r w:rsidR="00C62FC7" w:rsidRPr="039D010A">
        <w:rPr>
          <w:rStyle w:val="normaltextrun"/>
          <w:rFonts w:ascii="Calibri" w:hAnsi="Calibri" w:cs="Calibri"/>
          <w:b/>
          <w:bCs/>
        </w:rPr>
        <w:t>HIP</w:t>
      </w:r>
      <w:r w:rsidR="00C62FC7" w:rsidRPr="039D010A">
        <w:rPr>
          <w:rStyle w:val="normaltextrun"/>
          <w:rFonts w:ascii="Calibri" w:hAnsi="Calibri" w:cs="Calibri"/>
        </w:rPr>
        <w:t xml:space="preserve"> </w:t>
      </w:r>
      <w:r w:rsidR="00DE6EA2" w:rsidRPr="039D010A">
        <w:rPr>
          <w:rStyle w:val="normaltextrun"/>
          <w:rFonts w:ascii="Calibri" w:hAnsi="Calibri" w:cs="Calibri"/>
        </w:rPr>
        <w:t>work</w:t>
      </w:r>
      <w:r w:rsidR="00C62FC7" w:rsidRPr="039D010A">
        <w:rPr>
          <w:rStyle w:val="normaltextrun"/>
          <w:rFonts w:ascii="Calibri" w:hAnsi="Calibri" w:cs="Calibri"/>
        </w:rPr>
        <w:t>book where it sets the requirement for food processing and</w:t>
      </w:r>
      <w:r w:rsidR="001E56E9" w:rsidRPr="039D010A">
        <w:rPr>
          <w:rStyle w:val="normaltextrun"/>
          <w:rFonts w:ascii="Calibri" w:hAnsi="Calibri" w:cs="Calibri"/>
        </w:rPr>
        <w:t xml:space="preserve"> the availability of biomass as an energy resource.</w:t>
      </w:r>
    </w:p>
    <w:p w14:paraId="7EC0D7F9" w14:textId="33846CA0" w:rsidR="006E4247" w:rsidRPr="00FD4883" w:rsidRDefault="00985E1A" w:rsidP="00E71301">
      <w:pPr>
        <w:rPr>
          <w:rStyle w:val="normaltextrun"/>
          <w:rFonts w:ascii="Calibri" w:hAnsi="Calibri" w:cs="Calibri"/>
        </w:rPr>
      </w:pPr>
      <w:r w:rsidRPr="008F6CAF">
        <w:rPr>
          <w:rStyle w:val="normaltextrun"/>
          <w:rFonts w:ascii="Calibri" w:hAnsi="Calibri" w:cs="Calibri"/>
        </w:rPr>
        <w:t>When a model run is completed the output arrays which have been selected are saved into a unique results file which is identified with a timestamp.</w:t>
      </w:r>
    </w:p>
    <w:p w14:paraId="36CCD72A" w14:textId="77777777" w:rsidR="00881F1E" w:rsidRPr="00E71301" w:rsidRDefault="00881F1E" w:rsidP="00E71301">
      <w:pPr>
        <w:pStyle w:val="Heading2"/>
        <w:rPr>
          <w:rStyle w:val="normaltextrun"/>
        </w:rPr>
      </w:pPr>
      <w:bookmarkStart w:id="4" w:name="_Toc184814228"/>
      <w:r w:rsidRPr="008F6CAF">
        <w:rPr>
          <w:rStyle w:val="normaltextrun"/>
        </w:rPr>
        <w:t xml:space="preserve">Model </w:t>
      </w:r>
      <w:proofErr w:type="gramStart"/>
      <w:r w:rsidRPr="008F6CAF">
        <w:rPr>
          <w:rStyle w:val="normaltextrun"/>
        </w:rPr>
        <w:t>use</w:t>
      </w:r>
      <w:bookmarkEnd w:id="4"/>
      <w:proofErr w:type="gramEnd"/>
      <w:r w:rsidRPr="00E71301">
        <w:rPr>
          <w:rStyle w:val="normaltextrun"/>
        </w:rPr>
        <w:t> </w:t>
      </w:r>
    </w:p>
    <w:p w14:paraId="6071ED33" w14:textId="27A9D121" w:rsidR="00A13567" w:rsidRPr="001E507E" w:rsidRDefault="00A13567" w:rsidP="00E71301">
      <w:pPr>
        <w:rPr>
          <w:rStyle w:val="normaltextrun"/>
          <w:rFonts w:ascii="Calibri" w:hAnsi="Calibri" w:cs="Calibri"/>
          <w:b/>
          <w:bCs/>
          <w:highlight w:val="yellow"/>
        </w:rPr>
      </w:pPr>
      <w:r w:rsidRPr="008F6CAF">
        <w:rPr>
          <w:rStyle w:val="normaltextrun"/>
          <w:rFonts w:ascii="Calibri" w:hAnsi="Calibri" w:cs="Calibri"/>
        </w:rPr>
        <w:t>The model allows a scenario-based approach for projecting future emissions</w:t>
      </w:r>
      <w:r w:rsidR="009B46D9" w:rsidRPr="008F6CAF">
        <w:rPr>
          <w:rStyle w:val="normaltextrun"/>
          <w:rFonts w:ascii="Calibri" w:hAnsi="Calibri" w:cs="Calibri"/>
        </w:rPr>
        <w:t xml:space="preserve"> and other outcomes of interest</w:t>
      </w:r>
      <w:r w:rsidRPr="008F6CAF">
        <w:rPr>
          <w:rStyle w:val="normaltextrun"/>
          <w:rFonts w:ascii="Calibri" w:hAnsi="Calibri" w:cs="Calibri"/>
        </w:rPr>
        <w:t>. A scenario is a set of coherent assumptions a</w:t>
      </w:r>
      <w:r w:rsidR="00C25B74" w:rsidRPr="008F6CAF">
        <w:rPr>
          <w:rStyle w:val="normaltextrun"/>
          <w:rFonts w:ascii="Calibri" w:hAnsi="Calibri" w:cs="Calibri"/>
        </w:rPr>
        <w:t>bout how the world might develop. A scenario</w:t>
      </w:r>
      <w:r w:rsidR="0075169F" w:rsidRPr="008F6CAF">
        <w:rPr>
          <w:rStyle w:val="normaltextrun"/>
          <w:rFonts w:ascii="Calibri" w:hAnsi="Calibri" w:cs="Calibri"/>
        </w:rPr>
        <w:t>-</w:t>
      </w:r>
      <w:r w:rsidR="00C25B74" w:rsidRPr="008F6CAF">
        <w:rPr>
          <w:rStyle w:val="normaltextrun"/>
          <w:rFonts w:ascii="Calibri" w:hAnsi="Calibri" w:cs="Calibri"/>
        </w:rPr>
        <w:t xml:space="preserve">based approach allows the user to examine </w:t>
      </w:r>
      <w:r w:rsidR="0075169F" w:rsidRPr="008F6CAF">
        <w:rPr>
          <w:rStyle w:val="normaltextrun"/>
          <w:rFonts w:ascii="Calibri" w:hAnsi="Calibri" w:cs="Calibri"/>
        </w:rPr>
        <w:t>alternative ways th</w:t>
      </w:r>
      <w:r w:rsidR="00ED7CBA" w:rsidRPr="008F6CAF">
        <w:rPr>
          <w:rStyle w:val="normaltextrun"/>
          <w:rFonts w:ascii="Calibri" w:hAnsi="Calibri" w:cs="Calibri"/>
        </w:rPr>
        <w:t>at</w:t>
      </w:r>
      <w:r w:rsidR="0075169F" w:rsidRPr="008F6CAF">
        <w:rPr>
          <w:rStyle w:val="normaltextrun"/>
          <w:rFonts w:ascii="Calibri" w:hAnsi="Calibri" w:cs="Calibri"/>
        </w:rPr>
        <w:t xml:space="preserve"> future emissions could </w:t>
      </w:r>
      <w:r w:rsidR="00ED7CBA" w:rsidRPr="008F6CAF">
        <w:rPr>
          <w:rStyle w:val="normaltextrun"/>
          <w:rFonts w:ascii="Calibri" w:hAnsi="Calibri" w:cs="Calibri"/>
        </w:rPr>
        <w:t>evolve and the</w:t>
      </w:r>
      <w:r w:rsidR="0075169F" w:rsidRPr="008F6CAF">
        <w:rPr>
          <w:rStyle w:val="normaltextrun"/>
          <w:rFonts w:ascii="Calibri" w:hAnsi="Calibri" w:cs="Calibri"/>
        </w:rPr>
        <w:t xml:space="preserve"> impact of some of the key uncertainties around assumptions.</w:t>
      </w:r>
    </w:p>
    <w:p w14:paraId="58F04040" w14:textId="5234F1C3" w:rsidR="00BC6340" w:rsidRDefault="001A038D" w:rsidP="00E71301">
      <w:pPr>
        <w:rPr>
          <w:rStyle w:val="normaltextrun"/>
          <w:rFonts w:ascii="Calibri" w:hAnsi="Calibri" w:cs="Calibri"/>
        </w:rPr>
      </w:pPr>
      <w:r w:rsidRPr="00321A31">
        <w:rPr>
          <w:rStyle w:val="normaltextrun"/>
          <w:rFonts w:ascii="Calibri" w:hAnsi="Calibri" w:cs="Calibri"/>
        </w:rPr>
        <w:t>The ENZ model is</w:t>
      </w:r>
      <w:r w:rsidR="00321A31">
        <w:rPr>
          <w:rStyle w:val="normaltextrun"/>
          <w:rFonts w:ascii="Calibri" w:hAnsi="Calibri" w:cs="Calibri"/>
        </w:rPr>
        <w:t xml:space="preserve"> largely</w:t>
      </w:r>
      <w:r w:rsidRPr="00321A31">
        <w:rPr>
          <w:rStyle w:val="normaltextrun"/>
          <w:rFonts w:ascii="Calibri" w:hAnsi="Calibri" w:cs="Calibri"/>
        </w:rPr>
        <w:t xml:space="preserve"> controlled from the</w:t>
      </w:r>
      <w:r w:rsidRPr="00321A31">
        <w:rPr>
          <w:rStyle w:val="normaltextrun"/>
          <w:rFonts w:ascii="Calibri" w:hAnsi="Calibri" w:cs="Calibri"/>
          <w:b/>
        </w:rPr>
        <w:t xml:space="preserve"> </w:t>
      </w:r>
      <w:proofErr w:type="spellStart"/>
      <w:r w:rsidRPr="00321A31">
        <w:rPr>
          <w:rStyle w:val="normaltextrun"/>
          <w:rFonts w:ascii="Calibri" w:hAnsi="Calibri" w:cs="Calibri"/>
          <w:b/>
        </w:rPr>
        <w:t>Scn</w:t>
      </w:r>
      <w:proofErr w:type="spellEnd"/>
      <w:r w:rsidRPr="00321A31">
        <w:rPr>
          <w:rStyle w:val="normaltextrun"/>
          <w:rFonts w:ascii="Calibri" w:hAnsi="Calibri" w:cs="Calibri"/>
        </w:rPr>
        <w:t xml:space="preserve"> </w:t>
      </w:r>
      <w:r w:rsidR="00462919" w:rsidRPr="00321A31">
        <w:rPr>
          <w:rStyle w:val="normaltextrun"/>
          <w:rFonts w:ascii="Calibri" w:hAnsi="Calibri" w:cs="Calibri"/>
        </w:rPr>
        <w:t>work</w:t>
      </w:r>
      <w:r w:rsidRPr="00321A31">
        <w:rPr>
          <w:rStyle w:val="normaltextrun"/>
          <w:rFonts w:ascii="Calibri" w:hAnsi="Calibri" w:cs="Calibri"/>
        </w:rPr>
        <w:t xml:space="preserve">sheet of the </w:t>
      </w:r>
      <w:r w:rsidRPr="00321A31">
        <w:rPr>
          <w:rStyle w:val="normaltextrun"/>
          <w:rFonts w:ascii="Calibri" w:hAnsi="Calibri" w:cs="Calibri"/>
          <w:b/>
        </w:rPr>
        <w:t xml:space="preserve">Ctrl </w:t>
      </w:r>
      <w:r w:rsidRPr="00321A31">
        <w:rPr>
          <w:rStyle w:val="normaltextrun"/>
          <w:rFonts w:ascii="Calibri" w:hAnsi="Calibri" w:cs="Calibri"/>
        </w:rPr>
        <w:t xml:space="preserve">workbook. This sheet is referred to as the control panel from here on in. </w:t>
      </w:r>
    </w:p>
    <w:p w14:paraId="61FE362D" w14:textId="057F7205" w:rsidR="001A038D" w:rsidRPr="001E507E" w:rsidRDefault="001B5F12" w:rsidP="00E71301">
      <w:pPr>
        <w:rPr>
          <w:rStyle w:val="normaltextrun"/>
          <w:rFonts w:ascii="Calibri" w:hAnsi="Calibri" w:cs="Calibri"/>
          <w:highlight w:val="yellow"/>
        </w:rPr>
      </w:pPr>
      <w:r>
        <w:rPr>
          <w:rStyle w:val="normaltextrun"/>
          <w:rFonts w:ascii="Calibri" w:hAnsi="Calibri" w:cs="Calibri"/>
        </w:rPr>
        <w:t xml:space="preserve">Once scenarios have been defined the model is run using the </w:t>
      </w:r>
      <w:r>
        <w:rPr>
          <w:rStyle w:val="normaltextrun"/>
          <w:rFonts w:ascii="Calibri" w:hAnsi="Calibri" w:cs="Calibri"/>
          <w:b/>
          <w:bCs/>
        </w:rPr>
        <w:t>Code</w:t>
      </w:r>
      <w:r>
        <w:rPr>
          <w:rStyle w:val="normaltextrun"/>
          <w:rFonts w:ascii="Calibri" w:hAnsi="Calibri" w:cs="Calibri"/>
        </w:rPr>
        <w:t xml:space="preserve"> workbook. </w:t>
      </w:r>
    </w:p>
    <w:p w14:paraId="572A3BF4" w14:textId="5441D2C7" w:rsidR="00C91457" w:rsidRPr="008964D8" w:rsidRDefault="00C91457" w:rsidP="00984975">
      <w:pPr>
        <w:pStyle w:val="Heading2"/>
        <w:rPr>
          <w:rStyle w:val="normaltextrun"/>
        </w:rPr>
      </w:pPr>
      <w:bookmarkStart w:id="5" w:name="_Toc184814229"/>
      <w:r w:rsidRPr="008964D8">
        <w:rPr>
          <w:rStyle w:val="normaltextrun"/>
        </w:rPr>
        <w:t>Defining a scenario</w:t>
      </w:r>
      <w:bookmarkEnd w:id="5"/>
    </w:p>
    <w:p w14:paraId="117E0EF0" w14:textId="1851DB3F" w:rsidR="00B50C17" w:rsidRPr="00BC6340" w:rsidRDefault="2E0362ED" w:rsidP="00E71301">
      <w:pPr>
        <w:rPr>
          <w:rStyle w:val="normaltextrun"/>
          <w:rFonts w:ascii="Calibri" w:hAnsi="Calibri" w:cs="Calibri"/>
        </w:rPr>
      </w:pPr>
      <w:r w:rsidRPr="4868DAB2">
        <w:rPr>
          <w:rStyle w:val="normaltextrun"/>
          <w:rFonts w:ascii="Calibri" w:hAnsi="Calibri" w:cs="Calibri"/>
        </w:rPr>
        <w:t xml:space="preserve">Scenarios are defined by a </w:t>
      </w:r>
      <w:r w:rsidR="1C54B929" w:rsidRPr="4868DAB2">
        <w:rPr>
          <w:rStyle w:val="normaltextrun"/>
          <w:rFonts w:ascii="Calibri" w:hAnsi="Calibri" w:cs="Calibri"/>
        </w:rPr>
        <w:t>set</w:t>
      </w:r>
      <w:r w:rsidRPr="4868DAB2">
        <w:rPr>
          <w:rStyle w:val="normaltextrun"/>
          <w:rFonts w:ascii="Calibri" w:hAnsi="Calibri" w:cs="Calibri"/>
        </w:rPr>
        <w:t xml:space="preserve"> of </w:t>
      </w:r>
      <w:r w:rsidR="3F8766EB" w:rsidRPr="4868DAB2">
        <w:rPr>
          <w:rStyle w:val="normaltextrun"/>
          <w:rFonts w:ascii="Calibri" w:hAnsi="Calibri" w:cs="Calibri"/>
        </w:rPr>
        <w:t>scenario parameters which</w:t>
      </w:r>
      <w:r w:rsidR="24825E75" w:rsidRPr="4868DAB2">
        <w:rPr>
          <w:rStyle w:val="normaltextrun"/>
          <w:rFonts w:ascii="Calibri" w:hAnsi="Calibri" w:cs="Calibri"/>
        </w:rPr>
        <w:t xml:space="preserve"> drive outcomes</w:t>
      </w:r>
      <w:r w:rsidR="6FE014D9" w:rsidRPr="4868DAB2">
        <w:rPr>
          <w:rStyle w:val="normaltextrun"/>
          <w:rFonts w:ascii="Calibri" w:hAnsi="Calibri" w:cs="Calibri"/>
        </w:rPr>
        <w:t xml:space="preserve"> in </w:t>
      </w:r>
      <w:r w:rsidR="42FFC906" w:rsidRPr="4868DAB2">
        <w:rPr>
          <w:rStyle w:val="normaltextrun"/>
          <w:rFonts w:ascii="Calibri" w:hAnsi="Calibri" w:cs="Calibri"/>
        </w:rPr>
        <w:t xml:space="preserve">one or multiple dependent workbooks. Parameters can either </w:t>
      </w:r>
      <w:r w:rsidR="3CFFE74B" w:rsidRPr="4868DAB2">
        <w:rPr>
          <w:rStyle w:val="normaltextrun"/>
          <w:rFonts w:ascii="Calibri" w:hAnsi="Calibri" w:cs="Calibri"/>
        </w:rPr>
        <w:t>specify a key input – such a</w:t>
      </w:r>
      <w:r w:rsidR="6B6AE4EF" w:rsidRPr="4868DAB2">
        <w:rPr>
          <w:rStyle w:val="normaltextrun"/>
          <w:rFonts w:ascii="Calibri" w:hAnsi="Calibri" w:cs="Calibri"/>
        </w:rPr>
        <w:t>s t</w:t>
      </w:r>
      <w:r w:rsidR="7E060356" w:rsidRPr="4868DAB2">
        <w:rPr>
          <w:rStyle w:val="normaltextrun"/>
          <w:rFonts w:ascii="Calibri" w:hAnsi="Calibri" w:cs="Calibri"/>
        </w:rPr>
        <w:t>he oil price</w:t>
      </w:r>
      <w:r w:rsidR="23D2CAA0" w:rsidRPr="4868DAB2">
        <w:rPr>
          <w:rStyle w:val="normaltextrun"/>
          <w:rFonts w:ascii="Calibri" w:hAnsi="Calibri" w:cs="Calibri"/>
        </w:rPr>
        <w:t xml:space="preserve"> –</w:t>
      </w:r>
      <w:r w:rsidR="6B6AE4EF" w:rsidRPr="4868DAB2">
        <w:rPr>
          <w:rStyle w:val="normaltextrun"/>
          <w:rFonts w:ascii="Calibri" w:hAnsi="Calibri" w:cs="Calibri"/>
        </w:rPr>
        <w:t xml:space="preserve"> or set an alternative modelling dynam</w:t>
      </w:r>
      <w:r w:rsidR="6EA844D0" w:rsidRPr="4868DAB2">
        <w:rPr>
          <w:rStyle w:val="normaltextrun"/>
          <w:rFonts w:ascii="Calibri" w:hAnsi="Calibri" w:cs="Calibri"/>
        </w:rPr>
        <w:t xml:space="preserve">ic which is to operate. The </w:t>
      </w:r>
      <w:r w:rsidR="4A492670" w:rsidRPr="4868DAB2">
        <w:rPr>
          <w:rStyle w:val="normaltextrun"/>
          <w:rFonts w:ascii="Calibri" w:hAnsi="Calibri" w:cs="Calibri"/>
        </w:rPr>
        <w:t xml:space="preserve">scenario parameters are broken down under the categories of </w:t>
      </w:r>
      <w:r w:rsidR="0C6D4292" w:rsidRPr="4868DAB2">
        <w:rPr>
          <w:rStyle w:val="normaltextrun"/>
          <w:rFonts w:ascii="Calibri" w:hAnsi="Calibri" w:cs="Calibri"/>
        </w:rPr>
        <w:t>c</w:t>
      </w:r>
      <w:r w:rsidR="22727FF3" w:rsidRPr="4868DAB2">
        <w:rPr>
          <w:rStyle w:val="normaltextrun"/>
          <w:rFonts w:ascii="Calibri" w:hAnsi="Calibri" w:cs="Calibri"/>
        </w:rPr>
        <w:t>arbon pricing parameters</w:t>
      </w:r>
      <w:r w:rsidR="4A492670" w:rsidRPr="4868DAB2">
        <w:rPr>
          <w:rStyle w:val="normaltextrun"/>
          <w:rFonts w:ascii="Calibri" w:hAnsi="Calibri" w:cs="Calibri"/>
        </w:rPr>
        <w:t xml:space="preserve">, </w:t>
      </w:r>
      <w:r w:rsidR="78388B0A" w:rsidRPr="4868DAB2">
        <w:rPr>
          <w:rStyle w:val="normaltextrun"/>
          <w:rFonts w:ascii="Calibri" w:hAnsi="Calibri" w:cs="Calibri"/>
        </w:rPr>
        <w:t>e</w:t>
      </w:r>
      <w:r w:rsidR="4A492670" w:rsidRPr="4868DAB2">
        <w:rPr>
          <w:rStyle w:val="normaltextrun"/>
          <w:rFonts w:ascii="Calibri" w:hAnsi="Calibri" w:cs="Calibri"/>
        </w:rPr>
        <w:t>conomic driver</w:t>
      </w:r>
      <w:r w:rsidR="58B7773D" w:rsidRPr="4868DAB2">
        <w:rPr>
          <w:rStyle w:val="normaltextrun"/>
          <w:rFonts w:ascii="Calibri" w:hAnsi="Calibri" w:cs="Calibri"/>
        </w:rPr>
        <w:t xml:space="preserve"> parameters</w:t>
      </w:r>
      <w:r w:rsidR="4D060EB2" w:rsidRPr="4868DAB2">
        <w:rPr>
          <w:rStyle w:val="normaltextrun"/>
          <w:rFonts w:ascii="Calibri" w:hAnsi="Calibri" w:cs="Calibri"/>
        </w:rPr>
        <w:t xml:space="preserve">, HIP </w:t>
      </w:r>
      <w:r w:rsidR="58B7773D" w:rsidRPr="4868DAB2">
        <w:rPr>
          <w:rStyle w:val="normaltextrun"/>
          <w:rFonts w:ascii="Calibri" w:hAnsi="Calibri" w:cs="Calibri"/>
        </w:rPr>
        <w:t>parameters</w:t>
      </w:r>
      <w:r w:rsidR="4D060EB2" w:rsidRPr="4868DAB2">
        <w:rPr>
          <w:rStyle w:val="normaltextrun"/>
          <w:rFonts w:ascii="Calibri" w:hAnsi="Calibri" w:cs="Calibri"/>
        </w:rPr>
        <w:t xml:space="preserve">, </w:t>
      </w:r>
      <w:r w:rsidR="37160B6F" w:rsidRPr="4868DAB2">
        <w:rPr>
          <w:rStyle w:val="normaltextrun"/>
          <w:rFonts w:ascii="Calibri" w:hAnsi="Calibri" w:cs="Calibri"/>
        </w:rPr>
        <w:t>t</w:t>
      </w:r>
      <w:r w:rsidR="4D060EB2" w:rsidRPr="4868DAB2">
        <w:rPr>
          <w:rStyle w:val="normaltextrun"/>
          <w:rFonts w:ascii="Calibri" w:hAnsi="Calibri" w:cs="Calibri"/>
        </w:rPr>
        <w:t xml:space="preserve">ransport </w:t>
      </w:r>
      <w:r w:rsidR="58B7773D" w:rsidRPr="4868DAB2">
        <w:rPr>
          <w:rStyle w:val="normaltextrun"/>
          <w:rFonts w:ascii="Calibri" w:hAnsi="Calibri" w:cs="Calibri"/>
        </w:rPr>
        <w:t>parameters</w:t>
      </w:r>
      <w:r w:rsidR="4D060EB2" w:rsidRPr="4868DAB2">
        <w:rPr>
          <w:rStyle w:val="normaltextrun"/>
          <w:rFonts w:ascii="Calibri" w:hAnsi="Calibri" w:cs="Calibri"/>
        </w:rPr>
        <w:t xml:space="preserve">, </w:t>
      </w:r>
      <w:r w:rsidR="2DE96793" w:rsidRPr="4868DAB2">
        <w:rPr>
          <w:rStyle w:val="normaltextrun"/>
          <w:rFonts w:ascii="Calibri" w:hAnsi="Calibri" w:cs="Calibri"/>
        </w:rPr>
        <w:t>l</w:t>
      </w:r>
      <w:r w:rsidR="4D060EB2" w:rsidRPr="4868DAB2">
        <w:rPr>
          <w:rStyle w:val="normaltextrun"/>
          <w:rFonts w:ascii="Calibri" w:hAnsi="Calibri" w:cs="Calibri"/>
        </w:rPr>
        <w:t xml:space="preserve">and </w:t>
      </w:r>
      <w:r w:rsidR="58B7773D" w:rsidRPr="4868DAB2">
        <w:rPr>
          <w:rStyle w:val="normaltextrun"/>
          <w:rFonts w:ascii="Calibri" w:hAnsi="Calibri" w:cs="Calibri"/>
        </w:rPr>
        <w:t>parameters</w:t>
      </w:r>
      <w:r w:rsidR="4D060EB2" w:rsidRPr="4868DAB2">
        <w:rPr>
          <w:rStyle w:val="normaltextrun"/>
          <w:rFonts w:ascii="Calibri" w:hAnsi="Calibri" w:cs="Calibri"/>
        </w:rPr>
        <w:t xml:space="preserve"> and </w:t>
      </w:r>
      <w:r w:rsidR="4BD00C38" w:rsidRPr="4868DAB2">
        <w:rPr>
          <w:rStyle w:val="normaltextrun"/>
          <w:rFonts w:ascii="Calibri" w:hAnsi="Calibri" w:cs="Calibri"/>
        </w:rPr>
        <w:t>w</w:t>
      </w:r>
      <w:r w:rsidR="4D060EB2" w:rsidRPr="4868DAB2">
        <w:rPr>
          <w:rStyle w:val="normaltextrun"/>
          <w:rFonts w:ascii="Calibri" w:hAnsi="Calibri" w:cs="Calibri"/>
        </w:rPr>
        <w:t xml:space="preserve">aste </w:t>
      </w:r>
      <w:r w:rsidR="5F6F839A" w:rsidRPr="4868DAB2">
        <w:rPr>
          <w:rStyle w:val="normaltextrun"/>
          <w:rFonts w:ascii="Calibri" w:hAnsi="Calibri" w:cs="Calibri"/>
        </w:rPr>
        <w:t>parameters</w:t>
      </w:r>
      <w:r w:rsidR="4D060EB2" w:rsidRPr="4868DAB2">
        <w:rPr>
          <w:rStyle w:val="normaltextrun"/>
          <w:rFonts w:ascii="Calibri" w:hAnsi="Calibri" w:cs="Calibri"/>
        </w:rPr>
        <w:t>.</w:t>
      </w:r>
    </w:p>
    <w:p w14:paraId="495A858D" w14:textId="77277442" w:rsidR="00F86DA3" w:rsidRPr="001E507E" w:rsidRDefault="001E6C29" w:rsidP="00E71301">
      <w:pPr>
        <w:rPr>
          <w:rStyle w:val="normaltextrun"/>
          <w:rFonts w:ascii="Calibri" w:hAnsi="Calibri" w:cs="Calibri"/>
          <w:highlight w:val="yellow"/>
        </w:rPr>
      </w:pPr>
      <w:r w:rsidRPr="001633D1">
        <w:rPr>
          <w:rStyle w:val="normaltextrun"/>
          <w:rFonts w:ascii="Calibri" w:hAnsi="Calibri" w:cs="Calibri"/>
        </w:rPr>
        <w:t>Scenarios are defined in the columns across the control panel</w:t>
      </w:r>
      <w:r w:rsidR="002342E6" w:rsidRPr="001633D1">
        <w:rPr>
          <w:rStyle w:val="normaltextrun"/>
          <w:rFonts w:ascii="Calibri" w:hAnsi="Calibri" w:cs="Calibri"/>
        </w:rPr>
        <w:t xml:space="preserve">, starting from column </w:t>
      </w:r>
      <w:r w:rsidR="004519A3" w:rsidRPr="001633D1">
        <w:rPr>
          <w:rStyle w:val="normaltextrun"/>
          <w:rFonts w:ascii="Calibri" w:hAnsi="Calibri" w:cs="Calibri"/>
        </w:rPr>
        <w:t>I</w:t>
      </w:r>
      <w:r w:rsidR="00172497" w:rsidRPr="001633D1">
        <w:rPr>
          <w:rStyle w:val="normaltextrun"/>
          <w:rFonts w:ascii="Calibri" w:hAnsi="Calibri" w:cs="Calibri"/>
        </w:rPr>
        <w:t>.</w:t>
      </w:r>
      <w:r w:rsidR="00911A98" w:rsidRPr="001633D1">
        <w:rPr>
          <w:rStyle w:val="normaltextrun"/>
          <w:rFonts w:ascii="Calibri" w:hAnsi="Calibri" w:cs="Calibri"/>
        </w:rPr>
        <w:t xml:space="preserve"> The entries in </w:t>
      </w:r>
      <w:r w:rsidR="006B2997" w:rsidRPr="001633D1">
        <w:rPr>
          <w:rStyle w:val="normaltextrun"/>
          <w:rFonts w:ascii="Calibri" w:hAnsi="Calibri" w:cs="Calibri"/>
        </w:rPr>
        <w:t>c</w:t>
      </w:r>
      <w:r w:rsidR="00911A98" w:rsidRPr="001633D1">
        <w:rPr>
          <w:rStyle w:val="normaltextrun"/>
          <w:rFonts w:ascii="Calibri" w:hAnsi="Calibri" w:cs="Calibri"/>
        </w:rPr>
        <w:t xml:space="preserve">olumn </w:t>
      </w:r>
      <w:r w:rsidR="004519A3" w:rsidRPr="001633D1">
        <w:rPr>
          <w:rStyle w:val="normaltextrun"/>
          <w:rFonts w:ascii="Calibri" w:hAnsi="Calibri" w:cs="Calibri"/>
        </w:rPr>
        <w:t>I</w:t>
      </w:r>
      <w:r w:rsidR="00911A98" w:rsidRPr="001633D1">
        <w:rPr>
          <w:rStyle w:val="normaltextrun"/>
          <w:rFonts w:ascii="Calibri" w:hAnsi="Calibri" w:cs="Calibri"/>
        </w:rPr>
        <w:t xml:space="preserve"> of the </w:t>
      </w:r>
      <w:r w:rsidR="00CC7412" w:rsidRPr="001633D1">
        <w:rPr>
          <w:rStyle w:val="normaltextrun"/>
          <w:rFonts w:ascii="Calibri" w:hAnsi="Calibri" w:cs="Calibri"/>
          <w:b/>
          <w:bCs/>
        </w:rPr>
        <w:t>Ctrl</w:t>
      </w:r>
      <w:r w:rsidR="00CC7412" w:rsidRPr="001633D1">
        <w:rPr>
          <w:rStyle w:val="normaltextrun"/>
          <w:rFonts w:ascii="Calibri" w:hAnsi="Calibri" w:cs="Calibri"/>
        </w:rPr>
        <w:t xml:space="preserve"> work</w:t>
      </w:r>
      <w:r w:rsidR="003D7895" w:rsidRPr="001633D1">
        <w:rPr>
          <w:rStyle w:val="normaltextrun"/>
          <w:rFonts w:ascii="Calibri" w:hAnsi="Calibri" w:cs="Calibri"/>
        </w:rPr>
        <w:t>book define</w:t>
      </w:r>
      <w:r w:rsidR="00884383" w:rsidRPr="001633D1">
        <w:rPr>
          <w:rStyle w:val="normaltextrun"/>
          <w:rFonts w:ascii="Calibri" w:hAnsi="Calibri" w:cs="Calibri"/>
        </w:rPr>
        <w:t xml:space="preserve"> </w:t>
      </w:r>
      <w:r w:rsidR="00884383" w:rsidRPr="001633D1">
        <w:rPr>
          <w:rStyle w:val="normaltextrun"/>
          <w:rFonts w:ascii="Calibri" w:hAnsi="Calibri" w:cs="Calibri"/>
          <w:i/>
          <w:iCs/>
        </w:rPr>
        <w:t>th</w:t>
      </w:r>
      <w:r w:rsidR="003D7895" w:rsidRPr="001633D1">
        <w:rPr>
          <w:rStyle w:val="normaltextrun"/>
          <w:rFonts w:ascii="Calibri" w:hAnsi="Calibri" w:cs="Calibri"/>
          <w:i/>
          <w:iCs/>
        </w:rPr>
        <w:t xml:space="preserve">e </w:t>
      </w:r>
      <w:r w:rsidR="004519A3" w:rsidRPr="001633D1">
        <w:rPr>
          <w:rStyle w:val="normaltextrun"/>
          <w:rFonts w:ascii="Calibri" w:hAnsi="Calibri" w:cs="Calibri"/>
          <w:i/>
          <w:iCs/>
        </w:rPr>
        <w:t>reference</w:t>
      </w:r>
      <w:r w:rsidR="00F470D0" w:rsidRPr="001633D1">
        <w:rPr>
          <w:rStyle w:val="normaltextrun"/>
          <w:rFonts w:ascii="Calibri" w:hAnsi="Calibri" w:cs="Calibri"/>
          <w:i/>
          <w:iCs/>
        </w:rPr>
        <w:t xml:space="preserve"> </w:t>
      </w:r>
      <w:r w:rsidR="003D7895" w:rsidRPr="001633D1">
        <w:rPr>
          <w:rStyle w:val="normaltextrun"/>
          <w:rFonts w:ascii="Calibri" w:hAnsi="Calibri" w:cs="Calibri"/>
          <w:i/>
          <w:iCs/>
        </w:rPr>
        <w:t>scenario</w:t>
      </w:r>
      <w:r w:rsidR="003D7895" w:rsidRPr="001633D1">
        <w:rPr>
          <w:rStyle w:val="normaltextrun"/>
          <w:rFonts w:ascii="Calibri" w:hAnsi="Calibri" w:cs="Calibri"/>
        </w:rPr>
        <w:t xml:space="preserve">. Scenarios can be defined </w:t>
      </w:r>
      <w:r w:rsidR="00724D62" w:rsidRPr="001633D1">
        <w:rPr>
          <w:rStyle w:val="normaltextrun"/>
          <w:rFonts w:ascii="Calibri" w:hAnsi="Calibri" w:cs="Calibri"/>
        </w:rPr>
        <w:t>in relation</w:t>
      </w:r>
      <w:r w:rsidR="003D7895" w:rsidRPr="001633D1">
        <w:rPr>
          <w:rStyle w:val="normaltextrun"/>
          <w:rFonts w:ascii="Calibri" w:hAnsi="Calibri" w:cs="Calibri"/>
        </w:rPr>
        <w:t xml:space="preserve"> to another scena</w:t>
      </w:r>
      <w:r w:rsidR="00AE6FF2" w:rsidRPr="001633D1">
        <w:rPr>
          <w:rStyle w:val="normaltextrun"/>
          <w:rFonts w:ascii="Calibri" w:hAnsi="Calibri" w:cs="Calibri"/>
        </w:rPr>
        <w:t>rio</w:t>
      </w:r>
      <w:r w:rsidR="00AE6FF2" w:rsidRPr="002D1788">
        <w:rPr>
          <w:rStyle w:val="normaltextrun"/>
          <w:rFonts w:ascii="Calibri" w:hAnsi="Calibri" w:cs="Calibri"/>
        </w:rPr>
        <w:t>.</w:t>
      </w:r>
      <w:r w:rsidRPr="002D1788">
        <w:rPr>
          <w:rStyle w:val="normaltextrun"/>
          <w:rFonts w:ascii="Calibri" w:hAnsi="Calibri" w:cs="Calibri"/>
        </w:rPr>
        <w:t xml:space="preserve"> </w:t>
      </w:r>
      <w:r w:rsidR="00BD6AF6" w:rsidRPr="002D1788">
        <w:rPr>
          <w:rStyle w:val="normaltextrun"/>
          <w:rFonts w:ascii="Calibri" w:hAnsi="Calibri" w:cs="Calibri"/>
        </w:rPr>
        <w:t xml:space="preserve">Where a parameter is left undefined, the scenario inherits the </w:t>
      </w:r>
      <w:r w:rsidR="001A038D" w:rsidRPr="002D1788">
        <w:rPr>
          <w:rStyle w:val="normaltextrun"/>
          <w:rFonts w:ascii="Calibri" w:hAnsi="Calibri" w:cs="Calibri"/>
        </w:rPr>
        <w:t>para</w:t>
      </w:r>
      <w:r w:rsidR="001A038D" w:rsidRPr="00532EFB">
        <w:rPr>
          <w:rStyle w:val="normaltextrun"/>
          <w:rFonts w:ascii="Calibri" w:hAnsi="Calibri" w:cs="Calibri"/>
        </w:rPr>
        <w:t xml:space="preserve">meter of the </w:t>
      </w:r>
      <w:r w:rsidR="00724D62" w:rsidRPr="00532EFB">
        <w:rPr>
          <w:rStyle w:val="normaltextrun"/>
          <w:rFonts w:ascii="Calibri" w:hAnsi="Calibri" w:cs="Calibri"/>
        </w:rPr>
        <w:t>parent</w:t>
      </w:r>
      <w:r w:rsidR="001A038D" w:rsidRPr="00532EFB">
        <w:rPr>
          <w:rStyle w:val="normaltextrun"/>
          <w:rFonts w:ascii="Calibri" w:hAnsi="Calibri" w:cs="Calibri"/>
        </w:rPr>
        <w:t xml:space="preserve"> scenario. In this way</w:t>
      </w:r>
      <w:r w:rsidR="001A038D" w:rsidRPr="002D1788">
        <w:rPr>
          <w:rStyle w:val="normaltextrun"/>
          <w:rFonts w:ascii="Calibri" w:hAnsi="Calibri" w:cs="Calibri"/>
        </w:rPr>
        <w:t xml:space="preserve"> it is possible to specify only the parameters which </w:t>
      </w:r>
      <w:r w:rsidR="00AE6FF2" w:rsidRPr="002D1788">
        <w:rPr>
          <w:rStyle w:val="normaltextrun"/>
          <w:rFonts w:ascii="Calibri" w:hAnsi="Calibri" w:cs="Calibri"/>
        </w:rPr>
        <w:t xml:space="preserve">are </w:t>
      </w:r>
      <w:r w:rsidR="008A78B9" w:rsidRPr="002D1788">
        <w:rPr>
          <w:rStyle w:val="normaltextrun"/>
          <w:rFonts w:ascii="Calibri" w:hAnsi="Calibri" w:cs="Calibri"/>
        </w:rPr>
        <w:t>different</w:t>
      </w:r>
      <w:r w:rsidR="001A038D" w:rsidRPr="002D1788">
        <w:rPr>
          <w:rStyle w:val="normaltextrun"/>
          <w:rFonts w:ascii="Calibri" w:hAnsi="Calibri" w:cs="Calibri"/>
        </w:rPr>
        <w:t>.</w:t>
      </w:r>
    </w:p>
    <w:p w14:paraId="41139041" w14:textId="4D02DE84" w:rsidR="001E6C29" w:rsidRPr="001E507E" w:rsidRDefault="00B92F27" w:rsidP="00E71301">
      <w:pPr>
        <w:rPr>
          <w:rStyle w:val="normaltextrun"/>
          <w:rFonts w:ascii="Calibri" w:hAnsi="Calibri" w:cs="Calibri"/>
          <w:highlight w:val="yellow"/>
        </w:rPr>
      </w:pPr>
      <w:r w:rsidRPr="002D1788">
        <w:rPr>
          <w:rStyle w:val="normaltextrun"/>
          <w:rFonts w:ascii="Calibri" w:hAnsi="Calibri" w:cs="Calibri"/>
        </w:rPr>
        <w:t>When completing a model run, a scenario will be run if</w:t>
      </w:r>
      <w:r w:rsidR="000F11CE" w:rsidRPr="002D1788">
        <w:rPr>
          <w:rStyle w:val="normaltextrun"/>
          <w:rFonts w:ascii="Calibri" w:hAnsi="Calibri" w:cs="Calibri"/>
        </w:rPr>
        <w:t xml:space="preserve"> an ‘x’ is set in the run column (row 2).</w:t>
      </w:r>
    </w:p>
    <w:p w14:paraId="189BFD50" w14:textId="07BE29A4" w:rsidR="001E7604" w:rsidRPr="001E507E" w:rsidRDefault="001E7604" w:rsidP="00E71301">
      <w:pPr>
        <w:rPr>
          <w:rStyle w:val="normaltextrun"/>
          <w:rFonts w:ascii="Calibri" w:hAnsi="Calibri" w:cs="Calibri"/>
          <w:highlight w:val="yellow"/>
        </w:rPr>
      </w:pPr>
      <w:r w:rsidRPr="00A47EDD">
        <w:rPr>
          <w:rStyle w:val="normaltextrun"/>
          <w:rFonts w:ascii="Calibri" w:hAnsi="Calibri" w:cs="Calibri"/>
        </w:rPr>
        <w:t xml:space="preserve">The </w:t>
      </w:r>
      <w:r w:rsidRPr="00A47EDD">
        <w:rPr>
          <w:rStyle w:val="normaltextrun"/>
          <w:rFonts w:ascii="Calibri" w:hAnsi="Calibri" w:cs="Calibri"/>
          <w:b/>
        </w:rPr>
        <w:t>Ctrl</w:t>
      </w:r>
      <w:r w:rsidRPr="00A47EDD">
        <w:rPr>
          <w:rStyle w:val="normaltextrun"/>
          <w:rFonts w:ascii="Calibri" w:hAnsi="Calibri" w:cs="Calibri"/>
        </w:rPr>
        <w:t xml:space="preserve"> </w:t>
      </w:r>
      <w:r w:rsidR="00DE6EA2" w:rsidRPr="00A47EDD">
        <w:rPr>
          <w:rStyle w:val="normaltextrun"/>
          <w:rFonts w:ascii="Calibri" w:hAnsi="Calibri" w:cs="Calibri"/>
        </w:rPr>
        <w:t>work</w:t>
      </w:r>
      <w:r w:rsidRPr="00A47EDD">
        <w:rPr>
          <w:rStyle w:val="normaltextrun"/>
          <w:rFonts w:ascii="Calibri" w:hAnsi="Calibri" w:cs="Calibri"/>
        </w:rPr>
        <w:t xml:space="preserve">book comes prepopulated with the </w:t>
      </w:r>
      <w:r w:rsidRPr="00691907">
        <w:rPr>
          <w:rStyle w:val="normaltextrun"/>
          <w:rFonts w:ascii="Calibri" w:hAnsi="Calibri" w:cs="Calibri"/>
        </w:rPr>
        <w:t xml:space="preserve">scenario definitions which were used in </w:t>
      </w:r>
      <w:r w:rsidR="00137A93" w:rsidRPr="00E71301">
        <w:rPr>
          <w:rStyle w:val="normaltextrun"/>
          <w:rFonts w:ascii="Calibri" w:hAnsi="Calibri" w:cs="Calibri"/>
        </w:rPr>
        <w:t xml:space="preserve">our draft advice </w:t>
      </w:r>
      <w:r w:rsidR="00691907" w:rsidRPr="00E71301">
        <w:rPr>
          <w:rStyle w:val="normaltextrun"/>
          <w:rFonts w:ascii="Calibri" w:hAnsi="Calibri" w:cs="Calibri"/>
        </w:rPr>
        <w:t>on the fourth emissions budget</w:t>
      </w:r>
      <w:r w:rsidRPr="00E71301">
        <w:rPr>
          <w:rStyle w:val="normaltextrun"/>
          <w:rFonts w:ascii="Calibri" w:hAnsi="Calibri" w:cs="Calibri"/>
        </w:rPr>
        <w:t>.</w:t>
      </w:r>
      <w:r w:rsidR="00735DA5" w:rsidRPr="00E71301">
        <w:rPr>
          <w:rStyle w:val="normaltextrun"/>
          <w:rFonts w:ascii="Calibri" w:hAnsi="Calibri" w:cs="Calibri"/>
        </w:rPr>
        <w:t xml:space="preserve"> </w:t>
      </w:r>
      <w:r w:rsidR="00735DA5" w:rsidRPr="00691907">
        <w:rPr>
          <w:rStyle w:val="normaltextrun"/>
          <w:rFonts w:ascii="Calibri" w:hAnsi="Calibri" w:cs="Calibri"/>
        </w:rPr>
        <w:t>New scenarios</w:t>
      </w:r>
      <w:r w:rsidR="00735DA5" w:rsidRPr="00A47EDD">
        <w:rPr>
          <w:rStyle w:val="normaltextrun"/>
          <w:rFonts w:ascii="Calibri" w:hAnsi="Calibri" w:cs="Calibri"/>
        </w:rPr>
        <w:t xml:space="preserve"> can be added as new columns.</w:t>
      </w:r>
    </w:p>
    <w:p w14:paraId="14D49814" w14:textId="7AF951DD" w:rsidR="007014C5" w:rsidRPr="00A47EDD" w:rsidRDefault="007014C5" w:rsidP="007014C5">
      <w:pPr>
        <w:pStyle w:val="Heading2"/>
        <w:rPr>
          <w:rStyle w:val="normaltextrun"/>
        </w:rPr>
      </w:pPr>
      <w:bookmarkStart w:id="6" w:name="_Toc184814230"/>
      <w:r w:rsidRPr="00A47EDD">
        <w:rPr>
          <w:rStyle w:val="normaltextrun"/>
        </w:rPr>
        <w:lastRenderedPageBreak/>
        <w:t>Common scenario parameters</w:t>
      </w:r>
      <w:bookmarkEnd w:id="6"/>
    </w:p>
    <w:p w14:paraId="7839827B" w14:textId="05334728" w:rsidR="005C683E" w:rsidRPr="005C683E" w:rsidRDefault="294AE11E" w:rsidP="00E71301">
      <w:pPr>
        <w:rPr>
          <w:rStyle w:val="normaltextrun"/>
          <w:rFonts w:ascii="Calibri" w:hAnsi="Calibri" w:cs="Calibri"/>
        </w:rPr>
      </w:pPr>
      <w:r w:rsidRPr="4868DAB2">
        <w:rPr>
          <w:rStyle w:val="normaltextrun"/>
          <w:rFonts w:ascii="Calibri" w:hAnsi="Calibri" w:cs="Calibri"/>
        </w:rPr>
        <w:t xml:space="preserve">The emission pricing and economic driver projections are used in </w:t>
      </w:r>
      <w:proofErr w:type="gramStart"/>
      <w:r w:rsidRPr="4868DAB2">
        <w:rPr>
          <w:rStyle w:val="normaltextrun"/>
          <w:rFonts w:ascii="Calibri" w:hAnsi="Calibri" w:cs="Calibri"/>
        </w:rPr>
        <w:t>a number of</w:t>
      </w:r>
      <w:proofErr w:type="gramEnd"/>
      <w:r w:rsidRPr="4868DAB2">
        <w:rPr>
          <w:rStyle w:val="normaltextrun"/>
          <w:rFonts w:ascii="Calibri" w:hAnsi="Calibri" w:cs="Calibri"/>
        </w:rPr>
        <w:t xml:space="preserve"> the model workbooks. The projections of these are built up in the </w:t>
      </w:r>
      <w:r w:rsidRPr="4868DAB2">
        <w:rPr>
          <w:rStyle w:val="normaltextrun"/>
          <w:rFonts w:ascii="Calibri" w:hAnsi="Calibri" w:cs="Calibri"/>
          <w:b/>
          <w:bCs/>
        </w:rPr>
        <w:t>Assumptions</w:t>
      </w:r>
      <w:r w:rsidRPr="4868DAB2">
        <w:rPr>
          <w:rStyle w:val="normaltextrun"/>
          <w:rFonts w:ascii="Calibri" w:hAnsi="Calibri" w:cs="Calibri"/>
        </w:rPr>
        <w:t xml:space="preserve"> </w:t>
      </w:r>
      <w:r w:rsidR="25B24E54" w:rsidRPr="4868DAB2">
        <w:rPr>
          <w:rStyle w:val="normaltextrun"/>
          <w:rFonts w:ascii="Calibri" w:hAnsi="Calibri" w:cs="Calibri"/>
        </w:rPr>
        <w:t>worksheet</w:t>
      </w:r>
      <w:r w:rsidRPr="4868DAB2">
        <w:rPr>
          <w:rStyle w:val="normaltextrun"/>
          <w:rFonts w:ascii="Calibri" w:hAnsi="Calibri" w:cs="Calibri"/>
        </w:rPr>
        <w:t xml:space="preserve"> of the </w:t>
      </w:r>
      <w:r w:rsidRPr="4868DAB2">
        <w:rPr>
          <w:rStyle w:val="normaltextrun"/>
          <w:rFonts w:ascii="Calibri" w:hAnsi="Calibri" w:cs="Calibri"/>
          <w:b/>
          <w:bCs/>
        </w:rPr>
        <w:t xml:space="preserve">Ctrl </w:t>
      </w:r>
      <w:r w:rsidRPr="4868DAB2">
        <w:rPr>
          <w:rStyle w:val="normaltextrun"/>
          <w:rFonts w:ascii="Calibri" w:hAnsi="Calibri" w:cs="Calibri"/>
        </w:rPr>
        <w:t xml:space="preserve">workbook. The functionality on this </w:t>
      </w:r>
      <w:r w:rsidRPr="4868DAB2">
        <w:rPr>
          <w:rStyle w:val="normaltextrun"/>
          <w:rFonts w:ascii="Calibri" w:hAnsi="Calibri" w:cs="Calibri"/>
          <w:b/>
          <w:bCs/>
        </w:rPr>
        <w:t>Assumptions</w:t>
      </w:r>
      <w:r w:rsidRPr="4868DAB2">
        <w:rPr>
          <w:rStyle w:val="normaltextrun"/>
          <w:rFonts w:ascii="Calibri" w:hAnsi="Calibri" w:cs="Calibri"/>
        </w:rPr>
        <w:t xml:space="preserve"> </w:t>
      </w:r>
      <w:r w:rsidR="25B24E54" w:rsidRPr="4868DAB2">
        <w:rPr>
          <w:rStyle w:val="normaltextrun"/>
          <w:rFonts w:ascii="Calibri" w:hAnsi="Calibri" w:cs="Calibri"/>
        </w:rPr>
        <w:t>work</w:t>
      </w:r>
      <w:r w:rsidRPr="4868DAB2">
        <w:rPr>
          <w:rStyle w:val="normaltextrun"/>
          <w:rFonts w:ascii="Calibri" w:hAnsi="Calibri" w:cs="Calibri"/>
        </w:rPr>
        <w:t>sheet is largely the selection of projections in predefined arrays based on the scenario parameter settings which are then linked to the model workbooks. There are options for defining new emission value paths and it is simple to adjust settings for the other arrays.</w:t>
      </w:r>
    </w:p>
    <w:p w14:paraId="6B3B0240" w14:textId="55979EDE" w:rsidR="00A4690B" w:rsidRPr="005C683E" w:rsidRDefault="004C1221" w:rsidP="005B5180">
      <w:pPr>
        <w:pStyle w:val="Heading2"/>
        <w:rPr>
          <w:rStyle w:val="normaltextrun"/>
        </w:rPr>
      </w:pPr>
      <w:bookmarkStart w:id="7" w:name="_Toc184814231"/>
      <w:r w:rsidRPr="005C683E">
        <w:rPr>
          <w:rStyle w:val="normaltextrun"/>
        </w:rPr>
        <w:t>Running the model</w:t>
      </w:r>
      <w:bookmarkEnd w:id="7"/>
    </w:p>
    <w:p w14:paraId="02825FA3" w14:textId="70B952E1" w:rsidR="008C2251" w:rsidRPr="001E507E" w:rsidRDefault="00DE6453" w:rsidP="00E71301">
      <w:pPr>
        <w:rPr>
          <w:rStyle w:val="normaltextrun"/>
          <w:rFonts w:ascii="Calibri" w:hAnsi="Calibri" w:cs="Calibri"/>
          <w:highlight w:val="yellow"/>
        </w:rPr>
      </w:pPr>
      <w:r w:rsidRPr="005C683E">
        <w:rPr>
          <w:rStyle w:val="normaltextrun"/>
          <w:rFonts w:ascii="Calibri" w:hAnsi="Calibri" w:cs="Calibri"/>
        </w:rPr>
        <w:t xml:space="preserve">The </w:t>
      </w:r>
      <w:r w:rsidRPr="005C683E">
        <w:rPr>
          <w:rStyle w:val="normaltextrun"/>
          <w:rFonts w:ascii="Calibri" w:hAnsi="Calibri" w:cs="Calibri"/>
          <w:i/>
          <w:iCs/>
        </w:rPr>
        <w:t>run</w:t>
      </w:r>
      <w:r w:rsidRPr="005C683E">
        <w:rPr>
          <w:rStyle w:val="normaltextrun"/>
          <w:rFonts w:ascii="Calibri" w:hAnsi="Calibri" w:cs="Calibri"/>
        </w:rPr>
        <w:t xml:space="preserve"> button </w:t>
      </w:r>
      <w:r w:rsidR="00BE2C07" w:rsidRPr="005C683E">
        <w:rPr>
          <w:rStyle w:val="normaltextrun"/>
          <w:rFonts w:ascii="Calibri" w:hAnsi="Calibri" w:cs="Calibri"/>
        </w:rPr>
        <w:t xml:space="preserve">in the </w:t>
      </w:r>
      <w:r w:rsidR="00BE2C07" w:rsidRPr="005C683E">
        <w:rPr>
          <w:rStyle w:val="normaltextrun"/>
          <w:rFonts w:ascii="Calibri" w:hAnsi="Calibri" w:cs="Calibri"/>
          <w:b/>
          <w:bCs/>
        </w:rPr>
        <w:t>Code</w:t>
      </w:r>
      <w:r w:rsidR="00BE2C07" w:rsidRPr="005C683E">
        <w:rPr>
          <w:rStyle w:val="normaltextrun"/>
          <w:rFonts w:ascii="Calibri" w:hAnsi="Calibri" w:cs="Calibri"/>
        </w:rPr>
        <w:t xml:space="preserve"> workbook</w:t>
      </w:r>
      <w:r w:rsidRPr="005C683E">
        <w:rPr>
          <w:rStyle w:val="normaltextrun"/>
          <w:rFonts w:ascii="Calibri" w:hAnsi="Calibri" w:cs="Calibri"/>
        </w:rPr>
        <w:t xml:space="preserve"> </w:t>
      </w:r>
      <w:r w:rsidR="00A77E1B" w:rsidRPr="005C683E">
        <w:rPr>
          <w:rStyle w:val="normaltextrun"/>
          <w:rFonts w:ascii="Calibri" w:hAnsi="Calibri" w:cs="Calibri"/>
        </w:rPr>
        <w:t xml:space="preserve">is pressed to run the model. This launches a routine which steps through all the </w:t>
      </w:r>
      <w:r w:rsidR="00BE2C07" w:rsidRPr="005C683E">
        <w:rPr>
          <w:rStyle w:val="normaltextrun"/>
          <w:rFonts w:ascii="Calibri" w:hAnsi="Calibri" w:cs="Calibri"/>
        </w:rPr>
        <w:t>scenarios selected on the control panel</w:t>
      </w:r>
      <w:r w:rsidR="003534F9" w:rsidRPr="005C683E">
        <w:rPr>
          <w:rStyle w:val="normaltextrun"/>
          <w:rFonts w:ascii="Calibri" w:hAnsi="Calibri" w:cs="Calibri"/>
        </w:rPr>
        <w:t>, performs the model calculations</w:t>
      </w:r>
      <w:r w:rsidR="00376A41">
        <w:rPr>
          <w:rStyle w:val="normaltextrun"/>
          <w:rFonts w:ascii="Calibri" w:hAnsi="Calibri" w:cs="Calibri"/>
        </w:rPr>
        <w:t>,</w:t>
      </w:r>
      <w:r w:rsidR="006A687A" w:rsidRPr="005C683E">
        <w:rPr>
          <w:rStyle w:val="normaltextrun"/>
          <w:rFonts w:ascii="Calibri" w:hAnsi="Calibri" w:cs="Calibri"/>
        </w:rPr>
        <w:t xml:space="preserve"> and saves the specified output arrays into a results file.</w:t>
      </w:r>
      <w:r w:rsidR="006A687A" w:rsidRPr="00BE2C07">
        <w:rPr>
          <w:rStyle w:val="normaltextrun"/>
          <w:rFonts w:ascii="Calibri" w:hAnsi="Calibri" w:cs="Calibri"/>
        </w:rPr>
        <w:t xml:space="preserve"> </w:t>
      </w:r>
    </w:p>
    <w:p w14:paraId="2B373E9C" w14:textId="194CE8B0" w:rsidR="00603548" w:rsidRPr="00C20833" w:rsidRDefault="00603548" w:rsidP="00377F2A">
      <w:pPr>
        <w:pStyle w:val="Heading2"/>
        <w:rPr>
          <w:rStyle w:val="normaltextrun"/>
        </w:rPr>
      </w:pPr>
      <w:bookmarkStart w:id="8" w:name="_Toc184814232"/>
      <w:r w:rsidRPr="00C20833">
        <w:rPr>
          <w:rStyle w:val="normaltextrun"/>
        </w:rPr>
        <w:t xml:space="preserve">Specifying output </w:t>
      </w:r>
      <w:r w:rsidR="002523BF" w:rsidRPr="00C20833">
        <w:rPr>
          <w:rStyle w:val="normaltextrun"/>
        </w:rPr>
        <w:t xml:space="preserve">to include in results </w:t>
      </w:r>
      <w:proofErr w:type="gramStart"/>
      <w:r w:rsidR="002523BF" w:rsidRPr="00C20833">
        <w:rPr>
          <w:rStyle w:val="normaltextrun"/>
        </w:rPr>
        <w:t>file</w:t>
      </w:r>
      <w:bookmarkEnd w:id="8"/>
      <w:proofErr w:type="gramEnd"/>
    </w:p>
    <w:p w14:paraId="5DCBB24F" w14:textId="79304310" w:rsidR="007624C6" w:rsidRPr="001E507E" w:rsidRDefault="5A17CC74" w:rsidP="00E71301">
      <w:pPr>
        <w:rPr>
          <w:rStyle w:val="normaltextrun"/>
          <w:rFonts w:ascii="Calibri" w:hAnsi="Calibri" w:cs="Calibri"/>
          <w:highlight w:val="yellow"/>
          <w:u w:val="single"/>
        </w:rPr>
      </w:pPr>
      <w:r w:rsidRPr="4868DAB2">
        <w:rPr>
          <w:rStyle w:val="normaltextrun"/>
          <w:rFonts w:ascii="Calibri" w:hAnsi="Calibri" w:cs="Calibri"/>
        </w:rPr>
        <w:t xml:space="preserve">In addition to the core set of outputs, the user can specify whether to include </w:t>
      </w:r>
      <w:r w:rsidR="1EEBC549" w:rsidRPr="4868DAB2">
        <w:rPr>
          <w:rStyle w:val="normaltextrun"/>
          <w:rFonts w:ascii="Calibri" w:hAnsi="Calibri" w:cs="Calibri"/>
        </w:rPr>
        <w:t>additional outputs</w:t>
      </w:r>
      <w:r w:rsidR="0EBF26B6" w:rsidRPr="4868DAB2">
        <w:rPr>
          <w:rStyle w:val="normaltextrun"/>
          <w:rFonts w:ascii="Calibri" w:hAnsi="Calibri" w:cs="Calibri"/>
        </w:rPr>
        <w:t xml:space="preserve"> aligned in format with the greenhouse gas inventory</w:t>
      </w:r>
      <w:r w:rsidR="410FA0A4" w:rsidRPr="4868DAB2">
        <w:rPr>
          <w:rStyle w:val="normaltextrun"/>
          <w:rFonts w:ascii="Calibri" w:hAnsi="Calibri" w:cs="Calibri"/>
        </w:rPr>
        <w:t xml:space="preserve">. This is set using the </w:t>
      </w:r>
      <w:r w:rsidR="410FA0A4" w:rsidRPr="4868DAB2">
        <w:rPr>
          <w:rStyle w:val="normaltextrun"/>
          <w:rFonts w:ascii="Calibri" w:hAnsi="Calibri" w:cs="Calibri"/>
          <w:i/>
          <w:iCs/>
        </w:rPr>
        <w:t xml:space="preserve">Results to include </w:t>
      </w:r>
      <w:r w:rsidR="410FA0A4" w:rsidRPr="4868DAB2">
        <w:rPr>
          <w:rStyle w:val="normaltextrun"/>
          <w:rFonts w:ascii="Calibri" w:hAnsi="Calibri" w:cs="Calibri"/>
        </w:rPr>
        <w:t>parameter in the control panel. A value of ‘1’ outputs the core set, while a value of ‘2’ will include the</w:t>
      </w:r>
      <w:r w:rsidR="6497B15A" w:rsidRPr="4868DAB2">
        <w:rPr>
          <w:rStyle w:val="normaltextrun"/>
          <w:rFonts w:ascii="Calibri" w:hAnsi="Calibri" w:cs="Calibri"/>
        </w:rPr>
        <w:t xml:space="preserve"> core set, </w:t>
      </w:r>
      <w:r w:rsidR="410FA0A4" w:rsidRPr="4868DAB2">
        <w:rPr>
          <w:rStyle w:val="normaltextrun"/>
          <w:rFonts w:ascii="Calibri" w:hAnsi="Calibri" w:cs="Calibri"/>
        </w:rPr>
        <w:t xml:space="preserve">inventory </w:t>
      </w:r>
      <w:r w:rsidR="0EBF26B6" w:rsidRPr="4868DAB2">
        <w:rPr>
          <w:rStyle w:val="normaltextrun"/>
          <w:rFonts w:ascii="Calibri" w:hAnsi="Calibri" w:cs="Calibri"/>
        </w:rPr>
        <w:t>output</w:t>
      </w:r>
      <w:r w:rsidR="7D562C38" w:rsidRPr="4868DAB2">
        <w:rPr>
          <w:rStyle w:val="normaltextrun"/>
          <w:rFonts w:ascii="Calibri" w:hAnsi="Calibri" w:cs="Calibri"/>
        </w:rPr>
        <w:t xml:space="preserve"> and outputs needed for the </w:t>
      </w:r>
      <w:r w:rsidR="5BDA9966" w:rsidRPr="4868DAB2">
        <w:rPr>
          <w:rStyle w:val="normaltextrun"/>
          <w:rFonts w:ascii="Calibri" w:hAnsi="Calibri" w:cs="Calibri"/>
        </w:rPr>
        <w:t>C-PLAN</w:t>
      </w:r>
      <w:r w:rsidR="7D562C38" w:rsidRPr="4868DAB2">
        <w:rPr>
          <w:rStyle w:val="normaltextrun"/>
          <w:rFonts w:ascii="Calibri" w:hAnsi="Calibri" w:cs="Calibri"/>
        </w:rPr>
        <w:t xml:space="preserve"> model</w:t>
      </w:r>
      <w:r w:rsidR="0EBF26B6" w:rsidRPr="4868DAB2">
        <w:rPr>
          <w:rStyle w:val="normaltextrun"/>
          <w:rFonts w:ascii="Calibri" w:hAnsi="Calibri" w:cs="Calibri"/>
        </w:rPr>
        <w:t xml:space="preserve">. </w:t>
      </w:r>
    </w:p>
    <w:p w14:paraId="5E205E4F" w14:textId="7C8B8DEB" w:rsidR="00377F2A" w:rsidRPr="0072141F" w:rsidRDefault="00377F2A" w:rsidP="00FD0176">
      <w:pPr>
        <w:pStyle w:val="Heading2"/>
        <w:rPr>
          <w:rStyle w:val="normaltextrun"/>
        </w:rPr>
      </w:pPr>
      <w:bookmarkStart w:id="9" w:name="_Toc184814233"/>
      <w:r w:rsidRPr="0072141F">
        <w:rPr>
          <w:rStyle w:val="normaltextrun"/>
        </w:rPr>
        <w:t xml:space="preserve">The results </w:t>
      </w:r>
      <w:proofErr w:type="gramStart"/>
      <w:r w:rsidRPr="0072141F">
        <w:rPr>
          <w:rStyle w:val="normaltextrun"/>
        </w:rPr>
        <w:t>file</w:t>
      </w:r>
      <w:bookmarkEnd w:id="9"/>
      <w:proofErr w:type="gramEnd"/>
    </w:p>
    <w:p w14:paraId="24A729BE" w14:textId="0FCB3C62" w:rsidR="00377F2A" w:rsidRPr="0072141F" w:rsidRDefault="00A75A59" w:rsidP="00377F2A">
      <w:r w:rsidRPr="0072141F">
        <w:t xml:space="preserve">When the model </w:t>
      </w:r>
      <w:r w:rsidRPr="00207661">
        <w:t xml:space="preserve">runs it copies the </w:t>
      </w:r>
      <w:r w:rsidR="00207661">
        <w:t>outputs</w:t>
      </w:r>
      <w:r w:rsidRPr="00207661">
        <w:t xml:space="preserve"> for the specified scenarios</w:t>
      </w:r>
      <w:r w:rsidRPr="0072141F">
        <w:t xml:space="preserve"> into a results file. </w:t>
      </w:r>
      <w:r w:rsidR="005457BA" w:rsidRPr="0072141F">
        <w:t>The filename begins with ‘Res_’ and is appended with a datetime string</w:t>
      </w:r>
      <w:r w:rsidR="00B1362E" w:rsidRPr="0072141F">
        <w:t xml:space="preserve"> e</w:t>
      </w:r>
      <w:r w:rsidR="005457BA" w:rsidRPr="0072141F">
        <w:t>.g</w:t>
      </w:r>
      <w:r w:rsidR="00B1362E" w:rsidRPr="0072141F">
        <w:t>.</w:t>
      </w:r>
      <w:r w:rsidR="002E40F4">
        <w:t>,</w:t>
      </w:r>
      <w:r w:rsidR="005457BA" w:rsidRPr="0072141F">
        <w:t xml:space="preserve"> </w:t>
      </w:r>
      <w:r w:rsidR="007350EC" w:rsidRPr="0072141F">
        <w:t xml:space="preserve">the file ‘Res_202107161620’ is a record of a model run </w:t>
      </w:r>
      <w:r w:rsidR="00C94FAB">
        <w:t>that was started</w:t>
      </w:r>
      <w:r w:rsidR="00A64768" w:rsidRPr="0072141F">
        <w:t xml:space="preserve"> </w:t>
      </w:r>
      <w:r w:rsidR="007350EC" w:rsidRPr="0072141F">
        <w:t>on the 16</w:t>
      </w:r>
      <w:r w:rsidR="007350EC" w:rsidRPr="0072141F">
        <w:rPr>
          <w:vertAlign w:val="superscript"/>
        </w:rPr>
        <w:t>th</w:t>
      </w:r>
      <w:r w:rsidR="007350EC" w:rsidRPr="0072141F">
        <w:t xml:space="preserve"> of July 2021 at 4.20pm. </w:t>
      </w:r>
      <w:r w:rsidR="00EF407E" w:rsidRPr="0072141F">
        <w:t>The results files are saved into the Results directory</w:t>
      </w:r>
      <w:r w:rsidR="002B5AE6" w:rsidRPr="0072141F">
        <w:t xml:space="preserve"> in the </w:t>
      </w:r>
      <w:r w:rsidR="00DA5450" w:rsidRPr="0072141F">
        <w:t>directory where the model runs.</w:t>
      </w:r>
    </w:p>
    <w:p w14:paraId="7B19F3A1" w14:textId="6320E8A8" w:rsidR="00AA68DD" w:rsidRPr="007E782C" w:rsidRDefault="50119865" w:rsidP="00377F2A">
      <w:r>
        <w:t xml:space="preserve">The </w:t>
      </w:r>
      <w:proofErr w:type="spellStart"/>
      <w:r w:rsidR="7E3F776B" w:rsidRPr="4868DAB2">
        <w:rPr>
          <w:b/>
          <w:bCs/>
        </w:rPr>
        <w:t>RunParams</w:t>
      </w:r>
      <w:proofErr w:type="spellEnd"/>
      <w:r>
        <w:t xml:space="preserve"> </w:t>
      </w:r>
      <w:r w:rsidR="6CC9CA55">
        <w:t>work</w:t>
      </w:r>
      <w:r>
        <w:t xml:space="preserve">sheet of the results file is an exact copy of the control panel and </w:t>
      </w:r>
      <w:r w:rsidR="6457348B">
        <w:t xml:space="preserve">so records the </w:t>
      </w:r>
      <w:proofErr w:type="gramStart"/>
      <w:r w:rsidR="6457348B">
        <w:t>particular settings</w:t>
      </w:r>
      <w:proofErr w:type="gramEnd"/>
      <w:r w:rsidR="6457348B">
        <w:t xml:space="preserve"> for each model run. </w:t>
      </w:r>
      <w:r w:rsidR="08278FCA">
        <w:t xml:space="preserve">The </w:t>
      </w:r>
      <w:r w:rsidR="08278FCA" w:rsidRPr="4868DAB2">
        <w:rPr>
          <w:b/>
          <w:bCs/>
        </w:rPr>
        <w:t>Runs</w:t>
      </w:r>
      <w:r w:rsidR="08278FCA">
        <w:t xml:space="preserve"> </w:t>
      </w:r>
      <w:r w:rsidR="6CC9CA55">
        <w:t>work</w:t>
      </w:r>
      <w:r w:rsidR="08278FCA">
        <w:t xml:space="preserve">sheet </w:t>
      </w:r>
      <w:r w:rsidR="30A4789F">
        <w:t xml:space="preserve">lists each of the model runs completed. Each run is listed alongside a long string of all the assumptions selected for that </w:t>
      </w:r>
      <w:proofErr w:type="gramStart"/>
      <w:r w:rsidR="30A4789F">
        <w:t>particular run</w:t>
      </w:r>
      <w:proofErr w:type="gramEnd"/>
      <w:r w:rsidR="59565278">
        <w:t>.</w:t>
      </w:r>
      <w:r w:rsidR="30A4789F">
        <w:t xml:space="preserve"> </w:t>
      </w:r>
      <w:r w:rsidR="31FD7F32">
        <w:t>The</w:t>
      </w:r>
      <w:r w:rsidR="114CA81B">
        <w:t xml:space="preserve"> </w:t>
      </w:r>
      <w:r w:rsidR="31FD7F32" w:rsidRPr="4868DAB2">
        <w:rPr>
          <w:b/>
          <w:bCs/>
        </w:rPr>
        <w:t>Res</w:t>
      </w:r>
      <w:r w:rsidR="596AECB5">
        <w:t xml:space="preserve"> </w:t>
      </w:r>
      <w:r w:rsidR="31FD7F32">
        <w:t xml:space="preserve">tab contains one large table with all results from all </w:t>
      </w:r>
      <w:proofErr w:type="gramStart"/>
      <w:r w:rsidR="31FD7F32">
        <w:t>model</w:t>
      </w:r>
      <w:proofErr w:type="gramEnd"/>
      <w:r w:rsidR="31FD7F32">
        <w:t xml:space="preserve"> runs. </w:t>
      </w:r>
      <w:r w:rsidR="2B8A04AA">
        <w:t xml:space="preserve">This table has </w:t>
      </w:r>
      <w:proofErr w:type="gramStart"/>
      <w:r w:rsidR="2B8A04AA">
        <w:t>a number of</w:t>
      </w:r>
      <w:proofErr w:type="gramEnd"/>
      <w:r w:rsidR="2B8A04AA">
        <w:t xml:space="preserve"> columns which </w:t>
      </w:r>
      <w:r w:rsidR="6CECA552">
        <w:t>are used to identify each results sub-table</w:t>
      </w:r>
      <w:r w:rsidR="2F59BAE9">
        <w:t>:</w:t>
      </w:r>
      <w:r w:rsidR="6CECA552">
        <w:t xml:space="preserve"> </w:t>
      </w:r>
    </w:p>
    <w:p w14:paraId="09D3BB27" w14:textId="2DF5F724" w:rsidR="001E46A7" w:rsidRPr="00550F8A" w:rsidRDefault="63BCB0BC" w:rsidP="00AA68DD">
      <w:pPr>
        <w:pStyle w:val="ListParagraph"/>
        <w:numPr>
          <w:ilvl w:val="0"/>
          <w:numId w:val="18"/>
        </w:numPr>
      </w:pPr>
      <w:r>
        <w:t xml:space="preserve">Column A </w:t>
      </w:r>
      <w:r w:rsidR="133942BE">
        <w:t>'</w:t>
      </w:r>
      <w:r>
        <w:t>Scenario</w:t>
      </w:r>
      <w:r w:rsidR="0BBD4CFA">
        <w:t>'</w:t>
      </w:r>
      <w:r>
        <w:t xml:space="preserve"> – contains the name of the model run the results relate to (e.g.</w:t>
      </w:r>
      <w:r w:rsidR="0A1B26C1">
        <w:t>,</w:t>
      </w:r>
      <w:r>
        <w:t xml:space="preserve"> </w:t>
      </w:r>
      <w:r w:rsidR="4E0EAAE4">
        <w:t>'</w:t>
      </w:r>
      <w:r>
        <w:t>EB4 demonstration path</w:t>
      </w:r>
      <w:r w:rsidR="51A108C5">
        <w:t>'</w:t>
      </w:r>
      <w:r>
        <w:t>)</w:t>
      </w:r>
      <w:r w:rsidR="0A378D7E">
        <w:t>.</w:t>
      </w:r>
    </w:p>
    <w:p w14:paraId="26E0FEBC" w14:textId="511D1F1F" w:rsidR="00AA68DD" w:rsidRPr="00DC7D4E" w:rsidRDefault="715777DF" w:rsidP="00AA68DD">
      <w:pPr>
        <w:pStyle w:val="ListParagraph"/>
        <w:numPr>
          <w:ilvl w:val="0"/>
          <w:numId w:val="18"/>
        </w:numPr>
      </w:pPr>
      <w:r>
        <w:t xml:space="preserve">Column B </w:t>
      </w:r>
      <w:r w:rsidR="422C9478">
        <w:t>'</w:t>
      </w:r>
      <w:r>
        <w:t>Class</w:t>
      </w:r>
      <w:r w:rsidR="2C4D4C8C">
        <w:t>'</w:t>
      </w:r>
      <w:r>
        <w:t xml:space="preserve"> – </w:t>
      </w:r>
      <w:r w:rsidR="6E90BD7D">
        <w:t>contains the highest</w:t>
      </w:r>
      <w:r w:rsidR="0A1B26C1">
        <w:t>-</w:t>
      </w:r>
      <w:r w:rsidR="6E90BD7D">
        <w:t>level grouping of results type (e.g.</w:t>
      </w:r>
      <w:r w:rsidR="0A1B26C1">
        <w:t>,</w:t>
      </w:r>
      <w:r w:rsidR="6E90BD7D">
        <w:t xml:space="preserve"> </w:t>
      </w:r>
      <w:r w:rsidR="5DB18323">
        <w:t xml:space="preserve">inventory, </w:t>
      </w:r>
      <w:r w:rsidR="6E90BD7D">
        <w:t>emissions, financial</w:t>
      </w:r>
      <w:r w:rsidR="64D3505E">
        <w:t>).</w:t>
      </w:r>
    </w:p>
    <w:p w14:paraId="267FBC05" w14:textId="2BE44AF3" w:rsidR="005C3B70" w:rsidRPr="00DC7D4E" w:rsidRDefault="715777DF" w:rsidP="00AA68DD">
      <w:pPr>
        <w:pStyle w:val="ListParagraph"/>
        <w:numPr>
          <w:ilvl w:val="0"/>
          <w:numId w:val="18"/>
        </w:numPr>
      </w:pPr>
      <w:r>
        <w:t xml:space="preserve">Column C </w:t>
      </w:r>
      <w:r w:rsidR="2671D1F0">
        <w:t>'</w:t>
      </w:r>
      <w:r>
        <w:t>Table</w:t>
      </w:r>
      <w:r w:rsidR="7850615A">
        <w:t>'</w:t>
      </w:r>
      <w:r>
        <w:t xml:space="preserve"> – </w:t>
      </w:r>
      <w:r w:rsidR="64D3505E">
        <w:t>contains the name of the sub-table (e.g.</w:t>
      </w:r>
      <w:r w:rsidR="613A94FB">
        <w:t>,</w:t>
      </w:r>
      <w:r w:rsidR="64D3505E">
        <w:t xml:space="preserve"> </w:t>
      </w:r>
      <w:r w:rsidR="2FBC677F">
        <w:t>'</w:t>
      </w:r>
      <w:proofErr w:type="spellStart"/>
      <w:r w:rsidR="0C7996F9">
        <w:t>Summary_All_Emissions</w:t>
      </w:r>
      <w:proofErr w:type="spellEnd"/>
      <w:r w:rsidR="56D3FEA5">
        <w:t>'</w:t>
      </w:r>
      <w:r w:rsidR="0C7996F9">
        <w:t>)</w:t>
      </w:r>
    </w:p>
    <w:p w14:paraId="030E379F" w14:textId="5FFA3C50" w:rsidR="005C3B70" w:rsidRPr="008A1ACA" w:rsidRDefault="715777DF" w:rsidP="00AA68DD">
      <w:pPr>
        <w:pStyle w:val="ListParagraph"/>
        <w:numPr>
          <w:ilvl w:val="0"/>
          <w:numId w:val="18"/>
        </w:numPr>
      </w:pPr>
      <w:r>
        <w:t xml:space="preserve">Column D </w:t>
      </w:r>
      <w:r w:rsidR="4D3250F5">
        <w:t>'</w:t>
      </w:r>
      <w:r>
        <w:t>Unit</w:t>
      </w:r>
      <w:r w:rsidR="7C35FF9C">
        <w:t>'</w:t>
      </w:r>
      <w:r>
        <w:t xml:space="preserve"> –</w:t>
      </w:r>
      <w:r w:rsidR="0C7996F9">
        <w:t xml:space="preserve"> the unit the results row is measured in (e.g.</w:t>
      </w:r>
      <w:r w:rsidR="613A94FB">
        <w:t>,</w:t>
      </w:r>
      <w:r w:rsidR="0C7996F9">
        <w:t xml:space="preserve"> ktCO2e)</w:t>
      </w:r>
    </w:p>
    <w:p w14:paraId="2A1E7C99" w14:textId="01472140" w:rsidR="005C3B70" w:rsidRPr="0061731E" w:rsidRDefault="715777DF" w:rsidP="00AA68DD">
      <w:pPr>
        <w:pStyle w:val="ListParagraph"/>
        <w:numPr>
          <w:ilvl w:val="0"/>
          <w:numId w:val="18"/>
        </w:numPr>
      </w:pPr>
      <w:r>
        <w:t xml:space="preserve">Column E </w:t>
      </w:r>
      <w:r w:rsidR="2FA3E90A">
        <w:t>'S</w:t>
      </w:r>
      <w:r w:rsidR="2F892995">
        <w:t>ector</w:t>
      </w:r>
      <w:r w:rsidR="18E6C4A4">
        <w:t>'</w:t>
      </w:r>
      <w:r>
        <w:t xml:space="preserve"> </w:t>
      </w:r>
      <w:r w:rsidR="2F892995">
        <w:t>–</w:t>
      </w:r>
      <w:r>
        <w:t xml:space="preserve"> </w:t>
      </w:r>
      <w:r w:rsidR="1251443E">
        <w:t>sector or group the results relate to (e.g.</w:t>
      </w:r>
      <w:r w:rsidR="613A94FB">
        <w:t>,</w:t>
      </w:r>
      <w:r w:rsidR="1251443E">
        <w:t xml:space="preserve"> </w:t>
      </w:r>
      <w:r w:rsidR="59430B81">
        <w:t>'</w:t>
      </w:r>
      <w:r w:rsidR="1251443E">
        <w:t>Transport</w:t>
      </w:r>
      <w:r w:rsidR="1BB0F7F8">
        <w:t>'</w:t>
      </w:r>
      <w:r w:rsidR="08FB25AE">
        <w:t xml:space="preserve">, also includes </w:t>
      </w:r>
      <w:r w:rsidR="47F49CBB">
        <w:t>'</w:t>
      </w:r>
      <w:r w:rsidR="08FB25AE">
        <w:t>Net</w:t>
      </w:r>
      <w:r w:rsidR="760A522A">
        <w:t>'</w:t>
      </w:r>
      <w:r w:rsidR="08FB25AE">
        <w:t xml:space="preserve"> and </w:t>
      </w:r>
      <w:r w:rsidR="76A41E07">
        <w:t>'</w:t>
      </w:r>
      <w:r w:rsidR="08FB25AE">
        <w:t>Gross</w:t>
      </w:r>
      <w:r w:rsidR="57756DA3">
        <w:t>'</w:t>
      </w:r>
      <w:r w:rsidR="08FB25AE">
        <w:t>)</w:t>
      </w:r>
    </w:p>
    <w:p w14:paraId="44A04799" w14:textId="066D0ECD" w:rsidR="006B55AD" w:rsidRPr="0061731E" w:rsidRDefault="1008CF64" w:rsidP="00AA68DD">
      <w:pPr>
        <w:pStyle w:val="ListParagraph"/>
        <w:numPr>
          <w:ilvl w:val="0"/>
          <w:numId w:val="18"/>
        </w:numPr>
      </w:pPr>
      <w:r>
        <w:t xml:space="preserve">Columns F-K </w:t>
      </w:r>
      <w:r w:rsidR="62A464DB">
        <w:t>'</w:t>
      </w:r>
      <w:r>
        <w:t>ID1</w:t>
      </w:r>
      <w:r w:rsidR="1EA84517">
        <w:t>'</w:t>
      </w:r>
      <w:r>
        <w:t>-</w:t>
      </w:r>
      <w:r w:rsidR="4D5FBDFD">
        <w:t>'</w:t>
      </w:r>
      <w:r>
        <w:t>ID6</w:t>
      </w:r>
      <w:r w:rsidR="184C8C5C">
        <w:t>'</w:t>
      </w:r>
      <w:r>
        <w:t xml:space="preserve"> – </w:t>
      </w:r>
      <w:r w:rsidR="0A378D7E">
        <w:t>additional columns to identify the specific results each row relates to.</w:t>
      </w:r>
    </w:p>
    <w:p w14:paraId="7E53C860" w14:textId="70C3993C" w:rsidR="0091406D" w:rsidRPr="009265E3" w:rsidRDefault="337F14FE" w:rsidP="0091406D">
      <w:pPr>
        <w:pStyle w:val="ListParagraph"/>
        <w:numPr>
          <w:ilvl w:val="0"/>
          <w:numId w:val="18"/>
        </w:numPr>
      </w:pPr>
      <w:r>
        <w:t xml:space="preserve">Column L </w:t>
      </w:r>
      <w:r w:rsidR="5D29D56C">
        <w:t>'</w:t>
      </w:r>
      <w:proofErr w:type="spellStart"/>
      <w:r>
        <w:t>LongName</w:t>
      </w:r>
      <w:proofErr w:type="spellEnd"/>
      <w:r w:rsidR="0E31F89B">
        <w:t>'</w:t>
      </w:r>
      <w:r>
        <w:t xml:space="preserve"> – </w:t>
      </w:r>
      <w:r w:rsidR="28BBCBA7">
        <w:t xml:space="preserve">relates specifically to the results that align with the greenhouse gas inventory groupings. Contains the long name from the inventory. </w:t>
      </w:r>
    </w:p>
    <w:p w14:paraId="3FD391F9" w14:textId="3C71C65A" w:rsidR="001E46A7" w:rsidRPr="004103FD" w:rsidRDefault="70F7FAF8" w:rsidP="00377F2A">
      <w:pPr>
        <w:pStyle w:val="ListParagraph"/>
        <w:numPr>
          <w:ilvl w:val="0"/>
          <w:numId w:val="18"/>
        </w:numPr>
      </w:pPr>
      <w:r>
        <w:t xml:space="preserve">Columns </w:t>
      </w:r>
      <w:r w:rsidR="70E30750">
        <w:t xml:space="preserve">M-CT </w:t>
      </w:r>
      <w:r w:rsidR="308C9AA8">
        <w:t>'</w:t>
      </w:r>
      <w:r w:rsidR="70E30750">
        <w:t>1990</w:t>
      </w:r>
      <w:r w:rsidR="7405536E">
        <w:t>'</w:t>
      </w:r>
      <w:r w:rsidR="70E30750">
        <w:t>-</w:t>
      </w:r>
      <w:r w:rsidR="4C8BD964">
        <w:t>'2</w:t>
      </w:r>
      <w:r w:rsidR="70E30750">
        <w:t>075</w:t>
      </w:r>
      <w:r w:rsidR="0B97F240">
        <w:t>'</w:t>
      </w:r>
      <w:r w:rsidR="70E30750">
        <w:t xml:space="preserve">– contains the results for each year. Projected values </w:t>
      </w:r>
      <w:r w:rsidR="35C64620">
        <w:t xml:space="preserve">generally </w:t>
      </w:r>
      <w:r w:rsidR="70E30750">
        <w:t>start from 202</w:t>
      </w:r>
      <w:r w:rsidR="759C70B5">
        <w:t>3.</w:t>
      </w:r>
      <w:r w:rsidR="35C64620">
        <w:t xml:space="preserve"> </w:t>
      </w:r>
    </w:p>
    <w:p w14:paraId="282E76F4" w14:textId="77777777" w:rsidR="00DE6453" w:rsidRPr="00F828A4" w:rsidRDefault="00DE6453" w:rsidP="00DE6453">
      <w:pPr>
        <w:pStyle w:val="Heading2"/>
        <w:rPr>
          <w:rStyle w:val="normaltextrun"/>
        </w:rPr>
      </w:pPr>
      <w:bookmarkStart w:id="10" w:name="_Toc184814234"/>
      <w:r w:rsidRPr="00F828A4">
        <w:rPr>
          <w:rStyle w:val="normaltextrun"/>
        </w:rPr>
        <w:t>Live viewing a scenario</w:t>
      </w:r>
      <w:bookmarkEnd w:id="10"/>
    </w:p>
    <w:p w14:paraId="19963BBF" w14:textId="77777777" w:rsidR="00DE6453" w:rsidRPr="00F828A4" w:rsidRDefault="00DE6453" w:rsidP="00DE6453">
      <w:pPr>
        <w:pStyle w:val="paragraph"/>
        <w:spacing w:before="0" w:beforeAutospacing="0" w:after="0" w:afterAutospacing="0"/>
        <w:textAlignment w:val="baseline"/>
        <w:rPr>
          <w:rStyle w:val="normaltextrun"/>
          <w:rFonts w:ascii="Calibri" w:hAnsi="Calibri" w:cs="Calibri"/>
          <w:sz w:val="22"/>
          <w:szCs w:val="22"/>
          <w:u w:val="single"/>
        </w:rPr>
      </w:pPr>
    </w:p>
    <w:p w14:paraId="755B7206" w14:textId="5CF2568C" w:rsidR="00DC2235" w:rsidRPr="00BD0FA8" w:rsidRDefault="57FB3712" w:rsidP="00E71301">
      <w:pPr>
        <w:rPr>
          <w:rStyle w:val="normaltextrun"/>
          <w:rFonts w:ascii="Calibri" w:hAnsi="Calibri" w:cs="Calibri"/>
        </w:rPr>
      </w:pPr>
      <w:r w:rsidRPr="4868DAB2">
        <w:rPr>
          <w:rStyle w:val="normaltextrun"/>
          <w:rFonts w:ascii="Calibri" w:hAnsi="Calibri" w:cs="Calibri"/>
        </w:rPr>
        <w:lastRenderedPageBreak/>
        <w:t xml:space="preserve">A scenario can be selected for live viewing by setting cell </w:t>
      </w:r>
      <w:r w:rsidR="06CC85F5" w:rsidRPr="4868DAB2">
        <w:rPr>
          <w:rStyle w:val="normaltextrun"/>
          <w:rFonts w:ascii="Calibri" w:hAnsi="Calibri" w:cs="Calibri"/>
        </w:rPr>
        <w:t>E1</w:t>
      </w:r>
      <w:r w:rsidRPr="4868DAB2">
        <w:rPr>
          <w:rStyle w:val="normaltextrun"/>
          <w:rFonts w:ascii="Calibri" w:hAnsi="Calibri" w:cs="Calibri"/>
        </w:rPr>
        <w:t xml:space="preserve"> of the Ctrl </w:t>
      </w:r>
      <w:r w:rsidR="68D5BA98" w:rsidRPr="4868DAB2">
        <w:rPr>
          <w:rStyle w:val="normaltextrun"/>
          <w:rFonts w:ascii="Calibri" w:hAnsi="Calibri" w:cs="Calibri"/>
        </w:rPr>
        <w:t>work</w:t>
      </w:r>
      <w:r w:rsidRPr="4868DAB2">
        <w:rPr>
          <w:rStyle w:val="normaltextrun"/>
          <w:rFonts w:ascii="Calibri" w:hAnsi="Calibri" w:cs="Calibri"/>
        </w:rPr>
        <w:t>book to the desired scenario number (</w:t>
      </w:r>
      <w:r w:rsidR="68D5BA98" w:rsidRPr="4868DAB2">
        <w:rPr>
          <w:rStyle w:val="normaltextrun"/>
          <w:rFonts w:ascii="Calibri" w:hAnsi="Calibri" w:cs="Calibri"/>
        </w:rPr>
        <w:t>e.g.,</w:t>
      </w:r>
      <w:r w:rsidRPr="4868DAB2">
        <w:rPr>
          <w:rStyle w:val="normaltextrun"/>
          <w:rFonts w:ascii="Calibri" w:hAnsi="Calibri" w:cs="Calibri"/>
        </w:rPr>
        <w:t xml:space="preserve"> the</w:t>
      </w:r>
      <w:r w:rsidR="290047E3" w:rsidRPr="4868DAB2">
        <w:rPr>
          <w:rStyle w:val="normaltextrun"/>
          <w:rFonts w:ascii="Calibri" w:hAnsi="Calibri" w:cs="Calibri"/>
        </w:rPr>
        <w:t xml:space="preserve"> EB4</w:t>
      </w:r>
      <w:r w:rsidRPr="4868DAB2">
        <w:rPr>
          <w:rStyle w:val="normaltextrun"/>
          <w:rFonts w:ascii="Calibri" w:hAnsi="Calibri" w:cs="Calibri"/>
        </w:rPr>
        <w:t xml:space="preserve"> demonstration path is scenario number </w:t>
      </w:r>
      <w:r w:rsidR="56B4A3B1" w:rsidRPr="4868DAB2">
        <w:rPr>
          <w:rStyle w:val="normaltextrun"/>
          <w:rFonts w:ascii="Calibri" w:hAnsi="Calibri" w:cs="Calibri"/>
        </w:rPr>
        <w:t>7</w:t>
      </w:r>
      <w:r w:rsidRPr="4868DAB2">
        <w:rPr>
          <w:rStyle w:val="normaltextrun"/>
          <w:rFonts w:ascii="Calibri" w:hAnsi="Calibri" w:cs="Calibri"/>
        </w:rPr>
        <w:t xml:space="preserve">). This sets the scenario parameters in </w:t>
      </w:r>
      <w:proofErr w:type="gramStart"/>
      <w:r w:rsidRPr="4868DAB2">
        <w:rPr>
          <w:rStyle w:val="normaltextrun"/>
          <w:rFonts w:ascii="Calibri" w:hAnsi="Calibri" w:cs="Calibri"/>
        </w:rPr>
        <w:t>all of</w:t>
      </w:r>
      <w:proofErr w:type="gramEnd"/>
      <w:r w:rsidRPr="4868DAB2">
        <w:rPr>
          <w:rStyle w:val="normaltextrun"/>
          <w:rFonts w:ascii="Calibri" w:hAnsi="Calibri" w:cs="Calibri"/>
        </w:rPr>
        <w:t xml:space="preserve"> the dependent workbooks (</w:t>
      </w:r>
      <w:proofErr w:type="spellStart"/>
      <w:r w:rsidRPr="4868DAB2">
        <w:rPr>
          <w:rStyle w:val="normaltextrun"/>
          <w:rFonts w:ascii="Calibri" w:hAnsi="Calibri" w:cs="Calibri"/>
        </w:rPr>
        <w:t>HI</w:t>
      </w:r>
      <w:r w:rsidR="04F35A92" w:rsidRPr="4868DAB2">
        <w:rPr>
          <w:rStyle w:val="normaltextrun"/>
          <w:rFonts w:ascii="Calibri" w:hAnsi="Calibri" w:cs="Calibri"/>
        </w:rPr>
        <w:t>P</w:t>
      </w:r>
      <w:r w:rsidRPr="4868DAB2">
        <w:rPr>
          <w:rStyle w:val="normaltextrun"/>
          <w:rFonts w:ascii="Calibri" w:hAnsi="Calibri" w:cs="Calibri"/>
        </w:rPr>
        <w:t>.xslx</w:t>
      </w:r>
      <w:proofErr w:type="spellEnd"/>
      <w:r w:rsidRPr="4868DAB2">
        <w:rPr>
          <w:rStyle w:val="normaltextrun"/>
          <w:rFonts w:ascii="Calibri" w:hAnsi="Calibri" w:cs="Calibri"/>
        </w:rPr>
        <w:t xml:space="preserve">, </w:t>
      </w:r>
      <w:proofErr w:type="spellStart"/>
      <w:r w:rsidRPr="4868DAB2">
        <w:rPr>
          <w:rStyle w:val="normaltextrun"/>
          <w:rFonts w:ascii="Calibri" w:hAnsi="Calibri" w:cs="Calibri"/>
        </w:rPr>
        <w:t>Tpt</w:t>
      </w:r>
      <w:r w:rsidR="34F3A55B" w:rsidRPr="4868DAB2">
        <w:rPr>
          <w:rStyle w:val="normaltextrun"/>
          <w:rFonts w:ascii="Calibri" w:hAnsi="Calibri" w:cs="Calibri"/>
        </w:rPr>
        <w:t>.</w:t>
      </w:r>
      <w:r w:rsidRPr="4868DAB2">
        <w:rPr>
          <w:rStyle w:val="normaltextrun"/>
          <w:rFonts w:ascii="Calibri" w:hAnsi="Calibri" w:cs="Calibri"/>
        </w:rPr>
        <w:t>xlslx</w:t>
      </w:r>
      <w:proofErr w:type="spellEnd"/>
      <w:r w:rsidRPr="4868DAB2">
        <w:rPr>
          <w:rStyle w:val="normaltextrun"/>
          <w:rFonts w:ascii="Calibri" w:hAnsi="Calibri" w:cs="Calibri"/>
        </w:rPr>
        <w:t>, Ln</w:t>
      </w:r>
      <w:r w:rsidR="63923B7B" w:rsidRPr="4868DAB2">
        <w:rPr>
          <w:rStyle w:val="normaltextrun"/>
          <w:rFonts w:ascii="Calibri" w:hAnsi="Calibri" w:cs="Calibri"/>
        </w:rPr>
        <w:t>W</w:t>
      </w:r>
      <w:r w:rsidRPr="4868DAB2">
        <w:rPr>
          <w:rStyle w:val="normaltextrun"/>
          <w:rFonts w:ascii="Calibri" w:hAnsi="Calibri" w:cs="Calibri"/>
        </w:rPr>
        <w:t xml:space="preserve">.xlsx) to the values defined in the </w:t>
      </w:r>
      <w:r w:rsidRPr="4868DAB2">
        <w:rPr>
          <w:rStyle w:val="normaltextrun"/>
          <w:rFonts w:ascii="Calibri" w:hAnsi="Calibri" w:cs="Calibri"/>
          <w:b/>
          <w:bCs/>
        </w:rPr>
        <w:t>Ctrl</w:t>
      </w:r>
      <w:r w:rsidRPr="4868DAB2">
        <w:rPr>
          <w:rStyle w:val="normaltextrun"/>
          <w:rFonts w:ascii="Calibri" w:hAnsi="Calibri" w:cs="Calibri"/>
        </w:rPr>
        <w:t xml:space="preserve"> </w:t>
      </w:r>
      <w:r w:rsidR="68D5BA98" w:rsidRPr="4868DAB2">
        <w:rPr>
          <w:rStyle w:val="normaltextrun"/>
          <w:rFonts w:ascii="Calibri" w:hAnsi="Calibri" w:cs="Calibri"/>
        </w:rPr>
        <w:t>work</w:t>
      </w:r>
      <w:r w:rsidRPr="4868DAB2">
        <w:rPr>
          <w:rStyle w:val="normaltextrun"/>
          <w:rFonts w:ascii="Calibri" w:hAnsi="Calibri" w:cs="Calibri"/>
        </w:rPr>
        <w:t xml:space="preserve">book and so enables one to inspect in detail the model calculations. </w:t>
      </w:r>
    </w:p>
    <w:p w14:paraId="2058F30A" w14:textId="3BDD7511" w:rsidR="00DE6453" w:rsidRPr="00BD0FA8" w:rsidRDefault="57FB3712" w:rsidP="00E71301">
      <w:pPr>
        <w:rPr>
          <w:rStyle w:val="normaltextrun"/>
          <w:rFonts w:ascii="Calibri" w:hAnsi="Calibri" w:cs="Calibri"/>
        </w:rPr>
      </w:pPr>
      <w:r w:rsidRPr="4868DAB2">
        <w:rPr>
          <w:rStyle w:val="normaltextrun"/>
          <w:rFonts w:ascii="Calibri" w:hAnsi="Calibri" w:cs="Calibri"/>
        </w:rPr>
        <w:t xml:space="preserve">The </w:t>
      </w:r>
      <w:r w:rsidRPr="4868DAB2">
        <w:rPr>
          <w:rStyle w:val="normaltextrun"/>
          <w:rFonts w:ascii="Calibri" w:hAnsi="Calibri" w:cs="Calibri"/>
          <w:b/>
          <w:bCs/>
        </w:rPr>
        <w:t>waste</w:t>
      </w:r>
      <w:r w:rsidRPr="4868DAB2">
        <w:rPr>
          <w:rStyle w:val="normaltextrun"/>
          <w:rFonts w:ascii="Calibri" w:hAnsi="Calibri" w:cs="Calibri"/>
        </w:rPr>
        <w:t xml:space="preserve"> and </w:t>
      </w:r>
      <w:r w:rsidRPr="4868DAB2">
        <w:rPr>
          <w:rStyle w:val="normaltextrun"/>
          <w:rFonts w:ascii="Calibri" w:hAnsi="Calibri" w:cs="Calibri"/>
          <w:b/>
          <w:bCs/>
        </w:rPr>
        <w:t>land</w:t>
      </w:r>
      <w:r w:rsidRPr="4868DAB2">
        <w:rPr>
          <w:rStyle w:val="normaltextrun"/>
          <w:rFonts w:ascii="Calibri" w:hAnsi="Calibri" w:cs="Calibri"/>
        </w:rPr>
        <w:t xml:space="preserve"> workbooks take inputs only from the</w:t>
      </w:r>
      <w:r w:rsidRPr="4868DAB2">
        <w:rPr>
          <w:rStyle w:val="normaltextrun"/>
          <w:rFonts w:ascii="Calibri" w:hAnsi="Calibri" w:cs="Calibri"/>
          <w:b/>
          <w:bCs/>
        </w:rPr>
        <w:t xml:space="preserve"> Ctrl</w:t>
      </w:r>
      <w:r w:rsidRPr="4868DAB2">
        <w:rPr>
          <w:rStyle w:val="normaltextrun"/>
          <w:rFonts w:ascii="Calibri" w:hAnsi="Calibri" w:cs="Calibri"/>
        </w:rPr>
        <w:t xml:space="preserve"> </w:t>
      </w:r>
      <w:r w:rsidR="68D5BA98" w:rsidRPr="4868DAB2">
        <w:rPr>
          <w:rStyle w:val="normaltextrun"/>
          <w:rFonts w:ascii="Calibri" w:hAnsi="Calibri" w:cs="Calibri"/>
        </w:rPr>
        <w:t>work</w:t>
      </w:r>
      <w:r w:rsidRPr="4868DAB2">
        <w:rPr>
          <w:rStyle w:val="normaltextrun"/>
          <w:rFonts w:ascii="Calibri" w:hAnsi="Calibri" w:cs="Calibri"/>
        </w:rPr>
        <w:t xml:space="preserve">book and so they can be opened and inspected without complications. However, because of the interactions between the HIP, transport and other workbooks, and the use of </w:t>
      </w:r>
      <w:r w:rsidR="58DB40B0" w:rsidRPr="4868DAB2">
        <w:rPr>
          <w:rStyle w:val="normaltextrun"/>
          <w:rFonts w:ascii="Calibri" w:hAnsi="Calibri" w:cs="Calibri"/>
        </w:rPr>
        <w:t xml:space="preserve">VB </w:t>
      </w:r>
      <w:r w:rsidR="19FE9511" w:rsidRPr="4868DAB2">
        <w:rPr>
          <w:rStyle w:val="normaltextrun"/>
          <w:rFonts w:ascii="Calibri" w:hAnsi="Calibri" w:cs="Calibri"/>
        </w:rPr>
        <w:t xml:space="preserve">code driven </w:t>
      </w:r>
      <w:r w:rsidRPr="4868DAB2">
        <w:rPr>
          <w:rStyle w:val="normaltextrun"/>
          <w:rFonts w:ascii="Calibri" w:hAnsi="Calibri" w:cs="Calibri"/>
        </w:rPr>
        <w:t>hardcoded values, the following steps should be taken to ensure they are correctly live viewed:</w:t>
      </w:r>
    </w:p>
    <w:p w14:paraId="693FF362" w14:textId="1C665F72" w:rsidR="00DE6453" w:rsidRPr="009D4107" w:rsidRDefault="00DE6453" w:rsidP="00E71301">
      <w:pPr>
        <w:pStyle w:val="ListParagraph"/>
        <w:numPr>
          <w:ilvl w:val="0"/>
          <w:numId w:val="20"/>
        </w:numPr>
        <w:rPr>
          <w:rStyle w:val="normaltextrun"/>
          <w:rFonts w:ascii="Calibri" w:hAnsi="Calibri" w:cs="Calibri"/>
        </w:rPr>
      </w:pPr>
      <w:r w:rsidRPr="009D4107">
        <w:rPr>
          <w:rStyle w:val="normaltextrun"/>
          <w:rFonts w:ascii="Calibri" w:hAnsi="Calibri" w:cs="Calibri"/>
        </w:rPr>
        <w:t xml:space="preserve">The </w:t>
      </w:r>
      <w:r w:rsidR="00CC7412" w:rsidRPr="009D4107">
        <w:rPr>
          <w:rStyle w:val="normaltextrun"/>
          <w:rFonts w:ascii="Calibri" w:hAnsi="Calibri" w:cs="Calibri"/>
          <w:b/>
          <w:bCs/>
        </w:rPr>
        <w:t>t</w:t>
      </w:r>
      <w:r w:rsidRPr="009D4107">
        <w:rPr>
          <w:rStyle w:val="normaltextrun"/>
          <w:rFonts w:ascii="Calibri" w:hAnsi="Calibri" w:cs="Calibri"/>
          <w:b/>
          <w:bCs/>
        </w:rPr>
        <w:t>ransport</w:t>
      </w:r>
      <w:r w:rsidRPr="009D4107">
        <w:rPr>
          <w:rStyle w:val="normaltextrun"/>
          <w:rFonts w:ascii="Calibri" w:hAnsi="Calibri" w:cs="Calibri"/>
        </w:rPr>
        <w:t xml:space="preserve"> and </w:t>
      </w:r>
      <w:r w:rsidRPr="009D4107">
        <w:rPr>
          <w:rStyle w:val="normaltextrun"/>
          <w:rFonts w:ascii="Calibri" w:hAnsi="Calibri" w:cs="Calibri"/>
          <w:b/>
          <w:bCs/>
        </w:rPr>
        <w:t xml:space="preserve">HIP </w:t>
      </w:r>
      <w:r w:rsidRPr="009D4107">
        <w:rPr>
          <w:rStyle w:val="normaltextrun"/>
          <w:rFonts w:ascii="Calibri" w:hAnsi="Calibri" w:cs="Calibri"/>
        </w:rPr>
        <w:t xml:space="preserve">workbooks </w:t>
      </w:r>
      <w:r w:rsidR="003E240B" w:rsidRPr="009D4107">
        <w:rPr>
          <w:rStyle w:val="normaltextrun"/>
          <w:rFonts w:ascii="Calibri" w:hAnsi="Calibri" w:cs="Calibri"/>
        </w:rPr>
        <w:t xml:space="preserve">use live links and </w:t>
      </w:r>
      <w:r w:rsidRPr="009D4107">
        <w:rPr>
          <w:rStyle w:val="normaltextrun"/>
          <w:rFonts w:ascii="Calibri" w:hAnsi="Calibri" w:cs="Calibri"/>
        </w:rPr>
        <w:t>should be opened togethe</w:t>
      </w:r>
      <w:r w:rsidR="004C7EE8" w:rsidRPr="009D4107">
        <w:rPr>
          <w:rStyle w:val="normaltextrun"/>
          <w:rFonts w:ascii="Calibri" w:hAnsi="Calibri" w:cs="Calibri"/>
        </w:rPr>
        <w:t>r to ensure up to date values are being linked between them.</w:t>
      </w:r>
    </w:p>
    <w:p w14:paraId="36837200" w14:textId="60A0A9C8" w:rsidR="00DE6453" w:rsidRPr="009D4107" w:rsidRDefault="00DE6453" w:rsidP="00E71301">
      <w:pPr>
        <w:pStyle w:val="ListParagraph"/>
        <w:numPr>
          <w:ilvl w:val="0"/>
          <w:numId w:val="20"/>
        </w:numPr>
        <w:rPr>
          <w:rStyle w:val="normaltextrun"/>
          <w:rFonts w:ascii="Calibri" w:hAnsi="Calibri" w:cs="Calibri"/>
        </w:rPr>
      </w:pPr>
      <w:r w:rsidRPr="009D4107">
        <w:rPr>
          <w:rStyle w:val="normaltextrun"/>
          <w:rFonts w:ascii="Calibri" w:hAnsi="Calibri" w:cs="Calibri"/>
        </w:rPr>
        <w:t xml:space="preserve">The </w:t>
      </w:r>
      <w:r w:rsidRPr="009D4107">
        <w:rPr>
          <w:rStyle w:val="normaltextrun"/>
          <w:rFonts w:ascii="Calibri" w:hAnsi="Calibri" w:cs="Calibri"/>
          <w:i/>
          <w:iCs/>
        </w:rPr>
        <w:t xml:space="preserve">Iterate </w:t>
      </w:r>
      <w:r w:rsidR="00AC654F" w:rsidRPr="009D4107">
        <w:rPr>
          <w:rStyle w:val="normaltextrun"/>
          <w:rFonts w:ascii="Calibri" w:hAnsi="Calibri" w:cs="Calibri"/>
          <w:i/>
          <w:iCs/>
        </w:rPr>
        <w:t>HIP</w:t>
      </w:r>
      <w:r w:rsidRPr="009D4107">
        <w:rPr>
          <w:rStyle w:val="normaltextrun"/>
          <w:rFonts w:ascii="Calibri" w:hAnsi="Calibri" w:cs="Calibri"/>
        </w:rPr>
        <w:t xml:space="preserve"> button </w:t>
      </w:r>
      <w:r w:rsidR="009545FB" w:rsidRPr="009D4107">
        <w:rPr>
          <w:rStyle w:val="normaltextrun"/>
          <w:rFonts w:ascii="Calibri" w:hAnsi="Calibri" w:cs="Calibri"/>
        </w:rPr>
        <w:t xml:space="preserve">in the </w:t>
      </w:r>
      <w:r w:rsidR="009545FB" w:rsidRPr="009D4107">
        <w:rPr>
          <w:rStyle w:val="normaltextrun"/>
          <w:rFonts w:ascii="Calibri" w:hAnsi="Calibri" w:cs="Calibri"/>
          <w:b/>
          <w:bCs/>
        </w:rPr>
        <w:t>Code</w:t>
      </w:r>
      <w:r w:rsidR="009545FB" w:rsidRPr="009D4107">
        <w:rPr>
          <w:rStyle w:val="normaltextrun"/>
          <w:rFonts w:ascii="Calibri" w:hAnsi="Calibri" w:cs="Calibri"/>
        </w:rPr>
        <w:t xml:space="preserve"> workbook </w:t>
      </w:r>
      <w:r w:rsidR="00BD0FA8" w:rsidRPr="009D4107">
        <w:rPr>
          <w:rStyle w:val="normaltextrun"/>
          <w:rFonts w:ascii="Calibri" w:hAnsi="Calibri" w:cs="Calibri"/>
        </w:rPr>
        <w:t>should also</w:t>
      </w:r>
      <w:r w:rsidRPr="009D4107">
        <w:rPr>
          <w:rStyle w:val="normaltextrun"/>
          <w:rFonts w:ascii="Calibri" w:hAnsi="Calibri" w:cs="Calibri"/>
        </w:rPr>
        <w:t xml:space="preserve"> be </w:t>
      </w:r>
      <w:r w:rsidR="00351ABB" w:rsidRPr="009D4107">
        <w:rPr>
          <w:rStyle w:val="normaltextrun"/>
          <w:rFonts w:ascii="Calibri" w:hAnsi="Calibri" w:cs="Calibri"/>
        </w:rPr>
        <w:t>run</w:t>
      </w:r>
      <w:r w:rsidRPr="009D4107">
        <w:rPr>
          <w:rStyle w:val="normaltextrun"/>
          <w:rFonts w:ascii="Calibri" w:hAnsi="Calibri" w:cs="Calibri"/>
        </w:rPr>
        <w:t>.</w:t>
      </w:r>
      <w:r w:rsidR="009545FB" w:rsidRPr="009D4107">
        <w:rPr>
          <w:rStyle w:val="normaltextrun"/>
          <w:rFonts w:ascii="Calibri" w:hAnsi="Calibri" w:cs="Calibri"/>
        </w:rPr>
        <w:t xml:space="preserve"> </w:t>
      </w:r>
      <w:r w:rsidRPr="009D4107">
        <w:rPr>
          <w:rStyle w:val="normaltextrun"/>
          <w:rFonts w:ascii="Calibri" w:hAnsi="Calibri" w:cs="Calibri"/>
        </w:rPr>
        <w:t xml:space="preserve">Several electricity pricing arrays in the </w:t>
      </w:r>
      <w:r w:rsidRPr="009D4107">
        <w:rPr>
          <w:rStyle w:val="normaltextrun"/>
          <w:rFonts w:ascii="Calibri" w:hAnsi="Calibri" w:cs="Calibri"/>
          <w:b/>
          <w:bCs/>
        </w:rPr>
        <w:t xml:space="preserve">HIP </w:t>
      </w:r>
      <w:r w:rsidRPr="009D4107">
        <w:rPr>
          <w:rStyle w:val="normaltextrun"/>
          <w:rFonts w:ascii="Calibri" w:hAnsi="Calibri" w:cs="Calibri"/>
        </w:rPr>
        <w:t xml:space="preserve">workbook are calculated dynamically based on demand. The iterate </w:t>
      </w:r>
      <w:r w:rsidR="00BD0FA8" w:rsidRPr="009D4107">
        <w:rPr>
          <w:rStyle w:val="normaltextrun"/>
          <w:rFonts w:ascii="Calibri" w:hAnsi="Calibri" w:cs="Calibri"/>
        </w:rPr>
        <w:t>HIP</w:t>
      </w:r>
      <w:r w:rsidRPr="009D4107">
        <w:rPr>
          <w:rStyle w:val="normaltextrun"/>
          <w:rFonts w:ascii="Calibri" w:hAnsi="Calibri" w:cs="Calibri"/>
        </w:rPr>
        <w:t xml:space="preserve"> routine copies these arrays and pastes them as fixed values, which subsequent calculations then depend on. </w:t>
      </w:r>
      <w:r w:rsidR="0099387C">
        <w:rPr>
          <w:rStyle w:val="normaltextrun"/>
          <w:rFonts w:ascii="Calibri" w:hAnsi="Calibri" w:cs="Calibri"/>
        </w:rPr>
        <w:t xml:space="preserve">The routine </w:t>
      </w:r>
      <w:r w:rsidR="00362D5C">
        <w:rPr>
          <w:rStyle w:val="normaltextrun"/>
          <w:rFonts w:ascii="Calibri" w:hAnsi="Calibri" w:cs="Calibri"/>
        </w:rPr>
        <w:t>repeats</w:t>
      </w:r>
      <w:r w:rsidR="00AF4A83">
        <w:rPr>
          <w:rStyle w:val="normaltextrun"/>
          <w:rFonts w:ascii="Calibri" w:hAnsi="Calibri" w:cs="Calibri"/>
        </w:rPr>
        <w:t xml:space="preserve"> this copy </w:t>
      </w:r>
      <w:r w:rsidR="008C7666" w:rsidRPr="008C7666">
        <w:rPr>
          <w:rStyle w:val="normaltextrun"/>
          <w:rFonts w:ascii="Wingdings" w:eastAsia="Wingdings" w:hAnsi="Wingdings" w:cs="Wingdings"/>
        </w:rPr>
        <w:t>à</w:t>
      </w:r>
      <w:r w:rsidR="00AF4A83">
        <w:rPr>
          <w:rStyle w:val="normaltextrun"/>
          <w:rFonts w:ascii="Calibri" w:hAnsi="Calibri" w:cs="Calibri"/>
        </w:rPr>
        <w:t xml:space="preserve"> paste </w:t>
      </w:r>
      <w:r w:rsidR="008C7666" w:rsidRPr="008C7666">
        <w:rPr>
          <w:rStyle w:val="normaltextrun"/>
          <w:rFonts w:ascii="Wingdings" w:eastAsia="Wingdings" w:hAnsi="Wingdings" w:cs="Wingdings"/>
        </w:rPr>
        <w:t>à</w:t>
      </w:r>
      <w:r w:rsidR="008C7666">
        <w:rPr>
          <w:rStyle w:val="normaltextrun"/>
          <w:rFonts w:ascii="Calibri" w:hAnsi="Calibri" w:cs="Calibri"/>
        </w:rPr>
        <w:t xml:space="preserve"> recalc</w:t>
      </w:r>
      <w:r w:rsidR="00362D5C">
        <w:rPr>
          <w:rStyle w:val="normaltextrun"/>
          <w:rFonts w:ascii="Calibri" w:hAnsi="Calibri" w:cs="Calibri"/>
        </w:rPr>
        <w:t>ulate</w:t>
      </w:r>
      <w:r w:rsidR="008C7666">
        <w:rPr>
          <w:rStyle w:val="normaltextrun"/>
          <w:rFonts w:ascii="Calibri" w:hAnsi="Calibri" w:cs="Calibri"/>
        </w:rPr>
        <w:t xml:space="preserve"> </w:t>
      </w:r>
      <w:r w:rsidR="00AF4A83">
        <w:rPr>
          <w:rStyle w:val="normaltextrun"/>
          <w:rFonts w:ascii="Calibri" w:hAnsi="Calibri" w:cs="Calibri"/>
        </w:rPr>
        <w:t xml:space="preserve">until the model </w:t>
      </w:r>
      <w:r w:rsidR="00D746CC">
        <w:rPr>
          <w:rStyle w:val="normaltextrun"/>
          <w:rFonts w:ascii="Calibri" w:hAnsi="Calibri" w:cs="Calibri"/>
        </w:rPr>
        <w:t>has sufficiently iterated</w:t>
      </w:r>
      <w:r w:rsidR="00BC7473">
        <w:rPr>
          <w:rStyle w:val="normaltextrun"/>
          <w:rFonts w:ascii="Calibri" w:hAnsi="Calibri" w:cs="Calibri"/>
        </w:rPr>
        <w:t xml:space="preserve"> to arrive at a solution</w:t>
      </w:r>
      <w:r w:rsidR="00D746CC">
        <w:rPr>
          <w:rStyle w:val="normaltextrun"/>
          <w:rFonts w:ascii="Calibri" w:hAnsi="Calibri" w:cs="Calibri"/>
        </w:rPr>
        <w:t>.</w:t>
      </w:r>
    </w:p>
    <w:p w14:paraId="0BBE812C" w14:textId="03DF2A81" w:rsidR="00377F2A" w:rsidRPr="00FB6165" w:rsidRDefault="002F1FE5" w:rsidP="007B0C76">
      <w:pPr>
        <w:pStyle w:val="Heading1"/>
        <w:rPr>
          <w:rStyle w:val="normaltextrun"/>
        </w:rPr>
      </w:pPr>
      <w:bookmarkStart w:id="11" w:name="_Toc184814235"/>
      <w:r w:rsidRPr="039D010A">
        <w:rPr>
          <w:rStyle w:val="normaltextrun"/>
        </w:rPr>
        <w:t>The HIP workbook</w:t>
      </w:r>
      <w:r w:rsidR="00A05D53" w:rsidRPr="039D010A">
        <w:rPr>
          <w:rStyle w:val="normaltextrun"/>
        </w:rPr>
        <w:t xml:space="preserve"> (</w:t>
      </w:r>
      <w:r w:rsidR="00A05D53" w:rsidRPr="005D2ABA">
        <w:rPr>
          <w:rStyle w:val="normaltextrun"/>
        </w:rPr>
        <w:t>HIP.xlsx)</w:t>
      </w:r>
      <w:bookmarkEnd w:id="11"/>
    </w:p>
    <w:p w14:paraId="05D31E0A" w14:textId="03C7AB44" w:rsidR="00FB10E4" w:rsidRPr="00A47EDD" w:rsidRDefault="00A876E7" w:rsidP="00A876E7">
      <w:pPr>
        <w:pStyle w:val="Heading2"/>
      </w:pPr>
      <w:bookmarkStart w:id="12" w:name="_Toc184814236"/>
      <w:r w:rsidRPr="00A47EDD">
        <w:t>Overview</w:t>
      </w:r>
      <w:bookmarkEnd w:id="12"/>
    </w:p>
    <w:p w14:paraId="54088996" w14:textId="278E9278" w:rsidR="00961979" w:rsidRPr="00574EB7" w:rsidRDefault="00A876E7" w:rsidP="00961979">
      <w:r w:rsidRPr="005D0F30">
        <w:t xml:space="preserve">The </w:t>
      </w:r>
      <w:r w:rsidRPr="005D0F30">
        <w:rPr>
          <w:b/>
        </w:rPr>
        <w:t xml:space="preserve">HIP </w:t>
      </w:r>
      <w:r w:rsidRPr="005D0F30">
        <w:t>workbook includes</w:t>
      </w:r>
      <w:r w:rsidR="00C64024" w:rsidRPr="005D0F30">
        <w:t xml:space="preserve"> a breakdown </w:t>
      </w:r>
      <w:r w:rsidR="003D67F8" w:rsidRPr="005D0F30">
        <w:t>of all non-transport energy consuming sectors</w:t>
      </w:r>
      <w:r w:rsidR="007D08A7" w:rsidRPr="005D0F30">
        <w:t xml:space="preserve"> </w:t>
      </w:r>
      <w:r w:rsidR="006617A2" w:rsidRPr="005D0F30">
        <w:t>and makes projections of future levels of activity, energy consumption and emissions.</w:t>
      </w:r>
      <w:r w:rsidR="007D08A7" w:rsidRPr="005D0F30">
        <w:t xml:space="preserve"> </w:t>
      </w:r>
      <w:r w:rsidR="00961979" w:rsidRPr="005D0F30">
        <w:t xml:space="preserve">The model represents a </w:t>
      </w:r>
      <w:r w:rsidR="009A3C26" w:rsidRPr="005D0F30">
        <w:t>diverse range of emitting activities</w:t>
      </w:r>
      <w:r w:rsidR="00961979" w:rsidRPr="005D0F30">
        <w:t xml:space="preserve"> and</w:t>
      </w:r>
      <w:r w:rsidR="00AC03E9" w:rsidRPr="005D0F30">
        <w:t xml:space="preserve"> varied opportunities to mitigate</w:t>
      </w:r>
      <w:r w:rsidR="00961979" w:rsidRPr="005D0F30">
        <w:t>.</w:t>
      </w:r>
      <w:r w:rsidR="00467E93" w:rsidRPr="005D0F30">
        <w:t xml:space="preserve"> Some </w:t>
      </w:r>
      <w:r w:rsidR="00FD4C84" w:rsidRPr="005D0F30">
        <w:t>industries operate at a single site</w:t>
      </w:r>
      <w:r w:rsidR="004F61A3" w:rsidRPr="005D0F30">
        <w:t xml:space="preserve"> and </w:t>
      </w:r>
      <w:r w:rsidR="00786BFF" w:rsidRPr="005D0F30">
        <w:t xml:space="preserve">there is considerable uncertainty around their future operation, whereas other sectors consist of </w:t>
      </w:r>
      <w:r w:rsidR="002C12DE" w:rsidRPr="005D0F30">
        <w:t xml:space="preserve">many agents. </w:t>
      </w:r>
      <w:r w:rsidR="00FA547E" w:rsidRPr="005D0F30">
        <w:t>A varied appr</w:t>
      </w:r>
      <w:r w:rsidR="00562056" w:rsidRPr="005D0F30">
        <w:t xml:space="preserve">oach to </w:t>
      </w:r>
      <w:r w:rsidR="00562056" w:rsidRPr="00574EB7">
        <w:t>modelling is applied</w:t>
      </w:r>
      <w:r w:rsidR="00583E98" w:rsidRPr="00574EB7">
        <w:t>.</w:t>
      </w:r>
      <w:r w:rsidR="002C12DE" w:rsidRPr="00574EB7">
        <w:t xml:space="preserve"> </w:t>
      </w:r>
    </w:p>
    <w:p w14:paraId="22DF5DEB" w14:textId="71536874" w:rsidR="00C64024" w:rsidRPr="00C30F82" w:rsidRDefault="0033056E" w:rsidP="00A876E7">
      <w:r w:rsidRPr="00574EB7">
        <w:t xml:space="preserve">The workbook also includes </w:t>
      </w:r>
      <w:r w:rsidR="006552BF" w:rsidRPr="00574EB7">
        <w:t>modules representing</w:t>
      </w:r>
      <w:r w:rsidR="0096240A" w:rsidRPr="00574EB7">
        <w:t xml:space="preserve"> </w:t>
      </w:r>
      <w:r w:rsidR="006D23F3" w:rsidRPr="00574EB7">
        <w:t>energy supply which interact with the consuming sectors through price</w:t>
      </w:r>
      <w:r w:rsidR="00B64029" w:rsidRPr="00574EB7">
        <w:t>s</w:t>
      </w:r>
      <w:r w:rsidR="00E048EC" w:rsidRPr="00574EB7">
        <w:t xml:space="preserve"> </w:t>
      </w:r>
      <w:proofErr w:type="gramStart"/>
      <w:r w:rsidR="00206F72" w:rsidRPr="00574EB7">
        <w:t>and</w:t>
      </w:r>
      <w:r w:rsidR="00E048EC" w:rsidRPr="00574EB7">
        <w:t xml:space="preserve"> </w:t>
      </w:r>
      <w:r w:rsidR="006552BF" w:rsidRPr="00574EB7">
        <w:t>also</w:t>
      </w:r>
      <w:proofErr w:type="gramEnd"/>
      <w:r w:rsidR="006552BF" w:rsidRPr="00574EB7">
        <w:t xml:space="preserve"> contribute</w:t>
      </w:r>
      <w:r w:rsidR="00E048EC" w:rsidRPr="00574EB7">
        <w:t xml:space="preserve"> system emissions</w:t>
      </w:r>
      <w:r w:rsidR="006D23F3" w:rsidRPr="00C30F82">
        <w:t>.</w:t>
      </w:r>
      <w:r w:rsidR="00E048EC" w:rsidRPr="00C30F82">
        <w:t xml:space="preserve"> </w:t>
      </w:r>
      <w:r w:rsidR="00B66D61" w:rsidRPr="00C30F82">
        <w:t>Electricity generation</w:t>
      </w:r>
      <w:r w:rsidR="00B66D61" w:rsidRPr="000E1101">
        <w:t xml:space="preserve"> and </w:t>
      </w:r>
      <w:r w:rsidR="00B957E4" w:rsidRPr="000E1101">
        <w:t xml:space="preserve">fossil </w:t>
      </w:r>
      <w:r w:rsidR="00B66D61" w:rsidRPr="000E1101">
        <w:t xml:space="preserve">gas </w:t>
      </w:r>
      <w:r w:rsidR="00B66D61" w:rsidRPr="00C30F82">
        <w:t xml:space="preserve">production are represented </w:t>
      </w:r>
      <w:r w:rsidR="004F79EF" w:rsidRPr="00C30F82">
        <w:t>at a high level of detail with</w:t>
      </w:r>
      <w:r w:rsidR="00B66D61" w:rsidRPr="00C30F82">
        <w:t>in ENZ</w:t>
      </w:r>
      <w:r w:rsidR="001F729C" w:rsidRPr="00C30F82">
        <w:t xml:space="preserve"> with endogenous </w:t>
      </w:r>
      <w:r w:rsidR="00591E50" w:rsidRPr="00C30F82">
        <w:t>supply modules representing generation/production and transmission/distribution to consumer</w:t>
      </w:r>
      <w:r w:rsidR="00604B57" w:rsidRPr="00C30F82">
        <w:t>s</w:t>
      </w:r>
      <w:r w:rsidR="00591E50" w:rsidRPr="00C30F82">
        <w:t xml:space="preserve">. </w:t>
      </w:r>
      <w:r w:rsidR="00C66B62" w:rsidRPr="00C30F82">
        <w:t>Biofuels, oil</w:t>
      </w:r>
      <w:r w:rsidR="00216618">
        <w:t>,</w:t>
      </w:r>
      <w:r w:rsidR="00C66B62" w:rsidRPr="00C30F82">
        <w:t xml:space="preserve"> and coal are also modelled in ENZ, but at a more</w:t>
      </w:r>
      <w:r w:rsidR="00562056" w:rsidRPr="00C30F82">
        <w:t xml:space="preserve"> basic</w:t>
      </w:r>
      <w:r w:rsidR="00C66B62" w:rsidRPr="00C30F82">
        <w:t xml:space="preserve"> level.</w:t>
      </w:r>
    </w:p>
    <w:p w14:paraId="6298EAE7" w14:textId="17A61341" w:rsidR="001C1BE0" w:rsidRPr="00F64629" w:rsidRDefault="00A449C4" w:rsidP="00A876E7">
      <w:r w:rsidRPr="00F64629">
        <w:fldChar w:fldCharType="begin"/>
      </w:r>
      <w:r w:rsidRPr="00F64629">
        <w:instrText xml:space="preserve"> REF _Ref78205054 \h </w:instrText>
      </w:r>
      <w:r w:rsidR="001E507E" w:rsidRPr="00F64629">
        <w:instrText xml:space="preserve"> \* MERGEFORMAT </w:instrText>
      </w:r>
      <w:r w:rsidRPr="00F64629">
        <w:fldChar w:fldCharType="separate"/>
      </w:r>
      <w:r w:rsidR="005F448D" w:rsidRPr="00847414">
        <w:t xml:space="preserve">Figure </w:t>
      </w:r>
      <w:r w:rsidR="005F448D">
        <w:rPr>
          <w:noProof/>
        </w:rPr>
        <w:t>2</w:t>
      </w:r>
      <w:r w:rsidRPr="00F64629">
        <w:fldChar w:fldCharType="end"/>
      </w:r>
      <w:r w:rsidRPr="00F64629">
        <w:t xml:space="preserve"> below</w:t>
      </w:r>
      <w:r w:rsidR="000E6721" w:rsidRPr="00F64629">
        <w:t xml:space="preserve"> </w:t>
      </w:r>
      <w:r w:rsidR="000E6721" w:rsidRPr="004826DD">
        <w:t xml:space="preserve">illustrates the </w:t>
      </w:r>
      <w:r w:rsidR="006552BF" w:rsidRPr="004826DD">
        <w:t xml:space="preserve">core </w:t>
      </w:r>
      <w:r w:rsidR="00C12F39" w:rsidRPr="004826DD">
        <w:t>f</w:t>
      </w:r>
      <w:r w:rsidR="00BD1DFC" w:rsidRPr="004826DD">
        <w:t xml:space="preserve">unctions and interactions within the </w:t>
      </w:r>
      <w:r w:rsidR="00BD1DFC" w:rsidRPr="004826DD">
        <w:rPr>
          <w:b/>
        </w:rPr>
        <w:t xml:space="preserve">HIP </w:t>
      </w:r>
      <w:r w:rsidR="00BD1DFC" w:rsidRPr="004826DD">
        <w:t xml:space="preserve">workbook and with the </w:t>
      </w:r>
      <w:r w:rsidR="00CC7412" w:rsidRPr="004826DD">
        <w:rPr>
          <w:b/>
          <w:bCs/>
        </w:rPr>
        <w:t>t</w:t>
      </w:r>
      <w:r w:rsidR="00BD1DFC" w:rsidRPr="004826DD">
        <w:rPr>
          <w:b/>
          <w:bCs/>
        </w:rPr>
        <w:t>ransport</w:t>
      </w:r>
      <w:r w:rsidR="00BD1DFC" w:rsidRPr="004826DD">
        <w:t xml:space="preserve"> and </w:t>
      </w:r>
      <w:r w:rsidR="00CC7412" w:rsidRPr="004826DD">
        <w:rPr>
          <w:b/>
          <w:bCs/>
        </w:rPr>
        <w:t>l</w:t>
      </w:r>
      <w:r w:rsidR="00BD1DFC" w:rsidRPr="004826DD">
        <w:rPr>
          <w:b/>
          <w:bCs/>
        </w:rPr>
        <w:t>and</w:t>
      </w:r>
      <w:r w:rsidR="00F1522E" w:rsidRPr="004826DD">
        <w:rPr>
          <w:b/>
          <w:bCs/>
        </w:rPr>
        <w:t xml:space="preserve"> and waste</w:t>
      </w:r>
      <w:r w:rsidR="00BD1DFC" w:rsidRPr="004826DD">
        <w:rPr>
          <w:b/>
        </w:rPr>
        <w:t xml:space="preserve"> </w:t>
      </w:r>
      <w:r w:rsidR="00BD1DFC" w:rsidRPr="004826DD">
        <w:t>workbooks</w:t>
      </w:r>
      <w:r w:rsidR="00BD1DFC" w:rsidRPr="00F64629">
        <w:t xml:space="preserve"> in ENZ.</w:t>
      </w:r>
      <w:r w:rsidR="009E17B6" w:rsidRPr="00F64629">
        <w:t xml:space="preserve"> </w:t>
      </w:r>
    </w:p>
    <w:p w14:paraId="182AE1D7" w14:textId="25A47F7F" w:rsidR="00F754B2" w:rsidRPr="00B53259" w:rsidRDefault="005D3A54" w:rsidP="005D3A54">
      <w:pPr>
        <w:pStyle w:val="Heading2"/>
      </w:pPr>
      <w:bookmarkStart w:id="13" w:name="_Toc184814237"/>
      <w:r w:rsidRPr="00B53259">
        <w:t>Description of the HIP worksheets</w:t>
      </w:r>
      <w:bookmarkEnd w:id="13"/>
    </w:p>
    <w:p w14:paraId="70928338" w14:textId="593D59BC" w:rsidR="001C1BE0" w:rsidRPr="00BC284C" w:rsidRDefault="004552FC" w:rsidP="00A876E7">
      <w:r w:rsidRPr="00B53259">
        <w:t xml:space="preserve">There are </w:t>
      </w:r>
      <w:r w:rsidR="00B53259" w:rsidRPr="00B53259">
        <w:t>six key</w:t>
      </w:r>
      <w:r w:rsidRPr="00B53259">
        <w:t xml:space="preserve"> worksheets within the </w:t>
      </w:r>
      <w:r w:rsidRPr="00B53259">
        <w:rPr>
          <w:b/>
        </w:rPr>
        <w:t xml:space="preserve">HIP </w:t>
      </w:r>
      <w:r w:rsidRPr="00B53259">
        <w:t xml:space="preserve">workbook. </w:t>
      </w:r>
      <w:r w:rsidR="00B641C3">
        <w:t xml:space="preserve">The </w:t>
      </w:r>
      <w:r w:rsidR="00B641C3" w:rsidRPr="00B641C3">
        <w:rPr>
          <w:b/>
          <w:bCs/>
        </w:rPr>
        <w:t>Ctrl</w:t>
      </w:r>
      <w:r w:rsidR="00B641C3">
        <w:t xml:space="preserve"> worksheet</w:t>
      </w:r>
      <w:r w:rsidR="004268DA">
        <w:t xml:space="preserve"> contains </w:t>
      </w:r>
      <w:r w:rsidR="0003592A">
        <w:t>a subset of the</w:t>
      </w:r>
      <w:r w:rsidR="004268DA">
        <w:t xml:space="preserve"> scenario settings </w:t>
      </w:r>
      <w:r w:rsidR="004268DA" w:rsidRPr="008D0FB9">
        <w:t xml:space="preserve">from the control panel </w:t>
      </w:r>
      <w:r w:rsidR="0003592A" w:rsidRPr="008D0FB9">
        <w:t>which</w:t>
      </w:r>
      <w:r w:rsidR="0003592A">
        <w:t xml:space="preserve"> are relevant to </w:t>
      </w:r>
      <w:r w:rsidR="00BC284C">
        <w:t xml:space="preserve">the </w:t>
      </w:r>
      <w:r w:rsidR="00BC284C">
        <w:rPr>
          <w:b/>
          <w:bCs/>
        </w:rPr>
        <w:t>HIP</w:t>
      </w:r>
      <w:r w:rsidR="00BC284C">
        <w:t xml:space="preserve"> workbook</w:t>
      </w:r>
      <w:r w:rsidR="00BC284C" w:rsidRPr="00BC284C">
        <w:t>.</w:t>
      </w:r>
      <w:r w:rsidR="00B641C3" w:rsidRPr="00BC284C">
        <w:t xml:space="preserve"> </w:t>
      </w:r>
      <w:r w:rsidRPr="00BC284C">
        <w:t xml:space="preserve">The </w:t>
      </w:r>
      <w:r w:rsidR="00BC284C" w:rsidRPr="00BC284C">
        <w:rPr>
          <w:b/>
          <w:bCs/>
        </w:rPr>
        <w:t>Param</w:t>
      </w:r>
      <w:r w:rsidRPr="00BC284C">
        <w:t xml:space="preserve"> </w:t>
      </w:r>
      <w:r w:rsidR="00CC7412" w:rsidRPr="00BC284C">
        <w:t>work</w:t>
      </w:r>
      <w:r w:rsidRPr="00BC284C">
        <w:t xml:space="preserve">sheet </w:t>
      </w:r>
      <w:r w:rsidR="00AF1EC6" w:rsidRPr="00BC284C">
        <w:t xml:space="preserve">summarises the key constants and assumptions that drive the model. </w:t>
      </w:r>
      <w:r w:rsidR="001C04B5" w:rsidRPr="00BC284C">
        <w:t>The relevant</w:t>
      </w:r>
      <w:r w:rsidR="00AF1EC6" w:rsidRPr="00BC284C">
        <w:t xml:space="preserve"> macro driver assumptions</w:t>
      </w:r>
      <w:r w:rsidR="001C04B5" w:rsidRPr="00BC284C">
        <w:t xml:space="preserve"> which</w:t>
      </w:r>
      <w:r w:rsidR="00AF1EC6" w:rsidRPr="00BC284C">
        <w:t xml:space="preserve"> flow through from the control workbook</w:t>
      </w:r>
      <w:r w:rsidR="001C04B5" w:rsidRPr="00BC284C">
        <w:t xml:space="preserve"> are staged here, and the </w:t>
      </w:r>
      <w:r w:rsidR="00FF183D" w:rsidRPr="00BC284C">
        <w:t>HIP relevant scenario parame</w:t>
      </w:r>
      <w:r w:rsidR="00D627C7" w:rsidRPr="00BC284C">
        <w:t>ters are applied to se</w:t>
      </w:r>
      <w:r w:rsidR="00217392" w:rsidRPr="00BC284C">
        <w:t xml:space="preserve">lect </w:t>
      </w:r>
      <w:r w:rsidR="00395C62" w:rsidRPr="00BC284C">
        <w:t>assumption values ap</w:t>
      </w:r>
      <w:r w:rsidR="00395C62" w:rsidRPr="008516C5">
        <w:t>plied in each scenario.</w:t>
      </w:r>
      <w:r w:rsidR="00F35020" w:rsidRPr="008516C5">
        <w:t xml:space="preserve"> Note that there are </w:t>
      </w:r>
      <w:r w:rsidR="00ED519B" w:rsidRPr="008516C5">
        <w:t xml:space="preserve">many </w:t>
      </w:r>
      <w:r w:rsidR="00F35020" w:rsidRPr="008516C5">
        <w:t xml:space="preserve">other assumptions which are selected and applied </w:t>
      </w:r>
      <w:r w:rsidR="00ED519B" w:rsidRPr="008516C5">
        <w:t>in</w:t>
      </w:r>
      <w:r w:rsidR="00F35020" w:rsidRPr="008516C5">
        <w:t xml:space="preserve"> other parts </w:t>
      </w:r>
      <w:r w:rsidR="00ED519B" w:rsidRPr="008516C5">
        <w:t>of the workbook.</w:t>
      </w:r>
      <w:r w:rsidR="0060154C" w:rsidRPr="008516C5">
        <w:t xml:space="preserve"> The worksheet also summari</w:t>
      </w:r>
      <w:r w:rsidR="008A0F4F" w:rsidRPr="008516C5">
        <w:t>s</w:t>
      </w:r>
      <w:r w:rsidR="0060154C" w:rsidRPr="008516C5">
        <w:t xml:space="preserve">es the key equipment costs which are </w:t>
      </w:r>
      <w:r w:rsidR="008516C5" w:rsidRPr="008516C5">
        <w:t xml:space="preserve">used in the </w:t>
      </w:r>
      <w:r w:rsidR="005D6076" w:rsidRPr="008516C5">
        <w:t>economic</w:t>
      </w:r>
      <w:r w:rsidR="005D6076" w:rsidRPr="00BC284C">
        <w:t xml:space="preserve"> output</w:t>
      </w:r>
      <w:r w:rsidR="0060154C" w:rsidRPr="00BC284C">
        <w:t>.</w:t>
      </w:r>
    </w:p>
    <w:p w14:paraId="27A5CDA6" w14:textId="6621B5D5" w:rsidR="005F4A39" w:rsidRDefault="00061D55" w:rsidP="00A876E7">
      <w:r w:rsidRPr="00CD1FAC">
        <w:t>The</w:t>
      </w:r>
      <w:r w:rsidRPr="00CD1FAC">
        <w:rPr>
          <w:b/>
        </w:rPr>
        <w:t xml:space="preserve"> </w:t>
      </w:r>
      <w:r w:rsidR="00E91DE1" w:rsidRPr="00CD1FAC">
        <w:rPr>
          <w:b/>
          <w:bCs/>
        </w:rPr>
        <w:t>For</w:t>
      </w:r>
      <w:r w:rsidR="00CC7412" w:rsidRPr="00CD1FAC">
        <w:t xml:space="preserve"> </w:t>
      </w:r>
      <w:r w:rsidRPr="00CD1FAC">
        <w:t>worksheet contains mo</w:t>
      </w:r>
      <w:r w:rsidR="0067450D" w:rsidRPr="00CD1FAC">
        <w:t xml:space="preserve">st of the sector detail and the functionality depicted in </w:t>
      </w:r>
      <w:r w:rsidR="0067450D" w:rsidRPr="00CD1FAC">
        <w:fldChar w:fldCharType="begin"/>
      </w:r>
      <w:r w:rsidR="0067450D" w:rsidRPr="00CD1FAC">
        <w:instrText xml:space="preserve"> REF _Ref78205054 \h </w:instrText>
      </w:r>
      <w:r w:rsidR="001E507E" w:rsidRPr="00CD1FAC">
        <w:instrText xml:space="preserve"> \* MERGEFORMAT </w:instrText>
      </w:r>
      <w:r w:rsidR="0067450D" w:rsidRPr="00CD1FAC">
        <w:fldChar w:fldCharType="separate"/>
      </w:r>
      <w:r w:rsidR="005F448D" w:rsidRPr="00847414">
        <w:t xml:space="preserve">Figure </w:t>
      </w:r>
      <w:r w:rsidR="005F448D">
        <w:rPr>
          <w:noProof/>
        </w:rPr>
        <w:t>2</w:t>
      </w:r>
      <w:r w:rsidR="0067450D" w:rsidRPr="00CD1FAC">
        <w:fldChar w:fldCharType="end"/>
      </w:r>
      <w:r w:rsidR="0067450D" w:rsidRPr="00CD1FAC">
        <w:t xml:space="preserve">. The </w:t>
      </w:r>
      <w:r w:rsidR="007E22E4" w:rsidRPr="00CD1FAC">
        <w:t xml:space="preserve">worksheet is structured with </w:t>
      </w:r>
      <w:r w:rsidR="00CC1AFA" w:rsidRPr="00CD1FAC">
        <w:t xml:space="preserve">inputs from other workbooks and historical inputs at the top. </w:t>
      </w:r>
      <w:r w:rsidR="00E86204" w:rsidRPr="00CD1FAC">
        <w:t xml:space="preserve">Projections that drive future demand for energy, such as the building stock model, </w:t>
      </w:r>
      <w:r w:rsidR="002A2298" w:rsidRPr="00CD1FAC">
        <w:t>population and GDP projections, and energy efficiency improvements are grouped together</w:t>
      </w:r>
      <w:r w:rsidR="00CD1FAC">
        <w:t xml:space="preserve">. </w:t>
      </w:r>
    </w:p>
    <w:p w14:paraId="6D38A9F3" w14:textId="3702D970" w:rsidR="00623C35" w:rsidRDefault="00594C23" w:rsidP="00A876E7">
      <w:r>
        <w:lastRenderedPageBreak/>
        <w:t xml:space="preserve">The different industrial segments modelled individually are grouped together under the </w:t>
      </w:r>
      <w:r w:rsidRPr="005F4A39">
        <w:rPr>
          <w:i/>
          <w:iCs/>
        </w:rPr>
        <w:t>Specific industrial segments</w:t>
      </w:r>
      <w:r>
        <w:t xml:space="preserve"> grouping. </w:t>
      </w:r>
      <w:r w:rsidR="00246FC3">
        <w:t xml:space="preserve">This is followed by projections of emissions specifically relating to coal, liquid fuels, and gas and LPG. </w:t>
      </w:r>
      <w:r w:rsidR="00F42D65">
        <w:t xml:space="preserve">The electricity modelling follows this. </w:t>
      </w:r>
      <w:r w:rsidR="00FE4582">
        <w:t>Electricity d</w:t>
      </w:r>
      <w:r w:rsidR="00F42D65">
        <w:t xml:space="preserve">emand is modelled first, followed by networks and then generation. </w:t>
      </w:r>
    </w:p>
    <w:p w14:paraId="41193E03" w14:textId="274E8741" w:rsidR="00246FC3" w:rsidRDefault="00623C35" w:rsidP="00A876E7">
      <w:r>
        <w:t xml:space="preserve">The </w:t>
      </w:r>
      <w:r>
        <w:rPr>
          <w:b/>
          <w:bCs/>
        </w:rPr>
        <w:t>For</w:t>
      </w:r>
      <w:r>
        <w:t xml:space="preserve"> </w:t>
      </w:r>
      <w:r w:rsidR="00E873E0">
        <w:t>work</w:t>
      </w:r>
      <w:r w:rsidR="00E873E0" w:rsidRPr="00E873E0">
        <w:t>sheet</w:t>
      </w:r>
      <w:r w:rsidRPr="00E873E0">
        <w:t xml:space="preserve"> also includes some economic reporting </w:t>
      </w:r>
      <w:r w:rsidR="00E873E0" w:rsidRPr="00E873E0">
        <w:t>including consumer and household bill impacts. These costs are built up from the energy cost calculations and assumptions about capital and operating costs for equipment.</w:t>
      </w:r>
    </w:p>
    <w:p w14:paraId="3DAEB5BC" w14:textId="1850FAE3" w:rsidR="005F4A39" w:rsidRPr="00A77326" w:rsidRDefault="005F4A39" w:rsidP="00A876E7">
      <w:r>
        <w:t xml:space="preserve">The </w:t>
      </w:r>
      <w:r w:rsidRPr="005F4A39">
        <w:rPr>
          <w:i/>
          <w:iCs/>
        </w:rPr>
        <w:t xml:space="preserve">Final </w:t>
      </w:r>
      <w:r w:rsidRPr="00A77326">
        <w:rPr>
          <w:i/>
          <w:iCs/>
        </w:rPr>
        <w:t>results table</w:t>
      </w:r>
      <w:r w:rsidRPr="00A77326">
        <w:t xml:space="preserve"> grouping contains the results which are transferred into the results file. </w:t>
      </w:r>
    </w:p>
    <w:p w14:paraId="4C0F7BF0" w14:textId="6389186A" w:rsidR="008C0033" w:rsidRPr="00176EA6" w:rsidRDefault="008C0033" w:rsidP="00A876E7">
      <w:r w:rsidRPr="00A77326">
        <w:t xml:space="preserve">The </w:t>
      </w:r>
      <w:r w:rsidRPr="00A77326">
        <w:rPr>
          <w:b/>
          <w:bCs/>
        </w:rPr>
        <w:t xml:space="preserve">GNB and ENB </w:t>
      </w:r>
      <w:r w:rsidRPr="00A77326">
        <w:t xml:space="preserve">worksheets contain </w:t>
      </w:r>
      <w:r w:rsidRPr="00176EA6">
        <w:t xml:space="preserve">calculations of the </w:t>
      </w:r>
      <w:r w:rsidR="002B7BC8">
        <w:t xml:space="preserve">costs and associated required revenues of the </w:t>
      </w:r>
      <w:r w:rsidRPr="00176EA6">
        <w:t>gas and electricity network businesses</w:t>
      </w:r>
      <w:r w:rsidR="00A77326" w:rsidRPr="00176EA6">
        <w:t xml:space="preserve"> respectively</w:t>
      </w:r>
      <w:r w:rsidRPr="00176EA6">
        <w:t xml:space="preserve">. </w:t>
      </w:r>
    </w:p>
    <w:p w14:paraId="37988A81" w14:textId="37027DA0" w:rsidR="00AC6121" w:rsidRPr="00176EA6" w:rsidRDefault="1EFB5C3C" w:rsidP="00A876E7">
      <w:r>
        <w:t xml:space="preserve">The </w:t>
      </w:r>
      <w:r w:rsidRPr="4868DAB2">
        <w:rPr>
          <w:b/>
          <w:bCs/>
        </w:rPr>
        <w:t xml:space="preserve">G2X </w:t>
      </w:r>
      <w:r>
        <w:t>worksheet contain</w:t>
      </w:r>
      <w:r w:rsidR="39F5242F">
        <w:t xml:space="preserve">s the detailed fuel switching calculations for fossil gas. These are only used when fossil gas phase out assumptions are not set exogenously. </w:t>
      </w:r>
    </w:p>
    <w:p w14:paraId="67241A6D" w14:textId="4398EAA6" w:rsidR="003D2F43" w:rsidRPr="003D2F43" w:rsidRDefault="003D2F43" w:rsidP="003D2F43">
      <w:pPr>
        <w:spacing w:after="0" w:line="240" w:lineRule="auto"/>
        <w:rPr>
          <w:rFonts w:ascii="Times New Roman" w:eastAsia="Times New Roman" w:hAnsi="Times New Roman" w:cs="Times New Roman"/>
          <w:sz w:val="24"/>
          <w:szCs w:val="24"/>
          <w:lang w:eastAsia="en-NZ"/>
        </w:rPr>
      </w:pPr>
      <w:r w:rsidRPr="003D2F43">
        <w:rPr>
          <w:rFonts w:ascii="Times New Roman" w:eastAsia="Times New Roman" w:hAnsi="Times New Roman" w:cs="Times New Roman"/>
          <w:noProof/>
          <w:sz w:val="24"/>
          <w:szCs w:val="24"/>
          <w:lang w:eastAsia="en-NZ"/>
        </w:rPr>
        <w:lastRenderedPageBreak/>
        <w:drawing>
          <wp:inline distT="0" distB="0" distL="0" distR="0" wp14:anchorId="6A9166DD" wp14:editId="5F6B856A">
            <wp:extent cx="5107884" cy="792000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7884" cy="7920000"/>
                    </a:xfrm>
                    <a:prstGeom prst="rect">
                      <a:avLst/>
                    </a:prstGeom>
                    <a:noFill/>
                    <a:ln>
                      <a:noFill/>
                    </a:ln>
                  </pic:spPr>
                </pic:pic>
              </a:graphicData>
            </a:graphic>
          </wp:inline>
        </w:drawing>
      </w:r>
    </w:p>
    <w:p w14:paraId="175FD041" w14:textId="4C6E17BF" w:rsidR="000800BF" w:rsidRPr="000800BF" w:rsidRDefault="000800BF" w:rsidP="000800BF">
      <w:pPr>
        <w:spacing w:after="0" w:line="240" w:lineRule="auto"/>
        <w:rPr>
          <w:rFonts w:ascii="Times New Roman" w:eastAsia="Times New Roman" w:hAnsi="Times New Roman" w:cs="Times New Roman"/>
          <w:sz w:val="24"/>
          <w:szCs w:val="24"/>
          <w:lang w:eastAsia="en-NZ"/>
        </w:rPr>
      </w:pPr>
    </w:p>
    <w:p w14:paraId="53293EA7" w14:textId="0699080E" w:rsidR="003C5DA9" w:rsidRPr="00847414" w:rsidRDefault="003C5DA9" w:rsidP="003C5DA9">
      <w:pPr>
        <w:pStyle w:val="Caption"/>
      </w:pPr>
      <w:bookmarkStart w:id="14" w:name="_Ref78205054"/>
      <w:bookmarkStart w:id="15" w:name="_Ref78205044"/>
      <w:r w:rsidRPr="00847414">
        <w:t xml:space="preserve">Figure </w:t>
      </w:r>
      <w:r w:rsidRPr="00847414">
        <w:fldChar w:fldCharType="begin"/>
      </w:r>
      <w:r w:rsidRPr="00847414">
        <w:instrText>SEQ Figure \* ARABIC</w:instrText>
      </w:r>
      <w:r w:rsidRPr="00847414">
        <w:fldChar w:fldCharType="separate"/>
      </w:r>
      <w:r w:rsidR="005F448D">
        <w:rPr>
          <w:noProof/>
        </w:rPr>
        <w:t>2</w:t>
      </w:r>
      <w:r w:rsidRPr="00847414">
        <w:fldChar w:fldCharType="end"/>
      </w:r>
      <w:bookmarkEnd w:id="14"/>
      <w:r w:rsidRPr="00847414">
        <w:t xml:space="preserve"> The HIP workbook</w:t>
      </w:r>
      <w:r w:rsidR="008D59AC" w:rsidRPr="00847414">
        <w:t xml:space="preserve"> and linkages with land</w:t>
      </w:r>
      <w:r w:rsidR="0089681F">
        <w:t xml:space="preserve"> and waste</w:t>
      </w:r>
      <w:r w:rsidR="008D59AC" w:rsidRPr="00847414">
        <w:t xml:space="preserve"> and transport</w:t>
      </w:r>
      <w:r w:rsidRPr="00847414">
        <w:t>, showing energy consuming and emitting sectors and their interaction with dynamic supply and demand modules. Note that this is a simplification of the model and not all linkages are shown.</w:t>
      </w:r>
      <w:bookmarkEnd w:id="15"/>
    </w:p>
    <w:p w14:paraId="770DCC30" w14:textId="3092859A" w:rsidR="00085D32" w:rsidRPr="001E507E" w:rsidRDefault="00085D32" w:rsidP="005937F4">
      <w:pPr>
        <w:rPr>
          <w:highlight w:val="yellow"/>
        </w:rPr>
      </w:pPr>
    </w:p>
    <w:p w14:paraId="790D881B" w14:textId="77777777" w:rsidR="00BA6920" w:rsidRPr="001E507E" w:rsidRDefault="00BA6920" w:rsidP="00420548">
      <w:pPr>
        <w:rPr>
          <w:highlight w:val="yellow"/>
        </w:rPr>
      </w:pPr>
    </w:p>
    <w:p w14:paraId="6AB78807" w14:textId="77777777" w:rsidR="00AC26B4" w:rsidRPr="00086665" w:rsidRDefault="00AC26B4" w:rsidP="00C67F34">
      <w:pPr>
        <w:pStyle w:val="Heading2"/>
      </w:pPr>
      <w:bookmarkStart w:id="16" w:name="_Toc184814238"/>
      <w:r w:rsidRPr="00086665">
        <w:t xml:space="preserve">Input </w:t>
      </w:r>
      <w:proofErr w:type="gramStart"/>
      <w:r w:rsidRPr="00086665">
        <w:t>data</w:t>
      </w:r>
      <w:bookmarkEnd w:id="16"/>
      <w:proofErr w:type="gramEnd"/>
    </w:p>
    <w:p w14:paraId="1DEA51AE" w14:textId="1547BDA1" w:rsidR="00AC26B4" w:rsidRPr="002852E4" w:rsidRDefault="00AC26B4" w:rsidP="00AC26B4">
      <w:r w:rsidRPr="00086665">
        <w:t>The</w:t>
      </w:r>
      <w:r w:rsidR="00086665" w:rsidRPr="00086665">
        <w:t xml:space="preserve"> 202</w:t>
      </w:r>
      <w:r w:rsidR="00420171">
        <w:t>4</w:t>
      </w:r>
      <w:r w:rsidR="00086665" w:rsidRPr="00086665">
        <w:t xml:space="preserve"> Greenhouse Gas</w:t>
      </w:r>
      <w:r w:rsidRPr="00086665">
        <w:t xml:space="preserve"> Inventory </w:t>
      </w:r>
      <w:r w:rsidR="00086665">
        <w:t>(‘</w:t>
      </w:r>
      <w:r w:rsidR="002852E4">
        <w:t xml:space="preserve">the Inventory’) </w:t>
      </w:r>
      <w:r w:rsidRPr="00086665">
        <w:t xml:space="preserve">provides a record of annual emissions </w:t>
      </w:r>
      <w:r w:rsidR="00475117" w:rsidRPr="00086665">
        <w:t>in Aotearoa</w:t>
      </w:r>
      <w:r w:rsidRPr="00086665">
        <w:t xml:space="preserve"> from 1990 to 20</w:t>
      </w:r>
      <w:r w:rsidR="00086665" w:rsidRPr="00086665">
        <w:t>2</w:t>
      </w:r>
      <w:r w:rsidR="00420171">
        <w:t>2</w:t>
      </w:r>
      <w:r w:rsidRPr="00086665">
        <w:t>. This data source follows a recognised system of emissions classification based on an established reporting framework</w:t>
      </w:r>
      <w:r w:rsidRPr="002852E4">
        <w:t xml:space="preserve">. The </w:t>
      </w:r>
      <w:r w:rsidR="002C7BC0" w:rsidRPr="002852E4">
        <w:t>I</w:t>
      </w:r>
      <w:r w:rsidRPr="002852E4">
        <w:t xml:space="preserve">nventory is the highest tier data source for ENZ and provides the reference from which emissions are projected. </w:t>
      </w:r>
    </w:p>
    <w:p w14:paraId="2A5358EF" w14:textId="1C5E495E" w:rsidR="00AC26B4" w:rsidRPr="001E507E" w:rsidRDefault="00AC26B4" w:rsidP="009130E0">
      <w:pPr>
        <w:rPr>
          <w:highlight w:val="yellow"/>
        </w:rPr>
      </w:pPr>
      <w:r w:rsidRPr="00D42C3F">
        <w:t>The Inventory includes a detailed disaggregation of emissions into sectors, activities</w:t>
      </w:r>
      <w:r w:rsidR="00F14B97">
        <w:t>,</w:t>
      </w:r>
      <w:r w:rsidRPr="00D42C3F">
        <w:t xml:space="preserve"> and types. </w:t>
      </w:r>
      <w:r w:rsidR="004E0207">
        <w:t xml:space="preserve">ENZ has aligned with this </w:t>
      </w:r>
      <w:r w:rsidR="009130E0">
        <w:t xml:space="preserve">and produces outputs of emissions mapped to the Inventory classifications. </w:t>
      </w:r>
    </w:p>
    <w:p w14:paraId="5A879D44" w14:textId="173457BB" w:rsidR="00AC26B4" w:rsidRDefault="00AC26B4" w:rsidP="00AC26B4">
      <w:r w:rsidRPr="00D11EF8">
        <w:t xml:space="preserve">Fossil fuel consumption has been calculated from </w:t>
      </w:r>
      <w:r w:rsidR="00152DD0" w:rsidRPr="00D11EF8">
        <w:t>I</w:t>
      </w:r>
      <w:r w:rsidRPr="00D11EF8">
        <w:t xml:space="preserve">nventory fuel combustion emissions by assuming constant emission factors for each fuel. The Energy Balance tables published by MBIE have been used to enrich the model of energy use as it provides non-energy use of fuels and statistics for renewable energy and electricity. There is imperfect matching between fuel consumption values derived from </w:t>
      </w:r>
      <w:r w:rsidR="002C24BC" w:rsidRPr="00D11EF8">
        <w:t>I</w:t>
      </w:r>
      <w:r w:rsidRPr="00D11EF8">
        <w:t xml:space="preserve">nventory emissions and the Energy Balance tables due to a difference in methodology – where conflicts exist, fuel totals derived from the </w:t>
      </w:r>
      <w:r w:rsidR="003365B1" w:rsidRPr="00D11EF8">
        <w:t>I</w:t>
      </w:r>
      <w:r w:rsidRPr="00D11EF8">
        <w:t>nventory are used.</w:t>
      </w:r>
    </w:p>
    <w:p w14:paraId="1A415827" w14:textId="73AC6D0A" w:rsidR="00AB24C8" w:rsidRDefault="104F7298" w:rsidP="00AC26B4">
      <w:r>
        <w:t xml:space="preserve">The Energy End-Use Database created and maintained by </w:t>
      </w:r>
      <w:r w:rsidR="18E69F83">
        <w:t xml:space="preserve">the Energy </w:t>
      </w:r>
      <w:r w:rsidR="5205EC64">
        <w:t>Efficiency and Conservation A</w:t>
      </w:r>
      <w:r w:rsidR="1F0FC86B">
        <w:t>uthority</w:t>
      </w:r>
      <w:r w:rsidR="61C88069">
        <w:t xml:space="preserve"> (</w:t>
      </w:r>
      <w:r>
        <w:t>EECA</w:t>
      </w:r>
      <w:r w:rsidR="61C88069">
        <w:t>)</w:t>
      </w:r>
      <w:r w:rsidR="2DD8E2A9">
        <w:t xml:space="preserve"> is used to disaggregate fuel use by different end uses, such as space heating, water heating, cooking</w:t>
      </w:r>
      <w:r w:rsidR="54BA18BD">
        <w:t>,</w:t>
      </w:r>
      <w:r w:rsidR="2DD8E2A9">
        <w:t xml:space="preserve"> and lighting. </w:t>
      </w:r>
      <w:r>
        <w:t xml:space="preserve"> </w:t>
      </w:r>
    </w:p>
    <w:p w14:paraId="172B7792" w14:textId="48C6B62B" w:rsidR="00BA6920" w:rsidRPr="001E387F" w:rsidRDefault="00BA6920" w:rsidP="00085D32">
      <w:pPr>
        <w:pStyle w:val="Heading2"/>
      </w:pPr>
      <w:bookmarkStart w:id="17" w:name="_Toc184814239"/>
      <w:r w:rsidRPr="001E387F">
        <w:t>Residential, commercial and agricu</w:t>
      </w:r>
      <w:r w:rsidR="00EB544E" w:rsidRPr="001E387F">
        <w:t>ltu</w:t>
      </w:r>
      <w:r w:rsidR="009E0454" w:rsidRPr="001E387F">
        <w:t>re</w:t>
      </w:r>
      <w:r w:rsidRPr="001E387F">
        <w:t xml:space="preserve"> sectors</w:t>
      </w:r>
      <w:bookmarkEnd w:id="17"/>
    </w:p>
    <w:p w14:paraId="62A2F27C" w14:textId="6BB22E5C" w:rsidR="008C5A7A" w:rsidRPr="001E387F" w:rsidRDefault="008624DC" w:rsidP="00BA6920">
      <w:r w:rsidRPr="001E387F">
        <w:t>Energy use</w:t>
      </w:r>
      <w:r w:rsidR="00587871" w:rsidRPr="001E387F">
        <w:t xml:space="preserve"> in the reside</w:t>
      </w:r>
      <w:r w:rsidR="00AB2675" w:rsidRPr="001E387F">
        <w:t>ntial, commercial and agricultur</w:t>
      </w:r>
      <w:r w:rsidR="005B7505" w:rsidRPr="001E387F">
        <w:t>e</w:t>
      </w:r>
      <w:r w:rsidR="00AB2675" w:rsidRPr="001E387F">
        <w:t xml:space="preserve"> sectors</w:t>
      </w:r>
      <w:r w:rsidR="00C91FB7" w:rsidRPr="001E387F">
        <w:t xml:space="preserve"> (RCA)</w:t>
      </w:r>
      <w:r w:rsidR="00AB2675" w:rsidRPr="001E387F">
        <w:t xml:space="preserve"> is disaggregated by fuel and end use</w:t>
      </w:r>
      <w:r w:rsidR="003F08B6" w:rsidRPr="001E387F">
        <w:t xml:space="preserve">. </w:t>
      </w:r>
      <w:r w:rsidR="00C61FC8" w:rsidRPr="001E387F">
        <w:t xml:space="preserve">EECA’s </w:t>
      </w:r>
      <w:r w:rsidR="00C54910" w:rsidRPr="001E387F">
        <w:t>e</w:t>
      </w:r>
      <w:r w:rsidR="00C61FC8" w:rsidRPr="001E387F">
        <w:t xml:space="preserve">nergy </w:t>
      </w:r>
      <w:r w:rsidR="00C54910" w:rsidRPr="001E387F">
        <w:t>e</w:t>
      </w:r>
      <w:r w:rsidR="00C61FC8" w:rsidRPr="001E387F">
        <w:t xml:space="preserve">nd </w:t>
      </w:r>
      <w:r w:rsidR="00C54910" w:rsidRPr="001E387F">
        <w:t>us</w:t>
      </w:r>
      <w:r w:rsidR="00C61FC8" w:rsidRPr="001E387F">
        <w:t xml:space="preserve">e database is </w:t>
      </w:r>
      <w:r w:rsidR="00C54910" w:rsidRPr="001E387F">
        <w:t xml:space="preserve">used </w:t>
      </w:r>
      <w:r w:rsidR="003F304B" w:rsidRPr="001E387F">
        <w:t xml:space="preserve">as a base year representation </w:t>
      </w:r>
      <w:r w:rsidR="001C7637" w:rsidRPr="001E387F">
        <w:t>of how energy is used in terms of space heating, water heating, process heat,</w:t>
      </w:r>
      <w:r w:rsidR="00485F1E" w:rsidRPr="001E387F">
        <w:t xml:space="preserve"> lighting, </w:t>
      </w:r>
      <w:r w:rsidR="0087130C" w:rsidRPr="001E387F">
        <w:t xml:space="preserve">and </w:t>
      </w:r>
      <w:r w:rsidR="00485F1E" w:rsidRPr="001E387F">
        <w:t>other electrical and</w:t>
      </w:r>
      <w:r w:rsidR="001C7637" w:rsidRPr="001E387F">
        <w:t xml:space="preserve"> motive power</w:t>
      </w:r>
      <w:r w:rsidR="008C5A7A" w:rsidRPr="001E387F">
        <w:t xml:space="preserve">. </w:t>
      </w:r>
    </w:p>
    <w:p w14:paraId="50A9956D" w14:textId="08D7D8FF" w:rsidR="001C67BB" w:rsidRPr="00640D38" w:rsidRDefault="000C1F53" w:rsidP="009C4B61">
      <w:r w:rsidRPr="00101A98">
        <w:t>Most of the energy use in residential and commercial sectors is through space and water heating in building</w:t>
      </w:r>
      <w:r w:rsidR="007C6E76" w:rsidRPr="00101A98">
        <w:t>s</w:t>
      </w:r>
      <w:r w:rsidR="00163349" w:rsidRPr="00101A98">
        <w:t xml:space="preserve">. Using a building stock </w:t>
      </w:r>
      <w:r w:rsidR="007C764D" w:rsidRPr="00101A98">
        <w:t>model,</w:t>
      </w:r>
      <w:r w:rsidR="00163349" w:rsidRPr="00101A98">
        <w:t xml:space="preserve"> the </w:t>
      </w:r>
      <w:r w:rsidR="001E08B8" w:rsidRPr="00101A98">
        <w:t>demand for useful heat for these applications is projected</w:t>
      </w:r>
      <w:r w:rsidR="007C764D" w:rsidRPr="00101A98">
        <w:t xml:space="preserve">. </w:t>
      </w:r>
      <w:proofErr w:type="gramStart"/>
      <w:r w:rsidR="007C764D" w:rsidRPr="00101A98">
        <w:t>A number of</w:t>
      </w:r>
      <w:proofErr w:type="gramEnd"/>
      <w:r w:rsidR="007C764D" w:rsidRPr="00101A98">
        <w:t xml:space="preserve"> dynamics are represented in this model including</w:t>
      </w:r>
      <w:r w:rsidR="0071758A" w:rsidRPr="00101A98">
        <w:t xml:space="preserve"> the construction of new buildings, the retrofit of existing buildings, and the demolition of old buildings.</w:t>
      </w:r>
      <w:r w:rsidR="00F70831" w:rsidRPr="00101A98">
        <w:t xml:space="preserve"> Improvements in energy efficiency which reduce t</w:t>
      </w:r>
      <w:r w:rsidR="00F70831" w:rsidRPr="00A035CE">
        <w:t>he demand for useful heat are applied</w:t>
      </w:r>
      <w:r w:rsidR="001E08B8" w:rsidRPr="00A035CE">
        <w:t xml:space="preserve"> </w:t>
      </w:r>
      <w:r w:rsidR="007C6E76" w:rsidRPr="00A035CE">
        <w:t>by assumption for new buildings and retrofits</w:t>
      </w:r>
      <w:r w:rsidR="007A1B55" w:rsidRPr="00A035CE">
        <w:t xml:space="preserve"> – this is adjusted by the scenario parameter </w:t>
      </w:r>
      <w:r w:rsidR="007A1B55" w:rsidRPr="00A035CE">
        <w:rPr>
          <w:i/>
          <w:iCs/>
        </w:rPr>
        <w:t xml:space="preserve">Building </w:t>
      </w:r>
      <w:r w:rsidR="00A035CE" w:rsidRPr="00A035CE">
        <w:rPr>
          <w:i/>
          <w:iCs/>
        </w:rPr>
        <w:t>retrofit rate</w:t>
      </w:r>
      <w:r w:rsidR="007A1B55" w:rsidRPr="00A035CE">
        <w:rPr>
          <w:i/>
          <w:iCs/>
        </w:rPr>
        <w:t xml:space="preserve"> and </w:t>
      </w:r>
      <w:r w:rsidR="00A035CE" w:rsidRPr="00A035CE">
        <w:rPr>
          <w:i/>
          <w:iCs/>
        </w:rPr>
        <w:t>energy</w:t>
      </w:r>
      <w:r w:rsidR="007A1B55" w:rsidRPr="00A035CE">
        <w:rPr>
          <w:i/>
          <w:iCs/>
        </w:rPr>
        <w:t xml:space="preserve"> efficiency improvements</w:t>
      </w:r>
      <w:r w:rsidR="007C6E76" w:rsidRPr="00A035CE">
        <w:t xml:space="preserve">. </w:t>
      </w:r>
      <w:r w:rsidR="009C4B61" w:rsidRPr="00A035CE">
        <w:t>The</w:t>
      </w:r>
      <w:r w:rsidR="00FB2736" w:rsidRPr="00A035CE">
        <w:t xml:space="preserve"> assumed</w:t>
      </w:r>
      <w:r w:rsidR="00FB2736" w:rsidRPr="00101A98">
        <w:t xml:space="preserve"> population growth </w:t>
      </w:r>
      <w:r w:rsidR="001C7C12" w:rsidRPr="00101A98">
        <w:t>input</w:t>
      </w:r>
      <w:r w:rsidR="00F9225F" w:rsidRPr="00101A98">
        <w:t>s</w:t>
      </w:r>
      <w:r w:rsidR="001C7C12" w:rsidRPr="00101A98">
        <w:t xml:space="preserve"> to the model through the total </w:t>
      </w:r>
      <w:r w:rsidR="001C7C12" w:rsidRPr="00640D38">
        <w:t>number of ICPs (individual connection points)</w:t>
      </w:r>
      <w:r w:rsidR="001C67BB" w:rsidRPr="00640D38">
        <w:t>.</w:t>
      </w:r>
    </w:p>
    <w:p w14:paraId="4174C145" w14:textId="0DE8B096" w:rsidR="00EC4754" w:rsidRDefault="5336F47A" w:rsidP="009C4B61">
      <w:r>
        <w:t xml:space="preserve">The </w:t>
      </w:r>
      <w:r w:rsidR="0E7A175A">
        <w:t>extent to which different</w:t>
      </w:r>
      <w:r w:rsidR="61023C59">
        <w:t xml:space="preserve"> heating type</w:t>
      </w:r>
      <w:r w:rsidR="0E7A175A">
        <w:t>s</w:t>
      </w:r>
      <w:r w:rsidR="61023C59">
        <w:t xml:space="preserve"> (fossil gas or electric heating) </w:t>
      </w:r>
      <w:r w:rsidR="0E7A175A">
        <w:t xml:space="preserve">meet the demand for energy </w:t>
      </w:r>
      <w:r w:rsidR="0EFFAF24">
        <w:t xml:space="preserve">services </w:t>
      </w:r>
      <w:r w:rsidR="1A2CBD27">
        <w:t xml:space="preserve">is based on exogenous phaseout profiles for fossil gas </w:t>
      </w:r>
      <w:r w:rsidR="6A77DDF1">
        <w:t xml:space="preserve">and coal </w:t>
      </w:r>
      <w:r w:rsidR="1A2CBD27">
        <w:t xml:space="preserve">heating. </w:t>
      </w:r>
      <w:r w:rsidR="78C9A1BE">
        <w:t>The</w:t>
      </w:r>
      <w:r w:rsidR="6A77DDF1">
        <w:t xml:space="preserve"> fossil gas </w:t>
      </w:r>
      <w:r w:rsidR="78C9A1BE">
        <w:t xml:space="preserve">profile </w:t>
      </w:r>
      <w:r w:rsidR="6A77DDF1">
        <w:t xml:space="preserve">is selected using the </w:t>
      </w:r>
      <w:r w:rsidR="30EE141A" w:rsidRPr="4868DAB2">
        <w:rPr>
          <w:i/>
          <w:iCs/>
        </w:rPr>
        <w:t>Pipe Res, Pipe Com, LPG Res</w:t>
      </w:r>
      <w:r w:rsidR="2AAC04E8" w:rsidRPr="4868DAB2">
        <w:rPr>
          <w:i/>
          <w:iCs/>
        </w:rPr>
        <w:t>,</w:t>
      </w:r>
      <w:r w:rsidR="30EE141A" w:rsidRPr="4868DAB2">
        <w:rPr>
          <w:i/>
          <w:iCs/>
        </w:rPr>
        <w:t xml:space="preserve"> </w:t>
      </w:r>
      <w:r w:rsidR="30EE141A">
        <w:t xml:space="preserve">and </w:t>
      </w:r>
      <w:r w:rsidR="30EE141A" w:rsidRPr="4868DAB2">
        <w:rPr>
          <w:i/>
          <w:iCs/>
        </w:rPr>
        <w:t>LPG Com</w:t>
      </w:r>
      <w:r w:rsidR="30EE141A">
        <w:t xml:space="preserve"> parameters on the control panel. </w:t>
      </w:r>
      <w:r w:rsidR="608A61B6">
        <w:t>The coal phase out is implicitly assumed to occur by 2032</w:t>
      </w:r>
      <w:r w:rsidR="4F547A32">
        <w:t xml:space="preserve"> for residential, and 2037 for commercial,</w:t>
      </w:r>
      <w:r w:rsidR="241E24A5">
        <w:t xml:space="preserve"> driven by the ‘National Direction’ policy on industrial process heat</w:t>
      </w:r>
      <w:r w:rsidR="608A61B6">
        <w:t xml:space="preserve">. </w:t>
      </w:r>
    </w:p>
    <w:p w14:paraId="05D61463" w14:textId="70A6E0F6" w:rsidR="00304239" w:rsidRDefault="77AC3E23" w:rsidP="009C4B61">
      <w:pPr>
        <w:rPr>
          <w:highlight w:val="yellow"/>
        </w:rPr>
      </w:pPr>
      <w:r>
        <w:t xml:space="preserve">There is also functionality to select the heating type </w:t>
      </w:r>
      <w:r w:rsidR="110956EA">
        <w:t>based on the relative costs</w:t>
      </w:r>
      <w:r w:rsidR="7DCA5C8D">
        <w:t xml:space="preserve"> of the two systems</w:t>
      </w:r>
      <w:r w:rsidR="35E6DE00">
        <w:t xml:space="preserve"> – the se</w:t>
      </w:r>
      <w:r w:rsidR="72EED908">
        <w:t>lec</w:t>
      </w:r>
      <w:r w:rsidR="35E6DE00">
        <w:t>tion consider</w:t>
      </w:r>
      <w:r w:rsidR="7A2754CA">
        <w:t>s</w:t>
      </w:r>
      <w:r w:rsidR="35E6DE00">
        <w:t xml:space="preserve"> the combined a</w:t>
      </w:r>
      <w:r w:rsidR="337579C6">
        <w:t>ppliance and delivered energy costs</w:t>
      </w:r>
      <w:r w:rsidR="35E6DE00">
        <w:t xml:space="preserve"> over the lifetime of </w:t>
      </w:r>
      <w:r w:rsidR="72EED908">
        <w:t xml:space="preserve">each </w:t>
      </w:r>
      <w:r w:rsidR="35E6DE00">
        <w:t>appliance. The appliance component of these costs is built up from the</w:t>
      </w:r>
      <w:r w:rsidR="51A75A0A">
        <w:t xml:space="preserve"> </w:t>
      </w:r>
      <w:r w:rsidR="270EDA0C" w:rsidRPr="4868DAB2">
        <w:rPr>
          <w:i/>
          <w:iCs/>
        </w:rPr>
        <w:t>Cost breakdown for average-sized consumer</w:t>
      </w:r>
      <w:r w:rsidR="35E6DE00">
        <w:t xml:space="preserve"> detail</w:t>
      </w:r>
      <w:r w:rsidR="51A75A0A">
        <w:t xml:space="preserve"> in the </w:t>
      </w:r>
      <w:r w:rsidR="2B7FD91D" w:rsidRPr="4868DAB2">
        <w:rPr>
          <w:b/>
          <w:bCs/>
        </w:rPr>
        <w:t>Param</w:t>
      </w:r>
      <w:r w:rsidR="51A75A0A">
        <w:t xml:space="preserve"> worksheet</w:t>
      </w:r>
      <w:r w:rsidR="7E7D6A22">
        <w:t xml:space="preserve"> and the energy costs are endogenous with</w:t>
      </w:r>
      <w:r w:rsidR="168CB191">
        <w:t>in</w:t>
      </w:r>
      <w:r w:rsidR="7E7D6A22">
        <w:t xml:space="preserve"> </w:t>
      </w:r>
      <w:r w:rsidR="7E7D6A22" w:rsidRPr="4868DAB2">
        <w:rPr>
          <w:b/>
          <w:bCs/>
        </w:rPr>
        <w:t>HIP</w:t>
      </w:r>
      <w:r w:rsidR="51A75A0A">
        <w:t>.</w:t>
      </w:r>
      <w:r w:rsidR="337579C6">
        <w:t xml:space="preserve"> </w:t>
      </w:r>
    </w:p>
    <w:p w14:paraId="088C10F4" w14:textId="76C859C8" w:rsidR="005547AC" w:rsidRPr="003D5BAF" w:rsidRDefault="00223DBB" w:rsidP="005547AC">
      <w:pPr>
        <w:pStyle w:val="Heading3"/>
      </w:pPr>
      <w:bookmarkStart w:id="18" w:name="_Toc184814240"/>
      <w:r>
        <w:t>Mobile machinery and off-road vehicles</w:t>
      </w:r>
      <w:bookmarkEnd w:id="18"/>
    </w:p>
    <w:p w14:paraId="23203DF8" w14:textId="33B423D4" w:rsidR="00AF2031" w:rsidRDefault="002274A8" w:rsidP="00BA6920">
      <w:r w:rsidRPr="003D5BAF">
        <w:t>A large share of the energy use in agr</w:t>
      </w:r>
      <w:r w:rsidRPr="00101A98">
        <w:t>iculture is for off-road vehicles and machinery</w:t>
      </w:r>
      <w:r w:rsidR="00E80F58">
        <w:t xml:space="preserve">, and the residential sector includes </w:t>
      </w:r>
      <w:r w:rsidR="00E80F58" w:rsidRPr="006E6BB1">
        <w:t>energy use from liquid fuel used in recreational boating</w:t>
      </w:r>
      <w:r w:rsidRPr="00101A98">
        <w:t xml:space="preserve">. </w:t>
      </w:r>
      <w:r w:rsidR="00DE6D81" w:rsidRPr="00101A98">
        <w:t xml:space="preserve">Although there </w:t>
      </w:r>
      <w:r w:rsidR="00DE6D81" w:rsidRPr="00101A98">
        <w:lastRenderedPageBreak/>
        <w:t xml:space="preserve">are a diverse range of activities that this term will </w:t>
      </w:r>
      <w:r w:rsidR="000522CA" w:rsidRPr="00101A98">
        <w:t>encompass</w:t>
      </w:r>
      <w:r w:rsidR="00DE6D81" w:rsidRPr="00101A98">
        <w:t>, it is assumed that electrification of these vehicle types will becom</w:t>
      </w:r>
      <w:r w:rsidR="000560F7" w:rsidRPr="00101A98">
        <w:t>e</w:t>
      </w:r>
      <w:r w:rsidR="00DE6D81" w:rsidRPr="00101A98">
        <w:t xml:space="preserve"> increasingly </w:t>
      </w:r>
      <w:r w:rsidR="00371BA5" w:rsidRPr="003D5BAF">
        <w:t>feasible</w:t>
      </w:r>
      <w:r w:rsidR="00DE6D81" w:rsidRPr="003D5BAF">
        <w:t xml:space="preserve"> and economic in the future.</w:t>
      </w:r>
      <w:r w:rsidR="00074EA1" w:rsidRPr="003D5BAF">
        <w:t xml:space="preserve"> The model uses the electrification of the heavy truck vehicle class in the </w:t>
      </w:r>
      <w:r w:rsidR="00074EA1" w:rsidRPr="003D5BAF">
        <w:rPr>
          <w:b/>
          <w:bCs/>
        </w:rPr>
        <w:t>transport</w:t>
      </w:r>
      <w:r w:rsidR="00074EA1" w:rsidRPr="003D5BAF">
        <w:t xml:space="preserve"> workbook as the basis for projecting the electrification of off-road vehicles and machinery in the </w:t>
      </w:r>
      <w:r w:rsidR="00074EA1" w:rsidRPr="003D5BAF">
        <w:rPr>
          <w:b/>
        </w:rPr>
        <w:t xml:space="preserve">HIP </w:t>
      </w:r>
      <w:r w:rsidR="00074EA1" w:rsidRPr="003D5BAF">
        <w:t>workbook</w:t>
      </w:r>
      <w:r w:rsidR="008536B6" w:rsidRPr="003D5BAF">
        <w:t>. Because</w:t>
      </w:r>
      <w:r w:rsidR="008536B6">
        <w:t xml:space="preserve"> off-road vehicles may not electrify as quickly as heavy trucks, there is capability to</w:t>
      </w:r>
      <w:r w:rsidR="00D527B4">
        <w:t xml:space="preserve"> apply a lag to the electrification. </w:t>
      </w:r>
      <w:r w:rsidR="001C4248">
        <w:t>The e</w:t>
      </w:r>
      <w:r w:rsidR="00D527B4">
        <w:t xml:space="preserve">lectrification </w:t>
      </w:r>
      <w:r w:rsidR="001C4248">
        <w:t xml:space="preserve">rate </w:t>
      </w:r>
      <w:r w:rsidR="007D598A">
        <w:t xml:space="preserve">of </w:t>
      </w:r>
      <w:r w:rsidR="001C4248">
        <w:t xml:space="preserve">recreational boats </w:t>
      </w:r>
      <w:proofErr w:type="gramStart"/>
      <w:r w:rsidR="001C4248">
        <w:t>are</w:t>
      </w:r>
      <w:proofErr w:type="gramEnd"/>
      <w:r w:rsidR="001C4248">
        <w:t xml:space="preserve"> set by assumption. These assumptions are defined in the </w:t>
      </w:r>
      <w:r w:rsidR="00AC37C4">
        <w:rPr>
          <w:i/>
          <w:iCs/>
        </w:rPr>
        <w:t>Off-road</w:t>
      </w:r>
      <w:r w:rsidR="001C4248">
        <w:rPr>
          <w:i/>
          <w:iCs/>
        </w:rPr>
        <w:t xml:space="preserve"> liquid fuels decarb </w:t>
      </w:r>
      <w:r w:rsidR="00CE544F">
        <w:rPr>
          <w:i/>
          <w:iCs/>
        </w:rPr>
        <w:t>scenarios</w:t>
      </w:r>
      <w:r w:rsidR="001C4248">
        <w:t xml:space="preserve"> section of the </w:t>
      </w:r>
      <w:r w:rsidR="001C4248">
        <w:rPr>
          <w:b/>
          <w:bCs/>
        </w:rPr>
        <w:t xml:space="preserve">Param </w:t>
      </w:r>
      <w:r w:rsidR="009D4107">
        <w:t>worksheet and</w:t>
      </w:r>
      <w:r w:rsidR="00CE544F">
        <w:t xml:space="preserve"> set using the </w:t>
      </w:r>
      <w:r w:rsidR="00CE544F">
        <w:rPr>
          <w:i/>
          <w:iCs/>
        </w:rPr>
        <w:t xml:space="preserve">Off-road liquid fuels </w:t>
      </w:r>
      <w:r w:rsidR="00CE544F">
        <w:t xml:space="preserve">parameter on the control panel. </w:t>
      </w:r>
    </w:p>
    <w:p w14:paraId="597D1F0A" w14:textId="67ACD653" w:rsidR="00E80F58" w:rsidRPr="006E6BB1" w:rsidRDefault="00E80F58" w:rsidP="00BA6920">
      <w:r w:rsidRPr="00AD640A">
        <w:t xml:space="preserve">Note that this </w:t>
      </w:r>
      <w:r w:rsidR="00AD640A" w:rsidRPr="00AD640A">
        <w:t>also applies</w:t>
      </w:r>
      <w:r w:rsidRPr="00AD640A">
        <w:t xml:space="preserve"> for motive power use in the industrial sectors.</w:t>
      </w:r>
    </w:p>
    <w:p w14:paraId="2EA6EB0C" w14:textId="77777777" w:rsidR="00BA6920" w:rsidRPr="00620805" w:rsidRDefault="00BA6920" w:rsidP="00085D32">
      <w:pPr>
        <w:pStyle w:val="Heading2"/>
      </w:pPr>
      <w:bookmarkStart w:id="19" w:name="_Toc184814241"/>
      <w:r w:rsidRPr="00620805">
        <w:t>Energy supply modules</w:t>
      </w:r>
      <w:bookmarkEnd w:id="19"/>
    </w:p>
    <w:p w14:paraId="5493E7E7" w14:textId="3384EC71" w:rsidR="00BA6920" w:rsidRPr="00620805" w:rsidRDefault="00BA6920" w:rsidP="00BA6920">
      <w:r w:rsidRPr="00620805">
        <w:t xml:space="preserve">ENZ includes detailed supply modules for electricity and </w:t>
      </w:r>
      <w:r w:rsidR="00321F59" w:rsidRPr="00620805">
        <w:t>fossil</w:t>
      </w:r>
      <w:r w:rsidRPr="00620805">
        <w:t xml:space="preserve"> gas and basic modules for oil and coal. The demand for the fuel is built up from the projected consumption from the industrial, residential, commercial, agricultu</w:t>
      </w:r>
      <w:r w:rsidR="004F0785" w:rsidRPr="00620805">
        <w:t>re</w:t>
      </w:r>
      <w:r w:rsidRPr="00620805">
        <w:t xml:space="preserve"> and transport sectors. Energy losses through fuel delivery are applied on top of this, which then sets the requirement for electricity generation and </w:t>
      </w:r>
      <w:r w:rsidR="00FE540D" w:rsidRPr="00620805">
        <w:t>fossil</w:t>
      </w:r>
      <w:r w:rsidRPr="00620805">
        <w:t xml:space="preserve"> gas production. These modules meet supply with allocated resources (potential renewable projects for electricity generation and estimates of field potential for </w:t>
      </w:r>
      <w:r w:rsidR="00610606" w:rsidRPr="00620805">
        <w:t>fossil</w:t>
      </w:r>
      <w:r w:rsidRPr="00620805">
        <w:t xml:space="preserve"> gas). </w:t>
      </w:r>
    </w:p>
    <w:p w14:paraId="4D3604E6" w14:textId="2D53B416" w:rsidR="0093610A" w:rsidRPr="001E507E" w:rsidRDefault="00BA6920" w:rsidP="00BA6920">
      <w:pPr>
        <w:rPr>
          <w:highlight w:val="yellow"/>
        </w:rPr>
      </w:pPr>
      <w:r w:rsidRPr="00620805">
        <w:t xml:space="preserve">The cost of fuels is built up from the wholesale </w:t>
      </w:r>
      <w:r w:rsidRPr="009C3C30">
        <w:t>price of production, the carbon cost from the modelled emissions value, the cost allocation from supply infrastructure</w:t>
      </w:r>
      <w:r w:rsidR="002A6DCE" w:rsidRPr="009C3C30">
        <w:t>,</w:t>
      </w:r>
      <w:r w:rsidRPr="009C3C30">
        <w:t xml:space="preserve"> and a retail charge. These prices become inputs into the modelled fuel switching dynamic for the consuming sectors</w:t>
      </w:r>
      <w:r w:rsidR="008E6E21" w:rsidRPr="009C3C30">
        <w:t xml:space="preserve"> </w:t>
      </w:r>
      <w:r w:rsidR="009C3C30" w:rsidRPr="009C3C30">
        <w:t>which don’t have exogenous fuel use assumptions</w:t>
      </w:r>
      <w:r w:rsidRPr="009C3C30">
        <w:t>.</w:t>
      </w:r>
    </w:p>
    <w:p w14:paraId="159D74D2" w14:textId="7FC1DAD6" w:rsidR="00180FE8" w:rsidRPr="00915376" w:rsidRDefault="00EC1C3B" w:rsidP="00EC1C3B">
      <w:pPr>
        <w:pStyle w:val="Heading2"/>
      </w:pPr>
      <w:bookmarkStart w:id="20" w:name="_Toc184814242"/>
      <w:r w:rsidRPr="00915376">
        <w:t>Industrial s</w:t>
      </w:r>
      <w:r w:rsidR="0004019D" w:rsidRPr="00915376">
        <w:t>ectors</w:t>
      </w:r>
      <w:bookmarkEnd w:id="20"/>
    </w:p>
    <w:p w14:paraId="0632198D" w14:textId="1EF7DE2F" w:rsidR="00FB288D" w:rsidRPr="001E507E" w:rsidRDefault="00FB288D" w:rsidP="00FB288D">
      <w:pPr>
        <w:rPr>
          <w:highlight w:val="yellow"/>
        </w:rPr>
      </w:pPr>
      <w:r w:rsidRPr="007A5422">
        <w:t xml:space="preserve">For each industry a projection of activity is made which sets a demand for useful energy. Improvements in energy efficiency are applied which reduce this demand for </w:t>
      </w:r>
      <w:r w:rsidR="00A508D5" w:rsidRPr="007A5422">
        <w:t xml:space="preserve">useful </w:t>
      </w:r>
      <w:r w:rsidRPr="007A5422">
        <w:t>energy and fuel switching transforms the energy suppl</w:t>
      </w:r>
      <w:r w:rsidR="00E47AF0" w:rsidRPr="007A5422">
        <w:t>y</w:t>
      </w:r>
      <w:r w:rsidRPr="007A5422">
        <w:t xml:space="preserve"> to lower emission</w:t>
      </w:r>
      <w:r w:rsidR="00C71A06" w:rsidRPr="007A5422">
        <w:t>s</w:t>
      </w:r>
      <w:r w:rsidRPr="007A5422">
        <w:t xml:space="preserve"> fuels. The resultant fossil fuel combustion sets direct emissions for the sector </w:t>
      </w:r>
      <w:r w:rsidRPr="000E1101">
        <w:t xml:space="preserve">and </w:t>
      </w:r>
      <w:r w:rsidR="00A508D5" w:rsidRPr="000E1101">
        <w:t xml:space="preserve">the </w:t>
      </w:r>
      <w:r w:rsidRPr="000E1101">
        <w:t xml:space="preserve">demand for </w:t>
      </w:r>
      <w:r w:rsidR="00E47AF0" w:rsidRPr="000E1101">
        <w:t xml:space="preserve">fossil </w:t>
      </w:r>
      <w:r w:rsidRPr="000E1101">
        <w:t xml:space="preserve">gas and electricity feed into respective energy supply modules. </w:t>
      </w:r>
    </w:p>
    <w:p w14:paraId="2D328557" w14:textId="462E3BA1" w:rsidR="00FB288D" w:rsidRPr="00152A59" w:rsidRDefault="00FB288D" w:rsidP="00FB288D">
      <w:r w:rsidRPr="00B6268D">
        <w:t xml:space="preserve">The fuel switching dynamics are generally </w:t>
      </w:r>
      <w:r w:rsidR="007372FA" w:rsidRPr="00B6268D">
        <w:t xml:space="preserve">specified exogenously so that factors other than price can be accounted for. </w:t>
      </w:r>
      <w:r w:rsidR="00B6268D" w:rsidRPr="00B6268D">
        <w:t xml:space="preserve">There is </w:t>
      </w:r>
      <w:r w:rsidR="00B6268D" w:rsidRPr="00152A59">
        <w:t xml:space="preserve">also functionality to enable price driven fuel switching dynamics which </w:t>
      </w:r>
      <w:r w:rsidRPr="00152A59">
        <w:t xml:space="preserve">considers the relative costs of continuing to operate fossil fuel assets versus converting to electricity or in some cases biomass. The use of fossil fuels in industry is generally separable into providing process heat or motive power. </w:t>
      </w:r>
    </w:p>
    <w:p w14:paraId="30630D34" w14:textId="149D50CD" w:rsidR="004348DA" w:rsidRPr="00915376" w:rsidRDefault="00617820" w:rsidP="0004019D">
      <w:pPr>
        <w:pStyle w:val="Heading3"/>
      </w:pPr>
      <w:bookmarkStart w:id="21" w:name="_Toc184814243"/>
      <w:r w:rsidRPr="00152A59">
        <w:t>Food processing</w:t>
      </w:r>
      <w:bookmarkEnd w:id="21"/>
    </w:p>
    <w:p w14:paraId="72317760" w14:textId="624155FB" w:rsidR="00506F01" w:rsidRPr="00736588" w:rsidRDefault="00BD43C8" w:rsidP="00E6353E">
      <w:r w:rsidRPr="00736588">
        <w:t>Th</w:t>
      </w:r>
      <w:r w:rsidR="00534767" w:rsidRPr="00736588">
        <w:t>is</w:t>
      </w:r>
      <w:r w:rsidRPr="00736588">
        <w:t xml:space="preserve"> module first projects the demand for useful h</w:t>
      </w:r>
      <w:r w:rsidR="00F11F53" w:rsidRPr="00736588">
        <w:t xml:space="preserve">eat at a regional </w:t>
      </w:r>
      <w:r w:rsidR="003D0C36" w:rsidRPr="00736588">
        <w:t>level</w:t>
      </w:r>
      <w:r w:rsidR="00F11F53" w:rsidRPr="00736588">
        <w:t xml:space="preserve"> based on the</w:t>
      </w:r>
      <w:r w:rsidR="001E7B76" w:rsidRPr="00736588">
        <w:t xml:space="preserve"> outputs of the agricultural </w:t>
      </w:r>
      <w:r w:rsidR="00640AF2" w:rsidRPr="00736588">
        <w:t xml:space="preserve">module </w:t>
      </w:r>
      <w:r w:rsidR="003F0144" w:rsidRPr="003C495B">
        <w:t xml:space="preserve">of the </w:t>
      </w:r>
      <w:r w:rsidR="00534767" w:rsidRPr="003C495B">
        <w:rPr>
          <w:b/>
          <w:bCs/>
        </w:rPr>
        <w:t>l</w:t>
      </w:r>
      <w:r w:rsidR="003F0144" w:rsidRPr="003C495B">
        <w:rPr>
          <w:b/>
          <w:bCs/>
        </w:rPr>
        <w:t>and</w:t>
      </w:r>
      <w:r w:rsidR="00736588" w:rsidRPr="003C495B">
        <w:rPr>
          <w:b/>
          <w:bCs/>
        </w:rPr>
        <w:t xml:space="preserve"> and waste</w:t>
      </w:r>
      <w:r w:rsidR="003F0144" w:rsidRPr="003C495B">
        <w:rPr>
          <w:b/>
          <w:bCs/>
        </w:rPr>
        <w:t xml:space="preserve"> </w:t>
      </w:r>
      <w:r w:rsidR="003F0144" w:rsidRPr="003C495B">
        <w:t>workbook</w:t>
      </w:r>
      <w:r w:rsidR="00640AF2" w:rsidRPr="003C495B">
        <w:t xml:space="preserve"> </w:t>
      </w:r>
      <w:r w:rsidR="00E90C35" w:rsidRPr="003C495B">
        <w:t>and</w:t>
      </w:r>
      <w:r w:rsidR="003F0144" w:rsidRPr="003C495B">
        <w:t xml:space="preserve"> using</w:t>
      </w:r>
      <w:r w:rsidR="00E90C35" w:rsidRPr="003C495B">
        <w:t xml:space="preserve"> a </w:t>
      </w:r>
      <w:r w:rsidR="00734B6C" w:rsidRPr="003C495B">
        <w:t>base year map of process heat demand</w:t>
      </w:r>
      <w:r w:rsidR="00640AF2" w:rsidRPr="003C495B">
        <w:t xml:space="preserve">. </w:t>
      </w:r>
      <w:r w:rsidR="00615DF7" w:rsidRPr="003C495B">
        <w:t xml:space="preserve">This demand is disaggregated into </w:t>
      </w:r>
      <w:r w:rsidR="001F6078" w:rsidRPr="003C495B">
        <w:t>useful</w:t>
      </w:r>
      <w:r w:rsidR="001F6078" w:rsidRPr="00736588">
        <w:t xml:space="preserve"> heat from </w:t>
      </w:r>
      <w:r w:rsidR="00615DF7" w:rsidRPr="00736588">
        <w:t xml:space="preserve">coal, </w:t>
      </w:r>
      <w:r w:rsidR="00D0510D" w:rsidRPr="00736588">
        <w:t>fossil</w:t>
      </w:r>
      <w:r w:rsidR="00615DF7" w:rsidRPr="00736588">
        <w:t xml:space="preserve"> </w:t>
      </w:r>
      <w:r w:rsidR="001F6078" w:rsidRPr="00736588">
        <w:t xml:space="preserve">gas and diesel </w:t>
      </w:r>
      <w:r w:rsidR="00CA1635" w:rsidRPr="00736588">
        <w:t xml:space="preserve">for the subsectors of </w:t>
      </w:r>
      <w:r w:rsidR="00F368B2" w:rsidRPr="00736588">
        <w:t xml:space="preserve">dairy, meat and other food processing </w:t>
      </w:r>
      <w:r w:rsidR="00734B6C" w:rsidRPr="00736588">
        <w:t xml:space="preserve">based on the EECA </w:t>
      </w:r>
      <w:r w:rsidR="004F64A8" w:rsidRPr="00736588">
        <w:t xml:space="preserve">energy </w:t>
      </w:r>
      <w:r w:rsidR="00734B6C" w:rsidRPr="00736588">
        <w:t>e</w:t>
      </w:r>
      <w:r w:rsidR="002E44E8" w:rsidRPr="00736588">
        <w:t>nd use database.</w:t>
      </w:r>
    </w:p>
    <w:p w14:paraId="6523F6A8" w14:textId="273248CC" w:rsidR="00F6504B" w:rsidRPr="00C6306F" w:rsidRDefault="00F6504B" w:rsidP="00E6353E">
      <w:r w:rsidRPr="00736588">
        <w:t xml:space="preserve">Energy efficiency improvements are applied </w:t>
      </w:r>
      <w:r w:rsidR="003A1D63" w:rsidRPr="00736588">
        <w:t xml:space="preserve">based on scenario parameters </w:t>
      </w:r>
      <w:r w:rsidRPr="00736588">
        <w:t xml:space="preserve">to reduce the demand for </w:t>
      </w:r>
      <w:r w:rsidR="002E6802" w:rsidRPr="00736588">
        <w:t xml:space="preserve">boiler heat based on scenario settings. The efficiency improvements cause </w:t>
      </w:r>
      <w:r w:rsidR="00F318CC" w:rsidRPr="00736588">
        <w:t xml:space="preserve">an increase </w:t>
      </w:r>
      <w:r w:rsidR="002E6802" w:rsidRPr="00736588">
        <w:t xml:space="preserve">in electricity </w:t>
      </w:r>
      <w:r w:rsidR="00F318CC" w:rsidRPr="00736588">
        <w:t>d</w:t>
      </w:r>
      <w:r w:rsidR="00F318CC" w:rsidRPr="00C6306F">
        <w:t>emand as it is assumed that some of these measures involve the integration of heat pumps.</w:t>
      </w:r>
      <w:r w:rsidR="00C6306F" w:rsidRPr="00C6306F">
        <w:t xml:space="preserve"> These are specified using the </w:t>
      </w:r>
      <w:r w:rsidR="00C6306F" w:rsidRPr="00C6306F">
        <w:rPr>
          <w:i/>
          <w:iCs/>
        </w:rPr>
        <w:t>Food processing energy efficiency</w:t>
      </w:r>
      <w:r w:rsidR="00C6306F" w:rsidRPr="00C6306F">
        <w:t xml:space="preserve"> parameter in the control panel.</w:t>
      </w:r>
    </w:p>
    <w:p w14:paraId="13935AF4" w14:textId="77777777" w:rsidR="003C455C" w:rsidRPr="009D695D" w:rsidRDefault="0086309C" w:rsidP="00E6353E">
      <w:r w:rsidRPr="00736588">
        <w:lastRenderedPageBreak/>
        <w:t>The residual heat</w:t>
      </w:r>
      <w:r w:rsidR="00C93157" w:rsidRPr="00736588">
        <w:t xml:space="preserve"> from coal, </w:t>
      </w:r>
      <w:r w:rsidR="007F77B6" w:rsidRPr="00736588">
        <w:t xml:space="preserve">fossil </w:t>
      </w:r>
      <w:r w:rsidR="00C93157" w:rsidRPr="00736588">
        <w:t xml:space="preserve">gas or diesel boilers can then be converted </w:t>
      </w:r>
      <w:r w:rsidR="003B229F" w:rsidRPr="00736588">
        <w:t>to biomass o</w:t>
      </w:r>
      <w:r w:rsidR="00534767" w:rsidRPr="00736588">
        <w:t>r</w:t>
      </w:r>
      <w:r w:rsidR="003B229F" w:rsidRPr="00736588">
        <w:t xml:space="preserve"> </w:t>
      </w:r>
      <w:r w:rsidR="003B229F" w:rsidRPr="009B3787">
        <w:t xml:space="preserve">electricity. The module considers the availability of </w:t>
      </w:r>
      <w:r w:rsidR="004F4EE8" w:rsidRPr="009B3787">
        <w:t xml:space="preserve">forestry residue and pulp logs which can be used as boiler fuel </w:t>
      </w:r>
      <w:r w:rsidR="003B229F" w:rsidRPr="009B3787">
        <w:t xml:space="preserve">for each region </w:t>
      </w:r>
      <w:r w:rsidR="004F4EE8" w:rsidRPr="009B3787">
        <w:t xml:space="preserve">and projects the costs </w:t>
      </w:r>
      <w:r w:rsidR="00B53E64" w:rsidRPr="009B3787">
        <w:t>of</w:t>
      </w:r>
      <w:r w:rsidR="004F4EE8" w:rsidRPr="009B3787">
        <w:t xml:space="preserve"> deliver</w:t>
      </w:r>
      <w:r w:rsidR="004F4EE8" w:rsidRPr="009D695D">
        <w:t>ed fuels.</w:t>
      </w:r>
      <w:r w:rsidR="00BA09C4" w:rsidRPr="009D695D">
        <w:t xml:space="preserve"> </w:t>
      </w:r>
    </w:p>
    <w:p w14:paraId="630F90E2" w14:textId="77777777" w:rsidR="00AA30B2" w:rsidRDefault="00BF1972" w:rsidP="00E6353E">
      <w:r w:rsidRPr="009D695D">
        <w:t>The fuel switching is driven by exogenous assumption</w:t>
      </w:r>
      <w:r w:rsidR="005D4B0A" w:rsidRPr="009D695D">
        <w:t xml:space="preserve">s </w:t>
      </w:r>
      <w:r w:rsidR="00A23B20" w:rsidRPr="009D695D">
        <w:t xml:space="preserve">which are specified using the </w:t>
      </w:r>
      <w:r w:rsidR="00F04E43" w:rsidRPr="009D695D">
        <w:rPr>
          <w:i/>
          <w:iCs/>
        </w:rPr>
        <w:t xml:space="preserve">Pipe Ind BH, Pipe Ind FH, LPG Ind BH </w:t>
      </w:r>
      <w:r w:rsidR="00F04E43" w:rsidRPr="009D695D">
        <w:t xml:space="preserve">and </w:t>
      </w:r>
      <w:r w:rsidR="00F04E43" w:rsidRPr="009D695D">
        <w:rPr>
          <w:i/>
          <w:iCs/>
        </w:rPr>
        <w:t>Coal Ind BH</w:t>
      </w:r>
      <w:r w:rsidR="00F04E43" w:rsidRPr="009D695D">
        <w:t xml:space="preserve"> </w:t>
      </w:r>
      <w:r w:rsidR="009D695D" w:rsidRPr="009D695D">
        <w:t xml:space="preserve">in the control panel. </w:t>
      </w:r>
    </w:p>
    <w:p w14:paraId="43896FF7" w14:textId="6584A675" w:rsidR="006A091F" w:rsidRPr="001E507E" w:rsidRDefault="00AA30B2" w:rsidP="00E6353E">
      <w:pPr>
        <w:rPr>
          <w:highlight w:val="yellow"/>
        </w:rPr>
      </w:pPr>
      <w:r>
        <w:t xml:space="preserve">There is also a price </w:t>
      </w:r>
      <w:r w:rsidRPr="00AA30B2">
        <w:t>driven functionality that the model can use. In this case t</w:t>
      </w:r>
      <w:r w:rsidR="00BA09C4" w:rsidRPr="00AA30B2">
        <w:t xml:space="preserve">he fuel switching considers the relative cost of continuing to operate fossil fuel assets </w:t>
      </w:r>
      <w:r w:rsidR="00785A33" w:rsidRPr="00AA30B2">
        <w:t>v</w:t>
      </w:r>
      <w:r w:rsidR="00352D4C" w:rsidRPr="00AA30B2">
        <w:t>ersus</w:t>
      </w:r>
      <w:r w:rsidR="00785A33" w:rsidRPr="00AA30B2">
        <w:t xml:space="preserve"> replacing boilers </w:t>
      </w:r>
      <w:r w:rsidR="001672D4" w:rsidRPr="00AA30B2">
        <w:t>or co</w:t>
      </w:r>
      <w:r w:rsidR="00B53E64" w:rsidRPr="00AA30B2">
        <w:t>fir</w:t>
      </w:r>
      <w:r w:rsidR="001672D4" w:rsidRPr="00AA30B2">
        <w:t xml:space="preserve">ing </w:t>
      </w:r>
      <w:r w:rsidR="00785A33" w:rsidRPr="00AA30B2">
        <w:t>and paying for an alternative fuel</w:t>
      </w:r>
      <w:r w:rsidR="00DD4317" w:rsidRPr="00AA30B2">
        <w:t>.</w:t>
      </w:r>
      <w:r w:rsidR="00204E4E" w:rsidRPr="00AA30B2">
        <w:t xml:space="preserve"> Fuel switching options are ranked based on the costs of abatement </w:t>
      </w:r>
      <w:r w:rsidR="00573F31" w:rsidRPr="00AA30B2">
        <w:t xml:space="preserve">and taken up at the point they become cost effective. This is subject to fuel availability constraints and </w:t>
      </w:r>
      <w:r w:rsidR="00000BA7" w:rsidRPr="00AA30B2">
        <w:t xml:space="preserve">conversion rate constraints. </w:t>
      </w:r>
      <w:r w:rsidR="00A61E61" w:rsidRPr="00AA30B2">
        <w:t xml:space="preserve">The </w:t>
      </w:r>
      <w:r w:rsidRPr="00AA30B2">
        <w:t>assumed</w:t>
      </w:r>
      <w:r w:rsidR="00A61E61" w:rsidRPr="00AA30B2">
        <w:t xml:space="preserve"> emissions value drives much of the fuel switching.</w:t>
      </w:r>
    </w:p>
    <w:p w14:paraId="2DF30F4B" w14:textId="76A2A498" w:rsidR="00617820" w:rsidRPr="00893634" w:rsidRDefault="00617820" w:rsidP="0004019D">
      <w:pPr>
        <w:pStyle w:val="Heading3"/>
      </w:pPr>
      <w:bookmarkStart w:id="22" w:name="_Toc184814244"/>
      <w:r w:rsidRPr="00893634">
        <w:t>Petrochemical production</w:t>
      </w:r>
      <w:bookmarkEnd w:id="22"/>
    </w:p>
    <w:p w14:paraId="7CDB078D" w14:textId="20CF51E3" w:rsidR="00DE0A03" w:rsidRPr="00B90485" w:rsidRDefault="00DE0A03" w:rsidP="003976E4">
      <w:r w:rsidRPr="00893634">
        <w:t>Th</w:t>
      </w:r>
      <w:r w:rsidR="0022126E" w:rsidRPr="00893634">
        <w:t>is</w:t>
      </w:r>
      <w:r w:rsidRPr="00893634">
        <w:t xml:space="preserve"> module includes </w:t>
      </w:r>
      <w:r w:rsidR="00F73059" w:rsidRPr="00893634">
        <w:t>methanol, urea</w:t>
      </w:r>
      <w:r w:rsidR="00575220">
        <w:t>,</w:t>
      </w:r>
      <w:r w:rsidR="00F73059" w:rsidRPr="00893634">
        <w:t xml:space="preserve"> and </w:t>
      </w:r>
      <w:r w:rsidR="00EF2AA4" w:rsidRPr="00893634">
        <w:t xml:space="preserve">historical </w:t>
      </w:r>
      <w:r w:rsidR="00F73059" w:rsidRPr="00893634">
        <w:t xml:space="preserve">synthetic petrol production. </w:t>
      </w:r>
      <w:r w:rsidR="0009581F" w:rsidRPr="00893634">
        <w:t xml:space="preserve">The future </w:t>
      </w:r>
      <w:r w:rsidR="00EF2AA4" w:rsidRPr="00893634">
        <w:t xml:space="preserve">level </w:t>
      </w:r>
      <w:r w:rsidR="00394452" w:rsidRPr="00893634">
        <w:t>of activity of this sector</w:t>
      </w:r>
      <w:r w:rsidR="00193AFD" w:rsidRPr="00893634">
        <w:t xml:space="preserve"> is projected based on exogenous assumptions around the timing of plant closure. The </w:t>
      </w:r>
      <w:r w:rsidR="00AF5C82">
        <w:t>two</w:t>
      </w:r>
      <w:r w:rsidR="00193AFD" w:rsidRPr="00893634">
        <w:t xml:space="preserve"> methanol producing trains </w:t>
      </w:r>
      <w:r w:rsidR="00523367" w:rsidRPr="00893634">
        <w:t xml:space="preserve">and the urea plant </w:t>
      </w:r>
      <w:r w:rsidR="001F03F5" w:rsidRPr="00893634">
        <w:t>in Taranaki are modelled explicitly</w:t>
      </w:r>
      <w:r w:rsidR="00394452" w:rsidRPr="00893634">
        <w:t xml:space="preserve"> and it is assumed they operate at </w:t>
      </w:r>
      <w:r w:rsidR="004F37D7" w:rsidRPr="00893634">
        <w:t>a constant rate</w:t>
      </w:r>
      <w:r w:rsidR="00BB4E12" w:rsidRPr="00893634">
        <w:t>.</w:t>
      </w:r>
      <w:r w:rsidR="008F3F48" w:rsidRPr="00893634">
        <w:t xml:space="preserve"> </w:t>
      </w:r>
      <w:r w:rsidR="00BE531D" w:rsidRPr="00893634">
        <w:t xml:space="preserve">The sequencing of </w:t>
      </w:r>
      <w:r w:rsidR="002D63F7" w:rsidRPr="00893634">
        <w:t>plant closure, or their continued operation</w:t>
      </w:r>
      <w:r w:rsidR="000C4719">
        <w:t xml:space="preserve"> </w:t>
      </w:r>
      <w:r w:rsidR="008E3C93">
        <w:t>are set by assumption</w:t>
      </w:r>
      <w:r w:rsidR="008D6381">
        <w:t xml:space="preserve">, as well as the option to reopen the mothballed </w:t>
      </w:r>
      <w:proofErr w:type="spellStart"/>
      <w:r w:rsidR="008D6381">
        <w:t>Waitara</w:t>
      </w:r>
      <w:proofErr w:type="spellEnd"/>
      <w:r w:rsidR="008D6381">
        <w:t xml:space="preserve"> Valley methanol train.</w:t>
      </w:r>
      <w:r w:rsidR="008E3C93">
        <w:t xml:space="preserve"> Decarbonisation assumptions for urea production including switching to green hydrogen</w:t>
      </w:r>
      <w:r w:rsidR="00631CB6">
        <w:t>-</w:t>
      </w:r>
      <w:r w:rsidR="008E3C93">
        <w:t>based production can also be set by assumption. These assumptions are</w:t>
      </w:r>
      <w:r w:rsidR="002D63F7" w:rsidRPr="00893634">
        <w:t xml:space="preserve"> </w:t>
      </w:r>
      <w:r w:rsidR="00A338A2" w:rsidRPr="00893634">
        <w:t>defined in</w:t>
      </w:r>
      <w:r w:rsidR="002D63F7" w:rsidRPr="00893634">
        <w:t xml:space="preserve"> </w:t>
      </w:r>
      <w:r w:rsidR="002D63F7" w:rsidRPr="00E72B5C">
        <w:t xml:space="preserve">the </w:t>
      </w:r>
      <w:r w:rsidR="00A338A2" w:rsidRPr="00E72B5C">
        <w:rPr>
          <w:i/>
        </w:rPr>
        <w:t xml:space="preserve">Petro </w:t>
      </w:r>
      <w:r w:rsidR="00A338A2" w:rsidRPr="00E72B5C">
        <w:t xml:space="preserve">section of the </w:t>
      </w:r>
      <w:r w:rsidR="00893634" w:rsidRPr="00E72B5C">
        <w:rPr>
          <w:b/>
        </w:rPr>
        <w:t>Param</w:t>
      </w:r>
      <w:r w:rsidR="00A338A2" w:rsidRPr="00E72B5C">
        <w:t xml:space="preserve"> </w:t>
      </w:r>
      <w:r w:rsidR="00A45E69" w:rsidRPr="00E72B5C">
        <w:t>work</w:t>
      </w:r>
      <w:r w:rsidR="00A338A2" w:rsidRPr="00E72B5C">
        <w:t>sheet</w:t>
      </w:r>
      <w:r w:rsidR="00F90A5B" w:rsidRPr="00E72B5C">
        <w:t xml:space="preserve"> and selected </w:t>
      </w:r>
      <w:r w:rsidR="00E03E80" w:rsidRPr="00E72B5C">
        <w:t xml:space="preserve">using the </w:t>
      </w:r>
      <w:r w:rsidR="00E03E80" w:rsidRPr="00E72B5C">
        <w:rPr>
          <w:i/>
          <w:iCs/>
        </w:rPr>
        <w:t>Petrochem scenario</w:t>
      </w:r>
      <w:r w:rsidR="00E72B5C" w:rsidRPr="00E72B5C">
        <w:rPr>
          <w:i/>
          <w:iCs/>
        </w:rPr>
        <w:t xml:space="preserve">s </w:t>
      </w:r>
      <w:r w:rsidR="00E72B5C" w:rsidRPr="00E72B5C">
        <w:t>section in</w:t>
      </w:r>
      <w:r w:rsidR="00F90A5B" w:rsidRPr="00E72B5C">
        <w:t xml:space="preserve"> the control panel</w:t>
      </w:r>
      <w:r w:rsidR="007B3F9A" w:rsidRPr="00E72B5C">
        <w:t>.</w:t>
      </w:r>
      <w:r w:rsidR="003B11B9">
        <w:t xml:space="preserve"> </w:t>
      </w:r>
    </w:p>
    <w:p w14:paraId="68531EEA" w14:textId="0AAE7195" w:rsidR="00617820" w:rsidRPr="008C2F25" w:rsidRDefault="00617820" w:rsidP="0004019D">
      <w:pPr>
        <w:pStyle w:val="Heading3"/>
      </w:pPr>
      <w:bookmarkStart w:id="23" w:name="_Toc184814245"/>
      <w:r w:rsidRPr="00B90485">
        <w:t xml:space="preserve">Iron </w:t>
      </w:r>
      <w:r w:rsidRPr="008C2F25">
        <w:t xml:space="preserve">and steel </w:t>
      </w:r>
      <w:proofErr w:type="gramStart"/>
      <w:r w:rsidRPr="008C2F25">
        <w:t>production</w:t>
      </w:r>
      <w:bookmarkEnd w:id="23"/>
      <w:proofErr w:type="gramEnd"/>
    </w:p>
    <w:p w14:paraId="1F41D0CA" w14:textId="18B6EF7F" w:rsidR="00B513F9" w:rsidRPr="00A547A8" w:rsidRDefault="00953ACC" w:rsidP="00617820">
      <w:r w:rsidRPr="008C2F25">
        <w:t>Th</w:t>
      </w:r>
      <w:r w:rsidR="00703B71" w:rsidRPr="008C2F25">
        <w:t xml:space="preserve">is module </w:t>
      </w:r>
      <w:r w:rsidR="00BB23FB" w:rsidRPr="008C2F25">
        <w:t>proj</w:t>
      </w:r>
      <w:r w:rsidR="00703B71" w:rsidRPr="008C2F25">
        <w:t xml:space="preserve">ects a constant </w:t>
      </w:r>
      <w:r w:rsidR="00BB23FB" w:rsidRPr="008C2F25">
        <w:t xml:space="preserve">level of future </w:t>
      </w:r>
      <w:r w:rsidR="008A1B94" w:rsidRPr="008C2F25">
        <w:t xml:space="preserve">steel making </w:t>
      </w:r>
      <w:r w:rsidR="00BB23FB" w:rsidRPr="008C2F25">
        <w:t>activit</w:t>
      </w:r>
      <w:r w:rsidR="00BE531D" w:rsidRPr="008C2F25">
        <w:t xml:space="preserve">y </w:t>
      </w:r>
      <w:r w:rsidR="00D840A4" w:rsidRPr="008C2F25">
        <w:t xml:space="preserve">with the ability </w:t>
      </w:r>
      <w:r w:rsidR="00616844" w:rsidRPr="008C2F25">
        <w:t xml:space="preserve">to convert the </w:t>
      </w:r>
      <w:r w:rsidR="00B5480D" w:rsidRPr="008C2F25">
        <w:t xml:space="preserve">Glenbrook operation to </w:t>
      </w:r>
      <w:r w:rsidR="00831477">
        <w:t>electric arc furnace and/or green hydrogen-based production</w:t>
      </w:r>
      <w:r w:rsidR="00B5480D" w:rsidRPr="008C2F25">
        <w:t>.</w:t>
      </w:r>
      <w:r w:rsidR="00B513F9" w:rsidRPr="008C2F25">
        <w:t xml:space="preserve"> The timing and extent to which these processes </w:t>
      </w:r>
      <w:r w:rsidR="00B513F9" w:rsidRPr="00A547A8">
        <w:t xml:space="preserve">are adopted are </w:t>
      </w:r>
      <w:r w:rsidR="00B520D8" w:rsidRPr="00A547A8">
        <w:t xml:space="preserve">defined in the </w:t>
      </w:r>
      <w:r w:rsidR="00B520D8" w:rsidRPr="00A547A8">
        <w:rPr>
          <w:i/>
          <w:iCs/>
        </w:rPr>
        <w:t>Steel scenarios</w:t>
      </w:r>
      <w:r w:rsidR="00B520D8" w:rsidRPr="00A547A8">
        <w:t xml:space="preserve"> section on the </w:t>
      </w:r>
      <w:r w:rsidR="00B520D8" w:rsidRPr="00A547A8">
        <w:rPr>
          <w:b/>
          <w:bCs/>
        </w:rPr>
        <w:t>Param</w:t>
      </w:r>
      <w:r w:rsidR="00B520D8" w:rsidRPr="00A547A8">
        <w:t xml:space="preserve"> worksheet </w:t>
      </w:r>
      <w:r w:rsidR="008C2F25" w:rsidRPr="00A547A8">
        <w:t xml:space="preserve">and selected using the </w:t>
      </w:r>
      <w:r w:rsidR="00831477" w:rsidRPr="00A547A8">
        <w:rPr>
          <w:i/>
          <w:iCs/>
        </w:rPr>
        <w:t>Steel scenario</w:t>
      </w:r>
      <w:r w:rsidR="00831477" w:rsidRPr="00A547A8">
        <w:t xml:space="preserve"> parameter on the control panel. </w:t>
      </w:r>
    </w:p>
    <w:p w14:paraId="61480BC3" w14:textId="2BD2B89F" w:rsidR="00740DCD" w:rsidRPr="00A547A8" w:rsidRDefault="00D8263F" w:rsidP="00A547A8">
      <w:r w:rsidRPr="00A547A8">
        <w:t xml:space="preserve">Adoption of either of these processes has a flow on </w:t>
      </w:r>
      <w:r w:rsidR="008B7F93" w:rsidRPr="00A547A8">
        <w:t xml:space="preserve">effect to </w:t>
      </w:r>
      <w:r w:rsidR="00E528DA" w:rsidRPr="00A547A8">
        <w:t>the electricity system. In both cases demand for fossil gas and coal decrease and increase</w:t>
      </w:r>
      <w:r w:rsidR="00A547A8" w:rsidRPr="00A547A8">
        <w:t xml:space="preserve"> the demand for </w:t>
      </w:r>
      <w:r w:rsidR="00FF5C20" w:rsidRPr="00A547A8">
        <w:t>electricity</w:t>
      </w:r>
      <w:r w:rsidR="00A547A8" w:rsidRPr="00A547A8">
        <w:t xml:space="preserve">. Further to this they also reduce or remove the self-cogeneration currently operating at the Glenbrook </w:t>
      </w:r>
      <w:r w:rsidR="00030A3B">
        <w:t>S</w:t>
      </w:r>
      <w:r w:rsidR="00A547A8" w:rsidRPr="00A547A8">
        <w:t xml:space="preserve">teel </w:t>
      </w:r>
      <w:r w:rsidR="00030A3B">
        <w:t>M</w:t>
      </w:r>
      <w:r w:rsidR="00A547A8" w:rsidRPr="00A547A8">
        <w:t xml:space="preserve">ill, further increasing demand from the grid. </w:t>
      </w:r>
    </w:p>
    <w:p w14:paraId="10691536" w14:textId="226F59BF" w:rsidR="00617820" w:rsidRPr="004C4B60" w:rsidRDefault="00617820" w:rsidP="0004019D">
      <w:pPr>
        <w:pStyle w:val="Heading3"/>
      </w:pPr>
      <w:bookmarkStart w:id="24" w:name="_Toc184814246"/>
      <w:r w:rsidRPr="004C4B60">
        <w:t>Cement and lime production</w:t>
      </w:r>
      <w:bookmarkEnd w:id="24"/>
    </w:p>
    <w:p w14:paraId="74434174" w14:textId="02D8DBAC" w:rsidR="0006506E" w:rsidRPr="006F325F" w:rsidRDefault="0006506E" w:rsidP="00E6353E">
      <w:r w:rsidRPr="004C4B60">
        <w:t xml:space="preserve">This module projects a constant level of future activity for domestic cement, </w:t>
      </w:r>
      <w:r w:rsidR="00904664" w:rsidRPr="004C4B60">
        <w:t>lime</w:t>
      </w:r>
      <w:r w:rsidR="00030A3B">
        <w:t>,</w:t>
      </w:r>
      <w:r w:rsidR="00904664" w:rsidRPr="004C4B60">
        <w:t xml:space="preserve"> and glass production. </w:t>
      </w:r>
      <w:r w:rsidR="00FC7843" w:rsidRPr="00E4380D">
        <w:t xml:space="preserve">Substitution of coal with </w:t>
      </w:r>
      <w:r w:rsidR="0070720B" w:rsidRPr="00E4380D">
        <w:t>tyre-derived-fuel</w:t>
      </w:r>
      <w:r w:rsidR="007470A8" w:rsidRPr="00E4380D">
        <w:t xml:space="preserve"> (TDF) </w:t>
      </w:r>
      <w:r w:rsidR="0070720B" w:rsidRPr="00E4380D">
        <w:t xml:space="preserve">and biomass is </w:t>
      </w:r>
      <w:r w:rsidR="00656C86" w:rsidRPr="00E4380D">
        <w:t>applied</w:t>
      </w:r>
      <w:r w:rsidR="007470A8" w:rsidRPr="00E4380D">
        <w:t xml:space="preserve"> and reduce</w:t>
      </w:r>
      <w:r w:rsidR="00656C86" w:rsidRPr="00E4380D">
        <w:t>s</w:t>
      </w:r>
      <w:r w:rsidR="007470A8" w:rsidRPr="00E4380D">
        <w:t xml:space="preserve"> the emissions from process heat</w:t>
      </w:r>
      <w:r w:rsidR="0070720B" w:rsidRPr="00E4380D">
        <w:t xml:space="preserve">. The biomass uptake </w:t>
      </w:r>
      <w:r w:rsidR="00E4380D" w:rsidRPr="00E4380D">
        <w:t>and</w:t>
      </w:r>
      <w:r w:rsidR="00195C57" w:rsidRPr="00E4380D">
        <w:t xml:space="preserve"> </w:t>
      </w:r>
      <w:r w:rsidR="007470A8" w:rsidRPr="00E4380D">
        <w:t xml:space="preserve">TDF substitution </w:t>
      </w:r>
      <w:r w:rsidR="00E4380D" w:rsidRPr="00E4380D">
        <w:t>levels are</w:t>
      </w:r>
      <w:r w:rsidR="007470A8" w:rsidRPr="00E4380D">
        <w:t xml:space="preserve"> exogenously specified.</w:t>
      </w:r>
      <w:r w:rsidR="00E4380D" w:rsidRPr="00E4380D">
        <w:t xml:space="preserve"> These assumptions are defined in the </w:t>
      </w:r>
      <w:r w:rsidR="00E4380D" w:rsidRPr="006F325F">
        <w:rPr>
          <w:i/>
          <w:iCs/>
        </w:rPr>
        <w:t>Cement scenarios</w:t>
      </w:r>
      <w:r w:rsidR="00E4380D" w:rsidRPr="006F325F">
        <w:t xml:space="preserve"> section of the </w:t>
      </w:r>
      <w:r w:rsidR="00E4380D" w:rsidRPr="006F325F">
        <w:rPr>
          <w:b/>
          <w:bCs/>
        </w:rPr>
        <w:t>Param</w:t>
      </w:r>
      <w:r w:rsidR="00E4380D" w:rsidRPr="006F325F">
        <w:t xml:space="preserve"> worksheet.</w:t>
      </w:r>
    </w:p>
    <w:p w14:paraId="745FC6F1" w14:textId="14748E7D" w:rsidR="0004019D" w:rsidRPr="006F325F" w:rsidRDefault="007470A8" w:rsidP="00E6353E">
      <w:r w:rsidRPr="006F325F">
        <w:t xml:space="preserve">The emissions from the combustion of </w:t>
      </w:r>
      <w:r w:rsidR="0041787A" w:rsidRPr="006F325F">
        <w:t xml:space="preserve">fossil </w:t>
      </w:r>
      <w:r w:rsidRPr="006F325F">
        <w:t xml:space="preserve">gas and </w:t>
      </w:r>
      <w:r w:rsidR="003B427E" w:rsidRPr="006F325F">
        <w:t>diesel are fixed a</w:t>
      </w:r>
      <w:r w:rsidR="005C5040" w:rsidRPr="006F325F">
        <w:t xml:space="preserve">s these are </w:t>
      </w:r>
      <w:r w:rsidR="005D26CD" w:rsidRPr="006F325F">
        <w:t xml:space="preserve">considered </w:t>
      </w:r>
      <w:r w:rsidR="005C5040" w:rsidRPr="006F325F">
        <w:t xml:space="preserve">high-temperature applications which are difficult to substitute. </w:t>
      </w:r>
      <w:r w:rsidR="00FB7450" w:rsidRPr="006F325F">
        <w:t>Industrial pro</w:t>
      </w:r>
      <w:r w:rsidR="00CC5E7A" w:rsidRPr="006F325F">
        <w:t>cess</w:t>
      </w:r>
      <w:r w:rsidR="00E210AC" w:rsidRPr="006F325F">
        <w:t>es</w:t>
      </w:r>
      <w:r w:rsidR="00CC5E7A" w:rsidRPr="006F325F">
        <w:t xml:space="preserve"> and product use (</w:t>
      </w:r>
      <w:r w:rsidR="005D26CD" w:rsidRPr="006F325F">
        <w:t>IPPU</w:t>
      </w:r>
      <w:r w:rsidR="00CC5E7A" w:rsidRPr="006F325F">
        <w:t>)</w:t>
      </w:r>
      <w:r w:rsidR="005D26CD" w:rsidRPr="006F325F">
        <w:t xml:space="preserve"> emissions which result from the calcination reaction </w:t>
      </w:r>
      <w:r w:rsidR="006A091F" w:rsidRPr="006F325F">
        <w:t>are also constant.</w:t>
      </w:r>
    </w:p>
    <w:p w14:paraId="500D3331" w14:textId="6949F535" w:rsidR="00F36D21" w:rsidRPr="00D42C3F" w:rsidRDefault="00F36D21" w:rsidP="00EE0FDE">
      <w:pPr>
        <w:pStyle w:val="Heading3"/>
      </w:pPr>
      <w:bookmarkStart w:id="25" w:name="_Toc184814247"/>
      <w:r w:rsidRPr="00D42C3F">
        <w:t>Aluminium production</w:t>
      </w:r>
      <w:bookmarkEnd w:id="25"/>
    </w:p>
    <w:p w14:paraId="2EE95D21" w14:textId="4A58AD01" w:rsidR="00BF0102" w:rsidRPr="00BA44D4" w:rsidRDefault="00BE1A41" w:rsidP="00BE1A41">
      <w:r w:rsidRPr="00D42C3F">
        <w:t xml:space="preserve">The future activity of the </w:t>
      </w:r>
      <w:r w:rsidRPr="008C3A5F">
        <w:t xml:space="preserve">aluminium smelter is projected based on exogenous assumptions around closure or continued operation. These scenarios are </w:t>
      </w:r>
      <w:r w:rsidR="00AC5F23" w:rsidRPr="008C3A5F">
        <w:t>selected</w:t>
      </w:r>
      <w:r w:rsidR="00AC5F23" w:rsidRPr="00C27CB9">
        <w:t xml:space="preserve"> using the </w:t>
      </w:r>
      <w:r w:rsidR="00AC5F23" w:rsidRPr="00C27CB9">
        <w:rPr>
          <w:i/>
          <w:iCs/>
        </w:rPr>
        <w:t xml:space="preserve">Tiwai </w:t>
      </w:r>
      <w:r w:rsidR="00C27CB9" w:rsidRPr="00C27CB9">
        <w:rPr>
          <w:i/>
          <w:iCs/>
        </w:rPr>
        <w:t>exit from</w:t>
      </w:r>
      <w:r w:rsidR="00AC5F23" w:rsidRPr="00C27CB9">
        <w:rPr>
          <w:i/>
          <w:iCs/>
        </w:rPr>
        <w:t xml:space="preserve"> </w:t>
      </w:r>
      <w:r w:rsidR="00AC5F23" w:rsidRPr="00C27CB9">
        <w:t xml:space="preserve">parameter on the control </w:t>
      </w:r>
      <w:r w:rsidR="002D7E8A" w:rsidRPr="00C27CB9">
        <w:t>panel</w:t>
      </w:r>
      <w:r w:rsidR="00AC5F23" w:rsidRPr="00C27CB9">
        <w:t>.</w:t>
      </w:r>
      <w:r w:rsidR="00BF0102" w:rsidRPr="00C27CB9">
        <w:t xml:space="preserve"> </w:t>
      </w:r>
      <w:r w:rsidR="008C3A5F">
        <w:t xml:space="preserve">There is also functionality for </w:t>
      </w:r>
      <w:r w:rsidR="0042636C">
        <w:t xml:space="preserve">the smelter to convert to a zero-emissions process </w:t>
      </w:r>
      <w:r w:rsidR="0042636C">
        <w:lastRenderedPageBreak/>
        <w:t xml:space="preserve">using zero carbon anodes. </w:t>
      </w:r>
      <w:r w:rsidR="00BA44D4">
        <w:t xml:space="preserve">This is selected using the </w:t>
      </w:r>
      <w:r w:rsidR="00BA44D4">
        <w:rPr>
          <w:i/>
          <w:iCs/>
        </w:rPr>
        <w:t xml:space="preserve">Tiwai green anodes from </w:t>
      </w:r>
      <w:r w:rsidR="00BA44D4">
        <w:t>parameter on the control panel.</w:t>
      </w:r>
    </w:p>
    <w:p w14:paraId="6AE80BDA" w14:textId="056C0F48" w:rsidR="00F36D21" w:rsidRPr="004C4B60" w:rsidRDefault="00F36D21" w:rsidP="00801123">
      <w:pPr>
        <w:pStyle w:val="Heading3"/>
      </w:pPr>
      <w:bookmarkStart w:id="26" w:name="_Toc184814248"/>
      <w:r w:rsidRPr="004C4B60">
        <w:t>Wood, pulp</w:t>
      </w:r>
      <w:r w:rsidR="005620CD">
        <w:t>,</w:t>
      </w:r>
      <w:r w:rsidRPr="004C4B60">
        <w:t xml:space="preserve"> and paper production</w:t>
      </w:r>
      <w:bookmarkEnd w:id="26"/>
    </w:p>
    <w:p w14:paraId="45F6021F" w14:textId="4EEE265D" w:rsidR="00E0470F" w:rsidRPr="00402B82" w:rsidRDefault="0083348C" w:rsidP="007E0F17">
      <w:r w:rsidRPr="00402B82">
        <w:t xml:space="preserve">It is assumed that </w:t>
      </w:r>
      <w:r w:rsidR="00FB1194" w:rsidRPr="00402B82">
        <w:t>this sector</w:t>
      </w:r>
      <w:r w:rsidRPr="00402B82">
        <w:t xml:space="preserve"> maintain</w:t>
      </w:r>
      <w:r w:rsidR="006653A9">
        <w:t>s</w:t>
      </w:r>
      <w:r w:rsidRPr="00402B82">
        <w:t xml:space="preserve"> a constant level of activity</w:t>
      </w:r>
      <w:r w:rsidR="00844D58" w:rsidRPr="00402B82">
        <w:t xml:space="preserve"> and demand for useful energy into the future.</w:t>
      </w:r>
      <w:r w:rsidR="00CF5D89" w:rsidRPr="00402B82">
        <w:t xml:space="preserve"> </w:t>
      </w:r>
    </w:p>
    <w:p w14:paraId="40375DE6" w14:textId="2EE96F03" w:rsidR="00ED5173" w:rsidRPr="00A50118" w:rsidRDefault="00CF5D89" w:rsidP="004E1916">
      <w:r w:rsidRPr="00A50118">
        <w:t xml:space="preserve">Fuel switching from </w:t>
      </w:r>
      <w:r w:rsidR="002D140E" w:rsidRPr="00A50118">
        <w:t xml:space="preserve">fossil </w:t>
      </w:r>
      <w:r w:rsidR="0043790D" w:rsidRPr="00A50118">
        <w:t xml:space="preserve">gas and coal to biomass for process heat is </w:t>
      </w:r>
      <w:r w:rsidR="00ED5173" w:rsidRPr="00A50118">
        <w:t xml:space="preserve">specified exogenously. </w:t>
      </w:r>
      <w:r w:rsidR="00A50118" w:rsidRPr="00A50118">
        <w:t>These follow the</w:t>
      </w:r>
      <w:r w:rsidR="00A50118">
        <w:t xml:space="preserve"> same</w:t>
      </w:r>
      <w:r w:rsidR="00A50118" w:rsidRPr="00A50118">
        <w:t xml:space="preserve"> fossil fuel phase out profiles as are used for food processing. </w:t>
      </w:r>
    </w:p>
    <w:p w14:paraId="51AE8CFC" w14:textId="6EE1CE20" w:rsidR="004E1916" w:rsidRPr="001E507E" w:rsidRDefault="00A50118" w:rsidP="004E1916">
      <w:pPr>
        <w:rPr>
          <w:highlight w:val="yellow"/>
        </w:rPr>
      </w:pPr>
      <w:r w:rsidRPr="00A50118">
        <w:t xml:space="preserve">There is also a </w:t>
      </w:r>
      <w:r w:rsidR="0043790D" w:rsidRPr="00A50118">
        <w:t>price driven</w:t>
      </w:r>
      <w:r w:rsidRPr="00A50118">
        <w:t xml:space="preserve"> functionality that can be used</w:t>
      </w:r>
      <w:r w:rsidR="0043790D" w:rsidRPr="00A50118">
        <w:t xml:space="preserve"> within the model.</w:t>
      </w:r>
      <w:r w:rsidR="006159FA" w:rsidRPr="00A50118">
        <w:t xml:space="preserve"> </w:t>
      </w:r>
      <w:r w:rsidR="0079035D" w:rsidRPr="00A50118">
        <w:t>A cost of abatement for fuel switching is calculated based on the relative delivered energy prices. As the emissions value approaches this cost of abatement</w:t>
      </w:r>
      <w:r w:rsidR="00277928" w:rsidRPr="00A50118">
        <w:t xml:space="preserve"> for </w:t>
      </w:r>
      <w:r w:rsidR="00CE1950" w:rsidRPr="00A50118">
        <w:t xml:space="preserve">fossil </w:t>
      </w:r>
      <w:r w:rsidR="00277928" w:rsidRPr="00A50118">
        <w:t>gas and coal conversion, the share of biomass increases</w:t>
      </w:r>
      <w:r w:rsidR="005615C1" w:rsidRPr="00A50118">
        <w:t xml:space="preserve">. </w:t>
      </w:r>
      <w:r w:rsidR="00437A94" w:rsidRPr="00A50118">
        <w:t>Rate constraint</w:t>
      </w:r>
      <w:r w:rsidR="00AD4BC4" w:rsidRPr="00A50118">
        <w:t xml:space="preserve">s </w:t>
      </w:r>
      <w:r w:rsidR="00437A94" w:rsidRPr="00A50118">
        <w:t xml:space="preserve">set the maximum </w:t>
      </w:r>
      <w:r w:rsidR="00AD4BC4" w:rsidRPr="00A50118">
        <w:t xml:space="preserve">speed at which the fuel share can change and is assumed that some proportion </w:t>
      </w:r>
      <w:r w:rsidR="00D97388" w:rsidRPr="00A50118">
        <w:t xml:space="preserve">of </w:t>
      </w:r>
      <w:r w:rsidR="002D7B7A" w:rsidRPr="00A50118">
        <w:t xml:space="preserve">fossil </w:t>
      </w:r>
      <w:r w:rsidR="00D97388" w:rsidRPr="00A50118">
        <w:t>gas will always be required for high temperature process heat applications.</w:t>
      </w:r>
      <w:r w:rsidR="00D97388" w:rsidRPr="00544DE9">
        <w:t xml:space="preserve"> </w:t>
      </w:r>
      <w:r w:rsidR="002936F6" w:rsidRPr="00544DE9">
        <w:t xml:space="preserve">A large proportion of pulp sector </w:t>
      </w:r>
      <w:r w:rsidR="00981DEA" w:rsidRPr="00544DE9">
        <w:t>fossil</w:t>
      </w:r>
      <w:r w:rsidR="002936F6" w:rsidRPr="00544DE9">
        <w:t xml:space="preserve"> gas use is consumed at the </w:t>
      </w:r>
      <w:proofErr w:type="spellStart"/>
      <w:r w:rsidR="002936F6" w:rsidRPr="00544DE9">
        <w:t>Kinleith</w:t>
      </w:r>
      <w:proofErr w:type="spellEnd"/>
      <w:r w:rsidR="002936F6" w:rsidRPr="00544DE9">
        <w:t xml:space="preserve"> plant and its conversion to a high </w:t>
      </w:r>
      <w:r w:rsidR="00F222DB" w:rsidRPr="00544DE9">
        <w:t xml:space="preserve">efficiency recovery boiler is exogenously specified and varied between scenarios </w:t>
      </w:r>
      <w:r w:rsidR="003C0ED8" w:rsidRPr="00544DE9">
        <w:t xml:space="preserve">using the scenario </w:t>
      </w:r>
      <w:r w:rsidR="003C0ED8" w:rsidRPr="008C4902">
        <w:t xml:space="preserve">parameter </w:t>
      </w:r>
      <w:proofErr w:type="spellStart"/>
      <w:r w:rsidR="00384A24" w:rsidRPr="008C4902">
        <w:rPr>
          <w:i/>
          <w:iCs/>
        </w:rPr>
        <w:t>Kinleith</w:t>
      </w:r>
      <w:proofErr w:type="spellEnd"/>
      <w:r w:rsidR="00384A24" w:rsidRPr="008C4902">
        <w:rPr>
          <w:i/>
          <w:iCs/>
        </w:rPr>
        <w:t xml:space="preserve"> </w:t>
      </w:r>
      <w:r w:rsidR="00763840" w:rsidRPr="008C4902">
        <w:rPr>
          <w:i/>
          <w:iCs/>
        </w:rPr>
        <w:t>HERB date.</w:t>
      </w:r>
      <w:r w:rsidR="00AD4BC4" w:rsidRPr="008C4902">
        <w:t xml:space="preserve"> </w:t>
      </w:r>
    </w:p>
    <w:p w14:paraId="59EDC51E" w14:textId="25B2A11C" w:rsidR="000E4F85" w:rsidRPr="009A6DEE" w:rsidRDefault="000E4F85" w:rsidP="007E0F17">
      <w:r w:rsidRPr="009A6DEE">
        <w:t xml:space="preserve">The wood processing sector also </w:t>
      </w:r>
      <w:r w:rsidR="006B7D93" w:rsidRPr="009A6DEE">
        <w:t xml:space="preserve">consumes </w:t>
      </w:r>
      <w:r w:rsidR="00047A41" w:rsidRPr="009A6DEE">
        <w:t xml:space="preserve">significant </w:t>
      </w:r>
      <w:r w:rsidR="0035718E" w:rsidRPr="009A6DEE">
        <w:t xml:space="preserve">amounts of diesel for motive power applications. These applications </w:t>
      </w:r>
      <w:r w:rsidR="00E74988" w:rsidRPr="009A6DEE">
        <w:t>become</w:t>
      </w:r>
      <w:r w:rsidR="00113A0A" w:rsidRPr="009A6DEE">
        <w:t xml:space="preserve"> electrified within the model </w:t>
      </w:r>
      <w:r w:rsidR="00E74988" w:rsidRPr="009A6DEE">
        <w:t xml:space="preserve">using the </w:t>
      </w:r>
      <w:r w:rsidR="006A25C7">
        <w:t>mobile machinery and off-road vehicles</w:t>
      </w:r>
      <w:r w:rsidR="00473098" w:rsidRPr="009A6DEE">
        <w:t xml:space="preserve"> </w:t>
      </w:r>
      <w:r w:rsidR="00A66850" w:rsidRPr="009A6DEE">
        <w:t>fuel switching</w:t>
      </w:r>
      <w:r w:rsidR="00473098" w:rsidRPr="009A6DEE">
        <w:t xml:space="preserve"> dynamic described </w:t>
      </w:r>
      <w:r w:rsidR="00A66850" w:rsidRPr="009A6DEE">
        <w:t xml:space="preserve">in the </w:t>
      </w:r>
      <w:r w:rsidR="00136951" w:rsidRPr="009A6DEE">
        <w:t>Residential, Commercial</w:t>
      </w:r>
      <w:r w:rsidR="001905BF">
        <w:t>,</w:t>
      </w:r>
      <w:r w:rsidR="00136951" w:rsidRPr="009A6DEE">
        <w:t xml:space="preserve"> and Agricul</w:t>
      </w:r>
      <w:r w:rsidR="002D0CDA" w:rsidRPr="009A6DEE">
        <w:t>t</w:t>
      </w:r>
      <w:r w:rsidR="00136951" w:rsidRPr="009A6DEE">
        <w:t>ur</w:t>
      </w:r>
      <w:r w:rsidR="002044FB" w:rsidRPr="009A6DEE">
        <w:t>e</w:t>
      </w:r>
      <w:r w:rsidR="00A66850" w:rsidRPr="009A6DEE">
        <w:t xml:space="preserve"> section </w:t>
      </w:r>
      <w:r w:rsidR="00136951" w:rsidRPr="009A6DEE">
        <w:t>of this manual.</w:t>
      </w:r>
    </w:p>
    <w:p w14:paraId="29E9BC82" w14:textId="3E3FA636" w:rsidR="00DD3769" w:rsidRPr="004C4B60" w:rsidRDefault="00F36D21" w:rsidP="006F2A91">
      <w:pPr>
        <w:pStyle w:val="Heading3"/>
      </w:pPr>
      <w:bookmarkStart w:id="27" w:name="_Toc184814249"/>
      <w:r w:rsidRPr="004C4B60">
        <w:t>Mining and construction</w:t>
      </w:r>
      <w:bookmarkEnd w:id="27"/>
    </w:p>
    <w:p w14:paraId="10A9C417" w14:textId="5F3EC265" w:rsidR="00A85188" w:rsidRPr="00590F49" w:rsidRDefault="00FA49CA" w:rsidP="00A85188">
      <w:r w:rsidRPr="00590F49">
        <w:t xml:space="preserve">Demand for useful energy in mining and construction is assumed to increase </w:t>
      </w:r>
      <w:r w:rsidR="00590F49" w:rsidRPr="00590F49">
        <w:t>proportionally with GDP and population respectively.</w:t>
      </w:r>
      <w:r w:rsidR="00435BC9" w:rsidRPr="00590F49">
        <w:t xml:space="preserve"> Most of this </w:t>
      </w:r>
      <w:r w:rsidR="00A85188" w:rsidRPr="00590F49">
        <w:t>energy demand is for motive power and ENZ models the conversion of diesel motors to electric motors by applying the off-road vehicles and machinery fuel switching dynamic described in the Residential, Commercial</w:t>
      </w:r>
      <w:r w:rsidR="009713B6">
        <w:t>,</w:t>
      </w:r>
      <w:r w:rsidR="00A85188" w:rsidRPr="00590F49">
        <w:t xml:space="preserve"> and Agriculture section of this manual.</w:t>
      </w:r>
    </w:p>
    <w:p w14:paraId="423B7D61" w14:textId="78374EF3" w:rsidR="006F2A91" w:rsidRPr="00D046AE" w:rsidRDefault="00A85188" w:rsidP="006F2A91">
      <w:r w:rsidRPr="00D046AE">
        <w:t xml:space="preserve">Process heat </w:t>
      </w:r>
      <w:r w:rsidR="003504E5" w:rsidRPr="00D046AE">
        <w:t>makes up a small p</w:t>
      </w:r>
      <w:r w:rsidR="000C4ABD" w:rsidRPr="00D046AE">
        <w:t xml:space="preserve">roportion of sector fuel usage and </w:t>
      </w:r>
      <w:r w:rsidR="00893741" w:rsidRPr="00D046AE">
        <w:t xml:space="preserve">is modelled using the exogenous phase out profile specified on the control panel using the </w:t>
      </w:r>
      <w:r w:rsidR="00DC29F5" w:rsidRPr="00D046AE">
        <w:rPr>
          <w:i/>
          <w:iCs/>
        </w:rPr>
        <w:t>Pipe Ind FH</w:t>
      </w:r>
      <w:r w:rsidR="00DC29F5" w:rsidRPr="00D046AE">
        <w:t xml:space="preserve"> </w:t>
      </w:r>
      <w:r w:rsidR="00D046AE" w:rsidRPr="00D046AE">
        <w:t>parameter</w:t>
      </w:r>
      <w:r w:rsidR="00F803D1" w:rsidRPr="00D046AE">
        <w:t>.</w:t>
      </w:r>
    </w:p>
    <w:p w14:paraId="2E999A50" w14:textId="553CD24C" w:rsidR="00807467" w:rsidRPr="008E1DC1" w:rsidRDefault="005B00D0" w:rsidP="002E1482">
      <w:pPr>
        <w:pStyle w:val="Heading3"/>
      </w:pPr>
      <w:bookmarkStart w:id="28" w:name="_Toc184814250"/>
      <w:r w:rsidRPr="008E1DC1">
        <w:t>Other industry</w:t>
      </w:r>
      <w:bookmarkEnd w:id="28"/>
      <w:r w:rsidRPr="008E1DC1">
        <w:t xml:space="preserve"> </w:t>
      </w:r>
    </w:p>
    <w:p w14:paraId="0DD377CE" w14:textId="5A1FC5A7" w:rsidR="0097191F" w:rsidRPr="00657ECD" w:rsidRDefault="003F2139" w:rsidP="0097191F">
      <w:r w:rsidRPr="00657ECD">
        <w:t>This industry collates the residual energy use which is not represented in the previous sectors</w:t>
      </w:r>
      <w:r w:rsidR="00DF1528" w:rsidRPr="00657ECD">
        <w:t>.</w:t>
      </w:r>
      <w:r w:rsidR="004E3832" w:rsidRPr="00657ECD">
        <w:t xml:space="preserve"> A growth in demand for energy in this sector is projected which is based on</w:t>
      </w:r>
      <w:r w:rsidR="00052202" w:rsidRPr="00657ECD">
        <w:t xml:space="preserve"> the historical relationship with </w:t>
      </w:r>
      <w:r w:rsidR="00CF1695" w:rsidRPr="00657ECD">
        <w:t>population</w:t>
      </w:r>
      <w:r w:rsidR="00DD469D" w:rsidRPr="00657ECD">
        <w:t>. The growth projected in this sector therefor</w:t>
      </w:r>
      <w:r w:rsidR="00734EA6" w:rsidRPr="00657ECD">
        <w:t>e</w:t>
      </w:r>
      <w:r w:rsidR="00DD469D" w:rsidRPr="00657ECD">
        <w:t xml:space="preserve"> depends on the </w:t>
      </w:r>
      <w:r w:rsidR="00B84A80" w:rsidRPr="00657ECD">
        <w:t xml:space="preserve">exogenous </w:t>
      </w:r>
      <w:r w:rsidR="00CF1695" w:rsidRPr="00657ECD">
        <w:t>population</w:t>
      </w:r>
      <w:r w:rsidR="00B84A80" w:rsidRPr="00657ECD">
        <w:t xml:space="preserve"> projection used a</w:t>
      </w:r>
      <w:r w:rsidR="00657ECD" w:rsidRPr="00657ECD">
        <w:t>s a</w:t>
      </w:r>
      <w:r w:rsidR="00B84A80" w:rsidRPr="00657ECD">
        <w:t xml:space="preserve"> macro driver for this modelling.</w:t>
      </w:r>
    </w:p>
    <w:p w14:paraId="0B5106F3" w14:textId="4191DE71" w:rsidR="00EC343C" w:rsidRPr="00582644" w:rsidRDefault="001E27EB" w:rsidP="00EC343C">
      <w:r w:rsidRPr="00582644">
        <w:t xml:space="preserve">Fuel switching energy use </w:t>
      </w:r>
      <w:r w:rsidR="002E0A2E" w:rsidRPr="00582644">
        <w:t xml:space="preserve">in other industry is based on </w:t>
      </w:r>
      <w:r w:rsidR="00834888" w:rsidRPr="00582644">
        <w:t xml:space="preserve">detailed dynamics represented in other parts of the model. For process heat, the </w:t>
      </w:r>
      <w:r w:rsidR="00810196" w:rsidRPr="00582644">
        <w:t>exogenous phase out profiles are followed</w:t>
      </w:r>
      <w:r w:rsidR="00834888" w:rsidRPr="00582644">
        <w:t xml:space="preserve">. </w:t>
      </w:r>
      <w:r w:rsidR="00EC343C" w:rsidRPr="00582644">
        <w:t>For motive power applications the off-road vehicles and machinery fuel switching dynamic described in the Residential, Commercial and Agriculture section of this manual</w:t>
      </w:r>
      <w:r w:rsidR="002E1482" w:rsidRPr="00582644">
        <w:t xml:space="preserve"> is applied</w:t>
      </w:r>
      <w:r w:rsidR="00EC343C" w:rsidRPr="00582644">
        <w:t>.</w:t>
      </w:r>
    </w:p>
    <w:p w14:paraId="330A7EC3" w14:textId="0AEEEC62" w:rsidR="000810FB" w:rsidRPr="00617FE4" w:rsidRDefault="000810FB" w:rsidP="004A639F">
      <w:pPr>
        <w:pStyle w:val="Heading3"/>
      </w:pPr>
      <w:bookmarkStart w:id="29" w:name="_Toc184814251"/>
      <w:r w:rsidRPr="00480039">
        <w:t xml:space="preserve">Fossil fuel </w:t>
      </w:r>
      <w:r w:rsidRPr="00617FE4">
        <w:t>production</w:t>
      </w:r>
      <w:bookmarkEnd w:id="29"/>
    </w:p>
    <w:p w14:paraId="12AA9263" w14:textId="10D9ABD6" w:rsidR="000810FB" w:rsidRPr="001E507E" w:rsidRDefault="000810FB" w:rsidP="000810FB">
      <w:pPr>
        <w:rPr>
          <w:highlight w:val="yellow"/>
        </w:rPr>
      </w:pPr>
      <w:r w:rsidRPr="00617FE4">
        <w:t xml:space="preserve">Although not </w:t>
      </w:r>
      <w:r w:rsidR="0015254F" w:rsidRPr="00617FE4">
        <w:t xml:space="preserve">outlined explicitly in the </w:t>
      </w:r>
      <w:r w:rsidR="0015254F" w:rsidRPr="00617FE4">
        <w:rPr>
          <w:b/>
        </w:rPr>
        <w:t>HIP</w:t>
      </w:r>
      <w:r w:rsidR="0015254F" w:rsidRPr="00617FE4">
        <w:t xml:space="preserve"> worksheet, fugitive emissions from the production and distribution of </w:t>
      </w:r>
      <w:r w:rsidR="00504908" w:rsidRPr="00617FE4">
        <w:t>fossil</w:t>
      </w:r>
      <w:r w:rsidR="0015254F" w:rsidRPr="00617FE4">
        <w:t xml:space="preserve"> gas are accounted for i</w:t>
      </w:r>
      <w:r w:rsidR="00ED2F3B" w:rsidRPr="00617FE4">
        <w:t>n ENZ. It is assumed that these emissions remain proportional t</w:t>
      </w:r>
      <w:r w:rsidR="00F72417" w:rsidRPr="00617FE4">
        <w:t xml:space="preserve">o </w:t>
      </w:r>
      <w:r w:rsidR="008F456B" w:rsidRPr="00617FE4">
        <w:t>relevant proportions</w:t>
      </w:r>
      <w:r w:rsidR="00F72417" w:rsidRPr="00617FE4">
        <w:t xml:space="preserve"> of </w:t>
      </w:r>
      <w:r w:rsidR="00A45E69" w:rsidRPr="00617FE4">
        <w:t xml:space="preserve">fossil </w:t>
      </w:r>
      <w:r w:rsidR="00F72417" w:rsidRPr="00617FE4">
        <w:t xml:space="preserve">gas </w:t>
      </w:r>
      <w:r w:rsidR="008F456B" w:rsidRPr="00081BC8">
        <w:t>volumes</w:t>
      </w:r>
      <w:r w:rsidR="00F72417" w:rsidRPr="00081BC8">
        <w:t>.</w:t>
      </w:r>
      <w:r w:rsidR="008F456B" w:rsidRPr="00081BC8">
        <w:t xml:space="preserve"> For example, </w:t>
      </w:r>
      <w:r w:rsidR="00503767" w:rsidRPr="00081BC8">
        <w:t xml:space="preserve">fugitive emissions from the distribution of </w:t>
      </w:r>
      <w:r w:rsidR="0048180B" w:rsidRPr="00081BC8">
        <w:t>fossil</w:t>
      </w:r>
      <w:r w:rsidR="00503767" w:rsidRPr="00081BC8">
        <w:t xml:space="preserve"> gas are proportional to total distribution pipeline volumes</w:t>
      </w:r>
      <w:r w:rsidR="00081BC8" w:rsidRPr="00081BC8">
        <w:t>.</w:t>
      </w:r>
    </w:p>
    <w:p w14:paraId="745BC235" w14:textId="237463C5" w:rsidR="00143ADD" w:rsidRPr="008E1DC1" w:rsidRDefault="00143ADD" w:rsidP="00143ADD">
      <w:pPr>
        <w:pStyle w:val="Heading3"/>
      </w:pPr>
      <w:bookmarkStart w:id="30" w:name="_Toc184814252"/>
      <w:r>
        <w:lastRenderedPageBreak/>
        <w:t>New industrial segments</w:t>
      </w:r>
      <w:bookmarkEnd w:id="30"/>
      <w:r w:rsidRPr="008E1DC1">
        <w:t xml:space="preserve"> </w:t>
      </w:r>
    </w:p>
    <w:p w14:paraId="0FF991D1" w14:textId="7B2E38C8" w:rsidR="00143ADD" w:rsidRPr="007F510C" w:rsidRDefault="66695536" w:rsidP="00143ADD">
      <w:r>
        <w:t xml:space="preserve">The model includes </w:t>
      </w:r>
      <w:r w:rsidR="61885CC8">
        <w:t>functionality to account for new industrial electricity demand</w:t>
      </w:r>
      <w:r w:rsidR="310D98D0">
        <w:t xml:space="preserve">. In particular, future </w:t>
      </w:r>
      <w:r w:rsidR="027B12AD">
        <w:t>electricity</w:t>
      </w:r>
      <w:r w:rsidR="04E1C0E9">
        <w:t xml:space="preserve"> </w:t>
      </w:r>
      <w:r w:rsidR="310D98D0">
        <w:t xml:space="preserve">demand </w:t>
      </w:r>
      <w:r w:rsidR="04E1C0E9">
        <w:t xml:space="preserve">from new data centres can be specified </w:t>
      </w:r>
      <w:r w:rsidR="027B12AD">
        <w:t>using</w:t>
      </w:r>
      <w:r w:rsidR="04E1C0E9">
        <w:t xml:space="preserve"> the </w:t>
      </w:r>
      <w:proofErr w:type="gramStart"/>
      <w:r w:rsidR="04E1C0E9" w:rsidRPr="4868DAB2">
        <w:rPr>
          <w:i/>
          <w:iCs/>
        </w:rPr>
        <w:t>New</w:t>
      </w:r>
      <w:proofErr w:type="gramEnd"/>
      <w:r w:rsidR="04E1C0E9" w:rsidRPr="4868DAB2">
        <w:rPr>
          <w:i/>
          <w:iCs/>
        </w:rPr>
        <w:t xml:space="preserve"> load: Data centres</w:t>
      </w:r>
      <w:r w:rsidR="04E1C0E9">
        <w:t xml:space="preserve"> parameter on the control panel. </w:t>
      </w:r>
      <w:r w:rsidR="027B12AD">
        <w:t xml:space="preserve">The scenarios for this are defined in the </w:t>
      </w:r>
      <w:r w:rsidR="485E463A" w:rsidRPr="4868DAB2">
        <w:rPr>
          <w:i/>
          <w:iCs/>
        </w:rPr>
        <w:t xml:space="preserve">new industrial </w:t>
      </w:r>
      <w:r w:rsidR="7B3C30B3" w:rsidRPr="4868DAB2">
        <w:rPr>
          <w:i/>
          <w:iCs/>
        </w:rPr>
        <w:t>electricity demand</w:t>
      </w:r>
      <w:r w:rsidR="72E0807D">
        <w:t xml:space="preserve"> section of the </w:t>
      </w:r>
      <w:r w:rsidR="72E0807D" w:rsidRPr="4868DAB2">
        <w:rPr>
          <w:b/>
          <w:bCs/>
        </w:rPr>
        <w:t xml:space="preserve">Param </w:t>
      </w:r>
      <w:r w:rsidR="72E0807D">
        <w:t xml:space="preserve">worksheet. </w:t>
      </w:r>
    </w:p>
    <w:p w14:paraId="3DB9649D" w14:textId="22A43107" w:rsidR="00837040" w:rsidRPr="00237C23" w:rsidRDefault="00837040" w:rsidP="00837040">
      <w:pPr>
        <w:pStyle w:val="Heading2"/>
      </w:pPr>
      <w:bookmarkStart w:id="31" w:name="_Toc184814253"/>
      <w:r w:rsidRPr="00237C23">
        <w:t>Key linkages</w:t>
      </w:r>
      <w:bookmarkEnd w:id="31"/>
    </w:p>
    <w:p w14:paraId="0C55A392" w14:textId="35503891" w:rsidR="00837040" w:rsidRPr="001E507E" w:rsidRDefault="00837040" w:rsidP="00837040">
      <w:pPr>
        <w:rPr>
          <w:highlight w:val="yellow"/>
        </w:rPr>
      </w:pPr>
      <w:r w:rsidRPr="00237C23">
        <w:t xml:space="preserve">The </w:t>
      </w:r>
      <w:r w:rsidRPr="00237C23">
        <w:rPr>
          <w:b/>
        </w:rPr>
        <w:t>HIP</w:t>
      </w:r>
      <w:r w:rsidRPr="00237C23">
        <w:t xml:space="preserve"> workbook provides outputs and accepts inputs from all the other model workbooks. By including these key linkages ENZ can build up a systems perspective of emissions. The main links are </w:t>
      </w:r>
      <w:r w:rsidRPr="005B0862">
        <w:t xml:space="preserve">depicted in </w:t>
      </w:r>
      <w:r w:rsidRPr="005B0862">
        <w:fldChar w:fldCharType="begin"/>
      </w:r>
      <w:r w:rsidRPr="005B0862">
        <w:instrText xml:space="preserve"> REF _Ref78205054 \h </w:instrText>
      </w:r>
      <w:r w:rsidR="001E507E" w:rsidRPr="005B0862">
        <w:instrText xml:space="preserve"> \* MERGEFORMAT </w:instrText>
      </w:r>
      <w:r w:rsidRPr="005B0862">
        <w:fldChar w:fldCharType="separate"/>
      </w:r>
      <w:r w:rsidR="005F448D" w:rsidRPr="00847414">
        <w:t xml:space="preserve">Figure </w:t>
      </w:r>
      <w:r w:rsidR="005F448D">
        <w:rPr>
          <w:noProof/>
        </w:rPr>
        <w:t>2</w:t>
      </w:r>
      <w:r w:rsidRPr="005B0862">
        <w:fldChar w:fldCharType="end"/>
      </w:r>
      <w:r w:rsidRPr="005B0862">
        <w:t xml:space="preserve"> and</w:t>
      </w:r>
      <w:r w:rsidRPr="00237C23">
        <w:t xml:space="preserve"> are summarised as follows:</w:t>
      </w:r>
    </w:p>
    <w:p w14:paraId="4C70C4EC" w14:textId="26F93848" w:rsidR="00837040" w:rsidRPr="00A859BD" w:rsidRDefault="00837040" w:rsidP="00E71301">
      <w:pPr>
        <w:pStyle w:val="ListParagraph"/>
        <w:numPr>
          <w:ilvl w:val="0"/>
          <w:numId w:val="21"/>
        </w:numPr>
      </w:pPr>
      <w:r w:rsidRPr="00A804B2">
        <w:t xml:space="preserve">Regional agricultural production of milk solids and </w:t>
      </w:r>
      <w:r w:rsidRPr="00A859BD">
        <w:t xml:space="preserve">meat is an input from the </w:t>
      </w:r>
      <w:r w:rsidR="00A45E69" w:rsidRPr="00A859BD">
        <w:rPr>
          <w:b/>
          <w:bCs/>
        </w:rPr>
        <w:t>l</w:t>
      </w:r>
      <w:r w:rsidRPr="00A859BD">
        <w:rPr>
          <w:b/>
          <w:bCs/>
        </w:rPr>
        <w:t>and</w:t>
      </w:r>
      <w:r w:rsidR="00010727" w:rsidRPr="00A859BD">
        <w:rPr>
          <w:b/>
          <w:bCs/>
        </w:rPr>
        <w:t xml:space="preserve"> and waste</w:t>
      </w:r>
      <w:r w:rsidRPr="00A859BD">
        <w:t xml:space="preserve"> workbook. This sets the requirement for process heat from the food processing sector which is modelled in </w:t>
      </w:r>
      <w:r w:rsidRPr="00A859BD">
        <w:rPr>
          <w:b/>
          <w:bCs/>
        </w:rPr>
        <w:t>HIP</w:t>
      </w:r>
      <w:r w:rsidRPr="00A859BD">
        <w:t>.</w:t>
      </w:r>
    </w:p>
    <w:p w14:paraId="1D3F6402" w14:textId="5A35737D" w:rsidR="00837040" w:rsidRPr="00546629" w:rsidRDefault="00837040" w:rsidP="00E71301">
      <w:pPr>
        <w:pStyle w:val="ListParagraph"/>
        <w:numPr>
          <w:ilvl w:val="0"/>
          <w:numId w:val="21"/>
        </w:numPr>
      </w:pPr>
      <w:r w:rsidRPr="00A859BD">
        <w:t xml:space="preserve">Regional harvest of pulp logs and the availability of forestry residue is an input from the </w:t>
      </w:r>
      <w:r w:rsidR="00A45E69" w:rsidRPr="00A859BD">
        <w:rPr>
          <w:b/>
          <w:bCs/>
        </w:rPr>
        <w:t>l</w:t>
      </w:r>
      <w:r w:rsidRPr="00A859BD">
        <w:rPr>
          <w:b/>
          <w:bCs/>
        </w:rPr>
        <w:t>and</w:t>
      </w:r>
      <w:r w:rsidR="00A804B2" w:rsidRPr="00A859BD">
        <w:rPr>
          <w:b/>
          <w:bCs/>
        </w:rPr>
        <w:t xml:space="preserve"> and waste</w:t>
      </w:r>
      <w:r w:rsidRPr="00A859BD">
        <w:t xml:space="preserve"> workbook. These sources of biomass are utilised as boiler and kiln fuel for industrial process heat and </w:t>
      </w:r>
      <w:proofErr w:type="gramStart"/>
      <w:r w:rsidRPr="00A859BD">
        <w:t>for the production of</w:t>
      </w:r>
      <w:proofErr w:type="gramEnd"/>
      <w:r w:rsidRPr="00A859BD">
        <w:t xml:space="preserve"> liquid biofuels</w:t>
      </w:r>
      <w:r w:rsidRPr="00546629">
        <w:t>.</w:t>
      </w:r>
    </w:p>
    <w:p w14:paraId="736EE441" w14:textId="594D679B" w:rsidR="006B2B91" w:rsidRPr="00546629" w:rsidRDefault="00837040" w:rsidP="00E71301">
      <w:pPr>
        <w:pStyle w:val="ListParagraph"/>
        <w:numPr>
          <w:ilvl w:val="0"/>
          <w:numId w:val="7"/>
        </w:numPr>
      </w:pPr>
      <w:r w:rsidRPr="00546629">
        <w:t>The demand for electricity for the electrification of transport is an input from the</w:t>
      </w:r>
      <w:r w:rsidRPr="00546629">
        <w:rPr>
          <w:b/>
        </w:rPr>
        <w:t xml:space="preserve"> </w:t>
      </w:r>
      <w:r w:rsidR="00A45E69" w:rsidRPr="00546629">
        <w:rPr>
          <w:b/>
          <w:bCs/>
        </w:rPr>
        <w:t>t</w:t>
      </w:r>
      <w:r w:rsidRPr="00546629">
        <w:rPr>
          <w:b/>
          <w:bCs/>
        </w:rPr>
        <w:t>ransport</w:t>
      </w:r>
      <w:r w:rsidRPr="00546629">
        <w:t xml:space="preserve"> </w:t>
      </w:r>
      <w:r w:rsidR="00093DC8" w:rsidRPr="00546629">
        <w:t>work</w:t>
      </w:r>
      <w:r w:rsidRPr="00546629">
        <w:t>book. This sets the requirement for electricity generation which is modelled in the</w:t>
      </w:r>
      <w:r w:rsidRPr="00546629">
        <w:rPr>
          <w:b/>
        </w:rPr>
        <w:t xml:space="preserve"> HIP</w:t>
      </w:r>
      <w:r w:rsidRPr="00546629">
        <w:t xml:space="preserve"> workbook. The </w:t>
      </w:r>
      <w:r w:rsidRPr="00546629">
        <w:rPr>
          <w:b/>
        </w:rPr>
        <w:t>HIP</w:t>
      </w:r>
      <w:r w:rsidRPr="00546629">
        <w:t xml:space="preserve"> workbook calculates the price of electricity which feeds back through into </w:t>
      </w:r>
      <w:r w:rsidRPr="00546629">
        <w:rPr>
          <w:b/>
        </w:rPr>
        <w:t xml:space="preserve">transport </w:t>
      </w:r>
      <w:r w:rsidR="00093DC8" w:rsidRPr="00546629">
        <w:t>work</w:t>
      </w:r>
      <w:r w:rsidRPr="00546629">
        <w:t>book and influences electrification of transport.</w:t>
      </w:r>
    </w:p>
    <w:p w14:paraId="3B25E57D" w14:textId="62C896AC" w:rsidR="00984975" w:rsidRPr="00344F35" w:rsidRDefault="70412B5B" w:rsidP="00984975">
      <w:pPr>
        <w:pStyle w:val="Heading1"/>
      </w:pPr>
      <w:bookmarkStart w:id="32" w:name="_Toc184814254"/>
      <w:r>
        <w:t>T</w:t>
      </w:r>
      <w:r w:rsidR="6C6C0CA7">
        <w:t xml:space="preserve">he Transport </w:t>
      </w:r>
      <w:r w:rsidR="6C6C0CA7" w:rsidRPr="005D2ABA">
        <w:t>(Tpt</w:t>
      </w:r>
      <w:r w:rsidR="4B908FB5" w:rsidRPr="005D2ABA">
        <w:t>.</w:t>
      </w:r>
      <w:r w:rsidR="4B908FB5" w:rsidRPr="005D2ABA">
        <w:rPr>
          <w:rStyle w:val="normaltextrun"/>
        </w:rPr>
        <w:t>xlsx</w:t>
      </w:r>
      <w:r w:rsidR="6C6C0CA7" w:rsidRPr="005D2ABA">
        <w:t>)</w:t>
      </w:r>
      <w:r w:rsidR="6C6C0CA7">
        <w:t xml:space="preserve"> workbook</w:t>
      </w:r>
      <w:bookmarkEnd w:id="32"/>
    </w:p>
    <w:p w14:paraId="36DA4C09" w14:textId="6A806679" w:rsidR="00EB252B" w:rsidRPr="00344F35" w:rsidRDefault="003F0FE2" w:rsidP="003F0FE2">
      <w:r w:rsidRPr="00344F35">
        <w:t>ENZ includes road transport, rail, shipping</w:t>
      </w:r>
      <w:r w:rsidR="001212FD">
        <w:t>,</w:t>
      </w:r>
      <w:r w:rsidRPr="00344F35">
        <w:t xml:space="preserve"> and aviation, with the latter two split into domestic and international. Road vehicles are divided into light passenger vehicles (cars and SUVs), light commercial vehicles (vans and </w:t>
      </w:r>
      <w:proofErr w:type="spellStart"/>
      <w:r w:rsidRPr="00344F35">
        <w:t>utes</w:t>
      </w:r>
      <w:proofErr w:type="spellEnd"/>
      <w:r w:rsidRPr="00344F35">
        <w:t>), motorcycles, buses, medium trucks (defined as less than 30 tonnes gross vehicle mass (GVM)) and heavy trucks (over 30 tonnes GVM). ENZ models the dynamics of the transport fleet, such as vehicle scrappage and the pattern of usage over a vehicle’s life, based on fleet statistics published by the</w:t>
      </w:r>
      <w:r w:rsidR="009A7203">
        <w:t xml:space="preserve"> Te </w:t>
      </w:r>
      <w:proofErr w:type="spellStart"/>
      <w:r w:rsidR="009A7203">
        <w:t>Manatū</w:t>
      </w:r>
      <w:proofErr w:type="spellEnd"/>
      <w:r w:rsidR="009A7203">
        <w:t xml:space="preserve"> Waka</w:t>
      </w:r>
      <w:r w:rsidRPr="00344F35">
        <w:t xml:space="preserve"> Ministry of Transport. The model also includes different fuel types: fossil fuels, electricity, hydrogen, and biofuels or other synthetic fuels. </w:t>
      </w:r>
    </w:p>
    <w:p w14:paraId="5E299BAD" w14:textId="77777777" w:rsidR="005D63B7" w:rsidRPr="00A03B94" w:rsidRDefault="003F0FE2" w:rsidP="003F0FE2">
      <w:r w:rsidRPr="00A03B94">
        <w:t xml:space="preserve">ENZ models the main levers which influence emissions, including transport demand and the size and makeup of the vehicle fleet, based on factors driving them, such as population. It also accounts for projected improvements in vehicle efficiencies. </w:t>
      </w:r>
    </w:p>
    <w:p w14:paraId="277F6874" w14:textId="77777777" w:rsidR="007F0636" w:rsidRPr="00A03B94" w:rsidRDefault="003F0FE2" w:rsidP="003F0FE2">
      <w:r w:rsidRPr="00A03B94">
        <w:t xml:space="preserve">ENZ takes account of behavioural change, including mode shift for passenger and freight transport and reduced demand for travel. These behavioural changes are input as scenario assumptions; ENZ does not model changes in travel behaviour in response to factors such as changes in fuel prices. ENZ draws on underlying regional travel data and projections from the Ministry of Transport and aggregates these into five broad regions: Auckland, Waikato, Wellington, Canterbury, and the rest of Aotearoa. </w:t>
      </w:r>
    </w:p>
    <w:p w14:paraId="3A6E64E7" w14:textId="299F88EB" w:rsidR="001F5E7B" w:rsidRPr="00747811" w:rsidRDefault="5B950358" w:rsidP="00E71301">
      <w:bookmarkStart w:id="33" w:name="_Toc184814255"/>
      <w:r w:rsidRPr="00DE4057">
        <w:rPr>
          <w:rStyle w:val="Heading2Char"/>
        </w:rPr>
        <w:t xml:space="preserve">Mode shift and </w:t>
      </w:r>
      <w:r w:rsidR="45171EE4" w:rsidRPr="00DE4057">
        <w:rPr>
          <w:rStyle w:val="Heading2Char"/>
        </w:rPr>
        <w:t>Travel and freight demand</w:t>
      </w:r>
      <w:bookmarkEnd w:id="33"/>
      <w:r w:rsidR="45171EE4" w:rsidRPr="00DE4057">
        <w:rPr>
          <w:rStyle w:val="Heading2Char"/>
        </w:rPr>
        <w:t> </w:t>
      </w:r>
      <w:r w:rsidR="2C8B67EF">
        <w:br/>
      </w:r>
      <w:r w:rsidR="5BD94555" w:rsidRPr="1ABDC9D7">
        <w:rPr>
          <w:lang w:eastAsia="en-NZ"/>
        </w:rPr>
        <w:t>T</w:t>
      </w:r>
      <w:r w:rsidR="7DA73B76" w:rsidRPr="1ABDC9D7">
        <w:rPr>
          <w:lang w:eastAsia="en-NZ"/>
        </w:rPr>
        <w:t xml:space="preserve">he Transport workbook uses the </w:t>
      </w:r>
      <w:r w:rsidR="238EBDA0" w:rsidRPr="1ABDC9D7">
        <w:rPr>
          <w:lang w:eastAsia="en-NZ"/>
        </w:rPr>
        <w:t>Ministry of Transport’s Transport Outlook base case, updated in 2020</w:t>
      </w:r>
      <w:r w:rsidR="7DA73B76" w:rsidRPr="1ABDC9D7">
        <w:rPr>
          <w:lang w:eastAsia="en-NZ"/>
        </w:rPr>
        <w:t xml:space="preserve"> </w:t>
      </w:r>
      <w:r w:rsidR="5250DAC1" w:rsidRPr="1ABDC9D7">
        <w:rPr>
          <w:lang w:eastAsia="en-NZ"/>
        </w:rPr>
        <w:t>for</w:t>
      </w:r>
      <w:r w:rsidR="7DA73B76" w:rsidRPr="1ABDC9D7">
        <w:rPr>
          <w:lang w:eastAsia="en-NZ"/>
        </w:rPr>
        <w:t xml:space="preserve"> b</w:t>
      </w:r>
      <w:r w:rsidR="5250DAC1" w:rsidRPr="1ABDC9D7">
        <w:rPr>
          <w:lang w:eastAsia="en-NZ"/>
        </w:rPr>
        <w:t>aseline travel demand projections</w:t>
      </w:r>
      <w:r w:rsidR="238EBDA0" w:rsidRPr="1ABDC9D7">
        <w:rPr>
          <w:lang w:eastAsia="en-NZ"/>
        </w:rPr>
        <w:t>. </w:t>
      </w:r>
      <w:r w:rsidR="72C2E2BB" w:rsidRPr="1ABDC9D7">
        <w:rPr>
          <w:lang w:eastAsia="en-NZ"/>
        </w:rPr>
        <w:t xml:space="preserve">This </w:t>
      </w:r>
      <w:r w:rsidR="6ED53A0E" w:rsidRPr="1ABDC9D7">
        <w:rPr>
          <w:lang w:eastAsia="en-NZ"/>
        </w:rPr>
        <w:t xml:space="preserve">outlook </w:t>
      </w:r>
      <w:r w:rsidR="72C2E2BB" w:rsidRPr="1ABDC9D7">
        <w:rPr>
          <w:lang w:eastAsia="en-NZ"/>
        </w:rPr>
        <w:t>gives the</w:t>
      </w:r>
      <w:r w:rsidR="238EBDA0" w:rsidRPr="1ABDC9D7">
        <w:rPr>
          <w:lang w:eastAsia="en-NZ"/>
        </w:rPr>
        <w:t xml:space="preserve"> demand for household travel, commercial travel, freight, and domestic aviation</w:t>
      </w:r>
      <w:r w:rsidR="48BD4CA7" w:rsidRPr="1ABDC9D7">
        <w:rPr>
          <w:lang w:eastAsia="en-NZ"/>
        </w:rPr>
        <w:t xml:space="preserve"> by region</w:t>
      </w:r>
      <w:r w:rsidR="6ED53A0E" w:rsidRPr="1ABDC9D7">
        <w:rPr>
          <w:lang w:eastAsia="en-NZ"/>
        </w:rPr>
        <w:t xml:space="preserve"> in 5</w:t>
      </w:r>
      <w:r w:rsidR="447415A6" w:rsidRPr="1ABDC9D7">
        <w:rPr>
          <w:lang w:eastAsia="en-NZ"/>
        </w:rPr>
        <w:t>-</w:t>
      </w:r>
      <w:r w:rsidR="6ED53A0E" w:rsidRPr="1ABDC9D7">
        <w:rPr>
          <w:lang w:eastAsia="en-NZ"/>
        </w:rPr>
        <w:t>year intervals</w:t>
      </w:r>
      <w:r w:rsidR="238EBDA0" w:rsidRPr="1ABDC9D7">
        <w:rPr>
          <w:lang w:eastAsia="en-NZ"/>
        </w:rPr>
        <w:t>.</w:t>
      </w:r>
      <w:r w:rsidR="48BD4CA7" w:rsidRPr="1ABDC9D7">
        <w:rPr>
          <w:lang w:eastAsia="en-NZ"/>
        </w:rPr>
        <w:t xml:space="preserve"> </w:t>
      </w:r>
      <w:r w:rsidR="0904FD83" w:rsidRPr="1ABDC9D7">
        <w:rPr>
          <w:lang w:eastAsia="en-NZ"/>
        </w:rPr>
        <w:t xml:space="preserve">The outlook data </w:t>
      </w:r>
      <w:proofErr w:type="gramStart"/>
      <w:r w:rsidR="0904FD83" w:rsidRPr="1ABDC9D7">
        <w:rPr>
          <w:lang w:eastAsia="en-NZ"/>
        </w:rPr>
        <w:t>is located in</w:t>
      </w:r>
      <w:proofErr w:type="gramEnd"/>
      <w:r w:rsidR="0904FD83" w:rsidRPr="1ABDC9D7">
        <w:rPr>
          <w:lang w:eastAsia="en-NZ"/>
        </w:rPr>
        <w:t xml:space="preserve"> the</w:t>
      </w:r>
      <w:r w:rsidR="447415A6" w:rsidRPr="1ABDC9D7">
        <w:rPr>
          <w:lang w:eastAsia="en-NZ"/>
        </w:rPr>
        <w:t xml:space="preserve"> </w:t>
      </w:r>
      <w:r w:rsidR="11506E85" w:rsidRPr="1ABDC9D7">
        <w:rPr>
          <w:lang w:eastAsia="en-NZ"/>
        </w:rPr>
        <w:t>M</w:t>
      </w:r>
      <w:r w:rsidR="447415A6" w:rsidRPr="1ABDC9D7">
        <w:rPr>
          <w:lang w:eastAsia="en-NZ"/>
        </w:rPr>
        <w:t>ode worksheet of the transport</w:t>
      </w:r>
      <w:r w:rsidR="7F6F668B" w:rsidRPr="1ABDC9D7">
        <w:rPr>
          <w:lang w:eastAsia="en-NZ"/>
        </w:rPr>
        <w:t xml:space="preserve">. </w:t>
      </w:r>
      <w:r w:rsidR="65E63E96" w:rsidRPr="1ABDC9D7">
        <w:rPr>
          <w:lang w:eastAsia="en-NZ"/>
        </w:rPr>
        <w:t>passenger travel is</w:t>
      </w:r>
      <w:r w:rsidR="447415A6" w:rsidRPr="1ABDC9D7">
        <w:rPr>
          <w:lang w:eastAsia="en-NZ"/>
        </w:rPr>
        <w:t xml:space="preserve"> a</w:t>
      </w:r>
      <w:r w:rsidR="4BFFAC83" w:rsidRPr="1ABDC9D7">
        <w:rPr>
          <w:lang w:eastAsia="en-NZ"/>
        </w:rPr>
        <w:t>ggregated</w:t>
      </w:r>
      <w:r w:rsidR="238EBDA0" w:rsidRPr="1ABDC9D7">
        <w:rPr>
          <w:lang w:eastAsia="en-NZ"/>
        </w:rPr>
        <w:t xml:space="preserve"> into 5 regions (Auckland, Waikato, Wellington, Canterbury, Rest of NZ).</w:t>
      </w:r>
      <w:r w:rsidR="65E63E96" w:rsidRPr="1ABDC9D7">
        <w:rPr>
          <w:lang w:eastAsia="en-NZ"/>
        </w:rPr>
        <w:t xml:space="preserve"> </w:t>
      </w:r>
      <w:r w:rsidR="29DCC59F" w:rsidRPr="1ABDC9D7">
        <w:rPr>
          <w:lang w:eastAsia="en-NZ"/>
        </w:rPr>
        <w:t>Freight and commercial travel are aggregated at a national level.</w:t>
      </w:r>
    </w:p>
    <w:p w14:paraId="758D764C" w14:textId="35F20461" w:rsidR="70203AA4" w:rsidRDefault="70203AA4" w:rsidP="009D4107">
      <w:pPr>
        <w:rPr>
          <w:lang w:eastAsia="en-NZ"/>
        </w:rPr>
      </w:pPr>
      <w:r w:rsidRPr="11E4C384">
        <w:rPr>
          <w:lang w:eastAsia="en-NZ"/>
        </w:rPr>
        <w:lastRenderedPageBreak/>
        <w:t xml:space="preserve">ENZ includes the functionality to change the share of modes which satisfy the demand for travel. The </w:t>
      </w:r>
      <w:r w:rsidRPr="11E4C384">
        <w:rPr>
          <w:i/>
          <w:iCs/>
          <w:lang w:eastAsia="en-NZ"/>
        </w:rPr>
        <w:t>Passenger mode shift</w:t>
      </w:r>
      <w:r w:rsidRPr="11E4C384">
        <w:rPr>
          <w:lang w:eastAsia="en-NZ"/>
        </w:rPr>
        <w:t xml:space="preserve"> scenario parameter selects between the mode shift scenarios defined in line in the </w:t>
      </w:r>
      <w:r w:rsidRPr="11E4C384">
        <w:rPr>
          <w:i/>
          <w:iCs/>
          <w:lang w:eastAsia="en-NZ"/>
        </w:rPr>
        <w:t>Scenario build step 3</w:t>
      </w:r>
      <w:r w:rsidRPr="11E4C384">
        <w:rPr>
          <w:lang w:eastAsia="en-NZ"/>
        </w:rPr>
        <w:t xml:space="preserve"> section of the </w:t>
      </w:r>
      <w:r w:rsidR="6EB25CEE" w:rsidRPr="6F7FE4AA">
        <w:rPr>
          <w:lang w:eastAsia="en-NZ"/>
        </w:rPr>
        <w:t>Mode</w:t>
      </w:r>
      <w:r w:rsidRPr="6F7FE4AA">
        <w:rPr>
          <w:lang w:eastAsia="en-NZ"/>
        </w:rPr>
        <w:t>.</w:t>
      </w:r>
      <w:r w:rsidRPr="11E4C384">
        <w:rPr>
          <w:lang w:eastAsia="en-NZ"/>
        </w:rPr>
        <w:t xml:space="preserve"> Mode shifts are defined at a regional level for passenger person-kilometre-travel across the categories of pedestrian, cyclist, micro-mobility, local train, local bus, local ferry, motorcycle</w:t>
      </w:r>
      <w:r w:rsidR="00DA31A8">
        <w:rPr>
          <w:lang w:eastAsia="en-NZ"/>
        </w:rPr>
        <w:t>,</w:t>
      </w:r>
      <w:r w:rsidRPr="11E4C384">
        <w:rPr>
          <w:lang w:eastAsia="en-NZ"/>
        </w:rPr>
        <w:t xml:space="preserve"> and taxi/vehicle share. Light vehicle travel makes the up the residual travel demand. For national freight, travel can shift from road to rail and costal shipping based on the </w:t>
      </w:r>
      <w:r w:rsidRPr="11E4C384">
        <w:rPr>
          <w:i/>
          <w:iCs/>
          <w:lang w:eastAsia="en-NZ"/>
        </w:rPr>
        <w:t>Freight mode shift</w:t>
      </w:r>
      <w:r w:rsidRPr="11E4C384">
        <w:rPr>
          <w:lang w:eastAsia="en-NZ"/>
        </w:rPr>
        <w:t xml:space="preserve"> scenario parameter. Note that mode shares changes are specified as relative the </w:t>
      </w:r>
      <w:proofErr w:type="spellStart"/>
      <w:r w:rsidRPr="11E4C384">
        <w:rPr>
          <w:lang w:eastAsia="en-NZ"/>
        </w:rPr>
        <w:t>MoT</w:t>
      </w:r>
      <w:proofErr w:type="spellEnd"/>
      <w:r w:rsidRPr="11E4C384">
        <w:rPr>
          <w:lang w:eastAsia="en-NZ"/>
        </w:rPr>
        <w:t xml:space="preserve"> baseline at 5-year intervals.</w:t>
      </w:r>
    </w:p>
    <w:p w14:paraId="15FD3883" w14:textId="23919658" w:rsidR="11E4C384" w:rsidRDefault="2876E594" w:rsidP="00E71301">
      <w:r>
        <w:t>Vehicle travel is based projected 202</w:t>
      </w:r>
      <w:r w:rsidR="4F797186">
        <w:t>4</w:t>
      </w:r>
      <w:r>
        <w:t xml:space="preserve"> vehicle kilometres travelled (VKT) projections from Mot. mode shift affects. </w:t>
      </w:r>
      <w:r w:rsidR="48E7C819">
        <w:t>We are mode</w:t>
      </w:r>
      <w:r w:rsidR="002E5B05">
        <w:t xml:space="preserve"> </w:t>
      </w:r>
      <w:r w:rsidR="48E7C819">
        <w:t>shift is applied reference road VKT is adjusted based on the percentage difference in VKT/ capita and/or VKT/</w:t>
      </w:r>
      <w:r w:rsidR="002E5B05">
        <w:t>gross domestic product (</w:t>
      </w:r>
      <w:r w:rsidR="48E7C819">
        <w:t>GDP</w:t>
      </w:r>
      <w:r w:rsidR="002E5B05">
        <w:t>)</w:t>
      </w:r>
      <w:r w:rsidR="48E7C819">
        <w:t xml:space="preserve">. </w:t>
      </w:r>
    </w:p>
    <w:p w14:paraId="79C87FC9" w14:textId="7C31EDD3" w:rsidR="0CCA8B6D" w:rsidRDefault="33A21CA8" w:rsidP="00E71301">
      <w:r>
        <w:t xml:space="preserve">Additional, reductions in vehicle travel due to demand reductions can be applied in the </w:t>
      </w:r>
      <w:r w:rsidR="78AB6220" w:rsidRPr="4868DAB2">
        <w:rPr>
          <w:b/>
          <w:bCs/>
        </w:rPr>
        <w:t>Param</w:t>
      </w:r>
      <w:r w:rsidR="782ACB5D" w:rsidRPr="4868DAB2">
        <w:rPr>
          <w:b/>
          <w:bCs/>
        </w:rPr>
        <w:t xml:space="preserve"> </w:t>
      </w:r>
      <w:r>
        <w:t xml:space="preserve">sheet. </w:t>
      </w:r>
      <w:r w:rsidRPr="4868DAB2">
        <w:rPr>
          <w:lang w:eastAsia="en-NZ"/>
        </w:rPr>
        <w:t xml:space="preserve">The </w:t>
      </w:r>
      <w:r w:rsidR="3619C8FA" w:rsidRPr="4868DAB2">
        <w:rPr>
          <w:lang w:eastAsia="en-NZ"/>
        </w:rPr>
        <w:t xml:space="preserve">Commission’s </w:t>
      </w:r>
      <w:r w:rsidRPr="4868DAB2">
        <w:rPr>
          <w:lang w:eastAsia="en-NZ"/>
        </w:rPr>
        <w:t>scenarios considered only reductions in travel demand applied evenly across all regions.</w:t>
      </w:r>
    </w:p>
    <w:p w14:paraId="1B1BA335" w14:textId="661AF702" w:rsidR="00E36E60" w:rsidRPr="001E507E" w:rsidRDefault="5DC472BC" w:rsidP="00E71301">
      <w:pPr>
        <w:rPr>
          <w:highlight w:val="yellow"/>
          <w:lang w:eastAsia="en-NZ"/>
        </w:rPr>
      </w:pPr>
      <w:r>
        <w:t>Demand reduction can also be applied to domestic and international aviation. This is based on percentage change the annual average growth rate.</w:t>
      </w:r>
    </w:p>
    <w:p w14:paraId="5829E68E" w14:textId="12C8B900" w:rsidR="007B5F83" w:rsidRPr="00547D24" w:rsidRDefault="008D0245" w:rsidP="00E71301">
      <w:pPr>
        <w:pStyle w:val="Heading2"/>
      </w:pPr>
      <w:bookmarkStart w:id="34" w:name="_Toc184814256"/>
      <w:r w:rsidRPr="00547D24">
        <w:rPr>
          <w:rFonts w:eastAsia="Times New Roman"/>
          <w:lang w:eastAsia="en-NZ"/>
        </w:rPr>
        <w:t>Road transport</w:t>
      </w:r>
      <w:bookmarkEnd w:id="34"/>
    </w:p>
    <w:p w14:paraId="37D32734" w14:textId="3F48F81A" w:rsidR="000E5EBD" w:rsidRPr="00547D24" w:rsidRDefault="000E5EBD" w:rsidP="00E71301">
      <w:r w:rsidRPr="00547D24">
        <w:t>ENZ includes</w:t>
      </w:r>
      <w:r w:rsidR="00395DFE" w:rsidRPr="00547D24">
        <w:t xml:space="preserve"> representations of</w:t>
      </w:r>
      <w:r w:rsidRPr="00547D24">
        <w:t xml:space="preserve"> the following vehicle classes</w:t>
      </w:r>
      <w:r w:rsidR="00395DFE" w:rsidRPr="00547D24">
        <w:t>:</w:t>
      </w:r>
    </w:p>
    <w:tbl>
      <w:tblPr>
        <w:tblStyle w:val="TableGrid"/>
        <w:tblW w:w="0" w:type="auto"/>
        <w:tblLook w:val="04A0" w:firstRow="1" w:lastRow="0" w:firstColumn="1" w:lastColumn="0" w:noHBand="0" w:noVBand="1"/>
      </w:tblPr>
      <w:tblGrid>
        <w:gridCol w:w="3539"/>
        <w:gridCol w:w="1843"/>
      </w:tblGrid>
      <w:tr w:rsidR="004B6E86" w:rsidRPr="00547D24" w14:paraId="7D6D1FE9" w14:textId="77777777" w:rsidTr="00243749">
        <w:tc>
          <w:tcPr>
            <w:tcW w:w="3539" w:type="dxa"/>
          </w:tcPr>
          <w:p w14:paraId="11D3A418" w14:textId="0C65F9CB" w:rsidR="004B6E86" w:rsidRPr="00547D24" w:rsidRDefault="004B6E86" w:rsidP="00205242">
            <w:pPr>
              <w:textAlignment w:val="baseline"/>
            </w:pPr>
            <w:r w:rsidRPr="00547D24">
              <w:t xml:space="preserve">Vehicle class </w:t>
            </w:r>
          </w:p>
        </w:tc>
        <w:tc>
          <w:tcPr>
            <w:tcW w:w="1843" w:type="dxa"/>
          </w:tcPr>
          <w:p w14:paraId="7F4AEB5B" w14:textId="6DAEE220" w:rsidR="004B6E86" w:rsidRPr="00547D24" w:rsidRDefault="004B6E86" w:rsidP="00205242">
            <w:pPr>
              <w:textAlignment w:val="baseline"/>
            </w:pPr>
            <w:r w:rsidRPr="00547D24">
              <w:t>ENZ abbreviation</w:t>
            </w:r>
          </w:p>
        </w:tc>
      </w:tr>
      <w:tr w:rsidR="004B6E86" w:rsidRPr="00547D24" w14:paraId="5D8CF59A" w14:textId="77777777" w:rsidTr="00243749">
        <w:tc>
          <w:tcPr>
            <w:tcW w:w="3539" w:type="dxa"/>
          </w:tcPr>
          <w:p w14:paraId="5E6E3ABC" w14:textId="5175B36C" w:rsidR="004B6E86" w:rsidRPr="00547D24" w:rsidRDefault="004B6E86" w:rsidP="00205242">
            <w:pPr>
              <w:textAlignment w:val="baseline"/>
            </w:pPr>
            <w:r w:rsidRPr="00547D24">
              <w:t>Light passenger vehicle (</w:t>
            </w:r>
            <w:r w:rsidR="00937AC9" w:rsidRPr="00547D24">
              <w:t>car, SUV)</w:t>
            </w:r>
          </w:p>
        </w:tc>
        <w:tc>
          <w:tcPr>
            <w:tcW w:w="1843" w:type="dxa"/>
          </w:tcPr>
          <w:p w14:paraId="45D01956" w14:textId="084C298A" w:rsidR="004B6E86" w:rsidRPr="00547D24" w:rsidRDefault="00937AC9" w:rsidP="00205242">
            <w:pPr>
              <w:textAlignment w:val="baseline"/>
            </w:pPr>
            <w:r w:rsidRPr="00547D24">
              <w:t>LPV</w:t>
            </w:r>
          </w:p>
        </w:tc>
      </w:tr>
      <w:tr w:rsidR="004B6E86" w:rsidRPr="00547D24" w14:paraId="303CD623" w14:textId="77777777" w:rsidTr="00243749">
        <w:tc>
          <w:tcPr>
            <w:tcW w:w="3539" w:type="dxa"/>
          </w:tcPr>
          <w:p w14:paraId="03B70F88" w14:textId="45E48553" w:rsidR="004B6E86" w:rsidRPr="00547D24" w:rsidRDefault="00937AC9" w:rsidP="00205242">
            <w:pPr>
              <w:textAlignment w:val="baseline"/>
            </w:pPr>
            <w:r w:rsidRPr="00547D24">
              <w:t>Light commercial vehicle (</w:t>
            </w:r>
            <w:r w:rsidR="00395DFE" w:rsidRPr="00547D24">
              <w:t xml:space="preserve">van, </w:t>
            </w:r>
            <w:proofErr w:type="spellStart"/>
            <w:r w:rsidR="00395DFE" w:rsidRPr="00547D24">
              <w:t>ute</w:t>
            </w:r>
            <w:proofErr w:type="spellEnd"/>
            <w:r w:rsidR="00395DFE" w:rsidRPr="00547D24">
              <w:t>)</w:t>
            </w:r>
          </w:p>
        </w:tc>
        <w:tc>
          <w:tcPr>
            <w:tcW w:w="1843" w:type="dxa"/>
          </w:tcPr>
          <w:p w14:paraId="20DB8E2E" w14:textId="502E0A52" w:rsidR="004B6E86" w:rsidRPr="00547D24" w:rsidRDefault="00395DFE" w:rsidP="00205242">
            <w:pPr>
              <w:textAlignment w:val="baseline"/>
            </w:pPr>
            <w:r w:rsidRPr="00547D24">
              <w:t>LCV</w:t>
            </w:r>
          </w:p>
        </w:tc>
      </w:tr>
      <w:tr w:rsidR="004B6E86" w:rsidRPr="00547D24" w14:paraId="52E3FA4A" w14:textId="77777777" w:rsidTr="00243749">
        <w:tc>
          <w:tcPr>
            <w:tcW w:w="3539" w:type="dxa"/>
          </w:tcPr>
          <w:p w14:paraId="28EFC40C" w14:textId="35E7FB49" w:rsidR="004B6E86" w:rsidRPr="00547D24" w:rsidRDefault="00395DFE" w:rsidP="00205242">
            <w:pPr>
              <w:textAlignment w:val="baseline"/>
            </w:pPr>
            <w:r w:rsidRPr="00547D24">
              <w:t>Medium trucks</w:t>
            </w:r>
          </w:p>
        </w:tc>
        <w:tc>
          <w:tcPr>
            <w:tcW w:w="1843" w:type="dxa"/>
          </w:tcPr>
          <w:p w14:paraId="1140D734" w14:textId="11581A88" w:rsidR="004B6E86" w:rsidRPr="00547D24" w:rsidRDefault="00395DFE" w:rsidP="00205242">
            <w:pPr>
              <w:textAlignment w:val="baseline"/>
            </w:pPr>
            <w:r w:rsidRPr="00547D24">
              <w:t>MT</w:t>
            </w:r>
          </w:p>
        </w:tc>
      </w:tr>
      <w:tr w:rsidR="004B6E86" w:rsidRPr="00547D24" w14:paraId="54FF1153" w14:textId="77777777" w:rsidTr="00243749">
        <w:tc>
          <w:tcPr>
            <w:tcW w:w="3539" w:type="dxa"/>
          </w:tcPr>
          <w:p w14:paraId="0F05CE90" w14:textId="04DD4D17" w:rsidR="004B6E86" w:rsidRPr="00547D24" w:rsidRDefault="00395DFE" w:rsidP="00205242">
            <w:pPr>
              <w:textAlignment w:val="baseline"/>
            </w:pPr>
            <w:r w:rsidRPr="00547D24">
              <w:t>Heavy trucks</w:t>
            </w:r>
          </w:p>
        </w:tc>
        <w:tc>
          <w:tcPr>
            <w:tcW w:w="1843" w:type="dxa"/>
          </w:tcPr>
          <w:p w14:paraId="6CD23071" w14:textId="6E69BF32" w:rsidR="004B6E86" w:rsidRPr="00547D24" w:rsidRDefault="00395DFE" w:rsidP="00205242">
            <w:pPr>
              <w:textAlignment w:val="baseline"/>
            </w:pPr>
            <w:r w:rsidRPr="00547D24">
              <w:t>HT</w:t>
            </w:r>
          </w:p>
        </w:tc>
      </w:tr>
      <w:tr w:rsidR="004B6E86" w:rsidRPr="00547D24" w14:paraId="344DCECD" w14:textId="77777777" w:rsidTr="00243749">
        <w:tc>
          <w:tcPr>
            <w:tcW w:w="3539" w:type="dxa"/>
          </w:tcPr>
          <w:p w14:paraId="584882E7" w14:textId="4B494A73" w:rsidR="00395DFE" w:rsidRPr="00547D24" w:rsidRDefault="00395DFE" w:rsidP="00205242">
            <w:pPr>
              <w:textAlignment w:val="baseline"/>
            </w:pPr>
            <w:r w:rsidRPr="00547D24">
              <w:t>Bus</w:t>
            </w:r>
            <w:r w:rsidR="007C1D79" w:rsidRPr="00547D24">
              <w:t xml:space="preserve"> (</w:t>
            </w:r>
            <w:r w:rsidR="00594820" w:rsidRPr="00547D24">
              <w:t xml:space="preserve">includes </w:t>
            </w:r>
            <w:r w:rsidR="00594820" w:rsidRPr="00547D24">
              <w:rPr>
                <w:rStyle w:val="normaltextrun"/>
                <w:rFonts w:ascii="Calibri" w:hAnsi="Calibri" w:cs="Calibri"/>
                <w:color w:val="000000"/>
                <w:shd w:val="clear" w:color="auto" w:fill="FFFFFF"/>
              </w:rPr>
              <w:t>public transport buses and coaches/other)</w:t>
            </w:r>
          </w:p>
        </w:tc>
        <w:tc>
          <w:tcPr>
            <w:tcW w:w="1843" w:type="dxa"/>
          </w:tcPr>
          <w:p w14:paraId="70D2CB61" w14:textId="4DFF8EE5" w:rsidR="004B6E86" w:rsidRPr="00547D24" w:rsidRDefault="007C1D79" w:rsidP="00205242">
            <w:pPr>
              <w:textAlignment w:val="baseline"/>
            </w:pPr>
            <w:r w:rsidRPr="00547D24">
              <w:t>Bus</w:t>
            </w:r>
          </w:p>
        </w:tc>
      </w:tr>
      <w:tr w:rsidR="00395DFE" w:rsidRPr="001E507E" w14:paraId="7A257CDC" w14:textId="77777777" w:rsidTr="00243749">
        <w:tc>
          <w:tcPr>
            <w:tcW w:w="3539" w:type="dxa"/>
          </w:tcPr>
          <w:p w14:paraId="34694B3A" w14:textId="53B97A71" w:rsidR="00395DFE" w:rsidRPr="00547D24" w:rsidRDefault="00395DFE" w:rsidP="00205242">
            <w:pPr>
              <w:textAlignment w:val="baseline"/>
            </w:pPr>
            <w:r w:rsidRPr="00547D24">
              <w:t>Motorcycles</w:t>
            </w:r>
          </w:p>
        </w:tc>
        <w:tc>
          <w:tcPr>
            <w:tcW w:w="1843" w:type="dxa"/>
          </w:tcPr>
          <w:p w14:paraId="4677B9F3" w14:textId="58373442" w:rsidR="00395DFE" w:rsidRPr="00547D24" w:rsidRDefault="007C1D79" w:rsidP="00205242">
            <w:pPr>
              <w:textAlignment w:val="baseline"/>
            </w:pPr>
            <w:r w:rsidRPr="00547D24">
              <w:t>MC</w:t>
            </w:r>
          </w:p>
        </w:tc>
      </w:tr>
    </w:tbl>
    <w:p w14:paraId="7788B0B5" w14:textId="77777777" w:rsidR="009D4107" w:rsidRPr="001E507E" w:rsidRDefault="009D4107" w:rsidP="00E71301">
      <w:pPr>
        <w:rPr>
          <w:highlight w:val="yellow"/>
        </w:rPr>
      </w:pPr>
    </w:p>
    <w:p w14:paraId="36E184B4" w14:textId="0CA6E71C" w:rsidR="00A238D5" w:rsidRPr="001E507E" w:rsidRDefault="00F3723C" w:rsidP="00E71301">
      <w:pPr>
        <w:rPr>
          <w:rFonts w:ascii="Calibri" w:eastAsia="Times New Roman" w:hAnsi="Calibri" w:cs="Calibri"/>
          <w:highlight w:val="yellow"/>
          <w:lang w:eastAsia="en-NZ"/>
        </w:rPr>
      </w:pPr>
      <w:r w:rsidRPr="00547D24">
        <w:t xml:space="preserve">The travel demand projections are translated into </w:t>
      </w:r>
      <w:r w:rsidR="00772FA1" w:rsidRPr="00547D24">
        <w:t>vehicle-kilometres travelled</w:t>
      </w:r>
      <w:r w:rsidR="00CE409E" w:rsidRPr="00547D24">
        <w:t xml:space="preserve"> (VKT)</w:t>
      </w:r>
      <w:r w:rsidR="007B45AF" w:rsidRPr="00547D24">
        <w:t xml:space="preserve"> for these vehicle class</w:t>
      </w:r>
      <w:r w:rsidR="00AD5A42" w:rsidRPr="00547D24">
        <w:t>es</w:t>
      </w:r>
      <w:r w:rsidR="00F05225" w:rsidRPr="00547D24">
        <w:t xml:space="preserve"> </w:t>
      </w:r>
      <w:r w:rsidR="00227F69" w:rsidRPr="00547D24">
        <w:t>in</w:t>
      </w:r>
      <w:r w:rsidR="00342F8C" w:rsidRPr="00547D24">
        <w:t xml:space="preserve"> the </w:t>
      </w:r>
      <w:r w:rsidR="00342F8C" w:rsidRPr="00547D24">
        <w:rPr>
          <w:i/>
          <w:iCs/>
        </w:rPr>
        <w:t>Resultant scenario projections of travel</w:t>
      </w:r>
      <w:r w:rsidR="00342F8C" w:rsidRPr="00547D24">
        <w:t xml:space="preserve"> section of the</w:t>
      </w:r>
      <w:r w:rsidR="00227F69" w:rsidRPr="00547D24">
        <w:t xml:space="preserve"> </w:t>
      </w:r>
      <w:r w:rsidR="006C30DE">
        <w:rPr>
          <w:rFonts w:ascii="Calibri" w:eastAsia="Times New Roman" w:hAnsi="Calibri" w:cs="Calibri"/>
          <w:b/>
          <w:bCs/>
          <w:lang w:eastAsia="en-NZ"/>
        </w:rPr>
        <w:t>M</w:t>
      </w:r>
      <w:r w:rsidR="00227F69" w:rsidRPr="00547D24">
        <w:rPr>
          <w:rFonts w:ascii="Calibri" w:eastAsia="Times New Roman" w:hAnsi="Calibri" w:cs="Calibri"/>
          <w:b/>
          <w:bCs/>
          <w:lang w:eastAsia="en-NZ"/>
        </w:rPr>
        <w:t xml:space="preserve">ode </w:t>
      </w:r>
      <w:r w:rsidR="00227F69" w:rsidRPr="00547D24">
        <w:rPr>
          <w:rFonts w:ascii="Calibri" w:eastAsia="Times New Roman" w:hAnsi="Calibri" w:cs="Calibri"/>
          <w:lang w:eastAsia="en-NZ"/>
        </w:rPr>
        <w:t>work</w:t>
      </w:r>
      <w:r w:rsidR="00785EC8">
        <w:rPr>
          <w:rFonts w:ascii="Calibri" w:eastAsia="Times New Roman" w:hAnsi="Calibri" w:cs="Calibri"/>
          <w:lang w:eastAsia="en-NZ"/>
        </w:rPr>
        <w:t>sh</w:t>
      </w:r>
      <w:r w:rsidR="004B787A">
        <w:rPr>
          <w:rFonts w:ascii="Calibri" w:eastAsia="Times New Roman" w:hAnsi="Calibri" w:cs="Calibri"/>
          <w:lang w:eastAsia="en-NZ"/>
        </w:rPr>
        <w:t>eet</w:t>
      </w:r>
      <w:r w:rsidR="00227F69" w:rsidRPr="00547D24">
        <w:rPr>
          <w:rFonts w:ascii="Calibri" w:eastAsia="Times New Roman" w:hAnsi="Calibri" w:cs="Calibri"/>
          <w:lang w:eastAsia="en-NZ"/>
        </w:rPr>
        <w:t>.</w:t>
      </w:r>
      <w:r w:rsidR="00535BF7" w:rsidRPr="00547D24">
        <w:rPr>
          <w:rFonts w:ascii="Calibri" w:eastAsia="Times New Roman" w:hAnsi="Calibri" w:cs="Calibri"/>
          <w:lang w:eastAsia="en-NZ"/>
        </w:rPr>
        <w:t xml:space="preserve"> </w:t>
      </w:r>
      <w:r w:rsidR="00237FB1" w:rsidRPr="00547D24">
        <w:rPr>
          <w:rFonts w:ascii="Calibri" w:eastAsia="Times New Roman" w:hAnsi="Calibri" w:cs="Calibri"/>
          <w:lang w:eastAsia="en-NZ"/>
        </w:rPr>
        <w:t>This translation applies</w:t>
      </w:r>
      <w:r w:rsidR="00740A34" w:rsidRPr="00547D24">
        <w:rPr>
          <w:rFonts w:ascii="Calibri" w:eastAsia="Times New Roman" w:hAnsi="Calibri" w:cs="Calibri"/>
          <w:lang w:eastAsia="en-NZ"/>
        </w:rPr>
        <w:t xml:space="preserve"> assumptions and changes</w:t>
      </w:r>
      <w:r w:rsidR="00237FB1" w:rsidRPr="00547D24">
        <w:rPr>
          <w:rFonts w:ascii="Calibri" w:eastAsia="Times New Roman" w:hAnsi="Calibri" w:cs="Calibri"/>
          <w:lang w:eastAsia="en-NZ"/>
        </w:rPr>
        <w:t xml:space="preserve"> </w:t>
      </w:r>
      <w:r w:rsidR="00740A34" w:rsidRPr="00547D24">
        <w:rPr>
          <w:rFonts w:ascii="Calibri" w:eastAsia="Times New Roman" w:hAnsi="Calibri" w:cs="Calibri"/>
          <w:lang w:eastAsia="en-NZ"/>
        </w:rPr>
        <w:t>to</w:t>
      </w:r>
      <w:r w:rsidR="00237FB1" w:rsidRPr="00547D24">
        <w:rPr>
          <w:rFonts w:ascii="Calibri" w:eastAsia="Times New Roman" w:hAnsi="Calibri" w:cs="Calibri"/>
          <w:lang w:eastAsia="en-NZ"/>
        </w:rPr>
        <w:t xml:space="preserve"> </w:t>
      </w:r>
      <w:r w:rsidR="004D5A1C" w:rsidRPr="00547D24">
        <w:rPr>
          <w:rFonts w:ascii="Calibri" w:eastAsia="Times New Roman" w:hAnsi="Calibri" w:cs="Calibri"/>
          <w:lang w:eastAsia="en-NZ"/>
        </w:rPr>
        <w:t xml:space="preserve">the split between </w:t>
      </w:r>
      <w:r w:rsidR="003132BD" w:rsidRPr="00547D24">
        <w:rPr>
          <w:rFonts w:ascii="Calibri" w:eastAsia="Times New Roman" w:hAnsi="Calibri" w:cs="Calibri"/>
          <w:lang w:eastAsia="en-NZ"/>
        </w:rPr>
        <w:t>LPV</w:t>
      </w:r>
      <w:r w:rsidR="00815C70" w:rsidRPr="00547D24">
        <w:rPr>
          <w:rFonts w:ascii="Calibri" w:eastAsia="Times New Roman" w:hAnsi="Calibri" w:cs="Calibri"/>
          <w:lang w:eastAsia="en-NZ"/>
        </w:rPr>
        <w:t xml:space="preserve"> and </w:t>
      </w:r>
      <w:r w:rsidR="003132BD" w:rsidRPr="00547D24">
        <w:rPr>
          <w:rFonts w:ascii="Calibri" w:eastAsia="Times New Roman" w:hAnsi="Calibri" w:cs="Calibri"/>
          <w:lang w:eastAsia="en-NZ"/>
        </w:rPr>
        <w:t>LCV</w:t>
      </w:r>
      <w:r w:rsidR="00042ED9" w:rsidRPr="00547D24">
        <w:rPr>
          <w:rFonts w:ascii="Calibri" w:eastAsia="Times New Roman" w:hAnsi="Calibri" w:cs="Calibri"/>
          <w:lang w:eastAsia="en-NZ"/>
        </w:rPr>
        <w:t xml:space="preserve"> use for passen</w:t>
      </w:r>
      <w:r w:rsidR="002E0FE2" w:rsidRPr="00547D24">
        <w:rPr>
          <w:rFonts w:ascii="Calibri" w:eastAsia="Times New Roman" w:hAnsi="Calibri" w:cs="Calibri"/>
          <w:lang w:eastAsia="en-NZ"/>
        </w:rPr>
        <w:t>ger and commercial travel (</w:t>
      </w:r>
      <w:r w:rsidR="00E52138" w:rsidRPr="00547D24">
        <w:rPr>
          <w:rFonts w:ascii="Calibri" w:eastAsia="Times New Roman" w:hAnsi="Calibri" w:cs="Calibri"/>
          <w:lang w:eastAsia="en-NZ"/>
        </w:rPr>
        <w:t>this accounts for</w:t>
      </w:r>
      <w:r w:rsidR="002E0FE2" w:rsidRPr="00547D24">
        <w:rPr>
          <w:rFonts w:ascii="Calibri" w:eastAsia="Times New Roman" w:hAnsi="Calibri" w:cs="Calibri"/>
          <w:lang w:eastAsia="en-NZ"/>
        </w:rPr>
        <w:t xml:space="preserve"> the use of </w:t>
      </w:r>
      <w:proofErr w:type="spellStart"/>
      <w:r w:rsidR="002E0FE2" w:rsidRPr="00547D24">
        <w:rPr>
          <w:rFonts w:ascii="Calibri" w:eastAsia="Times New Roman" w:hAnsi="Calibri" w:cs="Calibri"/>
          <w:lang w:eastAsia="en-NZ"/>
        </w:rPr>
        <w:t>utes</w:t>
      </w:r>
      <w:proofErr w:type="spellEnd"/>
      <w:r w:rsidR="002E0FE2" w:rsidRPr="00547D24">
        <w:rPr>
          <w:rFonts w:ascii="Calibri" w:eastAsia="Times New Roman" w:hAnsi="Calibri" w:cs="Calibri"/>
          <w:lang w:eastAsia="en-NZ"/>
        </w:rPr>
        <w:t xml:space="preserve"> for household travel). The</w:t>
      </w:r>
      <w:r w:rsidR="00740A34" w:rsidRPr="00547D24">
        <w:rPr>
          <w:rFonts w:ascii="Calibri" w:eastAsia="Times New Roman" w:hAnsi="Calibri" w:cs="Calibri"/>
          <w:lang w:eastAsia="en-NZ"/>
        </w:rPr>
        <w:t xml:space="preserve"> </w:t>
      </w:r>
      <w:r w:rsidR="00E435F5" w:rsidRPr="00547D24">
        <w:rPr>
          <w:rFonts w:ascii="Calibri" w:eastAsia="Times New Roman" w:hAnsi="Calibri" w:cs="Calibri"/>
          <w:i/>
          <w:iCs/>
          <w:lang w:eastAsia="en-NZ"/>
        </w:rPr>
        <w:t>Passenger mode shift</w:t>
      </w:r>
      <w:r w:rsidR="00E435F5" w:rsidRPr="00547D24">
        <w:rPr>
          <w:rFonts w:ascii="Calibri" w:eastAsia="Times New Roman" w:hAnsi="Calibri" w:cs="Calibri"/>
          <w:lang w:eastAsia="en-NZ"/>
        </w:rPr>
        <w:t xml:space="preserve"> scenario parameter</w:t>
      </w:r>
      <w:r w:rsidR="00B023D8" w:rsidRPr="00547D24">
        <w:rPr>
          <w:rFonts w:ascii="Calibri" w:eastAsia="Times New Roman" w:hAnsi="Calibri" w:cs="Calibri"/>
          <w:lang w:eastAsia="en-NZ"/>
        </w:rPr>
        <w:t xml:space="preserve"> is used to drive these changes</w:t>
      </w:r>
      <w:r w:rsidR="00E435F5" w:rsidRPr="00547D24">
        <w:rPr>
          <w:rFonts w:ascii="Calibri" w:eastAsia="Times New Roman" w:hAnsi="Calibri" w:cs="Calibri"/>
          <w:lang w:eastAsia="en-NZ"/>
        </w:rPr>
        <w:t>.</w:t>
      </w:r>
    </w:p>
    <w:p w14:paraId="46BD4930" w14:textId="71987096" w:rsidR="000636AD" w:rsidRPr="00EC010B" w:rsidRDefault="1CEE2556" w:rsidP="00E71301">
      <w:pPr>
        <w:rPr>
          <w:rFonts w:ascii="Calibri" w:eastAsia="Times New Roman" w:hAnsi="Calibri" w:cs="Calibri"/>
          <w:lang w:eastAsia="en-NZ"/>
        </w:rPr>
      </w:pPr>
      <w:r>
        <w:t xml:space="preserve">A vehicle stock model which </w:t>
      </w:r>
      <w:r w:rsidR="09C26C2F">
        <w:t>accounts for turnover the vehicle fleet is set out in t</w:t>
      </w:r>
      <w:r w:rsidR="1BCF2EF7">
        <w:t xml:space="preserve">he </w:t>
      </w:r>
      <w:r w:rsidR="1BCF2EF7" w:rsidRPr="1ABDC9D7">
        <w:rPr>
          <w:b/>
          <w:bCs/>
        </w:rPr>
        <w:t>Road</w:t>
      </w:r>
      <w:r w:rsidR="1BCF2EF7">
        <w:t xml:space="preserve"> </w:t>
      </w:r>
      <w:r w:rsidR="00250D85" w:rsidRPr="00547D24">
        <w:rPr>
          <w:rFonts w:ascii="Calibri" w:eastAsia="Times New Roman" w:hAnsi="Calibri" w:cs="Calibri"/>
          <w:lang w:eastAsia="en-NZ"/>
        </w:rPr>
        <w:t>workbook</w:t>
      </w:r>
      <w:r w:rsidR="09C26C2F">
        <w:t xml:space="preserve">. </w:t>
      </w:r>
      <w:r w:rsidR="71D1C6CB">
        <w:t xml:space="preserve">The number of vehicles for each vehicle class is </w:t>
      </w:r>
      <w:r w:rsidR="5781B8CB">
        <w:t>calculated</w:t>
      </w:r>
      <w:r w:rsidR="46DD1F15">
        <w:t xml:space="preserve"> based on the total projected VKT </w:t>
      </w:r>
      <w:r w:rsidR="45D65997">
        <w:t xml:space="preserve">divided by the </w:t>
      </w:r>
      <w:r w:rsidR="45D65997" w:rsidRPr="1ABDC9D7">
        <w:rPr>
          <w:rFonts w:ascii="Calibri" w:eastAsia="Times New Roman" w:hAnsi="Calibri" w:cs="Calibri"/>
          <w:lang w:eastAsia="en-NZ"/>
        </w:rPr>
        <w:t xml:space="preserve">VKT/vehicle. The VKT/vehicle </w:t>
      </w:r>
      <w:r w:rsidR="62C2AB58" w:rsidRPr="1ABDC9D7">
        <w:rPr>
          <w:rFonts w:ascii="Calibri" w:eastAsia="Times New Roman" w:hAnsi="Calibri" w:cs="Calibri"/>
          <w:lang w:eastAsia="en-NZ"/>
        </w:rPr>
        <w:t xml:space="preserve">projection used in the model is based on the </w:t>
      </w:r>
      <w:proofErr w:type="spellStart"/>
      <w:r w:rsidR="62C2AB58" w:rsidRPr="1ABDC9D7">
        <w:rPr>
          <w:rFonts w:ascii="Calibri" w:eastAsia="Times New Roman" w:hAnsi="Calibri" w:cs="Calibri"/>
          <w:lang w:eastAsia="en-NZ"/>
        </w:rPr>
        <w:t>MoT</w:t>
      </w:r>
      <w:proofErr w:type="spellEnd"/>
      <w:r w:rsidR="62C2AB58" w:rsidRPr="1ABDC9D7">
        <w:rPr>
          <w:rFonts w:ascii="Calibri" w:eastAsia="Times New Roman" w:hAnsi="Calibri" w:cs="Calibri"/>
          <w:lang w:eastAsia="en-NZ"/>
        </w:rPr>
        <w:t xml:space="preserve"> base case. Note that it demonstrates an increase in the VKT/vehicl</w:t>
      </w:r>
      <w:r w:rsidR="1D73BBCE" w:rsidRPr="1ABDC9D7">
        <w:rPr>
          <w:rFonts w:ascii="Calibri" w:eastAsia="Times New Roman" w:hAnsi="Calibri" w:cs="Calibri"/>
          <w:lang w:eastAsia="en-NZ"/>
        </w:rPr>
        <w:t>e (</w:t>
      </w:r>
      <w:r w:rsidR="741075E9" w:rsidRPr="1ABDC9D7">
        <w:rPr>
          <w:rFonts w:ascii="Calibri" w:eastAsia="Times New Roman" w:hAnsi="Calibri" w:cs="Calibri"/>
          <w:lang w:eastAsia="en-NZ"/>
        </w:rPr>
        <w:t>i.e.,</w:t>
      </w:r>
      <w:r w:rsidR="1D73BBCE" w:rsidRPr="1ABDC9D7">
        <w:rPr>
          <w:rFonts w:ascii="Calibri" w:eastAsia="Times New Roman" w:hAnsi="Calibri" w:cs="Calibri"/>
          <w:lang w:eastAsia="en-NZ"/>
        </w:rPr>
        <w:t xml:space="preserve"> a greater utilisation of vehicles)</w:t>
      </w:r>
      <w:r w:rsidR="62C2AB58" w:rsidRPr="1ABDC9D7">
        <w:rPr>
          <w:rFonts w:ascii="Calibri" w:eastAsia="Times New Roman" w:hAnsi="Calibri" w:cs="Calibri"/>
          <w:lang w:eastAsia="en-NZ"/>
        </w:rPr>
        <w:t xml:space="preserve"> due to the increasing </w:t>
      </w:r>
      <w:r w:rsidR="50E9E914" w:rsidRPr="1ABDC9D7">
        <w:rPr>
          <w:rFonts w:ascii="Calibri" w:eastAsia="Times New Roman" w:hAnsi="Calibri" w:cs="Calibri"/>
          <w:lang w:eastAsia="en-NZ"/>
        </w:rPr>
        <w:t>proportion of PKT met by rideshare and other means.</w:t>
      </w:r>
      <w:r w:rsidR="0583336F">
        <w:t xml:space="preserve"> A</w:t>
      </w:r>
      <w:r w:rsidR="7AD5645A" w:rsidRPr="1ABDC9D7">
        <w:rPr>
          <w:rFonts w:ascii="Calibri" w:eastAsia="Times New Roman" w:hAnsi="Calibri" w:cs="Calibri"/>
          <w:lang w:eastAsia="en-NZ"/>
        </w:rPr>
        <w:t> </w:t>
      </w:r>
      <w:r w:rsidR="0583336F" w:rsidRPr="1ABDC9D7">
        <w:rPr>
          <w:rFonts w:ascii="Calibri" w:eastAsia="Times New Roman" w:hAnsi="Calibri" w:cs="Calibri"/>
          <w:lang w:eastAsia="en-NZ"/>
        </w:rPr>
        <w:t>s</w:t>
      </w:r>
      <w:r w:rsidR="7AD5645A" w:rsidRPr="1ABDC9D7">
        <w:rPr>
          <w:rFonts w:ascii="Calibri" w:eastAsia="Times New Roman" w:hAnsi="Calibri" w:cs="Calibri"/>
          <w:lang w:eastAsia="en-NZ"/>
        </w:rPr>
        <w:t>hort run adjustment factor</w:t>
      </w:r>
      <w:r w:rsidR="0583336F" w:rsidRPr="1ABDC9D7">
        <w:rPr>
          <w:rFonts w:ascii="Calibri" w:eastAsia="Times New Roman" w:hAnsi="Calibri" w:cs="Calibri"/>
          <w:lang w:eastAsia="en-NZ"/>
        </w:rPr>
        <w:t xml:space="preserve"> is</w:t>
      </w:r>
      <w:r w:rsidR="7AD5645A" w:rsidRPr="1ABDC9D7">
        <w:rPr>
          <w:rFonts w:ascii="Calibri" w:eastAsia="Times New Roman" w:hAnsi="Calibri" w:cs="Calibri"/>
          <w:lang w:eastAsia="en-NZ"/>
        </w:rPr>
        <w:t> added to give a lag between reductions in VKT and reductions in the size of the vehicle fleet in scenarios with significant VKT reductions. </w:t>
      </w:r>
    </w:p>
    <w:p w14:paraId="26AB2FC2" w14:textId="1D0FD00D" w:rsidR="00B76B52" w:rsidRPr="00EC010B" w:rsidRDefault="00AA6539" w:rsidP="00E71301">
      <w:pPr>
        <w:rPr>
          <w:rFonts w:ascii="Calibri" w:eastAsia="Times New Roman" w:hAnsi="Calibri" w:cs="Calibri"/>
          <w:lang w:eastAsia="en-NZ"/>
        </w:rPr>
      </w:pPr>
      <w:r w:rsidRPr="00EC010B">
        <w:rPr>
          <w:rFonts w:ascii="Calibri" w:eastAsia="Times New Roman" w:hAnsi="Calibri" w:cs="Calibri"/>
          <w:lang w:eastAsia="en-NZ"/>
        </w:rPr>
        <w:t>The</w:t>
      </w:r>
      <w:r w:rsidR="007E5BC0" w:rsidRPr="00EC010B">
        <w:rPr>
          <w:rFonts w:ascii="Calibri" w:eastAsia="Times New Roman" w:hAnsi="Calibri" w:cs="Calibri"/>
          <w:lang w:eastAsia="en-NZ"/>
        </w:rPr>
        <w:t xml:space="preserve"> annual</w:t>
      </w:r>
      <w:r w:rsidRPr="00EC010B">
        <w:rPr>
          <w:rFonts w:ascii="Calibri" w:eastAsia="Times New Roman" w:hAnsi="Calibri" w:cs="Calibri"/>
          <w:lang w:eastAsia="en-NZ"/>
        </w:rPr>
        <w:t xml:space="preserve"> rate of vehicle </w:t>
      </w:r>
      <w:proofErr w:type="gramStart"/>
      <w:r w:rsidRPr="00EC010B">
        <w:rPr>
          <w:rFonts w:ascii="Calibri" w:eastAsia="Times New Roman" w:hAnsi="Calibri" w:cs="Calibri"/>
          <w:lang w:eastAsia="en-NZ"/>
        </w:rPr>
        <w:t>scrappage</w:t>
      </w:r>
      <w:proofErr w:type="gramEnd"/>
      <w:r w:rsidR="00802149" w:rsidRPr="00EC010B">
        <w:rPr>
          <w:rFonts w:ascii="Calibri" w:eastAsia="Times New Roman" w:hAnsi="Calibri" w:cs="Calibri"/>
          <w:lang w:eastAsia="en-NZ"/>
        </w:rPr>
        <w:t>, which applies to the stock model, can be either</w:t>
      </w:r>
      <w:r w:rsidRPr="00EC010B">
        <w:rPr>
          <w:rFonts w:ascii="Calibri" w:eastAsia="Times New Roman" w:hAnsi="Calibri" w:cs="Calibri"/>
          <w:lang w:eastAsia="en-NZ"/>
        </w:rPr>
        <w:t xml:space="preserve"> </w:t>
      </w:r>
      <w:r w:rsidR="007E5BC0" w:rsidRPr="00EC010B">
        <w:rPr>
          <w:rFonts w:ascii="Calibri" w:eastAsia="Times New Roman" w:hAnsi="Calibri" w:cs="Calibri"/>
          <w:lang w:eastAsia="en-NZ"/>
        </w:rPr>
        <w:t>specified as a percentage of fleet size for each vehicle type</w:t>
      </w:r>
      <w:r w:rsidR="00A54659" w:rsidRPr="00EC010B">
        <w:rPr>
          <w:rFonts w:ascii="Calibri" w:eastAsia="Times New Roman" w:hAnsi="Calibri" w:cs="Calibri"/>
          <w:lang w:eastAsia="en-NZ"/>
        </w:rPr>
        <w:t xml:space="preserve"> or calculated dynamically </w:t>
      </w:r>
      <w:r w:rsidR="00802149" w:rsidRPr="00EC010B">
        <w:rPr>
          <w:rFonts w:ascii="Calibri" w:eastAsia="Times New Roman" w:hAnsi="Calibri" w:cs="Calibri"/>
          <w:lang w:eastAsia="en-NZ"/>
        </w:rPr>
        <w:t>based</w:t>
      </w:r>
      <w:r w:rsidR="00A54659" w:rsidRPr="00EC010B">
        <w:rPr>
          <w:rFonts w:ascii="Calibri" w:eastAsia="Times New Roman" w:hAnsi="Calibri" w:cs="Calibri"/>
          <w:lang w:eastAsia="en-NZ"/>
        </w:rPr>
        <w:t xml:space="preserve"> on </w:t>
      </w:r>
      <w:r w:rsidR="00802149" w:rsidRPr="00EC010B">
        <w:rPr>
          <w:rFonts w:ascii="Calibri" w:eastAsia="Times New Roman" w:hAnsi="Calibri" w:cs="Calibri"/>
          <w:lang w:eastAsia="en-NZ"/>
        </w:rPr>
        <w:t>VKT</w:t>
      </w:r>
      <w:r w:rsidR="007E5BC0" w:rsidRPr="00EC010B">
        <w:rPr>
          <w:rFonts w:ascii="Calibri" w:eastAsia="Times New Roman" w:hAnsi="Calibri" w:cs="Calibri"/>
          <w:lang w:eastAsia="en-NZ"/>
        </w:rPr>
        <w:t>.</w:t>
      </w:r>
      <w:r w:rsidR="007B518C" w:rsidRPr="00EC010B">
        <w:rPr>
          <w:rFonts w:ascii="Calibri" w:eastAsia="Times New Roman" w:hAnsi="Calibri" w:cs="Calibri"/>
          <w:lang w:eastAsia="en-NZ"/>
        </w:rPr>
        <w:t xml:space="preserve"> Dynamic scrappage</w:t>
      </w:r>
      <w:r w:rsidR="00460FBD" w:rsidRPr="00EC010B">
        <w:rPr>
          <w:rFonts w:ascii="Calibri" w:eastAsia="Times New Roman" w:hAnsi="Calibri" w:cs="Calibri"/>
          <w:lang w:eastAsia="en-NZ"/>
        </w:rPr>
        <w:t xml:space="preserve"> uses </w:t>
      </w:r>
      <w:r w:rsidR="001634EB" w:rsidRPr="00EC010B">
        <w:rPr>
          <w:rFonts w:ascii="Calibri" w:eastAsia="Times New Roman" w:hAnsi="Calibri" w:cs="Calibri"/>
          <w:lang w:eastAsia="en-NZ"/>
        </w:rPr>
        <w:t>historical patterns in scrappage</w:t>
      </w:r>
      <w:r w:rsidR="00CE2A4D" w:rsidRPr="00EC010B">
        <w:rPr>
          <w:rFonts w:ascii="Calibri" w:eastAsia="Times New Roman" w:hAnsi="Calibri" w:cs="Calibri"/>
          <w:lang w:eastAsia="en-NZ"/>
        </w:rPr>
        <w:t xml:space="preserve"> and adjusts it based on changes</w:t>
      </w:r>
      <w:r w:rsidR="008D52A7" w:rsidRPr="00EC010B">
        <w:rPr>
          <w:rFonts w:ascii="Calibri" w:eastAsia="Times New Roman" w:hAnsi="Calibri" w:cs="Calibri"/>
          <w:lang w:eastAsia="en-NZ"/>
        </w:rPr>
        <w:t xml:space="preserve"> in VKT</w:t>
      </w:r>
      <w:r w:rsidR="00EC010B" w:rsidRPr="00EC010B">
        <w:rPr>
          <w:rFonts w:ascii="Calibri" w:eastAsia="Times New Roman" w:hAnsi="Calibri" w:cs="Calibri"/>
          <w:lang w:eastAsia="en-NZ"/>
        </w:rPr>
        <w:t xml:space="preserve"> and a factor that determines the degree of response</w:t>
      </w:r>
      <w:r w:rsidR="00FC6594" w:rsidRPr="00EC010B">
        <w:rPr>
          <w:rFonts w:ascii="Calibri" w:eastAsia="Times New Roman" w:hAnsi="Calibri" w:cs="Calibri"/>
          <w:lang w:eastAsia="en-NZ"/>
        </w:rPr>
        <w:t>.</w:t>
      </w:r>
      <w:r w:rsidR="00F92D1C" w:rsidRPr="00EC010B">
        <w:rPr>
          <w:rFonts w:ascii="Calibri" w:eastAsia="Times New Roman" w:hAnsi="Calibri" w:cs="Calibri"/>
          <w:lang w:eastAsia="en-NZ"/>
        </w:rPr>
        <w:t xml:space="preserve"> </w:t>
      </w:r>
      <w:r w:rsidR="00AE241F">
        <w:rPr>
          <w:rFonts w:ascii="Calibri" w:eastAsia="Times New Roman" w:hAnsi="Calibri" w:cs="Calibri"/>
          <w:lang w:eastAsia="en-NZ"/>
        </w:rPr>
        <w:t xml:space="preserve">This results in higher scrappage rates where VKT growth is </w:t>
      </w:r>
      <w:r w:rsidR="00AE241F">
        <w:rPr>
          <w:rFonts w:ascii="Calibri" w:eastAsia="Times New Roman" w:hAnsi="Calibri" w:cs="Calibri"/>
          <w:lang w:eastAsia="en-NZ"/>
        </w:rPr>
        <w:lastRenderedPageBreak/>
        <w:t xml:space="preserve">low. The annual number of vehicles entering the fleet is calculated as the difference between the total number of </w:t>
      </w:r>
      <w:r w:rsidR="001A0AE4" w:rsidRPr="00EC010B">
        <w:rPr>
          <w:rFonts w:ascii="Calibri" w:eastAsia="Times New Roman" w:hAnsi="Calibri" w:cs="Calibri"/>
          <w:lang w:eastAsia="en-NZ"/>
        </w:rPr>
        <w:t>vehicles and the number scrapped.</w:t>
      </w:r>
    </w:p>
    <w:p w14:paraId="73F55478" w14:textId="2AA5EB5D" w:rsidR="00CE409E" w:rsidRPr="001E507E" w:rsidRDefault="00CE409E" w:rsidP="00205242">
      <w:pPr>
        <w:spacing w:after="0" w:line="240" w:lineRule="auto"/>
        <w:textAlignment w:val="baseline"/>
        <w:rPr>
          <w:rFonts w:ascii="Calibri" w:eastAsia="Times New Roman" w:hAnsi="Calibri" w:cs="Calibri"/>
          <w:highlight w:val="yellow"/>
          <w:lang w:eastAsia="en-NZ"/>
        </w:rPr>
      </w:pPr>
    </w:p>
    <w:p w14:paraId="686F695B" w14:textId="77777777" w:rsidR="00D32B01" w:rsidRPr="002111A9" w:rsidRDefault="006F3948" w:rsidP="00E71301">
      <w:r w:rsidRPr="002111A9">
        <w:t>New vehicles entering the fleet can be either</w:t>
      </w:r>
      <w:r w:rsidR="00D32B01" w:rsidRPr="002111A9">
        <w:t>:</w:t>
      </w:r>
    </w:p>
    <w:p w14:paraId="1BAD64D6" w14:textId="76251E8D" w:rsidR="00D32B01" w:rsidRPr="002111A9" w:rsidRDefault="000D2375" w:rsidP="00D32B01">
      <w:pPr>
        <w:pStyle w:val="ListParagraph"/>
        <w:numPr>
          <w:ilvl w:val="0"/>
          <w:numId w:val="7"/>
        </w:numPr>
        <w:spacing w:after="0" w:line="240" w:lineRule="auto"/>
        <w:textAlignment w:val="baseline"/>
      </w:pPr>
      <w:r w:rsidRPr="002111A9">
        <w:t>petrol internal combustion engine</w:t>
      </w:r>
      <w:r w:rsidR="006F3948" w:rsidRPr="002111A9">
        <w:t xml:space="preserve"> </w:t>
      </w:r>
      <w:r w:rsidR="00D32B01" w:rsidRPr="002111A9">
        <w:t>(</w:t>
      </w:r>
      <w:r w:rsidR="00D32B01" w:rsidRPr="002111A9">
        <w:rPr>
          <w:i/>
          <w:iCs/>
        </w:rPr>
        <w:t>petrol)</w:t>
      </w:r>
    </w:p>
    <w:p w14:paraId="1E51C512" w14:textId="4F535C8C" w:rsidR="00D32B01" w:rsidRPr="002111A9" w:rsidRDefault="00D32B01" w:rsidP="00D32B01">
      <w:pPr>
        <w:pStyle w:val="ListParagraph"/>
        <w:numPr>
          <w:ilvl w:val="0"/>
          <w:numId w:val="7"/>
        </w:numPr>
        <w:spacing w:after="0" w:line="240" w:lineRule="auto"/>
        <w:textAlignment w:val="baseline"/>
      </w:pPr>
      <w:r w:rsidRPr="002111A9">
        <w:t>diesel internal combustion engine (</w:t>
      </w:r>
      <w:r w:rsidRPr="002111A9">
        <w:rPr>
          <w:i/>
          <w:iCs/>
        </w:rPr>
        <w:t>diesel)</w:t>
      </w:r>
    </w:p>
    <w:p w14:paraId="78399155" w14:textId="0961BEFF" w:rsidR="00CE409E" w:rsidRPr="002111A9" w:rsidRDefault="00184FC9" w:rsidP="00D32B01">
      <w:pPr>
        <w:pStyle w:val="ListParagraph"/>
        <w:numPr>
          <w:ilvl w:val="0"/>
          <w:numId w:val="7"/>
        </w:numPr>
        <w:spacing w:after="0" w:line="240" w:lineRule="auto"/>
        <w:textAlignment w:val="baseline"/>
      </w:pPr>
      <w:r w:rsidRPr="002111A9">
        <w:t xml:space="preserve">battery electric </w:t>
      </w:r>
      <w:r w:rsidR="000D2375" w:rsidRPr="002111A9">
        <w:t>(</w:t>
      </w:r>
      <w:r w:rsidR="000D2375" w:rsidRPr="002111A9">
        <w:rPr>
          <w:i/>
          <w:iCs/>
        </w:rPr>
        <w:t>BEV</w:t>
      </w:r>
      <w:r w:rsidR="000D2375" w:rsidRPr="002111A9">
        <w:t>)</w:t>
      </w:r>
    </w:p>
    <w:p w14:paraId="6DA0047C" w14:textId="1CF73906" w:rsidR="0081436D" w:rsidRPr="002111A9" w:rsidRDefault="00D32B01" w:rsidP="0081436D">
      <w:pPr>
        <w:pStyle w:val="ListParagraph"/>
        <w:numPr>
          <w:ilvl w:val="0"/>
          <w:numId w:val="7"/>
        </w:numPr>
        <w:spacing w:after="0" w:line="240" w:lineRule="auto"/>
        <w:textAlignment w:val="baseline"/>
      </w:pPr>
      <w:r w:rsidRPr="002111A9">
        <w:t>plug-in hybrid electric vehicle (</w:t>
      </w:r>
      <w:r w:rsidRPr="002111A9">
        <w:rPr>
          <w:i/>
          <w:iCs/>
        </w:rPr>
        <w:t>PHEV</w:t>
      </w:r>
      <w:r w:rsidRPr="002111A9">
        <w:t>)</w:t>
      </w:r>
    </w:p>
    <w:p w14:paraId="416CED21" w14:textId="6388FC0A" w:rsidR="0081436D" w:rsidRPr="002111A9" w:rsidRDefault="009D4107" w:rsidP="0081436D">
      <w:pPr>
        <w:pStyle w:val="ListParagraph"/>
        <w:numPr>
          <w:ilvl w:val="0"/>
          <w:numId w:val="7"/>
        </w:numPr>
        <w:spacing w:after="0" w:line="240" w:lineRule="auto"/>
        <w:textAlignment w:val="baseline"/>
      </w:pPr>
      <w:r>
        <w:t>f</w:t>
      </w:r>
      <w:r w:rsidR="00547D24" w:rsidRPr="002111A9">
        <w:t>uel cell electric vehicle</w:t>
      </w:r>
      <w:r w:rsidR="006F6B7A">
        <w:t xml:space="preserve"> </w:t>
      </w:r>
      <w:r w:rsidR="00547D24" w:rsidRPr="002111A9">
        <w:t>(FCEV)</w:t>
      </w:r>
      <w:r>
        <w:t>.</w:t>
      </w:r>
    </w:p>
    <w:p w14:paraId="0B31845D" w14:textId="77777777" w:rsidR="0022174D" w:rsidRPr="001E507E" w:rsidRDefault="0022174D" w:rsidP="0022174D">
      <w:pPr>
        <w:spacing w:after="0" w:line="240" w:lineRule="auto"/>
        <w:textAlignment w:val="baseline"/>
        <w:rPr>
          <w:highlight w:val="yellow"/>
        </w:rPr>
      </w:pPr>
    </w:p>
    <w:p w14:paraId="32CF9FB8" w14:textId="11FEDF44" w:rsidR="00AC34B6" w:rsidRPr="002107B4" w:rsidRDefault="00601F4C" w:rsidP="00E71301">
      <w:r w:rsidRPr="002107B4">
        <w:t xml:space="preserve">The selection of vehicles entering the fleet </w:t>
      </w:r>
      <w:r w:rsidR="00642294" w:rsidRPr="002107B4">
        <w:t>in ENZ can be</w:t>
      </w:r>
      <w:r w:rsidRPr="002107B4">
        <w:t xml:space="preserve"> based on the</w:t>
      </w:r>
      <w:r w:rsidR="005420F5" w:rsidRPr="002107B4">
        <w:t>ir relative total cost o</w:t>
      </w:r>
      <w:r w:rsidR="00FF503D" w:rsidRPr="002107B4">
        <w:t>f</w:t>
      </w:r>
      <w:r w:rsidR="005420F5" w:rsidRPr="002107B4">
        <w:t xml:space="preserve"> ownership (TCO). </w:t>
      </w:r>
      <w:r w:rsidR="00007577" w:rsidRPr="002107B4">
        <w:t>For each vehicle class the TCO is projected for all vehicle types</w:t>
      </w:r>
      <w:r w:rsidR="00F646F8" w:rsidRPr="002107B4">
        <w:t xml:space="preserve"> in the </w:t>
      </w:r>
      <w:r w:rsidR="00F646F8" w:rsidRPr="002107B4">
        <w:rPr>
          <w:i/>
          <w:iCs/>
        </w:rPr>
        <w:t xml:space="preserve">Project costs and performance of vehicles entering the fleet each year </w:t>
      </w:r>
      <w:r w:rsidR="00F646F8" w:rsidRPr="002107B4">
        <w:t>section</w:t>
      </w:r>
      <w:r w:rsidR="001D5FD6" w:rsidRPr="002107B4">
        <w:t>. This builds up</w:t>
      </w:r>
      <w:r w:rsidR="00274FF7" w:rsidRPr="002107B4">
        <w:t xml:space="preserve"> capital,</w:t>
      </w:r>
      <w:r w:rsidR="00AF6A6B" w:rsidRPr="002107B4">
        <w:t xml:space="preserve"> fuel and carbon costs, </w:t>
      </w:r>
      <w:r w:rsidR="00946BFE" w:rsidRPr="002107B4">
        <w:t>r</w:t>
      </w:r>
      <w:r w:rsidR="00AF6A6B" w:rsidRPr="002107B4">
        <w:t>oad user charges</w:t>
      </w:r>
      <w:r w:rsidR="00946BFE" w:rsidRPr="002107B4">
        <w:t xml:space="preserve">, </w:t>
      </w:r>
      <w:r w:rsidR="0022174D" w:rsidRPr="002107B4">
        <w:t>maintenance</w:t>
      </w:r>
      <w:r w:rsidR="006F6B7A">
        <w:t>,</w:t>
      </w:r>
      <w:r w:rsidR="0022174D" w:rsidRPr="002107B4">
        <w:t xml:space="preserve"> and other costs. </w:t>
      </w:r>
    </w:p>
    <w:p w14:paraId="2E27E5AB" w14:textId="68B7A949" w:rsidR="00F646F8" w:rsidRPr="002107B4" w:rsidRDefault="23CFCE1E" w:rsidP="1ABDC9D7">
      <w:r>
        <w:t>Average internal combu</w:t>
      </w:r>
      <w:r w:rsidR="08C0AD0B">
        <w:t>stion engine</w:t>
      </w:r>
      <w:r w:rsidR="5DE86D58">
        <w:t xml:space="preserve"> (ICE)</w:t>
      </w:r>
      <w:r w:rsidR="08C0AD0B">
        <w:t xml:space="preserve"> </w:t>
      </w:r>
      <w:r w:rsidR="5DE86D58">
        <w:t xml:space="preserve">vehicle </w:t>
      </w:r>
      <w:r w:rsidR="08C0AD0B">
        <w:t xml:space="preserve">purchase costs </w:t>
      </w:r>
      <w:r w:rsidR="5DE86D58">
        <w:t xml:space="preserve">have been derived by combining </w:t>
      </w:r>
      <w:proofErr w:type="spellStart"/>
      <w:r w:rsidR="5DE86D58">
        <w:t>StatsNZ</w:t>
      </w:r>
      <w:proofErr w:type="spellEnd"/>
      <w:r w:rsidR="5DE86D58">
        <w:t xml:space="preserve"> import value data and </w:t>
      </w:r>
      <w:proofErr w:type="spellStart"/>
      <w:r w:rsidR="5DE86D58">
        <w:t>MoT</w:t>
      </w:r>
      <w:proofErr w:type="spellEnd"/>
      <w:r w:rsidR="5DE86D58">
        <w:t xml:space="preserve"> f</w:t>
      </w:r>
      <w:r w:rsidR="7AFBCE79">
        <w:t xml:space="preserve">leet statistics. This is set out in the </w:t>
      </w:r>
      <w:r w:rsidR="5D04EE69" w:rsidRPr="1ABDC9D7">
        <w:rPr>
          <w:b/>
          <w:bCs/>
        </w:rPr>
        <w:t>Param</w:t>
      </w:r>
      <w:r w:rsidR="10AB588D" w:rsidRPr="00DE4057">
        <w:rPr>
          <w:b/>
          <w:bCs/>
        </w:rPr>
        <w:t xml:space="preserve"> </w:t>
      </w:r>
      <w:proofErr w:type="gramStart"/>
      <w:r w:rsidR="00250D85" w:rsidRPr="00547D24">
        <w:rPr>
          <w:rFonts w:ascii="Calibri" w:eastAsia="Times New Roman" w:hAnsi="Calibri" w:cs="Calibri"/>
          <w:lang w:eastAsia="en-NZ"/>
        </w:rPr>
        <w:t>workbook</w:t>
      </w:r>
      <w:r w:rsidR="00250D85" w:rsidDel="00250D85">
        <w:t xml:space="preserve"> </w:t>
      </w:r>
      <w:r w:rsidR="7AFBCE79" w:rsidRPr="1ABDC9D7">
        <w:rPr>
          <w:b/>
          <w:bCs/>
        </w:rPr>
        <w:t xml:space="preserve"> </w:t>
      </w:r>
      <w:r w:rsidR="7AFBCE79">
        <w:t>.</w:t>
      </w:r>
      <w:proofErr w:type="gramEnd"/>
      <w:r w:rsidR="7AFBCE79">
        <w:t xml:space="preserve"> </w:t>
      </w:r>
    </w:p>
    <w:p w14:paraId="03846F9F" w14:textId="653429BB" w:rsidR="006B15EF" w:rsidRPr="002107B4" w:rsidRDefault="7AFBCE79" w:rsidP="1ABDC9D7">
      <w:r>
        <w:t>Electric vehicle costs</w:t>
      </w:r>
      <w:r w:rsidR="3A04439E">
        <w:t xml:space="preserve"> are built up from battery and other costs. </w:t>
      </w:r>
      <w:r w:rsidR="2799FECE">
        <w:t>Future b</w:t>
      </w:r>
      <w:r w:rsidR="3A04439E">
        <w:t>attery costs are</w:t>
      </w:r>
      <w:r w:rsidR="2799FECE">
        <w:t xml:space="preserve"> projected in the </w:t>
      </w:r>
      <w:r w:rsidR="2799FECE" w:rsidRPr="1ABDC9D7">
        <w:rPr>
          <w:i/>
          <w:iCs/>
        </w:rPr>
        <w:t>EV battery cost and range</w:t>
      </w:r>
      <w:r w:rsidR="3A04439E" w:rsidRPr="1ABDC9D7">
        <w:rPr>
          <w:i/>
          <w:iCs/>
        </w:rPr>
        <w:t xml:space="preserve"> </w:t>
      </w:r>
      <w:r w:rsidR="2799FECE">
        <w:t>section of the</w:t>
      </w:r>
      <w:r w:rsidR="2B0CD3F2">
        <w:t xml:space="preserve"> </w:t>
      </w:r>
      <w:r w:rsidR="63262871" w:rsidRPr="1ABDC9D7">
        <w:rPr>
          <w:b/>
          <w:bCs/>
        </w:rPr>
        <w:t>Param</w:t>
      </w:r>
      <w:r w:rsidR="2B0CD3F2">
        <w:t xml:space="preserve"> </w:t>
      </w:r>
      <w:proofErr w:type="gramStart"/>
      <w:r w:rsidR="00250D85" w:rsidRPr="00547D24">
        <w:rPr>
          <w:rFonts w:ascii="Calibri" w:eastAsia="Times New Roman" w:hAnsi="Calibri" w:cs="Calibri"/>
          <w:lang w:eastAsia="en-NZ"/>
        </w:rPr>
        <w:t>workbook</w:t>
      </w:r>
      <w:proofErr w:type="gramEnd"/>
      <w:r w:rsidR="00250D85" w:rsidDel="00250D85">
        <w:t xml:space="preserve"> </w:t>
      </w:r>
    </w:p>
    <w:p w14:paraId="08456F44" w14:textId="77777777" w:rsidR="00F646F8" w:rsidRPr="001E507E" w:rsidRDefault="00F646F8" w:rsidP="00205242">
      <w:pPr>
        <w:spacing w:after="0" w:line="240" w:lineRule="auto"/>
        <w:textAlignment w:val="baseline"/>
        <w:rPr>
          <w:highlight w:val="yellow"/>
        </w:rPr>
      </w:pPr>
    </w:p>
    <w:p w14:paraId="76028560" w14:textId="77777777" w:rsidR="007F0636" w:rsidRPr="00E72C42" w:rsidRDefault="003F0FE2" w:rsidP="007F0636">
      <w:pPr>
        <w:pStyle w:val="Heading2"/>
      </w:pPr>
      <w:bookmarkStart w:id="35" w:name="_Toc184814257"/>
      <w:r w:rsidRPr="00E72C42">
        <w:t>Electric vehicles</w:t>
      </w:r>
      <w:bookmarkEnd w:id="35"/>
    </w:p>
    <w:p w14:paraId="08A1E0A7" w14:textId="6FB67E59" w:rsidR="00695E37" w:rsidRPr="00E72C42" w:rsidRDefault="003F0FE2" w:rsidP="003F0FE2">
      <w:r w:rsidRPr="00E72C42">
        <w:t>One of the most significant aspects of the transport modelling in ENZ is the uptake of EVs. EVs may be either pure battery EVs or plug-in hybrids</w:t>
      </w:r>
      <w:r w:rsidR="00DF0D47" w:rsidRPr="00E72C42">
        <w:t>,</w:t>
      </w:r>
      <w:r w:rsidR="007A1275" w:rsidRPr="00E72C42">
        <w:t xml:space="preserve"> or FCEV</w:t>
      </w:r>
      <w:r w:rsidRPr="00E72C42">
        <w:t xml:space="preserve">. </w:t>
      </w:r>
    </w:p>
    <w:p w14:paraId="23416E1C" w14:textId="36E3DC06" w:rsidR="00153E23" w:rsidRDefault="003F0FE2" w:rsidP="003F0FE2">
      <w:r>
        <w:t>ENZ assumes that consumers choose between conventional vehicles and EVs based on the total cost of ownership of each type of vehicle over an assumed five-year ownership period. The major driver of EV uptake is the assumed decline in battery costs. These are based on projections by Bloomberg New Energy Finance Limited’s Electric Vehicle Outlook 202</w:t>
      </w:r>
      <w:r w:rsidR="6431030F">
        <w:t>3</w:t>
      </w:r>
      <w:r w:rsidRPr="039D010A">
        <w:rPr>
          <w:rStyle w:val="EndnoteReference"/>
        </w:rPr>
        <w:endnoteReference w:id="2"/>
      </w:r>
      <w:r>
        <w:t>. These figures suggest, for example, that the cost of batteries for a typical light passenger vehicle will decline from about NZD</w:t>
      </w:r>
      <w:r w:rsidR="00184A11">
        <w:t>$</w:t>
      </w:r>
      <w:r w:rsidR="003D6870">
        <w:t>13,000</w:t>
      </w:r>
      <w:r>
        <w:t xml:space="preserve"> in 20</w:t>
      </w:r>
      <w:r w:rsidR="00985CF1">
        <w:t>22</w:t>
      </w:r>
      <w:r>
        <w:t xml:space="preserve"> to NZD</w:t>
      </w:r>
      <w:r w:rsidR="00184A11">
        <w:t>$</w:t>
      </w:r>
      <w:r w:rsidR="00985CF1">
        <w:t>58</w:t>
      </w:r>
      <w:r w:rsidR="00D41613">
        <w:t>50</w:t>
      </w:r>
      <w:r>
        <w:t xml:space="preserve"> in 2030</w:t>
      </w:r>
      <w:r w:rsidR="00E72C42">
        <w:t>.</w:t>
      </w:r>
    </w:p>
    <w:p w14:paraId="02E242D4" w14:textId="23448DB2" w:rsidR="0051680E" w:rsidRPr="00E72C42" w:rsidRDefault="7537B42B" w:rsidP="003F0FE2">
      <w:r>
        <w:t>E</w:t>
      </w:r>
      <w:r w:rsidR="004F742A">
        <w:t>ffects</w:t>
      </w:r>
      <w:r>
        <w:t xml:space="preserve"> </w:t>
      </w:r>
      <w:r w:rsidR="004F742A">
        <w:t>of the Clean car discount and Standard</w:t>
      </w:r>
      <w:r w:rsidR="0CFE52D2">
        <w:t xml:space="preserve"> on E</w:t>
      </w:r>
      <w:r w:rsidR="4ABA1BE7">
        <w:t>V</w:t>
      </w:r>
      <w:r w:rsidR="0CFE52D2">
        <w:t xml:space="preserve"> uptake are </w:t>
      </w:r>
      <w:proofErr w:type="gramStart"/>
      <w:r w:rsidR="0CFE52D2">
        <w:t>include</w:t>
      </w:r>
      <w:proofErr w:type="gramEnd"/>
      <w:r w:rsidR="0CFE52D2">
        <w:t xml:space="preserve"> in the model</w:t>
      </w:r>
      <w:r w:rsidR="53B84F80">
        <w:t xml:space="preserve">. Both, policies are assumed to affect the capital cost difference between EVs and ICE vehicles. The amount of difference created by the clean car standard is dependent on the emissions of vehicles entering in the previous </w:t>
      </w:r>
      <w:proofErr w:type="gramStart"/>
      <w:r w:rsidR="53B84F80">
        <w:t>year</w:t>
      </w:r>
      <w:proofErr w:type="gramEnd"/>
    </w:p>
    <w:p w14:paraId="31D0522D" w14:textId="3C0AD531" w:rsidR="007015FC" w:rsidRPr="00107630" w:rsidRDefault="003F0FE2" w:rsidP="00DA2AFD">
      <w:r w:rsidRPr="00E72C42">
        <w:t xml:space="preserve">There are also non-price barriers to EV </w:t>
      </w:r>
      <w:r w:rsidRPr="00107630">
        <w:t xml:space="preserve">uptake, such as consumer range anxiety and lack of vehicle charging infrastructure. These barriers are discussed in more detail in Chapter 6: Reducing emissions from transport, </w:t>
      </w:r>
      <w:proofErr w:type="gramStart"/>
      <w:r w:rsidRPr="00107630">
        <w:t>buildings</w:t>
      </w:r>
      <w:proofErr w:type="gramEnd"/>
      <w:r w:rsidRPr="00107630">
        <w:t xml:space="preserve"> and urban form</w:t>
      </w:r>
      <w:r w:rsidR="00E72C42" w:rsidRPr="00107630">
        <w:t xml:space="preserve"> of </w:t>
      </w:r>
      <w:proofErr w:type="spellStart"/>
      <w:r w:rsidR="00E72C42" w:rsidRPr="00E71301">
        <w:rPr>
          <w:i/>
          <w:iCs/>
        </w:rPr>
        <w:t>Inaia</w:t>
      </w:r>
      <w:proofErr w:type="spellEnd"/>
      <w:r w:rsidR="00E72C42" w:rsidRPr="00E71301">
        <w:rPr>
          <w:i/>
          <w:iCs/>
        </w:rPr>
        <w:t xml:space="preserve"> </w:t>
      </w:r>
      <w:proofErr w:type="spellStart"/>
      <w:r w:rsidR="00E72C42" w:rsidRPr="00E71301">
        <w:rPr>
          <w:i/>
          <w:iCs/>
        </w:rPr>
        <w:t>tonu</w:t>
      </w:r>
      <w:proofErr w:type="spellEnd"/>
      <w:r w:rsidR="00E72C42" w:rsidRPr="00E71301">
        <w:rPr>
          <w:i/>
          <w:iCs/>
        </w:rPr>
        <w:t xml:space="preserve"> </w:t>
      </w:r>
      <w:proofErr w:type="spellStart"/>
      <w:r w:rsidR="00184A11">
        <w:rPr>
          <w:i/>
          <w:iCs/>
        </w:rPr>
        <w:t>n</w:t>
      </w:r>
      <w:r w:rsidR="00E72C42" w:rsidRPr="00E71301">
        <w:rPr>
          <w:i/>
          <w:iCs/>
        </w:rPr>
        <w:t>ei</w:t>
      </w:r>
      <w:proofErr w:type="spellEnd"/>
      <w:r w:rsidR="00184A11">
        <w:rPr>
          <w:i/>
          <w:iCs/>
        </w:rPr>
        <w:t>.</w:t>
      </w:r>
    </w:p>
    <w:p w14:paraId="51373FDF" w14:textId="77777777" w:rsidR="007015FC" w:rsidRPr="00107630" w:rsidRDefault="003F0FE2" w:rsidP="00DA2AFD">
      <w:r w:rsidRPr="00107630">
        <w:t xml:space="preserve">In addition, there is a bias against EVs built into the consumer choice function. This causes conventional vehicles to take a larger share of the market than EVs, even when the total operating costs of EVs (including penalties) and conventional vehicles are the same. This bias reduces as EVs gain in market share. There are also limits in the model on the speed at which the EV shares of newly registered vehicles can increase. </w:t>
      </w:r>
    </w:p>
    <w:p w14:paraId="3C4616F2" w14:textId="10E58BF7" w:rsidR="003F0FE2" w:rsidRPr="00107630" w:rsidRDefault="003F0FE2" w:rsidP="00DA2AFD">
      <w:r w:rsidRPr="00107630">
        <w:t>Assumptions are also made for the number of vehicle kilometres travelled by each class of vehicle in the reference case to reflect assumed travel type shifts for both travellers and freight.</w:t>
      </w:r>
    </w:p>
    <w:p w14:paraId="002C91A5" w14:textId="4DFADC10" w:rsidR="6C66DF45" w:rsidRPr="00107630" w:rsidRDefault="002277AD" w:rsidP="00027E81">
      <w:pPr>
        <w:pStyle w:val="Heading3"/>
      </w:pPr>
      <w:bookmarkStart w:id="36" w:name="_Toc184814258"/>
      <w:r w:rsidRPr="00107630">
        <w:lastRenderedPageBreak/>
        <w:t>Aviation</w:t>
      </w:r>
      <w:bookmarkEnd w:id="36"/>
    </w:p>
    <w:p w14:paraId="5085BB14" w14:textId="73AD3B5C" w:rsidR="00DF7B24" w:rsidRPr="00655286" w:rsidRDefault="67D2DF11" w:rsidP="1ABDC9D7">
      <w:r>
        <w:t>T</w:t>
      </w:r>
      <w:r w:rsidR="317F1956">
        <w:t xml:space="preserve">he aviation module projects </w:t>
      </w:r>
      <w:r>
        <w:t>emissions, fuel</w:t>
      </w:r>
      <w:r w:rsidR="317F1956">
        <w:t xml:space="preserve"> consumption</w:t>
      </w:r>
      <w:r>
        <w:t>, system costs</w:t>
      </w:r>
      <w:r w:rsidR="1197E2CC">
        <w:t xml:space="preserve"> for both domestic and international aircraft.</w:t>
      </w:r>
      <w:r w:rsidR="42C580C9">
        <w:t xml:space="preserve"> It applies a basic stock model</w:t>
      </w:r>
      <w:r w:rsidR="61FF3668">
        <w:t xml:space="preserve"> to both domestic and international </w:t>
      </w:r>
      <w:r w:rsidR="3C4E25D6">
        <w:t xml:space="preserve">aircraft. </w:t>
      </w:r>
      <w:r w:rsidR="7B97F2EA">
        <w:t xml:space="preserve">Calculations are made in the AIR tab. </w:t>
      </w:r>
    </w:p>
    <w:p w14:paraId="5B5D4C18" w14:textId="2C8104B7" w:rsidR="1ABDC9D7" w:rsidRDefault="7869517A" w:rsidP="1ABDC9D7">
      <w:r>
        <w:t xml:space="preserve">The </w:t>
      </w:r>
      <w:r w:rsidR="5565D794">
        <w:t>categories</w:t>
      </w:r>
      <w:r>
        <w:t xml:space="preserve"> of aircraft are</w:t>
      </w:r>
      <w:r w:rsidR="45B15B40">
        <w:t>:</w:t>
      </w:r>
    </w:p>
    <w:tbl>
      <w:tblPr>
        <w:tblStyle w:val="TableGrid"/>
        <w:tblW w:w="6433" w:type="dxa"/>
        <w:tblLook w:val="04A0" w:firstRow="1" w:lastRow="0" w:firstColumn="1" w:lastColumn="0" w:noHBand="0" w:noVBand="1"/>
      </w:tblPr>
      <w:tblGrid>
        <w:gridCol w:w="1390"/>
        <w:gridCol w:w="1240"/>
        <w:gridCol w:w="2355"/>
        <w:gridCol w:w="1448"/>
      </w:tblGrid>
      <w:tr w:rsidR="00B60286" w:rsidRPr="00655286" w14:paraId="0DE3C2B9" w14:textId="3D7CF783" w:rsidTr="1ABDC9D7">
        <w:trPr>
          <w:trHeight w:val="288"/>
        </w:trPr>
        <w:tc>
          <w:tcPr>
            <w:tcW w:w="1390" w:type="dxa"/>
            <w:noWrap/>
            <w:hideMark/>
          </w:tcPr>
          <w:p w14:paraId="331E96F5" w14:textId="77777777" w:rsidR="00B60286" w:rsidRPr="00DE4057" w:rsidRDefault="487824C4" w:rsidP="1ABDC9D7">
            <w:pPr>
              <w:rPr>
                <w:b/>
                <w:bCs/>
              </w:rPr>
            </w:pPr>
            <w:r w:rsidRPr="00DE4057">
              <w:rPr>
                <w:b/>
                <w:bCs/>
              </w:rPr>
              <w:t>Network</w:t>
            </w:r>
          </w:p>
        </w:tc>
        <w:tc>
          <w:tcPr>
            <w:tcW w:w="1240" w:type="dxa"/>
            <w:noWrap/>
            <w:hideMark/>
          </w:tcPr>
          <w:p w14:paraId="37920E2B" w14:textId="77777777" w:rsidR="00B60286" w:rsidRPr="00DE4057" w:rsidRDefault="487824C4" w:rsidP="1ABDC9D7">
            <w:pPr>
              <w:rPr>
                <w:b/>
                <w:bCs/>
              </w:rPr>
            </w:pPr>
            <w:r w:rsidRPr="00DE4057">
              <w:rPr>
                <w:b/>
                <w:bCs/>
              </w:rPr>
              <w:t>Sub-network</w:t>
            </w:r>
          </w:p>
        </w:tc>
        <w:tc>
          <w:tcPr>
            <w:tcW w:w="2355" w:type="dxa"/>
            <w:noWrap/>
            <w:hideMark/>
          </w:tcPr>
          <w:p w14:paraId="3725F374" w14:textId="77777777" w:rsidR="00B60286" w:rsidRPr="00DE4057" w:rsidRDefault="487824C4" w:rsidP="1ABDC9D7">
            <w:pPr>
              <w:rPr>
                <w:b/>
                <w:bCs/>
              </w:rPr>
            </w:pPr>
            <w:r w:rsidRPr="00DE4057">
              <w:rPr>
                <w:b/>
                <w:bCs/>
              </w:rPr>
              <w:t>Commercial availability</w:t>
            </w:r>
          </w:p>
        </w:tc>
        <w:tc>
          <w:tcPr>
            <w:tcW w:w="1448" w:type="dxa"/>
            <w:noWrap/>
            <w:hideMark/>
          </w:tcPr>
          <w:p w14:paraId="45F973FE" w14:textId="77777777" w:rsidR="00B60286" w:rsidRPr="00DE4057" w:rsidRDefault="487824C4" w:rsidP="1ABDC9D7">
            <w:pPr>
              <w:rPr>
                <w:b/>
                <w:bCs/>
              </w:rPr>
            </w:pPr>
            <w:r w:rsidRPr="00DE4057">
              <w:rPr>
                <w:b/>
                <w:bCs/>
              </w:rPr>
              <w:t>Fuel</w:t>
            </w:r>
          </w:p>
        </w:tc>
      </w:tr>
      <w:tr w:rsidR="00B60286" w:rsidRPr="00655286" w14:paraId="23144861" w14:textId="32EAD1FB" w:rsidTr="1ABDC9D7">
        <w:trPr>
          <w:trHeight w:val="288"/>
        </w:trPr>
        <w:tc>
          <w:tcPr>
            <w:tcW w:w="1390" w:type="dxa"/>
            <w:noWrap/>
            <w:hideMark/>
          </w:tcPr>
          <w:p w14:paraId="75B1F8D0" w14:textId="77777777" w:rsidR="00B60286" w:rsidRPr="00DE4057" w:rsidRDefault="487824C4" w:rsidP="1ABDC9D7">
            <w:r w:rsidRPr="00DE4057">
              <w:t>Domestic</w:t>
            </w:r>
          </w:p>
        </w:tc>
        <w:tc>
          <w:tcPr>
            <w:tcW w:w="1240" w:type="dxa"/>
            <w:noWrap/>
            <w:hideMark/>
          </w:tcPr>
          <w:p w14:paraId="47A339F3" w14:textId="77777777" w:rsidR="00B60286" w:rsidRPr="00DE4057" w:rsidRDefault="487824C4" w:rsidP="1ABDC9D7">
            <w:r w:rsidRPr="00DE4057">
              <w:t>Regional</w:t>
            </w:r>
          </w:p>
        </w:tc>
        <w:tc>
          <w:tcPr>
            <w:tcW w:w="2355" w:type="dxa"/>
            <w:noWrap/>
            <w:hideMark/>
          </w:tcPr>
          <w:p w14:paraId="13404617" w14:textId="77777777" w:rsidR="00B60286" w:rsidRPr="00DE4057" w:rsidRDefault="487824C4" w:rsidP="1ABDC9D7">
            <w:r w:rsidRPr="00DE4057">
              <w:t>Today</w:t>
            </w:r>
          </w:p>
        </w:tc>
        <w:tc>
          <w:tcPr>
            <w:tcW w:w="1448" w:type="dxa"/>
            <w:noWrap/>
            <w:hideMark/>
          </w:tcPr>
          <w:p w14:paraId="23CDA3DE" w14:textId="77777777" w:rsidR="00B60286" w:rsidRPr="00DE4057" w:rsidRDefault="487824C4" w:rsidP="1ABDC9D7">
            <w:proofErr w:type="spellStart"/>
            <w:r w:rsidRPr="00DE4057">
              <w:t>JetFuel</w:t>
            </w:r>
            <w:proofErr w:type="spellEnd"/>
          </w:p>
        </w:tc>
      </w:tr>
      <w:tr w:rsidR="00B60286" w:rsidRPr="00655286" w14:paraId="0106966D" w14:textId="132C4C38" w:rsidTr="1ABDC9D7">
        <w:trPr>
          <w:trHeight w:val="288"/>
        </w:trPr>
        <w:tc>
          <w:tcPr>
            <w:tcW w:w="1390" w:type="dxa"/>
            <w:noWrap/>
            <w:hideMark/>
          </w:tcPr>
          <w:p w14:paraId="5C2964B6" w14:textId="77777777" w:rsidR="00B60286" w:rsidRPr="00DE4057" w:rsidRDefault="487824C4" w:rsidP="1ABDC9D7">
            <w:r w:rsidRPr="00DE4057">
              <w:t>Domestic</w:t>
            </w:r>
          </w:p>
        </w:tc>
        <w:tc>
          <w:tcPr>
            <w:tcW w:w="1240" w:type="dxa"/>
            <w:noWrap/>
            <w:hideMark/>
          </w:tcPr>
          <w:p w14:paraId="3B099227" w14:textId="77777777" w:rsidR="00B60286" w:rsidRPr="00DE4057" w:rsidRDefault="487824C4" w:rsidP="1ABDC9D7">
            <w:r w:rsidRPr="00DE4057">
              <w:t>Regional</w:t>
            </w:r>
          </w:p>
        </w:tc>
        <w:tc>
          <w:tcPr>
            <w:tcW w:w="2355" w:type="dxa"/>
            <w:noWrap/>
            <w:hideMark/>
          </w:tcPr>
          <w:p w14:paraId="10802B2D" w14:textId="77777777" w:rsidR="00B60286" w:rsidRPr="00DE4057" w:rsidRDefault="487824C4" w:rsidP="1ABDC9D7">
            <w:r w:rsidRPr="00DE4057">
              <w:t>2030</w:t>
            </w:r>
          </w:p>
        </w:tc>
        <w:tc>
          <w:tcPr>
            <w:tcW w:w="1448" w:type="dxa"/>
            <w:noWrap/>
            <w:hideMark/>
          </w:tcPr>
          <w:p w14:paraId="2005291A" w14:textId="77777777" w:rsidR="00B60286" w:rsidRPr="00DE4057" w:rsidRDefault="487824C4" w:rsidP="1ABDC9D7">
            <w:r w:rsidRPr="00DE4057">
              <w:t>H2</w:t>
            </w:r>
          </w:p>
        </w:tc>
      </w:tr>
      <w:tr w:rsidR="00B60286" w:rsidRPr="00655286" w14:paraId="3ACAC607" w14:textId="7646A96D" w:rsidTr="1ABDC9D7">
        <w:trPr>
          <w:trHeight w:val="288"/>
        </w:trPr>
        <w:tc>
          <w:tcPr>
            <w:tcW w:w="1390" w:type="dxa"/>
            <w:noWrap/>
            <w:hideMark/>
          </w:tcPr>
          <w:p w14:paraId="74C58E1D" w14:textId="77777777" w:rsidR="00B60286" w:rsidRPr="00DE4057" w:rsidRDefault="487824C4" w:rsidP="1ABDC9D7">
            <w:r w:rsidRPr="00DE4057">
              <w:t>Domestic</w:t>
            </w:r>
          </w:p>
        </w:tc>
        <w:tc>
          <w:tcPr>
            <w:tcW w:w="1240" w:type="dxa"/>
            <w:noWrap/>
            <w:hideMark/>
          </w:tcPr>
          <w:p w14:paraId="59E9E96B" w14:textId="77777777" w:rsidR="00B60286" w:rsidRPr="00DE4057" w:rsidRDefault="487824C4" w:rsidP="1ABDC9D7">
            <w:r w:rsidRPr="00DE4057">
              <w:t>Regional</w:t>
            </w:r>
          </w:p>
        </w:tc>
        <w:tc>
          <w:tcPr>
            <w:tcW w:w="2355" w:type="dxa"/>
            <w:noWrap/>
            <w:hideMark/>
          </w:tcPr>
          <w:p w14:paraId="5FF8D61D" w14:textId="77777777" w:rsidR="00B60286" w:rsidRPr="00DE4057" w:rsidRDefault="487824C4" w:rsidP="1ABDC9D7">
            <w:r w:rsidRPr="00DE4057">
              <w:t>2030</w:t>
            </w:r>
          </w:p>
        </w:tc>
        <w:tc>
          <w:tcPr>
            <w:tcW w:w="1448" w:type="dxa"/>
            <w:noWrap/>
            <w:hideMark/>
          </w:tcPr>
          <w:p w14:paraId="683B020E" w14:textId="77777777" w:rsidR="00B60286" w:rsidRPr="00DE4057" w:rsidRDefault="487824C4" w:rsidP="1ABDC9D7">
            <w:r w:rsidRPr="00DE4057">
              <w:t>Battery</w:t>
            </w:r>
          </w:p>
        </w:tc>
      </w:tr>
      <w:tr w:rsidR="00B06582" w:rsidRPr="00655286" w14:paraId="5966EF22" w14:textId="50483614" w:rsidTr="1ABDC9D7">
        <w:trPr>
          <w:trHeight w:val="288"/>
        </w:trPr>
        <w:tc>
          <w:tcPr>
            <w:tcW w:w="1390" w:type="dxa"/>
            <w:noWrap/>
            <w:hideMark/>
          </w:tcPr>
          <w:p w14:paraId="101BC673" w14:textId="77777777" w:rsidR="00B06582" w:rsidRPr="00DE4057" w:rsidRDefault="7C30B571" w:rsidP="1ABDC9D7">
            <w:r w:rsidRPr="00DE4057">
              <w:t>Domestic</w:t>
            </w:r>
          </w:p>
        </w:tc>
        <w:tc>
          <w:tcPr>
            <w:tcW w:w="1240" w:type="dxa"/>
            <w:noWrap/>
            <w:hideMark/>
          </w:tcPr>
          <w:p w14:paraId="1498DD55" w14:textId="77777777" w:rsidR="00B06582" w:rsidRPr="00DE4057" w:rsidRDefault="7C30B571" w:rsidP="1ABDC9D7">
            <w:r w:rsidRPr="00DE4057">
              <w:t>Jet</w:t>
            </w:r>
          </w:p>
        </w:tc>
        <w:tc>
          <w:tcPr>
            <w:tcW w:w="2355" w:type="dxa"/>
            <w:noWrap/>
            <w:hideMark/>
          </w:tcPr>
          <w:p w14:paraId="23F8ABCD" w14:textId="77777777" w:rsidR="00B06582" w:rsidRPr="00DE4057" w:rsidRDefault="7C30B571" w:rsidP="1ABDC9D7">
            <w:r w:rsidRPr="00DE4057">
              <w:t>Today</w:t>
            </w:r>
          </w:p>
        </w:tc>
        <w:tc>
          <w:tcPr>
            <w:tcW w:w="1448" w:type="dxa"/>
            <w:noWrap/>
            <w:hideMark/>
          </w:tcPr>
          <w:p w14:paraId="15E3A613" w14:textId="77777777" w:rsidR="00B06582" w:rsidRPr="00DE4057" w:rsidRDefault="7C30B571" w:rsidP="1ABDC9D7">
            <w:proofErr w:type="spellStart"/>
            <w:r w:rsidRPr="00DE4057">
              <w:t>JetFuel</w:t>
            </w:r>
            <w:proofErr w:type="spellEnd"/>
          </w:p>
        </w:tc>
      </w:tr>
      <w:tr w:rsidR="00B06582" w:rsidRPr="00655286" w14:paraId="66261680" w14:textId="2B702D24" w:rsidTr="1ABDC9D7">
        <w:trPr>
          <w:trHeight w:val="288"/>
        </w:trPr>
        <w:tc>
          <w:tcPr>
            <w:tcW w:w="1390" w:type="dxa"/>
            <w:noWrap/>
            <w:hideMark/>
          </w:tcPr>
          <w:p w14:paraId="5CF0C916" w14:textId="77777777" w:rsidR="00B06582" w:rsidRPr="00DE4057" w:rsidRDefault="7C30B571" w:rsidP="1ABDC9D7">
            <w:r w:rsidRPr="00DE4057">
              <w:t>Domestic</w:t>
            </w:r>
          </w:p>
        </w:tc>
        <w:tc>
          <w:tcPr>
            <w:tcW w:w="1240" w:type="dxa"/>
            <w:noWrap/>
            <w:hideMark/>
          </w:tcPr>
          <w:p w14:paraId="1C5F33C0" w14:textId="77777777" w:rsidR="00B06582" w:rsidRPr="00DE4057" w:rsidRDefault="7C30B571" w:rsidP="1ABDC9D7">
            <w:r w:rsidRPr="00DE4057">
              <w:t>Jet</w:t>
            </w:r>
          </w:p>
        </w:tc>
        <w:tc>
          <w:tcPr>
            <w:tcW w:w="2355" w:type="dxa"/>
            <w:noWrap/>
            <w:hideMark/>
          </w:tcPr>
          <w:p w14:paraId="3FD2A81A" w14:textId="77777777" w:rsidR="00B06582" w:rsidRPr="00DE4057" w:rsidRDefault="7C30B571" w:rsidP="1ABDC9D7">
            <w:r w:rsidRPr="00DE4057">
              <w:t>2035</w:t>
            </w:r>
          </w:p>
        </w:tc>
        <w:tc>
          <w:tcPr>
            <w:tcW w:w="1448" w:type="dxa"/>
            <w:noWrap/>
            <w:hideMark/>
          </w:tcPr>
          <w:p w14:paraId="0F87C1E5" w14:textId="77777777" w:rsidR="00B06582" w:rsidRPr="00DE4057" w:rsidRDefault="7C30B571" w:rsidP="1ABDC9D7">
            <w:r w:rsidRPr="00DE4057">
              <w:t>H2</w:t>
            </w:r>
          </w:p>
        </w:tc>
      </w:tr>
      <w:tr w:rsidR="00B06582" w:rsidRPr="00655286" w14:paraId="2DF3B4B2" w14:textId="78BD48A9" w:rsidTr="1ABDC9D7">
        <w:trPr>
          <w:trHeight w:val="288"/>
        </w:trPr>
        <w:tc>
          <w:tcPr>
            <w:tcW w:w="1390" w:type="dxa"/>
            <w:noWrap/>
            <w:hideMark/>
          </w:tcPr>
          <w:p w14:paraId="5E3A2210" w14:textId="77777777" w:rsidR="00B06582" w:rsidRPr="00DE4057" w:rsidRDefault="7C30B571" w:rsidP="1ABDC9D7">
            <w:r w:rsidRPr="00DE4057">
              <w:t>International</w:t>
            </w:r>
          </w:p>
        </w:tc>
        <w:tc>
          <w:tcPr>
            <w:tcW w:w="1240" w:type="dxa"/>
            <w:noWrap/>
            <w:hideMark/>
          </w:tcPr>
          <w:p w14:paraId="7739996C" w14:textId="77777777" w:rsidR="00B06582" w:rsidRPr="00DE4057" w:rsidRDefault="7C30B571" w:rsidP="1ABDC9D7">
            <w:proofErr w:type="gramStart"/>
            <w:r w:rsidRPr="00DE4057">
              <w:t>Short-haul</w:t>
            </w:r>
            <w:proofErr w:type="gramEnd"/>
          </w:p>
        </w:tc>
        <w:tc>
          <w:tcPr>
            <w:tcW w:w="2355" w:type="dxa"/>
            <w:noWrap/>
            <w:hideMark/>
          </w:tcPr>
          <w:p w14:paraId="14443E67" w14:textId="77777777" w:rsidR="00B06582" w:rsidRPr="00DE4057" w:rsidRDefault="7C30B571" w:rsidP="1ABDC9D7">
            <w:r w:rsidRPr="00DE4057">
              <w:t>Today</w:t>
            </w:r>
          </w:p>
        </w:tc>
        <w:tc>
          <w:tcPr>
            <w:tcW w:w="1448" w:type="dxa"/>
            <w:noWrap/>
            <w:hideMark/>
          </w:tcPr>
          <w:p w14:paraId="191AA334" w14:textId="77777777" w:rsidR="00B06582" w:rsidRPr="00DE4057" w:rsidRDefault="7C30B571" w:rsidP="1ABDC9D7">
            <w:proofErr w:type="spellStart"/>
            <w:r w:rsidRPr="00DE4057">
              <w:t>JetFuel</w:t>
            </w:r>
            <w:proofErr w:type="spellEnd"/>
          </w:p>
        </w:tc>
      </w:tr>
      <w:tr w:rsidR="00B06582" w:rsidRPr="00655286" w14:paraId="7A175D08" w14:textId="12F23D22" w:rsidTr="1ABDC9D7">
        <w:trPr>
          <w:trHeight w:val="288"/>
        </w:trPr>
        <w:tc>
          <w:tcPr>
            <w:tcW w:w="1390" w:type="dxa"/>
            <w:noWrap/>
            <w:hideMark/>
          </w:tcPr>
          <w:p w14:paraId="7967C9FB" w14:textId="77777777" w:rsidR="00B06582" w:rsidRPr="00DE4057" w:rsidRDefault="7C30B571" w:rsidP="1ABDC9D7">
            <w:r w:rsidRPr="00DE4057">
              <w:t>International</w:t>
            </w:r>
          </w:p>
        </w:tc>
        <w:tc>
          <w:tcPr>
            <w:tcW w:w="1240" w:type="dxa"/>
            <w:noWrap/>
            <w:hideMark/>
          </w:tcPr>
          <w:p w14:paraId="1DBCA0AA" w14:textId="77777777" w:rsidR="00B06582" w:rsidRPr="00DE4057" w:rsidRDefault="7C30B571" w:rsidP="1ABDC9D7">
            <w:proofErr w:type="gramStart"/>
            <w:r w:rsidRPr="00DE4057">
              <w:t>Short-haul</w:t>
            </w:r>
            <w:proofErr w:type="gramEnd"/>
          </w:p>
        </w:tc>
        <w:tc>
          <w:tcPr>
            <w:tcW w:w="2355" w:type="dxa"/>
            <w:noWrap/>
            <w:hideMark/>
          </w:tcPr>
          <w:p w14:paraId="215CA01F" w14:textId="77777777" w:rsidR="00B06582" w:rsidRPr="00DE4057" w:rsidRDefault="7C30B571" w:rsidP="1ABDC9D7">
            <w:r w:rsidRPr="00DE4057">
              <w:t>2035</w:t>
            </w:r>
          </w:p>
        </w:tc>
        <w:tc>
          <w:tcPr>
            <w:tcW w:w="1448" w:type="dxa"/>
            <w:noWrap/>
            <w:hideMark/>
          </w:tcPr>
          <w:p w14:paraId="79778ADE" w14:textId="77777777" w:rsidR="00B06582" w:rsidRPr="00DE4057" w:rsidRDefault="7C30B571" w:rsidP="1ABDC9D7">
            <w:r w:rsidRPr="00DE4057">
              <w:t>H2</w:t>
            </w:r>
          </w:p>
        </w:tc>
      </w:tr>
      <w:tr w:rsidR="00B06582" w:rsidRPr="00655286" w14:paraId="513E06F2" w14:textId="0D410FCD" w:rsidTr="1ABDC9D7">
        <w:trPr>
          <w:trHeight w:val="288"/>
        </w:trPr>
        <w:tc>
          <w:tcPr>
            <w:tcW w:w="1390" w:type="dxa"/>
            <w:noWrap/>
            <w:hideMark/>
          </w:tcPr>
          <w:p w14:paraId="6D58FBCE" w14:textId="77777777" w:rsidR="00B06582" w:rsidRPr="00DE4057" w:rsidRDefault="7C30B571" w:rsidP="1ABDC9D7">
            <w:r w:rsidRPr="00DE4057">
              <w:t>International</w:t>
            </w:r>
          </w:p>
        </w:tc>
        <w:tc>
          <w:tcPr>
            <w:tcW w:w="1240" w:type="dxa"/>
            <w:noWrap/>
            <w:hideMark/>
          </w:tcPr>
          <w:p w14:paraId="09C11071" w14:textId="77777777" w:rsidR="00B06582" w:rsidRPr="00DE4057" w:rsidRDefault="7C30B571" w:rsidP="1ABDC9D7">
            <w:r w:rsidRPr="00DE4057">
              <w:t>Long-haul</w:t>
            </w:r>
          </w:p>
        </w:tc>
        <w:tc>
          <w:tcPr>
            <w:tcW w:w="2355" w:type="dxa"/>
            <w:noWrap/>
            <w:hideMark/>
          </w:tcPr>
          <w:p w14:paraId="7A0C1118" w14:textId="77777777" w:rsidR="00B06582" w:rsidRPr="00DE4057" w:rsidRDefault="7C30B571" w:rsidP="1ABDC9D7">
            <w:r w:rsidRPr="00DE4057">
              <w:t>Today</w:t>
            </w:r>
          </w:p>
        </w:tc>
        <w:tc>
          <w:tcPr>
            <w:tcW w:w="1448" w:type="dxa"/>
            <w:noWrap/>
            <w:hideMark/>
          </w:tcPr>
          <w:p w14:paraId="3BF8C22D" w14:textId="77777777" w:rsidR="00B06582" w:rsidRPr="00DE4057" w:rsidRDefault="7C30B571" w:rsidP="1ABDC9D7">
            <w:proofErr w:type="spellStart"/>
            <w:r w:rsidRPr="00DE4057">
              <w:t>JetFuel</w:t>
            </w:r>
            <w:proofErr w:type="spellEnd"/>
          </w:p>
        </w:tc>
      </w:tr>
      <w:tr w:rsidR="00B06582" w:rsidRPr="00655286" w14:paraId="1E7137C4" w14:textId="7B05D603" w:rsidTr="1ABDC9D7">
        <w:trPr>
          <w:trHeight w:val="288"/>
        </w:trPr>
        <w:tc>
          <w:tcPr>
            <w:tcW w:w="1390" w:type="dxa"/>
            <w:noWrap/>
            <w:hideMark/>
          </w:tcPr>
          <w:p w14:paraId="539D6082" w14:textId="77777777" w:rsidR="00B06582" w:rsidRPr="00DE4057" w:rsidRDefault="7C30B571" w:rsidP="1ABDC9D7">
            <w:r w:rsidRPr="00DE4057">
              <w:t>International</w:t>
            </w:r>
          </w:p>
        </w:tc>
        <w:tc>
          <w:tcPr>
            <w:tcW w:w="1240" w:type="dxa"/>
            <w:noWrap/>
            <w:hideMark/>
          </w:tcPr>
          <w:p w14:paraId="578C38F6" w14:textId="77777777" w:rsidR="00B06582" w:rsidRPr="00DE4057" w:rsidRDefault="7C30B571" w:rsidP="1ABDC9D7">
            <w:r w:rsidRPr="00DE4057">
              <w:t>Long-haul</w:t>
            </w:r>
          </w:p>
        </w:tc>
        <w:tc>
          <w:tcPr>
            <w:tcW w:w="2355" w:type="dxa"/>
            <w:noWrap/>
            <w:hideMark/>
          </w:tcPr>
          <w:p w14:paraId="69144689" w14:textId="77777777" w:rsidR="00B06582" w:rsidRPr="00DE4057" w:rsidRDefault="7C30B571" w:rsidP="1ABDC9D7">
            <w:r w:rsidRPr="00DE4057">
              <w:t>2040</w:t>
            </w:r>
          </w:p>
        </w:tc>
        <w:tc>
          <w:tcPr>
            <w:tcW w:w="1448" w:type="dxa"/>
            <w:noWrap/>
            <w:hideMark/>
          </w:tcPr>
          <w:p w14:paraId="49E2D77A" w14:textId="4F1AE651" w:rsidR="00B06582" w:rsidRPr="00DE4057" w:rsidRDefault="7C30B571" w:rsidP="1ABDC9D7">
            <w:r w:rsidRPr="00DE4057">
              <w:t>H2</w:t>
            </w:r>
          </w:p>
        </w:tc>
      </w:tr>
    </w:tbl>
    <w:p w14:paraId="56693F60" w14:textId="77777777" w:rsidR="00250D85" w:rsidRDefault="00250D85" w:rsidP="1ABDC9D7"/>
    <w:p w14:paraId="65ECB334" w14:textId="1B73A61C" w:rsidR="00E530AE" w:rsidRPr="00655286" w:rsidRDefault="1ABDC9D7" w:rsidP="1ABDC9D7">
      <w:pPr>
        <w:rPr>
          <w:b/>
          <w:bCs/>
        </w:rPr>
      </w:pPr>
      <w:r>
        <w:t>Representative aircraft models are used to establish operating parameters, start date for commercial availability</w:t>
      </w:r>
      <w:r w:rsidR="00250D85">
        <w:t xml:space="preserve"> </w:t>
      </w:r>
      <w:r>
        <w:t>and cost</w:t>
      </w:r>
      <w:r w:rsidR="00FC34A8">
        <w:t>. These are specified in the</w:t>
      </w:r>
      <w:r>
        <w:t xml:space="preserve"> </w:t>
      </w:r>
      <w:r w:rsidRPr="1ABDC9D7">
        <w:rPr>
          <w:b/>
          <w:bCs/>
        </w:rPr>
        <w:t xml:space="preserve">Param </w:t>
      </w:r>
      <w:proofErr w:type="gramStart"/>
      <w:r w:rsidR="00250D85" w:rsidRPr="00DE4057">
        <w:t>work</w:t>
      </w:r>
      <w:r w:rsidRPr="00250D85">
        <w:t>s</w:t>
      </w:r>
      <w:r>
        <w:t>heet</w:t>
      </w:r>
      <w:proofErr w:type="gramEnd"/>
    </w:p>
    <w:p w14:paraId="555C3CA0" w14:textId="192AE41F" w:rsidR="00027E81" w:rsidRPr="00107630" w:rsidRDefault="00027E81" w:rsidP="00E530AE">
      <w:r w:rsidRPr="00107630">
        <w:t xml:space="preserve">ENZ assumes that </w:t>
      </w:r>
      <w:r w:rsidR="00107630">
        <w:t xml:space="preserve">the performance and cost of new aircraft will reduce over time. </w:t>
      </w:r>
      <w:r w:rsidR="00107630" w:rsidRPr="00107630">
        <w:t xml:space="preserve">For battery electric aircraft, the rate of cost improvement is linked to </w:t>
      </w:r>
      <w:r w:rsidRPr="00107630">
        <w:t>vehicle battery pack cost declines.</w:t>
      </w:r>
    </w:p>
    <w:p w14:paraId="2481ED34" w14:textId="7478DAAD" w:rsidR="003A69CD" w:rsidRPr="00107630" w:rsidRDefault="00785FF7" w:rsidP="40825287">
      <w:pPr>
        <w:rPr>
          <w:rFonts w:eastAsiaTheme="minorEastAsia"/>
        </w:rPr>
      </w:pPr>
      <w:r>
        <w:t>S</w:t>
      </w:r>
      <w:r w:rsidRPr="40825287">
        <w:rPr>
          <w:rFonts w:eastAsiaTheme="minorEastAsia"/>
        </w:rPr>
        <w:t>cenario assumptions about new aircraft efficiency are split between new aircraft entering the fleet</w:t>
      </w:r>
      <w:r w:rsidR="5A18D633" w:rsidRPr="40825287">
        <w:rPr>
          <w:rFonts w:eastAsiaTheme="minorEastAsia"/>
        </w:rPr>
        <w:t xml:space="preserve">, </w:t>
      </w:r>
      <w:r w:rsidR="00107630" w:rsidRPr="40825287">
        <w:rPr>
          <w:rFonts w:eastAsiaTheme="minorEastAsia"/>
        </w:rPr>
        <w:t>improvements to existing aircraft</w:t>
      </w:r>
      <w:r w:rsidR="2EEC8762" w:rsidRPr="40825287">
        <w:rPr>
          <w:rFonts w:eastAsiaTheme="minorEastAsia"/>
        </w:rPr>
        <w:t xml:space="preserve"> and </w:t>
      </w:r>
      <w:r w:rsidR="6AB6C146" w:rsidRPr="40825287">
        <w:rPr>
          <w:rFonts w:eastAsiaTheme="minorEastAsia"/>
        </w:rPr>
        <w:t>operational efficiency</w:t>
      </w:r>
      <w:r w:rsidR="00604FA2" w:rsidRPr="40825287">
        <w:rPr>
          <w:rFonts w:eastAsiaTheme="minorEastAsia"/>
        </w:rPr>
        <w:t xml:space="preserve">. These are combined within the model to give an overall fleet efficiency improvement by aircraft type. </w:t>
      </w:r>
    </w:p>
    <w:p w14:paraId="51442941" w14:textId="281DAFE1" w:rsidR="002F0781" w:rsidRPr="00107630" w:rsidRDefault="4F7DE751" w:rsidP="1ABDC9D7">
      <w:r>
        <w:t>Uptake of new aircraft is by assumption</w:t>
      </w:r>
      <w:r w:rsidR="10D0D334">
        <w:t xml:space="preserve"> in the </w:t>
      </w:r>
      <w:r w:rsidR="10D0D334" w:rsidRPr="40825287">
        <w:rPr>
          <w:b/>
          <w:bCs/>
        </w:rPr>
        <w:t xml:space="preserve">Param </w:t>
      </w:r>
      <w:r w:rsidR="00FC34A8">
        <w:t>work</w:t>
      </w:r>
      <w:r w:rsidR="10D0D334">
        <w:t>sheet</w:t>
      </w:r>
      <w:r>
        <w:t xml:space="preserve">. The user specifies the share of travel that a particular in five-year increments with intervening years determined by linear interpolation. </w:t>
      </w:r>
    </w:p>
    <w:p w14:paraId="0B117195" w14:textId="5934A72F" w:rsidR="002277AD" w:rsidRPr="00107630" w:rsidRDefault="002277AD" w:rsidP="00414D44">
      <w:pPr>
        <w:pStyle w:val="Heading3"/>
      </w:pPr>
      <w:bookmarkStart w:id="37" w:name="_Toc184814259"/>
      <w:r w:rsidRPr="00107630">
        <w:t>Shipping and rail</w:t>
      </w:r>
      <w:bookmarkEnd w:id="37"/>
    </w:p>
    <w:p w14:paraId="19E443BC" w14:textId="355B16B0" w:rsidR="001F7D68" w:rsidRPr="00655286" w:rsidRDefault="001F7D68" w:rsidP="00DA2AFD">
      <w:r>
        <w:t xml:space="preserve">Shipping and rail module projects emissions fuel consumption and fuel costs. </w:t>
      </w:r>
      <w:r w:rsidR="009F2CE5">
        <w:t>ENZ allows for the reputation of different alternative fuels these can be specified as a share of</w:t>
      </w:r>
      <w:r w:rsidR="008D6FCB">
        <w:t xml:space="preserve"> existing energy demand met by a particular alternative fuel. </w:t>
      </w:r>
      <w:r w:rsidR="04E26AF2">
        <w:t>Calculations are made in the SEA tab.</w:t>
      </w:r>
    </w:p>
    <w:p w14:paraId="0E48BD93" w14:textId="28E15B4F" w:rsidR="000409EB" w:rsidRPr="00655286" w:rsidRDefault="00671573" w:rsidP="000409EB">
      <w:pPr>
        <w:pStyle w:val="Heading2"/>
      </w:pPr>
      <w:bookmarkStart w:id="38" w:name="_Toc184814260"/>
      <w:r>
        <w:t>Low carbon liquid fuels</w:t>
      </w:r>
      <w:bookmarkEnd w:id="38"/>
      <w:r>
        <w:t xml:space="preserve"> </w:t>
      </w:r>
    </w:p>
    <w:p w14:paraId="4FB8BCB6" w14:textId="562A7F7C" w:rsidR="008D171D" w:rsidRPr="000409EB" w:rsidRDefault="1EAA8AE2" w:rsidP="00C1786E">
      <w:r>
        <w:t>The model includes the option to displace liquid fossil fuel with</w:t>
      </w:r>
      <w:r w:rsidR="339F8F83">
        <w:t xml:space="preserve"> low carbon liquid fuel</w:t>
      </w:r>
      <w:r w:rsidR="406529E0">
        <w:t xml:space="preserve"> (LCLF)</w:t>
      </w:r>
      <w:r w:rsidR="339F8F83">
        <w:t xml:space="preserve"> </w:t>
      </w:r>
      <w:r w:rsidR="62C95EB3">
        <w:t xml:space="preserve">– this is </w:t>
      </w:r>
      <w:r w:rsidR="78418850">
        <w:t xml:space="preserve">enabled </w:t>
      </w:r>
      <w:r w:rsidR="3BBFDBAD">
        <w:t>b</w:t>
      </w:r>
      <w:r w:rsidR="607C7125" w:rsidRPr="4868DAB2">
        <w:rPr>
          <w:i/>
          <w:iCs/>
        </w:rPr>
        <w:t xml:space="preserve">y specifying blending ratios </w:t>
      </w:r>
      <w:r w:rsidR="339F8F83" w:rsidRPr="4868DAB2">
        <w:rPr>
          <w:i/>
          <w:iCs/>
        </w:rPr>
        <w:t xml:space="preserve">and </w:t>
      </w:r>
      <w:r w:rsidR="778F4C4C" w:rsidRPr="4868DAB2">
        <w:rPr>
          <w:i/>
          <w:iCs/>
        </w:rPr>
        <w:t xml:space="preserve">fuel prices in the </w:t>
      </w:r>
      <w:r w:rsidR="607C7125" w:rsidRPr="4868DAB2">
        <w:rPr>
          <w:i/>
          <w:iCs/>
        </w:rPr>
        <w:t>A</w:t>
      </w:r>
      <w:r w:rsidR="775ACB6B" w:rsidRPr="4868DAB2">
        <w:rPr>
          <w:i/>
          <w:iCs/>
        </w:rPr>
        <w:t>SS</w:t>
      </w:r>
      <w:r w:rsidR="607C7125" w:rsidRPr="4868DAB2">
        <w:rPr>
          <w:i/>
          <w:iCs/>
        </w:rPr>
        <w:t xml:space="preserve"> shee</w:t>
      </w:r>
      <w:r w:rsidR="778F4C4C" w:rsidRPr="4868DAB2">
        <w:rPr>
          <w:i/>
          <w:iCs/>
        </w:rPr>
        <w:t>t. B</w:t>
      </w:r>
      <w:r w:rsidR="607C7125" w:rsidRPr="4868DAB2">
        <w:rPr>
          <w:i/>
          <w:iCs/>
        </w:rPr>
        <w:t xml:space="preserve">lending ratios can be specified for road, rail, </w:t>
      </w:r>
      <w:r w:rsidR="778F4C4C" w:rsidRPr="4868DAB2">
        <w:rPr>
          <w:i/>
          <w:iCs/>
        </w:rPr>
        <w:t>aviation,</w:t>
      </w:r>
      <w:r w:rsidR="607C7125" w:rsidRPr="4868DAB2">
        <w:rPr>
          <w:i/>
          <w:iCs/>
        </w:rPr>
        <w:t xml:space="preserve"> and shipping.</w:t>
      </w:r>
      <w:r w:rsidR="607C7125">
        <w:t xml:space="preserve"> </w:t>
      </w:r>
      <w:r w:rsidR="3A3894BD">
        <w:t>The effect of LCLF blending on fuel cost</w:t>
      </w:r>
      <w:r w:rsidR="775ACB6B">
        <w:t xml:space="preserve"> </w:t>
      </w:r>
      <w:r w:rsidR="3A3894BD">
        <w:t>is factored</w:t>
      </w:r>
      <w:r w:rsidR="76F4CF13">
        <w:t xml:space="preserve"> into </w:t>
      </w:r>
      <w:r w:rsidR="3A3894BD">
        <w:t xml:space="preserve">TCO calculations for road transport. </w:t>
      </w:r>
      <w:r w:rsidR="016E8510">
        <w:t xml:space="preserve"> </w:t>
      </w:r>
      <w:r w:rsidR="76F4CF13">
        <w:t xml:space="preserve">Amount of low carbon liquid fuel used is shown in the outputs tab and the results file. </w:t>
      </w:r>
    </w:p>
    <w:p w14:paraId="3C958893" w14:textId="0008D2CD" w:rsidR="004348DA" w:rsidRPr="00E24F42" w:rsidRDefault="32358868" w:rsidP="039D010A">
      <w:pPr>
        <w:pStyle w:val="Heading1"/>
        <w:rPr>
          <w:highlight w:val="yellow"/>
        </w:rPr>
      </w:pPr>
      <w:bookmarkStart w:id="39" w:name="_Toc184814261"/>
      <w:r>
        <w:t xml:space="preserve">The </w:t>
      </w:r>
      <w:r w:rsidR="5CA2BE53">
        <w:t>Land</w:t>
      </w:r>
      <w:r w:rsidR="359421FB">
        <w:t xml:space="preserve"> and Waste</w:t>
      </w:r>
      <w:r w:rsidR="5CA2BE53">
        <w:t xml:space="preserve"> </w:t>
      </w:r>
      <w:r>
        <w:t>workbook</w:t>
      </w:r>
      <w:r w:rsidR="6302F262">
        <w:t xml:space="preserve"> </w:t>
      </w:r>
      <w:r w:rsidR="6302F262" w:rsidRPr="005D2ABA">
        <w:t>(Ln</w:t>
      </w:r>
      <w:r w:rsidR="19B3AD57" w:rsidRPr="005D2ABA">
        <w:t>W</w:t>
      </w:r>
      <w:r w:rsidR="6302F262" w:rsidRPr="005D2ABA">
        <w:t>.xlsx)</w:t>
      </w:r>
      <w:bookmarkEnd w:id="39"/>
    </w:p>
    <w:p w14:paraId="1D564BD3" w14:textId="7DCD075C" w:rsidR="1F300CA5" w:rsidRDefault="0AF1D278" w:rsidP="0F7FD57B">
      <w:r>
        <w:t xml:space="preserve">The </w:t>
      </w:r>
      <w:proofErr w:type="spellStart"/>
      <w:r w:rsidR="290C96EB" w:rsidRPr="4868DAB2">
        <w:rPr>
          <w:b/>
          <w:bCs/>
        </w:rPr>
        <w:t>LnW</w:t>
      </w:r>
      <w:proofErr w:type="spellEnd"/>
      <w:r w:rsidR="290C96EB" w:rsidRPr="4868DAB2">
        <w:rPr>
          <w:b/>
          <w:bCs/>
        </w:rPr>
        <w:t xml:space="preserve"> w</w:t>
      </w:r>
      <w:r w:rsidR="290C96EB">
        <w:t>orkbook</w:t>
      </w:r>
      <w:r>
        <w:t xml:space="preserve"> multiple sectors including agriculture, horticulture, forestry, and waste. Some key areas that are included are:</w:t>
      </w:r>
    </w:p>
    <w:p w14:paraId="594CA455" w14:textId="24327A11" w:rsidR="00BA6FDD" w:rsidRPr="00AC21CD" w:rsidRDefault="00BA6FDD" w:rsidP="008B5327">
      <w:pPr>
        <w:pStyle w:val="ListParagraph"/>
        <w:numPr>
          <w:ilvl w:val="0"/>
          <w:numId w:val="7"/>
        </w:numPr>
      </w:pPr>
      <w:r w:rsidRPr="00AC21CD">
        <w:t xml:space="preserve">Land </w:t>
      </w:r>
      <w:r w:rsidR="006C265C" w:rsidRPr="00AC21CD">
        <w:t>use</w:t>
      </w:r>
      <w:r w:rsidR="00E8579B" w:rsidRPr="00AC21CD">
        <w:t>d</w:t>
      </w:r>
      <w:r w:rsidR="006C265C" w:rsidRPr="00AC21CD">
        <w:t xml:space="preserve"> for agriculture</w:t>
      </w:r>
      <w:r w:rsidR="0016436F">
        <w:t xml:space="preserve">, </w:t>
      </w:r>
      <w:r w:rsidR="006C265C" w:rsidRPr="00AC21CD">
        <w:t>forestry</w:t>
      </w:r>
      <w:r w:rsidR="0016436F">
        <w:t>, horticulture</w:t>
      </w:r>
      <w:r w:rsidR="00DC1986">
        <w:t>,</w:t>
      </w:r>
      <w:r w:rsidR="0016436F">
        <w:t xml:space="preserve"> and other uses.</w:t>
      </w:r>
    </w:p>
    <w:p w14:paraId="538A3C1E" w14:textId="59D29891" w:rsidR="008B5327" w:rsidRDefault="6AE4CDA5" w:rsidP="008B5327">
      <w:pPr>
        <w:pStyle w:val="ListParagraph"/>
        <w:numPr>
          <w:ilvl w:val="0"/>
          <w:numId w:val="7"/>
        </w:numPr>
      </w:pPr>
      <w:r>
        <w:lastRenderedPageBreak/>
        <w:t>e</w:t>
      </w:r>
      <w:r w:rsidR="1A0531C6">
        <w:t xml:space="preserve">missions </w:t>
      </w:r>
      <w:r w:rsidR="768DCA82">
        <w:t>from agriculture</w:t>
      </w:r>
      <w:r w:rsidR="19825408">
        <w:t>, with detailed representation of the dairy and sheep and beef sectors</w:t>
      </w:r>
      <w:r w:rsidR="542F9658">
        <w:t>.</w:t>
      </w:r>
    </w:p>
    <w:p w14:paraId="09101C29" w14:textId="0CC905D0" w:rsidR="000D17F0" w:rsidRDefault="623F2137" w:rsidP="008B5327">
      <w:pPr>
        <w:pStyle w:val="ListParagraph"/>
        <w:numPr>
          <w:ilvl w:val="0"/>
          <w:numId w:val="7"/>
        </w:numPr>
      </w:pPr>
      <w:r>
        <w:t>k</w:t>
      </w:r>
      <w:r w:rsidR="211C5CC0">
        <w:t xml:space="preserve">ey measures </w:t>
      </w:r>
      <w:r w:rsidR="2DA7939D">
        <w:t>from agricultural sector</w:t>
      </w:r>
      <w:r w:rsidR="3F152B12">
        <w:t xml:space="preserve"> including, stocking rates, production, productivity</w:t>
      </w:r>
      <w:r w:rsidR="604586AA">
        <w:t>,</w:t>
      </w:r>
      <w:r w:rsidR="3F152B12">
        <w:t xml:space="preserve"> and other </w:t>
      </w:r>
      <w:proofErr w:type="gramStart"/>
      <w:r w:rsidR="3F152B12">
        <w:t>measures</w:t>
      </w:r>
      <w:proofErr w:type="gramEnd"/>
    </w:p>
    <w:p w14:paraId="52827394" w14:textId="3E11CE49" w:rsidR="0015046D" w:rsidRPr="00AC21CD" w:rsidRDefault="4E3A5792" w:rsidP="008B5327">
      <w:pPr>
        <w:pStyle w:val="ListParagraph"/>
        <w:numPr>
          <w:ilvl w:val="0"/>
          <w:numId w:val="7"/>
        </w:numPr>
      </w:pPr>
      <w:r>
        <w:t>a</w:t>
      </w:r>
      <w:r w:rsidR="7C67BD96">
        <w:t xml:space="preserve"> range of mitigation technolog</w:t>
      </w:r>
      <w:r w:rsidR="23D525B4">
        <w:t>ies</w:t>
      </w:r>
      <w:r w:rsidR="66810792">
        <w:t>.</w:t>
      </w:r>
    </w:p>
    <w:p w14:paraId="78A1A7D3" w14:textId="416B8075" w:rsidR="006C265C" w:rsidRPr="00AC21CD" w:rsidRDefault="22E0E98C" w:rsidP="006C265C">
      <w:pPr>
        <w:pStyle w:val="ListParagraph"/>
        <w:numPr>
          <w:ilvl w:val="0"/>
          <w:numId w:val="7"/>
        </w:numPr>
      </w:pPr>
      <w:r>
        <w:t>e</w:t>
      </w:r>
      <w:r w:rsidR="47661B59">
        <w:t xml:space="preserve">missions and removals </w:t>
      </w:r>
      <w:r w:rsidR="308B1271">
        <w:t>by</w:t>
      </w:r>
      <w:r w:rsidR="47661B59">
        <w:t xml:space="preserve"> forest</w:t>
      </w:r>
      <w:r w:rsidR="19825408">
        <w:t>s</w:t>
      </w:r>
      <w:r w:rsidR="542F9658">
        <w:t>.</w:t>
      </w:r>
    </w:p>
    <w:p w14:paraId="253DD59B" w14:textId="0AEE36EF" w:rsidR="006C265C" w:rsidRPr="00AC21CD" w:rsidRDefault="0CCF430E" w:rsidP="006C265C">
      <w:pPr>
        <w:pStyle w:val="ListParagraph"/>
        <w:numPr>
          <w:ilvl w:val="0"/>
          <w:numId w:val="7"/>
        </w:numPr>
      </w:pPr>
      <w:r>
        <w:t>p</w:t>
      </w:r>
      <w:r w:rsidR="18A3227C">
        <w:t>roduction metrics for agriculture and forestry</w:t>
      </w:r>
      <w:r w:rsidR="542F9658">
        <w:t>.</w:t>
      </w:r>
    </w:p>
    <w:p w14:paraId="0D66B710" w14:textId="79B3D086" w:rsidR="000B24FB" w:rsidRDefault="50B84F22" w:rsidP="008B5327">
      <w:pPr>
        <w:pStyle w:val="ListParagraph"/>
        <w:numPr>
          <w:ilvl w:val="0"/>
          <w:numId w:val="7"/>
        </w:numPr>
      </w:pPr>
      <w:r>
        <w:t>a</w:t>
      </w:r>
      <w:r w:rsidR="47661B59">
        <w:t>vailable biomass supply by region</w:t>
      </w:r>
      <w:r w:rsidR="542F9658">
        <w:t>.</w:t>
      </w:r>
    </w:p>
    <w:p w14:paraId="49E2F958" w14:textId="45798F22" w:rsidR="00437A0E" w:rsidRDefault="412430DF" w:rsidP="008B5327">
      <w:pPr>
        <w:pStyle w:val="ListParagraph"/>
        <w:numPr>
          <w:ilvl w:val="0"/>
          <w:numId w:val="7"/>
        </w:numPr>
      </w:pPr>
      <w:r>
        <w:t>e</w:t>
      </w:r>
      <w:r w:rsidR="6AC6ED49">
        <w:t xml:space="preserve">missions </w:t>
      </w:r>
      <w:r w:rsidR="21E2084A">
        <w:t>generated by</w:t>
      </w:r>
      <w:r w:rsidR="35C02817">
        <w:t xml:space="preserve"> waste</w:t>
      </w:r>
      <w:r w:rsidR="21E2084A">
        <w:t>.</w:t>
      </w:r>
    </w:p>
    <w:p w14:paraId="34BCDE13" w14:textId="262FD4AA" w:rsidR="001A47CD" w:rsidRDefault="0ACDB3D9" w:rsidP="008B5327">
      <w:pPr>
        <w:pStyle w:val="ListParagraph"/>
        <w:numPr>
          <w:ilvl w:val="0"/>
          <w:numId w:val="7"/>
        </w:numPr>
      </w:pPr>
      <w:r>
        <w:t>d</w:t>
      </w:r>
      <w:r w:rsidR="7645C4E8">
        <w:t>etailed break</w:t>
      </w:r>
      <w:r w:rsidR="790E6120">
        <w:t>down</w:t>
      </w:r>
      <w:r w:rsidR="21E2084A">
        <w:t xml:space="preserve"> of waste volumes and where it is being direct i.e.</w:t>
      </w:r>
      <w:r w:rsidR="604586AA">
        <w:t>,</w:t>
      </w:r>
      <w:r w:rsidR="21E2084A">
        <w:t xml:space="preserve"> landfills.</w:t>
      </w:r>
    </w:p>
    <w:p w14:paraId="2DFEFABD" w14:textId="748EEC27" w:rsidR="00C17FB9" w:rsidRDefault="721C68AF" w:rsidP="008B5327">
      <w:pPr>
        <w:pStyle w:val="ListParagraph"/>
        <w:numPr>
          <w:ilvl w:val="0"/>
          <w:numId w:val="7"/>
        </w:numPr>
      </w:pPr>
      <w:r>
        <w:t>l</w:t>
      </w:r>
      <w:r w:rsidR="312DE779">
        <w:t>andfill ga</w:t>
      </w:r>
      <w:r w:rsidR="28B2355B">
        <w:t>s capture coverage and rates are modelled</w:t>
      </w:r>
      <w:r w:rsidR="515904D4">
        <w:t>.</w:t>
      </w:r>
    </w:p>
    <w:p w14:paraId="21659513" w14:textId="3A9B85C0" w:rsidR="00DE56D8" w:rsidRPr="00486F62" w:rsidRDefault="500E9555" w:rsidP="00783670">
      <w:pPr>
        <w:pStyle w:val="Heading2"/>
      </w:pPr>
      <w:bookmarkStart w:id="40" w:name="_Toc184814262"/>
      <w:r>
        <w:t xml:space="preserve">Description of </w:t>
      </w:r>
      <w:r w:rsidR="3402D312">
        <w:t xml:space="preserve">the </w:t>
      </w:r>
      <w:r w:rsidR="77E6EAF0">
        <w:t>Land</w:t>
      </w:r>
      <w:r>
        <w:t xml:space="preserve"> </w:t>
      </w:r>
      <w:r w:rsidR="28B2355B">
        <w:t xml:space="preserve">and waste </w:t>
      </w:r>
      <w:r>
        <w:t>worksheets</w:t>
      </w:r>
      <w:bookmarkEnd w:id="40"/>
    </w:p>
    <w:p w14:paraId="1E11A993" w14:textId="28BE9B43" w:rsidR="0C473EA6" w:rsidRDefault="0C473EA6" w:rsidP="0F7FD57B">
      <w:r>
        <w:t xml:space="preserve">The </w:t>
      </w:r>
      <w:proofErr w:type="spellStart"/>
      <w:r w:rsidRPr="0F7FD57B">
        <w:rPr>
          <w:b/>
          <w:bCs/>
        </w:rPr>
        <w:t>LnW</w:t>
      </w:r>
      <w:proofErr w:type="spellEnd"/>
      <w:r w:rsidR="21AF4893" w:rsidRPr="0F7FD57B">
        <w:rPr>
          <w:b/>
          <w:bCs/>
        </w:rPr>
        <w:t xml:space="preserve"> w</w:t>
      </w:r>
      <w:r w:rsidR="21AF4893">
        <w:t>orkbook</w:t>
      </w:r>
      <w:r>
        <w:t xml:space="preserve"> contains the following worksheets:</w:t>
      </w:r>
    </w:p>
    <w:p w14:paraId="221E0A79" w14:textId="46FC729A" w:rsidR="00DE56D8" w:rsidRPr="009C215D" w:rsidRDefault="00413C14" w:rsidP="00EB5CCF">
      <w:pPr>
        <w:pStyle w:val="ListParagraph"/>
        <w:numPr>
          <w:ilvl w:val="0"/>
          <w:numId w:val="7"/>
        </w:numPr>
        <w:rPr>
          <w:b/>
          <w:bCs/>
        </w:rPr>
      </w:pPr>
      <w:r w:rsidRPr="009C215D">
        <w:rPr>
          <w:b/>
          <w:bCs/>
        </w:rPr>
        <w:t>Ctrl</w:t>
      </w:r>
      <w:r w:rsidR="008651F6" w:rsidRPr="009C215D">
        <w:rPr>
          <w:b/>
          <w:bCs/>
        </w:rPr>
        <w:t xml:space="preserve"> </w:t>
      </w:r>
      <w:r w:rsidR="00DC1986">
        <w:t>o</w:t>
      </w:r>
      <w:r w:rsidR="00DD0BCB" w:rsidRPr="009C215D">
        <w:t>utlines scenario parameters</w:t>
      </w:r>
    </w:p>
    <w:p w14:paraId="0A7573A4" w14:textId="75926EF7" w:rsidR="00EB5CCF" w:rsidRPr="00454FDF" w:rsidRDefault="00EB5CCF" w:rsidP="00EB5CCF">
      <w:pPr>
        <w:pStyle w:val="ListParagraph"/>
        <w:numPr>
          <w:ilvl w:val="0"/>
          <w:numId w:val="7"/>
        </w:numPr>
      </w:pPr>
      <w:r w:rsidRPr="009C215D">
        <w:rPr>
          <w:b/>
          <w:bCs/>
        </w:rPr>
        <w:t>Inputs</w:t>
      </w:r>
      <w:r w:rsidR="00E76F48" w:rsidRPr="009C215D">
        <w:rPr>
          <w:b/>
          <w:bCs/>
        </w:rPr>
        <w:t xml:space="preserve"> (In)</w:t>
      </w:r>
      <w:r w:rsidRPr="009C215D">
        <w:t xml:space="preserve"> contains key input data arrays </w:t>
      </w:r>
      <w:r w:rsidR="003549D0" w:rsidRPr="009C215D">
        <w:t>sourced from the Ministry for Primary Industries</w:t>
      </w:r>
      <w:r w:rsidR="00BA5C40">
        <w:t xml:space="preserve"> (MPI)</w:t>
      </w:r>
      <w:r w:rsidR="008F6652" w:rsidRPr="009C215D">
        <w:t xml:space="preserve">, </w:t>
      </w:r>
      <w:r w:rsidR="00806DAC" w:rsidRPr="009C215D">
        <w:t>including breakdowns of</w:t>
      </w:r>
      <w:r w:rsidR="008F6652" w:rsidRPr="009C215D">
        <w:t xml:space="preserve"> historic and projected emissions </w:t>
      </w:r>
      <w:r w:rsidR="00524B10" w:rsidRPr="009C215D">
        <w:t>and underlying activity data.</w:t>
      </w:r>
      <w:r w:rsidR="00322D85" w:rsidRPr="00322D85">
        <w:t xml:space="preserve"> </w:t>
      </w:r>
      <w:r w:rsidR="00454FDF">
        <w:t xml:space="preserve">It also </w:t>
      </w:r>
      <w:r w:rsidR="00322D85">
        <w:t>c</w:t>
      </w:r>
      <w:r w:rsidR="00322D85" w:rsidRPr="009C215D">
        <w:t xml:space="preserve">ontains assumptions for all other agriculture parameters, along with other fixed </w:t>
      </w:r>
      <w:r w:rsidR="00322D85" w:rsidRPr="00454FDF">
        <w:t>assumptions and data inputs.</w:t>
      </w:r>
    </w:p>
    <w:p w14:paraId="7F960BB5" w14:textId="6FB2FAC4" w:rsidR="00971C7C" w:rsidRPr="00C9123E" w:rsidRDefault="2F5209ED" w:rsidP="00EB5CCF">
      <w:pPr>
        <w:pStyle w:val="ListParagraph"/>
        <w:numPr>
          <w:ilvl w:val="0"/>
          <w:numId w:val="7"/>
        </w:numPr>
      </w:pPr>
      <w:r w:rsidRPr="4868DAB2">
        <w:rPr>
          <w:b/>
          <w:bCs/>
        </w:rPr>
        <w:t>Land use</w:t>
      </w:r>
      <w:r w:rsidR="29B9B054" w:rsidRPr="4868DAB2">
        <w:rPr>
          <w:b/>
          <w:bCs/>
        </w:rPr>
        <w:t xml:space="preserve"> (LU)</w:t>
      </w:r>
      <w:r>
        <w:t xml:space="preserve"> contains assumptions for the </w:t>
      </w:r>
      <w:r w:rsidR="46529CE1">
        <w:t xml:space="preserve">land use </w:t>
      </w:r>
      <w:r w:rsidR="49EA6A9B">
        <w:t xml:space="preserve">change </w:t>
      </w:r>
      <w:r w:rsidR="14653675">
        <w:t>parameters</w:t>
      </w:r>
      <w:r w:rsidR="46529CE1">
        <w:t xml:space="preserve"> in the control panel and calculates </w:t>
      </w:r>
      <w:r w:rsidR="49EA6A9B">
        <w:t xml:space="preserve">land areas </w:t>
      </w:r>
      <w:r w:rsidR="50D988C0">
        <w:t>for the chosen scenario.</w:t>
      </w:r>
      <w:r w:rsidR="6FABE173">
        <w:t xml:space="preserve"> Contains other fixed assumptions and data inputs related to forestry.</w:t>
      </w:r>
    </w:p>
    <w:p w14:paraId="592C6881" w14:textId="53D2377E" w:rsidR="00D8699A" w:rsidRPr="002076F1" w:rsidRDefault="00D8699A" w:rsidP="00D8699A">
      <w:pPr>
        <w:pStyle w:val="ListParagraph"/>
        <w:numPr>
          <w:ilvl w:val="0"/>
          <w:numId w:val="7"/>
        </w:numPr>
        <w:rPr>
          <w:b/>
          <w:bCs/>
        </w:rPr>
      </w:pPr>
      <w:r w:rsidRPr="009C215D">
        <w:rPr>
          <w:b/>
          <w:bCs/>
        </w:rPr>
        <w:t>Forestry (</w:t>
      </w:r>
      <w:proofErr w:type="spellStart"/>
      <w:r w:rsidR="00E417ED" w:rsidRPr="009C215D">
        <w:rPr>
          <w:b/>
          <w:bCs/>
        </w:rPr>
        <w:t>Frst</w:t>
      </w:r>
      <w:proofErr w:type="spellEnd"/>
      <w:r w:rsidR="00E417ED" w:rsidRPr="009C215D">
        <w:rPr>
          <w:b/>
          <w:bCs/>
        </w:rPr>
        <w:t>)</w:t>
      </w:r>
      <w:r w:rsidRPr="009C215D">
        <w:t xml:space="preserve"> calculates emissions and removals from forests and regional wood harvest volumes </w:t>
      </w:r>
      <w:r w:rsidRPr="00E8074A">
        <w:t>for the chosen scenario.</w:t>
      </w:r>
    </w:p>
    <w:p w14:paraId="1F38243E" w14:textId="0186D350" w:rsidR="002076F1" w:rsidRPr="002076F1" w:rsidRDefault="002076F1" w:rsidP="002076F1">
      <w:pPr>
        <w:pStyle w:val="ListParagraph"/>
        <w:numPr>
          <w:ilvl w:val="0"/>
          <w:numId w:val="7"/>
        </w:numPr>
        <w:rPr>
          <w:b/>
          <w:bCs/>
        </w:rPr>
      </w:pPr>
      <w:r w:rsidRPr="002076F1">
        <w:rPr>
          <w:b/>
          <w:bCs/>
        </w:rPr>
        <w:t xml:space="preserve">Agriculture </w:t>
      </w:r>
      <w:r w:rsidR="00E4352E">
        <w:rPr>
          <w:b/>
          <w:bCs/>
        </w:rPr>
        <w:t>(Ag)</w:t>
      </w:r>
      <w:r w:rsidRPr="002076F1">
        <w:rPr>
          <w:b/>
          <w:bCs/>
        </w:rPr>
        <w:t xml:space="preserve"> </w:t>
      </w:r>
      <w:r w:rsidRPr="002076F1">
        <w:t>calculates emissions and other outcomes of interest for the dairy and sheep and beef sectors for the chosen scenario.</w:t>
      </w:r>
    </w:p>
    <w:p w14:paraId="75CC49D3" w14:textId="3C1686DF" w:rsidR="00145A90" w:rsidRDefault="001F49C0" w:rsidP="009C215D">
      <w:pPr>
        <w:pStyle w:val="ListParagraph"/>
        <w:numPr>
          <w:ilvl w:val="0"/>
          <w:numId w:val="7"/>
        </w:numPr>
      </w:pPr>
      <w:r w:rsidRPr="00E8074A">
        <w:rPr>
          <w:b/>
          <w:bCs/>
        </w:rPr>
        <w:t>Waste Inputs (</w:t>
      </w:r>
      <w:proofErr w:type="spellStart"/>
      <w:r w:rsidRPr="00E8074A">
        <w:rPr>
          <w:b/>
          <w:bCs/>
        </w:rPr>
        <w:t>W_In</w:t>
      </w:r>
      <w:proofErr w:type="spellEnd"/>
      <w:r w:rsidRPr="00E8074A">
        <w:rPr>
          <w:b/>
          <w:bCs/>
        </w:rPr>
        <w:t>)</w:t>
      </w:r>
      <w:r w:rsidR="00E8074A" w:rsidRPr="00E8074A">
        <w:rPr>
          <w:b/>
          <w:bCs/>
        </w:rPr>
        <w:t xml:space="preserve"> </w:t>
      </w:r>
      <w:r w:rsidR="00E8074A" w:rsidRPr="00E8074A">
        <w:t>contains key input data arrays sourced from the Ministry for the Environment, including historic and projected waste placement.</w:t>
      </w:r>
    </w:p>
    <w:p w14:paraId="7A29A740" w14:textId="30A3F68C" w:rsidR="00576F8E" w:rsidRDefault="29293A50" w:rsidP="009C215D">
      <w:pPr>
        <w:pStyle w:val="ListParagraph"/>
        <w:numPr>
          <w:ilvl w:val="0"/>
          <w:numId w:val="7"/>
        </w:numPr>
      </w:pPr>
      <w:r w:rsidRPr="4868DAB2">
        <w:rPr>
          <w:b/>
          <w:bCs/>
        </w:rPr>
        <w:t>Bio</w:t>
      </w:r>
      <w:r w:rsidR="45568B9E" w:rsidRPr="4868DAB2">
        <w:rPr>
          <w:b/>
          <w:bCs/>
        </w:rPr>
        <w:t>CH4</w:t>
      </w:r>
      <w:r w:rsidR="5C659CC2" w:rsidRPr="4868DAB2">
        <w:rPr>
          <w:b/>
          <w:bCs/>
        </w:rPr>
        <w:t xml:space="preserve"> </w:t>
      </w:r>
      <w:r w:rsidR="5C659CC2">
        <w:t xml:space="preserve">contains </w:t>
      </w:r>
      <w:r w:rsidR="59C44E96">
        <w:t xml:space="preserve">analysis that </w:t>
      </w:r>
      <w:r w:rsidR="30CEB4D5">
        <w:t>drives estimation of the costs of anaerobic digestion and compositing facilities</w:t>
      </w:r>
      <w:r w:rsidR="148D8714">
        <w:t xml:space="preserve">, as well as various other ‘standalone’ analysis on various issues </w:t>
      </w:r>
      <w:proofErr w:type="spellStart"/>
      <w:r w:rsidR="148D8714">
        <w:t>relationg</w:t>
      </w:r>
      <w:proofErr w:type="spellEnd"/>
      <w:r w:rsidR="148D8714">
        <w:t xml:space="preserve"> to BioCH</w:t>
      </w:r>
      <w:r w:rsidR="148D8714" w:rsidRPr="4868DAB2">
        <w:rPr>
          <w:vertAlign w:val="subscript"/>
        </w:rPr>
        <w:t>4</w:t>
      </w:r>
      <w:r w:rsidR="148D8714">
        <w:t xml:space="preserve"> that don’t feed into the model but were used in developing various assumptions</w:t>
      </w:r>
      <w:r w:rsidR="716AEF06">
        <w:t>.</w:t>
      </w:r>
    </w:p>
    <w:p w14:paraId="797D6A86" w14:textId="78FBD236" w:rsidR="0046269B" w:rsidRDefault="00F40F52" w:rsidP="009C215D">
      <w:pPr>
        <w:pStyle w:val="ListParagraph"/>
        <w:numPr>
          <w:ilvl w:val="0"/>
          <w:numId w:val="7"/>
        </w:numPr>
      </w:pPr>
      <w:r>
        <w:rPr>
          <w:b/>
          <w:bCs/>
        </w:rPr>
        <w:t>Waste Assumptions (</w:t>
      </w:r>
      <w:proofErr w:type="spellStart"/>
      <w:r w:rsidR="006C31DB">
        <w:rPr>
          <w:b/>
          <w:bCs/>
        </w:rPr>
        <w:t>W_Ass</w:t>
      </w:r>
      <w:proofErr w:type="spellEnd"/>
      <w:r w:rsidR="006C31DB">
        <w:rPr>
          <w:b/>
          <w:bCs/>
        </w:rPr>
        <w:t>)</w:t>
      </w:r>
      <w:r w:rsidR="00094BAD">
        <w:rPr>
          <w:b/>
          <w:bCs/>
        </w:rPr>
        <w:t xml:space="preserve"> </w:t>
      </w:r>
      <w:r w:rsidR="00063D04">
        <w:t>c</w:t>
      </w:r>
      <w:r w:rsidR="009E5C31" w:rsidRPr="009E5C31">
        <w:t>ontains other technical assumptions used in the emissions modelling.</w:t>
      </w:r>
    </w:p>
    <w:p w14:paraId="69EBC187" w14:textId="79C1B689" w:rsidR="005E218E" w:rsidRPr="004214ED" w:rsidRDefault="005E218E" w:rsidP="009C215D">
      <w:pPr>
        <w:pStyle w:val="ListParagraph"/>
        <w:numPr>
          <w:ilvl w:val="0"/>
          <w:numId w:val="7"/>
        </w:numPr>
      </w:pPr>
      <w:r>
        <w:rPr>
          <w:b/>
          <w:bCs/>
        </w:rPr>
        <w:t>Waste Mitigation</w:t>
      </w:r>
      <w:r w:rsidR="00EC4587">
        <w:rPr>
          <w:b/>
          <w:bCs/>
        </w:rPr>
        <w:t xml:space="preserve"> (</w:t>
      </w:r>
      <w:proofErr w:type="spellStart"/>
      <w:r w:rsidR="00EC4587">
        <w:rPr>
          <w:b/>
          <w:bCs/>
        </w:rPr>
        <w:t>W_Mit</w:t>
      </w:r>
      <w:proofErr w:type="spellEnd"/>
      <w:r w:rsidR="00EC4587">
        <w:rPr>
          <w:b/>
          <w:bCs/>
        </w:rPr>
        <w:t>)</w:t>
      </w:r>
      <w:r w:rsidR="004214ED">
        <w:rPr>
          <w:b/>
          <w:bCs/>
        </w:rPr>
        <w:t xml:space="preserve"> </w:t>
      </w:r>
      <w:r w:rsidR="004214ED" w:rsidRPr="004214ED">
        <w:t>contains the assumptions for the scenario parameters in the control panel and converts the selected scenario values into annual time series.</w:t>
      </w:r>
    </w:p>
    <w:p w14:paraId="05F34C40" w14:textId="7B75BB62" w:rsidR="002D2BC3" w:rsidRDefault="1C17F337" w:rsidP="009C215D">
      <w:pPr>
        <w:pStyle w:val="ListParagraph"/>
        <w:numPr>
          <w:ilvl w:val="0"/>
          <w:numId w:val="7"/>
        </w:numPr>
      </w:pPr>
      <w:r w:rsidRPr="4868DAB2">
        <w:rPr>
          <w:b/>
          <w:bCs/>
        </w:rPr>
        <w:t>Waste (</w:t>
      </w:r>
      <w:proofErr w:type="spellStart"/>
      <w:r w:rsidRPr="4868DAB2">
        <w:rPr>
          <w:b/>
          <w:bCs/>
        </w:rPr>
        <w:t>Wst</w:t>
      </w:r>
      <w:proofErr w:type="spellEnd"/>
      <w:r w:rsidRPr="4868DAB2">
        <w:rPr>
          <w:b/>
          <w:bCs/>
        </w:rPr>
        <w:t>)</w:t>
      </w:r>
      <w:r w:rsidR="221BEA15">
        <w:t xml:space="preserve"> </w:t>
      </w:r>
      <w:r w:rsidR="1CD2C347">
        <w:t>performs the calculations of emissions from all solid waste categories.</w:t>
      </w:r>
    </w:p>
    <w:p w14:paraId="64EDA1F6" w14:textId="14003672" w:rsidR="00360A01" w:rsidRPr="009E5C31" w:rsidRDefault="001F5443" w:rsidP="00B17CF9">
      <w:pPr>
        <w:pStyle w:val="ListParagraph"/>
        <w:numPr>
          <w:ilvl w:val="0"/>
          <w:numId w:val="7"/>
        </w:numPr>
      </w:pPr>
      <w:r>
        <w:rPr>
          <w:b/>
          <w:bCs/>
        </w:rPr>
        <w:t>Waste Outputs (</w:t>
      </w:r>
      <w:proofErr w:type="spellStart"/>
      <w:r>
        <w:rPr>
          <w:b/>
          <w:bCs/>
        </w:rPr>
        <w:t>Ou</w:t>
      </w:r>
      <w:r w:rsidR="002076F1">
        <w:rPr>
          <w:b/>
          <w:bCs/>
        </w:rPr>
        <w:t>t_W</w:t>
      </w:r>
      <w:proofErr w:type="spellEnd"/>
      <w:r w:rsidR="002076F1">
        <w:rPr>
          <w:b/>
          <w:bCs/>
        </w:rPr>
        <w:t xml:space="preserve">) </w:t>
      </w:r>
      <w:r w:rsidR="002076F1" w:rsidRPr="002076F1">
        <w:t>compiles the emissions results and other output arrays.</w:t>
      </w:r>
    </w:p>
    <w:p w14:paraId="7B6A4A45" w14:textId="642E544D" w:rsidR="008B02A7" w:rsidRPr="00E71301" w:rsidRDefault="00A11311" w:rsidP="00E71301">
      <w:pPr>
        <w:pStyle w:val="ListParagraph"/>
        <w:numPr>
          <w:ilvl w:val="0"/>
          <w:numId w:val="7"/>
        </w:numPr>
      </w:pPr>
      <w:r w:rsidRPr="009D4107">
        <w:rPr>
          <w:b/>
          <w:bCs/>
        </w:rPr>
        <w:t xml:space="preserve">Out </w:t>
      </w:r>
      <w:r w:rsidR="005B2382" w:rsidRPr="009D4107">
        <w:t xml:space="preserve">brings together </w:t>
      </w:r>
      <w:r w:rsidR="00783670" w:rsidRPr="009D4107">
        <w:t xml:space="preserve">all outputs from previous </w:t>
      </w:r>
      <w:proofErr w:type="gramStart"/>
      <w:r w:rsidR="00783670" w:rsidRPr="009D4107">
        <w:t>sheets</w:t>
      </w:r>
      <w:proofErr w:type="gramEnd"/>
    </w:p>
    <w:p w14:paraId="381230FC" w14:textId="13102CA4" w:rsidR="00334BFB" w:rsidRPr="00783670" w:rsidRDefault="00701E05" w:rsidP="00701E05">
      <w:pPr>
        <w:pStyle w:val="Heading2"/>
      </w:pPr>
      <w:bookmarkStart w:id="41" w:name="_Ref78291824"/>
      <w:bookmarkStart w:id="42" w:name="_Toc184814263"/>
      <w:r w:rsidRPr="00783670">
        <w:t xml:space="preserve">Land </w:t>
      </w:r>
      <w:proofErr w:type="gramStart"/>
      <w:r w:rsidRPr="00783670">
        <w:t>use</w:t>
      </w:r>
      <w:bookmarkEnd w:id="41"/>
      <w:bookmarkEnd w:id="42"/>
      <w:proofErr w:type="gramEnd"/>
    </w:p>
    <w:p w14:paraId="347A7FE1" w14:textId="2EF7AF7D" w:rsidR="00154BAA" w:rsidRPr="00783670" w:rsidRDefault="00F80758" w:rsidP="00701E05">
      <w:r w:rsidRPr="00783670">
        <w:t xml:space="preserve">The module starts </w:t>
      </w:r>
      <w:r w:rsidR="00131594" w:rsidRPr="00783670">
        <w:t xml:space="preserve">from a baseline </w:t>
      </w:r>
      <w:r w:rsidR="006066FD" w:rsidRPr="00783670">
        <w:t>scenario</w:t>
      </w:r>
      <w:r w:rsidR="00131594" w:rsidRPr="00783670">
        <w:t xml:space="preserve"> of future land use</w:t>
      </w:r>
      <w:r w:rsidR="001E1C0F" w:rsidRPr="00783670">
        <w:t xml:space="preserve">. This </w:t>
      </w:r>
      <w:r w:rsidR="008B0300" w:rsidRPr="00783670">
        <w:t>is</w:t>
      </w:r>
      <w:r w:rsidR="00131594" w:rsidRPr="00783670">
        <w:t xml:space="preserve"> </w:t>
      </w:r>
      <w:r w:rsidR="003401C0" w:rsidRPr="00783670">
        <w:t xml:space="preserve">based on the </w:t>
      </w:r>
      <w:r w:rsidR="00BA5C40">
        <w:t xml:space="preserve">MPI’s </w:t>
      </w:r>
      <w:r w:rsidR="006A18ED" w:rsidRPr="00783670">
        <w:t xml:space="preserve">latest available </w:t>
      </w:r>
      <w:r w:rsidR="00270766" w:rsidRPr="00783670">
        <w:t xml:space="preserve">emissions </w:t>
      </w:r>
      <w:r w:rsidR="006A18ED" w:rsidRPr="00783670">
        <w:t>project</w:t>
      </w:r>
      <w:r w:rsidR="006066FD" w:rsidRPr="00783670">
        <w:t>ions</w:t>
      </w:r>
      <w:r w:rsidR="006A18ED" w:rsidRPr="00783670">
        <w:t xml:space="preserve"> </w:t>
      </w:r>
      <w:r w:rsidR="00AC5434" w:rsidRPr="00783670">
        <w:t>under</w:t>
      </w:r>
      <w:r w:rsidR="006066FD" w:rsidRPr="00783670">
        <w:t xml:space="preserve"> current policy settings (</w:t>
      </w:r>
      <w:r w:rsidR="00AC5434" w:rsidRPr="00783670">
        <w:t xml:space="preserve">the Government’s </w:t>
      </w:r>
      <w:r w:rsidR="006066FD" w:rsidRPr="00783670">
        <w:t>‘With Existing Measures’</w:t>
      </w:r>
      <w:r w:rsidR="00AC5434" w:rsidRPr="00783670">
        <w:t xml:space="preserve"> scenario</w:t>
      </w:r>
      <w:r w:rsidR="0095155E" w:rsidRPr="00783670">
        <w:t xml:space="preserve"> or ‘Base case’</w:t>
      </w:r>
      <w:r w:rsidR="006066FD" w:rsidRPr="00783670">
        <w:t>).</w:t>
      </w:r>
      <w:r w:rsidR="00786532" w:rsidRPr="00783670">
        <w:t xml:space="preserve"> For these projections, MPI uses </w:t>
      </w:r>
      <w:r w:rsidR="008C2AFC" w:rsidRPr="00783670">
        <w:t>its</w:t>
      </w:r>
      <w:r w:rsidR="00786532" w:rsidRPr="00783670">
        <w:t xml:space="preserve"> Pastoral Supply Response Model</w:t>
      </w:r>
      <w:r w:rsidR="00507D31" w:rsidRPr="00783670">
        <w:t xml:space="preserve">, </w:t>
      </w:r>
      <w:r w:rsidR="008C2AFC" w:rsidRPr="00783670">
        <w:t>forestry projections model,</w:t>
      </w:r>
      <w:r w:rsidR="00786532" w:rsidRPr="00783670">
        <w:t xml:space="preserve"> and other information to project </w:t>
      </w:r>
      <w:r w:rsidR="00F96AE6" w:rsidRPr="00783670">
        <w:t xml:space="preserve">changes in </w:t>
      </w:r>
      <w:r w:rsidR="0064102B" w:rsidRPr="00783670">
        <w:t>agriculture and forestry activity</w:t>
      </w:r>
      <w:r w:rsidR="00F96AE6" w:rsidRPr="00783670">
        <w:t xml:space="preserve">. </w:t>
      </w:r>
      <w:r w:rsidR="00B14A9A" w:rsidRPr="00783670">
        <w:t>MPI then uses the Agricultur</w:t>
      </w:r>
      <w:r w:rsidR="00C422AC" w:rsidRPr="00783670">
        <w:t xml:space="preserve">al </w:t>
      </w:r>
      <w:r w:rsidR="00B14A9A" w:rsidRPr="00783670">
        <w:t xml:space="preserve">Greenhouse Gas Inventory model to project </w:t>
      </w:r>
      <w:r w:rsidR="00C422AC" w:rsidRPr="00783670">
        <w:t>emissions</w:t>
      </w:r>
      <w:r w:rsidR="00DE57A4" w:rsidRPr="00783670">
        <w:t>.</w:t>
      </w:r>
      <w:r w:rsidR="006F7DEE" w:rsidRPr="00783670">
        <w:t xml:space="preserve"> </w:t>
      </w:r>
      <w:r w:rsidR="003200A0" w:rsidRPr="00783670">
        <w:t xml:space="preserve">The </w:t>
      </w:r>
      <w:r w:rsidR="00C422AC" w:rsidRPr="00783670">
        <w:t xml:space="preserve">input </w:t>
      </w:r>
      <w:r w:rsidR="003200A0" w:rsidRPr="00783670">
        <w:t>data</w:t>
      </w:r>
      <w:r w:rsidR="006F7DEE" w:rsidRPr="00783670">
        <w:t xml:space="preserve"> from MPI</w:t>
      </w:r>
      <w:r w:rsidR="00DE57A4" w:rsidRPr="00783670">
        <w:t xml:space="preserve"> </w:t>
      </w:r>
      <w:r w:rsidR="00C422AC" w:rsidRPr="00783670">
        <w:t xml:space="preserve">are </w:t>
      </w:r>
      <w:r w:rsidR="003200A0" w:rsidRPr="00783670">
        <w:t xml:space="preserve">found in the </w:t>
      </w:r>
      <w:r w:rsidR="003200A0" w:rsidRPr="00783670">
        <w:rPr>
          <w:b/>
        </w:rPr>
        <w:t>Inputs</w:t>
      </w:r>
      <w:r w:rsidR="003200A0" w:rsidRPr="00783670">
        <w:t xml:space="preserve"> </w:t>
      </w:r>
      <w:r w:rsidR="00E67A03" w:rsidRPr="00783670">
        <w:t>worksheet.</w:t>
      </w:r>
    </w:p>
    <w:p w14:paraId="1F02416A" w14:textId="4BAC7E71" w:rsidR="008A5F67" w:rsidRPr="00783670" w:rsidRDefault="00D079AD" w:rsidP="008A5F67">
      <w:r w:rsidRPr="00783670">
        <w:lastRenderedPageBreak/>
        <w:t xml:space="preserve">Land use scenarios in ENZ are exogenously specified. </w:t>
      </w:r>
      <w:r w:rsidR="00CE111E" w:rsidRPr="00783670">
        <w:t xml:space="preserve">In the control panel, </w:t>
      </w:r>
      <w:r w:rsidR="00E71584" w:rsidRPr="00783670">
        <w:t>the user</w:t>
      </w:r>
      <w:r w:rsidR="00BD73F6" w:rsidRPr="00783670">
        <w:t xml:space="preserve"> </w:t>
      </w:r>
      <w:r w:rsidR="00C3531A" w:rsidRPr="00783670">
        <w:t>selects</w:t>
      </w:r>
      <w:r w:rsidR="00BD73F6" w:rsidRPr="00783670">
        <w:t xml:space="preserve"> settings for </w:t>
      </w:r>
      <w:r w:rsidR="008A5F67" w:rsidRPr="00783670">
        <w:t xml:space="preserve">the following </w:t>
      </w:r>
      <w:r w:rsidR="00BD73F6" w:rsidRPr="00783670">
        <w:t>individual</w:t>
      </w:r>
      <w:r w:rsidR="00F2237C" w:rsidRPr="00783670">
        <w:t xml:space="preserve"> land use </w:t>
      </w:r>
      <w:r w:rsidR="00D07BB8" w:rsidRPr="00783670">
        <w:t>parameters</w:t>
      </w:r>
      <w:r w:rsidR="008A5F67" w:rsidRPr="00783670">
        <w:t>:</w:t>
      </w:r>
    </w:p>
    <w:p w14:paraId="36BC3962" w14:textId="67A89613" w:rsidR="008A5F67" w:rsidRPr="00783670" w:rsidRDefault="00A32CE1" w:rsidP="008A5F67">
      <w:pPr>
        <w:pStyle w:val="ListParagraph"/>
        <w:numPr>
          <w:ilvl w:val="0"/>
          <w:numId w:val="7"/>
        </w:numPr>
      </w:pPr>
      <w:r w:rsidRPr="00783670">
        <w:t>Exotic afforestation</w:t>
      </w:r>
    </w:p>
    <w:p w14:paraId="7DE2AE4B" w14:textId="4BC5CB45" w:rsidR="008A5F67" w:rsidRPr="00783670" w:rsidRDefault="00A32CE1" w:rsidP="008A5F67">
      <w:pPr>
        <w:pStyle w:val="ListParagraph"/>
        <w:numPr>
          <w:ilvl w:val="0"/>
          <w:numId w:val="7"/>
        </w:numPr>
      </w:pPr>
      <w:r w:rsidRPr="00783670">
        <w:t>Native afforestation</w:t>
      </w:r>
    </w:p>
    <w:p w14:paraId="5C971815" w14:textId="0372884B" w:rsidR="00A32CE1" w:rsidRPr="00783670" w:rsidRDefault="00D55074" w:rsidP="008A5F67">
      <w:pPr>
        <w:pStyle w:val="ListParagraph"/>
        <w:numPr>
          <w:ilvl w:val="0"/>
          <w:numId w:val="7"/>
        </w:numPr>
      </w:pPr>
      <w:r w:rsidRPr="00783670">
        <w:t>Deforestation</w:t>
      </w:r>
      <w:r w:rsidR="001A306A" w:rsidRPr="00783670">
        <w:t xml:space="preserve"> (both exotic and native</w:t>
      </w:r>
      <w:r w:rsidR="007669EF" w:rsidRPr="00783670">
        <w:t xml:space="preserve"> forest</w:t>
      </w:r>
      <w:r w:rsidR="001A306A" w:rsidRPr="00783670">
        <w:t>)</w:t>
      </w:r>
    </w:p>
    <w:p w14:paraId="52E105DF" w14:textId="1F18EAB7" w:rsidR="00F55E62" w:rsidRPr="00783670" w:rsidRDefault="0061562D" w:rsidP="008A5F67">
      <w:pPr>
        <w:pStyle w:val="ListParagraph"/>
        <w:numPr>
          <w:ilvl w:val="0"/>
          <w:numId w:val="7"/>
        </w:numPr>
      </w:pPr>
      <w:r w:rsidRPr="00783670">
        <w:t xml:space="preserve">Land use change to </w:t>
      </w:r>
      <w:proofErr w:type="gramStart"/>
      <w:r w:rsidRPr="00783670">
        <w:t>horticulture</w:t>
      </w:r>
      <w:proofErr w:type="gramEnd"/>
    </w:p>
    <w:p w14:paraId="554B67AC" w14:textId="0AD5E075" w:rsidR="0061562D" w:rsidRPr="00783670" w:rsidRDefault="008353E2" w:rsidP="008A5F67">
      <w:pPr>
        <w:pStyle w:val="ListParagraph"/>
        <w:numPr>
          <w:ilvl w:val="0"/>
          <w:numId w:val="7"/>
        </w:numPr>
      </w:pPr>
      <w:r w:rsidRPr="00783670">
        <w:t>Land retirement (conversion</w:t>
      </w:r>
      <w:r w:rsidR="00F5593D" w:rsidRPr="00783670">
        <w:t xml:space="preserve"> of agricultur</w:t>
      </w:r>
      <w:r w:rsidR="00440648" w:rsidRPr="00783670">
        <w:t>e and forest</w:t>
      </w:r>
      <w:r w:rsidR="00B92458" w:rsidRPr="00783670">
        <w:t xml:space="preserve"> land to other purposes</w:t>
      </w:r>
      <w:r w:rsidRPr="00783670">
        <w:t xml:space="preserve">, </w:t>
      </w:r>
      <w:r w:rsidR="00B92458" w:rsidRPr="00783670">
        <w:t>e.g.</w:t>
      </w:r>
      <w:r w:rsidR="00B4413D">
        <w:t>,</w:t>
      </w:r>
      <w:r w:rsidR="00B92458" w:rsidRPr="00783670">
        <w:t xml:space="preserve"> urban)</w:t>
      </w:r>
    </w:p>
    <w:p w14:paraId="173FEDD9" w14:textId="30F0FDB0" w:rsidR="00D07D29" w:rsidRPr="00783670" w:rsidRDefault="00F0075F" w:rsidP="008A5F67">
      <w:r w:rsidRPr="00783670">
        <w:t xml:space="preserve">The </w:t>
      </w:r>
      <w:r w:rsidR="00B256AE" w:rsidRPr="00783670">
        <w:t xml:space="preserve">assumptions tied to these </w:t>
      </w:r>
      <w:r w:rsidR="00215901" w:rsidRPr="00783670">
        <w:t xml:space="preserve">parameter </w:t>
      </w:r>
      <w:r w:rsidR="00B256AE" w:rsidRPr="00783670">
        <w:t xml:space="preserve">settings are </w:t>
      </w:r>
      <w:r w:rsidR="00215901" w:rsidRPr="00783670">
        <w:t>specified</w:t>
      </w:r>
      <w:r w:rsidR="00B256AE" w:rsidRPr="00783670">
        <w:t xml:space="preserve"> in the </w:t>
      </w:r>
      <w:r w:rsidR="00B256AE" w:rsidRPr="00783670">
        <w:rPr>
          <w:b/>
        </w:rPr>
        <w:t>Land use</w:t>
      </w:r>
      <w:r w:rsidR="00CF7157" w:rsidRPr="00783670">
        <w:t xml:space="preserve"> worksheet</w:t>
      </w:r>
      <w:r w:rsidR="00365F43" w:rsidRPr="00783670">
        <w:t xml:space="preserve">. </w:t>
      </w:r>
      <w:r w:rsidR="006E4677" w:rsidRPr="00783670">
        <w:t>The model calculates c</w:t>
      </w:r>
      <w:r w:rsidR="00D07D29" w:rsidRPr="00783670">
        <w:t>hanges rel</w:t>
      </w:r>
      <w:r w:rsidR="0077392D" w:rsidRPr="00783670">
        <w:t xml:space="preserve">ative to the baseline scenario </w:t>
      </w:r>
      <w:r w:rsidR="00687E75" w:rsidRPr="00783670">
        <w:t xml:space="preserve">and </w:t>
      </w:r>
      <w:r w:rsidR="005C0694" w:rsidRPr="00783670">
        <w:t xml:space="preserve">makes </w:t>
      </w:r>
      <w:r w:rsidR="00687E75" w:rsidRPr="00783670">
        <w:t xml:space="preserve">area adjustments </w:t>
      </w:r>
      <w:r w:rsidR="00C231FF" w:rsidRPr="00783670">
        <w:t xml:space="preserve">to the different land use categories </w:t>
      </w:r>
      <w:r w:rsidR="00D6732D" w:rsidRPr="00783670">
        <w:t>using</w:t>
      </w:r>
      <w:r w:rsidR="00E67A03" w:rsidRPr="00783670">
        <w:t xml:space="preserve"> specified</w:t>
      </w:r>
      <w:r w:rsidR="00D6732D" w:rsidRPr="00783670">
        <w:t xml:space="preserve"> </w:t>
      </w:r>
      <w:r w:rsidR="00DF7893" w:rsidRPr="00783670">
        <w:t>area balancing assumptions</w:t>
      </w:r>
      <w:r w:rsidR="00E67A03" w:rsidRPr="00783670">
        <w:t>.</w:t>
      </w:r>
    </w:p>
    <w:p w14:paraId="6B478DE7" w14:textId="59F52302" w:rsidR="00E67A03" w:rsidRPr="00783670" w:rsidRDefault="00C13379" w:rsidP="00C13379">
      <w:pPr>
        <w:pStyle w:val="Heading2"/>
      </w:pPr>
      <w:bookmarkStart w:id="43" w:name="_Toc184814264"/>
      <w:r w:rsidRPr="00783670">
        <w:t>Agriculture</w:t>
      </w:r>
      <w:bookmarkEnd w:id="43"/>
    </w:p>
    <w:p w14:paraId="2C4CE6EF" w14:textId="2E132637" w:rsidR="00C13379" w:rsidRPr="00783670" w:rsidRDefault="00E02528" w:rsidP="00701E05">
      <w:r w:rsidRPr="00783670">
        <w:t>The agriculture s</w:t>
      </w:r>
      <w:r w:rsidR="002A7C6E" w:rsidRPr="00783670">
        <w:t>ector is split into dairy, sheep and beef, and other a</w:t>
      </w:r>
      <w:r w:rsidR="005930C3" w:rsidRPr="00783670">
        <w:t>griculture (</w:t>
      </w:r>
      <w:r w:rsidR="009E5970" w:rsidRPr="00783670">
        <w:t>which includes other livestock</w:t>
      </w:r>
      <w:r w:rsidR="00FB0072" w:rsidRPr="00783670">
        <w:t>, horticulture</w:t>
      </w:r>
      <w:r w:rsidR="00B4413D">
        <w:t>,</w:t>
      </w:r>
      <w:r w:rsidR="00FB0072" w:rsidRPr="00783670">
        <w:t xml:space="preserve"> and cropping). The first two are explicitly modelled in ENZ</w:t>
      </w:r>
      <w:r w:rsidR="000B5F5D" w:rsidRPr="00783670">
        <w:t xml:space="preserve"> with a range of mitigation option</w:t>
      </w:r>
      <w:r w:rsidR="00CA4661" w:rsidRPr="00783670">
        <w:t>s</w:t>
      </w:r>
      <w:r w:rsidR="00FB0072" w:rsidRPr="00783670">
        <w:t xml:space="preserve">. </w:t>
      </w:r>
      <w:r w:rsidR="001C1338" w:rsidRPr="00783670">
        <w:t xml:space="preserve">Sheep and beef farming as modelled as a single sector, </w:t>
      </w:r>
      <w:r w:rsidR="00F2449C" w:rsidRPr="00783670">
        <w:t xml:space="preserve">using a weighted population metric </w:t>
      </w:r>
      <w:r w:rsidR="00BD41CA" w:rsidRPr="00783670">
        <w:t xml:space="preserve">to aggregate </w:t>
      </w:r>
      <w:r w:rsidR="00CD469B" w:rsidRPr="00783670">
        <w:t>sheep and</w:t>
      </w:r>
      <w:r w:rsidR="00EE1849" w:rsidRPr="00783670">
        <w:t xml:space="preserve"> cattle numbers. </w:t>
      </w:r>
      <w:r w:rsidR="007F0814" w:rsidRPr="00783670">
        <w:t xml:space="preserve">Other agriculture is </w:t>
      </w:r>
      <w:r w:rsidR="00227D0F" w:rsidRPr="00783670">
        <w:t xml:space="preserve">largely fixed </w:t>
      </w:r>
      <w:r w:rsidR="0095155E" w:rsidRPr="00783670">
        <w:t>a</w:t>
      </w:r>
      <w:r w:rsidR="00AE3EFC" w:rsidRPr="00783670">
        <w:t>s in</w:t>
      </w:r>
      <w:r w:rsidR="00227D0F" w:rsidRPr="00783670">
        <w:t xml:space="preserve"> the baseline scenario</w:t>
      </w:r>
      <w:r w:rsidR="00077E2A" w:rsidRPr="00783670">
        <w:t xml:space="preserve"> with adjustments for changes in land area only.</w:t>
      </w:r>
    </w:p>
    <w:p w14:paraId="79045658" w14:textId="10050729" w:rsidR="00AE3EFC" w:rsidRPr="005336FB" w:rsidRDefault="00FF275A" w:rsidP="00FF275A">
      <w:pPr>
        <w:pStyle w:val="Heading3"/>
      </w:pPr>
      <w:bookmarkStart w:id="44" w:name="_Toc184814265"/>
      <w:r w:rsidRPr="005336FB">
        <w:t>Livestock population</w:t>
      </w:r>
      <w:bookmarkEnd w:id="44"/>
    </w:p>
    <w:p w14:paraId="42B067B3" w14:textId="5624C5A9" w:rsidR="00FF275A" w:rsidRPr="005336FB" w:rsidRDefault="00F16A72" w:rsidP="00FF275A">
      <w:r w:rsidRPr="005336FB">
        <w:t xml:space="preserve">Baseline </w:t>
      </w:r>
      <w:r w:rsidR="005D010B" w:rsidRPr="005336FB">
        <w:t xml:space="preserve">livestock population </w:t>
      </w:r>
      <w:r w:rsidR="003C1C1C" w:rsidRPr="005336FB">
        <w:t>numbers</w:t>
      </w:r>
      <w:r w:rsidR="006B70FD" w:rsidRPr="005336FB">
        <w:t xml:space="preserve"> out to 2050</w:t>
      </w:r>
      <w:r w:rsidR="003C1C1C" w:rsidRPr="005336FB">
        <w:t xml:space="preserve"> </w:t>
      </w:r>
      <w:r w:rsidR="00056442" w:rsidRPr="005336FB">
        <w:t>are taken from</w:t>
      </w:r>
      <w:r w:rsidR="00E04E15" w:rsidRPr="005336FB">
        <w:t xml:space="preserve"> </w:t>
      </w:r>
      <w:r w:rsidR="00424E69" w:rsidRPr="005336FB">
        <w:t>the MPI emissions projections.</w:t>
      </w:r>
      <w:r w:rsidR="00843E53" w:rsidRPr="005336FB">
        <w:t xml:space="preserve"> </w:t>
      </w:r>
      <w:r w:rsidR="0044409D" w:rsidRPr="005336FB">
        <w:t>Data from the New Zealand Dairy Statistic</w:t>
      </w:r>
      <w:r w:rsidR="002C1865" w:rsidRPr="005336FB">
        <w:t xml:space="preserve">s </w:t>
      </w:r>
      <w:r w:rsidR="004D1470" w:rsidRPr="005336FB">
        <w:t>201</w:t>
      </w:r>
      <w:r w:rsidR="00112DDB" w:rsidRPr="005336FB">
        <w:t>9/2020</w:t>
      </w:r>
      <w:r w:rsidR="00F37012" w:rsidRPr="005336FB">
        <w:t xml:space="preserve"> are also used to </w:t>
      </w:r>
      <w:r w:rsidR="005240B5" w:rsidRPr="005336FB">
        <w:t>project</w:t>
      </w:r>
      <w:r w:rsidR="00B16AEA" w:rsidRPr="005336FB">
        <w:t xml:space="preserve"> milking cow population from total dairy cattle.</w:t>
      </w:r>
      <w:r w:rsidR="00E31920" w:rsidRPr="005336FB">
        <w:t xml:space="preserve"> </w:t>
      </w:r>
      <w:r w:rsidR="0025420E" w:rsidRPr="005336FB">
        <w:t>National average stocking rates are calculated</w:t>
      </w:r>
      <w:r w:rsidR="00BD4C00" w:rsidRPr="005336FB">
        <w:t xml:space="preserve"> based on total population and land area.</w:t>
      </w:r>
    </w:p>
    <w:p w14:paraId="2A245E44" w14:textId="6739ED4F" w:rsidR="00F43769" w:rsidRPr="005336FB" w:rsidRDefault="00D20F20" w:rsidP="00FF275A">
      <w:r w:rsidRPr="005336FB">
        <w:t>In the control panel, the</w:t>
      </w:r>
      <w:r w:rsidR="008F1F97" w:rsidRPr="005336FB">
        <w:t xml:space="preserve"> user can </w:t>
      </w:r>
      <w:r w:rsidR="00C3531A" w:rsidRPr="005336FB">
        <w:t>select</w:t>
      </w:r>
      <w:r w:rsidR="008F1F97" w:rsidRPr="005336FB">
        <w:t xml:space="preserve"> a different trajectory for </w:t>
      </w:r>
      <w:r w:rsidR="00400A7B" w:rsidRPr="005336FB">
        <w:t xml:space="preserve">average stocking rates </w:t>
      </w:r>
      <w:r w:rsidRPr="005336FB">
        <w:t>with the</w:t>
      </w:r>
      <w:r w:rsidR="001666B8" w:rsidRPr="005336FB">
        <w:t xml:space="preserve"> </w:t>
      </w:r>
      <w:r w:rsidR="001666B8" w:rsidRPr="005336FB">
        <w:rPr>
          <w:i/>
        </w:rPr>
        <w:t>Stocking rate scenario</w:t>
      </w:r>
      <w:r w:rsidR="001666B8" w:rsidRPr="005336FB">
        <w:t xml:space="preserve"> </w:t>
      </w:r>
      <w:r w:rsidR="00B64BBD" w:rsidRPr="005336FB">
        <w:t>paramet</w:t>
      </w:r>
      <w:r w:rsidR="008B397F" w:rsidRPr="005336FB">
        <w:t>er</w:t>
      </w:r>
      <w:r w:rsidRPr="005336FB">
        <w:t xml:space="preserve">. </w:t>
      </w:r>
      <w:r w:rsidR="00210916" w:rsidRPr="005336FB">
        <w:t>Th</w:t>
      </w:r>
      <w:r w:rsidR="00326F67" w:rsidRPr="005336FB">
        <w:t xml:space="preserve">e assumptions for each parameter setting are specified in </w:t>
      </w:r>
      <w:r w:rsidR="00D562E4" w:rsidRPr="005336FB">
        <w:t xml:space="preserve">the </w:t>
      </w:r>
      <w:r w:rsidR="00D562E4" w:rsidRPr="005336FB">
        <w:rPr>
          <w:b/>
        </w:rPr>
        <w:t>Ag assumptions</w:t>
      </w:r>
      <w:r w:rsidR="00D562E4" w:rsidRPr="005336FB">
        <w:t xml:space="preserve"> worksheet (section titled ‘Future stocking rate scenarios’).</w:t>
      </w:r>
    </w:p>
    <w:p w14:paraId="6D49B4B0" w14:textId="3BDAE23F" w:rsidR="00F43769" w:rsidRPr="00A37D13" w:rsidRDefault="000F3721" w:rsidP="00D562E4">
      <w:pPr>
        <w:pStyle w:val="Heading3"/>
      </w:pPr>
      <w:bookmarkStart w:id="45" w:name="_Toc184814266"/>
      <w:r w:rsidRPr="00A37D13">
        <w:t xml:space="preserve">Milk and meat </w:t>
      </w:r>
      <w:proofErr w:type="gramStart"/>
      <w:r w:rsidRPr="00A37D13">
        <w:t>production</w:t>
      </w:r>
      <w:bookmarkEnd w:id="45"/>
      <w:proofErr w:type="gramEnd"/>
    </w:p>
    <w:p w14:paraId="68FEE541" w14:textId="1200B6D2" w:rsidR="00D562E4" w:rsidRPr="00A37D13" w:rsidRDefault="00F7502D" w:rsidP="00FF275A">
      <w:r w:rsidRPr="00A37D13">
        <w:t>Bas</w:t>
      </w:r>
      <w:r w:rsidR="00744096" w:rsidRPr="00A37D13">
        <w:t xml:space="preserve">eline </w:t>
      </w:r>
      <w:r w:rsidR="006E72BA" w:rsidRPr="00A37D13">
        <w:t xml:space="preserve">milk </w:t>
      </w:r>
      <w:r w:rsidR="0015199F" w:rsidRPr="00A37D13">
        <w:t xml:space="preserve">and meat </w:t>
      </w:r>
      <w:r w:rsidR="006E72BA" w:rsidRPr="00A37D13">
        <w:t xml:space="preserve">production </w:t>
      </w:r>
      <w:r w:rsidR="0015199F" w:rsidRPr="00A37D13">
        <w:t xml:space="preserve">are projected based on </w:t>
      </w:r>
      <w:r w:rsidR="004A05C8" w:rsidRPr="00A37D13">
        <w:t xml:space="preserve">the MPI </w:t>
      </w:r>
      <w:r w:rsidR="00034C95" w:rsidRPr="00A37D13">
        <w:t xml:space="preserve">emissions </w:t>
      </w:r>
      <w:r w:rsidR="004A05C8" w:rsidRPr="00A37D13">
        <w:t>projections</w:t>
      </w:r>
      <w:r w:rsidR="003762DF" w:rsidRPr="00A37D13">
        <w:t xml:space="preserve"> and used as a</w:t>
      </w:r>
      <w:r w:rsidR="00E009FA" w:rsidRPr="00A37D13">
        <w:t>n</w:t>
      </w:r>
      <w:r w:rsidR="003762DF" w:rsidRPr="00A37D13">
        <w:t xml:space="preserve"> input</w:t>
      </w:r>
      <w:r w:rsidR="006727A3" w:rsidRPr="00A37D13">
        <w:t xml:space="preserve"> in the </w:t>
      </w:r>
      <w:r w:rsidR="001631A5" w:rsidRPr="00A37D13">
        <w:rPr>
          <w:b/>
          <w:bCs/>
        </w:rPr>
        <w:t>Inputs</w:t>
      </w:r>
      <w:r w:rsidR="006727A3" w:rsidRPr="00A37D13">
        <w:rPr>
          <w:b/>
        </w:rPr>
        <w:t xml:space="preserve"> </w:t>
      </w:r>
      <w:r w:rsidR="006727A3" w:rsidRPr="00A37D13">
        <w:t>worksheet</w:t>
      </w:r>
      <w:r w:rsidR="004A05C8" w:rsidRPr="00A37D13">
        <w:t xml:space="preserve">. </w:t>
      </w:r>
      <w:r w:rsidR="00034C95" w:rsidRPr="00A37D13">
        <w:t xml:space="preserve">For milk, </w:t>
      </w:r>
      <w:r w:rsidR="00E66FBF" w:rsidRPr="00A37D13">
        <w:t xml:space="preserve">MPI provides </w:t>
      </w:r>
      <w:r w:rsidR="00A336DA" w:rsidRPr="00A37D13">
        <w:t>total liquid milk production in litres. This is converted to total production of milk solids</w:t>
      </w:r>
      <w:r w:rsidR="0074448D" w:rsidRPr="00A37D13">
        <w:t xml:space="preserve"> by</w:t>
      </w:r>
      <w:r w:rsidR="00A336DA" w:rsidRPr="00A37D13">
        <w:t xml:space="preserve"> linear extrapolat</w:t>
      </w:r>
      <w:r w:rsidR="0074448D" w:rsidRPr="00A37D13">
        <w:t>i</w:t>
      </w:r>
      <w:r w:rsidR="00527F84" w:rsidRPr="00A37D13">
        <w:t xml:space="preserve">on of </w:t>
      </w:r>
      <w:r w:rsidR="00A336DA" w:rsidRPr="00A37D13">
        <w:t>the historic trend</w:t>
      </w:r>
      <w:r w:rsidR="00161A28" w:rsidRPr="00A37D13">
        <w:t xml:space="preserve"> in </w:t>
      </w:r>
      <w:r w:rsidR="008437B4" w:rsidRPr="00A37D13">
        <w:t>milk solids per litre of milk.</w:t>
      </w:r>
      <w:r w:rsidR="005B7966" w:rsidRPr="00A37D13">
        <w:t xml:space="preserve"> </w:t>
      </w:r>
      <w:r w:rsidR="00583E47" w:rsidRPr="00A37D13">
        <w:t xml:space="preserve">The Commission has estimated </w:t>
      </w:r>
      <w:r w:rsidR="00854417" w:rsidRPr="00A37D13">
        <w:t xml:space="preserve">baseline </w:t>
      </w:r>
      <w:r w:rsidR="00583E47" w:rsidRPr="00A37D13">
        <w:t xml:space="preserve">meat production </w:t>
      </w:r>
      <w:r w:rsidR="00620656" w:rsidRPr="00A37D13">
        <w:t xml:space="preserve">using </w:t>
      </w:r>
      <w:r w:rsidR="00583E47" w:rsidRPr="00A37D13">
        <w:t xml:space="preserve">historic and projected carcass weights </w:t>
      </w:r>
      <w:r w:rsidR="00FA7868" w:rsidRPr="00A37D13">
        <w:t>provided by</w:t>
      </w:r>
      <w:r w:rsidR="00583E47" w:rsidRPr="00A37D13">
        <w:t xml:space="preserve"> MPI</w:t>
      </w:r>
      <w:r w:rsidR="00E52255" w:rsidRPr="00A37D13">
        <w:t xml:space="preserve"> along with</w:t>
      </w:r>
      <w:r w:rsidR="0056453D" w:rsidRPr="00A37D13">
        <w:t xml:space="preserve"> </w:t>
      </w:r>
      <w:r w:rsidR="008B6EE0" w:rsidRPr="00A37D13">
        <w:t xml:space="preserve">livestock </w:t>
      </w:r>
      <w:r w:rsidR="00803EEE" w:rsidRPr="00A37D13">
        <w:t>slaugh</w:t>
      </w:r>
      <w:r w:rsidR="00B31640" w:rsidRPr="00A37D13">
        <w:t xml:space="preserve">ter </w:t>
      </w:r>
      <w:r w:rsidR="0000063E" w:rsidRPr="00A37D13">
        <w:t>statistics</w:t>
      </w:r>
      <w:r w:rsidR="00E52255" w:rsidRPr="00A37D13">
        <w:t xml:space="preserve">. </w:t>
      </w:r>
      <w:r w:rsidR="00E31D58" w:rsidRPr="00A37D13">
        <w:t>The</w:t>
      </w:r>
      <w:r w:rsidR="00800ADA" w:rsidRPr="00A37D13">
        <w:t xml:space="preserve"> model uses and reports estimated </w:t>
      </w:r>
      <w:r w:rsidR="006117BD" w:rsidRPr="00A37D13">
        <w:t>meat production f</w:t>
      </w:r>
      <w:r w:rsidR="003870A5" w:rsidRPr="00A37D13">
        <w:t xml:space="preserve">rom </w:t>
      </w:r>
      <w:r w:rsidR="006117BD" w:rsidRPr="00A37D13">
        <w:t xml:space="preserve">sheep and beef </w:t>
      </w:r>
      <w:r w:rsidR="00E22564" w:rsidRPr="00A37D13">
        <w:t>farming</w:t>
      </w:r>
      <w:r w:rsidR="006B3713" w:rsidRPr="00A37D13">
        <w:t xml:space="preserve"> only</w:t>
      </w:r>
      <w:r w:rsidR="00E22564" w:rsidRPr="00A37D13">
        <w:t xml:space="preserve"> – as a measure of output for the sector – </w:t>
      </w:r>
      <w:r w:rsidR="006B3713" w:rsidRPr="00A37D13">
        <w:t xml:space="preserve">excluding </w:t>
      </w:r>
      <w:r w:rsidR="00F76E1E" w:rsidRPr="00A37D13">
        <w:t xml:space="preserve">meat from dairy cattle and other </w:t>
      </w:r>
      <w:r w:rsidR="005C2BAE" w:rsidRPr="00A37D13">
        <w:t>livestock types such as deer.</w:t>
      </w:r>
    </w:p>
    <w:p w14:paraId="0D063EDB" w14:textId="4DDC9044" w:rsidR="00EC1844" w:rsidRPr="00A37D13" w:rsidRDefault="00872AC4" w:rsidP="00A661E5">
      <w:r w:rsidRPr="00A37D13">
        <w:t xml:space="preserve">In the model, </w:t>
      </w:r>
      <w:r w:rsidR="00A816EE" w:rsidRPr="00A37D13">
        <w:t>production</w:t>
      </w:r>
      <w:r w:rsidR="007C0C90" w:rsidRPr="00A37D13">
        <w:t xml:space="preserve"> per </w:t>
      </w:r>
      <w:r w:rsidR="00CB621C" w:rsidRPr="00A37D13">
        <w:t>animal</w:t>
      </w:r>
      <w:r w:rsidR="00B02221" w:rsidRPr="00A37D13">
        <w:t xml:space="preserve"> (referred to as ‘productivity’)</w:t>
      </w:r>
      <w:r w:rsidR="007C0C90" w:rsidRPr="00A37D13">
        <w:t xml:space="preserve"> </w:t>
      </w:r>
      <w:r w:rsidR="00521812" w:rsidRPr="00A37D13">
        <w:t xml:space="preserve">is </w:t>
      </w:r>
      <w:r w:rsidR="00CB621C" w:rsidRPr="00A37D13">
        <w:t xml:space="preserve">first </w:t>
      </w:r>
      <w:r w:rsidR="00FA7443" w:rsidRPr="00A37D13">
        <w:t>calculated</w:t>
      </w:r>
      <w:r w:rsidR="00521812" w:rsidRPr="00A37D13">
        <w:t xml:space="preserve"> based on two scenario parameters</w:t>
      </w:r>
      <w:r w:rsidR="003937F2" w:rsidRPr="00A37D13">
        <w:t xml:space="preserve"> </w:t>
      </w:r>
      <w:r w:rsidR="00C3531A" w:rsidRPr="00A37D13">
        <w:t>selected</w:t>
      </w:r>
      <w:r w:rsidR="003937F2" w:rsidRPr="00A37D13">
        <w:t xml:space="preserve"> in the </w:t>
      </w:r>
      <w:r w:rsidR="001631A5" w:rsidRPr="00A37D13">
        <w:rPr>
          <w:b/>
          <w:bCs/>
        </w:rPr>
        <w:t>Inputs</w:t>
      </w:r>
      <w:r w:rsidR="003937F2" w:rsidRPr="00A37D13">
        <w:rPr>
          <w:b/>
        </w:rPr>
        <w:t xml:space="preserve"> </w:t>
      </w:r>
      <w:r w:rsidR="003937F2" w:rsidRPr="00A37D13">
        <w:t>worksheet</w:t>
      </w:r>
      <w:r w:rsidR="00A661E5" w:rsidRPr="00A37D13">
        <w:t>:</w:t>
      </w:r>
    </w:p>
    <w:p w14:paraId="4281392F" w14:textId="6F142A6B" w:rsidR="00497C8A" w:rsidRPr="00A37D13" w:rsidRDefault="00EB05A2" w:rsidP="00EC1844">
      <w:pPr>
        <w:pStyle w:val="ListParagraph"/>
        <w:numPr>
          <w:ilvl w:val="0"/>
          <w:numId w:val="7"/>
        </w:numPr>
      </w:pPr>
      <w:r w:rsidRPr="00A37D13">
        <w:rPr>
          <w:i/>
        </w:rPr>
        <w:t>B</w:t>
      </w:r>
      <w:r w:rsidR="00A661E5" w:rsidRPr="00A37D13">
        <w:rPr>
          <w:i/>
        </w:rPr>
        <w:t>aseline productivity</w:t>
      </w:r>
      <w:r w:rsidR="00C74DD7">
        <w:t>: t</w:t>
      </w:r>
      <w:r w:rsidR="00EC1844" w:rsidRPr="00A37D13">
        <w:t xml:space="preserve">his defines </w:t>
      </w:r>
      <w:r w:rsidR="00387695" w:rsidRPr="00A37D13">
        <w:t>a</w:t>
      </w:r>
      <w:r w:rsidR="00A424C8" w:rsidRPr="00A37D13">
        <w:t xml:space="preserve">n exogenous rate of improvement in production per animal which can decline over time. </w:t>
      </w:r>
      <w:r w:rsidR="005D176F" w:rsidRPr="00A37D13">
        <w:t xml:space="preserve">The </w:t>
      </w:r>
      <w:r w:rsidR="001A7576" w:rsidRPr="00A37D13">
        <w:t xml:space="preserve">standard setting </w:t>
      </w:r>
      <w:r w:rsidR="00110AD3" w:rsidRPr="00A37D13">
        <w:t>used has been</w:t>
      </w:r>
      <w:r w:rsidRPr="00A37D13">
        <w:t xml:space="preserve"> </w:t>
      </w:r>
      <w:r w:rsidR="00E33E01" w:rsidRPr="00A37D13">
        <w:t xml:space="preserve">manually </w:t>
      </w:r>
      <w:r w:rsidR="00273AFD" w:rsidRPr="00A37D13">
        <w:t xml:space="preserve">calibrated to </w:t>
      </w:r>
      <w:r w:rsidR="00E33E01" w:rsidRPr="00A37D13">
        <w:t xml:space="preserve">match the </w:t>
      </w:r>
      <w:r w:rsidR="000329C5" w:rsidRPr="00A37D13">
        <w:t xml:space="preserve">total </w:t>
      </w:r>
      <w:r w:rsidR="001A7576" w:rsidRPr="00A37D13">
        <w:t xml:space="preserve">baseline </w:t>
      </w:r>
      <w:r w:rsidR="000329C5" w:rsidRPr="00A37D13">
        <w:t>production inputs described above</w:t>
      </w:r>
      <w:r w:rsidR="00A95A89" w:rsidRPr="00A37D13">
        <w:t>.</w:t>
      </w:r>
      <w:r w:rsidR="00EE5580" w:rsidRPr="00A37D13">
        <w:rPr>
          <w:rStyle w:val="FootnoteReference"/>
        </w:rPr>
        <w:footnoteReference w:id="2"/>
      </w:r>
      <w:r w:rsidR="00A95A89" w:rsidRPr="00A37D13">
        <w:t xml:space="preserve"> </w:t>
      </w:r>
    </w:p>
    <w:p w14:paraId="4A7A1DD3" w14:textId="4D6BFAAD" w:rsidR="00311F2C" w:rsidRPr="00A37D13" w:rsidRDefault="00EC1844" w:rsidP="00462D75">
      <w:pPr>
        <w:pStyle w:val="ListParagraph"/>
        <w:numPr>
          <w:ilvl w:val="0"/>
          <w:numId w:val="7"/>
        </w:numPr>
      </w:pPr>
      <w:r w:rsidRPr="00A37D13">
        <w:rPr>
          <w:i/>
        </w:rPr>
        <w:t>Stocking rate-production relationship</w:t>
      </w:r>
      <w:r w:rsidR="00C74DD7">
        <w:t>: t</w:t>
      </w:r>
      <w:r w:rsidR="009138D6" w:rsidRPr="00A37D13">
        <w:t xml:space="preserve">his </w:t>
      </w:r>
      <w:r w:rsidR="009C19C9" w:rsidRPr="00A37D13">
        <w:t xml:space="preserve">defines </w:t>
      </w:r>
      <w:r w:rsidR="00462D75" w:rsidRPr="00A37D13">
        <w:t xml:space="preserve">a parameter for </w:t>
      </w:r>
      <w:r w:rsidR="00311F2C" w:rsidRPr="00A37D13">
        <w:t>an equation relating changes in</w:t>
      </w:r>
      <w:r w:rsidR="00232BDF" w:rsidRPr="00A37D13">
        <w:t xml:space="preserve"> average</w:t>
      </w:r>
      <w:r w:rsidR="00311F2C" w:rsidRPr="00A37D13">
        <w:t xml:space="preserve"> stocking rate to changes in </w:t>
      </w:r>
      <w:r w:rsidR="00C92F07" w:rsidRPr="00A37D13">
        <w:t>productivity</w:t>
      </w:r>
      <w:r w:rsidR="00311F2C" w:rsidRPr="00A37D13">
        <w:t>. Th</w:t>
      </w:r>
      <w:r w:rsidR="00F6785C" w:rsidRPr="00A37D13">
        <w:t xml:space="preserve">is </w:t>
      </w:r>
      <w:r w:rsidR="00311F2C" w:rsidRPr="00A37D13">
        <w:t xml:space="preserve">assumes production per animal can increase up a curve towards a maximum value as stocking rate is reduced. </w:t>
      </w:r>
      <w:r w:rsidR="00062410" w:rsidRPr="00A37D13">
        <w:t xml:space="preserve">The </w:t>
      </w:r>
      <w:r w:rsidR="00062410" w:rsidRPr="00A37D13">
        <w:lastRenderedPageBreak/>
        <w:t xml:space="preserve">scenario parameter defines the </w:t>
      </w:r>
      <w:r w:rsidR="00BB7452" w:rsidRPr="00A37D13">
        <w:t xml:space="preserve">starting point on the curve, </w:t>
      </w:r>
      <w:r w:rsidR="00AD5814" w:rsidRPr="00A37D13">
        <w:t xml:space="preserve">which </w:t>
      </w:r>
      <w:r w:rsidR="006C4E0F" w:rsidRPr="00A37D13">
        <w:t>determines</w:t>
      </w:r>
      <w:r w:rsidR="006469E6" w:rsidRPr="00A37D13">
        <w:t xml:space="preserve"> </w:t>
      </w:r>
      <w:r w:rsidR="006772AF" w:rsidRPr="00A37D13">
        <w:t xml:space="preserve">the extent to which </w:t>
      </w:r>
      <w:r w:rsidR="00CA1FBE" w:rsidRPr="00A37D13">
        <w:t xml:space="preserve">production per animal </w:t>
      </w:r>
      <w:r w:rsidR="003B1188" w:rsidRPr="00A37D13">
        <w:t>can be increased relative to the starting value</w:t>
      </w:r>
      <w:r w:rsidR="00062410" w:rsidRPr="00A37D13">
        <w:t>.</w:t>
      </w:r>
    </w:p>
    <w:p w14:paraId="2C992E36" w14:textId="75022D6B" w:rsidR="0089592C" w:rsidRPr="00A37D13" w:rsidRDefault="00BA489C" w:rsidP="0089592C">
      <w:r w:rsidRPr="00A37D13">
        <w:t xml:space="preserve">This calculation takes place in the </w:t>
      </w:r>
      <w:proofErr w:type="gramStart"/>
      <w:r w:rsidRPr="00A37D13">
        <w:rPr>
          <w:b/>
        </w:rPr>
        <w:t>Agriculture</w:t>
      </w:r>
      <w:proofErr w:type="gramEnd"/>
      <w:r w:rsidRPr="00A37D13">
        <w:t xml:space="preserve"> worksheet. </w:t>
      </w:r>
      <w:r w:rsidR="00517187" w:rsidRPr="00A37D13">
        <w:t xml:space="preserve">Total production is </w:t>
      </w:r>
      <w:r w:rsidR="00FD0A42" w:rsidRPr="00A37D13">
        <w:t xml:space="preserve">then </w:t>
      </w:r>
      <w:r w:rsidR="00517187" w:rsidRPr="00A37D13">
        <w:t>calculated by multiplying production per animal by total population.</w:t>
      </w:r>
    </w:p>
    <w:p w14:paraId="0240B9CB" w14:textId="4877A44D" w:rsidR="00FC1987" w:rsidRPr="00A37D13" w:rsidRDefault="7073753F" w:rsidP="0089592C">
      <w:r>
        <w:t>Production by region</w:t>
      </w:r>
      <w:r w:rsidR="2ED9B0D5">
        <w:t xml:space="preserve"> is estima</w:t>
      </w:r>
      <w:r w:rsidR="4F0B53C5">
        <w:t>ted for use as an</w:t>
      </w:r>
      <w:r>
        <w:t xml:space="preserve"> input into </w:t>
      </w:r>
      <w:r w:rsidR="386688A9">
        <w:t xml:space="preserve">the </w:t>
      </w:r>
      <w:r>
        <w:t>food processing energy module</w:t>
      </w:r>
      <w:r w:rsidR="386688A9">
        <w:t xml:space="preserve"> (cross-reference to HIP section)</w:t>
      </w:r>
      <w:r w:rsidR="4F0B53C5">
        <w:t>.</w:t>
      </w:r>
      <w:r w:rsidR="4B934D77">
        <w:t xml:space="preserve"> This is based on a mapping of </w:t>
      </w:r>
      <w:r w:rsidR="125E5631">
        <w:t xml:space="preserve">regional production data from the New Zealand Dairy Statistics 2019/2020 and Beef &amp; Lamb New Zealand Benchmarking Data </w:t>
      </w:r>
      <w:r w:rsidR="3F8ED676">
        <w:t>2018/2019</w:t>
      </w:r>
      <w:r w:rsidR="55145E91">
        <w:t>.</w:t>
      </w:r>
      <w:r w:rsidR="6D9B4EAE">
        <w:t xml:space="preserve"> The </w:t>
      </w:r>
      <w:r w:rsidR="79642551">
        <w:t>calculation assumes regional shares of total production remain constant in the future.</w:t>
      </w:r>
    </w:p>
    <w:p w14:paraId="5D95D11E" w14:textId="300AE7FD" w:rsidR="00AA01D5" w:rsidRPr="00193117" w:rsidRDefault="00B13CBD" w:rsidP="00AA01D5">
      <w:pPr>
        <w:pStyle w:val="Heading3"/>
      </w:pPr>
      <w:bookmarkStart w:id="46" w:name="_Toc184814267"/>
      <w:r w:rsidRPr="00193117">
        <w:t>Modelling livestock emissions, before impact of technologies</w:t>
      </w:r>
      <w:bookmarkEnd w:id="46"/>
    </w:p>
    <w:p w14:paraId="4440AE9B" w14:textId="67D0ECC0" w:rsidR="00B13CBD" w:rsidRPr="00193117" w:rsidRDefault="007E10C4" w:rsidP="00B13CBD">
      <w:r w:rsidRPr="00193117">
        <w:t xml:space="preserve">Emissions from </w:t>
      </w:r>
      <w:r w:rsidR="00610C1D" w:rsidRPr="00193117">
        <w:t xml:space="preserve">livestock are first estimated </w:t>
      </w:r>
      <w:r w:rsidR="00462960" w:rsidRPr="00193117">
        <w:t xml:space="preserve">in the absence of any </w:t>
      </w:r>
      <w:r w:rsidR="006D38FC" w:rsidRPr="00193117">
        <w:t>low-</w:t>
      </w:r>
      <w:r w:rsidR="00E67B5D" w:rsidRPr="00193117">
        <w:t xml:space="preserve">emissions technologies that change </w:t>
      </w:r>
      <w:r w:rsidR="00BD24C8" w:rsidRPr="00193117">
        <w:t xml:space="preserve">how </w:t>
      </w:r>
      <w:r w:rsidR="00401591" w:rsidRPr="00193117">
        <w:t xml:space="preserve">feed consumption and livestock </w:t>
      </w:r>
      <w:r w:rsidR="000A7E78" w:rsidRPr="00193117">
        <w:t xml:space="preserve">numbers </w:t>
      </w:r>
      <w:r w:rsidR="009F3FDB" w:rsidRPr="00193117">
        <w:t>drive emissions</w:t>
      </w:r>
      <w:r w:rsidR="00495FAC" w:rsidRPr="00193117">
        <w:t>. The effect</w:t>
      </w:r>
      <w:r w:rsidR="003328CD" w:rsidRPr="00193117">
        <w:t>s</w:t>
      </w:r>
      <w:r w:rsidR="00495FAC" w:rsidRPr="00193117">
        <w:t xml:space="preserve"> of </w:t>
      </w:r>
      <w:r w:rsidR="00806EBB" w:rsidRPr="00193117">
        <w:t xml:space="preserve">such </w:t>
      </w:r>
      <w:r w:rsidR="00495FAC" w:rsidRPr="00193117">
        <w:t xml:space="preserve">technologies are </w:t>
      </w:r>
      <w:r w:rsidR="00806EBB" w:rsidRPr="00193117">
        <w:t>then superimposed as described in the next section.</w:t>
      </w:r>
      <w:r w:rsidR="00254F96" w:rsidRPr="00193117">
        <w:t xml:space="preserve"> This takes place in the </w:t>
      </w:r>
      <w:proofErr w:type="gramStart"/>
      <w:r w:rsidR="00254F96" w:rsidRPr="00193117">
        <w:rPr>
          <w:b/>
        </w:rPr>
        <w:t>Agriculture</w:t>
      </w:r>
      <w:proofErr w:type="gramEnd"/>
      <w:r w:rsidR="00254F96" w:rsidRPr="00193117">
        <w:t xml:space="preserve"> worksheet.</w:t>
      </w:r>
    </w:p>
    <w:p w14:paraId="65FEC30C" w14:textId="07D00C7B" w:rsidR="00516818" w:rsidRPr="00193117" w:rsidRDefault="008A546A" w:rsidP="00516818">
      <w:r w:rsidRPr="00193117">
        <w:t xml:space="preserve">ENZ uses a </w:t>
      </w:r>
      <w:r w:rsidR="006501A7" w:rsidRPr="00193117">
        <w:t xml:space="preserve">simplified </w:t>
      </w:r>
      <w:r w:rsidR="00C44C91" w:rsidRPr="00193117">
        <w:t>mode</w:t>
      </w:r>
      <w:r w:rsidR="00F5280B" w:rsidRPr="00193117">
        <w:t xml:space="preserve">lling approach </w:t>
      </w:r>
      <w:r w:rsidR="005C1A1E" w:rsidRPr="00193117">
        <w:t>which aims to emulate the emissions outcomes</w:t>
      </w:r>
      <w:r w:rsidR="00BC1D4E" w:rsidRPr="00193117">
        <w:t xml:space="preserve"> of </w:t>
      </w:r>
      <w:r w:rsidR="00AD6FC2" w:rsidRPr="00193117">
        <w:t>MPI’s</w:t>
      </w:r>
      <w:r w:rsidR="00BC1D4E" w:rsidRPr="00193117">
        <w:t xml:space="preserve"> more detailed </w:t>
      </w:r>
      <w:r w:rsidR="00A33E3D" w:rsidRPr="00193117">
        <w:t>Agricultural Greenhouse Gas Inventory model.</w:t>
      </w:r>
      <w:r w:rsidR="00DC1A62" w:rsidRPr="00193117">
        <w:t xml:space="preserve"> </w:t>
      </w:r>
      <w:r w:rsidR="005B089A" w:rsidRPr="00193117">
        <w:t>Th</w:t>
      </w:r>
      <w:r w:rsidR="00BF6697" w:rsidRPr="00193117">
        <w:t>e approach</w:t>
      </w:r>
      <w:r w:rsidR="00516818" w:rsidRPr="00193117">
        <w:t xml:space="preserve"> assumes a quadratic relationship between total </w:t>
      </w:r>
      <w:r w:rsidR="006A1E80" w:rsidRPr="00193117">
        <w:t>CO</w:t>
      </w:r>
      <w:r w:rsidR="006A1E80" w:rsidRPr="00193117">
        <w:rPr>
          <w:vertAlign w:val="subscript"/>
        </w:rPr>
        <w:t>2</w:t>
      </w:r>
      <w:r w:rsidR="006A1E80" w:rsidRPr="00193117">
        <w:t xml:space="preserve">-e </w:t>
      </w:r>
      <w:r w:rsidR="00516818" w:rsidRPr="00193117">
        <w:t>emissions per head (</w:t>
      </w:r>
      <w:r w:rsidR="00516818" w:rsidRPr="00193117">
        <w:rPr>
          <w:i/>
        </w:rPr>
        <w:t>E</w:t>
      </w:r>
      <w:r w:rsidR="00516818" w:rsidRPr="00193117">
        <w:rPr>
          <w:i/>
          <w:vertAlign w:val="subscript"/>
        </w:rPr>
        <w:t>h</w:t>
      </w:r>
      <w:r w:rsidR="00516818" w:rsidRPr="00193117">
        <w:t>) and production per head (</w:t>
      </w:r>
      <w:r w:rsidR="00516818" w:rsidRPr="00193117">
        <w:rPr>
          <w:i/>
        </w:rPr>
        <w:t>P</w:t>
      </w:r>
      <w:r w:rsidR="00516818" w:rsidRPr="00193117">
        <w:rPr>
          <w:i/>
          <w:vertAlign w:val="subscript"/>
        </w:rPr>
        <w:t>h</w:t>
      </w:r>
      <w:r w:rsidR="00516818" w:rsidRPr="00193117">
        <w:t>):</w:t>
      </w:r>
    </w:p>
    <w:p w14:paraId="798D7DB8" w14:textId="4AEB429C" w:rsidR="00516818" w:rsidRPr="001E507E" w:rsidRDefault="00DC1A62" w:rsidP="00516818">
      <w:pPr>
        <w:rPr>
          <w:highlight w:val="yellow"/>
        </w:rPr>
      </w:pPr>
      <w:r w:rsidRPr="001E507E">
        <w:rPr>
          <w:noProof/>
          <w:highlight w:val="yellow"/>
        </w:rPr>
        <mc:AlternateContent>
          <mc:Choice Requires="wps">
            <w:drawing>
              <wp:anchor distT="0" distB="0" distL="114300" distR="114300" simplePos="0" relativeHeight="251659264" behindDoc="0" locked="0" layoutInCell="1" allowOverlap="1" wp14:anchorId="6650474E" wp14:editId="1F8DFB31">
                <wp:simplePos x="0" y="0"/>
                <wp:positionH relativeFrom="margin">
                  <wp:posOffset>1848359</wp:posOffset>
                </wp:positionH>
                <wp:positionV relativeFrom="paragraph">
                  <wp:posOffset>-36759</wp:posOffset>
                </wp:positionV>
                <wp:extent cx="1496060" cy="288290"/>
                <wp:effectExtent l="0" t="0" r="0" b="0"/>
                <wp:wrapNone/>
                <wp:docPr id="4" name="Text Box 4">
                  <a:extLst xmlns:a="http://schemas.openxmlformats.org/drawingml/2006/main">
                    <a:ext uri="{FF2B5EF4-FFF2-40B4-BE49-F238E27FC236}">
                      <a16:creationId xmlns:a16="http://schemas.microsoft.com/office/drawing/2014/main" id="{93A69914-0298-45D7-9CB8-ED318323287A}"/>
                    </a:ext>
                  </a:extLst>
                </wp:docPr>
                <wp:cNvGraphicFramePr/>
                <a:graphic xmlns:a="http://schemas.openxmlformats.org/drawingml/2006/main">
                  <a:graphicData uri="http://schemas.microsoft.com/office/word/2010/wordprocessingShape">
                    <wps:wsp>
                      <wps:cNvSpPr txBox="1"/>
                      <wps:spPr>
                        <a:xfrm>
                          <a:off x="0" y="0"/>
                          <a:ext cx="1496060" cy="2882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2F1719" w14:textId="77777777" w:rsidR="00175B9C" w:rsidRDefault="00000000" w:rsidP="007409EF">
                            <w:pPr>
                              <w:jc w:val="center"/>
                              <w:rPr>
                                <w:rFonts w:ascii="Cambria Math" w:hAnsi="+mn-cs"/>
                                <w:i/>
                                <w:color w:val="000000" w:themeColor="text1"/>
                              </w:rPr>
                            </w:pPr>
                            <m:oMathPara>
                              <m:oMathParaPr>
                                <m:jc m:val="centerGroup"/>
                              </m:oMathParaPr>
                              <m:oMath>
                                <m:sSub>
                                  <m:sSubPr>
                                    <m:ctrlPr>
                                      <w:rPr>
                                        <w:rFonts w:ascii="Cambria Math" w:eastAsiaTheme="minorEastAsia" w:hAnsi="Cambria Math"/>
                                        <w:i/>
                                        <w:color w:val="000000" w:themeColor="text1"/>
                                      </w:rPr>
                                    </m:ctrlPr>
                                  </m:sSubPr>
                                  <m:e>
                                    <m:r>
                                      <w:rPr>
                                        <w:rFonts w:ascii="Cambria Math" w:hAnsi="Cambria Math"/>
                                        <w:color w:val="000000" w:themeColor="text1"/>
                                        <w:lang w:val="en-US"/>
                                      </w:rPr>
                                      <m:t>E</m:t>
                                    </m:r>
                                  </m:e>
                                  <m:sub>
                                    <m:r>
                                      <w:rPr>
                                        <w:rFonts w:ascii="Cambria Math" w:hAnsi="Cambria Math"/>
                                        <w:color w:val="000000" w:themeColor="text1"/>
                                        <w:lang w:val="en-US"/>
                                      </w:rPr>
                                      <m:t>h</m:t>
                                    </m:r>
                                  </m:sub>
                                </m:sSub>
                                <m:r>
                                  <w:rPr>
                                    <w:rFonts w:ascii="Cambria Math" w:hAnsi="Cambria Math"/>
                                    <w:color w:val="000000" w:themeColor="text1"/>
                                    <w:lang w:val="en-US"/>
                                  </w:rPr>
                                  <m:t>=a</m:t>
                                </m:r>
                                <m:sSup>
                                  <m:sSupPr>
                                    <m:ctrlPr>
                                      <w:rPr>
                                        <w:rFonts w:ascii="Cambria Math" w:eastAsiaTheme="minorEastAsia" w:hAnsi="Cambria Math"/>
                                        <w:i/>
                                        <w:color w:val="000000" w:themeColor="text1"/>
                                        <w:lang w:val="en-US"/>
                                      </w:rPr>
                                    </m:ctrlPr>
                                  </m:sSupPr>
                                  <m:e>
                                    <m:sSub>
                                      <m:sSubPr>
                                        <m:ctrlPr>
                                          <w:rPr>
                                            <w:rFonts w:ascii="Cambria Math" w:eastAsiaTheme="minorEastAsia"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h</m:t>
                                        </m:r>
                                      </m:sub>
                                    </m:sSub>
                                  </m:e>
                                  <m:sup>
                                    <m:r>
                                      <w:rPr>
                                        <w:rFonts w:ascii="Cambria Math" w:hAnsi="Cambria Math"/>
                                        <w:color w:val="000000" w:themeColor="text1"/>
                                        <w:lang w:val="en-US"/>
                                      </w:rPr>
                                      <m:t>2</m:t>
                                    </m:r>
                                  </m:sup>
                                </m:sSup>
                                <m:r>
                                  <w:rPr>
                                    <w:rFonts w:ascii="Cambria Math" w:hAnsi="Cambria Math"/>
                                    <w:color w:val="000000" w:themeColor="text1"/>
                                    <w:lang w:val="en-US"/>
                                  </w:rPr>
                                  <m:t>+</m:t>
                                </m:r>
                                <m:sSub>
                                  <m:sSubPr>
                                    <m:ctrlPr>
                                      <w:rPr>
                                        <w:rFonts w:ascii="Cambria Math" w:eastAsiaTheme="minorEastAsia" w:hAnsi="Cambria Math"/>
                                        <w:i/>
                                        <w:color w:val="000000" w:themeColor="text1"/>
                                        <w:lang w:val="en-US"/>
                                      </w:rPr>
                                    </m:ctrlPr>
                                  </m:sSubPr>
                                  <m:e>
                                    <m:r>
                                      <w:rPr>
                                        <w:rFonts w:ascii="Cambria Math" w:hAnsi="Cambria Math"/>
                                        <w:color w:val="000000" w:themeColor="text1"/>
                                        <w:lang w:val="en-US"/>
                                      </w:rPr>
                                      <m:t>bP</m:t>
                                    </m:r>
                                  </m:e>
                                  <m:sub>
                                    <m:r>
                                      <w:rPr>
                                        <w:rFonts w:ascii="Cambria Math" w:hAnsi="Cambria Math"/>
                                        <w:color w:val="000000" w:themeColor="text1"/>
                                        <w:lang w:val="en-US"/>
                                      </w:rPr>
                                      <m:t>h</m:t>
                                    </m:r>
                                  </m:sub>
                                </m:sSub>
                                <m:r>
                                  <w:rPr>
                                    <w:rFonts w:ascii="Cambria Math" w:hAnsi="Cambria Math"/>
                                    <w:color w:val="000000" w:themeColor="text1"/>
                                    <w:lang w:val="en-US"/>
                                  </w:rPr>
                                  <m:t>+c</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650474E" id="_x0000_t202" coordsize="21600,21600" o:spt="202" path="m,l,21600r21600,l21600,xe">
                <v:stroke joinstyle="miter"/>
                <v:path gradientshapeok="t" o:connecttype="rect"/>
              </v:shapetype>
              <v:shape id="Text Box 4" o:spid="_x0000_s1026" type="#_x0000_t202" style="position:absolute;margin-left:145.55pt;margin-top:-2.9pt;width:117.8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" filled="f" stroked="f">
                <v:textbox inset="0,0,0,0">
                  <w:txbxContent>
                    <w:p w14:paraId="142F1719" w14:textId="77777777" w:rsidR="00175B9C" w:rsidRDefault="00000000" w:rsidP="007409EF">
                      <w:pPr>
                        <w:jc w:val="center"/>
                        <w:rPr>
                          <w:rFonts w:ascii="Cambria Math" w:hAnsi="+mn-cs"/>
                          <w:i/>
                          <w:color w:val="000000" w:themeColor="text1"/>
                        </w:rPr>
                      </w:pPr>
                      <m:oMathPara>
                        <m:oMathParaPr>
                          <m:jc m:val="centerGroup"/>
                        </m:oMathParaPr>
                        <m:oMath>
                          <m:sSub>
                            <m:sSubPr>
                              <m:ctrlPr>
                                <w:rPr>
                                  <w:rFonts w:ascii="Cambria Math" w:eastAsiaTheme="minorEastAsia" w:hAnsi="Cambria Math"/>
                                  <w:i/>
                                  <w:color w:val="000000" w:themeColor="text1"/>
                                </w:rPr>
                              </m:ctrlPr>
                            </m:sSubPr>
                            <m:e>
                              <m:r>
                                <w:rPr>
                                  <w:rFonts w:ascii="Cambria Math" w:hAnsi="Cambria Math"/>
                                  <w:color w:val="000000" w:themeColor="text1"/>
                                  <w:lang w:val="en-US"/>
                                </w:rPr>
                                <m:t>E</m:t>
                              </m:r>
                            </m:e>
                            <m:sub>
                              <m:r>
                                <w:rPr>
                                  <w:rFonts w:ascii="Cambria Math" w:hAnsi="Cambria Math"/>
                                  <w:color w:val="000000" w:themeColor="text1"/>
                                  <w:lang w:val="en-US"/>
                                </w:rPr>
                                <m:t>h</m:t>
                              </m:r>
                            </m:sub>
                          </m:sSub>
                          <m:r>
                            <w:rPr>
                              <w:rFonts w:ascii="Cambria Math" w:hAnsi="Cambria Math"/>
                              <w:color w:val="000000" w:themeColor="text1"/>
                              <w:lang w:val="en-US"/>
                            </w:rPr>
                            <m:t>=a</m:t>
                          </m:r>
                          <m:sSup>
                            <m:sSupPr>
                              <m:ctrlPr>
                                <w:rPr>
                                  <w:rFonts w:ascii="Cambria Math" w:eastAsiaTheme="minorEastAsia" w:hAnsi="Cambria Math"/>
                                  <w:i/>
                                  <w:color w:val="000000" w:themeColor="text1"/>
                                  <w:lang w:val="en-US"/>
                                </w:rPr>
                              </m:ctrlPr>
                            </m:sSupPr>
                            <m:e>
                              <m:sSub>
                                <m:sSubPr>
                                  <m:ctrlPr>
                                    <w:rPr>
                                      <w:rFonts w:ascii="Cambria Math" w:eastAsiaTheme="minorEastAsia"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h</m:t>
                                  </m:r>
                                </m:sub>
                              </m:sSub>
                            </m:e>
                            <m:sup>
                              <m:r>
                                <w:rPr>
                                  <w:rFonts w:ascii="Cambria Math" w:hAnsi="Cambria Math"/>
                                  <w:color w:val="000000" w:themeColor="text1"/>
                                  <w:lang w:val="en-US"/>
                                </w:rPr>
                                <m:t>2</m:t>
                              </m:r>
                            </m:sup>
                          </m:sSup>
                          <m:r>
                            <w:rPr>
                              <w:rFonts w:ascii="Cambria Math" w:hAnsi="Cambria Math"/>
                              <w:color w:val="000000" w:themeColor="text1"/>
                              <w:lang w:val="en-US"/>
                            </w:rPr>
                            <m:t>+</m:t>
                          </m:r>
                          <m:sSub>
                            <m:sSubPr>
                              <m:ctrlPr>
                                <w:rPr>
                                  <w:rFonts w:ascii="Cambria Math" w:eastAsiaTheme="minorEastAsia" w:hAnsi="Cambria Math"/>
                                  <w:i/>
                                  <w:color w:val="000000" w:themeColor="text1"/>
                                  <w:lang w:val="en-US"/>
                                </w:rPr>
                              </m:ctrlPr>
                            </m:sSubPr>
                            <m:e>
                              <m:r>
                                <w:rPr>
                                  <w:rFonts w:ascii="Cambria Math" w:hAnsi="Cambria Math"/>
                                  <w:color w:val="000000" w:themeColor="text1"/>
                                  <w:lang w:val="en-US"/>
                                </w:rPr>
                                <m:t>bP</m:t>
                              </m:r>
                            </m:e>
                            <m:sub>
                              <m:r>
                                <w:rPr>
                                  <w:rFonts w:ascii="Cambria Math" w:hAnsi="Cambria Math"/>
                                  <w:color w:val="000000" w:themeColor="text1"/>
                                  <w:lang w:val="en-US"/>
                                </w:rPr>
                                <m:t>h</m:t>
                              </m:r>
                            </m:sub>
                          </m:sSub>
                          <m:r>
                            <w:rPr>
                              <w:rFonts w:ascii="Cambria Math" w:hAnsi="Cambria Math"/>
                              <w:color w:val="000000" w:themeColor="text1"/>
                              <w:lang w:val="en-US"/>
                            </w:rPr>
                            <m:t>+c</m:t>
                          </m:r>
                        </m:oMath>
                      </m:oMathPara>
                    </w:p>
                  </w:txbxContent>
                </v:textbox>
                <w10:wrap anchorx="margin"/>
              </v:shape>
            </w:pict>
          </mc:Fallback>
        </mc:AlternateContent>
      </w:r>
    </w:p>
    <w:p w14:paraId="2A67285B" w14:textId="4E34A808" w:rsidR="00516818" w:rsidRPr="00193117" w:rsidRDefault="00E02A87" w:rsidP="00516818">
      <w:r w:rsidRPr="00193117">
        <w:t>The model is</w:t>
      </w:r>
      <w:r w:rsidR="00516818" w:rsidRPr="00193117">
        <w:t xml:space="preserve"> calibrate</w:t>
      </w:r>
      <w:r w:rsidRPr="00193117">
        <w:t>d</w:t>
      </w:r>
      <w:r w:rsidR="00516818" w:rsidRPr="00193117">
        <w:t xml:space="preserve"> by fitting coefficients (</w:t>
      </w:r>
      <w:r w:rsidR="00516818" w:rsidRPr="00193117">
        <w:rPr>
          <w:i/>
        </w:rPr>
        <w:t>a</w:t>
      </w:r>
      <w:r w:rsidR="00516818" w:rsidRPr="00193117">
        <w:t xml:space="preserve">, </w:t>
      </w:r>
      <w:r w:rsidR="00516818" w:rsidRPr="00193117">
        <w:rPr>
          <w:i/>
        </w:rPr>
        <w:t>b</w:t>
      </w:r>
      <w:r w:rsidR="00516818" w:rsidRPr="00193117">
        <w:t xml:space="preserve">, </w:t>
      </w:r>
      <w:r w:rsidR="00516818" w:rsidRPr="00193117">
        <w:rPr>
          <w:i/>
        </w:rPr>
        <w:t>c</w:t>
      </w:r>
      <w:r w:rsidR="00516818" w:rsidRPr="00193117">
        <w:t xml:space="preserve">) to </w:t>
      </w:r>
      <w:r w:rsidR="00BF6697" w:rsidRPr="00193117">
        <w:t xml:space="preserve">the </w:t>
      </w:r>
      <w:r w:rsidR="00516818" w:rsidRPr="00193117">
        <w:t xml:space="preserve">historic and projected </w:t>
      </w:r>
      <w:r w:rsidRPr="00193117">
        <w:t xml:space="preserve">baseline </w:t>
      </w:r>
      <w:r w:rsidR="00516818" w:rsidRPr="00193117">
        <w:t>emissions data from MPI using the least squares method. For sheep and beef,</w:t>
      </w:r>
      <w:r w:rsidR="00D253FB" w:rsidRPr="00193117">
        <w:t xml:space="preserve"> there is a </w:t>
      </w:r>
      <w:r w:rsidR="00A94F9F" w:rsidRPr="00193117">
        <w:t>control panel parameter</w:t>
      </w:r>
      <w:r w:rsidR="004F3A92" w:rsidRPr="00193117">
        <w:t xml:space="preserve">, </w:t>
      </w:r>
      <w:r w:rsidR="004F3A92" w:rsidRPr="00193117">
        <w:rPr>
          <w:i/>
        </w:rPr>
        <w:t>Meat emissions relationship</w:t>
      </w:r>
      <w:r w:rsidR="004F3A92" w:rsidRPr="00193117">
        <w:t xml:space="preserve">, which </w:t>
      </w:r>
      <w:r w:rsidR="00C3531A" w:rsidRPr="00193117">
        <w:t>selects</w:t>
      </w:r>
      <w:r w:rsidR="007441E9" w:rsidRPr="00193117">
        <w:t xml:space="preserve"> between a quadratic or</w:t>
      </w:r>
      <w:r w:rsidR="00516818" w:rsidRPr="00193117">
        <w:t xml:space="preserve"> linear relationship (</w:t>
      </w:r>
      <w:r w:rsidR="00516818" w:rsidRPr="00193117">
        <w:rPr>
          <w:i/>
        </w:rPr>
        <w:t>a</w:t>
      </w:r>
      <w:r w:rsidR="00516818" w:rsidRPr="00193117">
        <w:t>=0)</w:t>
      </w:r>
      <w:r w:rsidR="000D6A02" w:rsidRPr="00193117">
        <w:t xml:space="preserve">. </w:t>
      </w:r>
      <w:r w:rsidR="00B20AD3" w:rsidRPr="00193117">
        <w:t>The Commission</w:t>
      </w:r>
      <w:r w:rsidR="00516818" w:rsidRPr="00193117">
        <w:t xml:space="preserve"> </w:t>
      </w:r>
      <w:r w:rsidR="00B20AD3" w:rsidRPr="00193117">
        <w:t xml:space="preserve">has used the latter </w:t>
      </w:r>
      <w:r w:rsidR="00516818" w:rsidRPr="00193117">
        <w:t xml:space="preserve">as </w:t>
      </w:r>
      <w:r w:rsidR="00B20AD3" w:rsidRPr="00193117">
        <w:t>it</w:t>
      </w:r>
      <w:r w:rsidR="00516818" w:rsidRPr="00193117">
        <w:t xml:space="preserve"> provides a better fit to </w:t>
      </w:r>
      <w:r w:rsidR="00D27CC1" w:rsidRPr="00193117">
        <w:t xml:space="preserve">the </w:t>
      </w:r>
      <w:r w:rsidR="0050603E" w:rsidRPr="00193117">
        <w:t>projected emissions</w:t>
      </w:r>
      <w:r w:rsidR="00516818" w:rsidRPr="00193117">
        <w:t>.</w:t>
      </w:r>
    </w:p>
    <w:p w14:paraId="206C1426" w14:textId="3BBB4972" w:rsidR="00973E6E" w:rsidRPr="00193117" w:rsidRDefault="00280C8B" w:rsidP="00B13CBD">
      <w:r w:rsidRPr="00193117">
        <w:t>The t</w:t>
      </w:r>
      <w:r w:rsidR="00BD58BC" w:rsidRPr="00193117">
        <w:t xml:space="preserve">otal emissions </w:t>
      </w:r>
      <w:r w:rsidR="004C0C09" w:rsidRPr="00193117">
        <w:t xml:space="preserve">per head </w:t>
      </w:r>
      <w:r w:rsidR="00BD58BC" w:rsidRPr="00193117">
        <w:t xml:space="preserve">determined </w:t>
      </w:r>
      <w:r w:rsidR="004C0C09" w:rsidRPr="00193117">
        <w:t xml:space="preserve">by the </w:t>
      </w:r>
      <w:r w:rsidR="004E1916" w:rsidRPr="00193117">
        <w:t xml:space="preserve">above formula are </w:t>
      </w:r>
      <w:r w:rsidR="000E0902" w:rsidRPr="00193117">
        <w:t xml:space="preserve">broken down into contributions from enteric fermentation, manure management and agricultural soils in line with the </w:t>
      </w:r>
      <w:r w:rsidR="00325117" w:rsidRPr="00193117">
        <w:t xml:space="preserve">MPI baseline </w:t>
      </w:r>
      <w:r w:rsidR="00083CCF" w:rsidRPr="00193117">
        <w:t>data.</w:t>
      </w:r>
      <w:r w:rsidR="0033081A" w:rsidRPr="00193117">
        <w:t xml:space="preserve"> </w:t>
      </w:r>
    </w:p>
    <w:p w14:paraId="67C4F2D9" w14:textId="2F16443F" w:rsidR="00083CCF" w:rsidRPr="00193117" w:rsidRDefault="00083CCF" w:rsidP="00083CCF">
      <w:pPr>
        <w:pStyle w:val="Heading3"/>
      </w:pPr>
      <w:bookmarkStart w:id="47" w:name="_Toc184814268"/>
      <w:r w:rsidRPr="00193117">
        <w:t xml:space="preserve">Technologies to reduce livestock </w:t>
      </w:r>
      <w:proofErr w:type="gramStart"/>
      <w:r w:rsidRPr="00193117">
        <w:t>emissions</w:t>
      </w:r>
      <w:bookmarkEnd w:id="47"/>
      <w:proofErr w:type="gramEnd"/>
    </w:p>
    <w:p w14:paraId="6671314B" w14:textId="5E2004F1" w:rsidR="00083CCF" w:rsidRPr="00193117" w:rsidRDefault="00105A73" w:rsidP="00083CCF">
      <w:r w:rsidRPr="00193117">
        <w:t xml:space="preserve">ENZ </w:t>
      </w:r>
      <w:r w:rsidR="00306CFC" w:rsidRPr="00193117">
        <w:t>includes control panel parameters for</w:t>
      </w:r>
      <w:r w:rsidR="00501AFB" w:rsidRPr="00193117">
        <w:t xml:space="preserve"> </w:t>
      </w:r>
      <w:r w:rsidR="0054505E" w:rsidRPr="00193117">
        <w:t>the following</w:t>
      </w:r>
      <w:r w:rsidR="006D38FC" w:rsidRPr="00193117">
        <w:t xml:space="preserve"> low-emissions</w:t>
      </w:r>
      <w:r w:rsidR="0054505E" w:rsidRPr="00193117">
        <w:t xml:space="preserve"> technologies:</w:t>
      </w:r>
    </w:p>
    <w:p w14:paraId="6FCE20CE" w14:textId="1DAF312A" w:rsidR="00390C98" w:rsidRPr="000D1B0B" w:rsidRDefault="00390C98" w:rsidP="00670DC3">
      <w:pPr>
        <w:pStyle w:val="ListParagraph"/>
        <w:numPr>
          <w:ilvl w:val="0"/>
          <w:numId w:val="10"/>
        </w:numPr>
      </w:pPr>
      <w:r w:rsidRPr="000D1B0B">
        <w:t>Low-methane breeding</w:t>
      </w:r>
      <w:r w:rsidR="00F407FC" w:rsidRPr="000D1B0B">
        <w:t xml:space="preserve"> for both sheep and dairy</w:t>
      </w:r>
    </w:p>
    <w:p w14:paraId="14E61CCD" w14:textId="0D7D28DB" w:rsidR="006C389C" w:rsidRPr="000D1B0B" w:rsidRDefault="00F407FC" w:rsidP="00670DC3">
      <w:pPr>
        <w:pStyle w:val="ListParagraph"/>
        <w:numPr>
          <w:ilvl w:val="0"/>
          <w:numId w:val="10"/>
        </w:numPr>
      </w:pPr>
      <w:r w:rsidRPr="000D1B0B">
        <w:t>Methane vaccine for sheep and</w:t>
      </w:r>
      <w:r w:rsidR="004E1446" w:rsidRPr="000D1B0B">
        <w:t xml:space="preserve"> beef, and dairy</w:t>
      </w:r>
    </w:p>
    <w:p w14:paraId="51CD7752" w14:textId="1AEC1545" w:rsidR="00390C98" w:rsidRPr="000D1B0B" w:rsidRDefault="00390C98" w:rsidP="00670DC3">
      <w:pPr>
        <w:pStyle w:val="ListParagraph"/>
        <w:numPr>
          <w:ilvl w:val="0"/>
          <w:numId w:val="10"/>
        </w:numPr>
      </w:pPr>
      <w:r w:rsidRPr="000D1B0B">
        <w:t>Methane inhibitors</w:t>
      </w:r>
      <w:r w:rsidR="00EF1ECE" w:rsidRPr="000D1B0B">
        <w:t xml:space="preserve">, </w:t>
      </w:r>
      <w:proofErr w:type="spellStart"/>
      <w:r w:rsidR="00EF1ECE" w:rsidRPr="000D1B0B">
        <w:t>Bovaer</w:t>
      </w:r>
      <w:proofErr w:type="spellEnd"/>
      <w:r w:rsidRPr="000D1B0B">
        <w:t xml:space="preserve"> and vaccines</w:t>
      </w:r>
      <w:r w:rsidR="00686AD3" w:rsidRPr="000D1B0B">
        <w:t xml:space="preserve"> (combined impact)</w:t>
      </w:r>
      <w:r w:rsidR="007C578C" w:rsidRPr="000D1B0B">
        <w:rPr>
          <w:rStyle w:val="FootnoteReference"/>
        </w:rPr>
        <w:footnoteReference w:id="3"/>
      </w:r>
    </w:p>
    <w:p w14:paraId="4847FF33" w14:textId="73A0F210" w:rsidR="00312738" w:rsidRPr="000D1B0B" w:rsidRDefault="00D73C53" w:rsidP="00670DC3">
      <w:pPr>
        <w:pStyle w:val="ListParagraph"/>
        <w:numPr>
          <w:ilvl w:val="0"/>
          <w:numId w:val="10"/>
        </w:numPr>
      </w:pPr>
      <w:proofErr w:type="spellStart"/>
      <w:r w:rsidRPr="000D1B0B">
        <w:t>EcoPond</w:t>
      </w:r>
      <w:proofErr w:type="spellEnd"/>
    </w:p>
    <w:p w14:paraId="14CEA5B4" w14:textId="63A692CA" w:rsidR="00F317DA" w:rsidRPr="000D1B0B" w:rsidRDefault="58A6AFF1" w:rsidP="00F317DA">
      <w:r w:rsidRPr="000D1B0B">
        <w:t>The setting</w:t>
      </w:r>
      <w:r w:rsidR="17DF1049" w:rsidRPr="000D1B0B">
        <w:t>s for the</w:t>
      </w:r>
      <w:r w:rsidR="00FC1584" w:rsidRPr="000D1B0B">
        <w:t xml:space="preserve"> first three</w:t>
      </w:r>
      <w:r w:rsidR="17DF1049" w:rsidRPr="000D1B0B">
        <w:t xml:space="preserve"> </w:t>
      </w:r>
      <w:r w:rsidR="4AD5184A" w:rsidRPr="000D1B0B">
        <w:t xml:space="preserve">parameters </w:t>
      </w:r>
      <w:r w:rsidR="79B853DA" w:rsidRPr="000D1B0B">
        <w:t xml:space="preserve">are specified in the </w:t>
      </w:r>
      <w:r w:rsidR="75176E1F" w:rsidRPr="000D1B0B">
        <w:rPr>
          <w:b/>
          <w:bCs/>
        </w:rPr>
        <w:t>Input</w:t>
      </w:r>
      <w:r w:rsidR="614E1881" w:rsidRPr="4868DAB2">
        <w:rPr>
          <w:b/>
          <w:bCs/>
        </w:rPr>
        <w:t xml:space="preserve"> </w:t>
      </w:r>
      <w:r w:rsidR="614E1881" w:rsidRPr="000D1B0B">
        <w:t>worksheet</w:t>
      </w:r>
      <w:r w:rsidR="21B16780" w:rsidRPr="000D1B0B">
        <w:t xml:space="preserve"> under the ‘</w:t>
      </w:r>
      <w:r w:rsidR="78717D99" w:rsidRPr="000D1B0B">
        <w:t>Mitigation technology scenarios’ heading.</w:t>
      </w:r>
      <w:r w:rsidR="0D8BA8F5" w:rsidRPr="000D1B0B">
        <w:t xml:space="preserve"> </w:t>
      </w:r>
      <w:r w:rsidR="3726C7CF" w:rsidRPr="000D1B0B">
        <w:t xml:space="preserve">The total emissions reduction </w:t>
      </w:r>
      <w:r w:rsidR="7EFB8665" w:rsidRPr="000D1B0B">
        <w:t>effect</w:t>
      </w:r>
      <w:r w:rsidR="48804B15" w:rsidRPr="000D1B0B">
        <w:t xml:space="preserve"> </w:t>
      </w:r>
      <w:r w:rsidR="3A5C859F" w:rsidRPr="000D1B0B">
        <w:t xml:space="preserve">for each technology </w:t>
      </w:r>
      <w:r w:rsidR="42C5A8D4" w:rsidRPr="000D1B0B">
        <w:t>–</w:t>
      </w:r>
      <w:r w:rsidR="48804B15" w:rsidRPr="000D1B0B">
        <w:t xml:space="preserve"> accounting for technology effectiveness and adoption rate –</w:t>
      </w:r>
      <w:r w:rsidR="3A5C859F" w:rsidRPr="000D1B0B">
        <w:t xml:space="preserve"> </w:t>
      </w:r>
      <w:r w:rsidR="00CD6D18" w:rsidRPr="000D1B0B">
        <w:t>is specified in five-year intervals</w:t>
      </w:r>
      <w:r w:rsidR="5BF96DDB" w:rsidRPr="000D1B0B">
        <w:t xml:space="preserve"> </w:t>
      </w:r>
      <w:r w:rsidR="7A26471C" w:rsidRPr="000D1B0B">
        <w:t>separately</w:t>
      </w:r>
      <w:r w:rsidR="00CD6D18" w:rsidRPr="000D1B0B">
        <w:t xml:space="preserve"> for the dairy and sheep and beef sectors.</w:t>
      </w:r>
      <w:r w:rsidR="13DE42F8" w:rsidRPr="000D1B0B">
        <w:t xml:space="preserve"> </w:t>
      </w:r>
      <w:r w:rsidR="79217FA6" w:rsidRPr="000D1B0B">
        <w:t>This</w:t>
      </w:r>
      <w:r w:rsidR="352F81E1" w:rsidRPr="000D1B0B">
        <w:t xml:space="preserve"> is </w:t>
      </w:r>
      <w:r w:rsidR="4E500A65" w:rsidRPr="000D1B0B">
        <w:t xml:space="preserve">expressed as a percentage reduction </w:t>
      </w:r>
      <w:r w:rsidR="6EC91E80" w:rsidRPr="000D1B0B">
        <w:t>for</w:t>
      </w:r>
      <w:r w:rsidR="319024E1" w:rsidRPr="000D1B0B">
        <w:t xml:space="preserve"> </w:t>
      </w:r>
      <w:r w:rsidR="3DE5104D" w:rsidRPr="000D1B0B">
        <w:lastRenderedPageBreak/>
        <w:t xml:space="preserve">the </w:t>
      </w:r>
      <w:r w:rsidR="0BD47EDB" w:rsidRPr="000D1B0B">
        <w:t>relevant emissions category</w:t>
      </w:r>
      <w:r w:rsidR="607EF633" w:rsidRPr="000D1B0B">
        <w:t xml:space="preserve"> (enteric fermentation for </w:t>
      </w:r>
      <w:r w:rsidR="37A1E195" w:rsidRPr="000D1B0B">
        <w:t xml:space="preserve">low-methane breeding </w:t>
      </w:r>
      <w:r w:rsidR="5F4FF1E9" w:rsidRPr="000D1B0B">
        <w:t xml:space="preserve">and methane inhibitors </w:t>
      </w:r>
      <w:r w:rsidR="08F75D8B" w:rsidRPr="000D1B0B">
        <w:t>and vaccines</w:t>
      </w:r>
      <w:r w:rsidR="09742502" w:rsidRPr="000D1B0B">
        <w:t xml:space="preserve">; </w:t>
      </w:r>
      <w:r w:rsidR="607EF633" w:rsidRPr="000D1B0B">
        <w:t xml:space="preserve">agricultural soils for </w:t>
      </w:r>
      <w:r w:rsidR="0F1CB2AC" w:rsidRPr="000D1B0B">
        <w:t>nitrification inhibitors</w:t>
      </w:r>
      <w:r w:rsidR="006236B5">
        <w:rPr>
          <w:rStyle w:val="FootnoteReference"/>
        </w:rPr>
        <w:footnoteReference w:id="4"/>
      </w:r>
      <w:r w:rsidR="0F1CB2AC" w:rsidRPr="000D1B0B">
        <w:t>).</w:t>
      </w:r>
    </w:p>
    <w:p w14:paraId="50C00520" w14:textId="09C66783" w:rsidR="00670DC3" w:rsidRPr="000D1B0B" w:rsidRDefault="00003650" w:rsidP="00003650">
      <w:pPr>
        <w:pStyle w:val="Heading3"/>
      </w:pPr>
      <w:bookmarkStart w:id="48" w:name="_Toc184814269"/>
      <w:r w:rsidRPr="000D1B0B">
        <w:t xml:space="preserve">Fertiliser use and </w:t>
      </w:r>
      <w:proofErr w:type="gramStart"/>
      <w:r w:rsidRPr="000D1B0B">
        <w:t>emissions</w:t>
      </w:r>
      <w:bookmarkEnd w:id="48"/>
      <w:proofErr w:type="gramEnd"/>
    </w:p>
    <w:p w14:paraId="71CD1299" w14:textId="1C06E431" w:rsidR="00A44EDA" w:rsidRPr="000D1B0B" w:rsidRDefault="00AB2843" w:rsidP="00003650">
      <w:r w:rsidRPr="000D1B0B">
        <w:t xml:space="preserve">In ENZ, </w:t>
      </w:r>
      <w:r w:rsidR="00507A6F" w:rsidRPr="000D1B0B">
        <w:t xml:space="preserve">reductions in fertiliser emissions can </w:t>
      </w:r>
      <w:r w:rsidR="009876A4" w:rsidRPr="000D1B0B">
        <w:t xml:space="preserve">occur </w:t>
      </w:r>
      <w:r w:rsidR="000F5AD3" w:rsidRPr="000D1B0B">
        <w:t xml:space="preserve">through the modelled impact of </w:t>
      </w:r>
      <w:r w:rsidR="000351E2" w:rsidRPr="000D1B0B">
        <w:t xml:space="preserve">changes in </w:t>
      </w:r>
      <w:r w:rsidR="009D0CC7" w:rsidRPr="000D1B0B">
        <w:t>dairy stocking rates and production</w:t>
      </w:r>
      <w:r w:rsidR="003255C8" w:rsidRPr="000D1B0B">
        <w:t xml:space="preserve"> on fertiliser use</w:t>
      </w:r>
      <w:r w:rsidR="00636629" w:rsidRPr="000D1B0B">
        <w:t>, and through increased use of urease inhibitor.</w:t>
      </w:r>
    </w:p>
    <w:p w14:paraId="1B7DB581" w14:textId="2A33B55D" w:rsidR="00003650" w:rsidRPr="000D1B0B" w:rsidRDefault="0046744D" w:rsidP="00003650">
      <w:r w:rsidRPr="000D1B0B">
        <w:t>Total</w:t>
      </w:r>
      <w:r w:rsidR="001379D0" w:rsidRPr="000D1B0B">
        <w:t xml:space="preserve"> use of nitrogen </w:t>
      </w:r>
      <w:r w:rsidR="008739C4" w:rsidRPr="000D1B0B">
        <w:t>fertiliser</w:t>
      </w:r>
      <w:r w:rsidR="001379D0" w:rsidRPr="000D1B0B">
        <w:t xml:space="preserve">s </w:t>
      </w:r>
      <w:r w:rsidRPr="000D1B0B">
        <w:t xml:space="preserve">in the baseline scenario is derived from </w:t>
      </w:r>
      <w:r w:rsidR="00B2626C" w:rsidRPr="000D1B0B">
        <w:t>the MPI projections data</w:t>
      </w:r>
      <w:r w:rsidR="001379D0" w:rsidRPr="000D1B0B">
        <w:t xml:space="preserve"> in the </w:t>
      </w:r>
      <w:r w:rsidR="000D1B0B" w:rsidRPr="000D1B0B">
        <w:rPr>
          <w:b/>
          <w:bCs/>
        </w:rPr>
        <w:t>Input</w:t>
      </w:r>
      <w:r w:rsidR="00C96C85" w:rsidRPr="000D1B0B">
        <w:t xml:space="preserve"> worksheet under the ‘Fertiliser’ heading</w:t>
      </w:r>
      <w:r w:rsidR="00B2626C" w:rsidRPr="000D1B0B">
        <w:t xml:space="preserve">. </w:t>
      </w:r>
      <w:r w:rsidR="001025BF" w:rsidRPr="000D1B0B">
        <w:t>H</w:t>
      </w:r>
      <w:r w:rsidR="008B1DB7" w:rsidRPr="000D1B0B">
        <w:t xml:space="preserve">istoric shares of </w:t>
      </w:r>
      <w:r w:rsidR="000C721E" w:rsidRPr="000D1B0B">
        <w:t xml:space="preserve">fertiliser use </w:t>
      </w:r>
      <w:r w:rsidR="004E2FB3" w:rsidRPr="000D1B0B">
        <w:t>for dairy</w:t>
      </w:r>
      <w:r w:rsidR="008F1A9E" w:rsidRPr="000D1B0B">
        <w:t xml:space="preserve"> farming</w:t>
      </w:r>
      <w:r w:rsidR="004E2FB3" w:rsidRPr="000D1B0B">
        <w:t>, sheep and beef</w:t>
      </w:r>
      <w:r w:rsidR="008F1A9E" w:rsidRPr="000D1B0B">
        <w:t xml:space="preserve"> farming</w:t>
      </w:r>
      <w:r w:rsidR="004E2FB3" w:rsidRPr="000D1B0B">
        <w:t>, exotic forestry, horticulture</w:t>
      </w:r>
      <w:r w:rsidR="00630DA8">
        <w:t>,</w:t>
      </w:r>
      <w:r w:rsidR="004E2FB3" w:rsidRPr="000D1B0B">
        <w:t xml:space="preserve"> and arable cropping</w:t>
      </w:r>
      <w:r w:rsidR="000C721E" w:rsidRPr="000D1B0B">
        <w:t xml:space="preserve"> </w:t>
      </w:r>
      <w:r w:rsidR="001025BF" w:rsidRPr="000D1B0B">
        <w:t>reported by</w:t>
      </w:r>
      <w:r w:rsidR="000C721E" w:rsidRPr="000D1B0B">
        <w:t xml:space="preserve"> </w:t>
      </w:r>
      <w:proofErr w:type="spellStart"/>
      <w:r w:rsidR="000C721E" w:rsidRPr="000D1B0B">
        <w:t>StatsNZ</w:t>
      </w:r>
      <w:proofErr w:type="spellEnd"/>
      <w:r w:rsidR="000C721E" w:rsidRPr="000D1B0B">
        <w:t xml:space="preserve"> </w:t>
      </w:r>
      <w:r w:rsidR="009379F1" w:rsidRPr="000D1B0B">
        <w:t xml:space="preserve">are used to </w:t>
      </w:r>
      <w:r w:rsidR="001025BF" w:rsidRPr="000D1B0B">
        <w:t>estimate</w:t>
      </w:r>
      <w:r w:rsidR="008F1A9E" w:rsidRPr="000D1B0B">
        <w:t xml:space="preserve"> the</w:t>
      </w:r>
      <w:r w:rsidR="001025BF" w:rsidRPr="000D1B0B">
        <w:t xml:space="preserve"> </w:t>
      </w:r>
      <w:r w:rsidR="006F761D" w:rsidRPr="000D1B0B">
        <w:t xml:space="preserve">historic </w:t>
      </w:r>
      <w:r w:rsidR="00BB5BFA" w:rsidRPr="000D1B0B">
        <w:t xml:space="preserve">fertiliser use </w:t>
      </w:r>
      <w:r w:rsidR="00FA496D" w:rsidRPr="000D1B0B">
        <w:t xml:space="preserve">per hectare </w:t>
      </w:r>
      <w:r w:rsidR="008F1A9E" w:rsidRPr="000D1B0B">
        <w:t>for each land use</w:t>
      </w:r>
      <w:r w:rsidR="009F59A9" w:rsidRPr="000D1B0B">
        <w:t xml:space="preserve">. </w:t>
      </w:r>
      <w:r w:rsidR="008B218D" w:rsidRPr="000D1B0B">
        <w:t>A</w:t>
      </w:r>
      <w:r w:rsidR="00B50F27" w:rsidRPr="000D1B0B">
        <w:t>n assumed</w:t>
      </w:r>
      <w:r w:rsidR="00A649D4" w:rsidRPr="000D1B0B">
        <w:t xml:space="preserve"> </w:t>
      </w:r>
      <w:r w:rsidR="007628F1" w:rsidRPr="000D1B0B">
        <w:t xml:space="preserve">future </w:t>
      </w:r>
      <w:r w:rsidR="00C71264" w:rsidRPr="000D1B0B">
        <w:t>annual</w:t>
      </w:r>
      <w:r w:rsidR="00A649D4" w:rsidRPr="000D1B0B">
        <w:t xml:space="preserve"> rate of reduction is</w:t>
      </w:r>
      <w:r w:rsidR="007628F1" w:rsidRPr="000D1B0B">
        <w:t xml:space="preserve"> set </w:t>
      </w:r>
      <w:r w:rsidR="00DA413D" w:rsidRPr="000D1B0B">
        <w:t>to</w:t>
      </w:r>
      <w:r w:rsidR="007628F1" w:rsidRPr="000D1B0B">
        <w:t xml:space="preserve"> </w:t>
      </w:r>
      <w:r w:rsidR="00544A71" w:rsidRPr="000D1B0B">
        <w:t xml:space="preserve">provide a good match </w:t>
      </w:r>
      <w:r w:rsidR="00FA496D" w:rsidRPr="000D1B0B">
        <w:t>with MPI</w:t>
      </w:r>
      <w:r w:rsidR="00B07885" w:rsidRPr="000D1B0B">
        <w:t>’s total projected fertiliser use</w:t>
      </w:r>
      <w:r w:rsidR="00FA496D" w:rsidRPr="000D1B0B">
        <w:t>.</w:t>
      </w:r>
    </w:p>
    <w:p w14:paraId="54124B30" w14:textId="20975DAB" w:rsidR="004B224E" w:rsidRPr="000D1B0B" w:rsidRDefault="000B0B4B" w:rsidP="00003650">
      <w:r w:rsidRPr="000D1B0B">
        <w:t xml:space="preserve">For dairy farming, changes in fertiliser use per hectare are modelled </w:t>
      </w:r>
      <w:r w:rsidR="001F077C" w:rsidRPr="000D1B0B">
        <w:t xml:space="preserve">in response to </w:t>
      </w:r>
      <w:r w:rsidR="009B53C7" w:rsidRPr="000D1B0B">
        <w:t>changes in stocking rate and productivity</w:t>
      </w:r>
      <w:r w:rsidR="00921EE4">
        <w:rPr>
          <w:rStyle w:val="FootnoteReference"/>
        </w:rPr>
        <w:footnoteReference w:id="5"/>
      </w:r>
      <w:r w:rsidR="009B53C7" w:rsidRPr="000D1B0B">
        <w:t xml:space="preserve">. </w:t>
      </w:r>
      <w:r w:rsidR="007671FB" w:rsidRPr="000D1B0B">
        <w:t xml:space="preserve">The </w:t>
      </w:r>
      <w:r w:rsidR="00522487" w:rsidRPr="000D1B0B">
        <w:t>model</w:t>
      </w:r>
      <w:r w:rsidR="007671FB" w:rsidRPr="000D1B0B">
        <w:t xml:space="preserve"> </w:t>
      </w:r>
      <w:r w:rsidR="001B57DD" w:rsidRPr="000D1B0B">
        <w:t>calculates</w:t>
      </w:r>
      <w:r w:rsidR="007671FB" w:rsidRPr="000D1B0B">
        <w:t xml:space="preserve"> </w:t>
      </w:r>
      <w:r w:rsidR="00522487" w:rsidRPr="000D1B0B">
        <w:t xml:space="preserve">dry matter consumption and </w:t>
      </w:r>
      <w:r w:rsidR="002F3BE8" w:rsidRPr="000D1B0B">
        <w:t>estimates the</w:t>
      </w:r>
      <w:r w:rsidR="00996351" w:rsidRPr="000D1B0B">
        <w:t xml:space="preserve"> initial</w:t>
      </w:r>
      <w:r w:rsidR="002F3BE8" w:rsidRPr="000D1B0B">
        <w:t xml:space="preserve"> feed surplus </w:t>
      </w:r>
      <w:r w:rsidR="005B1DE2" w:rsidRPr="000D1B0B">
        <w:t xml:space="preserve">relative to baseline. </w:t>
      </w:r>
      <w:r w:rsidR="005F0AE6" w:rsidRPr="000D1B0B">
        <w:t>Reductions in use of supplement, fertiliser, and grazing off to eliminate the feed surplus</w:t>
      </w:r>
      <w:r w:rsidR="00DC3AF8" w:rsidRPr="000D1B0B">
        <w:t xml:space="preserve"> are calculated based on </w:t>
      </w:r>
      <w:r w:rsidR="00E108EE" w:rsidRPr="000D1B0B">
        <w:t>specified assumptions.</w:t>
      </w:r>
      <w:r w:rsidR="00973785" w:rsidRPr="000D1B0B">
        <w:t xml:space="preserve"> This takes place in the </w:t>
      </w:r>
      <w:proofErr w:type="gramStart"/>
      <w:r w:rsidR="00973785" w:rsidRPr="000D1B0B">
        <w:rPr>
          <w:b/>
        </w:rPr>
        <w:t>Agriculture</w:t>
      </w:r>
      <w:proofErr w:type="gramEnd"/>
      <w:r w:rsidR="00973785" w:rsidRPr="000D1B0B">
        <w:t xml:space="preserve"> worksheet.</w:t>
      </w:r>
    </w:p>
    <w:p w14:paraId="36B2FCD6" w14:textId="4B7272E1" w:rsidR="00636629" w:rsidRPr="000D1B0B" w:rsidRDefault="00636629" w:rsidP="00636629">
      <w:r w:rsidRPr="000D1B0B">
        <w:t xml:space="preserve">The share of urea fertiliser coated with urease inhibitor is set using the </w:t>
      </w:r>
      <w:r w:rsidRPr="000D1B0B">
        <w:rPr>
          <w:i/>
        </w:rPr>
        <w:t>Urease inhibitor</w:t>
      </w:r>
      <w:r w:rsidRPr="000D1B0B">
        <w:t xml:space="preserve"> parameter in the control panel. Settings for this are specified in the </w:t>
      </w:r>
      <w:r w:rsidR="000D1B0B" w:rsidRPr="000D1B0B">
        <w:rPr>
          <w:b/>
          <w:bCs/>
        </w:rPr>
        <w:t>Input</w:t>
      </w:r>
      <w:r w:rsidRPr="000D1B0B">
        <w:t xml:space="preserve"> worksheet</w:t>
      </w:r>
      <w:r w:rsidR="00307BC0" w:rsidRPr="000D1B0B">
        <w:t xml:space="preserve">, in the form of a target </w:t>
      </w:r>
      <w:r w:rsidR="00326C5D" w:rsidRPr="000D1B0B">
        <w:t xml:space="preserve">usage </w:t>
      </w:r>
      <w:r w:rsidR="00307BC0" w:rsidRPr="000D1B0B">
        <w:t>level and year</w:t>
      </w:r>
      <w:r w:rsidRPr="000D1B0B">
        <w:t>.</w:t>
      </w:r>
    </w:p>
    <w:p w14:paraId="038275DD" w14:textId="74C3F075" w:rsidR="00E42520" w:rsidRPr="001E507E" w:rsidRDefault="00326C5D" w:rsidP="00FF275A">
      <w:pPr>
        <w:rPr>
          <w:highlight w:val="yellow"/>
        </w:rPr>
      </w:pPr>
      <w:r w:rsidRPr="000D1B0B">
        <w:t xml:space="preserve">Total fertiliser </w:t>
      </w:r>
      <w:proofErr w:type="gramStart"/>
      <w:r w:rsidRPr="000D1B0B">
        <w:t>use</w:t>
      </w:r>
      <w:proofErr w:type="gramEnd"/>
      <w:r w:rsidRPr="000D1B0B">
        <w:t xml:space="preserve"> and emissions across the different land uses </w:t>
      </w:r>
      <w:r w:rsidR="004900C7" w:rsidRPr="000D1B0B">
        <w:t xml:space="preserve">are calculated in the </w:t>
      </w:r>
      <w:r w:rsidR="006A770D" w:rsidRPr="000D1B0B">
        <w:rPr>
          <w:b/>
        </w:rPr>
        <w:t>Out</w:t>
      </w:r>
      <w:r w:rsidR="006A770D" w:rsidRPr="000D1B0B">
        <w:t xml:space="preserve"> worksheet.</w:t>
      </w:r>
      <w:r w:rsidR="00301AEF" w:rsidRPr="000D1B0B">
        <w:t xml:space="preserve"> Emissions from liming are assumed </w:t>
      </w:r>
      <w:r w:rsidR="008B57B6" w:rsidRPr="000D1B0B">
        <w:t xml:space="preserve">constant in line with the MPI </w:t>
      </w:r>
      <w:r w:rsidR="00DD622B" w:rsidRPr="000D1B0B">
        <w:t xml:space="preserve">projections, </w:t>
      </w:r>
      <w:r w:rsidR="00BC4745" w:rsidRPr="000D1B0B">
        <w:t>with</w:t>
      </w:r>
      <w:r w:rsidR="00DD622B" w:rsidRPr="000D1B0B">
        <w:t xml:space="preserve"> </w:t>
      </w:r>
      <w:r w:rsidR="00C93517" w:rsidRPr="000D1B0B">
        <w:t>the breakdown</w:t>
      </w:r>
      <w:r w:rsidR="00562318" w:rsidRPr="000D1B0B">
        <w:t xml:space="preserve"> by land use </w:t>
      </w:r>
      <w:r w:rsidR="00C93517" w:rsidRPr="000D1B0B">
        <w:t xml:space="preserve">type </w:t>
      </w:r>
      <w:r w:rsidR="00562318" w:rsidRPr="000D1B0B">
        <w:t>assumed to be the same as for</w:t>
      </w:r>
      <w:r w:rsidR="00B717B0" w:rsidRPr="000D1B0B">
        <w:t xml:space="preserve"> nitrogen </w:t>
      </w:r>
      <w:r w:rsidR="00B717B0" w:rsidRPr="00486F62">
        <w:t>fertilisers in 2019.</w:t>
      </w:r>
    </w:p>
    <w:p w14:paraId="26FF795B" w14:textId="108F0179" w:rsidR="00E42520" w:rsidRPr="00486F62" w:rsidRDefault="00E42520" w:rsidP="00E42520">
      <w:pPr>
        <w:pStyle w:val="Heading2"/>
      </w:pPr>
      <w:bookmarkStart w:id="49" w:name="_Toc184814270"/>
      <w:r w:rsidRPr="00486F62">
        <w:t>Forestry</w:t>
      </w:r>
      <w:bookmarkEnd w:id="49"/>
    </w:p>
    <w:p w14:paraId="047AE221" w14:textId="3391E2F5" w:rsidR="00906469" w:rsidRPr="00486F62" w:rsidRDefault="00765810" w:rsidP="00E42520">
      <w:r w:rsidRPr="00486F62">
        <w:t xml:space="preserve">As described </w:t>
      </w:r>
      <w:r w:rsidR="00E24859" w:rsidRPr="00486F62">
        <w:t xml:space="preserve">earlier </w:t>
      </w:r>
      <w:r w:rsidRPr="00486F62">
        <w:t xml:space="preserve">in the </w:t>
      </w:r>
      <w:r w:rsidR="00596139" w:rsidRPr="00486F62">
        <w:rPr>
          <w:i/>
        </w:rPr>
        <w:fldChar w:fldCharType="begin"/>
      </w:r>
      <w:r w:rsidR="00596139" w:rsidRPr="00486F62">
        <w:rPr>
          <w:i/>
        </w:rPr>
        <w:instrText xml:space="preserve"> REF _Ref78291824 \h  \* MERGEFORMAT </w:instrText>
      </w:r>
      <w:r w:rsidR="00596139" w:rsidRPr="00486F62">
        <w:rPr>
          <w:i/>
        </w:rPr>
      </w:r>
      <w:r w:rsidR="00596139" w:rsidRPr="00486F62">
        <w:rPr>
          <w:i/>
        </w:rPr>
        <w:fldChar w:fldCharType="separate"/>
      </w:r>
      <w:r w:rsidR="005F448D" w:rsidRPr="00E71301">
        <w:rPr>
          <w:i/>
        </w:rPr>
        <w:t>Land use</w:t>
      </w:r>
      <w:r w:rsidR="00596139" w:rsidRPr="00486F62">
        <w:rPr>
          <w:i/>
        </w:rPr>
        <w:fldChar w:fldCharType="end"/>
      </w:r>
      <w:r w:rsidR="00596139" w:rsidRPr="00486F62">
        <w:t xml:space="preserve"> section</w:t>
      </w:r>
      <w:r w:rsidR="007F6E60" w:rsidRPr="00486F62">
        <w:t xml:space="preserve">, </w:t>
      </w:r>
      <w:r w:rsidR="00F555D2" w:rsidRPr="00486F62">
        <w:t xml:space="preserve">trajectories for exotic and native afforestation and deforestation are </w:t>
      </w:r>
      <w:r w:rsidR="00D573A2" w:rsidRPr="00486F62">
        <w:t>exogenously specified</w:t>
      </w:r>
      <w:r w:rsidR="00906469" w:rsidRPr="00486F62">
        <w:t>.</w:t>
      </w:r>
      <w:r w:rsidR="00E238A5" w:rsidRPr="00486F62">
        <w:t xml:space="preserve"> The </w:t>
      </w:r>
      <w:r w:rsidR="00D82212" w:rsidRPr="00486F62">
        <w:t xml:space="preserve">chosen scenario settings </w:t>
      </w:r>
      <w:r w:rsidR="00341711" w:rsidRPr="00486F62">
        <w:t>feed</w:t>
      </w:r>
      <w:r w:rsidR="00906469" w:rsidRPr="00486F62">
        <w:t xml:space="preserve"> through into the </w:t>
      </w:r>
      <w:r w:rsidR="00906469" w:rsidRPr="00486F62">
        <w:rPr>
          <w:b/>
        </w:rPr>
        <w:t>Forestry</w:t>
      </w:r>
      <w:r w:rsidR="00341711" w:rsidRPr="00486F62">
        <w:rPr>
          <w:b/>
        </w:rPr>
        <w:t xml:space="preserve"> </w:t>
      </w:r>
      <w:r w:rsidR="00341711" w:rsidRPr="00486F62">
        <w:t>worksheet.</w:t>
      </w:r>
    </w:p>
    <w:p w14:paraId="63687264" w14:textId="5DDC0C62" w:rsidR="002D2411" w:rsidRPr="00486F62" w:rsidRDefault="00035FFD" w:rsidP="00035FFD">
      <w:pPr>
        <w:pStyle w:val="Heading3"/>
      </w:pPr>
      <w:bookmarkStart w:id="50" w:name="_Toc184814271"/>
      <w:r w:rsidRPr="00486F62">
        <w:t>Modelling emissions and removals</w:t>
      </w:r>
      <w:bookmarkEnd w:id="50"/>
    </w:p>
    <w:p w14:paraId="42D989B2" w14:textId="0C275C97" w:rsidR="00035FFD" w:rsidRPr="00486F62" w:rsidRDefault="00B84EDC" w:rsidP="00035FFD">
      <w:r w:rsidRPr="00486F62">
        <w:t>E</w:t>
      </w:r>
      <w:r w:rsidR="0020341D" w:rsidRPr="00486F62">
        <w:t xml:space="preserve">missions and removals </w:t>
      </w:r>
      <w:r w:rsidRPr="00486F62">
        <w:t xml:space="preserve">by forests </w:t>
      </w:r>
      <w:r w:rsidR="0020341D" w:rsidRPr="00486F62">
        <w:t xml:space="preserve">are </w:t>
      </w:r>
      <w:r w:rsidR="0060008D" w:rsidRPr="00486F62">
        <w:t xml:space="preserve">calculated using </w:t>
      </w:r>
      <w:r w:rsidR="003210E0" w:rsidRPr="00486F62">
        <w:t>a</w:t>
      </w:r>
      <w:r w:rsidR="0060008D" w:rsidRPr="00486F62">
        <w:t xml:space="preserve"> </w:t>
      </w:r>
      <w:r w:rsidR="00784361" w:rsidRPr="00486F62">
        <w:t>modified activity-based approach</w:t>
      </w:r>
      <w:r w:rsidR="003210E0" w:rsidRPr="00486F62">
        <w:t xml:space="preserve">, as used in </w:t>
      </w:r>
      <w:r w:rsidR="00B34544">
        <w:t xml:space="preserve">Aotearoa </w:t>
      </w:r>
      <w:r w:rsidR="003210E0" w:rsidRPr="00486F62">
        <w:t>New Zealand’s Nationally Determined Contribution under the Paris Agreement. This approach is</w:t>
      </w:r>
      <w:r w:rsidR="00784361" w:rsidRPr="00486F62">
        <w:t xml:space="preserve"> described in the Commission’s</w:t>
      </w:r>
      <w:r w:rsidR="00FB26B2" w:rsidRPr="00486F62">
        <w:t xml:space="preserve"> 2021 advice to Government,</w:t>
      </w:r>
      <w:r w:rsidR="00784361" w:rsidRPr="00486F62">
        <w:t xml:space="preserve"> </w:t>
      </w:r>
      <w:proofErr w:type="spellStart"/>
      <w:r w:rsidR="001258CF" w:rsidRPr="00486F62">
        <w:rPr>
          <w:i/>
        </w:rPr>
        <w:t>Ināia</w:t>
      </w:r>
      <w:proofErr w:type="spellEnd"/>
      <w:r w:rsidR="001258CF" w:rsidRPr="00486F62">
        <w:rPr>
          <w:i/>
        </w:rPr>
        <w:t xml:space="preserve"> </w:t>
      </w:r>
      <w:proofErr w:type="spellStart"/>
      <w:r w:rsidR="001258CF" w:rsidRPr="00486F62">
        <w:rPr>
          <w:i/>
        </w:rPr>
        <w:t>tonu</w:t>
      </w:r>
      <w:proofErr w:type="spellEnd"/>
      <w:r w:rsidR="001258CF" w:rsidRPr="00486F62">
        <w:rPr>
          <w:i/>
        </w:rPr>
        <w:t xml:space="preserve"> </w:t>
      </w:r>
      <w:proofErr w:type="spellStart"/>
      <w:r w:rsidR="001258CF" w:rsidRPr="00486F62">
        <w:rPr>
          <w:i/>
        </w:rPr>
        <w:t>nei</w:t>
      </w:r>
      <w:proofErr w:type="spellEnd"/>
      <w:r w:rsidR="001258CF" w:rsidRPr="00486F62">
        <w:t xml:space="preserve"> </w:t>
      </w:r>
      <w:r w:rsidR="00FB26B2" w:rsidRPr="00486F62">
        <w:t xml:space="preserve">(see </w:t>
      </w:r>
      <w:r w:rsidR="00FA1112" w:rsidRPr="00486F62">
        <w:t xml:space="preserve">section 10.3, </w:t>
      </w:r>
      <w:r w:rsidR="00B108FA" w:rsidRPr="00486F62">
        <w:t xml:space="preserve">Accounting for land emissions). </w:t>
      </w:r>
      <w:r w:rsidR="006E4D7E" w:rsidRPr="00486F62">
        <w:t>It</w:t>
      </w:r>
      <w:r w:rsidR="00BB4357" w:rsidRPr="00486F62">
        <w:t xml:space="preserve"> </w:t>
      </w:r>
      <w:r w:rsidR="00CB1E80" w:rsidRPr="00486F62">
        <w:t>uses</w:t>
      </w:r>
      <w:r w:rsidR="00BB4357" w:rsidRPr="00486F62">
        <w:t xml:space="preserve"> </w:t>
      </w:r>
      <w:r w:rsidR="001150BF" w:rsidRPr="00486F62">
        <w:t xml:space="preserve">“averaging” </w:t>
      </w:r>
      <w:r w:rsidR="006E4D7E" w:rsidRPr="00486F62">
        <w:t>for</w:t>
      </w:r>
      <w:r w:rsidR="001150BF" w:rsidRPr="00486F62">
        <w:t xml:space="preserve"> </w:t>
      </w:r>
      <w:r w:rsidR="00E94961" w:rsidRPr="00486F62">
        <w:t>harvested</w:t>
      </w:r>
      <w:r w:rsidR="001150BF" w:rsidRPr="00486F62">
        <w:t xml:space="preserve"> forests, where newly </w:t>
      </w:r>
      <w:r w:rsidR="00892FE7" w:rsidRPr="00486F62">
        <w:t>afforested land</w:t>
      </w:r>
      <w:r w:rsidR="001150BF" w:rsidRPr="00486F62">
        <w:t xml:space="preserve"> is cred</w:t>
      </w:r>
      <w:r w:rsidR="00A4588D" w:rsidRPr="00486F62">
        <w:t>ited with CO</w:t>
      </w:r>
      <w:r w:rsidR="00A4588D" w:rsidRPr="00486F62">
        <w:rPr>
          <w:vertAlign w:val="subscript"/>
        </w:rPr>
        <w:t>2</w:t>
      </w:r>
      <w:r w:rsidR="00A4588D" w:rsidRPr="00486F62">
        <w:t xml:space="preserve"> removals up until </w:t>
      </w:r>
      <w:r w:rsidR="00A300A4" w:rsidRPr="00486F62">
        <w:t>its</w:t>
      </w:r>
      <w:r w:rsidR="00A4588D" w:rsidRPr="00486F62">
        <w:t xml:space="preserve"> long-term average carbon stock </w:t>
      </w:r>
      <w:r w:rsidR="00ED6E33" w:rsidRPr="00486F62">
        <w:t xml:space="preserve">(across multiple harvest cycles) </w:t>
      </w:r>
      <w:r w:rsidR="00A4588D" w:rsidRPr="00486F62">
        <w:t>is reached.</w:t>
      </w:r>
    </w:p>
    <w:p w14:paraId="5EA9A47D" w14:textId="35F6FF1F" w:rsidR="009348C7" w:rsidRPr="00486F62" w:rsidRDefault="00E73902" w:rsidP="0091657C">
      <w:r>
        <w:t xml:space="preserve">The </w:t>
      </w:r>
      <w:r w:rsidR="00EF3C77">
        <w:t>calculations use age-based carbon yield tables</w:t>
      </w:r>
      <w:r w:rsidR="00F825F7">
        <w:t xml:space="preserve">, soil carbon and biomass carbon stock factors </w:t>
      </w:r>
      <w:r w:rsidR="00926062">
        <w:t>sourced from New Zealand’s Greenhouse Gas Inventory 1990-20</w:t>
      </w:r>
      <w:r w:rsidR="7257D145">
        <w:t>22</w:t>
      </w:r>
      <w:r w:rsidR="008430DF">
        <w:t xml:space="preserve">. </w:t>
      </w:r>
      <w:r w:rsidR="00702D5A">
        <w:t xml:space="preserve">The methodology is consistent with the </w:t>
      </w:r>
      <w:r w:rsidR="002E2BFD">
        <w:t>Inventory,</w:t>
      </w:r>
      <w:r w:rsidR="00F56B84">
        <w:t xml:space="preserve"> apart from the use of averaging</w:t>
      </w:r>
      <w:r w:rsidR="001A483E">
        <w:t>.</w:t>
      </w:r>
      <w:r w:rsidR="00933E28">
        <w:t xml:space="preserve"> </w:t>
      </w:r>
      <w:r w:rsidR="00686E67">
        <w:t>ENZ</w:t>
      </w:r>
      <w:r w:rsidR="008764F3">
        <w:t xml:space="preserve"> </w:t>
      </w:r>
      <w:r w:rsidR="009050A0">
        <w:t xml:space="preserve">precisely </w:t>
      </w:r>
      <w:r w:rsidR="00D461C8">
        <w:t>replicate</w:t>
      </w:r>
      <w:r w:rsidR="008764F3">
        <w:t>s</w:t>
      </w:r>
      <w:r w:rsidR="004F7A24">
        <w:t xml:space="preserve"> results from MPI’s forestry projections model.</w:t>
      </w:r>
      <w:r w:rsidR="005C3E08">
        <w:t xml:space="preserve"> </w:t>
      </w:r>
    </w:p>
    <w:p w14:paraId="7907B362" w14:textId="77777777" w:rsidR="000D49A0" w:rsidRPr="00486F62" w:rsidRDefault="000D49A0" w:rsidP="000D49A0">
      <w:pPr>
        <w:pStyle w:val="Heading3"/>
      </w:pPr>
      <w:bookmarkStart w:id="51" w:name="_Toc184814272"/>
      <w:r w:rsidRPr="00486F62">
        <w:lastRenderedPageBreak/>
        <w:t>Regional breakdown of exotic forest area</w:t>
      </w:r>
      <w:bookmarkEnd w:id="51"/>
    </w:p>
    <w:p w14:paraId="2240AD45" w14:textId="4698647D" w:rsidR="00FC7DA3" w:rsidRPr="00486F62" w:rsidRDefault="003336AF" w:rsidP="00035FFD">
      <w:r w:rsidRPr="00486F62">
        <w:t xml:space="preserve">ENZ </w:t>
      </w:r>
      <w:r w:rsidR="006B1EFD" w:rsidRPr="00486F62">
        <w:t>estimates exotic</w:t>
      </w:r>
      <w:r w:rsidRPr="00486F62">
        <w:t xml:space="preserve"> </w:t>
      </w:r>
      <w:r w:rsidR="00886D12" w:rsidRPr="00486F62">
        <w:t>forest area</w:t>
      </w:r>
      <w:r w:rsidR="004F7545" w:rsidRPr="00486F62">
        <w:t xml:space="preserve"> </w:t>
      </w:r>
      <w:r w:rsidR="00116806" w:rsidRPr="00486F62">
        <w:t>across nine regions</w:t>
      </w:r>
      <w:r w:rsidR="00886D12" w:rsidRPr="00486F62">
        <w:t xml:space="preserve"> </w:t>
      </w:r>
      <w:r w:rsidR="004D4EF7" w:rsidRPr="00486F62">
        <w:t xml:space="preserve">for the purpose of </w:t>
      </w:r>
      <w:r w:rsidR="004F7545" w:rsidRPr="00486F62">
        <w:t>modelling regional biomass availability.</w:t>
      </w:r>
    </w:p>
    <w:p w14:paraId="56B82591" w14:textId="4F9AF051" w:rsidR="003418C2" w:rsidRPr="00486F62" w:rsidRDefault="003418C2" w:rsidP="00035FFD">
      <w:r w:rsidRPr="00486F62">
        <w:t xml:space="preserve">Historic afforestation is allocated among regions </w:t>
      </w:r>
      <w:r w:rsidR="00345C2E" w:rsidRPr="00486F62">
        <w:t xml:space="preserve">based on </w:t>
      </w:r>
      <w:r w:rsidR="00886556" w:rsidRPr="00486F62">
        <w:t>reported area</w:t>
      </w:r>
      <w:r w:rsidR="00A13C57" w:rsidRPr="00486F62">
        <w:t xml:space="preserve">s </w:t>
      </w:r>
      <w:r w:rsidR="00886556" w:rsidRPr="00486F62">
        <w:t>of post-1989 forests</w:t>
      </w:r>
      <w:r w:rsidR="00C84758" w:rsidRPr="00486F62">
        <w:t xml:space="preserve"> </w:t>
      </w:r>
      <w:r w:rsidR="007D45FE" w:rsidRPr="00486F62">
        <w:t>by planting year</w:t>
      </w:r>
      <w:r w:rsidR="00A37EEA" w:rsidRPr="00486F62">
        <w:t xml:space="preserve"> </w:t>
      </w:r>
      <w:r w:rsidR="00886556" w:rsidRPr="00486F62">
        <w:t xml:space="preserve">in the </w:t>
      </w:r>
      <w:r w:rsidR="00345C2E" w:rsidRPr="00486F62">
        <w:t>National Exotic Forest Description</w:t>
      </w:r>
      <w:r w:rsidR="008D6F6F" w:rsidRPr="00486F62">
        <w:t xml:space="preserve"> (NEFD)</w:t>
      </w:r>
      <w:r w:rsidR="00886556" w:rsidRPr="00486F62">
        <w:t>.</w:t>
      </w:r>
      <w:r w:rsidR="008519E6" w:rsidRPr="00486F62">
        <w:t xml:space="preserve"> </w:t>
      </w:r>
      <w:r w:rsidR="00F4010B" w:rsidRPr="00486F62">
        <w:t xml:space="preserve">Future afforestation is allocated </w:t>
      </w:r>
      <w:r w:rsidR="0061303E" w:rsidRPr="00486F62">
        <w:t>assuming the</w:t>
      </w:r>
      <w:r w:rsidR="0015751F" w:rsidRPr="00486F62">
        <w:t xml:space="preserve"> same </w:t>
      </w:r>
      <w:r w:rsidR="00CB2A55" w:rsidRPr="00486F62">
        <w:t xml:space="preserve">estimated </w:t>
      </w:r>
      <w:r w:rsidR="0015751F" w:rsidRPr="00486F62">
        <w:t xml:space="preserve">regional distribution as </w:t>
      </w:r>
      <w:r w:rsidR="00C84758" w:rsidRPr="00486F62">
        <w:t xml:space="preserve">the </w:t>
      </w:r>
      <w:r w:rsidR="00BD3B02" w:rsidRPr="00486F62">
        <w:t>total exotic forest</w:t>
      </w:r>
      <w:r w:rsidR="0015751F" w:rsidRPr="00486F62">
        <w:t xml:space="preserve"> estate in </w:t>
      </w:r>
      <w:r w:rsidR="00BD3B02" w:rsidRPr="00486F62">
        <w:t xml:space="preserve">the </w:t>
      </w:r>
      <w:r w:rsidR="00AC0916" w:rsidRPr="00486F62">
        <w:t>first year of the projected period.</w:t>
      </w:r>
      <w:r w:rsidR="00E658A8" w:rsidRPr="00486F62">
        <w:t xml:space="preserve"> </w:t>
      </w:r>
      <w:r w:rsidR="00F81761" w:rsidRPr="00486F62">
        <w:t xml:space="preserve">Deforestation is allocated </w:t>
      </w:r>
      <w:r w:rsidR="006301AA" w:rsidRPr="00486F62">
        <w:t>based on th</w:t>
      </w:r>
      <w:r w:rsidR="00CB2A55" w:rsidRPr="00486F62">
        <w:t xml:space="preserve">e region’s share of </w:t>
      </w:r>
      <w:r w:rsidR="00D15B52" w:rsidRPr="00486F62">
        <w:t xml:space="preserve">the national </w:t>
      </w:r>
      <w:r w:rsidR="00F833EE" w:rsidRPr="00486F62">
        <w:t>area</w:t>
      </w:r>
      <w:r w:rsidR="00E658A8" w:rsidRPr="00486F62">
        <w:t xml:space="preserve"> </w:t>
      </w:r>
      <w:r w:rsidR="005501B4" w:rsidRPr="00486F62">
        <w:t>of forest at the assumed deforestation age.</w:t>
      </w:r>
    </w:p>
    <w:p w14:paraId="2153EF58" w14:textId="102BAE87" w:rsidR="00B139C8" w:rsidRPr="00486F62" w:rsidRDefault="00B139C8" w:rsidP="00035FFD">
      <w:r w:rsidRPr="00486F62">
        <w:t xml:space="preserve">Total area </w:t>
      </w:r>
      <w:r w:rsidR="00DC485D" w:rsidRPr="00486F62">
        <w:t>of pre-1990 and post-1989 forest</w:t>
      </w:r>
      <w:r w:rsidR="00A13C57" w:rsidRPr="00486F62">
        <w:t xml:space="preserve"> </w:t>
      </w:r>
      <w:r w:rsidRPr="00486F62">
        <w:t xml:space="preserve">by region is built up from a starting area in 1990 and the </w:t>
      </w:r>
      <w:r w:rsidR="00E2216D" w:rsidRPr="00486F62">
        <w:t>annual areas afforested and deforested.</w:t>
      </w:r>
    </w:p>
    <w:p w14:paraId="61BE1965" w14:textId="7ADD376C" w:rsidR="001F15DF" w:rsidRPr="00486F62" w:rsidRDefault="00041FB2" w:rsidP="001F15DF">
      <w:pPr>
        <w:pStyle w:val="Heading3"/>
      </w:pPr>
      <w:bookmarkStart w:id="52" w:name="_Toc184814273"/>
      <w:r w:rsidRPr="00486F62">
        <w:t>Wood h</w:t>
      </w:r>
      <w:r w:rsidR="002D2411" w:rsidRPr="00486F62">
        <w:t>arvesting</w:t>
      </w:r>
      <w:bookmarkEnd w:id="52"/>
    </w:p>
    <w:p w14:paraId="62B94EC5" w14:textId="6FF68688" w:rsidR="001F15DF" w:rsidRPr="00486F62" w:rsidRDefault="35BA8851" w:rsidP="001F15DF">
      <w:r>
        <w:t xml:space="preserve">Historic </w:t>
      </w:r>
      <w:r w:rsidR="3538074A">
        <w:t xml:space="preserve">harvest areas </w:t>
      </w:r>
      <w:r w:rsidR="7E44F8F6">
        <w:t>up to 20</w:t>
      </w:r>
      <w:r w:rsidR="6614A259">
        <w:t>22</w:t>
      </w:r>
      <w:r w:rsidR="7E44F8F6">
        <w:t xml:space="preserve"> </w:t>
      </w:r>
      <w:r w:rsidR="3538074A">
        <w:t>are sourced from the NEFD and</w:t>
      </w:r>
      <w:r w:rsidR="02DDEEF9">
        <w:t xml:space="preserve"> </w:t>
      </w:r>
      <w:r w:rsidR="57D58175">
        <w:t>the</w:t>
      </w:r>
      <w:r w:rsidR="3538074A">
        <w:t xml:space="preserve"> </w:t>
      </w:r>
      <w:r w:rsidR="7E44F8F6">
        <w:t>Ministry for the Environment’s forestry model.</w:t>
      </w:r>
      <w:r w:rsidR="584704E4">
        <w:t xml:space="preserve"> Future annual harvest areas are projected using a simple method</w:t>
      </w:r>
      <w:r w:rsidR="4DD679C6">
        <w:t xml:space="preserve"> to smooth </w:t>
      </w:r>
      <w:r w:rsidR="793B995B">
        <w:t xml:space="preserve">out large </w:t>
      </w:r>
      <w:r w:rsidR="5C6019F5">
        <w:t xml:space="preserve">interannual fluctuations due to </w:t>
      </w:r>
      <w:r w:rsidR="5C282535">
        <w:t xml:space="preserve">the </w:t>
      </w:r>
      <w:r w:rsidR="5C6019F5">
        <w:t xml:space="preserve">age profile </w:t>
      </w:r>
      <w:r w:rsidR="5C282535">
        <w:t>of New Zealand’s exotic forests</w:t>
      </w:r>
      <w:r w:rsidR="49874663">
        <w:t>.</w:t>
      </w:r>
      <w:r w:rsidR="3CEF45B9">
        <w:t xml:space="preserve"> </w:t>
      </w:r>
      <w:r w:rsidR="5C282535">
        <w:t>F</w:t>
      </w:r>
      <w:r w:rsidR="3CEF45B9">
        <w:t>irst</w:t>
      </w:r>
      <w:r w:rsidR="5C282535">
        <w:t>,</w:t>
      </w:r>
      <w:r w:rsidR="3CEF45B9">
        <w:t xml:space="preserve"> a rolling 20-year average </w:t>
      </w:r>
      <w:r w:rsidR="76BBDE23">
        <w:t xml:space="preserve">area available to harvest is calculated. Second, a </w:t>
      </w:r>
      <w:r w:rsidR="0FB1871D">
        <w:t>limit</w:t>
      </w:r>
      <w:r w:rsidR="7DDCE451">
        <w:t xml:space="preserve"> is applied </w:t>
      </w:r>
      <w:r w:rsidR="0FB1871D">
        <w:t xml:space="preserve">on </w:t>
      </w:r>
      <w:r w:rsidR="203B0F24">
        <w:t xml:space="preserve">how much </w:t>
      </w:r>
      <w:r w:rsidR="0FB1871D">
        <w:t xml:space="preserve">the </w:t>
      </w:r>
      <w:r w:rsidR="203B0F24">
        <w:t xml:space="preserve">harvest area can change from year to year. </w:t>
      </w:r>
      <w:r w:rsidR="29240CEE">
        <w:t xml:space="preserve">A </w:t>
      </w:r>
      <w:r w:rsidR="019D3636">
        <w:t>final harvest area is then calculated which allows for a</w:t>
      </w:r>
      <w:r w:rsidR="664EA088">
        <w:t>ny</w:t>
      </w:r>
      <w:r w:rsidR="019D3636">
        <w:t xml:space="preserve"> shortfall</w:t>
      </w:r>
      <w:r w:rsidR="0FB1871D">
        <w:t xml:space="preserve"> </w:t>
      </w:r>
      <w:r w:rsidR="664EA088">
        <w:t>to be made up for in subsequent years.</w:t>
      </w:r>
    </w:p>
    <w:p w14:paraId="3D8D3A25" w14:textId="63FABE96" w:rsidR="00550008" w:rsidRPr="00486F62" w:rsidRDefault="00550008" w:rsidP="001F15DF">
      <w:r w:rsidRPr="00486F62">
        <w:t>The volume of wood harvested by region is then calculated</w:t>
      </w:r>
      <w:r w:rsidR="00267F5B" w:rsidRPr="00486F62">
        <w:t xml:space="preserve">. This calculation uses a yield table for the total recoverable volume (TRV) </w:t>
      </w:r>
      <w:r w:rsidR="00B84ABD" w:rsidRPr="00486F62">
        <w:t>for a reference site, with regional multipliers</w:t>
      </w:r>
      <w:r w:rsidR="00730828" w:rsidRPr="00486F62">
        <w:t xml:space="preserve"> to reflect different average growing conditions. The volume of pulp logs harvested is split out from the TRV</w:t>
      </w:r>
      <w:r w:rsidR="006012EC" w:rsidRPr="00486F62">
        <w:t xml:space="preserve"> for assessing their potential use for bioenergy</w:t>
      </w:r>
      <w:r w:rsidR="00381904" w:rsidRPr="00486F62">
        <w:t>.</w:t>
      </w:r>
    </w:p>
    <w:p w14:paraId="680438C9" w14:textId="1F631A4A" w:rsidR="00627056" w:rsidRPr="00486F62" w:rsidRDefault="00627056" w:rsidP="001F15DF">
      <w:pPr>
        <w:pStyle w:val="Heading3"/>
      </w:pPr>
      <w:bookmarkStart w:id="53" w:name="_Toc184814274"/>
      <w:r w:rsidRPr="00486F62">
        <w:t>Biomass</w:t>
      </w:r>
      <w:r w:rsidR="00E1667E" w:rsidRPr="00486F62">
        <w:t xml:space="preserve"> </w:t>
      </w:r>
      <w:r w:rsidR="001F15DF" w:rsidRPr="00486F62">
        <w:t>supply</w:t>
      </w:r>
      <w:bookmarkEnd w:id="53"/>
    </w:p>
    <w:p w14:paraId="2D8411DB" w14:textId="68309F8B" w:rsidR="00607842" w:rsidRPr="001E507E" w:rsidRDefault="349667B3" w:rsidP="00E42520">
      <w:pPr>
        <w:rPr>
          <w:highlight w:val="yellow"/>
        </w:rPr>
      </w:pPr>
      <w:r w:rsidRPr="00486F62">
        <w:t xml:space="preserve">ENZ calculates the </w:t>
      </w:r>
      <w:r w:rsidR="5CDA8D0B" w:rsidRPr="00486F62">
        <w:t>potential regional</w:t>
      </w:r>
      <w:r w:rsidRPr="00486F62">
        <w:t xml:space="preserve"> biomass supply </w:t>
      </w:r>
      <w:r w:rsidR="5CDA8D0B" w:rsidRPr="00486F62">
        <w:t>of harvest residues and export pulp logs for use as bioenergy.</w:t>
      </w:r>
      <w:r w:rsidR="00A95258" w:rsidRPr="00486F62">
        <w:rPr>
          <w:rStyle w:val="FootnoteReference"/>
        </w:rPr>
        <w:footnoteReference w:id="6"/>
      </w:r>
      <w:r w:rsidR="6EFA6757" w:rsidRPr="00486F62">
        <w:t xml:space="preserve"> </w:t>
      </w:r>
      <w:r w:rsidR="3C1B3742" w:rsidRPr="00486F62">
        <w:t xml:space="preserve">Potential harvest residue supply is calculated based on </w:t>
      </w:r>
      <w:r w:rsidR="6EFA6757" w:rsidRPr="00486F62">
        <w:t>an assumed</w:t>
      </w:r>
      <w:r w:rsidR="2B9ED91E" w:rsidRPr="00486F62">
        <w:t xml:space="preserve"> </w:t>
      </w:r>
      <w:r w:rsidR="6EFA6757" w:rsidRPr="00486F62">
        <w:t xml:space="preserve">amount </w:t>
      </w:r>
      <w:r w:rsidR="2B9ED91E" w:rsidRPr="00486F62">
        <w:t xml:space="preserve">recoverable </w:t>
      </w:r>
      <w:r w:rsidR="6EFA6757" w:rsidRPr="00486F62">
        <w:t xml:space="preserve">as a percentage of TRV. </w:t>
      </w:r>
      <w:r w:rsidR="0169F4F0" w:rsidRPr="00486F62">
        <w:t xml:space="preserve">For pulp logs, </w:t>
      </w:r>
      <w:r w:rsidR="2078DC29" w:rsidRPr="00486F62">
        <w:t xml:space="preserve">existing domestic pulp log demand is </w:t>
      </w:r>
      <w:r w:rsidR="6887FB64" w:rsidRPr="00486F62">
        <w:t xml:space="preserve">estimated and </w:t>
      </w:r>
      <w:r w:rsidR="2078DC29" w:rsidRPr="00486F62">
        <w:t>subtracted from the total</w:t>
      </w:r>
      <w:r w:rsidR="331E8449" w:rsidRPr="00486F62">
        <w:t xml:space="preserve"> volume harvested</w:t>
      </w:r>
      <w:r w:rsidR="0169F4F0" w:rsidRPr="00486F62">
        <w:t xml:space="preserve"> </w:t>
      </w:r>
      <w:r w:rsidR="6887FB64" w:rsidRPr="00486F62">
        <w:t xml:space="preserve">to estimate the volume of </w:t>
      </w:r>
      <w:r w:rsidR="5335B6D9" w:rsidRPr="00486F62">
        <w:t>pulp logs that would otherwise be exported.</w:t>
      </w:r>
      <w:r w:rsidR="0BF093EC" w:rsidRPr="00486F62">
        <w:t xml:space="preserve"> </w:t>
      </w:r>
      <w:r w:rsidR="7862B6FD" w:rsidRPr="00486F62">
        <w:t>The v</w:t>
      </w:r>
      <w:r w:rsidR="0BF093EC" w:rsidRPr="00486F62">
        <w:t xml:space="preserve">olume of wood </w:t>
      </w:r>
      <w:r w:rsidR="7862B6FD" w:rsidRPr="00486F62">
        <w:t xml:space="preserve">biomass </w:t>
      </w:r>
      <w:r w:rsidR="0BF093EC" w:rsidRPr="00486F62">
        <w:t xml:space="preserve">is converted to </w:t>
      </w:r>
      <w:r w:rsidR="05876808" w:rsidRPr="00486F62">
        <w:t xml:space="preserve">energy content and </w:t>
      </w:r>
      <w:r w:rsidR="148031AB" w:rsidRPr="00486F62">
        <w:t xml:space="preserve">fed into the </w:t>
      </w:r>
      <w:r w:rsidR="148031AB" w:rsidRPr="4868DAB2">
        <w:rPr>
          <w:b/>
          <w:bCs/>
        </w:rPr>
        <w:t>HIP module</w:t>
      </w:r>
      <w:r w:rsidR="148031AB" w:rsidRPr="00486F62">
        <w:t>.</w:t>
      </w:r>
    </w:p>
    <w:p w14:paraId="735A0683" w14:textId="27419E72" w:rsidR="00E0300A" w:rsidRPr="002F13AF" w:rsidRDefault="00E0300A" w:rsidP="00E0300A">
      <w:pPr>
        <w:pStyle w:val="Heading1"/>
      </w:pPr>
      <w:bookmarkStart w:id="54" w:name="_Toc161988762"/>
      <w:bookmarkStart w:id="55" w:name="_Toc184814275"/>
      <w:r w:rsidRPr="002F13AF">
        <w:t>W</w:t>
      </w:r>
      <w:r w:rsidR="00607842" w:rsidRPr="002F13AF">
        <w:t>aste</w:t>
      </w:r>
      <w:bookmarkEnd w:id="54"/>
      <w:bookmarkEnd w:id="55"/>
    </w:p>
    <w:p w14:paraId="0421A198" w14:textId="2B79E590" w:rsidR="00E0300A" w:rsidRPr="002F13AF" w:rsidRDefault="00E0300A" w:rsidP="00E0300A">
      <w:r>
        <w:t xml:space="preserve">The </w:t>
      </w:r>
      <w:r w:rsidR="00E932D2">
        <w:t>W</w:t>
      </w:r>
      <w:r>
        <w:t>aste work</w:t>
      </w:r>
      <w:r w:rsidR="002F13AF">
        <w:t>sheets</w:t>
      </w:r>
      <w:r>
        <w:t xml:space="preserve"> </w:t>
      </w:r>
      <w:r w:rsidR="00C71066">
        <w:t xml:space="preserve">calculate greenhouse gas emissions from disposal, biological treatment </w:t>
      </w:r>
      <w:r w:rsidR="00BC692D">
        <w:t>and burning of solid waste</w:t>
      </w:r>
      <w:r w:rsidR="0014727C">
        <w:t>. It uses</w:t>
      </w:r>
      <w:r w:rsidR="000E7AEE">
        <w:t xml:space="preserve"> the same methodology as New Zealand’s Greenhouse Gas Inventory 1990-201</w:t>
      </w:r>
      <w:r w:rsidR="6DEB7BE1">
        <w:t>2</w:t>
      </w:r>
      <w:r w:rsidR="00697AC5">
        <w:t xml:space="preserve"> and projections of future waste activity by the Ministry for the Environment</w:t>
      </w:r>
      <w:r w:rsidR="000E7AEE">
        <w:t>.</w:t>
      </w:r>
      <w:r w:rsidR="00C71066">
        <w:t xml:space="preserve"> </w:t>
      </w:r>
      <w:r w:rsidR="00863A7D">
        <w:t xml:space="preserve">Mitigation measures </w:t>
      </w:r>
      <w:r w:rsidR="00F3717C">
        <w:t xml:space="preserve">included are waste reduction, waste </w:t>
      </w:r>
      <w:r w:rsidR="00A72F13">
        <w:t>recovery/</w:t>
      </w:r>
      <w:r w:rsidR="00F3717C">
        <w:t>diversion</w:t>
      </w:r>
      <w:r w:rsidR="006E1E7A">
        <w:t>, and increases in the coverage and capture efficiency of landfill gas (LFG) capture systems.</w:t>
      </w:r>
    </w:p>
    <w:p w14:paraId="689F3CF1" w14:textId="77DF3EE1" w:rsidR="00E0300A" w:rsidRPr="002F13AF" w:rsidRDefault="0015326B" w:rsidP="0015326B">
      <w:pPr>
        <w:pStyle w:val="Heading2"/>
      </w:pPr>
      <w:bookmarkStart w:id="56" w:name="_Toc184814276"/>
      <w:r w:rsidRPr="002F13AF">
        <w:t xml:space="preserve">Waste </w:t>
      </w:r>
      <w:proofErr w:type="gramStart"/>
      <w:r w:rsidRPr="002F13AF">
        <w:t>generation</w:t>
      </w:r>
      <w:bookmarkEnd w:id="56"/>
      <w:proofErr w:type="gramEnd"/>
    </w:p>
    <w:p w14:paraId="041296B0" w14:textId="2CA4FD8D" w:rsidR="007E05B9" w:rsidRPr="002F13AF" w:rsidRDefault="007E05B9" w:rsidP="0015326B">
      <w:r w:rsidRPr="002F13AF">
        <w:t>In ENZ, w</w:t>
      </w:r>
      <w:r w:rsidR="00934771" w:rsidRPr="002F13AF">
        <w:t xml:space="preserve">aste is categorised by </w:t>
      </w:r>
      <w:r w:rsidR="00EC6B76" w:rsidRPr="002F13AF">
        <w:t xml:space="preserve">destination </w:t>
      </w:r>
      <w:r w:rsidR="00DE2F22" w:rsidRPr="002F13AF">
        <w:t xml:space="preserve">landfill </w:t>
      </w:r>
      <w:r w:rsidR="00EC6B76" w:rsidRPr="002F13AF">
        <w:t>types</w:t>
      </w:r>
      <w:r w:rsidR="00DE2F22" w:rsidRPr="002F13AF">
        <w:t xml:space="preserve"> </w:t>
      </w:r>
      <w:r w:rsidR="0080359E" w:rsidRPr="002F13AF">
        <w:t xml:space="preserve">and </w:t>
      </w:r>
      <w:r w:rsidR="00D56869" w:rsidRPr="002F13AF">
        <w:t xml:space="preserve">waste types </w:t>
      </w:r>
      <w:r w:rsidR="00FC774D" w:rsidRPr="002F13AF">
        <w:t>as shown in the table below.</w:t>
      </w:r>
    </w:p>
    <w:p w14:paraId="19A66C37" w14:textId="18BAEF2C" w:rsidR="0015326B" w:rsidRPr="002F13AF" w:rsidRDefault="007C6D30" w:rsidP="0015326B">
      <w:r w:rsidRPr="002F13AF">
        <w:t xml:space="preserve">Historic and </w:t>
      </w:r>
      <w:r w:rsidR="009A5746" w:rsidRPr="002F13AF">
        <w:t>projected</w:t>
      </w:r>
      <w:r w:rsidR="00815C4A" w:rsidRPr="002F13AF">
        <w:t xml:space="preserve"> baseline</w:t>
      </w:r>
      <w:r w:rsidRPr="002F13AF">
        <w:t xml:space="preserve"> </w:t>
      </w:r>
      <w:r w:rsidR="00EC6B76" w:rsidRPr="002F13AF">
        <w:t xml:space="preserve">waste generation across these categories is </w:t>
      </w:r>
      <w:r w:rsidR="002F08B6" w:rsidRPr="002F13AF">
        <w:t>sourced from the Ministry for the Environment.</w:t>
      </w:r>
      <w:r w:rsidR="00815C4A" w:rsidRPr="002F13AF">
        <w:t xml:space="preserve"> This is based </w:t>
      </w:r>
      <w:r w:rsidR="005946AD" w:rsidRPr="002F13AF">
        <w:t xml:space="preserve">on </w:t>
      </w:r>
      <w:proofErr w:type="spellStart"/>
      <w:r w:rsidR="005946AD" w:rsidRPr="002F13AF">
        <w:t>MfE’s</w:t>
      </w:r>
      <w:proofErr w:type="spellEnd"/>
      <w:r w:rsidR="00815C4A" w:rsidRPr="002F13AF">
        <w:t xml:space="preserve"> latest available emissions projections under current policy settings (the Government’s ‘With Existing Measures’ scenario</w:t>
      </w:r>
      <w:r w:rsidR="005946AD" w:rsidRPr="002F13AF">
        <w:t>).</w:t>
      </w:r>
      <w:r w:rsidR="007E05B9" w:rsidRPr="002F13AF">
        <w:t xml:space="preserve"> The exception to this is </w:t>
      </w:r>
      <w:r w:rsidR="00CA404D" w:rsidRPr="002F13AF">
        <w:lastRenderedPageBreak/>
        <w:t xml:space="preserve">for </w:t>
      </w:r>
      <w:r w:rsidR="007E05B9" w:rsidRPr="002F13AF">
        <w:t xml:space="preserve">non-municipal landfills, where the projected waste generation for organic waste types has been assumed constant at </w:t>
      </w:r>
      <w:r w:rsidR="00CA404D" w:rsidRPr="002F13AF">
        <w:t>estimated 20</w:t>
      </w:r>
      <w:r w:rsidR="621F2520" w:rsidRPr="002F13AF">
        <w:t>22</w:t>
      </w:r>
      <w:r w:rsidR="00CA404D" w:rsidRPr="002F13AF">
        <w:t xml:space="preserve"> levels.</w:t>
      </w:r>
      <w:r w:rsidR="00CA404D" w:rsidRPr="002F13AF">
        <w:rPr>
          <w:rStyle w:val="FootnoteReference"/>
        </w:rPr>
        <w:footnoteReference w:id="7"/>
      </w:r>
    </w:p>
    <w:p w14:paraId="713F1EA0" w14:textId="723EF250" w:rsidR="009D4107" w:rsidRDefault="7B115FB0" w:rsidP="0015326B">
      <w:r>
        <w:t xml:space="preserve">The </w:t>
      </w:r>
      <w:r w:rsidRPr="4868DAB2">
        <w:rPr>
          <w:i/>
          <w:iCs/>
        </w:rPr>
        <w:t>Waste reduction</w:t>
      </w:r>
      <w:r>
        <w:t xml:space="preserve"> parameter in the control panel </w:t>
      </w:r>
      <w:r w:rsidR="7D526C48">
        <w:t>selects</w:t>
      </w:r>
      <w:r>
        <w:t xml:space="preserve"> a scenario for reduction in the quantities of waste generated across the different categories</w:t>
      </w:r>
      <w:r w:rsidR="1D2D0C32">
        <w:t xml:space="preserve">. </w:t>
      </w:r>
      <w:r w:rsidR="7D526C48">
        <w:t>The assumptions for each parameter setting are specified</w:t>
      </w:r>
      <w:r w:rsidR="4AD5184A">
        <w:t xml:space="preserve"> in the </w:t>
      </w:r>
      <w:r w:rsidR="43D161BD" w:rsidRPr="4868DAB2">
        <w:rPr>
          <w:b/>
          <w:bCs/>
        </w:rPr>
        <w:t>Waste mitigation</w:t>
      </w:r>
      <w:r w:rsidR="4AD5184A">
        <w:t xml:space="preserve"> worksheet.</w:t>
      </w:r>
      <w:r w:rsidR="76DE4B6D">
        <w:t xml:space="preserve"> These are expressed as a percentage reduction relative to the baseline waste generation in the year.</w:t>
      </w:r>
      <w:r w:rsidR="1D2D0C32">
        <w:t xml:space="preserve"> For this and the other parameters in the waste module, setting to zero gives the baseline scenario.</w:t>
      </w:r>
    </w:p>
    <w:p w14:paraId="73E2DD85" w14:textId="77777777" w:rsidR="009D4107" w:rsidRDefault="009D4107">
      <w:r>
        <w:br w:type="page"/>
      </w:r>
    </w:p>
    <w:p w14:paraId="10738513" w14:textId="75B16E97" w:rsidR="00631C0E" w:rsidRDefault="00631C0E" w:rsidP="00DE4057">
      <w:pPr>
        <w:pStyle w:val="Caption"/>
        <w:keepNext/>
      </w:pPr>
      <w:r>
        <w:lastRenderedPageBreak/>
        <w:t xml:space="preserve">Table </w:t>
      </w:r>
      <w:r>
        <w:fldChar w:fldCharType="begin"/>
      </w:r>
      <w:r>
        <w:instrText>SEQ Table \* ARABIC</w:instrText>
      </w:r>
      <w:r>
        <w:fldChar w:fldCharType="separate"/>
      </w:r>
      <w:r>
        <w:rPr>
          <w:noProof/>
        </w:rPr>
        <w:t>1</w:t>
      </w:r>
      <w:r>
        <w:fldChar w:fldCharType="end"/>
      </w:r>
      <w:r>
        <w:t xml:space="preserve"> - Waste and landfill types</w:t>
      </w:r>
    </w:p>
    <w:tbl>
      <w:tblPr>
        <w:tblStyle w:val="PlainTable2"/>
        <w:tblW w:w="0" w:type="auto"/>
        <w:tblLayout w:type="fixed"/>
        <w:tblLook w:val="04A0" w:firstRow="1" w:lastRow="0" w:firstColumn="1" w:lastColumn="0" w:noHBand="0" w:noVBand="1"/>
      </w:tblPr>
      <w:tblGrid>
        <w:gridCol w:w="411"/>
        <w:gridCol w:w="2019"/>
        <w:gridCol w:w="2198"/>
        <w:gridCol w:w="2199"/>
        <w:gridCol w:w="2199"/>
      </w:tblGrid>
      <w:tr w:rsidR="00E67295" w:rsidRPr="001E507E" w14:paraId="5F3D1F96" w14:textId="77777777" w:rsidTr="00E67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Borders>
              <w:top w:val="nil"/>
              <w:bottom w:val="nil"/>
            </w:tcBorders>
          </w:tcPr>
          <w:p w14:paraId="5FA5B169" w14:textId="77777777" w:rsidR="00E67295" w:rsidRPr="002F13AF" w:rsidRDefault="00E67295" w:rsidP="00E67295"/>
        </w:tc>
        <w:tc>
          <w:tcPr>
            <w:tcW w:w="2019" w:type="dxa"/>
            <w:tcBorders>
              <w:top w:val="nil"/>
              <w:bottom w:val="nil"/>
            </w:tcBorders>
          </w:tcPr>
          <w:p w14:paraId="7293F09E" w14:textId="77777777" w:rsidR="00E67295" w:rsidRPr="002F13AF" w:rsidRDefault="00E67295" w:rsidP="00E67295">
            <w:pPr>
              <w:cnfStyle w:val="100000000000" w:firstRow="1" w:lastRow="0" w:firstColumn="0" w:lastColumn="0" w:oddVBand="0" w:evenVBand="0" w:oddHBand="0" w:evenHBand="0" w:firstRowFirstColumn="0" w:firstRowLastColumn="0" w:lastRowFirstColumn="0" w:lastRowLastColumn="0"/>
            </w:pPr>
          </w:p>
        </w:tc>
        <w:tc>
          <w:tcPr>
            <w:tcW w:w="6596" w:type="dxa"/>
            <w:gridSpan w:val="3"/>
            <w:tcBorders>
              <w:top w:val="nil"/>
              <w:bottom w:val="nil"/>
            </w:tcBorders>
            <w:shd w:val="clear" w:color="auto" w:fill="auto"/>
          </w:tcPr>
          <w:p w14:paraId="5A5A8F6D" w14:textId="35771201" w:rsidR="00E67295" w:rsidRPr="002F13AF" w:rsidRDefault="00E67295" w:rsidP="00E67295">
            <w:pPr>
              <w:jc w:val="center"/>
              <w:cnfStyle w:val="100000000000" w:firstRow="1" w:lastRow="0" w:firstColumn="0" w:lastColumn="0" w:oddVBand="0" w:evenVBand="0" w:oddHBand="0" w:evenHBand="0" w:firstRowFirstColumn="0" w:firstRowLastColumn="0" w:lastRowFirstColumn="0" w:lastRowLastColumn="0"/>
              <w:rPr>
                <w:b w:val="0"/>
              </w:rPr>
            </w:pPr>
            <w:r w:rsidRPr="002F13AF">
              <w:t>Landfill types</w:t>
            </w:r>
          </w:p>
        </w:tc>
      </w:tr>
      <w:tr w:rsidR="00E67295" w:rsidRPr="001E507E" w14:paraId="1CAF8A61" w14:textId="77777777" w:rsidTr="00742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Borders>
              <w:top w:val="nil"/>
              <w:bottom w:val="nil"/>
            </w:tcBorders>
          </w:tcPr>
          <w:p w14:paraId="3AC70BA8" w14:textId="77777777" w:rsidR="00E67295" w:rsidRPr="002F13AF" w:rsidRDefault="00E67295" w:rsidP="00E67295"/>
        </w:tc>
        <w:tc>
          <w:tcPr>
            <w:tcW w:w="2019" w:type="dxa"/>
            <w:tcBorders>
              <w:top w:val="nil"/>
              <w:bottom w:val="nil"/>
            </w:tcBorders>
          </w:tcPr>
          <w:p w14:paraId="65CA88BB" w14:textId="7827AFEB" w:rsidR="00E67295" w:rsidRPr="002F13AF" w:rsidRDefault="00E67295" w:rsidP="00E67295">
            <w:pPr>
              <w:cnfStyle w:val="000000100000" w:firstRow="0" w:lastRow="0" w:firstColumn="0" w:lastColumn="0" w:oddVBand="0" w:evenVBand="0" w:oddHBand="1" w:evenHBand="0" w:firstRowFirstColumn="0" w:firstRowLastColumn="0" w:lastRowFirstColumn="0" w:lastRowLastColumn="0"/>
            </w:pPr>
          </w:p>
        </w:tc>
        <w:tc>
          <w:tcPr>
            <w:tcW w:w="2198" w:type="dxa"/>
            <w:tcBorders>
              <w:top w:val="nil"/>
              <w:bottom w:val="nil"/>
            </w:tcBorders>
            <w:shd w:val="clear" w:color="auto" w:fill="D9E2F3" w:themeFill="accent1" w:themeFillTint="33"/>
          </w:tcPr>
          <w:p w14:paraId="25EC4AB2" w14:textId="792AA6E8" w:rsidR="00E67295" w:rsidRPr="002F13AF" w:rsidRDefault="00E67295" w:rsidP="00E67295">
            <w:pPr>
              <w:jc w:val="center"/>
              <w:cnfStyle w:val="000000100000" w:firstRow="0" w:lastRow="0" w:firstColumn="0" w:lastColumn="0" w:oddVBand="0" w:evenVBand="0" w:oddHBand="1" w:evenHBand="0" w:firstRowFirstColumn="0" w:firstRowLastColumn="0" w:lastRowFirstColumn="0" w:lastRowLastColumn="0"/>
            </w:pPr>
            <w:r w:rsidRPr="002F13AF">
              <w:t>Municipal</w:t>
            </w:r>
          </w:p>
        </w:tc>
        <w:tc>
          <w:tcPr>
            <w:tcW w:w="2199" w:type="dxa"/>
            <w:tcBorders>
              <w:top w:val="nil"/>
              <w:bottom w:val="nil"/>
            </w:tcBorders>
            <w:shd w:val="clear" w:color="auto" w:fill="FBE4D5" w:themeFill="accent2" w:themeFillTint="33"/>
          </w:tcPr>
          <w:p w14:paraId="74FA638E" w14:textId="76F3B26C" w:rsidR="00E67295" w:rsidRPr="002F13AF" w:rsidRDefault="00E67295" w:rsidP="00E67295">
            <w:pPr>
              <w:jc w:val="center"/>
              <w:cnfStyle w:val="000000100000" w:firstRow="0" w:lastRow="0" w:firstColumn="0" w:lastColumn="0" w:oddVBand="0" w:evenVBand="0" w:oddHBand="1" w:evenHBand="0" w:firstRowFirstColumn="0" w:firstRowLastColumn="0" w:lastRowFirstColumn="0" w:lastRowLastColumn="0"/>
            </w:pPr>
            <w:r w:rsidRPr="002F13AF">
              <w:t>Non-municipal</w:t>
            </w:r>
          </w:p>
        </w:tc>
        <w:tc>
          <w:tcPr>
            <w:tcW w:w="2199" w:type="dxa"/>
            <w:tcBorders>
              <w:top w:val="nil"/>
              <w:bottom w:val="nil"/>
            </w:tcBorders>
            <w:shd w:val="clear" w:color="auto" w:fill="E2EFD9" w:themeFill="accent6" w:themeFillTint="33"/>
          </w:tcPr>
          <w:p w14:paraId="44CA3712" w14:textId="1C7BE6A9" w:rsidR="00E67295" w:rsidRPr="002F13AF" w:rsidRDefault="00E67295" w:rsidP="00E67295">
            <w:pPr>
              <w:jc w:val="center"/>
              <w:cnfStyle w:val="000000100000" w:firstRow="0" w:lastRow="0" w:firstColumn="0" w:lastColumn="0" w:oddVBand="0" w:evenVBand="0" w:oddHBand="1" w:evenHBand="0" w:firstRowFirstColumn="0" w:firstRowLastColumn="0" w:lastRowFirstColumn="0" w:lastRowLastColumn="0"/>
            </w:pPr>
            <w:r w:rsidRPr="002F13AF">
              <w:t>Farm fills</w:t>
            </w:r>
          </w:p>
        </w:tc>
      </w:tr>
      <w:tr w:rsidR="00C3531A" w:rsidRPr="001E507E" w14:paraId="1A62C528" w14:textId="77777777" w:rsidTr="00C3531A">
        <w:trPr>
          <w:cantSplit/>
        </w:trPr>
        <w:tc>
          <w:tcPr>
            <w:cnfStyle w:val="001000000000" w:firstRow="0" w:lastRow="0" w:firstColumn="1" w:lastColumn="0" w:oddVBand="0" w:evenVBand="0" w:oddHBand="0" w:evenHBand="0" w:firstRowFirstColumn="0" w:firstRowLastColumn="0" w:lastRowFirstColumn="0" w:lastRowLastColumn="0"/>
            <w:tcW w:w="2430" w:type="dxa"/>
            <w:gridSpan w:val="2"/>
            <w:tcBorders>
              <w:top w:val="nil"/>
              <w:bottom w:val="nil"/>
            </w:tcBorders>
            <w:vAlign w:val="bottom"/>
          </w:tcPr>
          <w:p w14:paraId="58AEE678" w14:textId="26A2742F" w:rsidR="00C3531A" w:rsidRPr="002F13AF" w:rsidRDefault="00C3531A" w:rsidP="00C3531A">
            <w:r w:rsidRPr="002F13AF">
              <w:t>Waste types</w:t>
            </w:r>
          </w:p>
        </w:tc>
        <w:tc>
          <w:tcPr>
            <w:tcW w:w="2198" w:type="dxa"/>
            <w:tcBorders>
              <w:top w:val="nil"/>
              <w:bottom w:val="nil"/>
            </w:tcBorders>
            <w:shd w:val="clear" w:color="auto" w:fill="D9E2F3" w:themeFill="accent1" w:themeFillTint="33"/>
          </w:tcPr>
          <w:p w14:paraId="48CC5DAA" w14:textId="581133F8"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rPr>
                <w:sz w:val="18"/>
                <w:szCs w:val="18"/>
              </w:rPr>
            </w:pPr>
            <w:r w:rsidRPr="002F13AF">
              <w:rPr>
                <w:sz w:val="18"/>
                <w:szCs w:val="18"/>
              </w:rPr>
              <w:t>Sub-categories by wet/dry climate, open/closed landfills, and sites without LFG capture</w:t>
            </w:r>
          </w:p>
        </w:tc>
        <w:tc>
          <w:tcPr>
            <w:tcW w:w="2199" w:type="dxa"/>
            <w:tcBorders>
              <w:top w:val="nil"/>
              <w:bottom w:val="nil"/>
            </w:tcBorders>
            <w:shd w:val="clear" w:color="auto" w:fill="FBE4D5" w:themeFill="accent2" w:themeFillTint="33"/>
          </w:tcPr>
          <w:p w14:paraId="633214F4" w14:textId="77777777"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rPr>
                <w:b/>
              </w:rPr>
            </w:pPr>
          </w:p>
        </w:tc>
        <w:tc>
          <w:tcPr>
            <w:tcW w:w="2199" w:type="dxa"/>
            <w:tcBorders>
              <w:top w:val="nil"/>
              <w:bottom w:val="nil"/>
            </w:tcBorders>
            <w:shd w:val="clear" w:color="auto" w:fill="E2EFD9" w:themeFill="accent6" w:themeFillTint="33"/>
          </w:tcPr>
          <w:p w14:paraId="135AB873" w14:textId="6A26851A"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rPr>
                <w:b/>
              </w:rPr>
            </w:pPr>
            <w:r w:rsidRPr="002F13AF">
              <w:rPr>
                <w:sz w:val="18"/>
                <w:szCs w:val="18"/>
              </w:rPr>
              <w:t>Sub-categories by farm type: Dairy, Other livestock, and Horticulture &amp; arable</w:t>
            </w:r>
          </w:p>
        </w:tc>
      </w:tr>
      <w:tr w:rsidR="00C3531A" w:rsidRPr="001E507E" w14:paraId="482FFA10" w14:textId="77777777" w:rsidTr="00742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Borders>
              <w:top w:val="nil"/>
            </w:tcBorders>
          </w:tcPr>
          <w:p w14:paraId="165D57EA" w14:textId="77777777" w:rsidR="00C3531A" w:rsidRPr="002F13AF" w:rsidRDefault="00C3531A" w:rsidP="00C3531A"/>
        </w:tc>
        <w:tc>
          <w:tcPr>
            <w:tcW w:w="2019" w:type="dxa"/>
            <w:tcBorders>
              <w:top w:val="nil"/>
            </w:tcBorders>
          </w:tcPr>
          <w:p w14:paraId="155C60BD" w14:textId="5185D586" w:rsidR="00C3531A" w:rsidRPr="002F13AF" w:rsidRDefault="00C3531A" w:rsidP="00C3531A">
            <w:pPr>
              <w:cnfStyle w:val="000000100000" w:firstRow="0" w:lastRow="0" w:firstColumn="0" w:lastColumn="0" w:oddVBand="0" w:evenVBand="0" w:oddHBand="1" w:evenHBand="0" w:firstRowFirstColumn="0" w:firstRowLastColumn="0" w:lastRowFirstColumn="0" w:lastRowLastColumn="0"/>
            </w:pPr>
            <w:r w:rsidRPr="002F13AF">
              <w:t>Food</w:t>
            </w:r>
          </w:p>
        </w:tc>
        <w:tc>
          <w:tcPr>
            <w:tcW w:w="2198" w:type="dxa"/>
            <w:tcBorders>
              <w:top w:val="nil"/>
            </w:tcBorders>
            <w:shd w:val="clear" w:color="auto" w:fill="D9E2F3" w:themeFill="accent1" w:themeFillTint="33"/>
          </w:tcPr>
          <w:p w14:paraId="13F800AA" w14:textId="7155ED1A"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tcBorders>
              <w:top w:val="nil"/>
            </w:tcBorders>
            <w:shd w:val="clear" w:color="auto" w:fill="FBE4D5" w:themeFill="accent2" w:themeFillTint="33"/>
          </w:tcPr>
          <w:p w14:paraId="2C3E309B" w14:textId="1E794BC2"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tcBorders>
              <w:top w:val="nil"/>
            </w:tcBorders>
            <w:shd w:val="clear" w:color="auto" w:fill="E2EFD9" w:themeFill="accent6" w:themeFillTint="33"/>
          </w:tcPr>
          <w:p w14:paraId="68DB82A6" w14:textId="7777777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p>
        </w:tc>
      </w:tr>
      <w:tr w:rsidR="00C3531A" w:rsidRPr="001E507E" w14:paraId="16C0CCDF" w14:textId="77777777" w:rsidTr="00742723">
        <w:tc>
          <w:tcPr>
            <w:cnfStyle w:val="001000000000" w:firstRow="0" w:lastRow="0" w:firstColumn="1" w:lastColumn="0" w:oddVBand="0" w:evenVBand="0" w:oddHBand="0" w:evenHBand="0" w:firstRowFirstColumn="0" w:firstRowLastColumn="0" w:lastRowFirstColumn="0" w:lastRowLastColumn="0"/>
            <w:tcW w:w="411" w:type="dxa"/>
          </w:tcPr>
          <w:p w14:paraId="7EFEF69B" w14:textId="77777777" w:rsidR="00C3531A" w:rsidRPr="002F13AF" w:rsidRDefault="00C3531A" w:rsidP="00C3531A"/>
        </w:tc>
        <w:tc>
          <w:tcPr>
            <w:tcW w:w="2019" w:type="dxa"/>
          </w:tcPr>
          <w:p w14:paraId="739916E5" w14:textId="6421C7E8"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pPr>
            <w:r w:rsidRPr="002F13AF">
              <w:t>Garden</w:t>
            </w:r>
          </w:p>
        </w:tc>
        <w:tc>
          <w:tcPr>
            <w:tcW w:w="2198" w:type="dxa"/>
            <w:shd w:val="clear" w:color="auto" w:fill="D9E2F3" w:themeFill="accent1" w:themeFillTint="33"/>
          </w:tcPr>
          <w:p w14:paraId="53103C49" w14:textId="2D336C0B"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FBE4D5" w:themeFill="accent2" w:themeFillTint="33"/>
          </w:tcPr>
          <w:p w14:paraId="30E5A858" w14:textId="1F4A475F"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E2EFD9" w:themeFill="accent6" w:themeFillTint="33"/>
          </w:tcPr>
          <w:p w14:paraId="7577FA0D" w14:textId="044961A9"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r>
      <w:tr w:rsidR="00C3531A" w:rsidRPr="001E507E" w14:paraId="057EDBDF" w14:textId="77777777" w:rsidTr="00742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Pr>
          <w:p w14:paraId="7F405C34" w14:textId="77777777" w:rsidR="00C3531A" w:rsidRPr="002F13AF" w:rsidRDefault="00C3531A" w:rsidP="00C3531A"/>
        </w:tc>
        <w:tc>
          <w:tcPr>
            <w:tcW w:w="2019" w:type="dxa"/>
          </w:tcPr>
          <w:p w14:paraId="7D803C22" w14:textId="61832571" w:rsidR="00C3531A" w:rsidRPr="002F13AF" w:rsidRDefault="00C3531A" w:rsidP="00C3531A">
            <w:pPr>
              <w:cnfStyle w:val="000000100000" w:firstRow="0" w:lastRow="0" w:firstColumn="0" w:lastColumn="0" w:oddVBand="0" w:evenVBand="0" w:oddHBand="1" w:evenHBand="0" w:firstRowFirstColumn="0" w:firstRowLastColumn="0" w:lastRowFirstColumn="0" w:lastRowLastColumn="0"/>
            </w:pPr>
            <w:r w:rsidRPr="002F13AF">
              <w:t>Paper</w:t>
            </w:r>
          </w:p>
        </w:tc>
        <w:tc>
          <w:tcPr>
            <w:tcW w:w="2198" w:type="dxa"/>
            <w:shd w:val="clear" w:color="auto" w:fill="D9E2F3" w:themeFill="accent1" w:themeFillTint="33"/>
          </w:tcPr>
          <w:p w14:paraId="3B8FDC3D" w14:textId="1AAF5D39"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shd w:val="clear" w:color="auto" w:fill="FBE4D5" w:themeFill="accent2" w:themeFillTint="33"/>
          </w:tcPr>
          <w:p w14:paraId="1900DB9E" w14:textId="7777777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p>
        </w:tc>
        <w:tc>
          <w:tcPr>
            <w:tcW w:w="2199" w:type="dxa"/>
            <w:shd w:val="clear" w:color="auto" w:fill="E2EFD9" w:themeFill="accent6" w:themeFillTint="33"/>
          </w:tcPr>
          <w:p w14:paraId="50F5EC80" w14:textId="069B0DFF"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r>
      <w:tr w:rsidR="00C3531A" w:rsidRPr="001E507E" w14:paraId="51BE1836" w14:textId="77777777" w:rsidTr="00742723">
        <w:tc>
          <w:tcPr>
            <w:cnfStyle w:val="001000000000" w:firstRow="0" w:lastRow="0" w:firstColumn="1" w:lastColumn="0" w:oddVBand="0" w:evenVBand="0" w:oddHBand="0" w:evenHBand="0" w:firstRowFirstColumn="0" w:firstRowLastColumn="0" w:lastRowFirstColumn="0" w:lastRowLastColumn="0"/>
            <w:tcW w:w="411" w:type="dxa"/>
          </w:tcPr>
          <w:p w14:paraId="454F9CD7" w14:textId="77777777" w:rsidR="00C3531A" w:rsidRPr="002F13AF" w:rsidRDefault="00C3531A" w:rsidP="00C3531A"/>
        </w:tc>
        <w:tc>
          <w:tcPr>
            <w:tcW w:w="2019" w:type="dxa"/>
          </w:tcPr>
          <w:p w14:paraId="6EC5A6AB" w14:textId="4D1BF9EB"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pPr>
            <w:r w:rsidRPr="002F13AF">
              <w:t>Wood</w:t>
            </w:r>
          </w:p>
        </w:tc>
        <w:tc>
          <w:tcPr>
            <w:tcW w:w="2198" w:type="dxa"/>
            <w:shd w:val="clear" w:color="auto" w:fill="D9E2F3" w:themeFill="accent1" w:themeFillTint="33"/>
          </w:tcPr>
          <w:p w14:paraId="2F97D1DA" w14:textId="7AAA8016"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FBE4D5" w:themeFill="accent2" w:themeFillTint="33"/>
          </w:tcPr>
          <w:p w14:paraId="6E5A690A" w14:textId="5429ADF8"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E2EFD9" w:themeFill="accent6" w:themeFillTint="33"/>
          </w:tcPr>
          <w:p w14:paraId="1D7CA477" w14:textId="68238FE0"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r>
      <w:tr w:rsidR="00C3531A" w:rsidRPr="001E507E" w14:paraId="277FC630" w14:textId="77777777" w:rsidTr="00742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Pr>
          <w:p w14:paraId="78BEAC38" w14:textId="77777777" w:rsidR="00C3531A" w:rsidRPr="002F13AF" w:rsidRDefault="00C3531A" w:rsidP="00C3531A"/>
        </w:tc>
        <w:tc>
          <w:tcPr>
            <w:tcW w:w="2019" w:type="dxa"/>
          </w:tcPr>
          <w:p w14:paraId="04B3A530" w14:textId="5C1DA7E4" w:rsidR="00C3531A" w:rsidRPr="002F13AF" w:rsidRDefault="00C3531A" w:rsidP="00C3531A">
            <w:pPr>
              <w:cnfStyle w:val="000000100000" w:firstRow="0" w:lastRow="0" w:firstColumn="0" w:lastColumn="0" w:oddVBand="0" w:evenVBand="0" w:oddHBand="1" w:evenHBand="0" w:firstRowFirstColumn="0" w:firstRowLastColumn="0" w:lastRowFirstColumn="0" w:lastRowLastColumn="0"/>
            </w:pPr>
            <w:r w:rsidRPr="002F13AF">
              <w:t>Textile</w:t>
            </w:r>
          </w:p>
        </w:tc>
        <w:tc>
          <w:tcPr>
            <w:tcW w:w="2198" w:type="dxa"/>
            <w:shd w:val="clear" w:color="auto" w:fill="D9E2F3" w:themeFill="accent1" w:themeFillTint="33"/>
          </w:tcPr>
          <w:p w14:paraId="7AD4E68B" w14:textId="0BC8EA5D"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shd w:val="clear" w:color="auto" w:fill="FBE4D5" w:themeFill="accent2" w:themeFillTint="33"/>
          </w:tcPr>
          <w:p w14:paraId="549D66F8" w14:textId="7777777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p>
        </w:tc>
        <w:tc>
          <w:tcPr>
            <w:tcW w:w="2199" w:type="dxa"/>
            <w:shd w:val="clear" w:color="auto" w:fill="E2EFD9" w:themeFill="accent6" w:themeFillTint="33"/>
          </w:tcPr>
          <w:p w14:paraId="35841754" w14:textId="17BC0E5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r>
      <w:tr w:rsidR="00C3531A" w:rsidRPr="001E507E" w14:paraId="0D38AE92" w14:textId="77777777" w:rsidTr="00742723">
        <w:tc>
          <w:tcPr>
            <w:cnfStyle w:val="001000000000" w:firstRow="0" w:lastRow="0" w:firstColumn="1" w:lastColumn="0" w:oddVBand="0" w:evenVBand="0" w:oddHBand="0" w:evenHBand="0" w:firstRowFirstColumn="0" w:firstRowLastColumn="0" w:lastRowFirstColumn="0" w:lastRowLastColumn="0"/>
            <w:tcW w:w="411" w:type="dxa"/>
          </w:tcPr>
          <w:p w14:paraId="0EA8D356" w14:textId="77777777" w:rsidR="00C3531A" w:rsidRPr="002F13AF" w:rsidRDefault="00C3531A" w:rsidP="00C3531A"/>
        </w:tc>
        <w:tc>
          <w:tcPr>
            <w:tcW w:w="2019" w:type="dxa"/>
          </w:tcPr>
          <w:p w14:paraId="4C7C56BA" w14:textId="615ED89C"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pPr>
            <w:r w:rsidRPr="002F13AF">
              <w:t>Nappies</w:t>
            </w:r>
          </w:p>
        </w:tc>
        <w:tc>
          <w:tcPr>
            <w:tcW w:w="2198" w:type="dxa"/>
            <w:shd w:val="clear" w:color="auto" w:fill="D9E2F3" w:themeFill="accent1" w:themeFillTint="33"/>
          </w:tcPr>
          <w:p w14:paraId="5918056B" w14:textId="50C201BE"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FBE4D5" w:themeFill="accent2" w:themeFillTint="33"/>
          </w:tcPr>
          <w:p w14:paraId="0994D0A3" w14:textId="77777777"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p>
        </w:tc>
        <w:tc>
          <w:tcPr>
            <w:tcW w:w="2199" w:type="dxa"/>
            <w:shd w:val="clear" w:color="auto" w:fill="E2EFD9" w:themeFill="accent6" w:themeFillTint="33"/>
          </w:tcPr>
          <w:p w14:paraId="2D14ACDF" w14:textId="77777777"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p>
        </w:tc>
      </w:tr>
      <w:tr w:rsidR="00C3531A" w:rsidRPr="001E507E" w14:paraId="2555E27E" w14:textId="77777777" w:rsidTr="00742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Pr>
          <w:p w14:paraId="1D7B2A43" w14:textId="77777777" w:rsidR="00C3531A" w:rsidRPr="002F13AF" w:rsidRDefault="00C3531A" w:rsidP="00C3531A"/>
        </w:tc>
        <w:tc>
          <w:tcPr>
            <w:tcW w:w="2019" w:type="dxa"/>
          </w:tcPr>
          <w:p w14:paraId="353AD1BB" w14:textId="13EA458F" w:rsidR="00C3531A" w:rsidRPr="002F13AF" w:rsidRDefault="00C3531A" w:rsidP="00C3531A">
            <w:pPr>
              <w:cnfStyle w:val="000000100000" w:firstRow="0" w:lastRow="0" w:firstColumn="0" w:lastColumn="0" w:oddVBand="0" w:evenVBand="0" w:oddHBand="1" w:evenHBand="0" w:firstRowFirstColumn="0" w:firstRowLastColumn="0" w:lastRowFirstColumn="0" w:lastRowLastColumn="0"/>
            </w:pPr>
            <w:r w:rsidRPr="002F13AF">
              <w:t>Sludge/biological</w:t>
            </w:r>
          </w:p>
        </w:tc>
        <w:tc>
          <w:tcPr>
            <w:tcW w:w="2198" w:type="dxa"/>
            <w:shd w:val="clear" w:color="auto" w:fill="D9E2F3" w:themeFill="accent1" w:themeFillTint="33"/>
          </w:tcPr>
          <w:p w14:paraId="2C8CB7B8" w14:textId="7E3B79A4"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shd w:val="clear" w:color="auto" w:fill="FBE4D5" w:themeFill="accent2" w:themeFillTint="33"/>
          </w:tcPr>
          <w:p w14:paraId="2D70DDF2" w14:textId="570B79CE"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shd w:val="clear" w:color="auto" w:fill="E2EFD9" w:themeFill="accent6" w:themeFillTint="33"/>
          </w:tcPr>
          <w:p w14:paraId="5DFF470F" w14:textId="7777777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p>
        </w:tc>
      </w:tr>
      <w:tr w:rsidR="00C3531A" w:rsidRPr="001E507E" w14:paraId="56C96BD4" w14:textId="77777777" w:rsidTr="00742723">
        <w:tc>
          <w:tcPr>
            <w:cnfStyle w:val="001000000000" w:firstRow="0" w:lastRow="0" w:firstColumn="1" w:lastColumn="0" w:oddVBand="0" w:evenVBand="0" w:oddHBand="0" w:evenHBand="0" w:firstRowFirstColumn="0" w:firstRowLastColumn="0" w:lastRowFirstColumn="0" w:lastRowLastColumn="0"/>
            <w:tcW w:w="411" w:type="dxa"/>
          </w:tcPr>
          <w:p w14:paraId="2CD6A178" w14:textId="77777777" w:rsidR="00C3531A" w:rsidRPr="002F13AF" w:rsidRDefault="00C3531A" w:rsidP="00C3531A"/>
        </w:tc>
        <w:tc>
          <w:tcPr>
            <w:tcW w:w="2019" w:type="dxa"/>
          </w:tcPr>
          <w:p w14:paraId="1A85A999" w14:textId="6D5339A0"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pPr>
            <w:r w:rsidRPr="002F13AF">
              <w:t>Inert</w:t>
            </w:r>
          </w:p>
        </w:tc>
        <w:tc>
          <w:tcPr>
            <w:tcW w:w="2198" w:type="dxa"/>
            <w:shd w:val="clear" w:color="auto" w:fill="D9E2F3" w:themeFill="accent1" w:themeFillTint="33"/>
          </w:tcPr>
          <w:p w14:paraId="14C809BB" w14:textId="591FE197"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FBE4D5" w:themeFill="accent2" w:themeFillTint="33"/>
          </w:tcPr>
          <w:p w14:paraId="592A18C8" w14:textId="0D8A64B7"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E2EFD9" w:themeFill="accent6" w:themeFillTint="33"/>
          </w:tcPr>
          <w:p w14:paraId="3F05A64B" w14:textId="325D4851"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r>
      <w:tr w:rsidR="00C3531A" w:rsidRPr="001E507E" w14:paraId="4C31A334" w14:textId="77777777" w:rsidTr="00742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Pr>
          <w:p w14:paraId="4D013B6B" w14:textId="77777777" w:rsidR="00C3531A" w:rsidRPr="002F13AF" w:rsidRDefault="00C3531A" w:rsidP="00C3531A"/>
        </w:tc>
        <w:tc>
          <w:tcPr>
            <w:tcW w:w="2019" w:type="dxa"/>
          </w:tcPr>
          <w:p w14:paraId="5AF237F3" w14:textId="3838A857" w:rsidR="00C3531A" w:rsidRPr="002F13AF" w:rsidRDefault="00C3531A" w:rsidP="00C3531A">
            <w:pPr>
              <w:cnfStyle w:val="000000100000" w:firstRow="0" w:lastRow="0" w:firstColumn="0" w:lastColumn="0" w:oddVBand="0" w:evenVBand="0" w:oddHBand="1" w:evenHBand="0" w:firstRowFirstColumn="0" w:firstRowLastColumn="0" w:lastRowFirstColumn="0" w:lastRowLastColumn="0"/>
            </w:pPr>
            <w:r w:rsidRPr="002F13AF">
              <w:t>C&amp;D</w:t>
            </w:r>
            <w:r w:rsidRPr="002F13AF">
              <w:rPr>
                <w:rStyle w:val="FootnoteReference"/>
              </w:rPr>
              <w:footnoteReference w:id="8"/>
            </w:r>
          </w:p>
        </w:tc>
        <w:tc>
          <w:tcPr>
            <w:tcW w:w="2198" w:type="dxa"/>
            <w:shd w:val="clear" w:color="auto" w:fill="D9E2F3" w:themeFill="accent1" w:themeFillTint="33"/>
          </w:tcPr>
          <w:p w14:paraId="1959554C" w14:textId="7777777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p>
        </w:tc>
        <w:tc>
          <w:tcPr>
            <w:tcW w:w="2199" w:type="dxa"/>
            <w:shd w:val="clear" w:color="auto" w:fill="FBE4D5" w:themeFill="accent2" w:themeFillTint="33"/>
          </w:tcPr>
          <w:p w14:paraId="132A0D4B" w14:textId="568AD34C"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shd w:val="clear" w:color="auto" w:fill="E2EFD9" w:themeFill="accent6" w:themeFillTint="33"/>
          </w:tcPr>
          <w:p w14:paraId="4F4CB110" w14:textId="7777777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p>
        </w:tc>
      </w:tr>
      <w:tr w:rsidR="00C3531A" w:rsidRPr="001E507E" w14:paraId="0B3C691A" w14:textId="77777777" w:rsidTr="00742723">
        <w:tc>
          <w:tcPr>
            <w:cnfStyle w:val="001000000000" w:firstRow="0" w:lastRow="0" w:firstColumn="1" w:lastColumn="0" w:oddVBand="0" w:evenVBand="0" w:oddHBand="0" w:evenHBand="0" w:firstRowFirstColumn="0" w:firstRowLastColumn="0" w:lastRowFirstColumn="0" w:lastRowLastColumn="0"/>
            <w:tcW w:w="411" w:type="dxa"/>
          </w:tcPr>
          <w:p w14:paraId="602F3180" w14:textId="77777777" w:rsidR="00C3531A" w:rsidRPr="002F13AF" w:rsidRDefault="00C3531A" w:rsidP="00C3531A"/>
        </w:tc>
        <w:tc>
          <w:tcPr>
            <w:tcW w:w="2019" w:type="dxa"/>
          </w:tcPr>
          <w:p w14:paraId="6B447A72" w14:textId="1D7D04D5" w:rsidR="00C3531A" w:rsidRPr="002F13AF" w:rsidRDefault="00C3531A" w:rsidP="00C3531A">
            <w:pPr>
              <w:cnfStyle w:val="000000000000" w:firstRow="0" w:lastRow="0" w:firstColumn="0" w:lastColumn="0" w:oddVBand="0" w:evenVBand="0" w:oddHBand="0" w:evenHBand="0" w:firstRowFirstColumn="0" w:firstRowLastColumn="0" w:lastRowFirstColumn="0" w:lastRowLastColumn="0"/>
            </w:pPr>
            <w:r w:rsidRPr="002F13AF">
              <w:t>Bulk/miscellaneous</w:t>
            </w:r>
          </w:p>
        </w:tc>
        <w:tc>
          <w:tcPr>
            <w:tcW w:w="2198" w:type="dxa"/>
            <w:shd w:val="clear" w:color="auto" w:fill="D9E2F3" w:themeFill="accent1" w:themeFillTint="33"/>
          </w:tcPr>
          <w:p w14:paraId="3D1A630C" w14:textId="77777777"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p>
        </w:tc>
        <w:tc>
          <w:tcPr>
            <w:tcW w:w="2199" w:type="dxa"/>
            <w:shd w:val="clear" w:color="auto" w:fill="FBE4D5" w:themeFill="accent2" w:themeFillTint="33"/>
          </w:tcPr>
          <w:p w14:paraId="3856921C" w14:textId="69BB21B5"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c>
          <w:tcPr>
            <w:tcW w:w="2199" w:type="dxa"/>
            <w:shd w:val="clear" w:color="auto" w:fill="E2EFD9" w:themeFill="accent6" w:themeFillTint="33"/>
          </w:tcPr>
          <w:p w14:paraId="6C301256" w14:textId="488C057B" w:rsidR="00C3531A" w:rsidRPr="002F13AF" w:rsidRDefault="00C3531A" w:rsidP="00C3531A">
            <w:pPr>
              <w:jc w:val="center"/>
              <w:cnfStyle w:val="000000000000" w:firstRow="0" w:lastRow="0" w:firstColumn="0" w:lastColumn="0" w:oddVBand="0" w:evenVBand="0" w:oddHBand="0" w:evenHBand="0" w:firstRowFirstColumn="0" w:firstRowLastColumn="0" w:lastRowFirstColumn="0" w:lastRowLastColumn="0"/>
            </w:pPr>
            <w:r w:rsidRPr="002F13AF">
              <w:t>x</w:t>
            </w:r>
          </w:p>
        </w:tc>
      </w:tr>
      <w:tr w:rsidR="00C3531A" w:rsidRPr="001E507E" w14:paraId="174EE3A8" w14:textId="77777777" w:rsidTr="00742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dxa"/>
          </w:tcPr>
          <w:p w14:paraId="7F30E668" w14:textId="77777777" w:rsidR="00C3531A" w:rsidRPr="002F13AF" w:rsidRDefault="00C3531A" w:rsidP="00C3531A"/>
        </w:tc>
        <w:tc>
          <w:tcPr>
            <w:tcW w:w="2019" w:type="dxa"/>
          </w:tcPr>
          <w:p w14:paraId="6BE2DCA7" w14:textId="1140D4D0" w:rsidR="00C3531A" w:rsidRPr="002F13AF" w:rsidRDefault="00C3531A" w:rsidP="00C3531A">
            <w:pPr>
              <w:cnfStyle w:val="000000100000" w:firstRow="0" w:lastRow="0" w:firstColumn="0" w:lastColumn="0" w:oddVBand="0" w:evenVBand="0" w:oddHBand="1" w:evenHBand="0" w:firstRowFirstColumn="0" w:firstRowLastColumn="0" w:lastRowFirstColumn="0" w:lastRowLastColumn="0"/>
            </w:pPr>
            <w:r w:rsidRPr="002F13AF">
              <w:t>Industrial</w:t>
            </w:r>
          </w:p>
        </w:tc>
        <w:tc>
          <w:tcPr>
            <w:tcW w:w="2198" w:type="dxa"/>
            <w:shd w:val="clear" w:color="auto" w:fill="D9E2F3" w:themeFill="accent1" w:themeFillTint="33"/>
          </w:tcPr>
          <w:p w14:paraId="7937DBDD" w14:textId="77777777"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p>
        </w:tc>
        <w:tc>
          <w:tcPr>
            <w:tcW w:w="2199" w:type="dxa"/>
            <w:shd w:val="clear" w:color="auto" w:fill="FBE4D5" w:themeFill="accent2" w:themeFillTint="33"/>
          </w:tcPr>
          <w:p w14:paraId="6EFAAE62" w14:textId="3313E971"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c>
          <w:tcPr>
            <w:tcW w:w="2199" w:type="dxa"/>
            <w:shd w:val="clear" w:color="auto" w:fill="E2EFD9" w:themeFill="accent6" w:themeFillTint="33"/>
          </w:tcPr>
          <w:p w14:paraId="2200E49B" w14:textId="2AF7398B" w:rsidR="00C3531A" w:rsidRPr="002F13AF" w:rsidRDefault="00C3531A" w:rsidP="00C3531A">
            <w:pPr>
              <w:jc w:val="center"/>
              <w:cnfStyle w:val="000000100000" w:firstRow="0" w:lastRow="0" w:firstColumn="0" w:lastColumn="0" w:oddVBand="0" w:evenVBand="0" w:oddHBand="1" w:evenHBand="0" w:firstRowFirstColumn="0" w:firstRowLastColumn="0" w:lastRowFirstColumn="0" w:lastRowLastColumn="0"/>
            </w:pPr>
            <w:r w:rsidRPr="002F13AF">
              <w:t>x</w:t>
            </w:r>
          </w:p>
        </w:tc>
      </w:tr>
    </w:tbl>
    <w:p w14:paraId="44844D0E" w14:textId="77777777" w:rsidR="00CC5C4A" w:rsidRPr="002F13AF" w:rsidRDefault="00CC5C4A" w:rsidP="0015326B"/>
    <w:p w14:paraId="4EFA4E8A" w14:textId="77777777" w:rsidR="00607842" w:rsidRPr="002F13AF" w:rsidRDefault="00607842" w:rsidP="00784EAE">
      <w:pPr>
        <w:pStyle w:val="Heading2"/>
      </w:pPr>
      <w:bookmarkStart w:id="57" w:name="_Toc184814277"/>
      <w:r w:rsidRPr="002F13AF">
        <w:t>Waste recovery/</w:t>
      </w:r>
      <w:proofErr w:type="gramStart"/>
      <w:r w:rsidRPr="002F13AF">
        <w:t>diversion</w:t>
      </w:r>
      <w:bookmarkEnd w:id="57"/>
      <w:proofErr w:type="gramEnd"/>
    </w:p>
    <w:p w14:paraId="70663A98" w14:textId="4F26B524" w:rsidR="00784EAE" w:rsidRPr="002F13AF" w:rsidRDefault="00066F7D" w:rsidP="00784EAE">
      <w:r w:rsidRPr="002F13AF">
        <w:t xml:space="preserve">ENZ </w:t>
      </w:r>
      <w:r w:rsidR="00A72F13" w:rsidRPr="002F13AF">
        <w:t>includes four options for waste recovery: r</w:t>
      </w:r>
      <w:r w:rsidRPr="002F13AF">
        <w:t xml:space="preserve">ecycling, compost, anaerobic digestion, </w:t>
      </w:r>
      <w:r w:rsidR="00A72F13" w:rsidRPr="002F13AF">
        <w:t xml:space="preserve">and </w:t>
      </w:r>
      <w:r w:rsidRPr="002F13AF">
        <w:t>use for boiler fuel.</w:t>
      </w:r>
      <w:r w:rsidR="00A72F13" w:rsidRPr="002F13AF">
        <w:t xml:space="preserve"> The </w:t>
      </w:r>
      <w:r w:rsidR="00A72F13" w:rsidRPr="002F13AF">
        <w:rPr>
          <w:i/>
        </w:rPr>
        <w:t>Waste diversion</w:t>
      </w:r>
      <w:r w:rsidR="00A72F13" w:rsidRPr="002F13AF">
        <w:t xml:space="preserve"> parameter in the control panel selects a scenario for </w:t>
      </w:r>
      <w:r w:rsidR="00C21D01" w:rsidRPr="002F13AF">
        <w:t xml:space="preserve">the </w:t>
      </w:r>
      <w:r w:rsidR="00CA4F42" w:rsidRPr="002F13AF">
        <w:t>proportion</w:t>
      </w:r>
      <w:r w:rsidR="00C21D01" w:rsidRPr="002F13AF">
        <w:t xml:space="preserve"> of waste recovered</w:t>
      </w:r>
      <w:r w:rsidR="00A72F13" w:rsidRPr="002F13AF">
        <w:t xml:space="preserve"> across the different categories.</w:t>
      </w:r>
      <w:r w:rsidR="00E40D9C" w:rsidRPr="002F13AF">
        <w:t xml:space="preserve"> The assumptions for each parameter setting are specified in the </w:t>
      </w:r>
      <w:r w:rsidR="002F13AF" w:rsidRPr="002F13AF">
        <w:rPr>
          <w:b/>
          <w:bCs/>
        </w:rPr>
        <w:t xml:space="preserve">Waste </w:t>
      </w:r>
      <w:r w:rsidR="00E40D9C" w:rsidRPr="002F13AF">
        <w:rPr>
          <w:b/>
        </w:rPr>
        <w:t>Mitigation</w:t>
      </w:r>
      <w:r w:rsidR="00E40D9C" w:rsidRPr="002F13AF">
        <w:t xml:space="preserve"> worksheet</w:t>
      </w:r>
      <w:r w:rsidR="008911CF" w:rsidRPr="002F13AF">
        <w:t>. These are expressed as a percentage reduction of the residual waste that would be sent to landfill, after accounting for reduced waste generation.</w:t>
      </w:r>
    </w:p>
    <w:p w14:paraId="4BD341E5" w14:textId="0E020BF0" w:rsidR="00195B97" w:rsidRPr="002F13AF" w:rsidRDefault="00195B97" w:rsidP="00195B97">
      <w:pPr>
        <w:pStyle w:val="Heading2"/>
      </w:pPr>
      <w:bookmarkStart w:id="58" w:name="_Toc184814278"/>
      <w:r w:rsidRPr="002F13AF">
        <w:t xml:space="preserve">Landfill gas </w:t>
      </w:r>
      <w:proofErr w:type="gramStart"/>
      <w:r w:rsidRPr="002F13AF">
        <w:t>capture</w:t>
      </w:r>
      <w:bookmarkEnd w:id="58"/>
      <w:proofErr w:type="gramEnd"/>
    </w:p>
    <w:p w14:paraId="0A3F0551" w14:textId="5281CA56" w:rsidR="002B00E5" w:rsidRPr="002F13AF" w:rsidRDefault="004871B8" w:rsidP="002B00E5">
      <w:r w:rsidRPr="002F13AF">
        <w:t xml:space="preserve">Improvements in LFG capture </w:t>
      </w:r>
      <w:proofErr w:type="gramStart"/>
      <w:r w:rsidRPr="002F13AF">
        <w:t>are</w:t>
      </w:r>
      <w:proofErr w:type="gramEnd"/>
      <w:r w:rsidRPr="002F13AF">
        <w:t xml:space="preserve"> represented through two control panel parameters, </w:t>
      </w:r>
      <w:r w:rsidRPr="002F13AF">
        <w:rPr>
          <w:i/>
        </w:rPr>
        <w:t>LFG capture coverage</w:t>
      </w:r>
      <w:r w:rsidRPr="002F13AF">
        <w:t xml:space="preserve"> and </w:t>
      </w:r>
      <w:r w:rsidRPr="002F13AF">
        <w:rPr>
          <w:i/>
        </w:rPr>
        <w:t>LFG capture rate</w:t>
      </w:r>
      <w:r w:rsidRPr="002F13AF">
        <w:t xml:space="preserve">. The first determines the proportion of methane generated that is subject to an LFG system, while the second determines the proportion that is captured by the system. The assumptions for each parameter setting are specified for each landfill category in the </w:t>
      </w:r>
      <w:r w:rsidR="002F13AF" w:rsidRPr="002F13AF">
        <w:rPr>
          <w:b/>
          <w:bCs/>
        </w:rPr>
        <w:t xml:space="preserve">Waste </w:t>
      </w:r>
      <w:r w:rsidRPr="002F13AF">
        <w:rPr>
          <w:b/>
        </w:rPr>
        <w:t>Mitigation</w:t>
      </w:r>
      <w:r w:rsidRPr="002F13AF">
        <w:t xml:space="preserve"> worksheet.</w:t>
      </w:r>
    </w:p>
    <w:p w14:paraId="5E84CBF6" w14:textId="54E1A77C" w:rsidR="00607842" w:rsidRPr="00E24F42" w:rsidRDefault="00607842" w:rsidP="002B00E5">
      <w:pPr>
        <w:pStyle w:val="Heading2"/>
      </w:pPr>
      <w:bookmarkStart w:id="59" w:name="_Toc184814279"/>
      <w:r w:rsidRPr="00E24F42">
        <w:t>Modelling waste emissions</w:t>
      </w:r>
      <w:bookmarkEnd w:id="59"/>
    </w:p>
    <w:p w14:paraId="14859E40" w14:textId="2F9A5972" w:rsidR="007E05B9" w:rsidRPr="00E24F42" w:rsidRDefault="007E05B9" w:rsidP="007E05B9">
      <w:r w:rsidRPr="00E24F42">
        <w:t xml:space="preserve">The calculations of emissions take place in the </w:t>
      </w:r>
      <w:r w:rsidR="00E24F42" w:rsidRPr="00E24F42">
        <w:rPr>
          <w:b/>
          <w:bCs/>
        </w:rPr>
        <w:t>Waste Output</w:t>
      </w:r>
      <w:r w:rsidRPr="00E24F42">
        <w:rPr>
          <w:b/>
        </w:rPr>
        <w:t xml:space="preserve"> </w:t>
      </w:r>
      <w:r w:rsidRPr="00E24F42">
        <w:t>worksheet.</w:t>
      </w:r>
    </w:p>
    <w:p w14:paraId="2A570D4A" w14:textId="131C7852" w:rsidR="007E05B9" w:rsidRPr="00E24F42" w:rsidRDefault="007E05B9" w:rsidP="007E05B9">
      <w:r w:rsidRPr="00E24F42">
        <w:t>Emissions from solid waste disposal to landfills are calculated using a First Order Decay model</w:t>
      </w:r>
      <w:r w:rsidR="00CA404D" w:rsidRPr="00E24F42">
        <w:t>. This</w:t>
      </w:r>
      <w:r w:rsidRPr="00E24F42">
        <w:t xml:space="preserve"> </w:t>
      </w:r>
      <w:r w:rsidR="00CA404D" w:rsidRPr="00E24F42">
        <w:t xml:space="preserve">is the </w:t>
      </w:r>
      <w:r w:rsidRPr="00E24F42">
        <w:t xml:space="preserve">same </w:t>
      </w:r>
      <w:r w:rsidR="00CA404D" w:rsidRPr="00E24F42">
        <w:t>approach</w:t>
      </w:r>
      <w:r w:rsidRPr="00E24F42">
        <w:t xml:space="preserve"> used in New Zealand’s Greenhouse Gas Inventory</w:t>
      </w:r>
      <w:r w:rsidR="00CA404D" w:rsidRPr="00E24F42">
        <w:t xml:space="preserve"> based on Intergovernmental Panel on Climate Change (IPCC) guidance</w:t>
      </w:r>
      <w:r w:rsidRPr="00E24F42">
        <w:t>. Values for all parameters used in the model, such as degradable decomposable organic carbon content and decay constants, are</w:t>
      </w:r>
      <w:r w:rsidR="00CA404D" w:rsidRPr="00E24F42">
        <w:t xml:space="preserve"> sourced from the Inventory and</w:t>
      </w:r>
      <w:r w:rsidRPr="00E24F42">
        <w:t xml:space="preserve"> contained in the </w:t>
      </w:r>
      <w:r w:rsidR="00E24F42" w:rsidRPr="00E24F42">
        <w:rPr>
          <w:b/>
          <w:bCs/>
        </w:rPr>
        <w:t>Waste</w:t>
      </w:r>
      <w:r w:rsidR="00E24F42" w:rsidRPr="00E24F42">
        <w:t xml:space="preserve"> </w:t>
      </w:r>
      <w:r w:rsidRPr="00E24F42">
        <w:rPr>
          <w:b/>
        </w:rPr>
        <w:t>Assumptions</w:t>
      </w:r>
      <w:r w:rsidRPr="00E24F42">
        <w:t xml:space="preserve"> worksheet. </w:t>
      </w:r>
    </w:p>
    <w:p w14:paraId="2A19B349" w14:textId="0BB5B6CA" w:rsidR="00CA404D" w:rsidRPr="00E24F42" w:rsidRDefault="00CA404D" w:rsidP="007E05B9">
      <w:r w:rsidRPr="00E24F42">
        <w:t>Emissions from composting</w:t>
      </w:r>
      <w:r w:rsidR="005973DE" w:rsidRPr="00E24F42">
        <w:t xml:space="preserve">, </w:t>
      </w:r>
      <w:r w:rsidRPr="00E24F42">
        <w:t>anaerobic digestion</w:t>
      </w:r>
      <w:r w:rsidR="005973DE" w:rsidRPr="00E24F42">
        <w:t xml:space="preserve">, and open burning of farm waste </w:t>
      </w:r>
      <w:r w:rsidRPr="00E24F42">
        <w:t>are calculated using simple emissions factors</w:t>
      </w:r>
      <w:r w:rsidR="005973DE" w:rsidRPr="00E24F42">
        <w:t>. The emissions factor for open burning of farm waste is a weighted average based on the assumed composition of waste burned.</w:t>
      </w:r>
    </w:p>
    <w:p w14:paraId="2DC6B911" w14:textId="6BA4E89F" w:rsidR="00607842" w:rsidRPr="00E42520" w:rsidRDefault="005973DE" w:rsidP="00E42520">
      <w:r w:rsidRPr="00E24F42">
        <w:lastRenderedPageBreak/>
        <w:t>Emissions from uncategorised landfills, incineration, and wastewater treatment and discharge are not explicitly modelled, and are assumed unchanged from the baseline scenario. These are relatively small sources of emissions</w:t>
      </w:r>
      <w:r w:rsidR="009D4107">
        <w:t>,</w:t>
      </w:r>
      <w:r w:rsidRPr="00E24F42">
        <w:t xml:space="preserve"> and no mitigation options are currently included in ENZ.</w:t>
      </w:r>
    </w:p>
    <w:sectPr w:rsidR="00607842" w:rsidRPr="00E4252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5125" w14:textId="77777777" w:rsidR="00833A4B" w:rsidRDefault="00833A4B" w:rsidP="00CF19F4">
      <w:pPr>
        <w:spacing w:after="0" w:line="240" w:lineRule="auto"/>
      </w:pPr>
      <w:r>
        <w:separator/>
      </w:r>
    </w:p>
  </w:endnote>
  <w:endnote w:type="continuationSeparator" w:id="0">
    <w:p w14:paraId="70707B17" w14:textId="77777777" w:rsidR="00833A4B" w:rsidRDefault="00833A4B" w:rsidP="00CF19F4">
      <w:pPr>
        <w:spacing w:after="0" w:line="240" w:lineRule="auto"/>
      </w:pPr>
      <w:r>
        <w:continuationSeparator/>
      </w:r>
    </w:p>
  </w:endnote>
  <w:endnote w:type="continuationNotice" w:id="1">
    <w:p w14:paraId="799197D5" w14:textId="77777777" w:rsidR="00833A4B" w:rsidRDefault="00833A4B">
      <w:pPr>
        <w:spacing w:after="0" w:line="240" w:lineRule="auto"/>
      </w:pPr>
    </w:p>
  </w:endnote>
  <w:endnote w:id="2">
    <w:p w14:paraId="1FDA3838" w14:textId="3B112039" w:rsidR="039D010A" w:rsidRDefault="039D010A" w:rsidP="039D010A">
      <w:pPr>
        <w:pStyle w:val="EndnoteText"/>
      </w:pPr>
      <w:r w:rsidRPr="039D010A">
        <w:rPr>
          <w:rStyle w:val="EndnoteReference"/>
        </w:rPr>
        <w:endnoteRef/>
      </w:r>
      <w:r>
        <w:t xml:space="preserve"> Bloomberg New Energy Finance. Lithium-Ion Battery Pack Prices Hit Record Low of $139/kWh. https://about.bnef.com/blog/lithium-ion-battery-pack-prices-hit-record-low-of-139-kwh/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61ED" w14:textId="1BE6FF94" w:rsidR="00311153" w:rsidRPr="000E1E76" w:rsidRDefault="00175B9C" w:rsidP="000E1E76">
    <w:pPr>
      <w:pStyle w:val="Footer"/>
      <w:jc w:val="center"/>
      <w:rPr>
        <w:sz w:val="20"/>
        <w:szCs w:val="20"/>
      </w:rPr>
    </w:pPr>
    <w:r w:rsidRPr="00311153">
      <w:rPr>
        <w:b/>
        <w:bCs/>
        <w:noProof/>
        <w:sz w:val="20"/>
        <w:szCs w:val="20"/>
      </w:rPr>
      <mc:AlternateContent>
        <mc:Choice Requires="wps">
          <w:drawing>
            <wp:anchor distT="0" distB="0" distL="114300" distR="114300" simplePos="0" relativeHeight="251656192" behindDoc="0" locked="0" layoutInCell="0" allowOverlap="1" wp14:anchorId="7F79850D" wp14:editId="12CC6706">
              <wp:simplePos x="0" y="0"/>
              <wp:positionH relativeFrom="page">
                <wp:posOffset>0</wp:posOffset>
              </wp:positionH>
              <wp:positionV relativeFrom="page">
                <wp:posOffset>10227945</wp:posOffset>
              </wp:positionV>
              <wp:extent cx="7560310" cy="273050"/>
              <wp:effectExtent l="0" t="0" r="0" b="12700"/>
              <wp:wrapNone/>
              <wp:docPr id="1" name="Text Box 1" descr="{&quot;HashCode&quot;:-31848221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EB9B0" w14:textId="7F788E31" w:rsidR="00175B9C" w:rsidRPr="00754278" w:rsidRDefault="00175B9C" w:rsidP="001C3272">
                          <w:pPr>
                            <w:spacing w:after="0"/>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79850D" id="_x0000_t202" coordsize="21600,21600" o:spt="202" path="m,l,21600r21600,l21600,xe">
              <v:stroke joinstyle="miter"/>
              <v:path gradientshapeok="t" o:connecttype="rect"/>
            </v:shapetype>
            <v:shape id="Text Box 1" o:spid="_x0000_s1028" type="#_x0000_t202" alt="{&quot;HashCode&quot;:-318482211,&quot;Height&quot;:841.0,&quot;Width&quot;:595.0,&quot;Placement&quot;:&quot;Footer&quot;,&quot;Index&quot;:&quot;Primary&quot;,&quot;Section&quot;:1,&quot;Top&quot;:0.0,&quot;Left&quot;:0.0}" style="position:absolute;left:0;text-align:left;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EDEB9B0" w14:textId="7F788E31" w:rsidR="00175B9C" w:rsidRPr="00754278" w:rsidRDefault="00175B9C" w:rsidP="001C3272">
                    <w:pPr>
                      <w:spacing w:after="0"/>
                      <w:rPr>
                        <w:rFonts w:ascii="Calibri" w:hAnsi="Calibri" w:cs="Calibri"/>
                        <w:color w:val="000000"/>
                        <w:sz w:val="20"/>
                      </w:rPr>
                    </w:pPr>
                  </w:p>
                </w:txbxContent>
              </v:textbox>
              <w10:wrap anchorx="page" anchory="page"/>
            </v:shape>
          </w:pict>
        </mc:Fallback>
      </mc:AlternateContent>
    </w:r>
    <w:r w:rsidR="00711B75" w:rsidRPr="00311153">
      <w:rPr>
        <w:b/>
        <w:bCs/>
        <w:sz w:val="20"/>
        <w:szCs w:val="20"/>
      </w:rPr>
      <w:t>ENZ Manual</w:t>
    </w:r>
    <w:r w:rsidR="00C02006" w:rsidRPr="00311153">
      <w:rPr>
        <w:b/>
        <w:bCs/>
        <w:sz w:val="20"/>
        <w:szCs w:val="20"/>
      </w:rPr>
      <w:t xml:space="preserve"> </w:t>
    </w:r>
    <w:r w:rsidR="00C02006" w:rsidRPr="00311153">
      <w:rPr>
        <w:sz w:val="20"/>
        <w:szCs w:val="20"/>
      </w:rPr>
      <w:t xml:space="preserve">– Third edition (December 2024) </w:t>
    </w:r>
    <w:r w:rsidR="0096084A" w:rsidRPr="00311153">
      <w:rPr>
        <w:sz w:val="20"/>
        <w:szCs w:val="20"/>
      </w:rPr>
      <w:t>| He Pou a Rangi Climate Change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6D0D" w14:textId="77777777" w:rsidR="00833A4B" w:rsidRDefault="00833A4B" w:rsidP="00CF19F4">
      <w:pPr>
        <w:spacing w:after="0" w:line="240" w:lineRule="auto"/>
      </w:pPr>
      <w:r>
        <w:separator/>
      </w:r>
    </w:p>
  </w:footnote>
  <w:footnote w:type="continuationSeparator" w:id="0">
    <w:p w14:paraId="110D048D" w14:textId="77777777" w:rsidR="00833A4B" w:rsidRDefault="00833A4B" w:rsidP="00CF19F4">
      <w:pPr>
        <w:spacing w:after="0" w:line="240" w:lineRule="auto"/>
      </w:pPr>
      <w:r>
        <w:continuationSeparator/>
      </w:r>
    </w:p>
  </w:footnote>
  <w:footnote w:type="continuationNotice" w:id="1">
    <w:p w14:paraId="7ABC02AA" w14:textId="77777777" w:rsidR="00833A4B" w:rsidRDefault="00833A4B">
      <w:pPr>
        <w:spacing w:after="0" w:line="240" w:lineRule="auto"/>
      </w:pPr>
    </w:p>
  </w:footnote>
  <w:footnote w:id="2">
    <w:p w14:paraId="7D6CDF5D" w14:textId="2DAC9A74" w:rsidR="00175B9C" w:rsidRDefault="00175B9C">
      <w:pPr>
        <w:pStyle w:val="FootnoteText"/>
      </w:pPr>
      <w:r>
        <w:rPr>
          <w:rStyle w:val="FootnoteReference"/>
        </w:rPr>
        <w:footnoteRef/>
      </w:r>
      <w:r>
        <w:t xml:space="preserve"> Hardcoded values for the annual change in production per animal are used for the first 2-3 years of the projected period to match the MPI baseline.  </w:t>
      </w:r>
    </w:p>
  </w:footnote>
  <w:footnote w:id="3">
    <w:p w14:paraId="1141C299" w14:textId="41D96ACF" w:rsidR="00175B9C" w:rsidRDefault="00175B9C" w:rsidP="007147F8">
      <w:pPr>
        <w:pStyle w:val="FootnoteText"/>
      </w:pPr>
      <w:r>
        <w:rPr>
          <w:rStyle w:val="FootnoteReference"/>
        </w:rPr>
        <w:footnoteRef/>
      </w:r>
      <w:r>
        <w:t xml:space="preserve"> Methane inhibitors</w:t>
      </w:r>
      <w:r w:rsidR="00EF1ECE">
        <w:t xml:space="preserve">, </w:t>
      </w:r>
      <w:proofErr w:type="spellStart"/>
      <w:r w:rsidR="00EF1ECE">
        <w:t>bovaer</w:t>
      </w:r>
      <w:proofErr w:type="spellEnd"/>
      <w:r>
        <w:t xml:space="preserve"> and vaccines are assumed to be mutually exclusive, so cannot both </w:t>
      </w:r>
      <w:proofErr w:type="gramStart"/>
      <w:r>
        <w:t>be</w:t>
      </w:r>
      <w:proofErr w:type="gramEnd"/>
    </w:p>
    <w:p w14:paraId="6C76823D" w14:textId="27D216A7" w:rsidR="00175B9C" w:rsidRDefault="00175B9C" w:rsidP="007147F8">
      <w:pPr>
        <w:pStyle w:val="FootnoteText"/>
      </w:pPr>
      <w:r>
        <w:t>applied to the same animal.</w:t>
      </w:r>
      <w:r w:rsidR="00EF1ECE">
        <w:t xml:space="preserve">  This combination is only present in the High Technology and High Systems change </w:t>
      </w:r>
      <w:proofErr w:type="gramStart"/>
      <w:r w:rsidR="00EF1ECE">
        <w:t>scenario</w:t>
      </w:r>
      <w:proofErr w:type="gramEnd"/>
    </w:p>
  </w:footnote>
  <w:footnote w:id="4">
    <w:p w14:paraId="4EE9A843" w14:textId="07EB0153" w:rsidR="006236B5" w:rsidRPr="00041637" w:rsidRDefault="006236B5">
      <w:pPr>
        <w:pStyle w:val="FootnoteText"/>
        <w:rPr>
          <w:lang w:val="en-US"/>
        </w:rPr>
      </w:pPr>
      <w:r>
        <w:rPr>
          <w:rStyle w:val="FootnoteReference"/>
        </w:rPr>
        <w:footnoteRef/>
      </w:r>
      <w:r>
        <w:t xml:space="preserve"> Nitrification inhibitors are assumed to only affect nitrous oxide emissions from animal excreta and have no effect on emissions from fertiliser use.</w:t>
      </w:r>
    </w:p>
  </w:footnote>
  <w:footnote w:id="5">
    <w:p w14:paraId="69F1262F" w14:textId="4ACDFCE7" w:rsidR="00921EE4" w:rsidRPr="00E71301" w:rsidRDefault="00921EE4">
      <w:pPr>
        <w:pStyle w:val="FootnoteText"/>
        <w:rPr>
          <w:lang w:val="en-US"/>
        </w:rPr>
      </w:pPr>
      <w:r>
        <w:rPr>
          <w:rStyle w:val="FootnoteReference"/>
        </w:rPr>
        <w:footnoteRef/>
      </w:r>
      <w:r>
        <w:t xml:space="preserve"> Changes in fertiliser use per hectare for other land uses are not currently modelled in </w:t>
      </w:r>
      <w:proofErr w:type="gramStart"/>
      <w:r>
        <w:t>ENZ</w:t>
      </w:r>
      <w:proofErr w:type="gramEnd"/>
    </w:p>
  </w:footnote>
  <w:footnote w:id="6">
    <w:p w14:paraId="702027DF" w14:textId="498D1332" w:rsidR="00A95258" w:rsidRDefault="00A95258">
      <w:pPr>
        <w:pStyle w:val="FootnoteText"/>
      </w:pPr>
      <w:r>
        <w:rPr>
          <w:rStyle w:val="FootnoteReference"/>
        </w:rPr>
        <w:footnoteRef/>
      </w:r>
      <w:r>
        <w:t xml:space="preserve"> Functionality exists in the model to include wood processing residues</w:t>
      </w:r>
      <w:r w:rsidR="003C0666">
        <w:t>,</w:t>
      </w:r>
      <w:r>
        <w:t xml:space="preserve"> but this is not currently used.</w:t>
      </w:r>
    </w:p>
  </w:footnote>
  <w:footnote w:id="7">
    <w:p w14:paraId="4DE99879" w14:textId="5B2970A0" w:rsidR="00CA404D" w:rsidRDefault="00CA404D">
      <w:pPr>
        <w:pStyle w:val="FootnoteText"/>
      </w:pPr>
      <w:r>
        <w:rPr>
          <w:rStyle w:val="FootnoteReference"/>
        </w:rPr>
        <w:footnoteRef/>
      </w:r>
      <w:r>
        <w:t xml:space="preserve"> The latest </w:t>
      </w:r>
      <w:proofErr w:type="spellStart"/>
      <w:r>
        <w:t>MfE</w:t>
      </w:r>
      <w:proofErr w:type="spellEnd"/>
      <w:r>
        <w:t xml:space="preserve"> emissions projections did not include a projection of non-municipal waste generation as the projection was instead based on extrapolation of the emissions trend. Future waste generation levels were assumed constant given difficulties projection forward from noisy and unreliable historic data.</w:t>
      </w:r>
    </w:p>
  </w:footnote>
  <w:footnote w:id="8">
    <w:p w14:paraId="709EE646" w14:textId="3A6CCB74" w:rsidR="00175B9C" w:rsidRDefault="00175B9C">
      <w:pPr>
        <w:pStyle w:val="FootnoteText"/>
      </w:pPr>
      <w:r>
        <w:rPr>
          <w:rStyle w:val="FootnoteReference"/>
        </w:rPr>
        <w:footnoteRef/>
      </w:r>
      <w:r>
        <w:t xml:space="preserve"> Construction and demolition waste</w:t>
      </w:r>
      <w:r w:rsidR="009D410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376F" w14:textId="26A53436" w:rsidR="00175B9C" w:rsidRDefault="00175B9C">
    <w:pPr>
      <w:pStyle w:val="Header"/>
    </w:pPr>
    <w:r>
      <w:rPr>
        <w:noProof/>
      </w:rPr>
      <mc:AlternateContent>
        <mc:Choice Requires="wps">
          <w:drawing>
            <wp:anchor distT="0" distB="0" distL="114300" distR="114300" simplePos="0" relativeHeight="251658241" behindDoc="0" locked="0" layoutInCell="0" allowOverlap="1" wp14:anchorId="27274F68" wp14:editId="5C8F45E0">
              <wp:simplePos x="0" y="0"/>
              <wp:positionH relativeFrom="page">
                <wp:posOffset>0</wp:posOffset>
              </wp:positionH>
              <wp:positionV relativeFrom="page">
                <wp:posOffset>190500</wp:posOffset>
              </wp:positionV>
              <wp:extent cx="7560310" cy="273050"/>
              <wp:effectExtent l="0" t="0" r="0" b="12700"/>
              <wp:wrapNone/>
              <wp:docPr id="2" name="Text Box 2" descr="{&quot;HashCode&quot;:-34261978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0C8AD" w14:textId="4EF3FC9D" w:rsidR="00175B9C" w:rsidRPr="00754278" w:rsidRDefault="00175B9C" w:rsidP="00754278">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274F68" id="_x0000_t202" coordsize="21600,21600" o:spt="202" path="m,l,21600r21600,l21600,xe">
              <v:stroke joinstyle="miter"/>
              <v:path gradientshapeok="t" o:connecttype="rect"/>
            </v:shapetype>
            <v:shape id="Text Box 2" o:spid="_x0000_s1027" type="#_x0000_t202" alt="{&quot;HashCode&quot;:-342619780,&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F50C8AD" w14:textId="4EF3FC9D" w:rsidR="00175B9C" w:rsidRPr="00754278" w:rsidRDefault="00175B9C" w:rsidP="00754278">
                    <w:pPr>
                      <w:spacing w:after="0"/>
                      <w:jc w:val="cente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ADD95D"/>
    <w:multiLevelType w:val="hybridMultilevel"/>
    <w:tmpl w:val="0A70AC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969BF"/>
    <w:multiLevelType w:val="hybridMultilevel"/>
    <w:tmpl w:val="D10C7236"/>
    <w:lvl w:ilvl="0" w:tplc="9060562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3142D8"/>
    <w:multiLevelType w:val="multilevel"/>
    <w:tmpl w:val="587E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D2CA2"/>
    <w:multiLevelType w:val="hybridMultilevel"/>
    <w:tmpl w:val="E2EC0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571A54"/>
    <w:multiLevelType w:val="hybridMultilevel"/>
    <w:tmpl w:val="48E882C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B309AF"/>
    <w:multiLevelType w:val="multilevel"/>
    <w:tmpl w:val="5852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D239ED"/>
    <w:multiLevelType w:val="multilevel"/>
    <w:tmpl w:val="D084E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35412D8"/>
    <w:multiLevelType w:val="multilevel"/>
    <w:tmpl w:val="18FAB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9210CA6"/>
    <w:multiLevelType w:val="hybridMultilevel"/>
    <w:tmpl w:val="F8D0C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977CC4"/>
    <w:multiLevelType w:val="hybridMultilevel"/>
    <w:tmpl w:val="6FE06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066AB9"/>
    <w:multiLevelType w:val="multilevel"/>
    <w:tmpl w:val="0F3E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F41577"/>
    <w:multiLevelType w:val="multilevel"/>
    <w:tmpl w:val="761C8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5218E"/>
    <w:multiLevelType w:val="hybridMultilevel"/>
    <w:tmpl w:val="EB3E66C8"/>
    <w:lvl w:ilvl="0" w:tplc="14090001">
      <w:start w:val="1"/>
      <w:numFmt w:val="bullet"/>
      <w:lvlText w:val=""/>
      <w:lvlJc w:val="left"/>
      <w:pPr>
        <w:ind w:left="773" w:hanging="360"/>
      </w:pPr>
      <w:rPr>
        <w:rFonts w:ascii="Symbol" w:hAnsi="Symbol" w:hint="default"/>
      </w:rPr>
    </w:lvl>
    <w:lvl w:ilvl="1" w:tplc="14090003" w:tentative="1">
      <w:start w:val="1"/>
      <w:numFmt w:val="bullet"/>
      <w:lvlText w:val="o"/>
      <w:lvlJc w:val="left"/>
      <w:pPr>
        <w:ind w:left="1493" w:hanging="360"/>
      </w:pPr>
      <w:rPr>
        <w:rFonts w:ascii="Courier New" w:hAnsi="Courier New" w:cs="Courier New" w:hint="default"/>
      </w:rPr>
    </w:lvl>
    <w:lvl w:ilvl="2" w:tplc="14090005" w:tentative="1">
      <w:start w:val="1"/>
      <w:numFmt w:val="bullet"/>
      <w:lvlText w:val=""/>
      <w:lvlJc w:val="left"/>
      <w:pPr>
        <w:ind w:left="2213" w:hanging="360"/>
      </w:pPr>
      <w:rPr>
        <w:rFonts w:ascii="Wingdings" w:hAnsi="Wingdings" w:hint="default"/>
      </w:rPr>
    </w:lvl>
    <w:lvl w:ilvl="3" w:tplc="14090001" w:tentative="1">
      <w:start w:val="1"/>
      <w:numFmt w:val="bullet"/>
      <w:lvlText w:val=""/>
      <w:lvlJc w:val="left"/>
      <w:pPr>
        <w:ind w:left="2933" w:hanging="360"/>
      </w:pPr>
      <w:rPr>
        <w:rFonts w:ascii="Symbol" w:hAnsi="Symbol" w:hint="default"/>
      </w:rPr>
    </w:lvl>
    <w:lvl w:ilvl="4" w:tplc="14090003" w:tentative="1">
      <w:start w:val="1"/>
      <w:numFmt w:val="bullet"/>
      <w:lvlText w:val="o"/>
      <w:lvlJc w:val="left"/>
      <w:pPr>
        <w:ind w:left="3653" w:hanging="360"/>
      </w:pPr>
      <w:rPr>
        <w:rFonts w:ascii="Courier New" w:hAnsi="Courier New" w:cs="Courier New" w:hint="default"/>
      </w:rPr>
    </w:lvl>
    <w:lvl w:ilvl="5" w:tplc="14090005" w:tentative="1">
      <w:start w:val="1"/>
      <w:numFmt w:val="bullet"/>
      <w:lvlText w:val=""/>
      <w:lvlJc w:val="left"/>
      <w:pPr>
        <w:ind w:left="4373" w:hanging="360"/>
      </w:pPr>
      <w:rPr>
        <w:rFonts w:ascii="Wingdings" w:hAnsi="Wingdings" w:hint="default"/>
      </w:rPr>
    </w:lvl>
    <w:lvl w:ilvl="6" w:tplc="14090001" w:tentative="1">
      <w:start w:val="1"/>
      <w:numFmt w:val="bullet"/>
      <w:lvlText w:val=""/>
      <w:lvlJc w:val="left"/>
      <w:pPr>
        <w:ind w:left="5093" w:hanging="360"/>
      </w:pPr>
      <w:rPr>
        <w:rFonts w:ascii="Symbol" w:hAnsi="Symbol" w:hint="default"/>
      </w:rPr>
    </w:lvl>
    <w:lvl w:ilvl="7" w:tplc="14090003" w:tentative="1">
      <w:start w:val="1"/>
      <w:numFmt w:val="bullet"/>
      <w:lvlText w:val="o"/>
      <w:lvlJc w:val="left"/>
      <w:pPr>
        <w:ind w:left="5813" w:hanging="360"/>
      </w:pPr>
      <w:rPr>
        <w:rFonts w:ascii="Courier New" w:hAnsi="Courier New" w:cs="Courier New" w:hint="default"/>
      </w:rPr>
    </w:lvl>
    <w:lvl w:ilvl="8" w:tplc="14090005" w:tentative="1">
      <w:start w:val="1"/>
      <w:numFmt w:val="bullet"/>
      <w:lvlText w:val=""/>
      <w:lvlJc w:val="left"/>
      <w:pPr>
        <w:ind w:left="6533" w:hanging="360"/>
      </w:pPr>
      <w:rPr>
        <w:rFonts w:ascii="Wingdings" w:hAnsi="Wingdings" w:hint="default"/>
      </w:rPr>
    </w:lvl>
  </w:abstractNum>
  <w:abstractNum w:abstractNumId="13" w15:restartNumberingAfterBreak="0">
    <w:nsid w:val="534D0505"/>
    <w:multiLevelType w:val="multilevel"/>
    <w:tmpl w:val="808E3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8335D"/>
    <w:multiLevelType w:val="multilevel"/>
    <w:tmpl w:val="7B62E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DBC5065"/>
    <w:multiLevelType w:val="multilevel"/>
    <w:tmpl w:val="D938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661819"/>
    <w:multiLevelType w:val="multilevel"/>
    <w:tmpl w:val="486A9F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79C1C85"/>
    <w:multiLevelType w:val="hybridMultilevel"/>
    <w:tmpl w:val="C77C9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D103C08"/>
    <w:multiLevelType w:val="hybridMultilevel"/>
    <w:tmpl w:val="A852F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795EBB"/>
    <w:multiLevelType w:val="hybridMultilevel"/>
    <w:tmpl w:val="E0BE8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ABF3C5B"/>
    <w:multiLevelType w:val="multilevel"/>
    <w:tmpl w:val="3C2CB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057192">
    <w:abstractNumId w:val="15"/>
  </w:num>
  <w:num w:numId="2" w16cid:durableId="1249971110">
    <w:abstractNumId w:val="16"/>
  </w:num>
  <w:num w:numId="3" w16cid:durableId="682364238">
    <w:abstractNumId w:val="11"/>
  </w:num>
  <w:num w:numId="4" w16cid:durableId="625164669">
    <w:abstractNumId w:val="5"/>
  </w:num>
  <w:num w:numId="5" w16cid:durableId="1087464688">
    <w:abstractNumId w:val="2"/>
  </w:num>
  <w:num w:numId="6" w16cid:durableId="818234576">
    <w:abstractNumId w:val="14"/>
  </w:num>
  <w:num w:numId="7" w16cid:durableId="1023440366">
    <w:abstractNumId w:val="18"/>
  </w:num>
  <w:num w:numId="8" w16cid:durableId="1802186807">
    <w:abstractNumId w:val="17"/>
  </w:num>
  <w:num w:numId="9" w16cid:durableId="645165841">
    <w:abstractNumId w:val="19"/>
  </w:num>
  <w:num w:numId="10" w16cid:durableId="1816869726">
    <w:abstractNumId w:val="1"/>
  </w:num>
  <w:num w:numId="11" w16cid:durableId="991984387">
    <w:abstractNumId w:val="0"/>
  </w:num>
  <w:num w:numId="12" w16cid:durableId="427195287">
    <w:abstractNumId w:val="9"/>
  </w:num>
  <w:num w:numId="13" w16cid:durableId="852917531">
    <w:abstractNumId w:val="6"/>
  </w:num>
  <w:num w:numId="14" w16cid:durableId="1889105536">
    <w:abstractNumId w:val="10"/>
  </w:num>
  <w:num w:numId="15" w16cid:durableId="1028992092">
    <w:abstractNumId w:val="7"/>
  </w:num>
  <w:num w:numId="16" w16cid:durableId="915016273">
    <w:abstractNumId w:val="13"/>
  </w:num>
  <w:num w:numId="17" w16cid:durableId="1746873123">
    <w:abstractNumId w:val="20"/>
  </w:num>
  <w:num w:numId="18" w16cid:durableId="1770393906">
    <w:abstractNumId w:val="12"/>
  </w:num>
  <w:num w:numId="19" w16cid:durableId="1685552713">
    <w:abstractNumId w:val="3"/>
  </w:num>
  <w:num w:numId="20" w16cid:durableId="1975912919">
    <w:abstractNumId w:val="8"/>
  </w:num>
  <w:num w:numId="21" w16cid:durableId="861551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8E4E22-A3D5-4791-BDDA-461B0F453D55}"/>
    <w:docVar w:name="dgnword-eventsink" w:val="2632593403824"/>
    <w:docVar w:name="dgnword-lastRevisionsView" w:val="0"/>
  </w:docVars>
  <w:rsids>
    <w:rsidRoot w:val="00CF19F4"/>
    <w:rsid w:val="0000037A"/>
    <w:rsid w:val="0000063E"/>
    <w:rsid w:val="00000641"/>
    <w:rsid w:val="00000BA7"/>
    <w:rsid w:val="000010B6"/>
    <w:rsid w:val="000018A7"/>
    <w:rsid w:val="00002E75"/>
    <w:rsid w:val="00003650"/>
    <w:rsid w:val="00003906"/>
    <w:rsid w:val="000042F6"/>
    <w:rsid w:val="000046AD"/>
    <w:rsid w:val="0000492B"/>
    <w:rsid w:val="00006072"/>
    <w:rsid w:val="00006D46"/>
    <w:rsid w:val="00007577"/>
    <w:rsid w:val="00010727"/>
    <w:rsid w:val="000109CD"/>
    <w:rsid w:val="00011157"/>
    <w:rsid w:val="000117EA"/>
    <w:rsid w:val="00011914"/>
    <w:rsid w:val="00011CA6"/>
    <w:rsid w:val="000129BD"/>
    <w:rsid w:val="000129E9"/>
    <w:rsid w:val="00012A05"/>
    <w:rsid w:val="00013A0E"/>
    <w:rsid w:val="00013B62"/>
    <w:rsid w:val="000159D6"/>
    <w:rsid w:val="000174E0"/>
    <w:rsid w:val="00017A97"/>
    <w:rsid w:val="00017F27"/>
    <w:rsid w:val="00020300"/>
    <w:rsid w:val="000209D3"/>
    <w:rsid w:val="00021217"/>
    <w:rsid w:val="000218BD"/>
    <w:rsid w:val="00021DCC"/>
    <w:rsid w:val="0002255B"/>
    <w:rsid w:val="00022E46"/>
    <w:rsid w:val="00023071"/>
    <w:rsid w:val="00023E17"/>
    <w:rsid w:val="00023F90"/>
    <w:rsid w:val="000240CA"/>
    <w:rsid w:val="00025256"/>
    <w:rsid w:val="0002551B"/>
    <w:rsid w:val="0002659C"/>
    <w:rsid w:val="000275B0"/>
    <w:rsid w:val="00027E81"/>
    <w:rsid w:val="0003037D"/>
    <w:rsid w:val="00030A3B"/>
    <w:rsid w:val="000329C5"/>
    <w:rsid w:val="000333A6"/>
    <w:rsid w:val="00033442"/>
    <w:rsid w:val="00034C95"/>
    <w:rsid w:val="000351E2"/>
    <w:rsid w:val="0003592A"/>
    <w:rsid w:val="00035E60"/>
    <w:rsid w:val="00035FFD"/>
    <w:rsid w:val="000363D2"/>
    <w:rsid w:val="00036D41"/>
    <w:rsid w:val="00037238"/>
    <w:rsid w:val="0004019D"/>
    <w:rsid w:val="000404A0"/>
    <w:rsid w:val="000406DF"/>
    <w:rsid w:val="000409EB"/>
    <w:rsid w:val="00041637"/>
    <w:rsid w:val="000416F0"/>
    <w:rsid w:val="00041AD4"/>
    <w:rsid w:val="00041FB2"/>
    <w:rsid w:val="00042D05"/>
    <w:rsid w:val="00042ED9"/>
    <w:rsid w:val="00045A20"/>
    <w:rsid w:val="0004693A"/>
    <w:rsid w:val="00047A41"/>
    <w:rsid w:val="00050FF1"/>
    <w:rsid w:val="00052202"/>
    <w:rsid w:val="000522CA"/>
    <w:rsid w:val="00052792"/>
    <w:rsid w:val="000528D2"/>
    <w:rsid w:val="00052A56"/>
    <w:rsid w:val="0005551F"/>
    <w:rsid w:val="000560F7"/>
    <w:rsid w:val="00056442"/>
    <w:rsid w:val="00056F8B"/>
    <w:rsid w:val="000573EF"/>
    <w:rsid w:val="0006009C"/>
    <w:rsid w:val="0006191B"/>
    <w:rsid w:val="00061D55"/>
    <w:rsid w:val="0006210C"/>
    <w:rsid w:val="00062410"/>
    <w:rsid w:val="000636AD"/>
    <w:rsid w:val="0006398C"/>
    <w:rsid w:val="00063D04"/>
    <w:rsid w:val="000646EF"/>
    <w:rsid w:val="00064997"/>
    <w:rsid w:val="0006506E"/>
    <w:rsid w:val="00066CB5"/>
    <w:rsid w:val="00066E53"/>
    <w:rsid w:val="00066F7D"/>
    <w:rsid w:val="000671CB"/>
    <w:rsid w:val="00067675"/>
    <w:rsid w:val="000701C5"/>
    <w:rsid w:val="000714EC"/>
    <w:rsid w:val="00072C1D"/>
    <w:rsid w:val="00072CE4"/>
    <w:rsid w:val="00072E88"/>
    <w:rsid w:val="000731E2"/>
    <w:rsid w:val="00073F6C"/>
    <w:rsid w:val="000747F4"/>
    <w:rsid w:val="00074C43"/>
    <w:rsid w:val="00074EA1"/>
    <w:rsid w:val="000762EF"/>
    <w:rsid w:val="000777FC"/>
    <w:rsid w:val="0007799B"/>
    <w:rsid w:val="00077E2A"/>
    <w:rsid w:val="00077FD4"/>
    <w:rsid w:val="000800BF"/>
    <w:rsid w:val="000810FB"/>
    <w:rsid w:val="000811AD"/>
    <w:rsid w:val="00081BC8"/>
    <w:rsid w:val="00082672"/>
    <w:rsid w:val="00083CCF"/>
    <w:rsid w:val="0008478B"/>
    <w:rsid w:val="0008577A"/>
    <w:rsid w:val="000857A2"/>
    <w:rsid w:val="00085A9B"/>
    <w:rsid w:val="00085D32"/>
    <w:rsid w:val="00086665"/>
    <w:rsid w:val="00086724"/>
    <w:rsid w:val="00086896"/>
    <w:rsid w:val="00087CC7"/>
    <w:rsid w:val="00091D83"/>
    <w:rsid w:val="00091ECA"/>
    <w:rsid w:val="000929B5"/>
    <w:rsid w:val="000929FE"/>
    <w:rsid w:val="00093DC8"/>
    <w:rsid w:val="00094BAD"/>
    <w:rsid w:val="00095008"/>
    <w:rsid w:val="0009581F"/>
    <w:rsid w:val="00095D31"/>
    <w:rsid w:val="00097503"/>
    <w:rsid w:val="0009767D"/>
    <w:rsid w:val="00097D13"/>
    <w:rsid w:val="00097FAA"/>
    <w:rsid w:val="000A0806"/>
    <w:rsid w:val="000A0C09"/>
    <w:rsid w:val="000A166A"/>
    <w:rsid w:val="000A2471"/>
    <w:rsid w:val="000A2E46"/>
    <w:rsid w:val="000A39ED"/>
    <w:rsid w:val="000A44C3"/>
    <w:rsid w:val="000A4ACB"/>
    <w:rsid w:val="000A5041"/>
    <w:rsid w:val="000A5EBA"/>
    <w:rsid w:val="000A7388"/>
    <w:rsid w:val="000A7E78"/>
    <w:rsid w:val="000B0957"/>
    <w:rsid w:val="000B0B4B"/>
    <w:rsid w:val="000B2433"/>
    <w:rsid w:val="000B24FB"/>
    <w:rsid w:val="000B448D"/>
    <w:rsid w:val="000B59F2"/>
    <w:rsid w:val="000B5CC9"/>
    <w:rsid w:val="000B5F5D"/>
    <w:rsid w:val="000B6756"/>
    <w:rsid w:val="000C0353"/>
    <w:rsid w:val="000C1F53"/>
    <w:rsid w:val="000C2D00"/>
    <w:rsid w:val="000C37AE"/>
    <w:rsid w:val="000C4719"/>
    <w:rsid w:val="000C4ABD"/>
    <w:rsid w:val="000C5DE4"/>
    <w:rsid w:val="000C5E5C"/>
    <w:rsid w:val="000C721E"/>
    <w:rsid w:val="000C73A6"/>
    <w:rsid w:val="000C76CB"/>
    <w:rsid w:val="000D17BC"/>
    <w:rsid w:val="000D17F0"/>
    <w:rsid w:val="000D1B0B"/>
    <w:rsid w:val="000D2375"/>
    <w:rsid w:val="000D25A5"/>
    <w:rsid w:val="000D266A"/>
    <w:rsid w:val="000D49A0"/>
    <w:rsid w:val="000D4EBF"/>
    <w:rsid w:val="000D5848"/>
    <w:rsid w:val="000D5B70"/>
    <w:rsid w:val="000D6A02"/>
    <w:rsid w:val="000D6B81"/>
    <w:rsid w:val="000D7657"/>
    <w:rsid w:val="000E0902"/>
    <w:rsid w:val="000E1101"/>
    <w:rsid w:val="000E11BD"/>
    <w:rsid w:val="000E134E"/>
    <w:rsid w:val="000E1E76"/>
    <w:rsid w:val="000E2575"/>
    <w:rsid w:val="000E257A"/>
    <w:rsid w:val="000E3964"/>
    <w:rsid w:val="000E39F7"/>
    <w:rsid w:val="000E4F85"/>
    <w:rsid w:val="000E5EBD"/>
    <w:rsid w:val="000E6353"/>
    <w:rsid w:val="000E6721"/>
    <w:rsid w:val="000E7201"/>
    <w:rsid w:val="000E7310"/>
    <w:rsid w:val="000E7AEE"/>
    <w:rsid w:val="000F11CE"/>
    <w:rsid w:val="000F2357"/>
    <w:rsid w:val="000F3721"/>
    <w:rsid w:val="000F39A2"/>
    <w:rsid w:val="000F4EDD"/>
    <w:rsid w:val="000F537F"/>
    <w:rsid w:val="000F5AD3"/>
    <w:rsid w:val="000F62C0"/>
    <w:rsid w:val="000F634A"/>
    <w:rsid w:val="000F6C0A"/>
    <w:rsid w:val="000F6F3C"/>
    <w:rsid w:val="000F7E2F"/>
    <w:rsid w:val="00100A14"/>
    <w:rsid w:val="00100AC5"/>
    <w:rsid w:val="00101A98"/>
    <w:rsid w:val="001025BF"/>
    <w:rsid w:val="00103931"/>
    <w:rsid w:val="001047F8"/>
    <w:rsid w:val="00105A73"/>
    <w:rsid w:val="001062AC"/>
    <w:rsid w:val="001072EF"/>
    <w:rsid w:val="00107630"/>
    <w:rsid w:val="0011047B"/>
    <w:rsid w:val="0011049F"/>
    <w:rsid w:val="00110AD3"/>
    <w:rsid w:val="00110EB0"/>
    <w:rsid w:val="00111F1E"/>
    <w:rsid w:val="001129DD"/>
    <w:rsid w:val="00112A42"/>
    <w:rsid w:val="00112DDB"/>
    <w:rsid w:val="001139C5"/>
    <w:rsid w:val="00113A0A"/>
    <w:rsid w:val="001150BF"/>
    <w:rsid w:val="00116806"/>
    <w:rsid w:val="00116AE2"/>
    <w:rsid w:val="00116ED9"/>
    <w:rsid w:val="00117838"/>
    <w:rsid w:val="00117F1B"/>
    <w:rsid w:val="001200CE"/>
    <w:rsid w:val="0012094C"/>
    <w:rsid w:val="00121072"/>
    <w:rsid w:val="001210D0"/>
    <w:rsid w:val="001212FD"/>
    <w:rsid w:val="001215A8"/>
    <w:rsid w:val="00122DB7"/>
    <w:rsid w:val="001258CF"/>
    <w:rsid w:val="0012746A"/>
    <w:rsid w:val="00130BFF"/>
    <w:rsid w:val="001311F7"/>
    <w:rsid w:val="00131594"/>
    <w:rsid w:val="00131EF1"/>
    <w:rsid w:val="00132345"/>
    <w:rsid w:val="001330CE"/>
    <w:rsid w:val="00133198"/>
    <w:rsid w:val="00133ED9"/>
    <w:rsid w:val="00134A0E"/>
    <w:rsid w:val="00134FFA"/>
    <w:rsid w:val="0013525B"/>
    <w:rsid w:val="0013632B"/>
    <w:rsid w:val="001365A1"/>
    <w:rsid w:val="00136951"/>
    <w:rsid w:val="00136AB1"/>
    <w:rsid w:val="0013743C"/>
    <w:rsid w:val="001379D0"/>
    <w:rsid w:val="00137A93"/>
    <w:rsid w:val="00137AE3"/>
    <w:rsid w:val="00137B8E"/>
    <w:rsid w:val="00140A64"/>
    <w:rsid w:val="00141511"/>
    <w:rsid w:val="00141963"/>
    <w:rsid w:val="00141EFF"/>
    <w:rsid w:val="001437D9"/>
    <w:rsid w:val="00143ADD"/>
    <w:rsid w:val="0014455E"/>
    <w:rsid w:val="00144E64"/>
    <w:rsid w:val="00144FDD"/>
    <w:rsid w:val="00145A90"/>
    <w:rsid w:val="00145BA1"/>
    <w:rsid w:val="0014619C"/>
    <w:rsid w:val="00146474"/>
    <w:rsid w:val="00146BB1"/>
    <w:rsid w:val="0014722C"/>
    <w:rsid w:val="0014727C"/>
    <w:rsid w:val="0015046D"/>
    <w:rsid w:val="00151180"/>
    <w:rsid w:val="001515DC"/>
    <w:rsid w:val="0015199F"/>
    <w:rsid w:val="00151D21"/>
    <w:rsid w:val="0015254F"/>
    <w:rsid w:val="00152A59"/>
    <w:rsid w:val="00152DD0"/>
    <w:rsid w:val="0015326B"/>
    <w:rsid w:val="00153708"/>
    <w:rsid w:val="00153E23"/>
    <w:rsid w:val="0015459D"/>
    <w:rsid w:val="001545DC"/>
    <w:rsid w:val="00154ACB"/>
    <w:rsid w:val="00154BAA"/>
    <w:rsid w:val="00155502"/>
    <w:rsid w:val="00155A53"/>
    <w:rsid w:val="0015751F"/>
    <w:rsid w:val="00160A1E"/>
    <w:rsid w:val="00160CA7"/>
    <w:rsid w:val="00161775"/>
    <w:rsid w:val="00161A28"/>
    <w:rsid w:val="00161ECF"/>
    <w:rsid w:val="001631A5"/>
    <w:rsid w:val="00163349"/>
    <w:rsid w:val="001633D1"/>
    <w:rsid w:val="001634EB"/>
    <w:rsid w:val="00163B78"/>
    <w:rsid w:val="0016436F"/>
    <w:rsid w:val="001663F0"/>
    <w:rsid w:val="001666B8"/>
    <w:rsid w:val="00166887"/>
    <w:rsid w:val="001672D4"/>
    <w:rsid w:val="00170AB6"/>
    <w:rsid w:val="00171361"/>
    <w:rsid w:val="001722D7"/>
    <w:rsid w:val="00172497"/>
    <w:rsid w:val="00173923"/>
    <w:rsid w:val="00174D97"/>
    <w:rsid w:val="00174FFD"/>
    <w:rsid w:val="001756A9"/>
    <w:rsid w:val="00175B9C"/>
    <w:rsid w:val="00176EA6"/>
    <w:rsid w:val="00176F3D"/>
    <w:rsid w:val="00177479"/>
    <w:rsid w:val="001803FE"/>
    <w:rsid w:val="00180FE8"/>
    <w:rsid w:val="00181DC7"/>
    <w:rsid w:val="001823CA"/>
    <w:rsid w:val="00182E58"/>
    <w:rsid w:val="00183FD3"/>
    <w:rsid w:val="00184A11"/>
    <w:rsid w:val="00184FC9"/>
    <w:rsid w:val="00185BCA"/>
    <w:rsid w:val="00185E3B"/>
    <w:rsid w:val="00185F16"/>
    <w:rsid w:val="00187866"/>
    <w:rsid w:val="00190015"/>
    <w:rsid w:val="001905BF"/>
    <w:rsid w:val="00192811"/>
    <w:rsid w:val="00192A70"/>
    <w:rsid w:val="00193117"/>
    <w:rsid w:val="00193796"/>
    <w:rsid w:val="00193AFD"/>
    <w:rsid w:val="00194602"/>
    <w:rsid w:val="00195B97"/>
    <w:rsid w:val="00195C57"/>
    <w:rsid w:val="00196ADD"/>
    <w:rsid w:val="00196F21"/>
    <w:rsid w:val="001973B2"/>
    <w:rsid w:val="001A038D"/>
    <w:rsid w:val="001A0AE4"/>
    <w:rsid w:val="001A306A"/>
    <w:rsid w:val="001A3A2D"/>
    <w:rsid w:val="001A47CD"/>
    <w:rsid w:val="001A483E"/>
    <w:rsid w:val="001A4D6F"/>
    <w:rsid w:val="001A5D89"/>
    <w:rsid w:val="001A6A68"/>
    <w:rsid w:val="001A732E"/>
    <w:rsid w:val="001A7576"/>
    <w:rsid w:val="001A7A88"/>
    <w:rsid w:val="001A7EE8"/>
    <w:rsid w:val="001B026A"/>
    <w:rsid w:val="001B074D"/>
    <w:rsid w:val="001B3362"/>
    <w:rsid w:val="001B57DD"/>
    <w:rsid w:val="001B5A77"/>
    <w:rsid w:val="001B5F12"/>
    <w:rsid w:val="001B6315"/>
    <w:rsid w:val="001B6D73"/>
    <w:rsid w:val="001B6D93"/>
    <w:rsid w:val="001B76DD"/>
    <w:rsid w:val="001B7DFB"/>
    <w:rsid w:val="001C034A"/>
    <w:rsid w:val="001C04B5"/>
    <w:rsid w:val="001C113B"/>
    <w:rsid w:val="001C1338"/>
    <w:rsid w:val="001C1919"/>
    <w:rsid w:val="001C1BE0"/>
    <w:rsid w:val="001C2765"/>
    <w:rsid w:val="001C3272"/>
    <w:rsid w:val="001C3C07"/>
    <w:rsid w:val="001C4248"/>
    <w:rsid w:val="001C4448"/>
    <w:rsid w:val="001C4998"/>
    <w:rsid w:val="001C51D7"/>
    <w:rsid w:val="001C55E7"/>
    <w:rsid w:val="001C569E"/>
    <w:rsid w:val="001C5D37"/>
    <w:rsid w:val="001C67BB"/>
    <w:rsid w:val="001C6CE9"/>
    <w:rsid w:val="001C7637"/>
    <w:rsid w:val="001C7C12"/>
    <w:rsid w:val="001D02D2"/>
    <w:rsid w:val="001D0E52"/>
    <w:rsid w:val="001D0F79"/>
    <w:rsid w:val="001D23AB"/>
    <w:rsid w:val="001D4649"/>
    <w:rsid w:val="001D50D2"/>
    <w:rsid w:val="001D5FD6"/>
    <w:rsid w:val="001D6B36"/>
    <w:rsid w:val="001D7353"/>
    <w:rsid w:val="001D77E6"/>
    <w:rsid w:val="001E08B8"/>
    <w:rsid w:val="001E0B28"/>
    <w:rsid w:val="001E1BD1"/>
    <w:rsid w:val="001E1C0F"/>
    <w:rsid w:val="001E27EB"/>
    <w:rsid w:val="001E2ADD"/>
    <w:rsid w:val="001E2DA0"/>
    <w:rsid w:val="001E2FCF"/>
    <w:rsid w:val="001E350E"/>
    <w:rsid w:val="001E387F"/>
    <w:rsid w:val="001E3943"/>
    <w:rsid w:val="001E42ED"/>
    <w:rsid w:val="001E46A7"/>
    <w:rsid w:val="001E507E"/>
    <w:rsid w:val="001E534D"/>
    <w:rsid w:val="001E56E9"/>
    <w:rsid w:val="001E5733"/>
    <w:rsid w:val="001E5907"/>
    <w:rsid w:val="001E5C7B"/>
    <w:rsid w:val="001E6257"/>
    <w:rsid w:val="001E6C29"/>
    <w:rsid w:val="001E7604"/>
    <w:rsid w:val="001E77D7"/>
    <w:rsid w:val="001E7B76"/>
    <w:rsid w:val="001F03F5"/>
    <w:rsid w:val="001F077C"/>
    <w:rsid w:val="001F15DF"/>
    <w:rsid w:val="001F16A8"/>
    <w:rsid w:val="001F20B8"/>
    <w:rsid w:val="001F2622"/>
    <w:rsid w:val="001F2C06"/>
    <w:rsid w:val="001F41D6"/>
    <w:rsid w:val="001F42C8"/>
    <w:rsid w:val="001F49C0"/>
    <w:rsid w:val="001F5443"/>
    <w:rsid w:val="001F5BE5"/>
    <w:rsid w:val="001F5E7B"/>
    <w:rsid w:val="001F6078"/>
    <w:rsid w:val="001F729C"/>
    <w:rsid w:val="001F773F"/>
    <w:rsid w:val="001F792F"/>
    <w:rsid w:val="001F7D68"/>
    <w:rsid w:val="00200386"/>
    <w:rsid w:val="002010F9"/>
    <w:rsid w:val="0020341D"/>
    <w:rsid w:val="002044FB"/>
    <w:rsid w:val="00204628"/>
    <w:rsid w:val="0020496B"/>
    <w:rsid w:val="00204CA9"/>
    <w:rsid w:val="00204D44"/>
    <w:rsid w:val="00204E4E"/>
    <w:rsid w:val="00205242"/>
    <w:rsid w:val="00205B57"/>
    <w:rsid w:val="00205BB1"/>
    <w:rsid w:val="00205BC6"/>
    <w:rsid w:val="00206080"/>
    <w:rsid w:val="00206EA2"/>
    <w:rsid w:val="00206F72"/>
    <w:rsid w:val="002073A2"/>
    <w:rsid w:val="00207561"/>
    <w:rsid w:val="0020758C"/>
    <w:rsid w:val="00207661"/>
    <w:rsid w:val="002076F1"/>
    <w:rsid w:val="002107B4"/>
    <w:rsid w:val="0021080D"/>
    <w:rsid w:val="00210916"/>
    <w:rsid w:val="002111A9"/>
    <w:rsid w:val="002113D4"/>
    <w:rsid w:val="002117DF"/>
    <w:rsid w:val="00212435"/>
    <w:rsid w:val="00213ADF"/>
    <w:rsid w:val="00214550"/>
    <w:rsid w:val="002147AD"/>
    <w:rsid w:val="0021485C"/>
    <w:rsid w:val="00214B05"/>
    <w:rsid w:val="002157BA"/>
    <w:rsid w:val="00215901"/>
    <w:rsid w:val="00215A4A"/>
    <w:rsid w:val="00216618"/>
    <w:rsid w:val="00216676"/>
    <w:rsid w:val="00216B83"/>
    <w:rsid w:val="00217392"/>
    <w:rsid w:val="0021782A"/>
    <w:rsid w:val="00220831"/>
    <w:rsid w:val="0022126E"/>
    <w:rsid w:val="0022174D"/>
    <w:rsid w:val="00221D3F"/>
    <w:rsid w:val="00223DBB"/>
    <w:rsid w:val="00224467"/>
    <w:rsid w:val="00225B48"/>
    <w:rsid w:val="00226082"/>
    <w:rsid w:val="00226B7F"/>
    <w:rsid w:val="002274A8"/>
    <w:rsid w:val="00227717"/>
    <w:rsid w:val="002277AD"/>
    <w:rsid w:val="00227D0F"/>
    <w:rsid w:val="00227F69"/>
    <w:rsid w:val="00230FE6"/>
    <w:rsid w:val="00231B0A"/>
    <w:rsid w:val="0023261F"/>
    <w:rsid w:val="00232BDF"/>
    <w:rsid w:val="00233806"/>
    <w:rsid w:val="002342E6"/>
    <w:rsid w:val="00234958"/>
    <w:rsid w:val="00234F39"/>
    <w:rsid w:val="00235918"/>
    <w:rsid w:val="00237177"/>
    <w:rsid w:val="00237C23"/>
    <w:rsid w:val="00237FB1"/>
    <w:rsid w:val="00241067"/>
    <w:rsid w:val="00241128"/>
    <w:rsid w:val="002412D7"/>
    <w:rsid w:val="00241A5B"/>
    <w:rsid w:val="00241B9C"/>
    <w:rsid w:val="00243749"/>
    <w:rsid w:val="00245FBD"/>
    <w:rsid w:val="0024622F"/>
    <w:rsid w:val="00246E17"/>
    <w:rsid w:val="00246FC3"/>
    <w:rsid w:val="00250270"/>
    <w:rsid w:val="00250ACE"/>
    <w:rsid w:val="00250D85"/>
    <w:rsid w:val="00251755"/>
    <w:rsid w:val="002523BF"/>
    <w:rsid w:val="0025420E"/>
    <w:rsid w:val="00254C93"/>
    <w:rsid w:val="00254F96"/>
    <w:rsid w:val="00255947"/>
    <w:rsid w:val="00256B9C"/>
    <w:rsid w:val="00257671"/>
    <w:rsid w:val="002577A8"/>
    <w:rsid w:val="00257845"/>
    <w:rsid w:val="00257DB0"/>
    <w:rsid w:val="00260370"/>
    <w:rsid w:val="00261184"/>
    <w:rsid w:val="0026135D"/>
    <w:rsid w:val="00261523"/>
    <w:rsid w:val="00263369"/>
    <w:rsid w:val="00263C5E"/>
    <w:rsid w:val="00264959"/>
    <w:rsid w:val="00264D62"/>
    <w:rsid w:val="002659AD"/>
    <w:rsid w:val="00266AF0"/>
    <w:rsid w:val="00267F5B"/>
    <w:rsid w:val="00270315"/>
    <w:rsid w:val="00270766"/>
    <w:rsid w:val="002717F7"/>
    <w:rsid w:val="002720EE"/>
    <w:rsid w:val="00272321"/>
    <w:rsid w:val="0027243B"/>
    <w:rsid w:val="00273076"/>
    <w:rsid w:val="0027347A"/>
    <w:rsid w:val="00273AFD"/>
    <w:rsid w:val="00273EE8"/>
    <w:rsid w:val="002748AF"/>
    <w:rsid w:val="00274FF7"/>
    <w:rsid w:val="00275063"/>
    <w:rsid w:val="002757D0"/>
    <w:rsid w:val="00277928"/>
    <w:rsid w:val="00280C8B"/>
    <w:rsid w:val="002813A5"/>
    <w:rsid w:val="00282950"/>
    <w:rsid w:val="00284ADF"/>
    <w:rsid w:val="002852E2"/>
    <w:rsid w:val="002852E4"/>
    <w:rsid w:val="00285503"/>
    <w:rsid w:val="00285B6B"/>
    <w:rsid w:val="00286BD8"/>
    <w:rsid w:val="00287595"/>
    <w:rsid w:val="002902B5"/>
    <w:rsid w:val="002908EA"/>
    <w:rsid w:val="00290EE5"/>
    <w:rsid w:val="00291364"/>
    <w:rsid w:val="002917C3"/>
    <w:rsid w:val="002925C0"/>
    <w:rsid w:val="00292B31"/>
    <w:rsid w:val="002932E3"/>
    <w:rsid w:val="002936F6"/>
    <w:rsid w:val="0029393E"/>
    <w:rsid w:val="00293AB9"/>
    <w:rsid w:val="00293F89"/>
    <w:rsid w:val="002949B8"/>
    <w:rsid w:val="0029522C"/>
    <w:rsid w:val="00295F5D"/>
    <w:rsid w:val="00296100"/>
    <w:rsid w:val="002972BD"/>
    <w:rsid w:val="00297A1D"/>
    <w:rsid w:val="00297E44"/>
    <w:rsid w:val="002A0DF8"/>
    <w:rsid w:val="002A17FD"/>
    <w:rsid w:val="002A2298"/>
    <w:rsid w:val="002A309A"/>
    <w:rsid w:val="002A3788"/>
    <w:rsid w:val="002A4EFA"/>
    <w:rsid w:val="002A5711"/>
    <w:rsid w:val="002A6420"/>
    <w:rsid w:val="002A6CD0"/>
    <w:rsid w:val="002A6D67"/>
    <w:rsid w:val="002A6DCE"/>
    <w:rsid w:val="002A7A1E"/>
    <w:rsid w:val="002A7C6E"/>
    <w:rsid w:val="002B003E"/>
    <w:rsid w:val="002B00E5"/>
    <w:rsid w:val="002B1153"/>
    <w:rsid w:val="002B1DC8"/>
    <w:rsid w:val="002B3110"/>
    <w:rsid w:val="002B37F1"/>
    <w:rsid w:val="002B490A"/>
    <w:rsid w:val="002B5613"/>
    <w:rsid w:val="002B583C"/>
    <w:rsid w:val="002B5AE6"/>
    <w:rsid w:val="002B5D7F"/>
    <w:rsid w:val="002B7BC8"/>
    <w:rsid w:val="002C11E6"/>
    <w:rsid w:val="002C12DE"/>
    <w:rsid w:val="002C1865"/>
    <w:rsid w:val="002C1ACA"/>
    <w:rsid w:val="002C24BC"/>
    <w:rsid w:val="002C57B0"/>
    <w:rsid w:val="002C5858"/>
    <w:rsid w:val="002C7BC0"/>
    <w:rsid w:val="002D0CDA"/>
    <w:rsid w:val="002D129F"/>
    <w:rsid w:val="002D140E"/>
    <w:rsid w:val="002D1788"/>
    <w:rsid w:val="002D1BAE"/>
    <w:rsid w:val="002D2411"/>
    <w:rsid w:val="002D2443"/>
    <w:rsid w:val="002D2BC3"/>
    <w:rsid w:val="002D3876"/>
    <w:rsid w:val="002D4599"/>
    <w:rsid w:val="002D491F"/>
    <w:rsid w:val="002D4B5B"/>
    <w:rsid w:val="002D4F73"/>
    <w:rsid w:val="002D4FEB"/>
    <w:rsid w:val="002D529C"/>
    <w:rsid w:val="002D63F7"/>
    <w:rsid w:val="002D72D1"/>
    <w:rsid w:val="002D7B7A"/>
    <w:rsid w:val="002D7E8A"/>
    <w:rsid w:val="002E05F3"/>
    <w:rsid w:val="002E0641"/>
    <w:rsid w:val="002E0A2E"/>
    <w:rsid w:val="002E0A71"/>
    <w:rsid w:val="002E0FC4"/>
    <w:rsid w:val="002E0FE2"/>
    <w:rsid w:val="002E12C5"/>
    <w:rsid w:val="002E1482"/>
    <w:rsid w:val="002E2A24"/>
    <w:rsid w:val="002E2BFD"/>
    <w:rsid w:val="002E40F4"/>
    <w:rsid w:val="002E44E8"/>
    <w:rsid w:val="002E4D09"/>
    <w:rsid w:val="002E5B05"/>
    <w:rsid w:val="002E62F8"/>
    <w:rsid w:val="002E6802"/>
    <w:rsid w:val="002E69D4"/>
    <w:rsid w:val="002E7AEC"/>
    <w:rsid w:val="002F04D9"/>
    <w:rsid w:val="002F0781"/>
    <w:rsid w:val="002F08B6"/>
    <w:rsid w:val="002F13AF"/>
    <w:rsid w:val="002F1793"/>
    <w:rsid w:val="002F17C5"/>
    <w:rsid w:val="002F1F5A"/>
    <w:rsid w:val="002F1FE5"/>
    <w:rsid w:val="002F224C"/>
    <w:rsid w:val="002F2853"/>
    <w:rsid w:val="002F2B4B"/>
    <w:rsid w:val="002F36AE"/>
    <w:rsid w:val="002F3BE8"/>
    <w:rsid w:val="002F5902"/>
    <w:rsid w:val="002F63B0"/>
    <w:rsid w:val="002F68C8"/>
    <w:rsid w:val="002F75C1"/>
    <w:rsid w:val="002F7CF3"/>
    <w:rsid w:val="003012D9"/>
    <w:rsid w:val="00301405"/>
    <w:rsid w:val="00301AE3"/>
    <w:rsid w:val="00301AEF"/>
    <w:rsid w:val="00301B45"/>
    <w:rsid w:val="003022BE"/>
    <w:rsid w:val="00302E54"/>
    <w:rsid w:val="00303232"/>
    <w:rsid w:val="00304239"/>
    <w:rsid w:val="00304546"/>
    <w:rsid w:val="0030530A"/>
    <w:rsid w:val="003053BE"/>
    <w:rsid w:val="00306760"/>
    <w:rsid w:val="00306B84"/>
    <w:rsid w:val="00306CFC"/>
    <w:rsid w:val="0030731F"/>
    <w:rsid w:val="003073EE"/>
    <w:rsid w:val="00307BC0"/>
    <w:rsid w:val="00310629"/>
    <w:rsid w:val="00311153"/>
    <w:rsid w:val="00311F2C"/>
    <w:rsid w:val="00311F9A"/>
    <w:rsid w:val="00312738"/>
    <w:rsid w:val="003132BD"/>
    <w:rsid w:val="00313681"/>
    <w:rsid w:val="00314C2A"/>
    <w:rsid w:val="00316789"/>
    <w:rsid w:val="003169BA"/>
    <w:rsid w:val="003200A0"/>
    <w:rsid w:val="003201EA"/>
    <w:rsid w:val="00320348"/>
    <w:rsid w:val="003210B2"/>
    <w:rsid w:val="003210E0"/>
    <w:rsid w:val="0032183B"/>
    <w:rsid w:val="00321A31"/>
    <w:rsid w:val="00321EBD"/>
    <w:rsid w:val="00321F59"/>
    <w:rsid w:val="00322B65"/>
    <w:rsid w:val="00322D85"/>
    <w:rsid w:val="00323609"/>
    <w:rsid w:val="00324572"/>
    <w:rsid w:val="00324BB0"/>
    <w:rsid w:val="00325117"/>
    <w:rsid w:val="003255C8"/>
    <w:rsid w:val="00325E4C"/>
    <w:rsid w:val="00325F04"/>
    <w:rsid w:val="00326591"/>
    <w:rsid w:val="00326C5D"/>
    <w:rsid w:val="00326F67"/>
    <w:rsid w:val="00327615"/>
    <w:rsid w:val="0033056E"/>
    <w:rsid w:val="0033081A"/>
    <w:rsid w:val="0033098F"/>
    <w:rsid w:val="00330F4E"/>
    <w:rsid w:val="0033279A"/>
    <w:rsid w:val="003328CD"/>
    <w:rsid w:val="003336AF"/>
    <w:rsid w:val="00334189"/>
    <w:rsid w:val="00334B83"/>
    <w:rsid w:val="00334BFB"/>
    <w:rsid w:val="003359D9"/>
    <w:rsid w:val="00335C13"/>
    <w:rsid w:val="00336513"/>
    <w:rsid w:val="003365B1"/>
    <w:rsid w:val="003401C0"/>
    <w:rsid w:val="003401E0"/>
    <w:rsid w:val="00340E2C"/>
    <w:rsid w:val="003415A6"/>
    <w:rsid w:val="00341711"/>
    <w:rsid w:val="00341723"/>
    <w:rsid w:val="003418C2"/>
    <w:rsid w:val="00342216"/>
    <w:rsid w:val="00342F8C"/>
    <w:rsid w:val="003447AD"/>
    <w:rsid w:val="00344F35"/>
    <w:rsid w:val="003452B6"/>
    <w:rsid w:val="00345C2E"/>
    <w:rsid w:val="00346465"/>
    <w:rsid w:val="003504E5"/>
    <w:rsid w:val="00350B37"/>
    <w:rsid w:val="0035145D"/>
    <w:rsid w:val="00351A0F"/>
    <w:rsid w:val="00351ABB"/>
    <w:rsid w:val="003522E1"/>
    <w:rsid w:val="00352C63"/>
    <w:rsid w:val="00352D4C"/>
    <w:rsid w:val="003534F9"/>
    <w:rsid w:val="00353D3B"/>
    <w:rsid w:val="003544B2"/>
    <w:rsid w:val="003549D0"/>
    <w:rsid w:val="00354AFF"/>
    <w:rsid w:val="00355E85"/>
    <w:rsid w:val="0035718E"/>
    <w:rsid w:val="00357AC8"/>
    <w:rsid w:val="00357DAF"/>
    <w:rsid w:val="00360525"/>
    <w:rsid w:val="00360A01"/>
    <w:rsid w:val="00360A30"/>
    <w:rsid w:val="00360BCB"/>
    <w:rsid w:val="00362D5C"/>
    <w:rsid w:val="00363373"/>
    <w:rsid w:val="00363639"/>
    <w:rsid w:val="00363EED"/>
    <w:rsid w:val="00364C57"/>
    <w:rsid w:val="003656D1"/>
    <w:rsid w:val="00365F43"/>
    <w:rsid w:val="003664CD"/>
    <w:rsid w:val="003665A2"/>
    <w:rsid w:val="003703BB"/>
    <w:rsid w:val="00371399"/>
    <w:rsid w:val="00371BA5"/>
    <w:rsid w:val="003720F3"/>
    <w:rsid w:val="00373C76"/>
    <w:rsid w:val="003741A7"/>
    <w:rsid w:val="00374469"/>
    <w:rsid w:val="0037458B"/>
    <w:rsid w:val="00374BC7"/>
    <w:rsid w:val="003762DF"/>
    <w:rsid w:val="00376850"/>
    <w:rsid w:val="00376A41"/>
    <w:rsid w:val="00376D43"/>
    <w:rsid w:val="00377F2A"/>
    <w:rsid w:val="00377FB5"/>
    <w:rsid w:val="003803C7"/>
    <w:rsid w:val="00380846"/>
    <w:rsid w:val="00381904"/>
    <w:rsid w:val="0038207F"/>
    <w:rsid w:val="00384A24"/>
    <w:rsid w:val="00386479"/>
    <w:rsid w:val="003870A5"/>
    <w:rsid w:val="003872DE"/>
    <w:rsid w:val="0038747C"/>
    <w:rsid w:val="00387695"/>
    <w:rsid w:val="00387850"/>
    <w:rsid w:val="003902DD"/>
    <w:rsid w:val="00390C98"/>
    <w:rsid w:val="00391316"/>
    <w:rsid w:val="0039131C"/>
    <w:rsid w:val="00391C30"/>
    <w:rsid w:val="00391DC9"/>
    <w:rsid w:val="00391F66"/>
    <w:rsid w:val="00392586"/>
    <w:rsid w:val="00392B50"/>
    <w:rsid w:val="00392F40"/>
    <w:rsid w:val="00393118"/>
    <w:rsid w:val="00393755"/>
    <w:rsid w:val="003937F2"/>
    <w:rsid w:val="00393CAC"/>
    <w:rsid w:val="00394452"/>
    <w:rsid w:val="00394A26"/>
    <w:rsid w:val="00394AA3"/>
    <w:rsid w:val="00395C62"/>
    <w:rsid w:val="00395DEC"/>
    <w:rsid w:val="00395DFE"/>
    <w:rsid w:val="00396ABC"/>
    <w:rsid w:val="00396AE6"/>
    <w:rsid w:val="00396B21"/>
    <w:rsid w:val="00396F7B"/>
    <w:rsid w:val="00396FEB"/>
    <w:rsid w:val="003976E4"/>
    <w:rsid w:val="0039776A"/>
    <w:rsid w:val="003A06B8"/>
    <w:rsid w:val="003A1D63"/>
    <w:rsid w:val="003A215F"/>
    <w:rsid w:val="003A4536"/>
    <w:rsid w:val="003A4709"/>
    <w:rsid w:val="003A5F48"/>
    <w:rsid w:val="003A69CD"/>
    <w:rsid w:val="003A6C10"/>
    <w:rsid w:val="003A7A1F"/>
    <w:rsid w:val="003A7EE9"/>
    <w:rsid w:val="003B1188"/>
    <w:rsid w:val="003B11B9"/>
    <w:rsid w:val="003B1DE7"/>
    <w:rsid w:val="003B229F"/>
    <w:rsid w:val="003B2958"/>
    <w:rsid w:val="003B427E"/>
    <w:rsid w:val="003B4DEB"/>
    <w:rsid w:val="003B4EDE"/>
    <w:rsid w:val="003B5E06"/>
    <w:rsid w:val="003C0666"/>
    <w:rsid w:val="003C0CFF"/>
    <w:rsid w:val="003C0ED8"/>
    <w:rsid w:val="003C1762"/>
    <w:rsid w:val="003C1C1C"/>
    <w:rsid w:val="003C24C9"/>
    <w:rsid w:val="003C2AC0"/>
    <w:rsid w:val="003C3DA9"/>
    <w:rsid w:val="003C40C8"/>
    <w:rsid w:val="003C455C"/>
    <w:rsid w:val="003C495B"/>
    <w:rsid w:val="003C4D95"/>
    <w:rsid w:val="003C5BFF"/>
    <w:rsid w:val="003C5DA9"/>
    <w:rsid w:val="003C5DC6"/>
    <w:rsid w:val="003C6EC5"/>
    <w:rsid w:val="003C70C1"/>
    <w:rsid w:val="003C7F58"/>
    <w:rsid w:val="003D0C36"/>
    <w:rsid w:val="003D1D29"/>
    <w:rsid w:val="003D1E3A"/>
    <w:rsid w:val="003D1FD7"/>
    <w:rsid w:val="003D2599"/>
    <w:rsid w:val="003D2F43"/>
    <w:rsid w:val="003D3804"/>
    <w:rsid w:val="003D5BAF"/>
    <w:rsid w:val="003D5D04"/>
    <w:rsid w:val="003D65ED"/>
    <w:rsid w:val="003D67F8"/>
    <w:rsid w:val="003D6870"/>
    <w:rsid w:val="003D6B40"/>
    <w:rsid w:val="003D75AE"/>
    <w:rsid w:val="003D7895"/>
    <w:rsid w:val="003E0105"/>
    <w:rsid w:val="003E055D"/>
    <w:rsid w:val="003E11CE"/>
    <w:rsid w:val="003E240B"/>
    <w:rsid w:val="003E312B"/>
    <w:rsid w:val="003E3AEE"/>
    <w:rsid w:val="003E4288"/>
    <w:rsid w:val="003E453A"/>
    <w:rsid w:val="003E60C8"/>
    <w:rsid w:val="003E6562"/>
    <w:rsid w:val="003E78AC"/>
    <w:rsid w:val="003F0144"/>
    <w:rsid w:val="003F08B6"/>
    <w:rsid w:val="003F0FE2"/>
    <w:rsid w:val="003F2139"/>
    <w:rsid w:val="003F304B"/>
    <w:rsid w:val="003F3714"/>
    <w:rsid w:val="003F3CBB"/>
    <w:rsid w:val="003F43E9"/>
    <w:rsid w:val="003F4B2D"/>
    <w:rsid w:val="003F74A1"/>
    <w:rsid w:val="003F7C30"/>
    <w:rsid w:val="004007DF"/>
    <w:rsid w:val="0040092F"/>
    <w:rsid w:val="00400A7B"/>
    <w:rsid w:val="00401591"/>
    <w:rsid w:val="00401A27"/>
    <w:rsid w:val="00402591"/>
    <w:rsid w:val="00402AA8"/>
    <w:rsid w:val="00402B82"/>
    <w:rsid w:val="0040372A"/>
    <w:rsid w:val="0040445C"/>
    <w:rsid w:val="00404645"/>
    <w:rsid w:val="00404C24"/>
    <w:rsid w:val="00405858"/>
    <w:rsid w:val="0040585A"/>
    <w:rsid w:val="00405A66"/>
    <w:rsid w:val="00406F1E"/>
    <w:rsid w:val="00406F71"/>
    <w:rsid w:val="00407AAF"/>
    <w:rsid w:val="00407BF3"/>
    <w:rsid w:val="00410288"/>
    <w:rsid w:val="004103FD"/>
    <w:rsid w:val="00410F11"/>
    <w:rsid w:val="00411D6C"/>
    <w:rsid w:val="00411DD9"/>
    <w:rsid w:val="004122B8"/>
    <w:rsid w:val="00412792"/>
    <w:rsid w:val="00413916"/>
    <w:rsid w:val="00413C14"/>
    <w:rsid w:val="004148E4"/>
    <w:rsid w:val="00414D44"/>
    <w:rsid w:val="00414DCD"/>
    <w:rsid w:val="00414E45"/>
    <w:rsid w:val="00415094"/>
    <w:rsid w:val="0041551E"/>
    <w:rsid w:val="00415765"/>
    <w:rsid w:val="00416895"/>
    <w:rsid w:val="0041787A"/>
    <w:rsid w:val="00417D21"/>
    <w:rsid w:val="00420171"/>
    <w:rsid w:val="00420548"/>
    <w:rsid w:val="00420B87"/>
    <w:rsid w:val="004214ED"/>
    <w:rsid w:val="00421780"/>
    <w:rsid w:val="00423940"/>
    <w:rsid w:val="00423B50"/>
    <w:rsid w:val="00424BDA"/>
    <w:rsid w:val="00424E69"/>
    <w:rsid w:val="00425C9D"/>
    <w:rsid w:val="00425D74"/>
    <w:rsid w:val="00425F42"/>
    <w:rsid w:val="0042636C"/>
    <w:rsid w:val="004268DA"/>
    <w:rsid w:val="00427902"/>
    <w:rsid w:val="00427D26"/>
    <w:rsid w:val="004316FE"/>
    <w:rsid w:val="00432E7E"/>
    <w:rsid w:val="004348DA"/>
    <w:rsid w:val="004359D2"/>
    <w:rsid w:val="00435BC9"/>
    <w:rsid w:val="004364D8"/>
    <w:rsid w:val="00436506"/>
    <w:rsid w:val="004373D5"/>
    <w:rsid w:val="0043790D"/>
    <w:rsid w:val="00437A0E"/>
    <w:rsid w:val="00437A94"/>
    <w:rsid w:val="00437F7E"/>
    <w:rsid w:val="00440648"/>
    <w:rsid w:val="004410B0"/>
    <w:rsid w:val="0044120E"/>
    <w:rsid w:val="004420B3"/>
    <w:rsid w:val="0044409D"/>
    <w:rsid w:val="0044422F"/>
    <w:rsid w:val="0044472C"/>
    <w:rsid w:val="00444883"/>
    <w:rsid w:val="00447BE5"/>
    <w:rsid w:val="004519A3"/>
    <w:rsid w:val="00452728"/>
    <w:rsid w:val="00452FC2"/>
    <w:rsid w:val="004535FF"/>
    <w:rsid w:val="00454FDF"/>
    <w:rsid w:val="004552FC"/>
    <w:rsid w:val="00455C51"/>
    <w:rsid w:val="004572E8"/>
    <w:rsid w:val="00457400"/>
    <w:rsid w:val="00457E3A"/>
    <w:rsid w:val="00460452"/>
    <w:rsid w:val="00460D7E"/>
    <w:rsid w:val="00460FBD"/>
    <w:rsid w:val="00461515"/>
    <w:rsid w:val="0046163C"/>
    <w:rsid w:val="00461C13"/>
    <w:rsid w:val="004623C6"/>
    <w:rsid w:val="00462423"/>
    <w:rsid w:val="0046269B"/>
    <w:rsid w:val="004626DD"/>
    <w:rsid w:val="00462919"/>
    <w:rsid w:val="00462960"/>
    <w:rsid w:val="00462A98"/>
    <w:rsid w:val="00462D75"/>
    <w:rsid w:val="004634B6"/>
    <w:rsid w:val="00463599"/>
    <w:rsid w:val="004640A1"/>
    <w:rsid w:val="0046486F"/>
    <w:rsid w:val="004652CD"/>
    <w:rsid w:val="004661A2"/>
    <w:rsid w:val="004665B9"/>
    <w:rsid w:val="0046744D"/>
    <w:rsid w:val="00467811"/>
    <w:rsid w:val="00467DC7"/>
    <w:rsid w:val="00467E93"/>
    <w:rsid w:val="0047117B"/>
    <w:rsid w:val="00471290"/>
    <w:rsid w:val="0047204F"/>
    <w:rsid w:val="004720BB"/>
    <w:rsid w:val="00473098"/>
    <w:rsid w:val="004731CF"/>
    <w:rsid w:val="004732A7"/>
    <w:rsid w:val="0047378E"/>
    <w:rsid w:val="004744D3"/>
    <w:rsid w:val="00474BB4"/>
    <w:rsid w:val="00475117"/>
    <w:rsid w:val="00477C19"/>
    <w:rsid w:val="00480039"/>
    <w:rsid w:val="0048180B"/>
    <w:rsid w:val="0048217A"/>
    <w:rsid w:val="004826DD"/>
    <w:rsid w:val="00482911"/>
    <w:rsid w:val="00483339"/>
    <w:rsid w:val="004837EC"/>
    <w:rsid w:val="004838AB"/>
    <w:rsid w:val="004845A4"/>
    <w:rsid w:val="004845F2"/>
    <w:rsid w:val="00485F1E"/>
    <w:rsid w:val="004860D6"/>
    <w:rsid w:val="00486F62"/>
    <w:rsid w:val="004871B8"/>
    <w:rsid w:val="004900C7"/>
    <w:rsid w:val="00491B55"/>
    <w:rsid w:val="00493373"/>
    <w:rsid w:val="00493872"/>
    <w:rsid w:val="00493FDA"/>
    <w:rsid w:val="00495988"/>
    <w:rsid w:val="00495D82"/>
    <w:rsid w:val="00495FAC"/>
    <w:rsid w:val="00497ACB"/>
    <w:rsid w:val="00497C8A"/>
    <w:rsid w:val="004A05C8"/>
    <w:rsid w:val="004A159A"/>
    <w:rsid w:val="004A1926"/>
    <w:rsid w:val="004A328C"/>
    <w:rsid w:val="004A41ED"/>
    <w:rsid w:val="004A44E3"/>
    <w:rsid w:val="004A5EB7"/>
    <w:rsid w:val="004A639F"/>
    <w:rsid w:val="004A68A8"/>
    <w:rsid w:val="004A6DD0"/>
    <w:rsid w:val="004A7A82"/>
    <w:rsid w:val="004B224E"/>
    <w:rsid w:val="004B2509"/>
    <w:rsid w:val="004B28CF"/>
    <w:rsid w:val="004B2CB7"/>
    <w:rsid w:val="004B4ACA"/>
    <w:rsid w:val="004B4EA5"/>
    <w:rsid w:val="004B5D94"/>
    <w:rsid w:val="004B6BCE"/>
    <w:rsid w:val="004B6E86"/>
    <w:rsid w:val="004B76A5"/>
    <w:rsid w:val="004B787A"/>
    <w:rsid w:val="004B7EBE"/>
    <w:rsid w:val="004C04EA"/>
    <w:rsid w:val="004C0AB6"/>
    <w:rsid w:val="004C0C09"/>
    <w:rsid w:val="004C1221"/>
    <w:rsid w:val="004C1E27"/>
    <w:rsid w:val="004C24A9"/>
    <w:rsid w:val="004C4B60"/>
    <w:rsid w:val="004C4F30"/>
    <w:rsid w:val="004C533D"/>
    <w:rsid w:val="004C56C7"/>
    <w:rsid w:val="004C5E45"/>
    <w:rsid w:val="004C6191"/>
    <w:rsid w:val="004C744B"/>
    <w:rsid w:val="004C7EE8"/>
    <w:rsid w:val="004D0BCB"/>
    <w:rsid w:val="004D13B8"/>
    <w:rsid w:val="004D1470"/>
    <w:rsid w:val="004D3E3F"/>
    <w:rsid w:val="004D3F3C"/>
    <w:rsid w:val="004D4EF7"/>
    <w:rsid w:val="004D4FF9"/>
    <w:rsid w:val="004D50EB"/>
    <w:rsid w:val="004D5A1C"/>
    <w:rsid w:val="004D5C3A"/>
    <w:rsid w:val="004D5CBF"/>
    <w:rsid w:val="004D5FB5"/>
    <w:rsid w:val="004E0207"/>
    <w:rsid w:val="004E13B3"/>
    <w:rsid w:val="004E1446"/>
    <w:rsid w:val="004E147B"/>
    <w:rsid w:val="004E1916"/>
    <w:rsid w:val="004E1CD9"/>
    <w:rsid w:val="004E1D5A"/>
    <w:rsid w:val="004E28E2"/>
    <w:rsid w:val="004E2FB3"/>
    <w:rsid w:val="004E3832"/>
    <w:rsid w:val="004E43A0"/>
    <w:rsid w:val="004E5EC1"/>
    <w:rsid w:val="004E6FB8"/>
    <w:rsid w:val="004E7AFD"/>
    <w:rsid w:val="004F0785"/>
    <w:rsid w:val="004F16FE"/>
    <w:rsid w:val="004F1981"/>
    <w:rsid w:val="004F2190"/>
    <w:rsid w:val="004F37D7"/>
    <w:rsid w:val="004F37FE"/>
    <w:rsid w:val="004F3A92"/>
    <w:rsid w:val="004F4EE8"/>
    <w:rsid w:val="004F50F8"/>
    <w:rsid w:val="004F60B5"/>
    <w:rsid w:val="004F61A3"/>
    <w:rsid w:val="004F64A8"/>
    <w:rsid w:val="004F742A"/>
    <w:rsid w:val="004F7545"/>
    <w:rsid w:val="004F79EF"/>
    <w:rsid w:val="004F7A24"/>
    <w:rsid w:val="004F7C4C"/>
    <w:rsid w:val="004F7CF5"/>
    <w:rsid w:val="00500E04"/>
    <w:rsid w:val="00501312"/>
    <w:rsid w:val="00501AFB"/>
    <w:rsid w:val="00502B25"/>
    <w:rsid w:val="00502CE6"/>
    <w:rsid w:val="00502EF3"/>
    <w:rsid w:val="00503767"/>
    <w:rsid w:val="00503986"/>
    <w:rsid w:val="00503B91"/>
    <w:rsid w:val="00503E86"/>
    <w:rsid w:val="00504908"/>
    <w:rsid w:val="005058DE"/>
    <w:rsid w:val="0050603E"/>
    <w:rsid w:val="00506296"/>
    <w:rsid w:val="00506F01"/>
    <w:rsid w:val="005079C3"/>
    <w:rsid w:val="00507A6F"/>
    <w:rsid w:val="00507D31"/>
    <w:rsid w:val="00510392"/>
    <w:rsid w:val="005115CB"/>
    <w:rsid w:val="00511CB7"/>
    <w:rsid w:val="0051289F"/>
    <w:rsid w:val="0051411F"/>
    <w:rsid w:val="005143EA"/>
    <w:rsid w:val="005161C8"/>
    <w:rsid w:val="0051680E"/>
    <w:rsid w:val="00516818"/>
    <w:rsid w:val="005168E6"/>
    <w:rsid w:val="00517187"/>
    <w:rsid w:val="00520552"/>
    <w:rsid w:val="00520F3F"/>
    <w:rsid w:val="005211CD"/>
    <w:rsid w:val="0052150D"/>
    <w:rsid w:val="005217A8"/>
    <w:rsid w:val="00521812"/>
    <w:rsid w:val="00522487"/>
    <w:rsid w:val="00523367"/>
    <w:rsid w:val="00523E0F"/>
    <w:rsid w:val="005240B5"/>
    <w:rsid w:val="00524B10"/>
    <w:rsid w:val="00524E33"/>
    <w:rsid w:val="00525C3E"/>
    <w:rsid w:val="00525C40"/>
    <w:rsid w:val="00526289"/>
    <w:rsid w:val="00527F84"/>
    <w:rsid w:val="005307BF"/>
    <w:rsid w:val="00530A34"/>
    <w:rsid w:val="00531AEF"/>
    <w:rsid w:val="00531B8F"/>
    <w:rsid w:val="00531D52"/>
    <w:rsid w:val="00532C73"/>
    <w:rsid w:val="00532EFB"/>
    <w:rsid w:val="0053359A"/>
    <w:rsid w:val="005336FB"/>
    <w:rsid w:val="00533BD4"/>
    <w:rsid w:val="00534767"/>
    <w:rsid w:val="005358B9"/>
    <w:rsid w:val="00535BF7"/>
    <w:rsid w:val="00536937"/>
    <w:rsid w:val="00541C14"/>
    <w:rsid w:val="005420F5"/>
    <w:rsid w:val="00543BC1"/>
    <w:rsid w:val="0054427D"/>
    <w:rsid w:val="005445E1"/>
    <w:rsid w:val="00544A71"/>
    <w:rsid w:val="00544DE9"/>
    <w:rsid w:val="00544E94"/>
    <w:rsid w:val="00544EEB"/>
    <w:rsid w:val="0054505E"/>
    <w:rsid w:val="005457BA"/>
    <w:rsid w:val="0054597F"/>
    <w:rsid w:val="00545E57"/>
    <w:rsid w:val="00546560"/>
    <w:rsid w:val="00546629"/>
    <w:rsid w:val="00546ACD"/>
    <w:rsid w:val="00546DAB"/>
    <w:rsid w:val="00547D24"/>
    <w:rsid w:val="00550008"/>
    <w:rsid w:val="005501B4"/>
    <w:rsid w:val="00550F8A"/>
    <w:rsid w:val="00551425"/>
    <w:rsid w:val="00551A1A"/>
    <w:rsid w:val="00551A1C"/>
    <w:rsid w:val="00551C3A"/>
    <w:rsid w:val="005523F9"/>
    <w:rsid w:val="00552FDF"/>
    <w:rsid w:val="00553957"/>
    <w:rsid w:val="005547AC"/>
    <w:rsid w:val="00555B9C"/>
    <w:rsid w:val="005602C8"/>
    <w:rsid w:val="00560626"/>
    <w:rsid w:val="00560FAA"/>
    <w:rsid w:val="005615C1"/>
    <w:rsid w:val="00562056"/>
    <w:rsid w:val="005620CD"/>
    <w:rsid w:val="00562318"/>
    <w:rsid w:val="0056250E"/>
    <w:rsid w:val="00562A47"/>
    <w:rsid w:val="00563587"/>
    <w:rsid w:val="0056453D"/>
    <w:rsid w:val="00564BA4"/>
    <w:rsid w:val="0056656E"/>
    <w:rsid w:val="005665B9"/>
    <w:rsid w:val="00567645"/>
    <w:rsid w:val="00567B3B"/>
    <w:rsid w:val="00567FD4"/>
    <w:rsid w:val="0057137E"/>
    <w:rsid w:val="00571CB5"/>
    <w:rsid w:val="0057257C"/>
    <w:rsid w:val="005725AE"/>
    <w:rsid w:val="0057316F"/>
    <w:rsid w:val="00573BF1"/>
    <w:rsid w:val="00573CA5"/>
    <w:rsid w:val="00573F31"/>
    <w:rsid w:val="00574C06"/>
    <w:rsid w:val="00574EB7"/>
    <w:rsid w:val="00575220"/>
    <w:rsid w:val="00575587"/>
    <w:rsid w:val="00575643"/>
    <w:rsid w:val="00575D3B"/>
    <w:rsid w:val="00576659"/>
    <w:rsid w:val="00576F8E"/>
    <w:rsid w:val="00580066"/>
    <w:rsid w:val="0058116E"/>
    <w:rsid w:val="00581E0F"/>
    <w:rsid w:val="00582644"/>
    <w:rsid w:val="00582A8F"/>
    <w:rsid w:val="00583E47"/>
    <w:rsid w:val="00583E98"/>
    <w:rsid w:val="00583FB9"/>
    <w:rsid w:val="00583FFB"/>
    <w:rsid w:val="00585942"/>
    <w:rsid w:val="00587728"/>
    <w:rsid w:val="005877EC"/>
    <w:rsid w:val="00587871"/>
    <w:rsid w:val="00587C25"/>
    <w:rsid w:val="00590F49"/>
    <w:rsid w:val="00591819"/>
    <w:rsid w:val="00591E50"/>
    <w:rsid w:val="005920FD"/>
    <w:rsid w:val="00592355"/>
    <w:rsid w:val="005930C3"/>
    <w:rsid w:val="00593424"/>
    <w:rsid w:val="005937F4"/>
    <w:rsid w:val="00593E46"/>
    <w:rsid w:val="005943A0"/>
    <w:rsid w:val="005946AD"/>
    <w:rsid w:val="00594820"/>
    <w:rsid w:val="00594883"/>
    <w:rsid w:val="00594BDA"/>
    <w:rsid w:val="00594C23"/>
    <w:rsid w:val="00595F8C"/>
    <w:rsid w:val="00596139"/>
    <w:rsid w:val="005969DE"/>
    <w:rsid w:val="00596E41"/>
    <w:rsid w:val="005973DE"/>
    <w:rsid w:val="005A0E8D"/>
    <w:rsid w:val="005A0F24"/>
    <w:rsid w:val="005A1AAB"/>
    <w:rsid w:val="005A1E6B"/>
    <w:rsid w:val="005A228B"/>
    <w:rsid w:val="005A240B"/>
    <w:rsid w:val="005A2E56"/>
    <w:rsid w:val="005A362B"/>
    <w:rsid w:val="005A3D27"/>
    <w:rsid w:val="005A46C9"/>
    <w:rsid w:val="005A5D25"/>
    <w:rsid w:val="005A6244"/>
    <w:rsid w:val="005A6396"/>
    <w:rsid w:val="005A64F1"/>
    <w:rsid w:val="005B00D0"/>
    <w:rsid w:val="005B063D"/>
    <w:rsid w:val="005B0862"/>
    <w:rsid w:val="005B089A"/>
    <w:rsid w:val="005B0B60"/>
    <w:rsid w:val="005B0EB9"/>
    <w:rsid w:val="005B164C"/>
    <w:rsid w:val="005B1DE2"/>
    <w:rsid w:val="005B2382"/>
    <w:rsid w:val="005B261E"/>
    <w:rsid w:val="005B3921"/>
    <w:rsid w:val="005B3B4C"/>
    <w:rsid w:val="005B3C1F"/>
    <w:rsid w:val="005B4052"/>
    <w:rsid w:val="005B4BA4"/>
    <w:rsid w:val="005B4FDB"/>
    <w:rsid w:val="005B5180"/>
    <w:rsid w:val="005B51F3"/>
    <w:rsid w:val="005B6603"/>
    <w:rsid w:val="005B6E9E"/>
    <w:rsid w:val="005B735A"/>
    <w:rsid w:val="005B7505"/>
    <w:rsid w:val="005B7706"/>
    <w:rsid w:val="005B7966"/>
    <w:rsid w:val="005C0694"/>
    <w:rsid w:val="005C092A"/>
    <w:rsid w:val="005C0BF4"/>
    <w:rsid w:val="005C1A1E"/>
    <w:rsid w:val="005C1BF2"/>
    <w:rsid w:val="005C2763"/>
    <w:rsid w:val="005C2BAE"/>
    <w:rsid w:val="005C3792"/>
    <w:rsid w:val="005C3847"/>
    <w:rsid w:val="005C3B70"/>
    <w:rsid w:val="005C3E08"/>
    <w:rsid w:val="005C44DA"/>
    <w:rsid w:val="005C5040"/>
    <w:rsid w:val="005C5705"/>
    <w:rsid w:val="005C5AD6"/>
    <w:rsid w:val="005C5EDA"/>
    <w:rsid w:val="005C6378"/>
    <w:rsid w:val="005C683E"/>
    <w:rsid w:val="005D010B"/>
    <w:rsid w:val="005D04AE"/>
    <w:rsid w:val="005D0675"/>
    <w:rsid w:val="005D0F30"/>
    <w:rsid w:val="005D1353"/>
    <w:rsid w:val="005D176F"/>
    <w:rsid w:val="005D1863"/>
    <w:rsid w:val="005D2674"/>
    <w:rsid w:val="005D26CD"/>
    <w:rsid w:val="005D2ABA"/>
    <w:rsid w:val="005D3A54"/>
    <w:rsid w:val="005D408D"/>
    <w:rsid w:val="005D40C3"/>
    <w:rsid w:val="005D4B0A"/>
    <w:rsid w:val="005D5DED"/>
    <w:rsid w:val="005D6076"/>
    <w:rsid w:val="005D63B7"/>
    <w:rsid w:val="005D6A9F"/>
    <w:rsid w:val="005D753B"/>
    <w:rsid w:val="005E0202"/>
    <w:rsid w:val="005E1B09"/>
    <w:rsid w:val="005E218E"/>
    <w:rsid w:val="005E222B"/>
    <w:rsid w:val="005E31EA"/>
    <w:rsid w:val="005E44DC"/>
    <w:rsid w:val="005E4A83"/>
    <w:rsid w:val="005E533F"/>
    <w:rsid w:val="005E55A8"/>
    <w:rsid w:val="005E5661"/>
    <w:rsid w:val="005E6AAE"/>
    <w:rsid w:val="005E7D6A"/>
    <w:rsid w:val="005F0AE6"/>
    <w:rsid w:val="005F1712"/>
    <w:rsid w:val="005F1AFF"/>
    <w:rsid w:val="005F252D"/>
    <w:rsid w:val="005F29DC"/>
    <w:rsid w:val="005F3AD4"/>
    <w:rsid w:val="005F448D"/>
    <w:rsid w:val="005F4A39"/>
    <w:rsid w:val="005F6012"/>
    <w:rsid w:val="005F78F4"/>
    <w:rsid w:val="0060008D"/>
    <w:rsid w:val="00600440"/>
    <w:rsid w:val="006008D9"/>
    <w:rsid w:val="00600F47"/>
    <w:rsid w:val="006012E5"/>
    <w:rsid w:val="006012EC"/>
    <w:rsid w:val="0060154C"/>
    <w:rsid w:val="00601F4C"/>
    <w:rsid w:val="006020D8"/>
    <w:rsid w:val="00602A89"/>
    <w:rsid w:val="00602C53"/>
    <w:rsid w:val="00602F66"/>
    <w:rsid w:val="00603523"/>
    <w:rsid w:val="00603548"/>
    <w:rsid w:val="00603A45"/>
    <w:rsid w:val="00603BF3"/>
    <w:rsid w:val="00603F6C"/>
    <w:rsid w:val="00604B57"/>
    <w:rsid w:val="00604FA2"/>
    <w:rsid w:val="006066FD"/>
    <w:rsid w:val="00606853"/>
    <w:rsid w:val="00606E21"/>
    <w:rsid w:val="00607842"/>
    <w:rsid w:val="00610606"/>
    <w:rsid w:val="00610837"/>
    <w:rsid w:val="006108A4"/>
    <w:rsid w:val="00610C1D"/>
    <w:rsid w:val="0061102D"/>
    <w:rsid w:val="006117BD"/>
    <w:rsid w:val="0061303E"/>
    <w:rsid w:val="00613231"/>
    <w:rsid w:val="00613B08"/>
    <w:rsid w:val="00614912"/>
    <w:rsid w:val="006149FD"/>
    <w:rsid w:val="0061562D"/>
    <w:rsid w:val="006159FA"/>
    <w:rsid w:val="00615DF7"/>
    <w:rsid w:val="00616844"/>
    <w:rsid w:val="0061731E"/>
    <w:rsid w:val="00617820"/>
    <w:rsid w:val="00617FE4"/>
    <w:rsid w:val="00620656"/>
    <w:rsid w:val="00620805"/>
    <w:rsid w:val="0062085E"/>
    <w:rsid w:val="00620C06"/>
    <w:rsid w:val="00621253"/>
    <w:rsid w:val="00621963"/>
    <w:rsid w:val="00621A57"/>
    <w:rsid w:val="00622AC2"/>
    <w:rsid w:val="006236B5"/>
    <w:rsid w:val="00623C35"/>
    <w:rsid w:val="006246B1"/>
    <w:rsid w:val="006254B3"/>
    <w:rsid w:val="006269B8"/>
    <w:rsid w:val="00627056"/>
    <w:rsid w:val="006301AA"/>
    <w:rsid w:val="00630DA8"/>
    <w:rsid w:val="00631C0E"/>
    <w:rsid w:val="00631CB6"/>
    <w:rsid w:val="00631FE4"/>
    <w:rsid w:val="006322E6"/>
    <w:rsid w:val="0063403C"/>
    <w:rsid w:val="00634321"/>
    <w:rsid w:val="00634759"/>
    <w:rsid w:val="00634B8B"/>
    <w:rsid w:val="00636503"/>
    <w:rsid w:val="00636629"/>
    <w:rsid w:val="00636890"/>
    <w:rsid w:val="00640AF2"/>
    <w:rsid w:val="00640D38"/>
    <w:rsid w:val="00640E5A"/>
    <w:rsid w:val="0064102B"/>
    <w:rsid w:val="00642294"/>
    <w:rsid w:val="006427B4"/>
    <w:rsid w:val="006428A1"/>
    <w:rsid w:val="00642B0E"/>
    <w:rsid w:val="0064320A"/>
    <w:rsid w:val="00643AA6"/>
    <w:rsid w:val="00644F72"/>
    <w:rsid w:val="00645F1C"/>
    <w:rsid w:val="006469E6"/>
    <w:rsid w:val="006501A7"/>
    <w:rsid w:val="00650467"/>
    <w:rsid w:val="00650BDD"/>
    <w:rsid w:val="00652200"/>
    <w:rsid w:val="00654F4F"/>
    <w:rsid w:val="00655286"/>
    <w:rsid w:val="006552BF"/>
    <w:rsid w:val="006554A7"/>
    <w:rsid w:val="00655774"/>
    <w:rsid w:val="00655EDA"/>
    <w:rsid w:val="006563D4"/>
    <w:rsid w:val="00656A4F"/>
    <w:rsid w:val="00656C86"/>
    <w:rsid w:val="00656F7E"/>
    <w:rsid w:val="00657660"/>
    <w:rsid w:val="00657ECD"/>
    <w:rsid w:val="006603F6"/>
    <w:rsid w:val="00660F3A"/>
    <w:rsid w:val="00661244"/>
    <w:rsid w:val="006617A2"/>
    <w:rsid w:val="006627D3"/>
    <w:rsid w:val="00662A08"/>
    <w:rsid w:val="00664B1A"/>
    <w:rsid w:val="006653A9"/>
    <w:rsid w:val="00666A68"/>
    <w:rsid w:val="006703E9"/>
    <w:rsid w:val="00670DC3"/>
    <w:rsid w:val="006713FA"/>
    <w:rsid w:val="00671573"/>
    <w:rsid w:val="00671AE8"/>
    <w:rsid w:val="00671C00"/>
    <w:rsid w:val="00671F17"/>
    <w:rsid w:val="006727A3"/>
    <w:rsid w:val="00672832"/>
    <w:rsid w:val="00672CD0"/>
    <w:rsid w:val="00673687"/>
    <w:rsid w:val="00673FC7"/>
    <w:rsid w:val="0067450D"/>
    <w:rsid w:val="00674709"/>
    <w:rsid w:val="006757E8"/>
    <w:rsid w:val="00676084"/>
    <w:rsid w:val="00676222"/>
    <w:rsid w:val="006772AF"/>
    <w:rsid w:val="0068052E"/>
    <w:rsid w:val="00681028"/>
    <w:rsid w:val="0068108E"/>
    <w:rsid w:val="00681AE6"/>
    <w:rsid w:val="00683483"/>
    <w:rsid w:val="00683E05"/>
    <w:rsid w:val="00684AB5"/>
    <w:rsid w:val="00684C91"/>
    <w:rsid w:val="00685FB0"/>
    <w:rsid w:val="00686636"/>
    <w:rsid w:val="00686AD3"/>
    <w:rsid w:val="00686E67"/>
    <w:rsid w:val="00686EAF"/>
    <w:rsid w:val="00687464"/>
    <w:rsid w:val="006878B0"/>
    <w:rsid w:val="006879E7"/>
    <w:rsid w:val="00687E75"/>
    <w:rsid w:val="0069074D"/>
    <w:rsid w:val="00690E73"/>
    <w:rsid w:val="00691907"/>
    <w:rsid w:val="00692102"/>
    <w:rsid w:val="0069259B"/>
    <w:rsid w:val="00692C4C"/>
    <w:rsid w:val="00692E12"/>
    <w:rsid w:val="0069340B"/>
    <w:rsid w:val="00693A66"/>
    <w:rsid w:val="00694315"/>
    <w:rsid w:val="00695BFD"/>
    <w:rsid w:val="00695CB0"/>
    <w:rsid w:val="00695E37"/>
    <w:rsid w:val="00695F4D"/>
    <w:rsid w:val="00695FD1"/>
    <w:rsid w:val="00696667"/>
    <w:rsid w:val="00697AC5"/>
    <w:rsid w:val="006A01EA"/>
    <w:rsid w:val="006A07D6"/>
    <w:rsid w:val="006A091F"/>
    <w:rsid w:val="006A142F"/>
    <w:rsid w:val="006A16F4"/>
    <w:rsid w:val="006A18ED"/>
    <w:rsid w:val="006A1E80"/>
    <w:rsid w:val="006A22B3"/>
    <w:rsid w:val="006A25C7"/>
    <w:rsid w:val="006A687A"/>
    <w:rsid w:val="006A6881"/>
    <w:rsid w:val="006A6C74"/>
    <w:rsid w:val="006A770D"/>
    <w:rsid w:val="006B0A17"/>
    <w:rsid w:val="006B0A27"/>
    <w:rsid w:val="006B15EF"/>
    <w:rsid w:val="006B1EFD"/>
    <w:rsid w:val="006B2028"/>
    <w:rsid w:val="006B2997"/>
    <w:rsid w:val="006B2B91"/>
    <w:rsid w:val="006B3713"/>
    <w:rsid w:val="006B3869"/>
    <w:rsid w:val="006B45C1"/>
    <w:rsid w:val="006B50FE"/>
    <w:rsid w:val="006B531C"/>
    <w:rsid w:val="006B55AD"/>
    <w:rsid w:val="006B59F3"/>
    <w:rsid w:val="006B5B52"/>
    <w:rsid w:val="006B6FBC"/>
    <w:rsid w:val="006B70FD"/>
    <w:rsid w:val="006B72B9"/>
    <w:rsid w:val="006B7739"/>
    <w:rsid w:val="006B7B01"/>
    <w:rsid w:val="006B7D93"/>
    <w:rsid w:val="006C068F"/>
    <w:rsid w:val="006C0C1F"/>
    <w:rsid w:val="006C0DDD"/>
    <w:rsid w:val="006C1A79"/>
    <w:rsid w:val="006C24A0"/>
    <w:rsid w:val="006C265C"/>
    <w:rsid w:val="006C30DE"/>
    <w:rsid w:val="006C31DB"/>
    <w:rsid w:val="006C35A4"/>
    <w:rsid w:val="006C389C"/>
    <w:rsid w:val="006C4106"/>
    <w:rsid w:val="006C4E0F"/>
    <w:rsid w:val="006C5048"/>
    <w:rsid w:val="006C5B32"/>
    <w:rsid w:val="006C694F"/>
    <w:rsid w:val="006C6FDB"/>
    <w:rsid w:val="006C7783"/>
    <w:rsid w:val="006D23F3"/>
    <w:rsid w:val="006D33F3"/>
    <w:rsid w:val="006D3681"/>
    <w:rsid w:val="006D38FC"/>
    <w:rsid w:val="006D5EB6"/>
    <w:rsid w:val="006D7125"/>
    <w:rsid w:val="006E1E7A"/>
    <w:rsid w:val="006E3C54"/>
    <w:rsid w:val="006E418C"/>
    <w:rsid w:val="006E4247"/>
    <w:rsid w:val="006E4677"/>
    <w:rsid w:val="006E48F7"/>
    <w:rsid w:val="006E4D7E"/>
    <w:rsid w:val="006E6262"/>
    <w:rsid w:val="006E65FB"/>
    <w:rsid w:val="006E6BB1"/>
    <w:rsid w:val="006E72BA"/>
    <w:rsid w:val="006F0444"/>
    <w:rsid w:val="006F0B9C"/>
    <w:rsid w:val="006F163D"/>
    <w:rsid w:val="006F2A64"/>
    <w:rsid w:val="006F2A91"/>
    <w:rsid w:val="006F325F"/>
    <w:rsid w:val="006F36D5"/>
    <w:rsid w:val="006F3948"/>
    <w:rsid w:val="006F4CD4"/>
    <w:rsid w:val="006F4CEE"/>
    <w:rsid w:val="006F550F"/>
    <w:rsid w:val="006F6B7A"/>
    <w:rsid w:val="006F6B7C"/>
    <w:rsid w:val="006F73AE"/>
    <w:rsid w:val="006F761D"/>
    <w:rsid w:val="006F7B8C"/>
    <w:rsid w:val="006F7DEE"/>
    <w:rsid w:val="00700707"/>
    <w:rsid w:val="007014C5"/>
    <w:rsid w:val="007015FC"/>
    <w:rsid w:val="00701E05"/>
    <w:rsid w:val="00701FFA"/>
    <w:rsid w:val="00702D5A"/>
    <w:rsid w:val="0070334D"/>
    <w:rsid w:val="0070360B"/>
    <w:rsid w:val="00703B71"/>
    <w:rsid w:val="00704D9B"/>
    <w:rsid w:val="00706AC1"/>
    <w:rsid w:val="00706B94"/>
    <w:rsid w:val="00706EEB"/>
    <w:rsid w:val="0070720B"/>
    <w:rsid w:val="00711496"/>
    <w:rsid w:val="00711B75"/>
    <w:rsid w:val="0071256C"/>
    <w:rsid w:val="0071266F"/>
    <w:rsid w:val="00712D7E"/>
    <w:rsid w:val="007139E7"/>
    <w:rsid w:val="00713EBE"/>
    <w:rsid w:val="007147F8"/>
    <w:rsid w:val="007149A8"/>
    <w:rsid w:val="0071529A"/>
    <w:rsid w:val="0071758A"/>
    <w:rsid w:val="007200B9"/>
    <w:rsid w:val="00720CA5"/>
    <w:rsid w:val="0072141F"/>
    <w:rsid w:val="00722229"/>
    <w:rsid w:val="00722387"/>
    <w:rsid w:val="00722EAC"/>
    <w:rsid w:val="00724508"/>
    <w:rsid w:val="00724AF2"/>
    <w:rsid w:val="00724CFF"/>
    <w:rsid w:val="00724D62"/>
    <w:rsid w:val="007258F7"/>
    <w:rsid w:val="00725E8C"/>
    <w:rsid w:val="00730828"/>
    <w:rsid w:val="0073175B"/>
    <w:rsid w:val="0073492D"/>
    <w:rsid w:val="00734B2F"/>
    <w:rsid w:val="00734B6C"/>
    <w:rsid w:val="00734EA6"/>
    <w:rsid w:val="007350EC"/>
    <w:rsid w:val="00735296"/>
    <w:rsid w:val="0073531D"/>
    <w:rsid w:val="00735DA5"/>
    <w:rsid w:val="00735FDC"/>
    <w:rsid w:val="00736588"/>
    <w:rsid w:val="00736EFF"/>
    <w:rsid w:val="007372FA"/>
    <w:rsid w:val="00740694"/>
    <w:rsid w:val="007409EF"/>
    <w:rsid w:val="00740A34"/>
    <w:rsid w:val="00740DCD"/>
    <w:rsid w:val="00742723"/>
    <w:rsid w:val="007439F3"/>
    <w:rsid w:val="00743F04"/>
    <w:rsid w:val="00744096"/>
    <w:rsid w:val="007441E9"/>
    <w:rsid w:val="0074448D"/>
    <w:rsid w:val="0074495C"/>
    <w:rsid w:val="0074504C"/>
    <w:rsid w:val="00745A2B"/>
    <w:rsid w:val="00746C36"/>
    <w:rsid w:val="007470A8"/>
    <w:rsid w:val="007474DB"/>
    <w:rsid w:val="00747811"/>
    <w:rsid w:val="007479BD"/>
    <w:rsid w:val="00750384"/>
    <w:rsid w:val="00751361"/>
    <w:rsid w:val="00751579"/>
    <w:rsid w:val="0075169F"/>
    <w:rsid w:val="00754278"/>
    <w:rsid w:val="00755BC2"/>
    <w:rsid w:val="00755C6D"/>
    <w:rsid w:val="00755D5F"/>
    <w:rsid w:val="007568A0"/>
    <w:rsid w:val="00756D19"/>
    <w:rsid w:val="00757B5F"/>
    <w:rsid w:val="007605E0"/>
    <w:rsid w:val="00761387"/>
    <w:rsid w:val="007624C6"/>
    <w:rsid w:val="007624CF"/>
    <w:rsid w:val="007628F1"/>
    <w:rsid w:val="007633AE"/>
    <w:rsid w:val="007634F5"/>
    <w:rsid w:val="00763840"/>
    <w:rsid w:val="00763A91"/>
    <w:rsid w:val="00764185"/>
    <w:rsid w:val="0076450F"/>
    <w:rsid w:val="00765810"/>
    <w:rsid w:val="00765A3C"/>
    <w:rsid w:val="00765AC6"/>
    <w:rsid w:val="00765D12"/>
    <w:rsid w:val="0076648E"/>
    <w:rsid w:val="007667FC"/>
    <w:rsid w:val="007669EF"/>
    <w:rsid w:val="007671FB"/>
    <w:rsid w:val="00770E91"/>
    <w:rsid w:val="00771E9E"/>
    <w:rsid w:val="00772083"/>
    <w:rsid w:val="007721A3"/>
    <w:rsid w:val="00772A73"/>
    <w:rsid w:val="00772FA1"/>
    <w:rsid w:val="007736C1"/>
    <w:rsid w:val="0077392D"/>
    <w:rsid w:val="00773FFA"/>
    <w:rsid w:val="0077411E"/>
    <w:rsid w:val="007742F8"/>
    <w:rsid w:val="00774A43"/>
    <w:rsid w:val="00775153"/>
    <w:rsid w:val="00776A21"/>
    <w:rsid w:val="007773EE"/>
    <w:rsid w:val="00777911"/>
    <w:rsid w:val="00780792"/>
    <w:rsid w:val="00780EA9"/>
    <w:rsid w:val="00781A1A"/>
    <w:rsid w:val="00781C9D"/>
    <w:rsid w:val="00783670"/>
    <w:rsid w:val="00784361"/>
    <w:rsid w:val="00784829"/>
    <w:rsid w:val="0078485A"/>
    <w:rsid w:val="00784AB1"/>
    <w:rsid w:val="00784EAE"/>
    <w:rsid w:val="007854EB"/>
    <w:rsid w:val="00785A33"/>
    <w:rsid w:val="00785D0F"/>
    <w:rsid w:val="00785EC8"/>
    <w:rsid w:val="00785FF7"/>
    <w:rsid w:val="00786532"/>
    <w:rsid w:val="007867C8"/>
    <w:rsid w:val="00786BFF"/>
    <w:rsid w:val="007873D9"/>
    <w:rsid w:val="007877C4"/>
    <w:rsid w:val="00787A97"/>
    <w:rsid w:val="0079035D"/>
    <w:rsid w:val="00790DF6"/>
    <w:rsid w:val="00791A9D"/>
    <w:rsid w:val="00791DED"/>
    <w:rsid w:val="00792CF0"/>
    <w:rsid w:val="00796353"/>
    <w:rsid w:val="007972DE"/>
    <w:rsid w:val="007A02EB"/>
    <w:rsid w:val="007A087B"/>
    <w:rsid w:val="007A08B8"/>
    <w:rsid w:val="007A0A98"/>
    <w:rsid w:val="007A0EFF"/>
    <w:rsid w:val="007A0F8E"/>
    <w:rsid w:val="007A1030"/>
    <w:rsid w:val="007A1275"/>
    <w:rsid w:val="007A1B55"/>
    <w:rsid w:val="007A2896"/>
    <w:rsid w:val="007A2CCF"/>
    <w:rsid w:val="007A2F5A"/>
    <w:rsid w:val="007A3690"/>
    <w:rsid w:val="007A3E95"/>
    <w:rsid w:val="007A4E2F"/>
    <w:rsid w:val="007A5422"/>
    <w:rsid w:val="007B0845"/>
    <w:rsid w:val="007B0C76"/>
    <w:rsid w:val="007B0E94"/>
    <w:rsid w:val="007B1B3E"/>
    <w:rsid w:val="007B2F41"/>
    <w:rsid w:val="007B33E2"/>
    <w:rsid w:val="007B3591"/>
    <w:rsid w:val="007B37F4"/>
    <w:rsid w:val="007B3F9A"/>
    <w:rsid w:val="007B4159"/>
    <w:rsid w:val="007B43D8"/>
    <w:rsid w:val="007B45AF"/>
    <w:rsid w:val="007B481B"/>
    <w:rsid w:val="007B518C"/>
    <w:rsid w:val="007B56CA"/>
    <w:rsid w:val="007B5AD5"/>
    <w:rsid w:val="007B5B13"/>
    <w:rsid w:val="007B5F83"/>
    <w:rsid w:val="007B69F2"/>
    <w:rsid w:val="007B7142"/>
    <w:rsid w:val="007B77FA"/>
    <w:rsid w:val="007C0014"/>
    <w:rsid w:val="007C0C90"/>
    <w:rsid w:val="007C1A09"/>
    <w:rsid w:val="007C1D79"/>
    <w:rsid w:val="007C1FED"/>
    <w:rsid w:val="007C5123"/>
    <w:rsid w:val="007C5646"/>
    <w:rsid w:val="007C578C"/>
    <w:rsid w:val="007C6456"/>
    <w:rsid w:val="007C6ADC"/>
    <w:rsid w:val="007C6D30"/>
    <w:rsid w:val="007C6E76"/>
    <w:rsid w:val="007C764D"/>
    <w:rsid w:val="007C7C10"/>
    <w:rsid w:val="007D08A7"/>
    <w:rsid w:val="007D1C2E"/>
    <w:rsid w:val="007D31DF"/>
    <w:rsid w:val="007D3C80"/>
    <w:rsid w:val="007D45FE"/>
    <w:rsid w:val="007D4959"/>
    <w:rsid w:val="007D4E3E"/>
    <w:rsid w:val="007D598A"/>
    <w:rsid w:val="007D5ADA"/>
    <w:rsid w:val="007D6053"/>
    <w:rsid w:val="007E05B9"/>
    <w:rsid w:val="007E08BB"/>
    <w:rsid w:val="007E08E1"/>
    <w:rsid w:val="007E0C2D"/>
    <w:rsid w:val="007E0F17"/>
    <w:rsid w:val="007E10C4"/>
    <w:rsid w:val="007E22E4"/>
    <w:rsid w:val="007E267B"/>
    <w:rsid w:val="007E4767"/>
    <w:rsid w:val="007E4AEE"/>
    <w:rsid w:val="007E5BC0"/>
    <w:rsid w:val="007E6317"/>
    <w:rsid w:val="007E67D6"/>
    <w:rsid w:val="007E782C"/>
    <w:rsid w:val="007F0636"/>
    <w:rsid w:val="007F06AA"/>
    <w:rsid w:val="007F0814"/>
    <w:rsid w:val="007F22F2"/>
    <w:rsid w:val="007F314D"/>
    <w:rsid w:val="007F3766"/>
    <w:rsid w:val="007F38CD"/>
    <w:rsid w:val="007F3C0F"/>
    <w:rsid w:val="007F3D5D"/>
    <w:rsid w:val="007F41D0"/>
    <w:rsid w:val="007F4C48"/>
    <w:rsid w:val="007F510C"/>
    <w:rsid w:val="007F6E60"/>
    <w:rsid w:val="007F7664"/>
    <w:rsid w:val="007F77B6"/>
    <w:rsid w:val="007F7D63"/>
    <w:rsid w:val="00800166"/>
    <w:rsid w:val="00800ADA"/>
    <w:rsid w:val="00801123"/>
    <w:rsid w:val="00802149"/>
    <w:rsid w:val="00802927"/>
    <w:rsid w:val="00803464"/>
    <w:rsid w:val="0080359E"/>
    <w:rsid w:val="00803D88"/>
    <w:rsid w:val="00803EEE"/>
    <w:rsid w:val="008048CB"/>
    <w:rsid w:val="00804F93"/>
    <w:rsid w:val="00805750"/>
    <w:rsid w:val="00805953"/>
    <w:rsid w:val="00805C15"/>
    <w:rsid w:val="00806AC2"/>
    <w:rsid w:val="00806C73"/>
    <w:rsid w:val="00806DAC"/>
    <w:rsid w:val="00806EBB"/>
    <w:rsid w:val="00807467"/>
    <w:rsid w:val="00810196"/>
    <w:rsid w:val="008111FD"/>
    <w:rsid w:val="0081147F"/>
    <w:rsid w:val="0081153B"/>
    <w:rsid w:val="008127FF"/>
    <w:rsid w:val="00813CD6"/>
    <w:rsid w:val="00813FCA"/>
    <w:rsid w:val="0081436D"/>
    <w:rsid w:val="00815C0B"/>
    <w:rsid w:val="00815C4A"/>
    <w:rsid w:val="00815C70"/>
    <w:rsid w:val="008217B1"/>
    <w:rsid w:val="00822DE3"/>
    <w:rsid w:val="0082494A"/>
    <w:rsid w:val="00825B11"/>
    <w:rsid w:val="00825B17"/>
    <w:rsid w:val="00825C61"/>
    <w:rsid w:val="00827E91"/>
    <w:rsid w:val="00830179"/>
    <w:rsid w:val="008302ED"/>
    <w:rsid w:val="00830916"/>
    <w:rsid w:val="00830F4D"/>
    <w:rsid w:val="00831477"/>
    <w:rsid w:val="0083348C"/>
    <w:rsid w:val="00833A4B"/>
    <w:rsid w:val="00833AF3"/>
    <w:rsid w:val="00834875"/>
    <w:rsid w:val="00834888"/>
    <w:rsid w:val="00834A57"/>
    <w:rsid w:val="008351CD"/>
    <w:rsid w:val="008353E2"/>
    <w:rsid w:val="00835658"/>
    <w:rsid w:val="008366C6"/>
    <w:rsid w:val="00837040"/>
    <w:rsid w:val="00837400"/>
    <w:rsid w:val="00837440"/>
    <w:rsid w:val="00837472"/>
    <w:rsid w:val="008407F9"/>
    <w:rsid w:val="00840816"/>
    <w:rsid w:val="00840A37"/>
    <w:rsid w:val="008412AB"/>
    <w:rsid w:val="00842A08"/>
    <w:rsid w:val="00842FFA"/>
    <w:rsid w:val="008430DF"/>
    <w:rsid w:val="0084322E"/>
    <w:rsid w:val="008437B4"/>
    <w:rsid w:val="00843E53"/>
    <w:rsid w:val="008446F7"/>
    <w:rsid w:val="00844D58"/>
    <w:rsid w:val="00845AF2"/>
    <w:rsid w:val="0084643F"/>
    <w:rsid w:val="00846C67"/>
    <w:rsid w:val="00846EED"/>
    <w:rsid w:val="00847414"/>
    <w:rsid w:val="00847CA2"/>
    <w:rsid w:val="00847E13"/>
    <w:rsid w:val="008516C5"/>
    <w:rsid w:val="0085198A"/>
    <w:rsid w:val="008519E6"/>
    <w:rsid w:val="008536B6"/>
    <w:rsid w:val="008537BE"/>
    <w:rsid w:val="00854417"/>
    <w:rsid w:val="00855302"/>
    <w:rsid w:val="008562DF"/>
    <w:rsid w:val="00860EC9"/>
    <w:rsid w:val="00860F31"/>
    <w:rsid w:val="00861CC2"/>
    <w:rsid w:val="008624DC"/>
    <w:rsid w:val="0086308A"/>
    <w:rsid w:val="0086309C"/>
    <w:rsid w:val="008638AC"/>
    <w:rsid w:val="00863A06"/>
    <w:rsid w:val="00863A7D"/>
    <w:rsid w:val="00864308"/>
    <w:rsid w:val="00864524"/>
    <w:rsid w:val="008651DD"/>
    <w:rsid w:val="008651F6"/>
    <w:rsid w:val="008657EF"/>
    <w:rsid w:val="00867502"/>
    <w:rsid w:val="008712A8"/>
    <w:rsid w:val="0087130C"/>
    <w:rsid w:val="00871836"/>
    <w:rsid w:val="00871EB0"/>
    <w:rsid w:val="00872103"/>
    <w:rsid w:val="008722A4"/>
    <w:rsid w:val="00872AC4"/>
    <w:rsid w:val="008739C4"/>
    <w:rsid w:val="00873ECD"/>
    <w:rsid w:val="00874B45"/>
    <w:rsid w:val="00875C95"/>
    <w:rsid w:val="00876446"/>
    <w:rsid w:val="008764F3"/>
    <w:rsid w:val="0087684F"/>
    <w:rsid w:val="008769CE"/>
    <w:rsid w:val="00876E51"/>
    <w:rsid w:val="00877B64"/>
    <w:rsid w:val="00877D10"/>
    <w:rsid w:val="008801C9"/>
    <w:rsid w:val="00881023"/>
    <w:rsid w:val="00881F1E"/>
    <w:rsid w:val="00881FF0"/>
    <w:rsid w:val="00882393"/>
    <w:rsid w:val="00882951"/>
    <w:rsid w:val="008834B5"/>
    <w:rsid w:val="00884383"/>
    <w:rsid w:val="00885CFC"/>
    <w:rsid w:val="00885D3C"/>
    <w:rsid w:val="00885DA5"/>
    <w:rsid w:val="0088609D"/>
    <w:rsid w:val="00886556"/>
    <w:rsid w:val="0088685D"/>
    <w:rsid w:val="00886D12"/>
    <w:rsid w:val="00886E09"/>
    <w:rsid w:val="00887732"/>
    <w:rsid w:val="00890E5E"/>
    <w:rsid w:val="008911CF"/>
    <w:rsid w:val="00891586"/>
    <w:rsid w:val="00892880"/>
    <w:rsid w:val="00892A25"/>
    <w:rsid w:val="00892FE7"/>
    <w:rsid w:val="00893348"/>
    <w:rsid w:val="00893634"/>
    <w:rsid w:val="00893656"/>
    <w:rsid w:val="00893741"/>
    <w:rsid w:val="00893B73"/>
    <w:rsid w:val="0089592C"/>
    <w:rsid w:val="008961AB"/>
    <w:rsid w:val="008964D8"/>
    <w:rsid w:val="0089681F"/>
    <w:rsid w:val="008A0D23"/>
    <w:rsid w:val="008A0F4F"/>
    <w:rsid w:val="008A1390"/>
    <w:rsid w:val="008A1ACA"/>
    <w:rsid w:val="008A1B94"/>
    <w:rsid w:val="008A2472"/>
    <w:rsid w:val="008A3208"/>
    <w:rsid w:val="008A3A92"/>
    <w:rsid w:val="008A4CBE"/>
    <w:rsid w:val="008A4D14"/>
    <w:rsid w:val="008A546A"/>
    <w:rsid w:val="008A5543"/>
    <w:rsid w:val="008A5F67"/>
    <w:rsid w:val="008A702F"/>
    <w:rsid w:val="008A78B9"/>
    <w:rsid w:val="008B02A7"/>
    <w:rsid w:val="008B0300"/>
    <w:rsid w:val="008B11F0"/>
    <w:rsid w:val="008B1DB7"/>
    <w:rsid w:val="008B218D"/>
    <w:rsid w:val="008B397F"/>
    <w:rsid w:val="008B4364"/>
    <w:rsid w:val="008B49E6"/>
    <w:rsid w:val="008B5327"/>
    <w:rsid w:val="008B57B6"/>
    <w:rsid w:val="008B5F34"/>
    <w:rsid w:val="008B6EE0"/>
    <w:rsid w:val="008B7380"/>
    <w:rsid w:val="008B7A45"/>
    <w:rsid w:val="008B7F6E"/>
    <w:rsid w:val="008B7F93"/>
    <w:rsid w:val="008C0033"/>
    <w:rsid w:val="008C0FAC"/>
    <w:rsid w:val="008C1D1E"/>
    <w:rsid w:val="008C2251"/>
    <w:rsid w:val="008C2AFC"/>
    <w:rsid w:val="008C2F25"/>
    <w:rsid w:val="008C3A15"/>
    <w:rsid w:val="008C3A5F"/>
    <w:rsid w:val="008C43ED"/>
    <w:rsid w:val="008C4902"/>
    <w:rsid w:val="008C5720"/>
    <w:rsid w:val="008C5A7A"/>
    <w:rsid w:val="008C6646"/>
    <w:rsid w:val="008C732C"/>
    <w:rsid w:val="008C7666"/>
    <w:rsid w:val="008C7F09"/>
    <w:rsid w:val="008D0245"/>
    <w:rsid w:val="008D03AC"/>
    <w:rsid w:val="008D06C3"/>
    <w:rsid w:val="008D0A98"/>
    <w:rsid w:val="008D0D61"/>
    <w:rsid w:val="008D0FB9"/>
    <w:rsid w:val="008D171D"/>
    <w:rsid w:val="008D1734"/>
    <w:rsid w:val="008D22C2"/>
    <w:rsid w:val="008D2689"/>
    <w:rsid w:val="008D3A29"/>
    <w:rsid w:val="008D4A1B"/>
    <w:rsid w:val="008D4C89"/>
    <w:rsid w:val="008D52A7"/>
    <w:rsid w:val="008D59AC"/>
    <w:rsid w:val="008D6381"/>
    <w:rsid w:val="008D6F6F"/>
    <w:rsid w:val="008D6FCB"/>
    <w:rsid w:val="008D7C3F"/>
    <w:rsid w:val="008E04AE"/>
    <w:rsid w:val="008E07ED"/>
    <w:rsid w:val="008E13BC"/>
    <w:rsid w:val="008E1DC1"/>
    <w:rsid w:val="008E34C1"/>
    <w:rsid w:val="008E3C93"/>
    <w:rsid w:val="008E4D47"/>
    <w:rsid w:val="008E6E21"/>
    <w:rsid w:val="008E6E57"/>
    <w:rsid w:val="008E7CE6"/>
    <w:rsid w:val="008F0349"/>
    <w:rsid w:val="008F03EA"/>
    <w:rsid w:val="008F0C3C"/>
    <w:rsid w:val="008F0F73"/>
    <w:rsid w:val="008F1A9E"/>
    <w:rsid w:val="008F1E21"/>
    <w:rsid w:val="008F1F97"/>
    <w:rsid w:val="008F2597"/>
    <w:rsid w:val="008F273F"/>
    <w:rsid w:val="008F33BA"/>
    <w:rsid w:val="008F383F"/>
    <w:rsid w:val="008F3AE6"/>
    <w:rsid w:val="008F3F48"/>
    <w:rsid w:val="008F456B"/>
    <w:rsid w:val="008F6380"/>
    <w:rsid w:val="008F6652"/>
    <w:rsid w:val="008F6CAF"/>
    <w:rsid w:val="008F7CD7"/>
    <w:rsid w:val="00900099"/>
    <w:rsid w:val="00900867"/>
    <w:rsid w:val="00900E01"/>
    <w:rsid w:val="0090104A"/>
    <w:rsid w:val="009027EF"/>
    <w:rsid w:val="00903EA3"/>
    <w:rsid w:val="00904664"/>
    <w:rsid w:val="00904DD8"/>
    <w:rsid w:val="00904F3B"/>
    <w:rsid w:val="0090506C"/>
    <w:rsid w:val="009050A0"/>
    <w:rsid w:val="00906152"/>
    <w:rsid w:val="0090625D"/>
    <w:rsid w:val="00906469"/>
    <w:rsid w:val="00906485"/>
    <w:rsid w:val="009067B8"/>
    <w:rsid w:val="00906AB6"/>
    <w:rsid w:val="0091080D"/>
    <w:rsid w:val="0091126A"/>
    <w:rsid w:val="00911A98"/>
    <w:rsid w:val="00911CE8"/>
    <w:rsid w:val="00911FB0"/>
    <w:rsid w:val="00912828"/>
    <w:rsid w:val="009130E0"/>
    <w:rsid w:val="009138D6"/>
    <w:rsid w:val="00913B9B"/>
    <w:rsid w:val="00913D65"/>
    <w:rsid w:val="0091406D"/>
    <w:rsid w:val="0091431B"/>
    <w:rsid w:val="00915376"/>
    <w:rsid w:val="00915A54"/>
    <w:rsid w:val="00915C01"/>
    <w:rsid w:val="0091657C"/>
    <w:rsid w:val="00921680"/>
    <w:rsid w:val="00921EE4"/>
    <w:rsid w:val="00922EB8"/>
    <w:rsid w:val="00924241"/>
    <w:rsid w:val="00926062"/>
    <w:rsid w:val="009262C3"/>
    <w:rsid w:val="009265E3"/>
    <w:rsid w:val="00931BFA"/>
    <w:rsid w:val="0093213B"/>
    <w:rsid w:val="00932E00"/>
    <w:rsid w:val="00933846"/>
    <w:rsid w:val="00933A39"/>
    <w:rsid w:val="00933A82"/>
    <w:rsid w:val="00933E28"/>
    <w:rsid w:val="00934771"/>
    <w:rsid w:val="009348C7"/>
    <w:rsid w:val="00935EFF"/>
    <w:rsid w:val="00935F66"/>
    <w:rsid w:val="0093610A"/>
    <w:rsid w:val="009379F1"/>
    <w:rsid w:val="00937AC9"/>
    <w:rsid w:val="009428B2"/>
    <w:rsid w:val="00944C09"/>
    <w:rsid w:val="009465FF"/>
    <w:rsid w:val="00946BFE"/>
    <w:rsid w:val="00946C5B"/>
    <w:rsid w:val="00946D1D"/>
    <w:rsid w:val="0095064E"/>
    <w:rsid w:val="0095085C"/>
    <w:rsid w:val="0095155E"/>
    <w:rsid w:val="00951937"/>
    <w:rsid w:val="00951939"/>
    <w:rsid w:val="00952FE8"/>
    <w:rsid w:val="009530B1"/>
    <w:rsid w:val="00953ACC"/>
    <w:rsid w:val="009545FB"/>
    <w:rsid w:val="009556E8"/>
    <w:rsid w:val="0095586B"/>
    <w:rsid w:val="00955C7F"/>
    <w:rsid w:val="00956D17"/>
    <w:rsid w:val="0095790C"/>
    <w:rsid w:val="00957DD3"/>
    <w:rsid w:val="00957E25"/>
    <w:rsid w:val="0096084A"/>
    <w:rsid w:val="00961979"/>
    <w:rsid w:val="0096240A"/>
    <w:rsid w:val="00962AF9"/>
    <w:rsid w:val="00963516"/>
    <w:rsid w:val="0096385A"/>
    <w:rsid w:val="00963D2B"/>
    <w:rsid w:val="00963D79"/>
    <w:rsid w:val="00965B27"/>
    <w:rsid w:val="00965D1E"/>
    <w:rsid w:val="00965EC2"/>
    <w:rsid w:val="009664E8"/>
    <w:rsid w:val="009700FF"/>
    <w:rsid w:val="00970685"/>
    <w:rsid w:val="009713B6"/>
    <w:rsid w:val="0097191F"/>
    <w:rsid w:val="00971963"/>
    <w:rsid w:val="009719AF"/>
    <w:rsid w:val="00971A0C"/>
    <w:rsid w:val="00971A2A"/>
    <w:rsid w:val="00971C7C"/>
    <w:rsid w:val="00971D0E"/>
    <w:rsid w:val="00972705"/>
    <w:rsid w:val="00972EAD"/>
    <w:rsid w:val="00973785"/>
    <w:rsid w:val="00973E6E"/>
    <w:rsid w:val="00975ECC"/>
    <w:rsid w:val="0097716F"/>
    <w:rsid w:val="00977956"/>
    <w:rsid w:val="00980F11"/>
    <w:rsid w:val="009817E4"/>
    <w:rsid w:val="00981DEA"/>
    <w:rsid w:val="00982D83"/>
    <w:rsid w:val="00983031"/>
    <w:rsid w:val="00983041"/>
    <w:rsid w:val="00983C98"/>
    <w:rsid w:val="009848BC"/>
    <w:rsid w:val="00984975"/>
    <w:rsid w:val="00984B4B"/>
    <w:rsid w:val="009853C4"/>
    <w:rsid w:val="00985A3D"/>
    <w:rsid w:val="00985CF1"/>
    <w:rsid w:val="00985E1A"/>
    <w:rsid w:val="0098663E"/>
    <w:rsid w:val="0098729D"/>
    <w:rsid w:val="009876A4"/>
    <w:rsid w:val="00990401"/>
    <w:rsid w:val="00990435"/>
    <w:rsid w:val="009913C8"/>
    <w:rsid w:val="0099387C"/>
    <w:rsid w:val="009941B3"/>
    <w:rsid w:val="009958C5"/>
    <w:rsid w:val="00996351"/>
    <w:rsid w:val="009966A6"/>
    <w:rsid w:val="009966CF"/>
    <w:rsid w:val="009967A5"/>
    <w:rsid w:val="00997111"/>
    <w:rsid w:val="009971A7"/>
    <w:rsid w:val="0099762E"/>
    <w:rsid w:val="009A158A"/>
    <w:rsid w:val="009A2386"/>
    <w:rsid w:val="009A3015"/>
    <w:rsid w:val="009A322B"/>
    <w:rsid w:val="009A39EB"/>
    <w:rsid w:val="009A3C26"/>
    <w:rsid w:val="009A4653"/>
    <w:rsid w:val="009A4A7B"/>
    <w:rsid w:val="009A5746"/>
    <w:rsid w:val="009A5DC2"/>
    <w:rsid w:val="009A6DEE"/>
    <w:rsid w:val="009A7203"/>
    <w:rsid w:val="009B3787"/>
    <w:rsid w:val="009B3D85"/>
    <w:rsid w:val="009B46D9"/>
    <w:rsid w:val="009B5192"/>
    <w:rsid w:val="009B53C7"/>
    <w:rsid w:val="009B6978"/>
    <w:rsid w:val="009B7C4F"/>
    <w:rsid w:val="009B7F1A"/>
    <w:rsid w:val="009C0415"/>
    <w:rsid w:val="009C0ADC"/>
    <w:rsid w:val="009C19C9"/>
    <w:rsid w:val="009C215D"/>
    <w:rsid w:val="009C2288"/>
    <w:rsid w:val="009C3C30"/>
    <w:rsid w:val="009C43C4"/>
    <w:rsid w:val="009C4567"/>
    <w:rsid w:val="009C47FD"/>
    <w:rsid w:val="009C49C2"/>
    <w:rsid w:val="009C4B61"/>
    <w:rsid w:val="009C4D4B"/>
    <w:rsid w:val="009C50B9"/>
    <w:rsid w:val="009C5F5C"/>
    <w:rsid w:val="009C5FE3"/>
    <w:rsid w:val="009C6437"/>
    <w:rsid w:val="009C7CE7"/>
    <w:rsid w:val="009D0CC7"/>
    <w:rsid w:val="009D3531"/>
    <w:rsid w:val="009D4107"/>
    <w:rsid w:val="009D416B"/>
    <w:rsid w:val="009D4870"/>
    <w:rsid w:val="009D53D5"/>
    <w:rsid w:val="009D56E3"/>
    <w:rsid w:val="009D659B"/>
    <w:rsid w:val="009D695D"/>
    <w:rsid w:val="009D77E8"/>
    <w:rsid w:val="009D7C62"/>
    <w:rsid w:val="009E0454"/>
    <w:rsid w:val="009E07DE"/>
    <w:rsid w:val="009E17B6"/>
    <w:rsid w:val="009E1EF4"/>
    <w:rsid w:val="009E2FF0"/>
    <w:rsid w:val="009E4986"/>
    <w:rsid w:val="009E5407"/>
    <w:rsid w:val="009E5970"/>
    <w:rsid w:val="009E59A1"/>
    <w:rsid w:val="009E5C31"/>
    <w:rsid w:val="009E61F3"/>
    <w:rsid w:val="009E7127"/>
    <w:rsid w:val="009E7BF5"/>
    <w:rsid w:val="009F042F"/>
    <w:rsid w:val="009F0A12"/>
    <w:rsid w:val="009F18ED"/>
    <w:rsid w:val="009F2CE5"/>
    <w:rsid w:val="009F3A80"/>
    <w:rsid w:val="009F3C09"/>
    <w:rsid w:val="009F3FDB"/>
    <w:rsid w:val="009F4009"/>
    <w:rsid w:val="009F4B2D"/>
    <w:rsid w:val="009F4EC6"/>
    <w:rsid w:val="009F593B"/>
    <w:rsid w:val="009F59A9"/>
    <w:rsid w:val="00A0012C"/>
    <w:rsid w:val="00A035CE"/>
    <w:rsid w:val="00A03B94"/>
    <w:rsid w:val="00A04619"/>
    <w:rsid w:val="00A049BA"/>
    <w:rsid w:val="00A05D53"/>
    <w:rsid w:val="00A06A09"/>
    <w:rsid w:val="00A109EB"/>
    <w:rsid w:val="00A10C75"/>
    <w:rsid w:val="00A111D0"/>
    <w:rsid w:val="00A11311"/>
    <w:rsid w:val="00A116BC"/>
    <w:rsid w:val="00A12B15"/>
    <w:rsid w:val="00A12E7E"/>
    <w:rsid w:val="00A13567"/>
    <w:rsid w:val="00A13C57"/>
    <w:rsid w:val="00A14293"/>
    <w:rsid w:val="00A14477"/>
    <w:rsid w:val="00A14D85"/>
    <w:rsid w:val="00A15978"/>
    <w:rsid w:val="00A16771"/>
    <w:rsid w:val="00A16F88"/>
    <w:rsid w:val="00A17214"/>
    <w:rsid w:val="00A201F8"/>
    <w:rsid w:val="00A20D68"/>
    <w:rsid w:val="00A22227"/>
    <w:rsid w:val="00A23547"/>
    <w:rsid w:val="00A238D5"/>
    <w:rsid w:val="00A23B20"/>
    <w:rsid w:val="00A25094"/>
    <w:rsid w:val="00A264FC"/>
    <w:rsid w:val="00A26607"/>
    <w:rsid w:val="00A26AF8"/>
    <w:rsid w:val="00A300A4"/>
    <w:rsid w:val="00A31A19"/>
    <w:rsid w:val="00A31EAA"/>
    <w:rsid w:val="00A31F3F"/>
    <w:rsid w:val="00A32CE1"/>
    <w:rsid w:val="00A336DA"/>
    <w:rsid w:val="00A338A2"/>
    <w:rsid w:val="00A33C32"/>
    <w:rsid w:val="00A33E3D"/>
    <w:rsid w:val="00A34CCC"/>
    <w:rsid w:val="00A35103"/>
    <w:rsid w:val="00A3538B"/>
    <w:rsid w:val="00A36E79"/>
    <w:rsid w:val="00A37ACA"/>
    <w:rsid w:val="00A37CF5"/>
    <w:rsid w:val="00A37D13"/>
    <w:rsid w:val="00A37EEA"/>
    <w:rsid w:val="00A4081D"/>
    <w:rsid w:val="00A40B63"/>
    <w:rsid w:val="00A424C8"/>
    <w:rsid w:val="00A43B29"/>
    <w:rsid w:val="00A449C4"/>
    <w:rsid w:val="00A44EDA"/>
    <w:rsid w:val="00A44F96"/>
    <w:rsid w:val="00A4588D"/>
    <w:rsid w:val="00A45E69"/>
    <w:rsid w:val="00A4690B"/>
    <w:rsid w:val="00A472C5"/>
    <w:rsid w:val="00A47771"/>
    <w:rsid w:val="00A47EDD"/>
    <w:rsid w:val="00A50118"/>
    <w:rsid w:val="00A50720"/>
    <w:rsid w:val="00A508D5"/>
    <w:rsid w:val="00A51131"/>
    <w:rsid w:val="00A5125B"/>
    <w:rsid w:val="00A516C3"/>
    <w:rsid w:val="00A51DF6"/>
    <w:rsid w:val="00A5242E"/>
    <w:rsid w:val="00A52690"/>
    <w:rsid w:val="00A5287C"/>
    <w:rsid w:val="00A53E0F"/>
    <w:rsid w:val="00A5440A"/>
    <w:rsid w:val="00A5447D"/>
    <w:rsid w:val="00A54659"/>
    <w:rsid w:val="00A547A8"/>
    <w:rsid w:val="00A55457"/>
    <w:rsid w:val="00A57239"/>
    <w:rsid w:val="00A574E9"/>
    <w:rsid w:val="00A61912"/>
    <w:rsid w:val="00A61E61"/>
    <w:rsid w:val="00A62353"/>
    <w:rsid w:val="00A62C1C"/>
    <w:rsid w:val="00A62F69"/>
    <w:rsid w:val="00A64266"/>
    <w:rsid w:val="00A64768"/>
    <w:rsid w:val="00A6499B"/>
    <w:rsid w:val="00A649D4"/>
    <w:rsid w:val="00A661E5"/>
    <w:rsid w:val="00A66850"/>
    <w:rsid w:val="00A66987"/>
    <w:rsid w:val="00A67493"/>
    <w:rsid w:val="00A67EC4"/>
    <w:rsid w:val="00A71033"/>
    <w:rsid w:val="00A71060"/>
    <w:rsid w:val="00A7169A"/>
    <w:rsid w:val="00A7272E"/>
    <w:rsid w:val="00A72F13"/>
    <w:rsid w:val="00A73EE3"/>
    <w:rsid w:val="00A74762"/>
    <w:rsid w:val="00A7529B"/>
    <w:rsid w:val="00A75A59"/>
    <w:rsid w:val="00A75FFD"/>
    <w:rsid w:val="00A77326"/>
    <w:rsid w:val="00A77755"/>
    <w:rsid w:val="00A77E1B"/>
    <w:rsid w:val="00A77E8D"/>
    <w:rsid w:val="00A80219"/>
    <w:rsid w:val="00A802BE"/>
    <w:rsid w:val="00A804B2"/>
    <w:rsid w:val="00A80792"/>
    <w:rsid w:val="00A80E74"/>
    <w:rsid w:val="00A816EE"/>
    <w:rsid w:val="00A817B0"/>
    <w:rsid w:val="00A83E4E"/>
    <w:rsid w:val="00A84025"/>
    <w:rsid w:val="00A8452E"/>
    <w:rsid w:val="00A84FF1"/>
    <w:rsid w:val="00A85188"/>
    <w:rsid w:val="00A85199"/>
    <w:rsid w:val="00A85721"/>
    <w:rsid w:val="00A859BD"/>
    <w:rsid w:val="00A85E9A"/>
    <w:rsid w:val="00A86195"/>
    <w:rsid w:val="00A876E7"/>
    <w:rsid w:val="00A90503"/>
    <w:rsid w:val="00A90C24"/>
    <w:rsid w:val="00A91D85"/>
    <w:rsid w:val="00A93090"/>
    <w:rsid w:val="00A934AB"/>
    <w:rsid w:val="00A9387A"/>
    <w:rsid w:val="00A93D72"/>
    <w:rsid w:val="00A94F9F"/>
    <w:rsid w:val="00A95258"/>
    <w:rsid w:val="00A95A89"/>
    <w:rsid w:val="00A95ED2"/>
    <w:rsid w:val="00A96558"/>
    <w:rsid w:val="00A96D79"/>
    <w:rsid w:val="00A974DE"/>
    <w:rsid w:val="00A977FA"/>
    <w:rsid w:val="00AA01D5"/>
    <w:rsid w:val="00AA0366"/>
    <w:rsid w:val="00AA0423"/>
    <w:rsid w:val="00AA1B8E"/>
    <w:rsid w:val="00AA1F71"/>
    <w:rsid w:val="00AA2D5F"/>
    <w:rsid w:val="00AA2DF3"/>
    <w:rsid w:val="00AA30B2"/>
    <w:rsid w:val="00AA34D2"/>
    <w:rsid w:val="00AA4E71"/>
    <w:rsid w:val="00AA53F6"/>
    <w:rsid w:val="00AA5985"/>
    <w:rsid w:val="00AA6539"/>
    <w:rsid w:val="00AA68DD"/>
    <w:rsid w:val="00AA72FC"/>
    <w:rsid w:val="00AA797A"/>
    <w:rsid w:val="00AA7C89"/>
    <w:rsid w:val="00AB046E"/>
    <w:rsid w:val="00AB24C8"/>
    <w:rsid w:val="00AB2675"/>
    <w:rsid w:val="00AB2843"/>
    <w:rsid w:val="00AB45E6"/>
    <w:rsid w:val="00AB4A15"/>
    <w:rsid w:val="00AB50C7"/>
    <w:rsid w:val="00AB5597"/>
    <w:rsid w:val="00AB57F2"/>
    <w:rsid w:val="00AB7060"/>
    <w:rsid w:val="00AB7881"/>
    <w:rsid w:val="00AB78EF"/>
    <w:rsid w:val="00AB7F14"/>
    <w:rsid w:val="00AC0064"/>
    <w:rsid w:val="00AC03E9"/>
    <w:rsid w:val="00AC0916"/>
    <w:rsid w:val="00AC133C"/>
    <w:rsid w:val="00AC21CD"/>
    <w:rsid w:val="00AC26B4"/>
    <w:rsid w:val="00AC30D2"/>
    <w:rsid w:val="00AC34B6"/>
    <w:rsid w:val="00AC37C4"/>
    <w:rsid w:val="00AC4350"/>
    <w:rsid w:val="00AC5032"/>
    <w:rsid w:val="00AC53D5"/>
    <w:rsid w:val="00AC5434"/>
    <w:rsid w:val="00AC5BAA"/>
    <w:rsid w:val="00AC5F23"/>
    <w:rsid w:val="00AC6121"/>
    <w:rsid w:val="00AC6336"/>
    <w:rsid w:val="00AC654F"/>
    <w:rsid w:val="00AC6D2C"/>
    <w:rsid w:val="00AC6E5B"/>
    <w:rsid w:val="00AC776B"/>
    <w:rsid w:val="00AC78C2"/>
    <w:rsid w:val="00AC7A7E"/>
    <w:rsid w:val="00AC7CA7"/>
    <w:rsid w:val="00AD2464"/>
    <w:rsid w:val="00AD4815"/>
    <w:rsid w:val="00AD4841"/>
    <w:rsid w:val="00AD4BC4"/>
    <w:rsid w:val="00AD4FAE"/>
    <w:rsid w:val="00AD559D"/>
    <w:rsid w:val="00AD5814"/>
    <w:rsid w:val="00AD5A42"/>
    <w:rsid w:val="00AD640A"/>
    <w:rsid w:val="00AD6FC2"/>
    <w:rsid w:val="00AD7653"/>
    <w:rsid w:val="00AE0155"/>
    <w:rsid w:val="00AE186B"/>
    <w:rsid w:val="00AE241F"/>
    <w:rsid w:val="00AE35A1"/>
    <w:rsid w:val="00AE3EFC"/>
    <w:rsid w:val="00AE4698"/>
    <w:rsid w:val="00AE52FF"/>
    <w:rsid w:val="00AE68AF"/>
    <w:rsid w:val="00AE6A49"/>
    <w:rsid w:val="00AE6CA4"/>
    <w:rsid w:val="00AE6FF2"/>
    <w:rsid w:val="00AE7785"/>
    <w:rsid w:val="00AE7D7D"/>
    <w:rsid w:val="00AF1EC6"/>
    <w:rsid w:val="00AF2031"/>
    <w:rsid w:val="00AF22B1"/>
    <w:rsid w:val="00AF2374"/>
    <w:rsid w:val="00AF321A"/>
    <w:rsid w:val="00AF3B64"/>
    <w:rsid w:val="00AF3D80"/>
    <w:rsid w:val="00AF407C"/>
    <w:rsid w:val="00AF4A83"/>
    <w:rsid w:val="00AF4CBE"/>
    <w:rsid w:val="00AF51EE"/>
    <w:rsid w:val="00AF528B"/>
    <w:rsid w:val="00AF56D8"/>
    <w:rsid w:val="00AF5C82"/>
    <w:rsid w:val="00AF5DB6"/>
    <w:rsid w:val="00AF662F"/>
    <w:rsid w:val="00AF6A6B"/>
    <w:rsid w:val="00AF6E65"/>
    <w:rsid w:val="00B00941"/>
    <w:rsid w:val="00B00EEE"/>
    <w:rsid w:val="00B01A37"/>
    <w:rsid w:val="00B02221"/>
    <w:rsid w:val="00B023D8"/>
    <w:rsid w:val="00B02447"/>
    <w:rsid w:val="00B0422D"/>
    <w:rsid w:val="00B054BE"/>
    <w:rsid w:val="00B06582"/>
    <w:rsid w:val="00B06E36"/>
    <w:rsid w:val="00B077DF"/>
    <w:rsid w:val="00B07885"/>
    <w:rsid w:val="00B086EC"/>
    <w:rsid w:val="00B108FA"/>
    <w:rsid w:val="00B10A1E"/>
    <w:rsid w:val="00B10AFD"/>
    <w:rsid w:val="00B11780"/>
    <w:rsid w:val="00B117C8"/>
    <w:rsid w:val="00B121FB"/>
    <w:rsid w:val="00B126EE"/>
    <w:rsid w:val="00B1362E"/>
    <w:rsid w:val="00B139C8"/>
    <w:rsid w:val="00B13CBD"/>
    <w:rsid w:val="00B141CA"/>
    <w:rsid w:val="00B14A9A"/>
    <w:rsid w:val="00B16AEA"/>
    <w:rsid w:val="00B17CF9"/>
    <w:rsid w:val="00B20AD3"/>
    <w:rsid w:val="00B20F71"/>
    <w:rsid w:val="00B21523"/>
    <w:rsid w:val="00B21678"/>
    <w:rsid w:val="00B2192E"/>
    <w:rsid w:val="00B21C9A"/>
    <w:rsid w:val="00B22C9E"/>
    <w:rsid w:val="00B23BBC"/>
    <w:rsid w:val="00B251CA"/>
    <w:rsid w:val="00B256AE"/>
    <w:rsid w:val="00B2626C"/>
    <w:rsid w:val="00B3033B"/>
    <w:rsid w:val="00B304EB"/>
    <w:rsid w:val="00B30B9F"/>
    <w:rsid w:val="00B31252"/>
    <w:rsid w:val="00B31640"/>
    <w:rsid w:val="00B31BE1"/>
    <w:rsid w:val="00B3218E"/>
    <w:rsid w:val="00B3336E"/>
    <w:rsid w:val="00B34544"/>
    <w:rsid w:val="00B35C8A"/>
    <w:rsid w:val="00B36B08"/>
    <w:rsid w:val="00B37315"/>
    <w:rsid w:val="00B37735"/>
    <w:rsid w:val="00B40124"/>
    <w:rsid w:val="00B408A1"/>
    <w:rsid w:val="00B41D8C"/>
    <w:rsid w:val="00B4413D"/>
    <w:rsid w:val="00B47814"/>
    <w:rsid w:val="00B478F1"/>
    <w:rsid w:val="00B47BF3"/>
    <w:rsid w:val="00B50A03"/>
    <w:rsid w:val="00B50A08"/>
    <w:rsid w:val="00B50C17"/>
    <w:rsid w:val="00B50F27"/>
    <w:rsid w:val="00B513F9"/>
    <w:rsid w:val="00B520D8"/>
    <w:rsid w:val="00B52517"/>
    <w:rsid w:val="00B52C5C"/>
    <w:rsid w:val="00B53000"/>
    <w:rsid w:val="00B53172"/>
    <w:rsid w:val="00B53259"/>
    <w:rsid w:val="00B533F0"/>
    <w:rsid w:val="00B53E64"/>
    <w:rsid w:val="00B545ED"/>
    <w:rsid w:val="00B5480D"/>
    <w:rsid w:val="00B56356"/>
    <w:rsid w:val="00B5640A"/>
    <w:rsid w:val="00B56C8E"/>
    <w:rsid w:val="00B56FCB"/>
    <w:rsid w:val="00B57EDF"/>
    <w:rsid w:val="00B6003D"/>
    <w:rsid w:val="00B60286"/>
    <w:rsid w:val="00B605FA"/>
    <w:rsid w:val="00B61C83"/>
    <w:rsid w:val="00B6268D"/>
    <w:rsid w:val="00B62A63"/>
    <w:rsid w:val="00B62BEE"/>
    <w:rsid w:val="00B62BFA"/>
    <w:rsid w:val="00B63301"/>
    <w:rsid w:val="00B6372F"/>
    <w:rsid w:val="00B63C9D"/>
    <w:rsid w:val="00B64029"/>
    <w:rsid w:val="00B641C3"/>
    <w:rsid w:val="00B64BBD"/>
    <w:rsid w:val="00B64CBE"/>
    <w:rsid w:val="00B6510B"/>
    <w:rsid w:val="00B66683"/>
    <w:rsid w:val="00B66D61"/>
    <w:rsid w:val="00B67067"/>
    <w:rsid w:val="00B67111"/>
    <w:rsid w:val="00B67741"/>
    <w:rsid w:val="00B67BFC"/>
    <w:rsid w:val="00B67C32"/>
    <w:rsid w:val="00B705F0"/>
    <w:rsid w:val="00B7084B"/>
    <w:rsid w:val="00B717B0"/>
    <w:rsid w:val="00B722A3"/>
    <w:rsid w:val="00B729D8"/>
    <w:rsid w:val="00B73A9E"/>
    <w:rsid w:val="00B73B6A"/>
    <w:rsid w:val="00B743BF"/>
    <w:rsid w:val="00B7459F"/>
    <w:rsid w:val="00B747D7"/>
    <w:rsid w:val="00B75155"/>
    <w:rsid w:val="00B76B52"/>
    <w:rsid w:val="00B80C6B"/>
    <w:rsid w:val="00B80CFA"/>
    <w:rsid w:val="00B8104F"/>
    <w:rsid w:val="00B81422"/>
    <w:rsid w:val="00B81B1B"/>
    <w:rsid w:val="00B845B5"/>
    <w:rsid w:val="00B84806"/>
    <w:rsid w:val="00B8494B"/>
    <w:rsid w:val="00B84A80"/>
    <w:rsid w:val="00B84ABD"/>
    <w:rsid w:val="00B84EDC"/>
    <w:rsid w:val="00B853F9"/>
    <w:rsid w:val="00B8593F"/>
    <w:rsid w:val="00B85E5E"/>
    <w:rsid w:val="00B860AE"/>
    <w:rsid w:val="00B87043"/>
    <w:rsid w:val="00B8785A"/>
    <w:rsid w:val="00B90485"/>
    <w:rsid w:val="00B90CD2"/>
    <w:rsid w:val="00B91A56"/>
    <w:rsid w:val="00B91F9C"/>
    <w:rsid w:val="00B92458"/>
    <w:rsid w:val="00B924E8"/>
    <w:rsid w:val="00B92F27"/>
    <w:rsid w:val="00B9314B"/>
    <w:rsid w:val="00B938E8"/>
    <w:rsid w:val="00B9417E"/>
    <w:rsid w:val="00B95586"/>
    <w:rsid w:val="00B957E4"/>
    <w:rsid w:val="00B95B1E"/>
    <w:rsid w:val="00B965C5"/>
    <w:rsid w:val="00B96969"/>
    <w:rsid w:val="00B96A05"/>
    <w:rsid w:val="00B97001"/>
    <w:rsid w:val="00B9793C"/>
    <w:rsid w:val="00BA09C4"/>
    <w:rsid w:val="00BA1B76"/>
    <w:rsid w:val="00BA1DCF"/>
    <w:rsid w:val="00BA2160"/>
    <w:rsid w:val="00BA3356"/>
    <w:rsid w:val="00BA414D"/>
    <w:rsid w:val="00BA44D4"/>
    <w:rsid w:val="00BA489C"/>
    <w:rsid w:val="00BA4C9C"/>
    <w:rsid w:val="00BA5C40"/>
    <w:rsid w:val="00BA61BF"/>
    <w:rsid w:val="00BA62FE"/>
    <w:rsid w:val="00BA6920"/>
    <w:rsid w:val="00BA6FDD"/>
    <w:rsid w:val="00BA7467"/>
    <w:rsid w:val="00BA759A"/>
    <w:rsid w:val="00BB18D4"/>
    <w:rsid w:val="00BB23FB"/>
    <w:rsid w:val="00BB23FF"/>
    <w:rsid w:val="00BB2AAB"/>
    <w:rsid w:val="00BB3337"/>
    <w:rsid w:val="00BB4357"/>
    <w:rsid w:val="00BB478C"/>
    <w:rsid w:val="00BB4E12"/>
    <w:rsid w:val="00BB5420"/>
    <w:rsid w:val="00BB547B"/>
    <w:rsid w:val="00BB5654"/>
    <w:rsid w:val="00BB5933"/>
    <w:rsid w:val="00BB5BFA"/>
    <w:rsid w:val="00BB7452"/>
    <w:rsid w:val="00BB7A7E"/>
    <w:rsid w:val="00BB7E54"/>
    <w:rsid w:val="00BC0365"/>
    <w:rsid w:val="00BC0C00"/>
    <w:rsid w:val="00BC0CDF"/>
    <w:rsid w:val="00BC102B"/>
    <w:rsid w:val="00BC1886"/>
    <w:rsid w:val="00BC190C"/>
    <w:rsid w:val="00BC1D4E"/>
    <w:rsid w:val="00BC1D87"/>
    <w:rsid w:val="00BC284C"/>
    <w:rsid w:val="00BC4745"/>
    <w:rsid w:val="00BC49F8"/>
    <w:rsid w:val="00BC5D6E"/>
    <w:rsid w:val="00BC5E84"/>
    <w:rsid w:val="00BC6167"/>
    <w:rsid w:val="00BC6340"/>
    <w:rsid w:val="00BC644F"/>
    <w:rsid w:val="00BC692D"/>
    <w:rsid w:val="00BC6DF0"/>
    <w:rsid w:val="00BC7473"/>
    <w:rsid w:val="00BC76D8"/>
    <w:rsid w:val="00BC7EC1"/>
    <w:rsid w:val="00BD0FA8"/>
    <w:rsid w:val="00BD1DFC"/>
    <w:rsid w:val="00BD24C8"/>
    <w:rsid w:val="00BD2E94"/>
    <w:rsid w:val="00BD3B02"/>
    <w:rsid w:val="00BD40A3"/>
    <w:rsid w:val="00BD41CA"/>
    <w:rsid w:val="00BD43C8"/>
    <w:rsid w:val="00BD490F"/>
    <w:rsid w:val="00BD4C00"/>
    <w:rsid w:val="00BD58BC"/>
    <w:rsid w:val="00BD5C1A"/>
    <w:rsid w:val="00BD6AF6"/>
    <w:rsid w:val="00BD6C97"/>
    <w:rsid w:val="00BD717D"/>
    <w:rsid w:val="00BD73F6"/>
    <w:rsid w:val="00BD7DA4"/>
    <w:rsid w:val="00BE1514"/>
    <w:rsid w:val="00BE1A41"/>
    <w:rsid w:val="00BE1B5F"/>
    <w:rsid w:val="00BE2C07"/>
    <w:rsid w:val="00BE31FB"/>
    <w:rsid w:val="00BE4295"/>
    <w:rsid w:val="00BE46CB"/>
    <w:rsid w:val="00BE531D"/>
    <w:rsid w:val="00BE58E8"/>
    <w:rsid w:val="00BE5C02"/>
    <w:rsid w:val="00BE5E0B"/>
    <w:rsid w:val="00BE698F"/>
    <w:rsid w:val="00BE6B3A"/>
    <w:rsid w:val="00BE7A9C"/>
    <w:rsid w:val="00BF0102"/>
    <w:rsid w:val="00BF062D"/>
    <w:rsid w:val="00BF0BB3"/>
    <w:rsid w:val="00BF1887"/>
    <w:rsid w:val="00BF1972"/>
    <w:rsid w:val="00BF48D0"/>
    <w:rsid w:val="00BF6697"/>
    <w:rsid w:val="00BF68D9"/>
    <w:rsid w:val="00BF708A"/>
    <w:rsid w:val="00C00D59"/>
    <w:rsid w:val="00C0131C"/>
    <w:rsid w:val="00C0145E"/>
    <w:rsid w:val="00C01C24"/>
    <w:rsid w:val="00C02006"/>
    <w:rsid w:val="00C02CC9"/>
    <w:rsid w:val="00C0300C"/>
    <w:rsid w:val="00C034FA"/>
    <w:rsid w:val="00C0420A"/>
    <w:rsid w:val="00C042D6"/>
    <w:rsid w:val="00C04415"/>
    <w:rsid w:val="00C063AA"/>
    <w:rsid w:val="00C06F85"/>
    <w:rsid w:val="00C0743D"/>
    <w:rsid w:val="00C07EBB"/>
    <w:rsid w:val="00C07FE6"/>
    <w:rsid w:val="00C103C1"/>
    <w:rsid w:val="00C118E2"/>
    <w:rsid w:val="00C12B3D"/>
    <w:rsid w:val="00C12F39"/>
    <w:rsid w:val="00C13379"/>
    <w:rsid w:val="00C141FE"/>
    <w:rsid w:val="00C144CB"/>
    <w:rsid w:val="00C1535E"/>
    <w:rsid w:val="00C15A89"/>
    <w:rsid w:val="00C15D53"/>
    <w:rsid w:val="00C16696"/>
    <w:rsid w:val="00C16721"/>
    <w:rsid w:val="00C16EF3"/>
    <w:rsid w:val="00C1786E"/>
    <w:rsid w:val="00C17FB9"/>
    <w:rsid w:val="00C2027B"/>
    <w:rsid w:val="00C20833"/>
    <w:rsid w:val="00C21C03"/>
    <w:rsid w:val="00C21D01"/>
    <w:rsid w:val="00C2218F"/>
    <w:rsid w:val="00C2237F"/>
    <w:rsid w:val="00C22C41"/>
    <w:rsid w:val="00C22E2D"/>
    <w:rsid w:val="00C231FF"/>
    <w:rsid w:val="00C23D11"/>
    <w:rsid w:val="00C23E75"/>
    <w:rsid w:val="00C25141"/>
    <w:rsid w:val="00C25B74"/>
    <w:rsid w:val="00C261AC"/>
    <w:rsid w:val="00C2643E"/>
    <w:rsid w:val="00C26EAD"/>
    <w:rsid w:val="00C26EF3"/>
    <w:rsid w:val="00C27510"/>
    <w:rsid w:val="00C275BB"/>
    <w:rsid w:val="00C27BF7"/>
    <w:rsid w:val="00C27CB9"/>
    <w:rsid w:val="00C27DA3"/>
    <w:rsid w:val="00C30299"/>
    <w:rsid w:val="00C30F82"/>
    <w:rsid w:val="00C31059"/>
    <w:rsid w:val="00C33CBD"/>
    <w:rsid w:val="00C33D07"/>
    <w:rsid w:val="00C3531A"/>
    <w:rsid w:val="00C37396"/>
    <w:rsid w:val="00C422AC"/>
    <w:rsid w:val="00C42AF1"/>
    <w:rsid w:val="00C42DDB"/>
    <w:rsid w:val="00C4328E"/>
    <w:rsid w:val="00C440DC"/>
    <w:rsid w:val="00C44507"/>
    <w:rsid w:val="00C44C91"/>
    <w:rsid w:val="00C45A7C"/>
    <w:rsid w:val="00C46225"/>
    <w:rsid w:val="00C47DC2"/>
    <w:rsid w:val="00C5224A"/>
    <w:rsid w:val="00C5239C"/>
    <w:rsid w:val="00C53761"/>
    <w:rsid w:val="00C53ECB"/>
    <w:rsid w:val="00C547E9"/>
    <w:rsid w:val="00C54910"/>
    <w:rsid w:val="00C55295"/>
    <w:rsid w:val="00C55AE1"/>
    <w:rsid w:val="00C56669"/>
    <w:rsid w:val="00C56F6B"/>
    <w:rsid w:val="00C570CC"/>
    <w:rsid w:val="00C61FC8"/>
    <w:rsid w:val="00C62B9E"/>
    <w:rsid w:val="00C62FC7"/>
    <w:rsid w:val="00C6306F"/>
    <w:rsid w:val="00C63454"/>
    <w:rsid w:val="00C63AB2"/>
    <w:rsid w:val="00C63EE2"/>
    <w:rsid w:val="00C64024"/>
    <w:rsid w:val="00C64CEA"/>
    <w:rsid w:val="00C65527"/>
    <w:rsid w:val="00C6556C"/>
    <w:rsid w:val="00C65732"/>
    <w:rsid w:val="00C660AC"/>
    <w:rsid w:val="00C66B62"/>
    <w:rsid w:val="00C67558"/>
    <w:rsid w:val="00C6794B"/>
    <w:rsid w:val="00C67EB6"/>
    <w:rsid w:val="00C67F34"/>
    <w:rsid w:val="00C71066"/>
    <w:rsid w:val="00C71264"/>
    <w:rsid w:val="00C71A06"/>
    <w:rsid w:val="00C743D3"/>
    <w:rsid w:val="00C74DD7"/>
    <w:rsid w:val="00C7515E"/>
    <w:rsid w:val="00C75BB7"/>
    <w:rsid w:val="00C772F0"/>
    <w:rsid w:val="00C80E08"/>
    <w:rsid w:val="00C8109B"/>
    <w:rsid w:val="00C8141F"/>
    <w:rsid w:val="00C819AE"/>
    <w:rsid w:val="00C819DC"/>
    <w:rsid w:val="00C81F61"/>
    <w:rsid w:val="00C82AFD"/>
    <w:rsid w:val="00C83018"/>
    <w:rsid w:val="00C8433E"/>
    <w:rsid w:val="00C84758"/>
    <w:rsid w:val="00C84FEF"/>
    <w:rsid w:val="00C85036"/>
    <w:rsid w:val="00C85D14"/>
    <w:rsid w:val="00C91218"/>
    <w:rsid w:val="00C9123E"/>
    <w:rsid w:val="00C912E7"/>
    <w:rsid w:val="00C91457"/>
    <w:rsid w:val="00C91FB7"/>
    <w:rsid w:val="00C92F07"/>
    <w:rsid w:val="00C93157"/>
    <w:rsid w:val="00C93517"/>
    <w:rsid w:val="00C93D60"/>
    <w:rsid w:val="00C940C1"/>
    <w:rsid w:val="00C94640"/>
    <w:rsid w:val="00C94FAB"/>
    <w:rsid w:val="00C96C85"/>
    <w:rsid w:val="00C975B0"/>
    <w:rsid w:val="00C9789A"/>
    <w:rsid w:val="00CA0A4B"/>
    <w:rsid w:val="00CA1635"/>
    <w:rsid w:val="00CA1FBE"/>
    <w:rsid w:val="00CA2A09"/>
    <w:rsid w:val="00CA404D"/>
    <w:rsid w:val="00CA4661"/>
    <w:rsid w:val="00CA4F42"/>
    <w:rsid w:val="00CA549E"/>
    <w:rsid w:val="00CA59EC"/>
    <w:rsid w:val="00CA5A06"/>
    <w:rsid w:val="00CA6927"/>
    <w:rsid w:val="00CA7B1C"/>
    <w:rsid w:val="00CA7F10"/>
    <w:rsid w:val="00CB1E80"/>
    <w:rsid w:val="00CB1E95"/>
    <w:rsid w:val="00CB1FA1"/>
    <w:rsid w:val="00CB2A55"/>
    <w:rsid w:val="00CB4440"/>
    <w:rsid w:val="00CB461F"/>
    <w:rsid w:val="00CB4D04"/>
    <w:rsid w:val="00CB4F29"/>
    <w:rsid w:val="00CB58B9"/>
    <w:rsid w:val="00CB599F"/>
    <w:rsid w:val="00CB621C"/>
    <w:rsid w:val="00CB7C14"/>
    <w:rsid w:val="00CC1AFA"/>
    <w:rsid w:val="00CC270D"/>
    <w:rsid w:val="00CC28F0"/>
    <w:rsid w:val="00CC30D5"/>
    <w:rsid w:val="00CC374B"/>
    <w:rsid w:val="00CC4090"/>
    <w:rsid w:val="00CC4DD8"/>
    <w:rsid w:val="00CC5B37"/>
    <w:rsid w:val="00CC5C4A"/>
    <w:rsid w:val="00CC5E1A"/>
    <w:rsid w:val="00CC5E7A"/>
    <w:rsid w:val="00CC6B98"/>
    <w:rsid w:val="00CC7412"/>
    <w:rsid w:val="00CC7F4F"/>
    <w:rsid w:val="00CD043D"/>
    <w:rsid w:val="00CD0566"/>
    <w:rsid w:val="00CD0860"/>
    <w:rsid w:val="00CD1166"/>
    <w:rsid w:val="00CD11C3"/>
    <w:rsid w:val="00CD1AE3"/>
    <w:rsid w:val="00CD1FAC"/>
    <w:rsid w:val="00CD2619"/>
    <w:rsid w:val="00CD2E06"/>
    <w:rsid w:val="00CD3ED8"/>
    <w:rsid w:val="00CD3F3D"/>
    <w:rsid w:val="00CD469B"/>
    <w:rsid w:val="00CD49CD"/>
    <w:rsid w:val="00CD5A8F"/>
    <w:rsid w:val="00CD6640"/>
    <w:rsid w:val="00CD6D18"/>
    <w:rsid w:val="00CD7554"/>
    <w:rsid w:val="00CE068C"/>
    <w:rsid w:val="00CE0898"/>
    <w:rsid w:val="00CE111E"/>
    <w:rsid w:val="00CE1407"/>
    <w:rsid w:val="00CE1950"/>
    <w:rsid w:val="00CE19A0"/>
    <w:rsid w:val="00CE1B7F"/>
    <w:rsid w:val="00CE2A4D"/>
    <w:rsid w:val="00CE2A58"/>
    <w:rsid w:val="00CE2F94"/>
    <w:rsid w:val="00CE409E"/>
    <w:rsid w:val="00CE544F"/>
    <w:rsid w:val="00CE6412"/>
    <w:rsid w:val="00CE69A7"/>
    <w:rsid w:val="00CE6C74"/>
    <w:rsid w:val="00CE76D2"/>
    <w:rsid w:val="00CF1695"/>
    <w:rsid w:val="00CF16C9"/>
    <w:rsid w:val="00CF1839"/>
    <w:rsid w:val="00CF19F4"/>
    <w:rsid w:val="00CF2E4B"/>
    <w:rsid w:val="00CF36F6"/>
    <w:rsid w:val="00CF3986"/>
    <w:rsid w:val="00CF4145"/>
    <w:rsid w:val="00CF4EE0"/>
    <w:rsid w:val="00CF551D"/>
    <w:rsid w:val="00CF5D89"/>
    <w:rsid w:val="00CF664E"/>
    <w:rsid w:val="00CF6668"/>
    <w:rsid w:val="00CF6DD4"/>
    <w:rsid w:val="00CF7157"/>
    <w:rsid w:val="00CF730B"/>
    <w:rsid w:val="00CF7959"/>
    <w:rsid w:val="00CF7D38"/>
    <w:rsid w:val="00D00C71"/>
    <w:rsid w:val="00D00C7F"/>
    <w:rsid w:val="00D00ED7"/>
    <w:rsid w:val="00D01BD4"/>
    <w:rsid w:val="00D01DD8"/>
    <w:rsid w:val="00D02B3D"/>
    <w:rsid w:val="00D036B6"/>
    <w:rsid w:val="00D03929"/>
    <w:rsid w:val="00D046AE"/>
    <w:rsid w:val="00D04D01"/>
    <w:rsid w:val="00D0510D"/>
    <w:rsid w:val="00D0542B"/>
    <w:rsid w:val="00D05D74"/>
    <w:rsid w:val="00D07592"/>
    <w:rsid w:val="00D079AD"/>
    <w:rsid w:val="00D07BB8"/>
    <w:rsid w:val="00D07D29"/>
    <w:rsid w:val="00D10207"/>
    <w:rsid w:val="00D10277"/>
    <w:rsid w:val="00D10CC3"/>
    <w:rsid w:val="00D10DAD"/>
    <w:rsid w:val="00D10DDC"/>
    <w:rsid w:val="00D10FDF"/>
    <w:rsid w:val="00D11307"/>
    <w:rsid w:val="00D119CA"/>
    <w:rsid w:val="00D11EF8"/>
    <w:rsid w:val="00D135FF"/>
    <w:rsid w:val="00D139B9"/>
    <w:rsid w:val="00D14320"/>
    <w:rsid w:val="00D14CFB"/>
    <w:rsid w:val="00D15B52"/>
    <w:rsid w:val="00D17241"/>
    <w:rsid w:val="00D1736E"/>
    <w:rsid w:val="00D1770A"/>
    <w:rsid w:val="00D20918"/>
    <w:rsid w:val="00D20F20"/>
    <w:rsid w:val="00D21AA5"/>
    <w:rsid w:val="00D21F81"/>
    <w:rsid w:val="00D227E5"/>
    <w:rsid w:val="00D239DD"/>
    <w:rsid w:val="00D253FB"/>
    <w:rsid w:val="00D2560F"/>
    <w:rsid w:val="00D276BB"/>
    <w:rsid w:val="00D27A14"/>
    <w:rsid w:val="00D27CC1"/>
    <w:rsid w:val="00D305DF"/>
    <w:rsid w:val="00D3076B"/>
    <w:rsid w:val="00D31174"/>
    <w:rsid w:val="00D321B1"/>
    <w:rsid w:val="00D32412"/>
    <w:rsid w:val="00D32B01"/>
    <w:rsid w:val="00D3415F"/>
    <w:rsid w:val="00D353B6"/>
    <w:rsid w:val="00D35489"/>
    <w:rsid w:val="00D35754"/>
    <w:rsid w:val="00D37718"/>
    <w:rsid w:val="00D402B7"/>
    <w:rsid w:val="00D40440"/>
    <w:rsid w:val="00D40B13"/>
    <w:rsid w:val="00D41613"/>
    <w:rsid w:val="00D41ECA"/>
    <w:rsid w:val="00D42C3F"/>
    <w:rsid w:val="00D43443"/>
    <w:rsid w:val="00D43A57"/>
    <w:rsid w:val="00D44F82"/>
    <w:rsid w:val="00D450E1"/>
    <w:rsid w:val="00D45218"/>
    <w:rsid w:val="00D461C8"/>
    <w:rsid w:val="00D46D9A"/>
    <w:rsid w:val="00D47288"/>
    <w:rsid w:val="00D4766C"/>
    <w:rsid w:val="00D527B4"/>
    <w:rsid w:val="00D52B3A"/>
    <w:rsid w:val="00D52B5E"/>
    <w:rsid w:val="00D530DA"/>
    <w:rsid w:val="00D54AE9"/>
    <w:rsid w:val="00D54EEE"/>
    <w:rsid w:val="00D55074"/>
    <w:rsid w:val="00D562E4"/>
    <w:rsid w:val="00D56869"/>
    <w:rsid w:val="00D573A2"/>
    <w:rsid w:val="00D57E71"/>
    <w:rsid w:val="00D600BC"/>
    <w:rsid w:val="00D605DB"/>
    <w:rsid w:val="00D60852"/>
    <w:rsid w:val="00D60D07"/>
    <w:rsid w:val="00D61CF7"/>
    <w:rsid w:val="00D627C7"/>
    <w:rsid w:val="00D629C8"/>
    <w:rsid w:val="00D63170"/>
    <w:rsid w:val="00D64BA9"/>
    <w:rsid w:val="00D65785"/>
    <w:rsid w:val="00D65AB4"/>
    <w:rsid w:val="00D65F41"/>
    <w:rsid w:val="00D665C1"/>
    <w:rsid w:val="00D669C3"/>
    <w:rsid w:val="00D66B41"/>
    <w:rsid w:val="00D6710A"/>
    <w:rsid w:val="00D6732D"/>
    <w:rsid w:val="00D678D6"/>
    <w:rsid w:val="00D679DC"/>
    <w:rsid w:val="00D702FF"/>
    <w:rsid w:val="00D713BC"/>
    <w:rsid w:val="00D715BB"/>
    <w:rsid w:val="00D71D33"/>
    <w:rsid w:val="00D72145"/>
    <w:rsid w:val="00D72232"/>
    <w:rsid w:val="00D7333F"/>
    <w:rsid w:val="00D73C53"/>
    <w:rsid w:val="00D746CC"/>
    <w:rsid w:val="00D751FA"/>
    <w:rsid w:val="00D75415"/>
    <w:rsid w:val="00D756A0"/>
    <w:rsid w:val="00D758F9"/>
    <w:rsid w:val="00D76A55"/>
    <w:rsid w:val="00D77074"/>
    <w:rsid w:val="00D82212"/>
    <w:rsid w:val="00D8252E"/>
    <w:rsid w:val="00D8263F"/>
    <w:rsid w:val="00D840A4"/>
    <w:rsid w:val="00D84945"/>
    <w:rsid w:val="00D8699A"/>
    <w:rsid w:val="00D86D44"/>
    <w:rsid w:val="00D91165"/>
    <w:rsid w:val="00D91B92"/>
    <w:rsid w:val="00D91F85"/>
    <w:rsid w:val="00D9346E"/>
    <w:rsid w:val="00D93AB0"/>
    <w:rsid w:val="00D93E43"/>
    <w:rsid w:val="00D94EF8"/>
    <w:rsid w:val="00D9610D"/>
    <w:rsid w:val="00D963BA"/>
    <w:rsid w:val="00D97388"/>
    <w:rsid w:val="00D974C6"/>
    <w:rsid w:val="00D97B9E"/>
    <w:rsid w:val="00DA0920"/>
    <w:rsid w:val="00DA0BFC"/>
    <w:rsid w:val="00DA0D84"/>
    <w:rsid w:val="00DA0DC2"/>
    <w:rsid w:val="00DA1EAC"/>
    <w:rsid w:val="00DA1F9D"/>
    <w:rsid w:val="00DA2AFD"/>
    <w:rsid w:val="00DA31A8"/>
    <w:rsid w:val="00DA32B6"/>
    <w:rsid w:val="00DA3A11"/>
    <w:rsid w:val="00DA413D"/>
    <w:rsid w:val="00DA5450"/>
    <w:rsid w:val="00DA5514"/>
    <w:rsid w:val="00DA6D80"/>
    <w:rsid w:val="00DA6E1B"/>
    <w:rsid w:val="00DA7B8F"/>
    <w:rsid w:val="00DA7E3D"/>
    <w:rsid w:val="00DB36B9"/>
    <w:rsid w:val="00DB61FC"/>
    <w:rsid w:val="00DB62B9"/>
    <w:rsid w:val="00DB65CB"/>
    <w:rsid w:val="00DB7705"/>
    <w:rsid w:val="00DC002E"/>
    <w:rsid w:val="00DC18E1"/>
    <w:rsid w:val="00DC1986"/>
    <w:rsid w:val="00DC1A62"/>
    <w:rsid w:val="00DC1FAD"/>
    <w:rsid w:val="00DC2235"/>
    <w:rsid w:val="00DC29F5"/>
    <w:rsid w:val="00DC2F50"/>
    <w:rsid w:val="00DC3AF8"/>
    <w:rsid w:val="00DC3E67"/>
    <w:rsid w:val="00DC43F2"/>
    <w:rsid w:val="00DC485D"/>
    <w:rsid w:val="00DC5927"/>
    <w:rsid w:val="00DC5B32"/>
    <w:rsid w:val="00DC60D4"/>
    <w:rsid w:val="00DC6489"/>
    <w:rsid w:val="00DC6632"/>
    <w:rsid w:val="00DC7514"/>
    <w:rsid w:val="00DC7D4E"/>
    <w:rsid w:val="00DD0BCB"/>
    <w:rsid w:val="00DD1213"/>
    <w:rsid w:val="00DD26C3"/>
    <w:rsid w:val="00DD330D"/>
    <w:rsid w:val="00DD3769"/>
    <w:rsid w:val="00DD40B5"/>
    <w:rsid w:val="00DD4317"/>
    <w:rsid w:val="00DD469D"/>
    <w:rsid w:val="00DD622B"/>
    <w:rsid w:val="00DD6284"/>
    <w:rsid w:val="00DD6D31"/>
    <w:rsid w:val="00DD6E52"/>
    <w:rsid w:val="00DE09B7"/>
    <w:rsid w:val="00DE0A03"/>
    <w:rsid w:val="00DE0CD1"/>
    <w:rsid w:val="00DE1D40"/>
    <w:rsid w:val="00DE2F22"/>
    <w:rsid w:val="00DE3165"/>
    <w:rsid w:val="00DE3288"/>
    <w:rsid w:val="00DE4057"/>
    <w:rsid w:val="00DE56D8"/>
    <w:rsid w:val="00DE5702"/>
    <w:rsid w:val="00DE57A4"/>
    <w:rsid w:val="00DE6453"/>
    <w:rsid w:val="00DE664F"/>
    <w:rsid w:val="00DE6D81"/>
    <w:rsid w:val="00DE6EA2"/>
    <w:rsid w:val="00DE75CF"/>
    <w:rsid w:val="00DE77E8"/>
    <w:rsid w:val="00DE7A02"/>
    <w:rsid w:val="00DF0D47"/>
    <w:rsid w:val="00DF0F52"/>
    <w:rsid w:val="00DF1528"/>
    <w:rsid w:val="00DF17F1"/>
    <w:rsid w:val="00DF1ADC"/>
    <w:rsid w:val="00DF1B79"/>
    <w:rsid w:val="00DF1C17"/>
    <w:rsid w:val="00DF1F5B"/>
    <w:rsid w:val="00DF2D80"/>
    <w:rsid w:val="00DF3446"/>
    <w:rsid w:val="00DF383E"/>
    <w:rsid w:val="00DF40BF"/>
    <w:rsid w:val="00DF446F"/>
    <w:rsid w:val="00DF4C2F"/>
    <w:rsid w:val="00DF56B5"/>
    <w:rsid w:val="00DF5C24"/>
    <w:rsid w:val="00DF5F44"/>
    <w:rsid w:val="00DF6908"/>
    <w:rsid w:val="00DF71CA"/>
    <w:rsid w:val="00DF7210"/>
    <w:rsid w:val="00DF758D"/>
    <w:rsid w:val="00DF7893"/>
    <w:rsid w:val="00DF7B24"/>
    <w:rsid w:val="00DF7B78"/>
    <w:rsid w:val="00DF7F65"/>
    <w:rsid w:val="00E009FA"/>
    <w:rsid w:val="00E00C24"/>
    <w:rsid w:val="00E01BD5"/>
    <w:rsid w:val="00E02528"/>
    <w:rsid w:val="00E02A5C"/>
    <w:rsid w:val="00E02A87"/>
    <w:rsid w:val="00E0300A"/>
    <w:rsid w:val="00E035C9"/>
    <w:rsid w:val="00E03E80"/>
    <w:rsid w:val="00E0470F"/>
    <w:rsid w:val="00E048EC"/>
    <w:rsid w:val="00E04C64"/>
    <w:rsid w:val="00E04E15"/>
    <w:rsid w:val="00E04E50"/>
    <w:rsid w:val="00E054C4"/>
    <w:rsid w:val="00E05ED2"/>
    <w:rsid w:val="00E06088"/>
    <w:rsid w:val="00E06B3D"/>
    <w:rsid w:val="00E106A7"/>
    <w:rsid w:val="00E108EE"/>
    <w:rsid w:val="00E10E09"/>
    <w:rsid w:val="00E11030"/>
    <w:rsid w:val="00E11DD9"/>
    <w:rsid w:val="00E12FC9"/>
    <w:rsid w:val="00E13119"/>
    <w:rsid w:val="00E134B6"/>
    <w:rsid w:val="00E13781"/>
    <w:rsid w:val="00E13A9B"/>
    <w:rsid w:val="00E14EC7"/>
    <w:rsid w:val="00E15268"/>
    <w:rsid w:val="00E1667E"/>
    <w:rsid w:val="00E169C8"/>
    <w:rsid w:val="00E16F35"/>
    <w:rsid w:val="00E1714E"/>
    <w:rsid w:val="00E1728F"/>
    <w:rsid w:val="00E179B9"/>
    <w:rsid w:val="00E20D28"/>
    <w:rsid w:val="00E210AC"/>
    <w:rsid w:val="00E2132E"/>
    <w:rsid w:val="00E21480"/>
    <w:rsid w:val="00E21647"/>
    <w:rsid w:val="00E2172D"/>
    <w:rsid w:val="00E2216D"/>
    <w:rsid w:val="00E22479"/>
    <w:rsid w:val="00E22564"/>
    <w:rsid w:val="00E23127"/>
    <w:rsid w:val="00E238A5"/>
    <w:rsid w:val="00E23C68"/>
    <w:rsid w:val="00E24859"/>
    <w:rsid w:val="00E24F42"/>
    <w:rsid w:val="00E2533E"/>
    <w:rsid w:val="00E25971"/>
    <w:rsid w:val="00E27025"/>
    <w:rsid w:val="00E27598"/>
    <w:rsid w:val="00E30469"/>
    <w:rsid w:val="00E3113D"/>
    <w:rsid w:val="00E31205"/>
    <w:rsid w:val="00E31920"/>
    <w:rsid w:val="00E31D58"/>
    <w:rsid w:val="00E3238E"/>
    <w:rsid w:val="00E325AD"/>
    <w:rsid w:val="00E327DD"/>
    <w:rsid w:val="00E32A97"/>
    <w:rsid w:val="00E32B30"/>
    <w:rsid w:val="00E33E01"/>
    <w:rsid w:val="00E3428E"/>
    <w:rsid w:val="00E35BFC"/>
    <w:rsid w:val="00E36E60"/>
    <w:rsid w:val="00E4035A"/>
    <w:rsid w:val="00E40D9C"/>
    <w:rsid w:val="00E40FFD"/>
    <w:rsid w:val="00E41634"/>
    <w:rsid w:val="00E417ED"/>
    <w:rsid w:val="00E41B36"/>
    <w:rsid w:val="00E42520"/>
    <w:rsid w:val="00E4321D"/>
    <w:rsid w:val="00E4352E"/>
    <w:rsid w:val="00E435F5"/>
    <w:rsid w:val="00E4380D"/>
    <w:rsid w:val="00E43834"/>
    <w:rsid w:val="00E43F0E"/>
    <w:rsid w:val="00E44126"/>
    <w:rsid w:val="00E446AC"/>
    <w:rsid w:val="00E468DD"/>
    <w:rsid w:val="00E47A15"/>
    <w:rsid w:val="00E47AF0"/>
    <w:rsid w:val="00E47B9E"/>
    <w:rsid w:val="00E5090F"/>
    <w:rsid w:val="00E50BAC"/>
    <w:rsid w:val="00E52138"/>
    <w:rsid w:val="00E52255"/>
    <w:rsid w:val="00E5248E"/>
    <w:rsid w:val="00E528DA"/>
    <w:rsid w:val="00E52DDE"/>
    <w:rsid w:val="00E530AE"/>
    <w:rsid w:val="00E53DBA"/>
    <w:rsid w:val="00E54AC9"/>
    <w:rsid w:val="00E54EE7"/>
    <w:rsid w:val="00E550E6"/>
    <w:rsid w:val="00E55FAB"/>
    <w:rsid w:val="00E56095"/>
    <w:rsid w:val="00E57389"/>
    <w:rsid w:val="00E613A4"/>
    <w:rsid w:val="00E61CD1"/>
    <w:rsid w:val="00E62874"/>
    <w:rsid w:val="00E6353E"/>
    <w:rsid w:val="00E658A8"/>
    <w:rsid w:val="00E6664A"/>
    <w:rsid w:val="00E66FBF"/>
    <w:rsid w:val="00E67295"/>
    <w:rsid w:val="00E67A03"/>
    <w:rsid w:val="00E67B5D"/>
    <w:rsid w:val="00E70A78"/>
    <w:rsid w:val="00E71032"/>
    <w:rsid w:val="00E710C5"/>
    <w:rsid w:val="00E71301"/>
    <w:rsid w:val="00E71584"/>
    <w:rsid w:val="00E72B5C"/>
    <w:rsid w:val="00E72C42"/>
    <w:rsid w:val="00E7335D"/>
    <w:rsid w:val="00E73902"/>
    <w:rsid w:val="00E74988"/>
    <w:rsid w:val="00E752CF"/>
    <w:rsid w:val="00E75D8B"/>
    <w:rsid w:val="00E76F48"/>
    <w:rsid w:val="00E7766C"/>
    <w:rsid w:val="00E77E04"/>
    <w:rsid w:val="00E77EBD"/>
    <w:rsid w:val="00E8049C"/>
    <w:rsid w:val="00E8074A"/>
    <w:rsid w:val="00E80F58"/>
    <w:rsid w:val="00E81348"/>
    <w:rsid w:val="00E81883"/>
    <w:rsid w:val="00E81F4D"/>
    <w:rsid w:val="00E82F8C"/>
    <w:rsid w:val="00E83186"/>
    <w:rsid w:val="00E83E9C"/>
    <w:rsid w:val="00E84080"/>
    <w:rsid w:val="00E8438B"/>
    <w:rsid w:val="00E85377"/>
    <w:rsid w:val="00E8579B"/>
    <w:rsid w:val="00E85C85"/>
    <w:rsid w:val="00E85E9D"/>
    <w:rsid w:val="00E85EE0"/>
    <w:rsid w:val="00E86204"/>
    <w:rsid w:val="00E873E0"/>
    <w:rsid w:val="00E90C35"/>
    <w:rsid w:val="00E91661"/>
    <w:rsid w:val="00E91DE1"/>
    <w:rsid w:val="00E92842"/>
    <w:rsid w:val="00E92B4C"/>
    <w:rsid w:val="00E93123"/>
    <w:rsid w:val="00E932D2"/>
    <w:rsid w:val="00E93FF1"/>
    <w:rsid w:val="00E94961"/>
    <w:rsid w:val="00E949C0"/>
    <w:rsid w:val="00E95E2D"/>
    <w:rsid w:val="00E963A4"/>
    <w:rsid w:val="00E97BA6"/>
    <w:rsid w:val="00EA02BF"/>
    <w:rsid w:val="00EA0D72"/>
    <w:rsid w:val="00EA0D7D"/>
    <w:rsid w:val="00EA275C"/>
    <w:rsid w:val="00EA36E8"/>
    <w:rsid w:val="00EA3709"/>
    <w:rsid w:val="00EA4714"/>
    <w:rsid w:val="00EA63CD"/>
    <w:rsid w:val="00EA6F12"/>
    <w:rsid w:val="00EB01C8"/>
    <w:rsid w:val="00EB05A2"/>
    <w:rsid w:val="00EB252B"/>
    <w:rsid w:val="00EB5404"/>
    <w:rsid w:val="00EB544E"/>
    <w:rsid w:val="00EB5CCF"/>
    <w:rsid w:val="00EB7473"/>
    <w:rsid w:val="00EC010B"/>
    <w:rsid w:val="00EC06D8"/>
    <w:rsid w:val="00EC1844"/>
    <w:rsid w:val="00EC1A78"/>
    <w:rsid w:val="00EC1C3B"/>
    <w:rsid w:val="00EC21FE"/>
    <w:rsid w:val="00EC3189"/>
    <w:rsid w:val="00EC343C"/>
    <w:rsid w:val="00EC3E30"/>
    <w:rsid w:val="00EC450F"/>
    <w:rsid w:val="00EC4587"/>
    <w:rsid w:val="00EC4754"/>
    <w:rsid w:val="00EC47EC"/>
    <w:rsid w:val="00EC489E"/>
    <w:rsid w:val="00EC52C0"/>
    <w:rsid w:val="00EC5842"/>
    <w:rsid w:val="00EC6114"/>
    <w:rsid w:val="00EC6B76"/>
    <w:rsid w:val="00EC6EE3"/>
    <w:rsid w:val="00ED14EB"/>
    <w:rsid w:val="00ED1D52"/>
    <w:rsid w:val="00ED2F3B"/>
    <w:rsid w:val="00ED41F7"/>
    <w:rsid w:val="00ED5173"/>
    <w:rsid w:val="00ED519B"/>
    <w:rsid w:val="00ED6C46"/>
    <w:rsid w:val="00ED6E33"/>
    <w:rsid w:val="00ED7B8A"/>
    <w:rsid w:val="00ED7CBA"/>
    <w:rsid w:val="00ED7EE5"/>
    <w:rsid w:val="00EE0A8E"/>
    <w:rsid w:val="00EE0B50"/>
    <w:rsid w:val="00EE0DF6"/>
    <w:rsid w:val="00EE0FDE"/>
    <w:rsid w:val="00EE1849"/>
    <w:rsid w:val="00EE4826"/>
    <w:rsid w:val="00EE48D6"/>
    <w:rsid w:val="00EE5580"/>
    <w:rsid w:val="00EE7718"/>
    <w:rsid w:val="00EE7FFE"/>
    <w:rsid w:val="00EF07F6"/>
    <w:rsid w:val="00EF1592"/>
    <w:rsid w:val="00EF1A2C"/>
    <w:rsid w:val="00EF1ECE"/>
    <w:rsid w:val="00EF22A9"/>
    <w:rsid w:val="00EF2701"/>
    <w:rsid w:val="00EF2AA4"/>
    <w:rsid w:val="00EF32D7"/>
    <w:rsid w:val="00EF3C77"/>
    <w:rsid w:val="00EF407E"/>
    <w:rsid w:val="00EF46CB"/>
    <w:rsid w:val="00EF55A8"/>
    <w:rsid w:val="00EF6D47"/>
    <w:rsid w:val="00EF6DB7"/>
    <w:rsid w:val="00EF6F3C"/>
    <w:rsid w:val="00EF7D2F"/>
    <w:rsid w:val="00F0075F"/>
    <w:rsid w:val="00F00B04"/>
    <w:rsid w:val="00F02710"/>
    <w:rsid w:val="00F03435"/>
    <w:rsid w:val="00F03DA9"/>
    <w:rsid w:val="00F04681"/>
    <w:rsid w:val="00F04E43"/>
    <w:rsid w:val="00F05225"/>
    <w:rsid w:val="00F0539E"/>
    <w:rsid w:val="00F05938"/>
    <w:rsid w:val="00F05B9A"/>
    <w:rsid w:val="00F06934"/>
    <w:rsid w:val="00F06DCB"/>
    <w:rsid w:val="00F06FFE"/>
    <w:rsid w:val="00F076A6"/>
    <w:rsid w:val="00F11F53"/>
    <w:rsid w:val="00F12AC6"/>
    <w:rsid w:val="00F135BC"/>
    <w:rsid w:val="00F14B97"/>
    <w:rsid w:val="00F1522E"/>
    <w:rsid w:val="00F16A72"/>
    <w:rsid w:val="00F16D12"/>
    <w:rsid w:val="00F2008B"/>
    <w:rsid w:val="00F20202"/>
    <w:rsid w:val="00F208AE"/>
    <w:rsid w:val="00F222DB"/>
    <w:rsid w:val="00F2237C"/>
    <w:rsid w:val="00F22900"/>
    <w:rsid w:val="00F231D4"/>
    <w:rsid w:val="00F23503"/>
    <w:rsid w:val="00F23589"/>
    <w:rsid w:val="00F2449C"/>
    <w:rsid w:val="00F25A97"/>
    <w:rsid w:val="00F25FB6"/>
    <w:rsid w:val="00F267A3"/>
    <w:rsid w:val="00F26FAE"/>
    <w:rsid w:val="00F317DA"/>
    <w:rsid w:val="00F318CC"/>
    <w:rsid w:val="00F3294A"/>
    <w:rsid w:val="00F332C9"/>
    <w:rsid w:val="00F33A12"/>
    <w:rsid w:val="00F35020"/>
    <w:rsid w:val="00F3513B"/>
    <w:rsid w:val="00F35706"/>
    <w:rsid w:val="00F35AC6"/>
    <w:rsid w:val="00F35FCE"/>
    <w:rsid w:val="00F368B2"/>
    <w:rsid w:val="00F36B4F"/>
    <w:rsid w:val="00F36D21"/>
    <w:rsid w:val="00F37012"/>
    <w:rsid w:val="00F3713E"/>
    <w:rsid w:val="00F3717C"/>
    <w:rsid w:val="00F3723C"/>
    <w:rsid w:val="00F374E4"/>
    <w:rsid w:val="00F4010B"/>
    <w:rsid w:val="00F401E9"/>
    <w:rsid w:val="00F407FC"/>
    <w:rsid w:val="00F40F52"/>
    <w:rsid w:val="00F4173F"/>
    <w:rsid w:val="00F420EC"/>
    <w:rsid w:val="00F428A3"/>
    <w:rsid w:val="00F42C4C"/>
    <w:rsid w:val="00F42D65"/>
    <w:rsid w:val="00F435EB"/>
    <w:rsid w:val="00F43769"/>
    <w:rsid w:val="00F43A52"/>
    <w:rsid w:val="00F43BEB"/>
    <w:rsid w:val="00F43D3D"/>
    <w:rsid w:val="00F4432F"/>
    <w:rsid w:val="00F45605"/>
    <w:rsid w:val="00F46994"/>
    <w:rsid w:val="00F470D0"/>
    <w:rsid w:val="00F474AC"/>
    <w:rsid w:val="00F4787C"/>
    <w:rsid w:val="00F47B82"/>
    <w:rsid w:val="00F50187"/>
    <w:rsid w:val="00F50A45"/>
    <w:rsid w:val="00F519A1"/>
    <w:rsid w:val="00F52409"/>
    <w:rsid w:val="00F5280B"/>
    <w:rsid w:val="00F52E85"/>
    <w:rsid w:val="00F54041"/>
    <w:rsid w:val="00F5404C"/>
    <w:rsid w:val="00F55097"/>
    <w:rsid w:val="00F555D2"/>
    <w:rsid w:val="00F5593D"/>
    <w:rsid w:val="00F55E62"/>
    <w:rsid w:val="00F56B84"/>
    <w:rsid w:val="00F60171"/>
    <w:rsid w:val="00F60C7F"/>
    <w:rsid w:val="00F61056"/>
    <w:rsid w:val="00F611FC"/>
    <w:rsid w:val="00F6133F"/>
    <w:rsid w:val="00F6143A"/>
    <w:rsid w:val="00F61649"/>
    <w:rsid w:val="00F62F0C"/>
    <w:rsid w:val="00F630FA"/>
    <w:rsid w:val="00F645E7"/>
    <w:rsid w:val="00F64629"/>
    <w:rsid w:val="00F646F8"/>
    <w:rsid w:val="00F6504B"/>
    <w:rsid w:val="00F66ABF"/>
    <w:rsid w:val="00F6785C"/>
    <w:rsid w:val="00F67894"/>
    <w:rsid w:val="00F67F52"/>
    <w:rsid w:val="00F70831"/>
    <w:rsid w:val="00F71D1F"/>
    <w:rsid w:val="00F72417"/>
    <w:rsid w:val="00F72903"/>
    <w:rsid w:val="00F72DC2"/>
    <w:rsid w:val="00F73059"/>
    <w:rsid w:val="00F74EF0"/>
    <w:rsid w:val="00F7502D"/>
    <w:rsid w:val="00F754B2"/>
    <w:rsid w:val="00F754F6"/>
    <w:rsid w:val="00F75D8F"/>
    <w:rsid w:val="00F76C8F"/>
    <w:rsid w:val="00F76E1E"/>
    <w:rsid w:val="00F7788F"/>
    <w:rsid w:val="00F77979"/>
    <w:rsid w:val="00F803D1"/>
    <w:rsid w:val="00F80758"/>
    <w:rsid w:val="00F8128A"/>
    <w:rsid w:val="00F81570"/>
    <w:rsid w:val="00F81761"/>
    <w:rsid w:val="00F825F7"/>
    <w:rsid w:val="00F828A4"/>
    <w:rsid w:val="00F833EE"/>
    <w:rsid w:val="00F84034"/>
    <w:rsid w:val="00F84051"/>
    <w:rsid w:val="00F85159"/>
    <w:rsid w:val="00F85B4F"/>
    <w:rsid w:val="00F869D7"/>
    <w:rsid w:val="00F86DA3"/>
    <w:rsid w:val="00F871F2"/>
    <w:rsid w:val="00F90A5B"/>
    <w:rsid w:val="00F91F87"/>
    <w:rsid w:val="00F9225F"/>
    <w:rsid w:val="00F92D1C"/>
    <w:rsid w:val="00F93935"/>
    <w:rsid w:val="00F959F7"/>
    <w:rsid w:val="00F9642B"/>
    <w:rsid w:val="00F9678B"/>
    <w:rsid w:val="00F96AE6"/>
    <w:rsid w:val="00F97DB1"/>
    <w:rsid w:val="00FA046F"/>
    <w:rsid w:val="00FA06A0"/>
    <w:rsid w:val="00FA074E"/>
    <w:rsid w:val="00FA1112"/>
    <w:rsid w:val="00FA15E3"/>
    <w:rsid w:val="00FA1792"/>
    <w:rsid w:val="00FA1BCD"/>
    <w:rsid w:val="00FA1BED"/>
    <w:rsid w:val="00FA2FAD"/>
    <w:rsid w:val="00FA496D"/>
    <w:rsid w:val="00FA49CA"/>
    <w:rsid w:val="00FA547E"/>
    <w:rsid w:val="00FA5DD6"/>
    <w:rsid w:val="00FA60E1"/>
    <w:rsid w:val="00FA6248"/>
    <w:rsid w:val="00FA62FC"/>
    <w:rsid w:val="00FA68AF"/>
    <w:rsid w:val="00FA7443"/>
    <w:rsid w:val="00FA7868"/>
    <w:rsid w:val="00FA7EE4"/>
    <w:rsid w:val="00FA7F4A"/>
    <w:rsid w:val="00FB0072"/>
    <w:rsid w:val="00FB09A4"/>
    <w:rsid w:val="00FB10E4"/>
    <w:rsid w:val="00FB1194"/>
    <w:rsid w:val="00FB1AAE"/>
    <w:rsid w:val="00FB221F"/>
    <w:rsid w:val="00FB26B2"/>
    <w:rsid w:val="00FB2736"/>
    <w:rsid w:val="00FB288D"/>
    <w:rsid w:val="00FB3736"/>
    <w:rsid w:val="00FB3E77"/>
    <w:rsid w:val="00FB458B"/>
    <w:rsid w:val="00FB6165"/>
    <w:rsid w:val="00FB7450"/>
    <w:rsid w:val="00FC11D0"/>
    <w:rsid w:val="00FC12F3"/>
    <w:rsid w:val="00FC1584"/>
    <w:rsid w:val="00FC1987"/>
    <w:rsid w:val="00FC1C09"/>
    <w:rsid w:val="00FC1F20"/>
    <w:rsid w:val="00FC34A8"/>
    <w:rsid w:val="00FC380F"/>
    <w:rsid w:val="00FC3BEE"/>
    <w:rsid w:val="00FC4214"/>
    <w:rsid w:val="00FC4D28"/>
    <w:rsid w:val="00FC5A54"/>
    <w:rsid w:val="00FC6594"/>
    <w:rsid w:val="00FC757F"/>
    <w:rsid w:val="00FC774D"/>
    <w:rsid w:val="00FC7843"/>
    <w:rsid w:val="00FC7DA3"/>
    <w:rsid w:val="00FD0176"/>
    <w:rsid w:val="00FD0A42"/>
    <w:rsid w:val="00FD0D6C"/>
    <w:rsid w:val="00FD1604"/>
    <w:rsid w:val="00FD1CDC"/>
    <w:rsid w:val="00FD2CE7"/>
    <w:rsid w:val="00FD4883"/>
    <w:rsid w:val="00FD48FC"/>
    <w:rsid w:val="00FD4C84"/>
    <w:rsid w:val="00FE00E8"/>
    <w:rsid w:val="00FE1417"/>
    <w:rsid w:val="00FE1FAB"/>
    <w:rsid w:val="00FE201D"/>
    <w:rsid w:val="00FE288F"/>
    <w:rsid w:val="00FE28BD"/>
    <w:rsid w:val="00FE2AA4"/>
    <w:rsid w:val="00FE3E3F"/>
    <w:rsid w:val="00FE4582"/>
    <w:rsid w:val="00FE47F9"/>
    <w:rsid w:val="00FE540D"/>
    <w:rsid w:val="00FE5719"/>
    <w:rsid w:val="00FE61FB"/>
    <w:rsid w:val="00FE6865"/>
    <w:rsid w:val="00FE68BC"/>
    <w:rsid w:val="00FE7051"/>
    <w:rsid w:val="00FE7F99"/>
    <w:rsid w:val="00FF02C4"/>
    <w:rsid w:val="00FF0DBF"/>
    <w:rsid w:val="00FF159A"/>
    <w:rsid w:val="00FF183D"/>
    <w:rsid w:val="00FF1A73"/>
    <w:rsid w:val="00FF275A"/>
    <w:rsid w:val="00FF41AD"/>
    <w:rsid w:val="00FF474E"/>
    <w:rsid w:val="00FF503D"/>
    <w:rsid w:val="00FF593A"/>
    <w:rsid w:val="00FF5C20"/>
    <w:rsid w:val="00FF733B"/>
    <w:rsid w:val="011E93D4"/>
    <w:rsid w:val="0124533C"/>
    <w:rsid w:val="0169F4F0"/>
    <w:rsid w:val="016E8510"/>
    <w:rsid w:val="019D3636"/>
    <w:rsid w:val="01D172E4"/>
    <w:rsid w:val="0274FE53"/>
    <w:rsid w:val="027B12AD"/>
    <w:rsid w:val="02DDEEF9"/>
    <w:rsid w:val="03653078"/>
    <w:rsid w:val="039D010A"/>
    <w:rsid w:val="03CEC096"/>
    <w:rsid w:val="04E1C0E9"/>
    <w:rsid w:val="04E26AF2"/>
    <w:rsid w:val="04F35A92"/>
    <w:rsid w:val="051F52A6"/>
    <w:rsid w:val="0583336F"/>
    <w:rsid w:val="05876808"/>
    <w:rsid w:val="06438C75"/>
    <w:rsid w:val="0669F3D7"/>
    <w:rsid w:val="06B8B544"/>
    <w:rsid w:val="06CC85F5"/>
    <w:rsid w:val="07502235"/>
    <w:rsid w:val="07649EAE"/>
    <w:rsid w:val="0784D54B"/>
    <w:rsid w:val="08278FCA"/>
    <w:rsid w:val="085BDAB8"/>
    <w:rsid w:val="08C0AD0B"/>
    <w:rsid w:val="08D20EAB"/>
    <w:rsid w:val="08F75D8B"/>
    <w:rsid w:val="08FB25AE"/>
    <w:rsid w:val="0904FD83"/>
    <w:rsid w:val="091C768F"/>
    <w:rsid w:val="09742502"/>
    <w:rsid w:val="0993F7B0"/>
    <w:rsid w:val="09C26C2F"/>
    <w:rsid w:val="0A1B26C1"/>
    <w:rsid w:val="0A378D7E"/>
    <w:rsid w:val="0ACDB3D9"/>
    <w:rsid w:val="0AF1D278"/>
    <w:rsid w:val="0B97F240"/>
    <w:rsid w:val="0BBD4CFA"/>
    <w:rsid w:val="0BD47EDB"/>
    <w:rsid w:val="0BF093EC"/>
    <w:rsid w:val="0BFC405E"/>
    <w:rsid w:val="0C473EA6"/>
    <w:rsid w:val="0C6D4292"/>
    <w:rsid w:val="0C7996F9"/>
    <w:rsid w:val="0CCA8B6D"/>
    <w:rsid w:val="0CCF430E"/>
    <w:rsid w:val="0CFE52D2"/>
    <w:rsid w:val="0D8BA8F5"/>
    <w:rsid w:val="0E09B6C0"/>
    <w:rsid w:val="0E0DACDA"/>
    <w:rsid w:val="0E238EC0"/>
    <w:rsid w:val="0E31F89B"/>
    <w:rsid w:val="0E731FE3"/>
    <w:rsid w:val="0E7A175A"/>
    <w:rsid w:val="0E93AED4"/>
    <w:rsid w:val="0EBF26B6"/>
    <w:rsid w:val="0EFFAF24"/>
    <w:rsid w:val="0F00C4D2"/>
    <w:rsid w:val="0F1CB2AC"/>
    <w:rsid w:val="0F7FD57B"/>
    <w:rsid w:val="0FB1871D"/>
    <w:rsid w:val="0FD5704F"/>
    <w:rsid w:val="1008CF64"/>
    <w:rsid w:val="103B9FBE"/>
    <w:rsid w:val="104F7298"/>
    <w:rsid w:val="10AB588D"/>
    <w:rsid w:val="10D0D334"/>
    <w:rsid w:val="10DB03AB"/>
    <w:rsid w:val="110956EA"/>
    <w:rsid w:val="114CA81B"/>
    <w:rsid w:val="11506E85"/>
    <w:rsid w:val="1197E2CC"/>
    <w:rsid w:val="11E4C384"/>
    <w:rsid w:val="123E59D4"/>
    <w:rsid w:val="1251443E"/>
    <w:rsid w:val="125E5631"/>
    <w:rsid w:val="12CC8F4D"/>
    <w:rsid w:val="133942BE"/>
    <w:rsid w:val="13DE42F8"/>
    <w:rsid w:val="13EBF403"/>
    <w:rsid w:val="144E8853"/>
    <w:rsid w:val="14653675"/>
    <w:rsid w:val="148031AB"/>
    <w:rsid w:val="148D8714"/>
    <w:rsid w:val="15668F6A"/>
    <w:rsid w:val="15C1B632"/>
    <w:rsid w:val="1654CBA8"/>
    <w:rsid w:val="168CB191"/>
    <w:rsid w:val="175A7FE9"/>
    <w:rsid w:val="17D333A0"/>
    <w:rsid w:val="17DF1049"/>
    <w:rsid w:val="18366751"/>
    <w:rsid w:val="184C8C5C"/>
    <w:rsid w:val="186863BE"/>
    <w:rsid w:val="18A3227C"/>
    <w:rsid w:val="18E69F83"/>
    <w:rsid w:val="18E6C4A4"/>
    <w:rsid w:val="19825408"/>
    <w:rsid w:val="19B3AD57"/>
    <w:rsid w:val="19FE9511"/>
    <w:rsid w:val="1A0531C6"/>
    <w:rsid w:val="1A248DA0"/>
    <w:rsid w:val="1A2CBD27"/>
    <w:rsid w:val="1A933F63"/>
    <w:rsid w:val="1ABDC9D7"/>
    <w:rsid w:val="1AD2D15F"/>
    <w:rsid w:val="1BB0F7F8"/>
    <w:rsid w:val="1BCF2EF7"/>
    <w:rsid w:val="1C17F337"/>
    <w:rsid w:val="1C531FE5"/>
    <w:rsid w:val="1C54B929"/>
    <w:rsid w:val="1C9D930C"/>
    <w:rsid w:val="1CD2C347"/>
    <w:rsid w:val="1CEE2556"/>
    <w:rsid w:val="1CFA7FDF"/>
    <w:rsid w:val="1D2D0C32"/>
    <w:rsid w:val="1D576AE0"/>
    <w:rsid w:val="1D73BBCE"/>
    <w:rsid w:val="1D9332C2"/>
    <w:rsid w:val="1EA84517"/>
    <w:rsid w:val="1EAA8AE2"/>
    <w:rsid w:val="1EEBC549"/>
    <w:rsid w:val="1EFB5C3C"/>
    <w:rsid w:val="1F0FC86B"/>
    <w:rsid w:val="1F300CA5"/>
    <w:rsid w:val="1FEA1D11"/>
    <w:rsid w:val="1FEF8F04"/>
    <w:rsid w:val="203B0F24"/>
    <w:rsid w:val="205AAA5C"/>
    <w:rsid w:val="2078DC29"/>
    <w:rsid w:val="20E2405F"/>
    <w:rsid w:val="2106BFB4"/>
    <w:rsid w:val="211C5CC0"/>
    <w:rsid w:val="21AF4893"/>
    <w:rsid w:val="21B16780"/>
    <w:rsid w:val="21E2084A"/>
    <w:rsid w:val="221BEA15"/>
    <w:rsid w:val="224D4BB7"/>
    <w:rsid w:val="22727FF3"/>
    <w:rsid w:val="22E0E98C"/>
    <w:rsid w:val="22E27E4C"/>
    <w:rsid w:val="23617048"/>
    <w:rsid w:val="238EBDA0"/>
    <w:rsid w:val="23AA4D76"/>
    <w:rsid w:val="23AC860D"/>
    <w:rsid w:val="23CFCE1E"/>
    <w:rsid w:val="23D2CAA0"/>
    <w:rsid w:val="23D525B4"/>
    <w:rsid w:val="241E24A5"/>
    <w:rsid w:val="24276E6F"/>
    <w:rsid w:val="24825E75"/>
    <w:rsid w:val="253DB7E8"/>
    <w:rsid w:val="25B24E54"/>
    <w:rsid w:val="2610A5BB"/>
    <w:rsid w:val="2671D1F0"/>
    <w:rsid w:val="269B7E02"/>
    <w:rsid w:val="26DAC960"/>
    <w:rsid w:val="270EDA0C"/>
    <w:rsid w:val="2799FECE"/>
    <w:rsid w:val="27D958D9"/>
    <w:rsid w:val="280F76B9"/>
    <w:rsid w:val="2876E594"/>
    <w:rsid w:val="28B2355B"/>
    <w:rsid w:val="28BBCBA7"/>
    <w:rsid w:val="28C74BFF"/>
    <w:rsid w:val="290047E3"/>
    <w:rsid w:val="290C96EB"/>
    <w:rsid w:val="29240CEE"/>
    <w:rsid w:val="29293A50"/>
    <w:rsid w:val="294AE11E"/>
    <w:rsid w:val="29B9B054"/>
    <w:rsid w:val="29DCC59F"/>
    <w:rsid w:val="2A4A498E"/>
    <w:rsid w:val="2AAC04E8"/>
    <w:rsid w:val="2AD747AE"/>
    <w:rsid w:val="2B0CD3F2"/>
    <w:rsid w:val="2B7FD91D"/>
    <w:rsid w:val="2B8A04AA"/>
    <w:rsid w:val="2B9ED91E"/>
    <w:rsid w:val="2B9F7FFB"/>
    <w:rsid w:val="2BBE93F6"/>
    <w:rsid w:val="2BC17BE4"/>
    <w:rsid w:val="2BD3DE80"/>
    <w:rsid w:val="2C4D4C8C"/>
    <w:rsid w:val="2C8B67EF"/>
    <w:rsid w:val="2CD6988A"/>
    <w:rsid w:val="2D894441"/>
    <w:rsid w:val="2DA7939D"/>
    <w:rsid w:val="2DC7B75C"/>
    <w:rsid w:val="2DD8E2A9"/>
    <w:rsid w:val="2DDCAC8C"/>
    <w:rsid w:val="2DE96793"/>
    <w:rsid w:val="2E0362ED"/>
    <w:rsid w:val="2E28E1DD"/>
    <w:rsid w:val="2E2C3E55"/>
    <w:rsid w:val="2ED9B0D5"/>
    <w:rsid w:val="2EEC8762"/>
    <w:rsid w:val="2F5209ED"/>
    <w:rsid w:val="2F59BAE9"/>
    <w:rsid w:val="2F6B3CC1"/>
    <w:rsid w:val="2F892995"/>
    <w:rsid w:val="2FA3E90A"/>
    <w:rsid w:val="2FBC677F"/>
    <w:rsid w:val="2FBF2AAF"/>
    <w:rsid w:val="308B1271"/>
    <w:rsid w:val="308C9AA8"/>
    <w:rsid w:val="30A4789F"/>
    <w:rsid w:val="30CEB4D5"/>
    <w:rsid w:val="30EE141A"/>
    <w:rsid w:val="310D98D0"/>
    <w:rsid w:val="312DE779"/>
    <w:rsid w:val="317F1956"/>
    <w:rsid w:val="319024E1"/>
    <w:rsid w:val="31BD6978"/>
    <w:rsid w:val="31FD7F32"/>
    <w:rsid w:val="32358868"/>
    <w:rsid w:val="331E8449"/>
    <w:rsid w:val="3331FE5E"/>
    <w:rsid w:val="337579C6"/>
    <w:rsid w:val="337F14FE"/>
    <w:rsid w:val="338A0CC2"/>
    <w:rsid w:val="339F8F83"/>
    <w:rsid w:val="33A21CA8"/>
    <w:rsid w:val="3402D312"/>
    <w:rsid w:val="349667B3"/>
    <w:rsid w:val="34F3A55B"/>
    <w:rsid w:val="350548BB"/>
    <w:rsid w:val="352F81E1"/>
    <w:rsid w:val="3538074A"/>
    <w:rsid w:val="355D800E"/>
    <w:rsid w:val="359421FB"/>
    <w:rsid w:val="35BA8851"/>
    <w:rsid w:val="35C02817"/>
    <w:rsid w:val="35C64620"/>
    <w:rsid w:val="35E6DE00"/>
    <w:rsid w:val="3619C8FA"/>
    <w:rsid w:val="37160B6F"/>
    <w:rsid w:val="3726C7CF"/>
    <w:rsid w:val="377677AE"/>
    <w:rsid w:val="37A1E195"/>
    <w:rsid w:val="37B48282"/>
    <w:rsid w:val="37CBD574"/>
    <w:rsid w:val="380F1E58"/>
    <w:rsid w:val="38285610"/>
    <w:rsid w:val="386688A9"/>
    <w:rsid w:val="3869290B"/>
    <w:rsid w:val="38780AFE"/>
    <w:rsid w:val="3901ECFF"/>
    <w:rsid w:val="3967A5D5"/>
    <w:rsid w:val="39F5242F"/>
    <w:rsid w:val="3A04439E"/>
    <w:rsid w:val="3A0FB343"/>
    <w:rsid w:val="3A3894BD"/>
    <w:rsid w:val="3A5C859F"/>
    <w:rsid w:val="3AE3DF46"/>
    <w:rsid w:val="3B075284"/>
    <w:rsid w:val="3B5FB429"/>
    <w:rsid w:val="3BBFDBAD"/>
    <w:rsid w:val="3C1B3742"/>
    <w:rsid w:val="3C3BA8A1"/>
    <w:rsid w:val="3C4E25D6"/>
    <w:rsid w:val="3C72F837"/>
    <w:rsid w:val="3CEF45B9"/>
    <w:rsid w:val="3CF0E944"/>
    <w:rsid w:val="3CFFE74B"/>
    <w:rsid w:val="3D804E66"/>
    <w:rsid w:val="3D8D6E5E"/>
    <w:rsid w:val="3DE5104D"/>
    <w:rsid w:val="3E508253"/>
    <w:rsid w:val="3F152B12"/>
    <w:rsid w:val="3F8766EB"/>
    <w:rsid w:val="3F8ED676"/>
    <w:rsid w:val="406529E0"/>
    <w:rsid w:val="40825287"/>
    <w:rsid w:val="410FA0A4"/>
    <w:rsid w:val="412430DF"/>
    <w:rsid w:val="418632BB"/>
    <w:rsid w:val="422C9478"/>
    <w:rsid w:val="426AEAC7"/>
    <w:rsid w:val="42C580C9"/>
    <w:rsid w:val="42C5A8D4"/>
    <w:rsid w:val="42DD81FC"/>
    <w:rsid w:val="42FFC906"/>
    <w:rsid w:val="430E3213"/>
    <w:rsid w:val="43D161BD"/>
    <w:rsid w:val="447415A6"/>
    <w:rsid w:val="4509A46D"/>
    <w:rsid w:val="45171EE4"/>
    <w:rsid w:val="45568B9E"/>
    <w:rsid w:val="45B15B40"/>
    <w:rsid w:val="45D65997"/>
    <w:rsid w:val="46010999"/>
    <w:rsid w:val="46259CA9"/>
    <w:rsid w:val="46529CE1"/>
    <w:rsid w:val="467B8C9D"/>
    <w:rsid w:val="46C96553"/>
    <w:rsid w:val="46DD1F15"/>
    <w:rsid w:val="47624425"/>
    <w:rsid w:val="47661B59"/>
    <w:rsid w:val="47F49CBB"/>
    <w:rsid w:val="485E463A"/>
    <w:rsid w:val="4868DAB2"/>
    <w:rsid w:val="48731552"/>
    <w:rsid w:val="487824C4"/>
    <w:rsid w:val="48804B15"/>
    <w:rsid w:val="48BD4CA7"/>
    <w:rsid w:val="48E5D6B2"/>
    <w:rsid w:val="48E7C819"/>
    <w:rsid w:val="4946C1D3"/>
    <w:rsid w:val="49874663"/>
    <w:rsid w:val="4988C445"/>
    <w:rsid w:val="49EA6A9B"/>
    <w:rsid w:val="4A492670"/>
    <w:rsid w:val="4A5F37AB"/>
    <w:rsid w:val="4A703E8A"/>
    <w:rsid w:val="4ABA1BE7"/>
    <w:rsid w:val="4AD5184A"/>
    <w:rsid w:val="4B2A5EF0"/>
    <w:rsid w:val="4B908FB5"/>
    <w:rsid w:val="4B934D77"/>
    <w:rsid w:val="4B956875"/>
    <w:rsid w:val="4BD00C38"/>
    <w:rsid w:val="4BEE85F2"/>
    <w:rsid w:val="4BFFAC83"/>
    <w:rsid w:val="4C0D5CF3"/>
    <w:rsid w:val="4C8BD964"/>
    <w:rsid w:val="4C9D1367"/>
    <w:rsid w:val="4D060EB2"/>
    <w:rsid w:val="4D3250F5"/>
    <w:rsid w:val="4D5FBDFD"/>
    <w:rsid w:val="4DBC44EC"/>
    <w:rsid w:val="4DD679C6"/>
    <w:rsid w:val="4E0EAAE4"/>
    <w:rsid w:val="4E3A5792"/>
    <w:rsid w:val="4E500A65"/>
    <w:rsid w:val="4F0B53C5"/>
    <w:rsid w:val="4F17B5B5"/>
    <w:rsid w:val="4F547A32"/>
    <w:rsid w:val="4F797186"/>
    <w:rsid w:val="4F7DE751"/>
    <w:rsid w:val="4FF4F8A9"/>
    <w:rsid w:val="500E9555"/>
    <w:rsid w:val="50119865"/>
    <w:rsid w:val="50B84F22"/>
    <w:rsid w:val="50D988C0"/>
    <w:rsid w:val="50E9E914"/>
    <w:rsid w:val="515904D4"/>
    <w:rsid w:val="51A108C5"/>
    <w:rsid w:val="51A75A0A"/>
    <w:rsid w:val="5205EC64"/>
    <w:rsid w:val="524FF9DC"/>
    <w:rsid w:val="5250DAC1"/>
    <w:rsid w:val="526EA7E9"/>
    <w:rsid w:val="5335B6D9"/>
    <w:rsid w:val="5336F47A"/>
    <w:rsid w:val="537C6EEC"/>
    <w:rsid w:val="53B84F80"/>
    <w:rsid w:val="542F9658"/>
    <w:rsid w:val="546A4AE2"/>
    <w:rsid w:val="54BA18BD"/>
    <w:rsid w:val="54C869CC"/>
    <w:rsid w:val="55145E91"/>
    <w:rsid w:val="5565D794"/>
    <w:rsid w:val="56B4A3B1"/>
    <w:rsid w:val="56D3FEA5"/>
    <w:rsid w:val="57756DA3"/>
    <w:rsid w:val="5781B8CB"/>
    <w:rsid w:val="579AF155"/>
    <w:rsid w:val="57AACB3F"/>
    <w:rsid w:val="57D58175"/>
    <w:rsid w:val="57FB3712"/>
    <w:rsid w:val="582AA86B"/>
    <w:rsid w:val="584704E4"/>
    <w:rsid w:val="584D404D"/>
    <w:rsid w:val="58A6AFF1"/>
    <w:rsid w:val="58B7773D"/>
    <w:rsid w:val="58D47FCD"/>
    <w:rsid w:val="58DB40B0"/>
    <w:rsid w:val="59430B81"/>
    <w:rsid w:val="595494AA"/>
    <w:rsid w:val="59565278"/>
    <w:rsid w:val="596AECB5"/>
    <w:rsid w:val="59C44E96"/>
    <w:rsid w:val="5A17CC74"/>
    <w:rsid w:val="5A18D633"/>
    <w:rsid w:val="5B92E896"/>
    <w:rsid w:val="5B950358"/>
    <w:rsid w:val="5BD94555"/>
    <w:rsid w:val="5BDA9966"/>
    <w:rsid w:val="5BF96DDB"/>
    <w:rsid w:val="5C282535"/>
    <w:rsid w:val="5C6019F5"/>
    <w:rsid w:val="5C659CC2"/>
    <w:rsid w:val="5CA2BE53"/>
    <w:rsid w:val="5CDA8D0B"/>
    <w:rsid w:val="5D04EE69"/>
    <w:rsid w:val="5D29D56C"/>
    <w:rsid w:val="5D4EAF6E"/>
    <w:rsid w:val="5DA628C1"/>
    <w:rsid w:val="5DAD6C54"/>
    <w:rsid w:val="5DB18323"/>
    <w:rsid w:val="5DC472BC"/>
    <w:rsid w:val="5DE86D58"/>
    <w:rsid w:val="5F4FF1E9"/>
    <w:rsid w:val="5F6F839A"/>
    <w:rsid w:val="5FF90195"/>
    <w:rsid w:val="6022F828"/>
    <w:rsid w:val="604586AA"/>
    <w:rsid w:val="607C7125"/>
    <w:rsid w:val="607EF633"/>
    <w:rsid w:val="607F8E99"/>
    <w:rsid w:val="608A61B6"/>
    <w:rsid w:val="60E54908"/>
    <w:rsid w:val="61023C59"/>
    <w:rsid w:val="613A94FB"/>
    <w:rsid w:val="614E1881"/>
    <w:rsid w:val="61885CC8"/>
    <w:rsid w:val="61C88069"/>
    <w:rsid w:val="61FF3668"/>
    <w:rsid w:val="621F2520"/>
    <w:rsid w:val="623F2137"/>
    <w:rsid w:val="62696F5C"/>
    <w:rsid w:val="626F074B"/>
    <w:rsid w:val="6281876A"/>
    <w:rsid w:val="62A464DB"/>
    <w:rsid w:val="62C2AB58"/>
    <w:rsid w:val="62C86AD7"/>
    <w:rsid w:val="62C95EB3"/>
    <w:rsid w:val="62F857A5"/>
    <w:rsid w:val="6302F262"/>
    <w:rsid w:val="63262871"/>
    <w:rsid w:val="634BFFC1"/>
    <w:rsid w:val="634D0138"/>
    <w:rsid w:val="63923B7B"/>
    <w:rsid w:val="63BCB0BC"/>
    <w:rsid w:val="6431030F"/>
    <w:rsid w:val="6457348B"/>
    <w:rsid w:val="647D6395"/>
    <w:rsid w:val="6497B15A"/>
    <w:rsid w:val="64D3505E"/>
    <w:rsid w:val="64ECE9AB"/>
    <w:rsid w:val="65E63E96"/>
    <w:rsid w:val="6614A259"/>
    <w:rsid w:val="664EA088"/>
    <w:rsid w:val="66695536"/>
    <w:rsid w:val="66810792"/>
    <w:rsid w:val="66D86934"/>
    <w:rsid w:val="679D3DBB"/>
    <w:rsid w:val="67D2DF11"/>
    <w:rsid w:val="67FF2050"/>
    <w:rsid w:val="6887FB64"/>
    <w:rsid w:val="6896D73A"/>
    <w:rsid w:val="68D5BA98"/>
    <w:rsid w:val="6953F655"/>
    <w:rsid w:val="69B15B81"/>
    <w:rsid w:val="69B5EDC7"/>
    <w:rsid w:val="6A4368BB"/>
    <w:rsid w:val="6A77DDF1"/>
    <w:rsid w:val="6A8C994F"/>
    <w:rsid w:val="6AB6C146"/>
    <w:rsid w:val="6ABE4D94"/>
    <w:rsid w:val="6AC6ED49"/>
    <w:rsid w:val="6AE4CDA5"/>
    <w:rsid w:val="6B6AE4EF"/>
    <w:rsid w:val="6BA8ED4E"/>
    <w:rsid w:val="6BCA5BB5"/>
    <w:rsid w:val="6C3521D6"/>
    <w:rsid w:val="6C66DF45"/>
    <w:rsid w:val="6C6C0CA7"/>
    <w:rsid w:val="6CC9CA55"/>
    <w:rsid w:val="6CECA552"/>
    <w:rsid w:val="6D9B4EAE"/>
    <w:rsid w:val="6DEB7BE1"/>
    <w:rsid w:val="6E054115"/>
    <w:rsid w:val="6E3A98AC"/>
    <w:rsid w:val="6E5DB83B"/>
    <w:rsid w:val="6E85B02A"/>
    <w:rsid w:val="6E90BD7D"/>
    <w:rsid w:val="6EA844D0"/>
    <w:rsid w:val="6EB25CEE"/>
    <w:rsid w:val="6EC91E80"/>
    <w:rsid w:val="6ED53A0E"/>
    <w:rsid w:val="6ED5774B"/>
    <w:rsid w:val="6EFA6757"/>
    <w:rsid w:val="6F1D526C"/>
    <w:rsid w:val="6F1DFF0E"/>
    <w:rsid w:val="6F4F726F"/>
    <w:rsid w:val="6F7FE4AA"/>
    <w:rsid w:val="6F857C74"/>
    <w:rsid w:val="6FABE173"/>
    <w:rsid w:val="6FE014D9"/>
    <w:rsid w:val="70203AA4"/>
    <w:rsid w:val="70412B5B"/>
    <w:rsid w:val="7073753F"/>
    <w:rsid w:val="70E30750"/>
    <w:rsid w:val="70F7FAF8"/>
    <w:rsid w:val="715777DF"/>
    <w:rsid w:val="716AEF06"/>
    <w:rsid w:val="71A04614"/>
    <w:rsid w:val="71D1C6CB"/>
    <w:rsid w:val="721C68AF"/>
    <w:rsid w:val="7257D145"/>
    <w:rsid w:val="72A44730"/>
    <w:rsid w:val="72C2E2BB"/>
    <w:rsid w:val="72E0807D"/>
    <w:rsid w:val="72EED908"/>
    <w:rsid w:val="737A0E92"/>
    <w:rsid w:val="73AC93B7"/>
    <w:rsid w:val="73F16D1E"/>
    <w:rsid w:val="7405536E"/>
    <w:rsid w:val="741075E9"/>
    <w:rsid w:val="74411FB0"/>
    <w:rsid w:val="74C41772"/>
    <w:rsid w:val="75176E1F"/>
    <w:rsid w:val="7537B42B"/>
    <w:rsid w:val="7582FBE4"/>
    <w:rsid w:val="759C70B5"/>
    <w:rsid w:val="760A522A"/>
    <w:rsid w:val="76423738"/>
    <w:rsid w:val="7645C4E8"/>
    <w:rsid w:val="765992BB"/>
    <w:rsid w:val="768DCA82"/>
    <w:rsid w:val="76A41E07"/>
    <w:rsid w:val="76BBDE23"/>
    <w:rsid w:val="76DE4B6D"/>
    <w:rsid w:val="76F4CF13"/>
    <w:rsid w:val="77126958"/>
    <w:rsid w:val="775ACB6B"/>
    <w:rsid w:val="778F4C4C"/>
    <w:rsid w:val="77AC3E23"/>
    <w:rsid w:val="77E6EAF0"/>
    <w:rsid w:val="782ACB5D"/>
    <w:rsid w:val="78388B0A"/>
    <w:rsid w:val="78418850"/>
    <w:rsid w:val="7850615A"/>
    <w:rsid w:val="7862B6FD"/>
    <w:rsid w:val="7869517A"/>
    <w:rsid w:val="78717D99"/>
    <w:rsid w:val="788EF83A"/>
    <w:rsid w:val="78AB6220"/>
    <w:rsid w:val="78BDF481"/>
    <w:rsid w:val="78C9A1BE"/>
    <w:rsid w:val="790E6120"/>
    <w:rsid w:val="7915FC53"/>
    <w:rsid w:val="79217FA6"/>
    <w:rsid w:val="793B995B"/>
    <w:rsid w:val="794385BA"/>
    <w:rsid w:val="79642551"/>
    <w:rsid w:val="79B853DA"/>
    <w:rsid w:val="79FEC3F6"/>
    <w:rsid w:val="7A26471C"/>
    <w:rsid w:val="7A2754CA"/>
    <w:rsid w:val="7A797B93"/>
    <w:rsid w:val="7A8475DE"/>
    <w:rsid w:val="7AD5645A"/>
    <w:rsid w:val="7AFBCE79"/>
    <w:rsid w:val="7B115FB0"/>
    <w:rsid w:val="7B3C30B3"/>
    <w:rsid w:val="7B97F2EA"/>
    <w:rsid w:val="7C25651D"/>
    <w:rsid w:val="7C30B571"/>
    <w:rsid w:val="7C35FF9C"/>
    <w:rsid w:val="7C67BD96"/>
    <w:rsid w:val="7D192810"/>
    <w:rsid w:val="7D526C48"/>
    <w:rsid w:val="7D562C38"/>
    <w:rsid w:val="7D7D6D7F"/>
    <w:rsid w:val="7D922853"/>
    <w:rsid w:val="7DA73B76"/>
    <w:rsid w:val="7DCA5C8D"/>
    <w:rsid w:val="7DDCE451"/>
    <w:rsid w:val="7E060356"/>
    <w:rsid w:val="7E39DF0A"/>
    <w:rsid w:val="7E3F776B"/>
    <w:rsid w:val="7E44F8F6"/>
    <w:rsid w:val="7E7D6A22"/>
    <w:rsid w:val="7E9AB989"/>
    <w:rsid w:val="7ECAA25F"/>
    <w:rsid w:val="7EFB8665"/>
    <w:rsid w:val="7F505692"/>
    <w:rsid w:val="7F6F668B"/>
    <w:rsid w:val="7FF502BD"/>
    <w:rsid w:val="7FFC2F9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40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C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7C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7C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9F4"/>
  </w:style>
  <w:style w:type="paragraph" w:styleId="Footer">
    <w:name w:val="footer"/>
    <w:basedOn w:val="Normal"/>
    <w:link w:val="FooterChar"/>
    <w:uiPriority w:val="99"/>
    <w:unhideWhenUsed/>
    <w:rsid w:val="00CF1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9F4"/>
  </w:style>
  <w:style w:type="paragraph" w:customStyle="1" w:styleId="paragraph">
    <w:name w:val="paragraph"/>
    <w:basedOn w:val="Normal"/>
    <w:rsid w:val="0083017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30179"/>
  </w:style>
  <w:style w:type="character" w:customStyle="1" w:styleId="eop">
    <w:name w:val="eop"/>
    <w:basedOn w:val="DefaultParagraphFont"/>
    <w:rsid w:val="00830179"/>
  </w:style>
  <w:style w:type="paragraph" w:styleId="BalloonText">
    <w:name w:val="Balloon Text"/>
    <w:basedOn w:val="Normal"/>
    <w:link w:val="BalloonTextChar"/>
    <w:uiPriority w:val="99"/>
    <w:semiHidden/>
    <w:unhideWhenUsed/>
    <w:rsid w:val="0099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2E"/>
    <w:rPr>
      <w:rFonts w:ascii="Segoe UI" w:hAnsi="Segoe UI" w:cs="Segoe UI"/>
      <w:sz w:val="18"/>
      <w:szCs w:val="18"/>
    </w:rPr>
  </w:style>
  <w:style w:type="character" w:customStyle="1" w:styleId="Heading2Char">
    <w:name w:val="Heading 2 Char"/>
    <w:basedOn w:val="DefaultParagraphFont"/>
    <w:link w:val="Heading2"/>
    <w:uiPriority w:val="9"/>
    <w:rsid w:val="00587C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7C2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00C2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00C24"/>
    <w:pPr>
      <w:outlineLvl w:val="9"/>
    </w:pPr>
    <w:rPr>
      <w:lang w:val="en-US"/>
    </w:rPr>
  </w:style>
  <w:style w:type="paragraph" w:styleId="TOC2">
    <w:name w:val="toc 2"/>
    <w:basedOn w:val="Normal"/>
    <w:next w:val="Normal"/>
    <w:autoRedefine/>
    <w:uiPriority w:val="39"/>
    <w:unhideWhenUsed/>
    <w:rsid w:val="00903EA3"/>
    <w:pPr>
      <w:tabs>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E00C24"/>
    <w:pPr>
      <w:spacing w:after="100"/>
    </w:pPr>
    <w:rPr>
      <w:rFonts w:eastAsiaTheme="minorEastAsia" w:cs="Times New Roman"/>
      <w:lang w:val="en-US"/>
    </w:rPr>
  </w:style>
  <w:style w:type="paragraph" w:styleId="TOC3">
    <w:name w:val="toc 3"/>
    <w:basedOn w:val="Normal"/>
    <w:next w:val="Normal"/>
    <w:autoRedefine/>
    <w:uiPriority w:val="39"/>
    <w:unhideWhenUsed/>
    <w:rsid w:val="00E00C24"/>
    <w:pPr>
      <w:spacing w:after="100"/>
      <w:ind w:left="440"/>
    </w:pPr>
    <w:rPr>
      <w:rFonts w:eastAsiaTheme="minorEastAsia" w:cs="Times New Roman"/>
      <w:lang w:val="en-US"/>
    </w:rPr>
  </w:style>
  <w:style w:type="character" w:styleId="Hyperlink">
    <w:name w:val="Hyperlink"/>
    <w:basedOn w:val="DefaultParagraphFont"/>
    <w:uiPriority w:val="99"/>
    <w:unhideWhenUsed/>
    <w:rsid w:val="00E00C24"/>
    <w:rPr>
      <w:color w:val="0563C1" w:themeColor="hyperlink"/>
      <w:u w:val="single"/>
    </w:rPr>
  </w:style>
  <w:style w:type="paragraph" w:styleId="Title">
    <w:name w:val="Title"/>
    <w:basedOn w:val="Normal"/>
    <w:next w:val="Normal"/>
    <w:link w:val="TitleChar"/>
    <w:uiPriority w:val="10"/>
    <w:qFormat/>
    <w:rsid w:val="001973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3B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7F4"/>
    <w:pPr>
      <w:ind w:left="720"/>
      <w:contextualSpacing/>
    </w:pPr>
  </w:style>
  <w:style w:type="paragraph" w:styleId="FootnoteText">
    <w:name w:val="footnote text"/>
    <w:basedOn w:val="Normal"/>
    <w:link w:val="FootnoteTextChar"/>
    <w:uiPriority w:val="99"/>
    <w:semiHidden/>
    <w:unhideWhenUsed/>
    <w:rsid w:val="00EE5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580"/>
    <w:rPr>
      <w:sz w:val="20"/>
      <w:szCs w:val="20"/>
    </w:rPr>
  </w:style>
  <w:style w:type="character" w:styleId="FootnoteReference">
    <w:name w:val="footnote reference"/>
    <w:basedOn w:val="DefaultParagraphFont"/>
    <w:uiPriority w:val="99"/>
    <w:semiHidden/>
    <w:unhideWhenUsed/>
    <w:rsid w:val="00EE5580"/>
    <w:rPr>
      <w:vertAlign w:val="superscript"/>
    </w:rPr>
  </w:style>
  <w:style w:type="paragraph" w:customStyle="1" w:styleId="Default">
    <w:name w:val="Default"/>
    <w:rsid w:val="00311F2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0539E"/>
    <w:rPr>
      <w:sz w:val="16"/>
      <w:szCs w:val="16"/>
    </w:rPr>
  </w:style>
  <w:style w:type="paragraph" w:styleId="CommentText">
    <w:name w:val="annotation text"/>
    <w:basedOn w:val="Normal"/>
    <w:link w:val="CommentTextChar"/>
    <w:uiPriority w:val="99"/>
    <w:unhideWhenUsed/>
    <w:rsid w:val="00F0539E"/>
    <w:pPr>
      <w:spacing w:line="240" w:lineRule="auto"/>
    </w:pPr>
    <w:rPr>
      <w:sz w:val="20"/>
      <w:szCs w:val="20"/>
    </w:rPr>
  </w:style>
  <w:style w:type="character" w:customStyle="1" w:styleId="CommentTextChar">
    <w:name w:val="Comment Text Char"/>
    <w:basedOn w:val="DefaultParagraphFont"/>
    <w:link w:val="CommentText"/>
    <w:uiPriority w:val="99"/>
    <w:rsid w:val="00F0539E"/>
    <w:rPr>
      <w:sz w:val="20"/>
      <w:szCs w:val="20"/>
    </w:rPr>
  </w:style>
  <w:style w:type="paragraph" w:styleId="CommentSubject">
    <w:name w:val="annotation subject"/>
    <w:basedOn w:val="CommentText"/>
    <w:next w:val="CommentText"/>
    <w:link w:val="CommentSubjectChar"/>
    <w:uiPriority w:val="99"/>
    <w:semiHidden/>
    <w:unhideWhenUsed/>
    <w:rsid w:val="00F0539E"/>
    <w:rPr>
      <w:b/>
      <w:bCs/>
    </w:rPr>
  </w:style>
  <w:style w:type="character" w:customStyle="1" w:styleId="CommentSubjectChar">
    <w:name w:val="Comment Subject Char"/>
    <w:basedOn w:val="CommentTextChar"/>
    <w:link w:val="CommentSubject"/>
    <w:uiPriority w:val="99"/>
    <w:semiHidden/>
    <w:rsid w:val="00F0539E"/>
    <w:rPr>
      <w:b/>
      <w:bCs/>
      <w:sz w:val="20"/>
      <w:szCs w:val="20"/>
    </w:rPr>
  </w:style>
  <w:style w:type="paragraph" w:styleId="Caption">
    <w:name w:val="caption"/>
    <w:basedOn w:val="Normal"/>
    <w:next w:val="Normal"/>
    <w:uiPriority w:val="35"/>
    <w:unhideWhenUsed/>
    <w:qFormat/>
    <w:rsid w:val="00F0539E"/>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257671"/>
    <w:rPr>
      <w:color w:val="605E5C"/>
      <w:shd w:val="clear" w:color="auto" w:fill="E1DFDD"/>
    </w:rPr>
  </w:style>
  <w:style w:type="character" w:styleId="Mention">
    <w:name w:val="Mention"/>
    <w:basedOn w:val="DefaultParagraphFont"/>
    <w:uiPriority w:val="99"/>
    <w:unhideWhenUsed/>
    <w:rsid w:val="00257671"/>
    <w:rPr>
      <w:color w:val="2B579A"/>
      <w:shd w:val="clear" w:color="auto" w:fill="E1DFDD"/>
    </w:rPr>
  </w:style>
  <w:style w:type="table" w:styleId="PlainTable2">
    <w:name w:val="Plain Table 2"/>
    <w:basedOn w:val="TableNormal"/>
    <w:uiPriority w:val="42"/>
    <w:rsid w:val="006728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cxw5284138">
    <w:name w:val="scxw5284138"/>
    <w:basedOn w:val="DefaultParagraphFont"/>
    <w:rsid w:val="00BB2AAB"/>
  </w:style>
  <w:style w:type="character" w:customStyle="1" w:styleId="scxw128469879">
    <w:name w:val="scxw128469879"/>
    <w:basedOn w:val="DefaultParagraphFont"/>
    <w:rsid w:val="001F5E7B"/>
  </w:style>
  <w:style w:type="character" w:customStyle="1" w:styleId="scxw44439995">
    <w:name w:val="scxw44439995"/>
    <w:basedOn w:val="DefaultParagraphFont"/>
    <w:rsid w:val="007E4AEE"/>
  </w:style>
  <w:style w:type="character" w:customStyle="1" w:styleId="scxw129902610">
    <w:name w:val="scxw129902610"/>
    <w:basedOn w:val="DefaultParagraphFont"/>
    <w:rsid w:val="00B76B52"/>
  </w:style>
  <w:style w:type="paragraph" w:styleId="Revision">
    <w:name w:val="Revision"/>
    <w:hidden/>
    <w:uiPriority w:val="99"/>
    <w:semiHidden/>
    <w:rsid w:val="0013525B"/>
    <w:pPr>
      <w:spacing w:after="0" w:line="240" w:lineRule="auto"/>
    </w:pPr>
  </w:style>
  <w:style w:type="paragraph" w:styleId="EndnoteText">
    <w:name w:val="endnote text"/>
    <w:basedOn w:val="Normal"/>
    <w:uiPriority w:val="99"/>
    <w:semiHidden/>
    <w:unhideWhenUsed/>
    <w:rsid w:val="039D010A"/>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450">
      <w:bodyDiv w:val="1"/>
      <w:marLeft w:val="0"/>
      <w:marRight w:val="0"/>
      <w:marTop w:val="0"/>
      <w:marBottom w:val="0"/>
      <w:divBdr>
        <w:top w:val="none" w:sz="0" w:space="0" w:color="auto"/>
        <w:left w:val="none" w:sz="0" w:space="0" w:color="auto"/>
        <w:bottom w:val="none" w:sz="0" w:space="0" w:color="auto"/>
        <w:right w:val="none" w:sz="0" w:space="0" w:color="auto"/>
      </w:divBdr>
      <w:divsChild>
        <w:div w:id="403718609">
          <w:marLeft w:val="0"/>
          <w:marRight w:val="0"/>
          <w:marTop w:val="0"/>
          <w:marBottom w:val="0"/>
          <w:divBdr>
            <w:top w:val="none" w:sz="0" w:space="0" w:color="auto"/>
            <w:left w:val="none" w:sz="0" w:space="0" w:color="auto"/>
            <w:bottom w:val="none" w:sz="0" w:space="0" w:color="auto"/>
            <w:right w:val="none" w:sz="0" w:space="0" w:color="auto"/>
          </w:divBdr>
        </w:div>
      </w:divsChild>
    </w:div>
    <w:div w:id="48844708">
      <w:bodyDiv w:val="1"/>
      <w:marLeft w:val="0"/>
      <w:marRight w:val="0"/>
      <w:marTop w:val="0"/>
      <w:marBottom w:val="0"/>
      <w:divBdr>
        <w:top w:val="none" w:sz="0" w:space="0" w:color="auto"/>
        <w:left w:val="none" w:sz="0" w:space="0" w:color="auto"/>
        <w:bottom w:val="none" w:sz="0" w:space="0" w:color="auto"/>
        <w:right w:val="none" w:sz="0" w:space="0" w:color="auto"/>
      </w:divBdr>
    </w:div>
    <w:div w:id="100497455">
      <w:bodyDiv w:val="1"/>
      <w:marLeft w:val="0"/>
      <w:marRight w:val="0"/>
      <w:marTop w:val="0"/>
      <w:marBottom w:val="0"/>
      <w:divBdr>
        <w:top w:val="none" w:sz="0" w:space="0" w:color="auto"/>
        <w:left w:val="none" w:sz="0" w:space="0" w:color="auto"/>
        <w:bottom w:val="none" w:sz="0" w:space="0" w:color="auto"/>
        <w:right w:val="none" w:sz="0" w:space="0" w:color="auto"/>
      </w:divBdr>
    </w:div>
    <w:div w:id="100684163">
      <w:bodyDiv w:val="1"/>
      <w:marLeft w:val="0"/>
      <w:marRight w:val="0"/>
      <w:marTop w:val="0"/>
      <w:marBottom w:val="0"/>
      <w:divBdr>
        <w:top w:val="none" w:sz="0" w:space="0" w:color="auto"/>
        <w:left w:val="none" w:sz="0" w:space="0" w:color="auto"/>
        <w:bottom w:val="none" w:sz="0" w:space="0" w:color="auto"/>
        <w:right w:val="none" w:sz="0" w:space="0" w:color="auto"/>
      </w:divBdr>
    </w:div>
    <w:div w:id="171457216">
      <w:bodyDiv w:val="1"/>
      <w:marLeft w:val="0"/>
      <w:marRight w:val="0"/>
      <w:marTop w:val="0"/>
      <w:marBottom w:val="0"/>
      <w:divBdr>
        <w:top w:val="none" w:sz="0" w:space="0" w:color="auto"/>
        <w:left w:val="none" w:sz="0" w:space="0" w:color="auto"/>
        <w:bottom w:val="none" w:sz="0" w:space="0" w:color="auto"/>
        <w:right w:val="none" w:sz="0" w:space="0" w:color="auto"/>
      </w:divBdr>
      <w:divsChild>
        <w:div w:id="501822538">
          <w:marLeft w:val="0"/>
          <w:marRight w:val="0"/>
          <w:marTop w:val="0"/>
          <w:marBottom w:val="0"/>
          <w:divBdr>
            <w:top w:val="none" w:sz="0" w:space="0" w:color="auto"/>
            <w:left w:val="none" w:sz="0" w:space="0" w:color="auto"/>
            <w:bottom w:val="none" w:sz="0" w:space="0" w:color="auto"/>
            <w:right w:val="none" w:sz="0" w:space="0" w:color="auto"/>
          </w:divBdr>
        </w:div>
      </w:divsChild>
    </w:div>
    <w:div w:id="215629445">
      <w:bodyDiv w:val="1"/>
      <w:marLeft w:val="0"/>
      <w:marRight w:val="0"/>
      <w:marTop w:val="0"/>
      <w:marBottom w:val="0"/>
      <w:divBdr>
        <w:top w:val="none" w:sz="0" w:space="0" w:color="auto"/>
        <w:left w:val="none" w:sz="0" w:space="0" w:color="auto"/>
        <w:bottom w:val="none" w:sz="0" w:space="0" w:color="auto"/>
        <w:right w:val="none" w:sz="0" w:space="0" w:color="auto"/>
      </w:divBdr>
    </w:div>
    <w:div w:id="344525567">
      <w:bodyDiv w:val="1"/>
      <w:marLeft w:val="0"/>
      <w:marRight w:val="0"/>
      <w:marTop w:val="0"/>
      <w:marBottom w:val="0"/>
      <w:divBdr>
        <w:top w:val="none" w:sz="0" w:space="0" w:color="auto"/>
        <w:left w:val="none" w:sz="0" w:space="0" w:color="auto"/>
        <w:bottom w:val="none" w:sz="0" w:space="0" w:color="auto"/>
        <w:right w:val="none" w:sz="0" w:space="0" w:color="auto"/>
      </w:divBdr>
    </w:div>
    <w:div w:id="454719322">
      <w:bodyDiv w:val="1"/>
      <w:marLeft w:val="0"/>
      <w:marRight w:val="0"/>
      <w:marTop w:val="0"/>
      <w:marBottom w:val="0"/>
      <w:divBdr>
        <w:top w:val="none" w:sz="0" w:space="0" w:color="auto"/>
        <w:left w:val="none" w:sz="0" w:space="0" w:color="auto"/>
        <w:bottom w:val="none" w:sz="0" w:space="0" w:color="auto"/>
        <w:right w:val="none" w:sz="0" w:space="0" w:color="auto"/>
      </w:divBdr>
      <w:divsChild>
        <w:div w:id="465243795">
          <w:marLeft w:val="0"/>
          <w:marRight w:val="0"/>
          <w:marTop w:val="0"/>
          <w:marBottom w:val="0"/>
          <w:divBdr>
            <w:top w:val="none" w:sz="0" w:space="0" w:color="auto"/>
            <w:left w:val="none" w:sz="0" w:space="0" w:color="auto"/>
            <w:bottom w:val="none" w:sz="0" w:space="0" w:color="auto"/>
            <w:right w:val="none" w:sz="0" w:space="0" w:color="auto"/>
          </w:divBdr>
        </w:div>
      </w:divsChild>
    </w:div>
    <w:div w:id="480855094">
      <w:bodyDiv w:val="1"/>
      <w:marLeft w:val="0"/>
      <w:marRight w:val="0"/>
      <w:marTop w:val="0"/>
      <w:marBottom w:val="0"/>
      <w:divBdr>
        <w:top w:val="none" w:sz="0" w:space="0" w:color="auto"/>
        <w:left w:val="none" w:sz="0" w:space="0" w:color="auto"/>
        <w:bottom w:val="none" w:sz="0" w:space="0" w:color="auto"/>
        <w:right w:val="none" w:sz="0" w:space="0" w:color="auto"/>
      </w:divBdr>
      <w:divsChild>
        <w:div w:id="883907561">
          <w:marLeft w:val="0"/>
          <w:marRight w:val="0"/>
          <w:marTop w:val="0"/>
          <w:marBottom w:val="0"/>
          <w:divBdr>
            <w:top w:val="none" w:sz="0" w:space="0" w:color="auto"/>
            <w:left w:val="none" w:sz="0" w:space="0" w:color="auto"/>
            <w:bottom w:val="none" w:sz="0" w:space="0" w:color="auto"/>
            <w:right w:val="none" w:sz="0" w:space="0" w:color="auto"/>
          </w:divBdr>
        </w:div>
        <w:div w:id="1304310345">
          <w:marLeft w:val="0"/>
          <w:marRight w:val="0"/>
          <w:marTop w:val="0"/>
          <w:marBottom w:val="0"/>
          <w:divBdr>
            <w:top w:val="none" w:sz="0" w:space="0" w:color="auto"/>
            <w:left w:val="none" w:sz="0" w:space="0" w:color="auto"/>
            <w:bottom w:val="none" w:sz="0" w:space="0" w:color="auto"/>
            <w:right w:val="none" w:sz="0" w:space="0" w:color="auto"/>
          </w:divBdr>
        </w:div>
      </w:divsChild>
    </w:div>
    <w:div w:id="573124944">
      <w:bodyDiv w:val="1"/>
      <w:marLeft w:val="0"/>
      <w:marRight w:val="0"/>
      <w:marTop w:val="0"/>
      <w:marBottom w:val="0"/>
      <w:divBdr>
        <w:top w:val="none" w:sz="0" w:space="0" w:color="auto"/>
        <w:left w:val="none" w:sz="0" w:space="0" w:color="auto"/>
        <w:bottom w:val="none" w:sz="0" w:space="0" w:color="auto"/>
        <w:right w:val="none" w:sz="0" w:space="0" w:color="auto"/>
      </w:divBdr>
    </w:div>
    <w:div w:id="669675635">
      <w:bodyDiv w:val="1"/>
      <w:marLeft w:val="0"/>
      <w:marRight w:val="0"/>
      <w:marTop w:val="0"/>
      <w:marBottom w:val="0"/>
      <w:divBdr>
        <w:top w:val="none" w:sz="0" w:space="0" w:color="auto"/>
        <w:left w:val="none" w:sz="0" w:space="0" w:color="auto"/>
        <w:bottom w:val="none" w:sz="0" w:space="0" w:color="auto"/>
        <w:right w:val="none" w:sz="0" w:space="0" w:color="auto"/>
      </w:divBdr>
    </w:div>
    <w:div w:id="706368666">
      <w:bodyDiv w:val="1"/>
      <w:marLeft w:val="0"/>
      <w:marRight w:val="0"/>
      <w:marTop w:val="0"/>
      <w:marBottom w:val="0"/>
      <w:divBdr>
        <w:top w:val="none" w:sz="0" w:space="0" w:color="auto"/>
        <w:left w:val="none" w:sz="0" w:space="0" w:color="auto"/>
        <w:bottom w:val="none" w:sz="0" w:space="0" w:color="auto"/>
        <w:right w:val="none" w:sz="0" w:space="0" w:color="auto"/>
      </w:divBdr>
    </w:div>
    <w:div w:id="749472422">
      <w:bodyDiv w:val="1"/>
      <w:marLeft w:val="0"/>
      <w:marRight w:val="0"/>
      <w:marTop w:val="0"/>
      <w:marBottom w:val="0"/>
      <w:divBdr>
        <w:top w:val="none" w:sz="0" w:space="0" w:color="auto"/>
        <w:left w:val="none" w:sz="0" w:space="0" w:color="auto"/>
        <w:bottom w:val="none" w:sz="0" w:space="0" w:color="auto"/>
        <w:right w:val="none" w:sz="0" w:space="0" w:color="auto"/>
      </w:divBdr>
    </w:div>
    <w:div w:id="853350188">
      <w:bodyDiv w:val="1"/>
      <w:marLeft w:val="0"/>
      <w:marRight w:val="0"/>
      <w:marTop w:val="0"/>
      <w:marBottom w:val="0"/>
      <w:divBdr>
        <w:top w:val="none" w:sz="0" w:space="0" w:color="auto"/>
        <w:left w:val="none" w:sz="0" w:space="0" w:color="auto"/>
        <w:bottom w:val="none" w:sz="0" w:space="0" w:color="auto"/>
        <w:right w:val="none" w:sz="0" w:space="0" w:color="auto"/>
      </w:divBdr>
    </w:div>
    <w:div w:id="930355400">
      <w:bodyDiv w:val="1"/>
      <w:marLeft w:val="0"/>
      <w:marRight w:val="0"/>
      <w:marTop w:val="0"/>
      <w:marBottom w:val="0"/>
      <w:divBdr>
        <w:top w:val="none" w:sz="0" w:space="0" w:color="auto"/>
        <w:left w:val="none" w:sz="0" w:space="0" w:color="auto"/>
        <w:bottom w:val="none" w:sz="0" w:space="0" w:color="auto"/>
        <w:right w:val="none" w:sz="0" w:space="0" w:color="auto"/>
      </w:divBdr>
      <w:divsChild>
        <w:div w:id="2133091907">
          <w:marLeft w:val="0"/>
          <w:marRight w:val="0"/>
          <w:marTop w:val="0"/>
          <w:marBottom w:val="0"/>
          <w:divBdr>
            <w:top w:val="none" w:sz="0" w:space="0" w:color="auto"/>
            <w:left w:val="none" w:sz="0" w:space="0" w:color="auto"/>
            <w:bottom w:val="none" w:sz="0" w:space="0" w:color="auto"/>
            <w:right w:val="none" w:sz="0" w:space="0" w:color="auto"/>
          </w:divBdr>
        </w:div>
      </w:divsChild>
    </w:div>
    <w:div w:id="993290877">
      <w:bodyDiv w:val="1"/>
      <w:marLeft w:val="0"/>
      <w:marRight w:val="0"/>
      <w:marTop w:val="0"/>
      <w:marBottom w:val="0"/>
      <w:divBdr>
        <w:top w:val="none" w:sz="0" w:space="0" w:color="auto"/>
        <w:left w:val="none" w:sz="0" w:space="0" w:color="auto"/>
        <w:bottom w:val="none" w:sz="0" w:space="0" w:color="auto"/>
        <w:right w:val="none" w:sz="0" w:space="0" w:color="auto"/>
      </w:divBdr>
    </w:div>
    <w:div w:id="1020355554">
      <w:bodyDiv w:val="1"/>
      <w:marLeft w:val="0"/>
      <w:marRight w:val="0"/>
      <w:marTop w:val="0"/>
      <w:marBottom w:val="0"/>
      <w:divBdr>
        <w:top w:val="none" w:sz="0" w:space="0" w:color="auto"/>
        <w:left w:val="none" w:sz="0" w:space="0" w:color="auto"/>
        <w:bottom w:val="none" w:sz="0" w:space="0" w:color="auto"/>
        <w:right w:val="none" w:sz="0" w:space="0" w:color="auto"/>
      </w:divBdr>
      <w:divsChild>
        <w:div w:id="228687623">
          <w:marLeft w:val="0"/>
          <w:marRight w:val="0"/>
          <w:marTop w:val="0"/>
          <w:marBottom w:val="0"/>
          <w:divBdr>
            <w:top w:val="none" w:sz="0" w:space="0" w:color="auto"/>
            <w:left w:val="none" w:sz="0" w:space="0" w:color="auto"/>
            <w:bottom w:val="none" w:sz="0" w:space="0" w:color="auto"/>
            <w:right w:val="none" w:sz="0" w:space="0" w:color="auto"/>
          </w:divBdr>
        </w:div>
        <w:div w:id="545289643">
          <w:marLeft w:val="0"/>
          <w:marRight w:val="0"/>
          <w:marTop w:val="0"/>
          <w:marBottom w:val="0"/>
          <w:divBdr>
            <w:top w:val="none" w:sz="0" w:space="0" w:color="auto"/>
            <w:left w:val="none" w:sz="0" w:space="0" w:color="auto"/>
            <w:bottom w:val="none" w:sz="0" w:space="0" w:color="auto"/>
            <w:right w:val="none" w:sz="0" w:space="0" w:color="auto"/>
          </w:divBdr>
        </w:div>
        <w:div w:id="651301515">
          <w:marLeft w:val="0"/>
          <w:marRight w:val="0"/>
          <w:marTop w:val="0"/>
          <w:marBottom w:val="0"/>
          <w:divBdr>
            <w:top w:val="none" w:sz="0" w:space="0" w:color="auto"/>
            <w:left w:val="none" w:sz="0" w:space="0" w:color="auto"/>
            <w:bottom w:val="none" w:sz="0" w:space="0" w:color="auto"/>
            <w:right w:val="none" w:sz="0" w:space="0" w:color="auto"/>
          </w:divBdr>
        </w:div>
        <w:div w:id="871918297">
          <w:marLeft w:val="0"/>
          <w:marRight w:val="0"/>
          <w:marTop w:val="0"/>
          <w:marBottom w:val="0"/>
          <w:divBdr>
            <w:top w:val="none" w:sz="0" w:space="0" w:color="auto"/>
            <w:left w:val="none" w:sz="0" w:space="0" w:color="auto"/>
            <w:bottom w:val="none" w:sz="0" w:space="0" w:color="auto"/>
            <w:right w:val="none" w:sz="0" w:space="0" w:color="auto"/>
          </w:divBdr>
        </w:div>
        <w:div w:id="921332435">
          <w:marLeft w:val="0"/>
          <w:marRight w:val="0"/>
          <w:marTop w:val="0"/>
          <w:marBottom w:val="0"/>
          <w:divBdr>
            <w:top w:val="none" w:sz="0" w:space="0" w:color="auto"/>
            <w:left w:val="none" w:sz="0" w:space="0" w:color="auto"/>
            <w:bottom w:val="none" w:sz="0" w:space="0" w:color="auto"/>
            <w:right w:val="none" w:sz="0" w:space="0" w:color="auto"/>
          </w:divBdr>
        </w:div>
        <w:div w:id="1416124681">
          <w:marLeft w:val="0"/>
          <w:marRight w:val="0"/>
          <w:marTop w:val="0"/>
          <w:marBottom w:val="0"/>
          <w:divBdr>
            <w:top w:val="none" w:sz="0" w:space="0" w:color="auto"/>
            <w:left w:val="none" w:sz="0" w:space="0" w:color="auto"/>
            <w:bottom w:val="none" w:sz="0" w:space="0" w:color="auto"/>
            <w:right w:val="none" w:sz="0" w:space="0" w:color="auto"/>
          </w:divBdr>
        </w:div>
        <w:div w:id="1618171583">
          <w:marLeft w:val="0"/>
          <w:marRight w:val="0"/>
          <w:marTop w:val="0"/>
          <w:marBottom w:val="0"/>
          <w:divBdr>
            <w:top w:val="none" w:sz="0" w:space="0" w:color="auto"/>
            <w:left w:val="none" w:sz="0" w:space="0" w:color="auto"/>
            <w:bottom w:val="none" w:sz="0" w:space="0" w:color="auto"/>
            <w:right w:val="none" w:sz="0" w:space="0" w:color="auto"/>
          </w:divBdr>
        </w:div>
        <w:div w:id="1998417018">
          <w:marLeft w:val="0"/>
          <w:marRight w:val="0"/>
          <w:marTop w:val="0"/>
          <w:marBottom w:val="0"/>
          <w:divBdr>
            <w:top w:val="none" w:sz="0" w:space="0" w:color="auto"/>
            <w:left w:val="none" w:sz="0" w:space="0" w:color="auto"/>
            <w:bottom w:val="none" w:sz="0" w:space="0" w:color="auto"/>
            <w:right w:val="none" w:sz="0" w:space="0" w:color="auto"/>
          </w:divBdr>
        </w:div>
      </w:divsChild>
    </w:div>
    <w:div w:id="1020667862">
      <w:bodyDiv w:val="1"/>
      <w:marLeft w:val="0"/>
      <w:marRight w:val="0"/>
      <w:marTop w:val="0"/>
      <w:marBottom w:val="0"/>
      <w:divBdr>
        <w:top w:val="none" w:sz="0" w:space="0" w:color="auto"/>
        <w:left w:val="none" w:sz="0" w:space="0" w:color="auto"/>
        <w:bottom w:val="none" w:sz="0" w:space="0" w:color="auto"/>
        <w:right w:val="none" w:sz="0" w:space="0" w:color="auto"/>
      </w:divBdr>
    </w:div>
    <w:div w:id="1159464538">
      <w:bodyDiv w:val="1"/>
      <w:marLeft w:val="0"/>
      <w:marRight w:val="0"/>
      <w:marTop w:val="0"/>
      <w:marBottom w:val="0"/>
      <w:divBdr>
        <w:top w:val="none" w:sz="0" w:space="0" w:color="auto"/>
        <w:left w:val="none" w:sz="0" w:space="0" w:color="auto"/>
        <w:bottom w:val="none" w:sz="0" w:space="0" w:color="auto"/>
        <w:right w:val="none" w:sz="0" w:space="0" w:color="auto"/>
      </w:divBdr>
    </w:div>
    <w:div w:id="1249270907">
      <w:bodyDiv w:val="1"/>
      <w:marLeft w:val="0"/>
      <w:marRight w:val="0"/>
      <w:marTop w:val="0"/>
      <w:marBottom w:val="0"/>
      <w:divBdr>
        <w:top w:val="none" w:sz="0" w:space="0" w:color="auto"/>
        <w:left w:val="none" w:sz="0" w:space="0" w:color="auto"/>
        <w:bottom w:val="none" w:sz="0" w:space="0" w:color="auto"/>
        <w:right w:val="none" w:sz="0" w:space="0" w:color="auto"/>
      </w:divBdr>
      <w:divsChild>
        <w:div w:id="1223365332">
          <w:marLeft w:val="0"/>
          <w:marRight w:val="0"/>
          <w:marTop w:val="0"/>
          <w:marBottom w:val="0"/>
          <w:divBdr>
            <w:top w:val="none" w:sz="0" w:space="0" w:color="auto"/>
            <w:left w:val="none" w:sz="0" w:space="0" w:color="auto"/>
            <w:bottom w:val="none" w:sz="0" w:space="0" w:color="auto"/>
            <w:right w:val="none" w:sz="0" w:space="0" w:color="auto"/>
          </w:divBdr>
        </w:div>
      </w:divsChild>
    </w:div>
    <w:div w:id="1438402180">
      <w:bodyDiv w:val="1"/>
      <w:marLeft w:val="0"/>
      <w:marRight w:val="0"/>
      <w:marTop w:val="0"/>
      <w:marBottom w:val="0"/>
      <w:divBdr>
        <w:top w:val="none" w:sz="0" w:space="0" w:color="auto"/>
        <w:left w:val="none" w:sz="0" w:space="0" w:color="auto"/>
        <w:bottom w:val="none" w:sz="0" w:space="0" w:color="auto"/>
        <w:right w:val="none" w:sz="0" w:space="0" w:color="auto"/>
      </w:divBdr>
      <w:divsChild>
        <w:div w:id="1337683734">
          <w:marLeft w:val="0"/>
          <w:marRight w:val="0"/>
          <w:marTop w:val="0"/>
          <w:marBottom w:val="0"/>
          <w:divBdr>
            <w:top w:val="none" w:sz="0" w:space="0" w:color="auto"/>
            <w:left w:val="none" w:sz="0" w:space="0" w:color="auto"/>
            <w:bottom w:val="none" w:sz="0" w:space="0" w:color="auto"/>
            <w:right w:val="none" w:sz="0" w:space="0" w:color="auto"/>
          </w:divBdr>
        </w:div>
      </w:divsChild>
    </w:div>
    <w:div w:id="1440686406">
      <w:bodyDiv w:val="1"/>
      <w:marLeft w:val="0"/>
      <w:marRight w:val="0"/>
      <w:marTop w:val="0"/>
      <w:marBottom w:val="0"/>
      <w:divBdr>
        <w:top w:val="none" w:sz="0" w:space="0" w:color="auto"/>
        <w:left w:val="none" w:sz="0" w:space="0" w:color="auto"/>
        <w:bottom w:val="none" w:sz="0" w:space="0" w:color="auto"/>
        <w:right w:val="none" w:sz="0" w:space="0" w:color="auto"/>
      </w:divBdr>
    </w:div>
    <w:div w:id="1451581895">
      <w:bodyDiv w:val="1"/>
      <w:marLeft w:val="0"/>
      <w:marRight w:val="0"/>
      <w:marTop w:val="0"/>
      <w:marBottom w:val="0"/>
      <w:divBdr>
        <w:top w:val="none" w:sz="0" w:space="0" w:color="auto"/>
        <w:left w:val="none" w:sz="0" w:space="0" w:color="auto"/>
        <w:bottom w:val="none" w:sz="0" w:space="0" w:color="auto"/>
        <w:right w:val="none" w:sz="0" w:space="0" w:color="auto"/>
      </w:divBdr>
      <w:divsChild>
        <w:div w:id="2136823936">
          <w:marLeft w:val="0"/>
          <w:marRight w:val="0"/>
          <w:marTop w:val="0"/>
          <w:marBottom w:val="0"/>
          <w:divBdr>
            <w:top w:val="none" w:sz="0" w:space="0" w:color="auto"/>
            <w:left w:val="none" w:sz="0" w:space="0" w:color="auto"/>
            <w:bottom w:val="none" w:sz="0" w:space="0" w:color="auto"/>
            <w:right w:val="none" w:sz="0" w:space="0" w:color="auto"/>
          </w:divBdr>
        </w:div>
      </w:divsChild>
    </w:div>
    <w:div w:id="1510174235">
      <w:bodyDiv w:val="1"/>
      <w:marLeft w:val="0"/>
      <w:marRight w:val="0"/>
      <w:marTop w:val="0"/>
      <w:marBottom w:val="0"/>
      <w:divBdr>
        <w:top w:val="none" w:sz="0" w:space="0" w:color="auto"/>
        <w:left w:val="none" w:sz="0" w:space="0" w:color="auto"/>
        <w:bottom w:val="none" w:sz="0" w:space="0" w:color="auto"/>
        <w:right w:val="none" w:sz="0" w:space="0" w:color="auto"/>
      </w:divBdr>
      <w:divsChild>
        <w:div w:id="1109350406">
          <w:marLeft w:val="0"/>
          <w:marRight w:val="0"/>
          <w:marTop w:val="0"/>
          <w:marBottom w:val="0"/>
          <w:divBdr>
            <w:top w:val="none" w:sz="0" w:space="0" w:color="auto"/>
            <w:left w:val="none" w:sz="0" w:space="0" w:color="auto"/>
            <w:bottom w:val="none" w:sz="0" w:space="0" w:color="auto"/>
            <w:right w:val="none" w:sz="0" w:space="0" w:color="auto"/>
          </w:divBdr>
        </w:div>
        <w:div w:id="1824620188">
          <w:marLeft w:val="0"/>
          <w:marRight w:val="0"/>
          <w:marTop w:val="0"/>
          <w:marBottom w:val="0"/>
          <w:divBdr>
            <w:top w:val="none" w:sz="0" w:space="0" w:color="auto"/>
            <w:left w:val="none" w:sz="0" w:space="0" w:color="auto"/>
            <w:bottom w:val="none" w:sz="0" w:space="0" w:color="auto"/>
            <w:right w:val="none" w:sz="0" w:space="0" w:color="auto"/>
          </w:divBdr>
        </w:div>
      </w:divsChild>
    </w:div>
    <w:div w:id="1734043471">
      <w:bodyDiv w:val="1"/>
      <w:marLeft w:val="0"/>
      <w:marRight w:val="0"/>
      <w:marTop w:val="0"/>
      <w:marBottom w:val="0"/>
      <w:divBdr>
        <w:top w:val="none" w:sz="0" w:space="0" w:color="auto"/>
        <w:left w:val="none" w:sz="0" w:space="0" w:color="auto"/>
        <w:bottom w:val="none" w:sz="0" w:space="0" w:color="auto"/>
        <w:right w:val="none" w:sz="0" w:space="0" w:color="auto"/>
      </w:divBdr>
    </w:div>
    <w:div w:id="1802652045">
      <w:bodyDiv w:val="1"/>
      <w:marLeft w:val="0"/>
      <w:marRight w:val="0"/>
      <w:marTop w:val="0"/>
      <w:marBottom w:val="0"/>
      <w:divBdr>
        <w:top w:val="none" w:sz="0" w:space="0" w:color="auto"/>
        <w:left w:val="none" w:sz="0" w:space="0" w:color="auto"/>
        <w:bottom w:val="none" w:sz="0" w:space="0" w:color="auto"/>
        <w:right w:val="none" w:sz="0" w:space="0" w:color="auto"/>
      </w:divBdr>
    </w:div>
    <w:div w:id="2107143484">
      <w:bodyDiv w:val="1"/>
      <w:marLeft w:val="0"/>
      <w:marRight w:val="0"/>
      <w:marTop w:val="0"/>
      <w:marBottom w:val="0"/>
      <w:divBdr>
        <w:top w:val="none" w:sz="0" w:space="0" w:color="auto"/>
        <w:left w:val="none" w:sz="0" w:space="0" w:color="auto"/>
        <w:bottom w:val="none" w:sz="0" w:space="0" w:color="auto"/>
        <w:right w:val="none" w:sz="0" w:space="0" w:color="auto"/>
      </w:divBdr>
    </w:div>
    <w:div w:id="21075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limatecommission.govt.nz/our-work/advice-to-government-topic/preparing-advice-on-emissions-budgets/advice-on-the-fourth-emissions-budget/modelling-and-data-final-re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EDD070CD8C3B1241AF2B72868218A723" ma:contentTypeVersion="165" ma:contentTypeDescription="Create a new document." ma:contentTypeScope="" ma:versionID="a41830ce9df0a705c5786b1526468862">
  <xsd:schema xmlns:xsd="http://www.w3.org/2001/XMLSchema" xmlns:xs="http://www.w3.org/2001/XMLSchema" xmlns:p="http://schemas.microsoft.com/office/2006/metadata/properties" xmlns:ns2="e963e69f-3f58-4e6f-b74a-87e86ca2e125" xmlns:ns3="02bffcbe-7cf8-467d-a91b-a3e0dbcae01e" xmlns:ns4="a9df0e0e-9b5b-47bc-81c1-d190dfb54f87" xmlns:ns5="b30672e7-690a-4c93-a50a-a028bc8f475d" xmlns:ns6="70761194-623b-4751-a0da-29ad6551f95e" xmlns:ns7="987bcd1d-e1f1-4f53-92ab-ce8c6eb15727" targetNamespace="http://schemas.microsoft.com/office/2006/metadata/properties" ma:root="true" ma:fieldsID="48d025190ffb26cbf8120e9831b35638" ns2:_="" ns3:_="" ns4:_="" ns5:_="" ns6:_="" ns7:_="">
    <xsd:import namespace="e963e69f-3f58-4e6f-b74a-87e86ca2e125"/>
    <xsd:import namespace="02bffcbe-7cf8-467d-a91b-a3e0dbcae01e"/>
    <xsd:import namespace="a9df0e0e-9b5b-47bc-81c1-d190dfb54f87"/>
    <xsd:import namespace="b30672e7-690a-4c93-a50a-a028bc8f475d"/>
    <xsd:import namespace="70761194-623b-4751-a0da-29ad6551f95e"/>
    <xsd:import namespace="987bcd1d-e1f1-4f53-92ab-ce8c6eb157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Narrative" minOccurs="0"/>
                <xsd:element ref="ns5:OTDocID" minOccurs="0"/>
                <xsd:element ref="ns5:OTModifiedBy" minOccurs="0"/>
                <xsd:element ref="ns5:LegacyMetadata" minOccurs="0"/>
                <xsd:element ref="ns5:OTCreatedBy" minOccurs="0"/>
                <xsd:element ref="ns4:PraText3" minOccurs="0"/>
                <xsd:element ref="ns4:PraText4" minOccurs="0"/>
                <xsd:element ref="ns4:PraText5" minOccurs="0"/>
                <xsd:element ref="ns4:PraDate1" minOccurs="0"/>
                <xsd:element ref="ns4:PraDate2" minOccurs="0"/>
                <xsd:element ref="ns4:PraDate3" minOccurs="0"/>
                <xsd:element ref="ns4:PraDateTrigger" minOccurs="0"/>
                <xsd:element ref="ns4:PraDateDisposal" minOccurs="0"/>
                <xsd:element ref="ns6:Activity" minOccurs="0"/>
                <xsd:element ref="ns6:Function" minOccurs="0"/>
                <xsd:element ref="ns6:Subactivity" minOccurs="0"/>
                <xsd:element ref="ns6:Year" minOccurs="0"/>
                <xsd:element ref="ns6:Project" minOccurs="0"/>
                <xsd:element ref="ns6:AggregationNarrative" minOccurs="0"/>
                <xsd:element ref="ns6:Case" minOccurs="0"/>
                <xsd:element ref="ns6:CategoryName" minOccurs="0"/>
                <xsd:element ref="ns6:CategoryValue" minOccurs="0"/>
                <xsd:element ref="ns4:PraText1" minOccurs="0"/>
                <xsd:element ref="ns4:PraText2" minOccurs="0"/>
                <xsd:element ref="ns6:PRAType" minOccurs="0"/>
                <xsd:element ref="ns4:AggregationStatus" minOccurs="0"/>
                <xsd:element ref="ns5:Channel"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lcf76f155ced4ddcb4097134ff3c332f" minOccurs="0"/>
                <xsd:element ref="ns2:TaxCatchAll" minOccurs="0"/>
                <xsd:element ref="ns7:MediaServiceOCR" minOccurs="0"/>
                <xsd:element ref="ns7:MediaServiceGenerationTime" minOccurs="0"/>
                <xsd:element ref="ns7:MediaServiceEventHashCode" minOccurs="0"/>
                <xsd:element ref="ns7:MediaServiceDateTaken" minOccurs="0"/>
                <xsd:element ref="ns7:MediaLengthInSecond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e69f-3f58-4e6f-b74a-87e86ca2e1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7df32919-5596-4817-acf1-e3864e9c98b9}" ma:internalName="TaxCatchAll" ma:showField="CatchAllData" ma:web="e963e69f-3f58-4e6f-b74a-87e86ca2e1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bffcbe-7cf8-467d-a91b-a3e0dbcae01e" elementFormDefault="qualified">
    <xsd:import namespace="http://schemas.microsoft.com/office/2006/documentManagement/types"/>
    <xsd:import namespace="http://schemas.microsoft.com/office/infopath/2007/PartnerControls"/>
    <xsd:element name="DocumentType" ma:index="11" nillable="true" ma:displayName="Document Type" ma:description="Specify the document type to help refine search and to classify the document"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RAWING, Plan, Map"/>
          <xsd:enumeration value="EMPLOYMENT related"/>
          <xsd:enumeration value="FINANCIAL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schema>
  <xsd:schema xmlns:xsd="http://www.w3.org/2001/XMLSchema" xmlns:xs="http://www.w3.org/2001/XMLSchema" xmlns:dms="http://schemas.microsoft.com/office/2006/documentManagement/types" xmlns:pc="http://schemas.microsoft.com/office/infopath/2007/PartnerControls" targetNamespace="a9df0e0e-9b5b-47bc-81c1-d190dfb54f87" elementFormDefault="qualified">
    <xsd:import namespace="http://schemas.microsoft.com/office/2006/documentManagement/types"/>
    <xsd:import namespace="http://schemas.microsoft.com/office/infopath/2007/PartnerControls"/>
    <xsd:element name="Narrative" ma:index="12" nillable="true" ma:displayName="Narrative" ma:internalName="Narrative0" ma:readOnly="false">
      <xsd:simpleType>
        <xsd:restriction base="dms:Note">
          <xsd:maxLength value="255"/>
        </xsd:restriction>
      </xsd:simpleType>
    </xsd:element>
    <xsd:element name="PraText3" ma:index="17" nillable="true" ma:displayName="PRA Text 3" ma:hidden="true" ma:internalName="PraText30" ma:readOnly="false">
      <xsd:simpleType>
        <xsd:restriction base="dms:Text">
          <xsd:maxLength value="255"/>
        </xsd:restriction>
      </xsd:simpleType>
    </xsd:element>
    <xsd:element name="PraText4" ma:index="18" nillable="true" ma:displayName="PRA Text 4" ma:hidden="true" ma:internalName="PraText40" ma:readOnly="false">
      <xsd:simpleType>
        <xsd:restriction base="dms:Text">
          <xsd:maxLength value="255"/>
        </xsd:restriction>
      </xsd:simpleType>
    </xsd:element>
    <xsd:element name="PraText5" ma:index="19" nillable="true" ma:displayName="PRA Text 5" ma:hidden="true" ma:internalName="PraText50" ma:readOnly="false">
      <xsd:simpleType>
        <xsd:restriction base="dms:Text">
          <xsd:maxLength value="255"/>
        </xsd:restriction>
      </xsd:simpleType>
    </xsd:element>
    <xsd:element name="PraDate1" ma:index="20" nillable="true" ma:displayName="PRA Date 1" ma:format="DateTime" ma:hidden="true" ma:internalName="PraDate1" ma:readOnly="false">
      <xsd:simpleType>
        <xsd:restriction base="dms:DateTime"/>
      </xsd:simpleType>
    </xsd:element>
    <xsd:element name="PraDate2" ma:index="21" nillable="true" ma:displayName="PRA Date 2" ma:format="DateTime" ma:hidden="true" ma:internalName="PraDate2" ma:readOnly="false">
      <xsd:simpleType>
        <xsd:restriction base="dms:DateTime"/>
      </xsd:simpleType>
    </xsd:element>
    <xsd:element name="PraDate3" ma:index="22" nillable="true" ma:displayName="PRA Date 3" ma:format="DateTime" ma:hidden="true" ma:internalName="PraDate3" ma:readOnly="false">
      <xsd:simpleType>
        <xsd:restriction base="dms:DateTime"/>
      </xsd:simpleType>
    </xsd:element>
    <xsd:element name="PraDateTrigger" ma:index="23" nillable="true" ma:displayName="PRA Date Trigger" ma:format="DateTime" ma:hidden="true" ma:internalName="PraDateTrigger" ma:readOnly="false">
      <xsd:simpleType>
        <xsd:restriction base="dms:DateTime"/>
      </xsd:simpleType>
    </xsd:element>
    <xsd:element name="PraDateDisposal" ma:index="24" nillable="true" ma:displayName="PRA Date Disposal" ma:format="DateTime" ma:hidden="true" ma:internalName="PraDateDisposal0" ma:readOnly="false">
      <xsd:simpleType>
        <xsd:restriction base="dms:DateTime"/>
      </xsd:simpleType>
    </xsd:element>
    <xsd:element name="PraText1" ma:index="34" nillable="true" ma:displayName="PRA Text 1" ma:hidden="true" ma:internalName="PraText10" ma:readOnly="false">
      <xsd:simpleType>
        <xsd:restriction base="dms:Text">
          <xsd:maxLength value="255"/>
        </xsd:restriction>
      </xsd:simpleType>
    </xsd:element>
    <xsd:element name="PraText2" ma:index="35" nillable="true" ma:displayName="PRA Text 2" ma:hidden="true" ma:internalName="PraText20" ma:readOnly="false">
      <xsd:simpleType>
        <xsd:restriction base="dms:Text">
          <xsd:maxLength value="255"/>
        </xsd:restriction>
      </xsd:simpleType>
    </xsd:element>
    <xsd:element name="AggregationStatus" ma:index="37" nillable="true" ma:displayName="Aggregation Status" ma:default="Normal" ma:format="Dropdown" ma:hidden="true" ma:internalName="AggregationStatus0"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schema>
  <xsd:schema xmlns:xsd="http://www.w3.org/2001/XMLSchema" xmlns:xs="http://www.w3.org/2001/XMLSchema" xmlns:dms="http://schemas.microsoft.com/office/2006/documentManagement/types" xmlns:pc="http://schemas.microsoft.com/office/infopath/2007/PartnerControls" targetNamespace="b30672e7-690a-4c93-a50a-a028bc8f475d" elementFormDefault="qualified">
    <xsd:import namespace="http://schemas.microsoft.com/office/2006/documentManagement/types"/>
    <xsd:import namespace="http://schemas.microsoft.com/office/infopath/2007/PartnerControls"/>
    <xsd:element name="OTDocID" ma:index="13" nillable="true" ma:displayName="OTDocID" ma:internalName="OTDocID" ma:readOnly="false">
      <xsd:simpleType>
        <xsd:restriction base="dms:Text">
          <xsd:maxLength value="255"/>
        </xsd:restriction>
      </xsd:simpleType>
    </xsd:element>
    <xsd:element name="OTModifiedBy" ma:index="14" nillable="true" ma:displayName="OTModifiedBy" ma:internalName="OTModifiedBy" ma:readOnly="false">
      <xsd:simpleType>
        <xsd:restriction base="dms:Text">
          <xsd:maxLength value="255"/>
        </xsd:restriction>
      </xsd:simpleType>
    </xsd:element>
    <xsd:element name="LegacyMetadata" ma:index="15" nillable="true" ma:displayName="LegacyMetadata" ma:internalName="LegacyMetadata" ma:readOnly="false">
      <xsd:simpleType>
        <xsd:restriction base="dms:Note">
          <xsd:maxLength value="255"/>
        </xsd:restriction>
      </xsd:simpleType>
    </xsd:element>
    <xsd:element name="OTCreatedBy" ma:index="16" nillable="true" ma:displayName="OTCreatedBy" ma:internalName="OTCreatedBy" ma:readOnly="false">
      <xsd:simpleType>
        <xsd:restriction base="dms:Text">
          <xsd:maxLength value="255"/>
        </xsd:restriction>
      </xsd:simpleType>
    </xsd:element>
    <xsd:element name="Channel" ma:index="38" nillable="true" ma:displayName="Channel" ma:hidden="true" ma:internalName="Chann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61194-623b-4751-a0da-29ad6551f95e" elementFormDefault="qualified">
    <xsd:import namespace="http://schemas.microsoft.com/office/2006/documentManagement/types"/>
    <xsd:import namespace="http://schemas.microsoft.com/office/infopath/2007/PartnerControls"/>
    <xsd:element name="Activity" ma:index="25" nillable="true" ma:displayName="Activity" ma:default="Programmes, Evidence, Tools" ma:format="Dropdown" ma:hidden="true" ma:internalName="Activity" ma:readOnly="false">
      <xsd:simpleType>
        <xsd:union memberTypes="dms:Text">
          <xsd:simpleType>
            <xsd:restriction base="dms:Choice">
              <xsd:enumeration value="Programmes, Evidence, Tools"/>
            </xsd:restriction>
          </xsd:simpleType>
        </xsd:union>
      </xsd:simpleType>
    </xsd:element>
    <xsd:element name="Function" ma:index="26" nillable="true" ma:displayName="Function" ma:default="Programmes and Projects" ma:format="Dropdown" ma:hidden="true" ma:internalName="Function" ma:readOnly="false">
      <xsd:simpleType>
        <xsd:union memberTypes="dms:Text">
          <xsd:simpleType>
            <xsd:restriction base="dms:Choice">
              <xsd:enumeration value="Programmes and Projects"/>
            </xsd:restriction>
          </xsd:simpleType>
        </xsd:union>
      </xsd:simpleType>
    </xsd:element>
    <xsd:element name="Subactivity" ma:index="27" nillable="true" ma:displayName="Subactivity" ma:default="NA" ma:hidden="true" ma:internalName="Subactivity" ma:readOnly="false">
      <xsd:simpleType>
        <xsd:restriction base="dms:Text">
          <xsd:maxLength value="255"/>
        </xsd:restriction>
      </xsd:simpleType>
    </xsd:element>
    <xsd:element name="Year" ma:index="28" nillable="true" ma:displayName="Year" ma:format="Dropdown" ma:hidden="true" ma:internalName="Year" ma:readOnly="false">
      <xsd:simpleType>
        <xsd:restriction base="dms:Choice">
          <xsd:enumeration value="2019"/>
          <xsd:enumeration value="2020"/>
          <xsd:enumeration value="2021"/>
          <xsd:enumeration value="2022"/>
          <xsd:enumeration value="2023"/>
        </xsd:restriction>
      </xsd:simpleType>
    </xsd:element>
    <xsd:element name="Project" ma:index="29" nillable="true" ma:displayName="Project" ma:hidden="true" ma:internalName="Project" ma:readOnly="false">
      <xsd:simpleType>
        <xsd:restriction base="dms:Text">
          <xsd:maxLength value="255"/>
        </xsd:restriction>
      </xsd:simpleType>
    </xsd:element>
    <xsd:element name="AggregationNarrative" ma:index="30" nillable="true" ma:displayName="Aggregation Narrative" ma:hidden="true" ma:internalName="AggregationNarrative" ma:readOnly="false">
      <xsd:simpleType>
        <xsd:restriction base="dms:Text">
          <xsd:maxLength value="255"/>
        </xsd:restriction>
      </xsd:simpleType>
    </xsd:element>
    <xsd:element name="Case" ma:index="31" nillable="true" ma:displayName="Case" ma:default="Modelling" ma:format="Dropdown" ma:hidden="true" ma:internalName="Case" ma:readOnly="false">
      <xsd:simpleType>
        <xsd:restriction base="dms:Choice">
          <xsd:enumeration value="Modelling"/>
        </xsd:restriction>
      </xsd:simpleType>
    </xsd:element>
    <xsd:element name="CategoryName" ma:index="32" nillable="true" ma:displayName="Category" ma:default="NA" ma:hidden="true" ma:internalName="CategoryName" ma:readOnly="false">
      <xsd:simpleType>
        <xsd:restriction base="dms:Text">
          <xsd:maxLength value="255"/>
        </xsd:restriction>
      </xsd:simpleType>
    </xsd:element>
    <xsd:element name="CategoryValue" ma:index="33" nillable="true" ma:displayName="Category Value" ma:hidden="true" ma:internalName="CategoryValue" ma:readOnly="false">
      <xsd:simpleType>
        <xsd:restriction base="dms:Text">
          <xsd:maxLength value="255"/>
        </xsd:restriction>
      </xsd:simpleType>
    </xsd:element>
    <xsd:element name="PRAType" ma:index="36" nillable="true" ma:displayName="PRA Type" ma:hidden="true" ma:internalName="PRA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bcd1d-e1f1-4f53-92ab-ce8c6eb15727" elementFormDefault="qualified">
    <xsd:import namespace="http://schemas.microsoft.com/office/2006/documentManagement/types"/>
    <xsd:import namespace="http://schemas.microsoft.com/office/infopath/2007/PartnerControls"/>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c284cdd8-0240-42f9-af2b-4d59cbd29a82" ma:termSetId="09814cd3-568e-fe90-9814-8d621ff8fb84" ma:anchorId="fba54fb3-c3e1-fe81-a776-ca4b69148c4d" ma:open="true" ma:isKeyword="false">
      <xsd:complexType>
        <xsd:sequence>
          <xsd:element ref="pc:Terms" minOccurs="0" maxOccurs="1"/>
        </xsd:sequence>
      </xsd:complex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MediaLengthInSeconds" ma:index="52" nillable="true" ma:displayName="MediaLengthInSeconds" ma:hidden="true" ma:internalName="MediaLengthInSeconds" ma:readOnly="true">
      <xsd:simpleType>
        <xsd:restriction base="dms:Unknown"/>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egacyMetadata xmlns="b30672e7-690a-4c93-a50a-a028bc8f475d" xsi:nil="true"/>
    <Channel xmlns="b30672e7-690a-4c93-a50a-a028bc8f475d" xsi:nil="true"/>
    <OTModifiedBy xmlns="b30672e7-690a-4c93-a50a-a028bc8f475d" xsi:nil="true"/>
    <Activity xmlns="70761194-623b-4751-a0da-29ad6551f95e">Programmes, Evidence, Tools</Activity>
    <Function xmlns="70761194-623b-4751-a0da-29ad6551f95e">Programmes and Projects</Function>
    <PraText1 xmlns="a9df0e0e-9b5b-47bc-81c1-d190dfb54f87" xsi:nil="true"/>
    <Year xmlns="70761194-623b-4751-a0da-29ad6551f95e" xsi:nil="true"/>
    <CategoryName xmlns="70761194-623b-4751-a0da-29ad6551f95e">Documentation</CategoryName>
    <CategoryValue xmlns="70761194-623b-4751-a0da-29ad6551f95e" xsi:nil="true"/>
    <AggregationStatus xmlns="a9df0e0e-9b5b-47bc-81c1-d190dfb54f87">Normal</AggregationStatus>
    <lcf76f155ced4ddcb4097134ff3c332f xmlns="987bcd1d-e1f1-4f53-92ab-ce8c6eb15727">
      <Terms xmlns="http://schemas.microsoft.com/office/infopath/2007/PartnerControls"/>
    </lcf76f155ced4ddcb4097134ff3c332f>
    <Narrative xmlns="a9df0e0e-9b5b-47bc-81c1-d190dfb54f87" xsi:nil="true"/>
    <PraText5 xmlns="a9df0e0e-9b5b-47bc-81c1-d190dfb54f87" xsi:nil="true"/>
    <TaxCatchAll xmlns="e963e69f-3f58-4e6f-b74a-87e86ca2e125" xsi:nil="true"/>
    <PRAType xmlns="70761194-623b-4751-a0da-29ad6551f95e" xsi:nil="true"/>
    <PraDate3 xmlns="a9df0e0e-9b5b-47bc-81c1-d190dfb54f87" xsi:nil="true"/>
    <PraDateTrigger xmlns="a9df0e0e-9b5b-47bc-81c1-d190dfb54f87" xsi:nil="true"/>
    <Project xmlns="70761194-623b-4751-a0da-29ad6551f95e" xsi:nil="true"/>
    <PraText4 xmlns="a9df0e0e-9b5b-47bc-81c1-d190dfb54f87" xsi:nil="true"/>
    <Subactivity xmlns="70761194-623b-4751-a0da-29ad6551f95e">ENZ</Subactivity>
    <PraDateDisposal xmlns="a9df0e0e-9b5b-47bc-81c1-d190dfb54f87" xsi:nil="true"/>
    <PraDate2 xmlns="a9df0e0e-9b5b-47bc-81c1-d190dfb54f87" xsi:nil="true"/>
    <PraText3 xmlns="a9df0e0e-9b5b-47bc-81c1-d190dfb54f87" xsi:nil="true"/>
    <DocumentType xmlns="02bffcbe-7cf8-467d-a91b-a3e0dbcae01e" xsi:nil="true"/>
    <AggregationNarrative xmlns="70761194-623b-4751-a0da-29ad6551f95e" xsi:nil="true"/>
    <Case xmlns="70761194-623b-4751-a0da-29ad6551f95e">Modelling</Case>
    <OTDocID xmlns="b30672e7-690a-4c93-a50a-a028bc8f475d" xsi:nil="true"/>
    <OTCreatedBy xmlns="b30672e7-690a-4c93-a50a-a028bc8f475d" xsi:nil="true"/>
    <PraDate1 xmlns="a9df0e0e-9b5b-47bc-81c1-d190dfb54f87" xsi:nil="true"/>
    <PraText2 xmlns="a9df0e0e-9b5b-47bc-81c1-d190dfb54f87" xsi:nil="true"/>
    <_dlc_DocId xmlns="e963e69f-3f58-4e6f-b74a-87e86ca2e125">ZRPJAS3TEE2M-1147141995-21029</_dlc_DocId>
    <_dlc_DocIdPersistId xmlns="e963e69f-3f58-4e6f-b74a-87e86ca2e125">false</_dlc_DocIdPersistId>
    <_dlc_DocIdUrl xmlns="e963e69f-3f58-4e6f-b74a-87e86ca2e125">
      <Url>https://climatechangegovt.sharepoint.com/sites/Modelling/_layouts/15/DocIdRedir.aspx?ID=ZRPJAS3TEE2M-1147141995-21029</Url>
      <Description>ZRPJAS3TEE2M-1147141995-21029</Description>
    </_dlc_DocIdUrl>
  </documentManagement>
</p:properties>
</file>

<file path=customXml/itemProps1.xml><?xml version="1.0" encoding="utf-8"?>
<ds:datastoreItem xmlns:ds="http://schemas.openxmlformats.org/officeDocument/2006/customXml" ds:itemID="{4457A347-D28B-4365-B2AA-FE9712F75AAD}">
  <ds:schemaRefs>
    <ds:schemaRef ds:uri="http://schemas.microsoft.com/sharepoint/v3/contenttype/forms"/>
  </ds:schemaRefs>
</ds:datastoreItem>
</file>

<file path=customXml/itemProps2.xml><?xml version="1.0" encoding="utf-8"?>
<ds:datastoreItem xmlns:ds="http://schemas.openxmlformats.org/officeDocument/2006/customXml" ds:itemID="{BBD0ED40-AC38-47FA-ACA9-75543225D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e69f-3f58-4e6f-b74a-87e86ca2e125"/>
    <ds:schemaRef ds:uri="02bffcbe-7cf8-467d-a91b-a3e0dbcae01e"/>
    <ds:schemaRef ds:uri="a9df0e0e-9b5b-47bc-81c1-d190dfb54f87"/>
    <ds:schemaRef ds:uri="b30672e7-690a-4c93-a50a-a028bc8f475d"/>
    <ds:schemaRef ds:uri="70761194-623b-4751-a0da-29ad6551f95e"/>
    <ds:schemaRef ds:uri="987bcd1d-e1f1-4f53-92ab-ce8c6eb15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B890B-A7EA-4C8E-81D4-B374F24F4D66}">
  <ds:schemaRefs>
    <ds:schemaRef ds:uri="http://schemas.openxmlformats.org/officeDocument/2006/bibliography"/>
  </ds:schemaRefs>
</ds:datastoreItem>
</file>

<file path=customXml/itemProps4.xml><?xml version="1.0" encoding="utf-8"?>
<ds:datastoreItem xmlns:ds="http://schemas.openxmlformats.org/officeDocument/2006/customXml" ds:itemID="{4FBB2AB7-42B5-4639-BF27-735194E2854A}">
  <ds:schemaRefs>
    <ds:schemaRef ds:uri="http://schemas.microsoft.com/sharepoint/events"/>
  </ds:schemaRefs>
</ds:datastoreItem>
</file>

<file path=customXml/itemProps5.xml><?xml version="1.0" encoding="utf-8"?>
<ds:datastoreItem xmlns:ds="http://schemas.openxmlformats.org/officeDocument/2006/customXml" ds:itemID="{2BEFC3A8-1EB6-4801-92E6-AC013706DF1B}">
  <ds:schemaRefs>
    <ds:schemaRef ds:uri="http://schemas.microsoft.com/office/2006/metadata/properties"/>
    <ds:schemaRef ds:uri="http://schemas.microsoft.com/office/infopath/2007/PartnerControls"/>
    <ds:schemaRef ds:uri="b30672e7-690a-4c93-a50a-a028bc8f475d"/>
    <ds:schemaRef ds:uri="70761194-623b-4751-a0da-29ad6551f95e"/>
    <ds:schemaRef ds:uri="a9df0e0e-9b5b-47bc-81c1-d190dfb54f87"/>
    <ds:schemaRef ds:uri="987bcd1d-e1f1-4f53-92ab-ce8c6eb15727"/>
    <ds:schemaRef ds:uri="e963e69f-3f58-4e6f-b74a-87e86ca2e125"/>
    <ds:schemaRef ds:uri="02bffcbe-7cf8-467d-a91b-a3e0dbcae0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9199</Words>
  <Characters>52440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2024-12-10T23:53:00Z</dcterms:created>
  <dcterms:modified xsi:type="dcterms:W3CDTF">2024-12-10T23:57:00Z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59367f4d-38be-4d8f-9d86-35a3b0d0cf65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4604f98e24a287cc8b313e75d799026d19057d30e2992f32431df8e76e87bd6e</vt:lpwstr>
  </property>
  <property fmtid="{D5CDD505-2E9C-101B-9397-08002B2CF9AE}" pid="11" name="ContentTypeId">
    <vt:lpwstr>0x010100EDD070CD8C3B1241AF2B72868218A723</vt:lpwstr>
  </property>
</Properties>
</file>