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E6E7" w14:textId="77777777" w:rsidR="00B1608C" w:rsidRDefault="00B1608C" w:rsidP="00B1608C">
      <w:pPr>
        <w:pStyle w:val="Title"/>
      </w:pPr>
      <w:r>
        <w:rPr>
          <w:noProof/>
        </w:rPr>
        <mc:AlternateContent>
          <mc:Choice Requires="wps">
            <w:drawing>
              <wp:anchor distT="0" distB="0" distL="114300" distR="114300" simplePos="0" relativeHeight="251658241" behindDoc="0" locked="0" layoutInCell="1" allowOverlap="1" wp14:anchorId="13BFEEE2" wp14:editId="453C0328">
                <wp:simplePos x="0" y="0"/>
                <wp:positionH relativeFrom="column">
                  <wp:posOffset>4248150</wp:posOffset>
                </wp:positionH>
                <wp:positionV relativeFrom="paragraph">
                  <wp:posOffset>-218067</wp:posOffset>
                </wp:positionV>
                <wp:extent cx="1600873" cy="768227"/>
                <wp:effectExtent l="0" t="0" r="0" b="0"/>
                <wp:wrapNone/>
                <wp:docPr id="6" name="Text Box 6"/>
                <wp:cNvGraphicFramePr/>
                <a:graphic xmlns:a="http://schemas.openxmlformats.org/drawingml/2006/main">
                  <a:graphicData uri="http://schemas.microsoft.com/office/word/2010/wordprocessingShape">
                    <wps:wsp>
                      <wps:cNvSpPr txBox="1"/>
                      <wps:spPr>
                        <a:xfrm>
                          <a:off x="0" y="0"/>
                          <a:ext cx="1600873" cy="768227"/>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6350">
                          <a:noFill/>
                        </a:ln>
                      </wps:spPr>
                      <wps:txbx>
                        <w:txbxContent>
                          <w:p w14:paraId="479E0C6B" w14:textId="77777777" w:rsidR="00B1608C" w:rsidRDefault="00B1608C" w:rsidP="00B16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FEEE2" id="_x0000_t202" coordsize="21600,21600" o:spt="202" path="m,l,21600r21600,l21600,xe">
                <v:stroke joinstyle="miter"/>
                <v:path gradientshapeok="t" o:connecttype="rect"/>
              </v:shapetype>
              <v:shape id="Text Box 6" o:spid="_x0000_s1026" type="#_x0000_t202" style="position:absolute;margin-left:334.5pt;margin-top:-17.15pt;width:126.05pt;height:6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puUZzAgAA+AQAAA4AAABkcnMvZTJvRG9jLnhtbKxUUU/bMBB+n7T/&#10;YPl9JC3QsogUdSAmJARoMPHsOg6x5Pg8+0rCfv3OTtJWbNKkaS/OxXe5u++773J+0beGvSofNNiS&#10;z45yzpSVUGn7UvLvT9efzjgLKGwlDFhV8jcV+MXq44fzzhVqDg2YSnlGSWwoOlfyBtEVWRZko1oR&#10;jsApS84afCuQXv1LVnnRUfbWZPM8X2Qd+Mp5kCoEur0anHyV8te1knhf10EhMyWn3jCdPp2beGar&#10;c1G8eOEaLcc2xD900Qptqegu1ZVAwbZe/5aq1dJDgBqPJLQZ1LWWKmEgNLP8HZrHRjiVsBA5we1o&#10;Cv8vrbx7fXQPnmH/BXoaYCSkc6EIdBnx9LVv45M6ZeQnCt92tKkemYwfLfL8bHnMmSTfcnE2ny9j&#10;mmz/tfMBvypoWTRK7mksiS3xehtwCJ1CYrGN0e5aG8MqRwxSTQ/4rLFJfMQmp6CREZrn33UzcH0F&#10;ctsqi4N4vDICSbmh0S5QmUK1G1VRgzfVjOCQcJE067y2OCglePmNmk+qCegVyib2UlOz4z2h3jnI&#10;nqDEKGNZV/LF8WmeAFiIGAf0xhJfe96jhf2mJ2c0N1C90YyIhcRGcPJaE5G3IuCD8KRXooh2EO/p&#10;qA1QERgtzhrwP/90H+OJNvJy1pH+Sx5+bIVXnJkbSwL7PDs5iQuTXk5Ol/M4hkPP5tBjt+0l0IoR&#10;a9RdMmM8msmsPbTPtKrrWJVcwkqqXXKczEsctpJWXar1OgXRijiBt/bRyWnqUSZP/bPwbtQSkgrv&#10;YNoUUbyT1BAb2bew3iLUOultz+rIO61XUuz4K4j7e/ieovY/rNUvAAAA//8DAFBLAwQKAAAAAAAA&#10;ACEA382QQMp9AADKfQAAFQAAAGRycy9tZWRpYS9pbWFnZTEuanBlZ//Y/+AAEEpGSUYAAQEAANwA&#10;3AAA/+EAgEV4aWYAAE1NACoAAAAIAAQBGgAFAAAAAQAAAD4BGwAFAAAAAQAAAEYBKAADAAAAAQAC&#10;AACHaQAEAAAAAQAAAE4AAAAAAAAA3AAAAAEAAADcAAAAAQADoAEAAwAAAAEAAQAAoAIABAAAAAEA&#10;AAGBoAMABAAAAAEAAAC5AAAAAP/tADhQaG90b3Nob3AgMy4wADhCSU0EBAAAAAAAADhCSU0EJQAA&#10;AAAAENQdjNmPALIE6YAJmOz4Qn7/wAARCAC5AY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sAQwABAQEBAQECAQECAgICAgIDAgICAgMEAwMDAwMEBQQEBAQEBAUF&#10;BQUFBQUFBgYGBgYGBwcHBwcICAgICAgICAgI/9sAQwEBAQECAgIDAgIDCAUFBQgICAgICAgICAgI&#10;CAgICAgICAgICAgICAgICAgICAgICAgICAgICAgICAgICAgICAgI/90ABAAZ/9oADAMBAAIRAxEA&#10;PwD+/iiiigAooooAKKKKACiiigAooooAKKKKACiikJxzQAtNDqe9eQfGj47/AA0+AXhF/GPxM1BL&#10;K3yUtoF+e5upQM+XBEPmdvyA6kgV/Pn+0f8A8FHPi78ari48OeBXl8K+GpMxfZrR/wDT7qM97i4X&#10;lQw6pFhccEtya+54R8Pcwzh81CPLTW83t8urfp82j8P8W/H/ACDhCHs8bU9pXauqULOXk5dIR83q&#10;+iZ+33xu/bO+AHwKeSw8U6wt5qiD/kD6QBdXQPo4UhIv+2jKfQGvza8Z/wDBWrxrdanj4beFdLtb&#10;NSTu1ySW5ncdjtgeFU+m5/qK/G6Ml90jksxO5mYkknuSe5NffH7Lf7DHxL/aDaLxLqm/QPC7EE6r&#10;cx5mul7iziON/T/WHCDtuIIr9q/4hxkWT4d18xlz26y0V+yit/TVn8WT+kdx3xfmCwHD1P2PNtGm&#10;k5W7zqS2S6v3F0PpTwx/wVO+Mmr30WlXfg/RNTmnbyktdMN3FLIW42qC055z6GvtPwz+z/4L/aN0&#10;Z9d+NPwyuPClzMvmIx1Z2uHJJOfLjZTGec/OoPYivo34Lfs2fCL4CaWLH4e6VFDcsgW41S5xNfT/&#10;AO/MwyB/srhR6V7uBtHFfi+d8S4JVH/ZGHdH+9zSTfyUrL53P7F4H8L86nh1/rjmCxl/+XTp05QX&#10;/b0oc7f+Hls+6PyM+Iv/AAS10va9/wDCTxHPbSD5o7HW0EiZHIAuIQrL2xlG9c18WeNfA37WX7NN&#10;0H1e58Q6baq2I9R0y9mlsHwcjLRsVHT7siqfav6MdX13SdA0ufWtbuIbSztYzNc3Nw4SONF5LMx4&#10;Ar8gv2jv+CiTaul14L+BsKC1cPb3OvX8KyeavQ/ZoJAQFPZ5ASeyjrXtcM8Q5rjJ+ynBVYrdy0t/&#10;29b802fmXjF4Y8GZHQeNpYmWCrP4Y025OTXaDa081KEV1Z86+Cf28/2kPCsiC+1aDWYF6w6vbI5Y&#10;Dt5kXlyfrX0pqH/BTnxLLoKR6T4VsodUIIkluLp5bYYHBWNVRz9C4x6mvymV2mkMj/eYlmPTknng&#10;V7d8HPgh8Qvjhr40HwLab0Qg3moT5S1tUP8AFI+Dk+iAFj6dTX1mbcP5av31alGKXyXztY/nThbx&#10;V4ycll+XY2pUlPRRfvy+TkpNfLY9L8Xftp/tH+Ky4l8QyadE2f3GlRR2wCnoA4Uvx67s+9bXgL9n&#10;79qr9oNU1K5m1ZdPm+b+0/El5OsTK3eNHLSOMf3V2+4r2S41H9mT9kVfsWmW8fj7xzbqfMu5sHTr&#10;KcdgMlFKnsoZ/Vkr6C/Z7/4KCeGvG17F4V+LkNvomoTP5dvqMLY0+Uk/Kr7iTC3YEkqfVelfJY7E&#10;1KdJzwGFtFdWrX81Hf5v7j9S4e4fwWMzGGE4vz+Uqsv+Xam5RT/lnUd4J9OWOi25r2KXgD/gmf4B&#10;0yOO6+I+sX+rTAAvbWAFpbZ7jd80rfUFPpXa+N9Btf2W7X+1vg98LptYtrZNzalDqMkrJgZJeH97&#10;Lgc5ITHckV9/RyJKgkQgg8qQcgg9CCKPLwODX5/UzevUletLmXbZfhY/rfDeE+UYPD+zymksPUW1&#10;RRjOa+dRT/TyaPxS1H/gpn8WGmI07w94ftwGO5Ln7TKwx2OJYuR9K7PwD/wU5uvtH2f4o+HI/KY8&#10;3egyMCoPrBOzZ/CT8K+2fjj+yV8JvjZDJfanaDTtZZSI9Z05Vjmz281OFmH+8N2OjCvxH+O37NPx&#10;J+AWqCLxTAtzpszlbPWbMFraX0V88xyY/hbr2JHNejSeErRtGFmfz1xriOPuG631ueOdeivtKMWv&#10;+342931WnaVz99fhT8f/AITfGW187wHq8FzOE3SWE2YbyId90L4bA9Vyvoa9m3qTgV/JZY319pd5&#10;FqOmTzW9xA4eGeB2jkRh0KspyD75r9IPgB/wUL8V+FZofDnxqEus6dkRpq0Sr9ugHrIBgTqO54f3&#10;bpXm4nL+W7gfYcCfSTwuKlHDZ1TVKT+3G7h81q4+uq72R+2tFcx4R8Y+GvHeg2/ibwjeQX9hdLvg&#10;ubZw6Edwe6sOhU4IPBrp681qx/TtGtCpCNSnK6eqa2a7oKKKKRqFISB1pa47xv498JfDnw3ceLfG&#10;t9Bp9haruknnbGT2VB1d26Kqgk+lJuyuzKvXhShKpUklFatvRJebOv3qK8J+Lf7R/wAHfgpCT471&#10;iGO6wWj0y1/0i8f6RJkqPd9q+9flH+0H/wAFCvG/jd5fDvweE3h/STmNtQbA1G4X1DDIgU+inf8A&#10;7Q6V+cN1c3F7cyXt9JJNNKxeWaVi8jsepZjkk/U185j8/UPdoq779D+dOMPpA4ehKVDJ6ftGvty+&#10;H5LRy9bpdro/Vv4j/wDBUDW7l5bP4UeH4baPlUvtbcyynr8wgiIVfbc7e4r458UfthftMeNpTb3X&#10;ijUYRKwRbbSES0ySeAvkKHz2+8ai/Z+/ZY+Jf7QV/wCdoMQsdGhlCXet3anyFI6rEvBlkH91eB/E&#10;RX7kfA39k/4Q/Au0iufD1it7qwTEutagokuS3fy8/LCD6IB7k141LD4/Hauo4x+77krXPluH8v4s&#10;4otXr4uVKi+usU/8MY25vV6edz8jvAX7G/7UvxxSPV/Fc93pljMAxuvE11M80inkFYCXkOexcKPr&#10;X3N4C/4Jl/BvQESfxzf6pr84HzIHFlbZ9kizJ+chB9BX6RBMHOafXs4XhTB09Zx533lr+B+z5J4Q&#10;ZNhbTrU3Wn3m7/ht96fqeXeAfgz8NvhioTwPpcVhgYysksjHjHJkdq9Roor6ClRhTXLTikvI/S8N&#10;haVGCp0YKMV0SsvuQUUUVobhRRRQB//Q/v4ooooAKKKKACiiigAooooAKKKKACiiigBrHg4618e/&#10;tc/tgeBP2VvBv23VTHqHiG+jYaJoKPtedunmzEcxwIfvN1P3Vya6v9qj9pXwb+y18K7v4heJyk10&#10;5NroulhsSX16wJSNe4RcbpGxhVHqRn+Rr4lfFfxx8bfHt/8AEn4iXjXmp6jJvkPSOFADshhXokUY&#10;+VVHbk5JJr9s8JfCqec1HjcYmsPB+nO+y8l9p/Ja3a/jP6VP0n6XB9FZNlMlLHVVfuqUX9uS6yf2&#10;IvT7UtLKXafFf40/Eb48+NJ/HvxM1CS+vZSVijGVt7aLORFBH0RF9ByTySTzXD25xjHPNYdp0/z6&#10;V+zf/BNz9itPHFxbfH/4qWYfR7eTzPDmm3CgrezxnBuZUbrDGwIjB+8wz91cH+nOKc6wWSYCVWaU&#10;YQ0jFaXdtIpf1Za9D/NXw44NznjXPY4OjN1KtVuU5ybdlf3pze+l/m2ktWjrf2Hv+Ceo123tPi98&#10;frJ1tGKXOj+G7gbTOuMrPeKedh6rEcEjl+Dg/udbWttbQR29rGkccaBI44wFVVAwFUAAAAcACpI1&#10;KjBGOakr+HOKeKcVm2JeIxMvSK2iuy/V7s/2t8MPCzKuE8ujgMthq/jm/im+7f5JaLp1bK4X4ifE&#10;Twp8LfCd5428bXiWWnWUe6WVuWZj92ONeru54VRyTXQeIdb0rwzo1z4i124jtbKxge5urmY7Ujij&#10;GWZj6ACv5rf2sv2pNe/aN8asLR5bfwxp0zLo2nEld+ODczLnmV+39xflHcnq4Q4UqZnXa2hH4n+i&#10;83+G54PjT4v4bhPL1OynXqXVOH5yl/dj+Lsl1a0/2m/2tfGv7RWttZK0mm+GraQmw0iN/wDWbeFm&#10;uSpw8h6gfdToOck/MMY6fSseHpX1b+y1+zvrX7Q/j5dHXzLfRbDZPreoLwUjJ+WGM/8APWXBC+gy&#10;x4GK/fa1PC5dhWopQhBf16t/ez/M6NbN+Kc3jzydbEV5af1tGMVfyikdj+yv+yn4k/aE1n+0r4y6&#10;f4atJNl7qIXDzP3gt85BfH3mI2oOuTgV+5Fx8FPBsPwnuPhB4WWfQ9NntGtRLpUhiuEJ6yGQfM7s&#10;fvlidwyD1r0Pwn4S0DwR4fs/CvhW0hsdPsYhDbW0AwqKP5kkkknkkknrXTV/PfEHFFbG1+dPljF+&#10;6v1fmf6Z+GPgxlvD+XyoTiqlapG1Sb6p7xj1UfTV7vol/Mt8dfgX4y+Ani9/DPidPNt5t0mnajEC&#10;IbuIH7y+jDo6HlT6ggnw84YYPSv6gfi/8IfCfxp8G3Xg3xhAGikDPa3SgedaT4ws0R7MO46MOCMG&#10;v5xvix8LvE/wc8c3ngTxWmJrZt0M6giO5gb/AFc0ZP8AC4/I5B5Br7bI+IFjIclTSa38/Nfqfxz4&#10;0eDlThvEfWcJeWGqP3Xu4v8All/7a+q31Tv9dfsn/tp6z8KbiDwH8SZpr7w0zBILlsyXGm56bepe&#10;H1Tkr1Xjiv3D0rVbDW7GDVtJnjubW5iWe3nhYPHJG4yrKw4IIOa/k761+hv7En7Vc/w11y3+Fnj2&#10;5J8O303l2NzOxP8AZ1zIcKMk8QSHhh0Vju4Ga+e4iyOMr1qKs+q7/wDBP0LwM8camEqU8lzipek9&#10;ITe8H0Tf8vZ/Z/w7fuUQD1rE8ReG9B8V6Jc+HvElpBfWN3EYri1uUDxyKexB/Q9QeRWyjBhkdDyC&#10;KfXwaZ/c1SnGcXCaununsz8DP2tP2ONU+C1xJ428CpcXvheV8ybvnm05mPCykctEeiyHp0Y9CfhH&#10;A61/Wnqen2WrWE2l6lDHcW9xG0M8EqhkkjcYZWByCCDgiv5+v2wf2X7v4C+KRrvhtJJPC+qSt9ic&#10;kubSYjc1tIeeMZMbHqvHUGvVpYtzXLLc/h7xr8Go5Y5Ztlcf3L+KP8jfVf3X/wCSvyenlfwF/aJ8&#10;d/s++JBq3hqQ3Gnzup1LSJmPkXCDqR12SAZ2uBkdDkcV/Qt8Ifi/4M+Nng2Dxp4KuPMhk+S4t5MC&#10;e2mA+aKZR0YfkRyCQc1/Lefu/hXt37P/AMevFfwA8bxeJ9CZ5rGZki1bTC2I7uDPTHQSLklG7Hg5&#10;BIPDX3PE8IvFyvklWODxcnLDSe27g39qPl3j81rv/TnRXH+BPHPhr4ieEbDxp4TuBc6fqEAmglHB&#10;HZlYc7WUgqw7EVnfE74j+F/hV4JvvHfi6bybKxi3tj78sh4SKMd3dsKo9+eAa527as/vOWYUFQ+t&#10;OovZ25ua+nLa979ranNfG/44eCvgP4Pk8W+MJuW3R2FhGR595OFyI4xzx03MRtUcnsD/ADxfHL4+&#10;+Pfj94obxB4vnKW0LMNO0uFj9mtIzjhR/E5GNznkn0GAKnxy+Nni348+O5/GfihykeTFp2nqxMNn&#10;b5+WNB6kcu2PmbJ6Yx47XzOZ4xz91bH8M+KHitXzuu8Nhm44eL0XWX96X6Lp6jJOn41+hH7H/wCx&#10;Tf8AxeaH4jfEqOW18MK++ztQSk2plTzg9UgyMFhy/ReOaxP2LP2Vv+F4eJD4y8Zwt/wjGlzbXQnb&#10;9vukw3kDv5a8GUg+ijqcfv7ZWlrYWcVjZRxwwwxrFDDEoRERRhVVRwAAMADisstylVH7WqtOi7n2&#10;Pg74Txx0Y5pmcP3X2Iv7Xm/7vZdfTehoeiaR4e0uDQ9CtoLSztYhDb21sgjijQdAqjgCtgDHFFFf&#10;V+SP6/jFRSjFWSCiiigoKKKKACiiigAooooA/9H+/iiiigAooooAKKKKACiiigAooooAKzdV1Wx0&#10;TT59X1WWK3tbWB7m5uJmCJFFEpZ3YngKqgknsK0q/Hf/AILAftIyfDb4QWnwT8NXPl6r4x3/AG9o&#10;2w8WkwEeaOOR9okxH2yokHrX0vB/DNbOMzw+XUN6js32W7fyV2fnXiz4jYThLh3HcQYzWNGN0v5p&#10;vSEV/ik0vLfofi/+2/8AtU6n+1V8brnxHaySp4c0t30/w1ZvwFtgfmnZf+elww3seoXav8NfMdj2&#10;+g/lXGW3+tGPUV2VkcYPXgcfhX+ltHJ8Pl+EpYLCx5YU1ZL06+r3fd6n/OTjOLcdn2a4rOczqc9a&#10;vJyk/N20XZJaRWySSWiPtj9ir9m29/aZ+MNr4UuA8eiaeF1LxBdJxttVYAQqe0k7fIvoNzc4r+tn&#10;R9G03QNNttG0aGO2tLOBLW1toVCxxRRgKiKo6BQABXxD/wAE9/2dh8A/2f7FtWgEeveI9mtayzDD&#10;x+Yv7i3J9Io8ZH99mr7yr+AvFzjR5tmk4UpfuqTcY9n3l83t5JH+7f0UvB+HC/DdKviadsTikp1G&#10;94p6wp+XKndr+ZvsgpGOBkUteIftDfF+y+Bvwh1v4k3YV5LG2KWNuxx515N8kCe43kE4/hBr8ywm&#10;FqV6sKNJXlJpL1ex/SGbZrQwOFrYzFS5YU4uUn2UVdv7j8tf+CmP7S0up6qn7PXhCci2tTHdeJJo&#10;X/1k5w0VoccFUGHcd2Kj+E5/JWP7tRanq+p+INWude1qZ7i8vbmS6up5PvSSysWdj7kmpU6fjX9e&#10;5JkNPLcHDC0+m77vq/66H+MviHx7iuJM4xGa4n7TtGP8sF8Mfkt+8m31Ow8JeHNZ8YeIrHwp4dha&#10;4v8AUbqOztIV6vLI2F/AdSewBNf1B/AD4J6B8CfhtZeB9GCPMi+fqV4FAa6u3A8yQnrjPyoOygCv&#10;zN/4Ji/BCPUL/UPjpr0BKWhbS9CMg4MzD/SZl9SoIjB9S3pX7QKMCvwzxM4gdXEfUab92G/nL/gf&#10;nc/u36KPhpHBZc+IMVH95XVoX+zTT39ZtX/wpd2Oooor8tP69EIyMV8bftmfs8w/Gr4bPqWiQq3i&#10;HREe501wPnnjxmW2J77wMp6OBjqc/ZVMfOOM9e1dOExU6NSNWm9UeHxLw9hs1wNbL8ZG8Kis/Ls1&#10;5p2afRo/krZWVirggg4YEYII6gj2pK+2v27PgtH8LPi43iLRYRHpPiVX1CFUXakV0CPtMQ6AckSA&#10;ej46CviWv1SOKjWpRqx2aP8AKTijhyvlOY18uxPxU5W9V0a8mrNep+5f7A/7Q0nxG8Fv8M/FM/ma&#10;1oMS/ZpZWy91YZ2o2epaE4Rj6FT61+hincoPrX8t/wAJPiVq3wj+IuleP9ILF9PuVaaIHHnW7fLN&#10;EfZ0JHscGv6d/DmvaV4n0Cy8R6JKs1nf2sd3ayg/ejlUMp/I8jtX55neDVOpzRWkvzP72+j34gyz&#10;fKngsTK9XD2V+soP4X6q3K/RN6s2q4H4mfDvw58VfBWoeBPFMYktNQtzEzAAvE/VJU9HRsMD/Q13&#10;1JgZzXjJ2P3rFYWnXpTo1o80ZJpp7NPRpn8rnxQ+HWvfCfx1qXgDxKuLrT5jGJB92aJhujmX/ZdS&#10;CPy7GvOzzX7Wf8FHfgsviDwZa/GPRov9M0TFpqe0ZMtjK3yOcf8APGQ/98sfSvxTyK0qyvqf5reI&#10;3BssizergvsfFB94vb5rVPzR+lv/AATd+K3ivTfiDc/CFYZ7vR9St5dS+XlbCeEDMpzjCSjCMO7b&#10;SO+fN/26v2iJvi38Qm8E+HZ93h7QJniiMbZS7vBlZZzgkMqcpH7ZP8Vdr4Dmf9mL9ke9+JihYvFP&#10;xBkOm6MxGJbfTwDmUd/u7pPq0Z5wBX5vv97r278n868vFTajyn2PEHE2NwPDuDyCdVtzXtJL+WEt&#10;YQ+fxtdLxWw2vUPg38LNd+M3xG074e6FuR72XNxcbcrb2yfNLM3sq9B3JA715fX7n/8ABOj4JJ4N&#10;+HUvxV1qIf2j4kAFpvGGh0+JjswT/wA9mG8+qha8alhva1FF7dTxfDLg+WdZrSwr+Be9N/3V/m7L&#10;536H3f4E8EeHfh54SsfBPhSBbaw06BbeCMdSByWY92ZsszHqSTXYgYGKAAOlLX06VlZH+ilChClC&#10;NOnGyirJLZJbIKKKKZqFFFFABRRRQAUUUUAFFFFAH//S/v4ooooAKKKKACiiigAooooAKKKKAGP0&#10;x6mv4vf28vjTJ8dv2pfE/iy3mMunWd4dE0fnKi0sCYgyj0kcPJ2+9zX9Y37VPxLHwe/Z08ZfEdGC&#10;zaboVy1oScA3Uy+TbjPvK6iv4eWZ3kLyEsxOWYnJJ9Sa/rr6LXDilPGZrNbWpx+fvS/9t+9n+U37&#10;TTj+cMPlPDFGVudyrTXkvcp/K/tPml2Ltt/rR9RX29+w38Ho/jh+0r4Z8G30Yk0+C5/tfVQRlTaW&#10;I81kPtIwVPo1fENt/rB9a/oJ/wCCKvw6Vz40+K13Fhgtn4fspSP4Tm4uAp9yIs/Sv3Pxcz55bkeK&#10;xMHaXLZesnyp/K9/kfxD9FLgmPEPGeV5bVjenz8810caa52n5S5eX5n72IAEAHA7AU+kAwMUtf5p&#10;H/RuFfh1/wAFXviy954g0D4LadKRHaQtr2qIDwZZcxWyn/dQSNj/AGgfSv3DLYIHrX8mv7UvjyX4&#10;k/tFeLvFbSGSJ9Yns7Vj/wA+9mfs8QH/AAGMGv1fwfyhYjM5V5LSlFv5vRfq/kfyf9MHi6WA4Zhg&#10;KUrSxU1F/wCCPvS/FRT8mzxKPoPrW/p1ndaneQ6bYIZZ7iZLeCJerySMFRR7kkCsCPoPrX2N+w74&#10;DT4gftMeG7C4Xfb6dO+t3IPI22S70BHoZdgr9/znGLD4erXltFN/crn+cnCOSTzPMcNl1LerOMPT&#10;maV/kf0NfA74bWXwh+FWh/DqyA/4lthHHcOv/LS5f553/wCBSMxr1mmqmDnOadX8X4ivKrUlUm7u&#10;Tu/Vn+32W5fSwmHpYWhG0KaUUuySsl9wUUUVidoUUUUAfHf7cfwyX4jfAfUbm2Tde6CRrdmQPmxA&#10;CJ1Hf5oi34gV/PWK/rNvbG21C0msbtd8U8TQyoejI4KsPxBr+WP4heFJvAvjvWfBk4+bS9TubH6r&#10;DIVUj2IAIr7PhnFN050X01+8/h/6VfDUaWMwea01/EThL1jqn6tNr0icd2xX7j/8E5fibJ4u+Elx&#10;4D1By9x4ZuxFCWOSbO53PEB3wjB1+gAr8OK+5P8Agnj42k8MftAReH5JCLfXtOuLF1J482EefEfr&#10;8jKPZjWuc0uajLy1PzLwI4ill3EmGd7Rq/u5f9vbf+TcrP30ooor4c/0tMDxV4d0zxf4Zv8AwrrK&#10;CS01GzlsrhD3jmUo344PHvX8y2lfB7W7745RfA+YEXn/AAkB0WVsdESUrJL9BGC/0r+oZ/umvz71&#10;H4U2Hhf9tPVfjTeRqmnWfgyXxA74AUXaqbWQn/tmhfPrk0H4b4y8DwzWeXVrfDUUZv8A6dy1k/ly&#10;/iz89/28/HNprnxih+HmgHbpHg/T4tGtYE/1azBVabA9V+SM/wC5XxA/WtnxHrl74n8RXviTUWLX&#10;GoXct7Mx5O+Zy5/nWM/WvMxTP4t4lzqWY5hiMa/tybS7LaK+Ssjtfhn4JvPiT8QtF8BWOQ+q6jBa&#10;Fh/BG7fvH/4CmTX9UeiaNYeHtJtdC0mNYrWyto7S2iXokUShEUfQCvw5/wCCavgddf8AjRf+MLhc&#10;x6DpLtFkf8vF4fKU/hGJPzFfu3V5dTtFy7n9efRyyBUcrq5hJe9VlZf4Y6f+lOX3BRRRXoH9EBRR&#10;RQAUUUUAFFFFABRRRQAUUUUAf//T/v4ooooAKKKKACiiigAooooAKDRRQB+Uv/BYTxbNoH7Iv9jQ&#10;SFG1rxJp9i6/3o4xJcMp/GIV/KmCS2T61/SF/wAFvdRdfhH4J0scJN4lubg8jGYbUqP/AEYa/m8H&#10;XOR+df6F/Rxwip8L05rec5v7ny/of4I/tCM1niPEavRk7qlSpRXzi5/nNmha/wCuGfUV/Wv/AMEp&#10;fCkfhv8AY30bUNpWTWtS1HVpcjrmY26H8UhU1/JNbEeYOR1Hev7Qf2DbBNN/Y8+Hlui7d3hq2nYE&#10;YO6bMhyPq1fM/SexThk9CkvtVFf5Rl+tj739mrlkKvFuOxMv+XeHlb1lUpr8k/vPriiiiv4aP9sT&#10;i/iLr/8AwifgLXPFXfTdHvL8fW3heT+a1/HRHNJcyPcTEs8mZGZjklm5JJ9Tmv6wP2uNSOk/sz+O&#10;r9W2lPDN6MgE/fjK9B9a/k6t2UDHH3cdfpX9HeCGGSwuKq9XJL7k/wDM/wA5PpvZg5ZpleEvpGnO&#10;X/gUkv8A2w14+g+tfrV/wSk8OC7+JHifxXIoIstHhso2xyrXU24/mIjX5KRMpA5FfuF/wSbslTwp&#10;4z1NSN0upWEB9cRRSsP/AEZX0PiVWdPKMRbd2X3yX6H5P9GTARxHGeXqW0XOX/gNOTX42P14ooor&#10;+UD/AFzCiiigAooooAK/ni/bp0JdC/aZ15ol2pfRWeoDjALSwKrH/vpTn3zX9Dtfhl/wUosktvjj&#10;p14oANz4cgdsd9k8yc/9817/AA5O2Ia7r/gn86fSewaqcNxq/wAlSL+9Sj+p+elem/AvxFJ4U+M/&#10;hXxCrbRba9ZGQ/8ATN5RHJ/44xrzHctTaXcG21S1uEba0dzE4YHoVcGvpMYrxaP4NybFSoYmlXjv&#10;CSkvk7n9aCnJNPqtazi5hSdcYeNXBHT5hnirNfnjP9fE76hXzF+2HrMfhn9nLxbq8IVJ5tK/s5ZM&#10;fMVupFiK5HOMO3FfTtfDn/BRC6kt/wBmbUI06Tapp0TH288N/wCy0M+S4+xLo5Hj6q3VOf8A6Sz+&#10;fZvvDHoKR+tEjLuByO3SkcrnqOnrXl4k/wAy47H7W/8ABL/w6tr8NfEfihh819rcdmCR/DaQq3Ht&#10;mb9K/UGvhD/gnVYpbfs02dwq4+16vqEzHjnbL5X/ALJX3fXbho2pxR/pF4VYRUeHcvgusE//AAL3&#10;v1Ciiitz9ACiiigAooooAKKKKACiiigAooooA//U/v4or/Ol/wCInb/gpv8A89fAP/giP/x+v7Z/&#10;+CYv7RPxE/ay/YU+Hn7QvxXNk3iHxNpM15qZ06H7PbGSO6mhHlxbm2jagyMnnNfT55wji8vpxq17&#10;Wbto79328j5rJeK8Lj6jpUL3SvqvTzPvOikPQ1/IP/wWg/4LX/tq/sJ/tsXPwD+Bb+FV0GLwxpWr&#10;p/a+mG7uPPvFkMmZBKny/KMDHFedk2S1sfW9hQte19XY9DOM4o4Gl7ave17aH9fNFfzW/wDBBP8A&#10;4Kn/ALU3/BRjxZ8StF/aJbw80PhXT9HudK/sOwNk2++kuFl8wmR9wxEuOmOa/pSrLNsrq4OvLD1r&#10;cytt5q5rleZ0sZQjiKN7O+/k7BRRRXnHoBRRRQB5r8RPg58LPi5a21j8UNA0vXobORprSLVIEuEh&#10;dxtZkDDAJAwa8p/4Yp/ZJ/6J14R/8F0P+FflR/wXp/4KN/tGf8E6fhn8PPFf7OzaIt34m8Qahpup&#10;/wBuWRvU8m2tklTy13ptO5jk859K/mc/4idv+CnH/PXwD/4Ij/8AH6/ReHsmzuthY1MFiXCDvZKc&#10;l110Wm5+V8UU+GXjZvMsvp1aul5SpQk3orayV3ZH93o/Ys/ZLByPh34SH006H/CvoTw/4e0Twpot&#10;r4c8N2sNlYWUCW1nZ2yhIoYkGFRFHAUDgCv88GP/AIOeP+CmySK7v4AYAglW0JgCB1BxcA8+xzX2&#10;V+z5/wAHYfxi03W4LD9qX4a6Bq2lO6pcaj4Inn0+9hQ8F/s15JcxTEddoliz2xW+Z8IZ9Wh+/quq&#10;lrZzb+7mIyHN+GcDUcsDhYUHLRuNOMbrzcVt6n9xtFfPn7MX7UfwP/bA+D2m/HH4Aa3Brnh/UgY1&#10;lQGOe2uI8ebbXUL/ADwzxEgPGwyOCMqQT9B1+b1aUoScJqzW6Z+p0qsZxU4O6ezMTxF4b0Lxdotz&#10;4c8TWsN9YXsRgu7O5UPFNG3VXU8EHuK8XH7J/wCzSOngbw1/4Axf/E19B0V0YfMMRRTjSquKfZtf&#10;keXmPD2Axk1UxeGhUa0TlGMml2u0z5/H7Kf7Nq9PBHhv/wAAYv8ACvR/BXwy+H/w3tprPwDpFho8&#10;VzIJbiLT4VhWR1GAzBepA4FdzRTrZliKkeWpVk15tsjBcM5bhqiq4bCQhJdYwin96VwoooriPbCi&#10;iigAooooAK858XfCL4Y+P9Qj1bxtoWmarcww/Z4p76BZXSIMW2AsOBuYnHqa9GoqoTcXeLsc2LwV&#10;HEQ9nXpqcezSa+5nh3/DNH7P4/5k/wAP/wDgHH/hR/wzR+z8CGHg7w/kHIP2OPIP5V7jVS/leCxm&#10;nj+8kTuufUAkVp7eo/tP7zyv9VcrX/MHT/8AAI/5E0UMcCLHEMKqhVUdABwAKlr/ADu/EH/BzT/w&#10;Uy03xFqOl20ngIRW2oXNtFu0Ik7IpWRcn7RycDmsn/iJ2/4Kb/8APXwD/wCCI/8Ax+vu/wDiGuZP&#10;W8fvf+R4H/ERcuWlpfd/wT/RarmvFfg7wt460k6D4xsLXUrJpFla1vIxJEXQ5VipyMg9K/gA8Gf8&#10;HTP/AAUN0C/WbxZofw31+1MgMkEum3dnIV4yqSW94Ap68sj9enQV/RV/wTJ/4L7/ALP/AO354wg+&#10;CfjrSZPh58Qbtf8AiVaVd3YvNO1h0Us6WN3siImABIhlRWYD5CxBA8vM+CMwwtN1ZwvFbtO9vlv+&#10;B24Pi/LMc/q7l8WlpLR+XVfJ7n7DH9mP9ns8nwb4e/8AAOP/AApP+GYv2ev+hN8Pf+Acf+Fe6DoK&#10;WvkeVdj1v9Wsu/6BYf8AgEf8jnPC3hDwx4I0aPw94QsLXTbGJneO0s4xHErSMWYhQMZZiSfeujoo&#10;ppHrUqUacVCCsloktEgooooNAooooAKKKKACiiigAor4a/4KP/tg/wDDCX7HPjH9pe106LV9Q0O1&#10;gh0fTLh2jhuNQvZ0trcTMnzCJGfe+MEqpAIJBr+Hj4ff8HMH/BTHw18Trbxh471Twz4k0D7Ysuoe&#10;E20W2soJLYt80MFzABcxMFJCO0j/ADYLhxnP0+ScI4zMKU61C1lpq932Wh8znXFmEwFWNKve710W&#10;y89T/Rsor8Rf+H6v7In/ADz1f/xz/Cj/AIfq/sif889X/wDHP8K83+wsb/z4f4f5no/23hf+fq/E&#10;/9X+X+v9Q7/ghX/yig+DX/Yv3P8A6X3Nf5eNf2of8Ezf+DgH9g/9kb9hn4e/s6fFaDx2/iHwvpU1&#10;lqbaVoyXNoZJLqaYeVKbhC42yDnaOa/oPxDy6vicHThh6bk1K+noz8E8PswoYbFVJ15qKcWtfVH9&#10;lFf5yn/BzX/ylCvf+xF0D/0Gav6MP+IpD/gmd2tfiZ/4T8f/AMlV/I5/wWX/AG0Pg5+3r+2nc/H/&#10;AOBa6wugy+GdK0hBrlqLO58+zWQSfug8g25YYO7mvlOAMjxmGx7qV6LiuVq7XofU8d57g8RgfZ0K&#10;yk+ZaJ+TP2t/4NIf+ShfG3/sEeG//R15X9uBOK/iP/4NIf8AkoXxt/7BHhv/ANHXlfuF/wAFiP8A&#10;gr/4T/4Jn+AdO8OeFNPtvEXxK8U28s3h/RbqQrZ2NrEwRtQv9hEnlbztijUhpXDDcqqxryOMcvrY&#10;rO6lChG8ny/+ko9fhHHUsNktOtWlaK5v/SmftYHB7EUu719cV/la/Fz/AIK2f8FNf2ivFUt/rnxX&#10;8cQyXUjSRaL4OuptIs41znZFa6d5e5V7GQu3q2a6D4Af8FmP+Clv7M3i+DVNJ+JnibXoLWbF34b8&#10;eXE2s2MqD70Lx3jNNDn1hkjYHn2Pa/C3F8l1Vjzdtfzt+hwrxNwnPZ0pcvfT8r/qf6llFfnn/wAE&#10;yv8AgoL4E/4KQfsyWPxx8MWq6Tq9rcto3izw8ZPMbTtUhRWdUY8vBKjLJC5HKttPzK2P0Mr85xWF&#10;qUKkqNVWlF2aP0LDYmFanGrSd09UfyLf8HbP/JDfg3/2OGs/+kUdfzDf8EnP2Y/hd+2P+394C/Zy&#10;+NEd/L4a8RHWP7STTLlrS5P2HSLy9i2TKCV/ewpn1GR3r+nn/g7Z/wCSG/Bv/scNZ/8ASKOvwK/4&#10;N8/+Uuvwl+viT/1HtRr9w4Zqyhw7KcHZqNRp+fvH4pxJSjPiCEJq6coJr7j+rTWv+DYD/gmRfaZL&#10;aaSnxA0+d1Pl3kOvmV4yR1CTwvGfxU1/G9/wVS/4Jy+K/wDgml+0p/wqHUNTbXfD+taf/bvhLXZI&#10;xFNc2PmGJ4rhB8q3EDjbJt+VgVYY3bR/qkv90/Sv4Rv+DsP4jeFdd/aV+F/wz0m4in1Xw74R1C+1&#10;eKNgzWy6pcxG2RwOQzrA7gH+HBxgivmuA+IsdWx6oVajnFp3vray3/Q+j454ewVHAutSpqMk1a2l&#10;7vYwf+DVj9o3xN4T/au8X/sxXF3K+g+LfCs3iS3sWYmOLVdHliUzIOitJbTMkmMFtiZ+4K/vYY7R&#10;k1/nK/8ABsn4Y1TXP+CodlrVkha30bwJr97ePjIVZhBbJ9MvKK/oE/4LLf8ABeyL9iXxTdfsx/sv&#10;Wen618SbeGOTXtY1NfP0zw+J0DxxeUrL9ovCjK5RiEiUjfuJ2jPjPJKmKzj2OFjeUopvt2u/lY04&#10;Ozmnhco9riZWSk0vzsvxP6ZN4zjmjzBkDBr/AChvij/wVa/4KL/FfVpNb8b/ABp8fRmSQyC10nVp&#10;tIs0J6BLawa3hGAcD5CcdSeSfSvgB/wWh/4KV/s86/baz4c+KniPxFZxOpk0Txtcya9p88Y/5ZkX&#10;bPLGpHQwyxkdc0T8LMWoXVWN+2v52CPidheezoyt30/K5/qYgg0jNt7Gvy2/4JT/APBTz4ef8FNP&#10;gZceONHsl0Hxd4enh0/xl4Y83zRazzKWhuLZzhntbgKxjZgGDK6HJXJ/lV/4LH/8FTv+Cg/7Pn/B&#10;SD4kfCD4MfFLX/D/AIa0e40tNN0izis2htxPpltNIFMtu7/NI7McseT+FfL5XwnicTi6mCdoTgru&#10;/wAu1+59PmfFOGw2FhjFeUZOyt8+7XY/vyV8nH40pYL1r+fH/g3N/at/aJ/a5/ZR8Z+Of2kfFeoe&#10;LdW074gS6VZX2orCkkVoun2koiHkRxjaHkZuRnJ614z/AMHKP7Z37Uf7HnhL4Q6h+zL4z1PwfNr+&#10;qeIYNYk01LdzdR2kNk0Kv58Uo+QyORjHU1lDhutLMf7NUlzXtfW2iv6msuIaUcB/aDi+W17dd7d7&#10;fif05hwTin1/Dr/wQP8A+ClX7df7Uv8AwUKs/hP+0F8Sdc8UeHX8Fa7qT6VfxWiRNc2xtvJkJhgj&#10;bKb2x82Oelf3FVz59kdTL6/sKsk3a+n/AATbI87p4+h7elFpXtr/AMAQnFN8xc45r4u/4KK/HXxn&#10;+zP+w58U/j18OpLeHXvCvg++1XR5buNZYUu0ULCzRt8r4cj5T948V/m+fE3/AILG/wDBTP4m3Ul3&#10;4r+NvjWyEpz5GgXo0KFR/dVNOW34+pJPcnv6nDnB1fMoSqU5qKTtrf8ARHm8Q8XUMunGnUg5Nq+l&#10;j/VUL47GgOCQPWv8l3wh/wAFK/2/fCGpprnhP42fEqOaNgQW8RXtzC23kB4ZpZIpB/supHtX9lH/&#10;AAQS/wCCz3xK/bf13Uf2Wv2omtLvxxpOkNreh+JrSJLY6zY27JHcR3UEeI1uoS6PviVVkQn5VKkt&#10;3Z54f4rBUZYhTU4re26+Rw5Jx5hcZWVDkcW9r7fef0+1Q1X/AJBdz/1wk/8AQTV+qGq/8gu5/wCu&#10;En/oJr4Rbn3D2P8AG48YY/4THWP+wve/+j3r+0b/AIJc/wDBBf8A4J//ALW37BHw4/aJ+L9l4ul8&#10;SeJ9MvLvVZNO1ya0tmkhv7m3Xy4VQhB5cS5APJye9fxc+MP+Rx1j/sL3v/o96/05P+CD/wDyiU+C&#10;/wD2A9R/9O17X9A+ImYV8Ng6U6FRxbklp2sz8I4CwFHEY2pCvBSSi3r6o/Bj/gp//wAG3XwV+BX7&#10;NXib9ov9kXXfEiXfg/Tptc1Twv4injv4bzT7f57g21wI45Y5oowzgOXVwuPlPNfx/eFPF/iX4f8A&#10;ifTPH3gq7msdX0W+g1bSr63YpJBd2kglhkRhyCrqCOa/08/+Cz37Xfwo/Zb/AGCfiDaeOtTtE1zx&#10;h4X1Hwp4W0LzB9sv73U4HtspEDv8qFXMksuNqBcE7ioP+XZHbzyhbOzR5ZnxFDGgyzuflVVHqScA&#10;DvT8P8wxWKwk5Yt8yvZN9VbX1M+PMvw2FxUFhVyu2qXR309D/YY/Z6+J8fxq+Avgz4wR4x4n8LaX&#10;rzBRgBr61jmYAdgGY4r2DdXwD4b/AOEr/Y//AOCYFrLuVNc+HPwUWYGaLzVS+0fRt4DxHbuCyx4K&#10;5GcYr/O6+J3/AAWk/wCCnvxVuHvfFHxo8WaWsreYLbwzcR6FBHnnan2BYX2jtudj71+W5LwhVzKp&#10;VeHmlGLtrfztax+m5zxZSy6FJV4Nykr6W+Z/qhlgPWkVw3Sv8lDw5/wUf/b00HUV1fw58bfidHPG&#10;wO9PE+oSqec4dGmZHGRyrAg9xX9Zv/BB7/guB8Zv2nfi5F+xx+19d2usa3f6dPdeDvGCQJbXV3NZ&#10;IZZ7O/WPbE8hhDPFKiKTsKsGLA135z4d4vCUZV4zU1He1727nDlHiBhcVWjQcHFy0V9rn9cbMF60&#10;3zB6Gvwc/wCDhr9qH4/fsnfsT6N8SP2c/E9/4T1y48f6dpU+o6esLyPaTW107xETxyLtZkUnjPHW&#10;v5Qf2Zf+Dgj/AIKBfB34gXvjP4u+M9V+IVivh7UbPTfDmtJax2J1WdFWzubg28MMpjgYF2VXBYZX&#10;jORwZRwTisbhXiqElu1Z3vp8rHfm3GOGweJWGrRfR30sr/O/4H+lEHDYIB5pPMHXBr/KW+MX/BWb&#10;/got8c/Ftx4p8Y/GDxraSSzNNHpvh3U59G063B6JDaWTxRqqjgFgz46sTkn7k/4J8/8ABfr9sr9m&#10;L4paTYftA+K9Y+I3w8uruK21+x8TzNfalZWrNte6sb6UmYSQg7/Kkd0dRtwpIYeziPDDGwpOcakZ&#10;SXTX8GePQ8S8HOqoSpySfXT8Uf6RNNLYrk7vx14SsPBUnxHvtRtYNBi0s63LqszhLeOwWLzzcM54&#10;EYi+ck9BX8An/BR3/g4y/aj+Pvj7U/BX7HmsXfw7+H9ncyW1hqmmqItf1eNCV+1S3R3G1ST70cUG&#10;11Ujc5ORXyuQcNYnMakoUVZR3b2X/B8j6jPeI8Nl9NTrO7eyW7/4B/oTlwOxoD7ulf5PPw//AOCp&#10;n/BQ/wCGHi6Lxd4Y+NXxCa+SYTvBq2t3Op2twwOSJ7S9eWGUN0O5CeTgivrb40/8F/P+Cm3xU8bf&#10;8Jd4Y8fXXgq3bTrG0l0Pw1BbCw+020Cx3FzGt1DNIpuJQ0rJvIUttBwBX1tTwtximlGrFrvr/kfK&#10;U/E3COLcqck+2n+Z/offtcfsw/D39sr9nrxR+zd8UvtCaN4nsPsstzZsFubWeJ1mt7mEnI3wzIjg&#10;HKtjawwTX8pXw7/4NMNTsfina3XxV+LdnqHgy3vUlurbSNJlttVvbZHBMBaSZordpFypkUybM5Ck&#10;195fsm/tiftN+Ov+Dfvxv+1Z4u8Yalf/ABD03w94vu7HxTMluLqGbT5ZFtnVViEWYgoC5T65r+T/&#10;AEP/AILX/wDBVO612xtbj41eKGjlvYI5FMGn/MrSKCOLTuK34aynNqccTQweIjFRk0766rqtHb8D&#10;LiPNMqnLD1sXQcnKKat27PVH+iL/AMMB/se/9CLo/wD5F/8AiqP+GA/2Pf8AoRdH/wDIv/xVelf8&#10;JBrn/P1L+Sf/ABNH/CQa5/z9S/kn/wATXwHtsX/z/l/4Ez7j6thf+gdfcj//1v5fzzxX6g/Az/gj&#10;T/wUa/aS+FGjfG74N+AV1bwz4gt2utJ1FtW0+Dz4kkaJm8uadJFw6MPmUHivy+r/AFDv+CFf/KKD&#10;4Nf9i/c/+l9zX9J8ZZ/Wy7DQrUYptytr6N9Gj+deDsio5hiJ0qzaSV9PVLz7n8RX/EPx/wAFaP8A&#10;omKf+DvS/wD5Jr86f2mv2Wfjl+x58UH+DX7Q+jDQfEcdhb6m9gLmG7xb3QJifzLd3T5tp4zkY5r/&#10;AF9a/wA5T/g5r/5ShXv/AGIugf8AoM1fP8Ica4rMMW6FaEUrN6X6W7s+g4t4Mw2Bwvt6UpN3S1t5&#10;+SPvr/g0h/5KF8bf+wR4b/8AR15X4Zf8Flfjjr3x6/4KYfFrxRrE5mg0jxNN4S0lQTshsNEAs4kU&#10;chQWRnYDguzHqTX7m/8ABpD/AMlC+Nv/AGCPDf8A6OvK/nd/4KbeBtU+HH/BQz40eEtWjkSSL4i6&#10;1dx+YMb4r24a6ikH+y6SqR7V6WWwj/rBjJPdRjb7o/8AAPNzGcv7BwcVs5Sv97t+p+zH/BDL/goz&#10;/wAE0v8Agnv8Htd1r9oCHXF+J2va7MJdT0/QpNR+z6LDHGLWCC4X/Vh5DJJIqnJbG7OFx8m/8F0f&#10;2x/2H/24/jR4R+NP7IVvqUWqDRrzTPG0+oaS2lG6eGWN9PlIP+uk2vOjv1CqgJIAx23/AASG/wCC&#10;Pf7Pn/BT34YeIda1r4r6z4V8Y+G9XNtqHhbT9Os7o/2bKiG1vkM7iRlkfzI2IG1WUAnkZ/X/AP4h&#10;Ifg32+NnjD/wR6f/APHK4sTmGUYPM6mIq1pKqtGtbbbbbdtex14fAZri8uhh6VKLpvZ6X333376H&#10;zF/waWfEHUrL43fF/wCFhlf7FqPhjSNfWDnb9osrqS3L+x2TgfhX9ya4xxzX4a/8Erf+CN3wn/4J&#10;o/F3xh418EfEbUPG2qaxoVpol/p2o2dnbS6dF55uEkIt3Z1M23ADgBguRnFfuWBgYr8v4xzGhisf&#10;Ovh3eLS8ui7n6ZwjgK2FwMKFdWkm/Pq+x/Iv/wAHbP8AyQ34N/8AY4az/wCkUdfx8fso/tQfE/8A&#10;Yz+PmhftI/BoaWfEnh37Z/Zw1m2a7sz9utJrKXzIVkiLfup324cYbB5xg/2D/wDB2z/yQ34N/wDY&#10;4az/AOkUdfy8/wDBKz9lr4a/tp/t4+Bf2aPi9Nq0Hh7xJ/bH9oS6HPHbXq/YdJu72Ly5ZIplX97A&#10;m7KHK5HBOR+s8HTpRyJSrK8Up3Xld3/A/K+L4VJZ3y0XaTcLetlb8T7+8R/8HNP/AAVH17RptItN&#10;Q8BaRJOhRdQ0vw8ftMOeN0f2q6uItw6jdG30r8OfHvj/AOJvx2+JN948+IWpar4o8VeI7/zry+u2&#10;e7vb66lwqgAZZj0VEQYCgKq4AA/v1tf+DWr/AIJq29ws0up/FKdVOWil120Cv7HZp6t+TA1+lH7K&#10;3/BJr9gP9jXVofFPwO+Hulwa/b4MPiTWWl1bVI2H8UNxeNIYCe/khB7V48OOMnwcXLBYf3n2SX3v&#10;f+tj1p8F5vi5RjjK/uru2/uX/BR+Vn/BDr/gnp4n/wCCa/7KHjn9rj9ofT/7O8deIvD8+qyaPcD9&#10;9o+gaVC93FbT7fuz3Mi+bMgJKBY0OHVhX8EvxH+Inif4uePtc+K3ja4ku9X8Satd67qdxMd7vcX0&#10;zTyEk/7TkD2r/XY/aV8Kah45/Zz8e+CNKy13q3gzWtNtQBuJlubKWNBjvlmFf4+Qgnhi+y3CGOVB&#10;5ciPwVdeGU+4PBrs8PsfLGVcXi63xtx+S1sl5HLx9gI4SlhMLS+GKl83pdvzP9Ij/giz/wAEwP2a&#10;fgt+xD4I+JfjXwZ4f8QeN/HXh+18U63reu2cN/KsOpoLi1tbfz1YQwxwPHlUALPuZiTjH8/X/By/&#10;+wN8Fv2W/ir4G+OvwI0Sz8N6f4+TU7LXdG0uIQ2K6npvkyLcwwrhITPHOd6oArMm4AEsT/XX/wAE&#10;ofjJ4U+N3/BOf4P+MfCc0csNp4F0rw5eRxsC0F7olumn3EUgHKuHgJIODgg9DX84H/B2p8XvDN7e&#10;/B74FWFzFJq9kda8U6laIQzwW1ytva2rOByvmNHNtBxkLkdK+X4ax+Lnn7U5N3cuZeSv+TtY+k4k&#10;wOFjkacIpWUbPzdtfmr3Pzg/4Nnvi9qnw8/4KY2PgaOd0sPG/hLV9Fu7ccpJNaIt/bsR0yhgfB9G&#10;Pqa+eP8Agvn/AMpaPi1/19aN/wCmizr2H/g24+G+qeOv+CpXhzxBZxu1t4U8Na5r97KoJVFe3FjG&#10;GPQbpLkAV4//AMF9FZf+CtHxZJB5udGIz6f2RaV+gUYx/wBYJtb+y1/8C/ysfCTlJ5DDm29q7f8A&#10;gL/U/pe/4NQP+TJviB/2VCb/ANNdjXgH/B3N/wAiN8Cv+w14p/8ASfT69i/4NO/Eui3H7JHxK8JW&#10;86PqNl8RUv7q1H344LzTbdIZCPR2gkAPqpr5w/4O3/G/h25/4Uj8OYLmJtWtX8Sa1cWitmSO1nWy&#10;gidl7B3jcLnrtOOhr4rCxf8ArU9Or/8ASGfaYia/1ZTv0X/pZ+aX/Bsj/wApTbD/ALJ74k/9CtK/&#10;0ba/zkv+DZDn/gqZYH/qnniT/wBCtK/0ba8nxM/5GK/wr82ej4b/APIuf+J/kjyP45/B34YftA/C&#10;fXvg38ZrFNU8La9ZG01zTpJ5bVJrVWWRlaaF45EXKAkq6nA6ivxVm/ap/wCDez9hq8m8E+G5/hFp&#10;t/Zkw3UPhvRhrlzuThhJd28FzvcYwS0xbPB6Gvij/g6b/bG+KHwr8A+BP2U/hxqV3pNj46g1LWfF&#10;s1lIYZbzT7FoYYbJnUhvJlklZpUBw4RQ3HB/l6/4Jff8E8PE3/BSr9pNvgPoOu2/hmx07QrjxLrm&#10;sywfapILG3mht8QW+5BJK8txGoBdQoJY5xg9vDnCsZ5e8Zi8RKFN3dovtpd79uxx8Q8UShj1hMJh&#10;4zqaK7XfWy279z9Tf+C637an/BLf9sX4Z+FL79j6CH/hPtG8QbL/AFCz8Oz6Kk+iTW0vmxSzNDCs&#10;xScQlFOWX5tuATn5C/4N6b+9sv8Agrj8LYrWRkW5i8SW9wAceZH/AGDfybW9t6K31Ar6L/4K+/8A&#10;BEv4Sf8ABMr9nLw58WvCnj3X/FOra34ui8Otaata2tpD5L2txctLGsJZtyeUq4yRgknnFfMv/Bvv&#10;KkP/AAVz+EzyEAFvEajJxy3h/UQBz3J4Ar7jDPCvJK6wk3KHLOzlvs/JHxVf6z/bVB4uCjPmhdLb&#10;debP9OGqGq/8gu5/64Sf+gmriPv/AAqnqv8AyC7n/rhJ/wCgmv55jufv72P8bjxj/wAjjrGf+gvf&#10;f+j3rtPD/wAe/jl4R0aDw54U8a+LdL0+1UpbWGnaveW1vErMWIjiilCKCxJOAMkk964vxh/yOOsf&#10;9he9/wDR71/pMf8ABDv4K/BzxR/wSp+DuveJfCfhrUL640XUGuL2+0u1nnlI1W8UF5JImZiAAOSe&#10;BX9N8U59DL8PCtOlz3aVr26N9n2P5w4cyOeYYmdKFTksm7/Nf5n+bP4m8XeK/G+pHXfGeq6nrF6y&#10;4a81W6lu5sdh5kzMwHtmv6pv+CB//BFa4+MGreF/2/P2iJtNn8HWV1/a3gjwzazx3Ump31nM0aXG&#10;oBNywxW00ZIgb948ijeFUYf4c/4OFf2GbT9kL9t+58e+BrCGx8G/FCCTxNpFvZxLFb2epRlU1O0R&#10;EAVB5rLOqgABZsAfKcfoR/wa5ft5Dwj4+139gj4g3ziy8SGbxN4D898pFqVum7ULJAfu/aIVE6jO&#10;N0T9258viDMa1fJvrWAdk1d9+X7SXmuvoz0Mhy+lQzdYbHK9nZdr9G/J9Pkf2nfE/wCHXg/4w/Df&#10;XvhR8QbdrvQvEuj3eh6zaJLJA01lexNDOgliZJELIxG5GDDqCDX4fX3xp/4N7f8Agn3qsngayb4Q&#10;aNrFiRBc2+k6aPEOoo6kArPdRRXcnmJj5hLLvHevHP8Ag5u/bC+JP7Ov7KXhf4OfCrVLvRb/AOJu&#10;s3tnqupWErQ3Q0bS4Y3ureORCHTz5LiFHKkEx7lz81fxgf8ABPP9iXxX/wAFBP2ptE/Zp8Japa6E&#10;dQtrvU9T1q6jM62dhYpvmkWEMplkJKoibgCzAkhQTXwnC3CyrYGWLxWIlCnq7RfbdvfzW1z7jifi&#10;d0sbHCYbDxnU0V2u+yX4Pex+7v8AwW3/AG+f+CS/7YP7NFr4f/Zhgtp/iNpWv2V3pep2fhi40gjT&#10;28xLyB7poIlZCpVvLYn5lUivxk/4JDarfaL/AMFO/gffac5jlPj6ytyw7x3KSQSqf96N2H41+sf/&#10;AAVD/wCCCPwW/wCCdf7G+o/tE6X8SfEPiTW7fXNL0ex0/UbK0sra4e/mCyACMs+5IVkcAN/Dk9K/&#10;Ir/gk5/ykv8Agd/2UXS//QzX3uUfVP7Krxwc3OCUtZd7eaWnyPhM0+tf2rQeLgozbjpH19Xqf2If&#10;8HUX/KPDw/8A9lP0r/0kva/iz/4J4/s9+Ff2rP23fhp+z745kni0TxL4mgtNY+zOY5nsolaeeNHH&#10;KNIkZQMPu7s9QK/tK/4OoG3f8E7/AA+f+qn6V/6SXtfyaf8ABEz/AJSqfBf/ALGiT/0juK8zgupK&#10;GQ1Zwdmudr7j1+L6UZ53ShNXT5E/vP8AQA+K3/BKP9gjxp+zzq/wJ074V+CtJsZdDubPTL2w02GC&#10;+sbgxMIbqK8VftAmjkIfzC5ZjnduBIP+VpLFgvC53dUPv2r/AGZ9W/5Btx/1wk/9BNf4zs/+vk/6&#10;6N/OuHwuxdWpHEqpNys47u+/Nf8AI6PE3CUqbwzpwSvzbLta35n90n/BQf8AaN8Y+BP+DbP4YXNn&#10;cMNR+IXgzwT4Sv7hSwY2t3ZLcXQDZyPMjtzG3qrEd6/jH/Zj+C93+0Z+0d4F+AVlObV/GXizTPDp&#10;uh1hS+uFjkkGf4lQswz368Zr+sj/AIKZ+D7/AMQ/8G1/7PniGwiaVdB07wFfXJQE+XDPpclqXJHQ&#10;B5VBJB61/Lb+w18XfDfwB/bM+Fnxu8ZErpHhbx5o+s6pIoJKWkFyhmfgEnYhLYAJwOBmvd4UjyYH&#10;FSor3uep9/T9DxOKZc2Mw0a3w8kPu6/qf6b/AMPf+CZH7Bnw2+D0XwL0T4V+DLrw+tolpdLqmmW9&#10;7d3xC4aa6upUaaSZzlmctnJ+XAAFf5in7anw98J/CT9sD4ofC7wFa/YtD8PePNa0fSLPzHl8i0tr&#10;p0ij3yEu2xQBliSe5PWv9azTviD4H1XwTH8SdN1fTZvDsunjVY9cS5jNibLZ5v2jz92zy9nzFs4A&#10;5Jr/ACUv21PiD4Z+LH7YXxS+JvgucXWj694+1zVNLuh0mtZ7yRopV6fK6YYexFfM+GVavUr4h1ZN&#10;6Le+9/zPpPEmjQhQw6pRS1eyW1vyP68v2If+VXj4if8AYq+O/wD0dNX8Rnhv/kZdN/7CNt/6NWv7&#10;c/2If+VXj4if9ir47/8AR01fxGeG/wDkZdN/7CNt/wCjVr6rhX+LmH/XyR81xV/DwH/XtH+t/RRR&#10;X4afuB//1/5fsrX+of8A8EK/+UUHwa/7F+5/9L7mv0s/4VV8Mf8AoW9AH/bhb/8Axuuw03TNO0ay&#10;j03SbeC1tohtit7aNYo0Gc4VVAA59BX33FXGqzKhGgqPLZ3ve/Rrsj4bhfg15dWlWdbmurWtbqn3&#10;fYvV/nJ/8HNZA/4KhX2f+hE0D/0Gav8ARsrlNW8DeCvEF3/aGvaNpV7cFQhmvLWGaTavQbnUnA7D&#10;NeJwvnyy7E/WHDm0ate29vJntcSZI8ww31dT5dU72v39O5/Fz/waQEH4hfG3H/QI8N/+jryvpD/g&#10;4X/4I8fEn9oTxHH+27+yvpM2t+IoNOi0/wAc+FrBQ17qFvaKFttQs4xzNNFGPKmiGXeNUKAlCD/V&#10;/ovhLwt4aaR/Dml6fp7TACU2NvHAXC9AxjUZx2zXQnOOK7sRxfV/tN5lQjyt2Vm73VkrPbscOH4T&#10;pf2bHLq0ua13daWd27rc/wAc3wl45+LfwD8dnXfBGreIvBfibTZGt2udPnuNK1G3YY3xPtMcq8jD&#10;Iwwe4NfTPiX/AIKbf8FDvGWkNoPiX43/ABLubR02NCNeuYcr6F4WRz/31X+pB8Uf2XP2bfjbc/bv&#10;jB8P/Bfii4AAF1r+jWd9OAOwlmiZx+DCuS8FfsP/ALG/w31ZNe8BfCn4daTfRsJIr2x8PafFcxsv&#10;QpKId6f8BIr6+fiVhaiU6uEvL5P8Wv0PkoeHOKptxp4u0fmvwufhl/wa4fDbx3oH7JnxA+KvxFtd&#10;Zhv/ABd4/Dw3eux3C3F/a2VhblLpZLgb5o3eeQLICQxVsE4OP6dKjijWJRGgCqAAoHAAHQAdqkr8&#10;xzjMXi8TUxLjbme3bofpGUZcsJhqeHTvyrfufyLf8HbJA+Bvwbz/ANDhrP8A6RR1+BP/AAb5kf8A&#10;D3b4S/XxJ/6j2o1/pha14Z8O+JY44fEen2OoJES0S30Ec4RiMEqJFOCfaszTfh/4F0W9TU9G0TSL&#10;O5jz5dxa2cMUqbgVOHVARkEg4PTivq8u40VDLJZf7G91JXv/ADX6W6XPmMw4NdfMo5h7W1nF2t/L&#10;brfrY7CigdKK+CPuQ96/zvP+C3v/AARs+L/7Mnxv8RftI/ATw9e658LPE1/ca7MuiW7TyeGrq4Yy&#10;3NvcwRAslp5hZ4Zgvlqh2OQVG7/RDpkiLIhRwGBBBU9CD2NfQcO8RVstre1pq6ejXdf5ng8Q8P0s&#10;xo+yqOzWqfb/AIB/kQ/AL9tT9rD9lmzvtM/Z0+Ivinwda6lJ5t/ZaLetHbTShdvmNCwaPzAON4UN&#10;gDngVyhk/aH/AGwfjC05Piv4keOvENwu9h9o1bVbyQYVd2N7bVGAOiIP7oFf6rvjH9hX9i/4hazJ&#10;4i8b/CX4c6pqEzF57688Pae88rNyWkk8nc546sSfzr1X4X/Aj4KfBO0fT/g74P8ADHhWCUASx+HN&#10;LtdOD46b/s8abj7tk1+gz8TcOuapSwvvvrdfi7XZ8FDw3xDtTq4r3F0s/wAFsj8cv+CFH/BKbVf+&#10;Cd/wZ1Txz8ZFtZPiZ45S2fWIbcrKujadBloNNSZSQ772Mlwy/KX2qCwjDH8Mv+DnT9gb4maD+0LB&#10;+3R4G0u91Pwp4j0iz0vxXdWMTSjSNS05PJikuQgJSC4gCASn5RIjKxBK5/u0qpfWNnqVpJYahFFP&#10;BMjRTQToJI5EYYZWVsggjggiviMBxbiKOYPMJ+85aNeXb5WVvQ+0x3CuHq4BYCHuqOz8+/z6n+Pb&#10;8G/2hvjh+zrr8/iv4DeMfEPg7UbmEW91eeHb6WyeaJTuCS+WwEig8gMDg8jrXpfxK+Hn7VvxS+FN&#10;x+3B8aD4k1nQNQ8SW3hOPxn4nnmnm1LUJoLm4WO2kuCzTRQx2zh2QmONiqdSQP8AUQm/4J9/sLXG&#10;s/8ACQzfBr4YG8MonMx8NabnzBzuI8jaTnknHJ5r6bk8G+FJ9Eg8N3Gl6c+n2gRbWwe2iNtCIxtQ&#10;RxFdihRwMAYHSvta/ifS5lOlhterbV7dr2/P7j4yh4aVOR06uJ06JJ2v56/kf53H/BsgQf8AgqZY&#10;Y/6J54k/naV/o3Vyej+BPBXh+9Go6Fo2lWNwFZBPZ2kMMm1uo3IoODjkZrrK+D4oz1ZjifrChy6J&#10;Wvfa/kj7rhrI3l+G+rufNq3e1ux/J/8A8HRP7EnxS+Nfw08FftT/AAq0y81pfAEWo6X4qsLCNpri&#10;HSr5opkvViQFmjgliIlK5Kq4YjaGI/jJ/Zk/as+O/wCxz8U4PjP+zn4im8OeIYLaWxa6ijiuIp7a&#10;YqXguIJ1eKWNmVW2upG5VYcgV/r6OqupRwCCMEHoQa+SfEn7BX7Evi/X5fFPif4Q/Da/1GeTzri9&#10;ufDmnPLNIW3F5GMPzsScktknvX0fD3HcMLhPqeJo88Ve22z6NM+cz/geeJxf1zDVuSTt966po/zo&#10;PH3if/gqV/wWHsNc+LvjL+3/AB/pPwz0G51e5ks7KKy0qxjXZ58dnb2sUcEl7KgDtHGrSsiEngCv&#10;za+F/wAWPiH8EPH2m/FP4Sa1e+HvEejTNcaXq+nSCO5tpGRo2KMQRyjMrAgggkEV/sMeE/B3hPwH&#10;oMHhfwRpenaNplsNttp2lW0VpaxL6JDCqoo+gr5w1X9g/wDYp13xRL411r4R/Da81aec3U+oXPhz&#10;TpJZJicmRy0J3OTyWIyTySTzXqYPxKowUqUsIlDolbbqn018l955uL8Oa03GqsU3Pq336W1vp5v7&#10;jjf+CaHinx145/YG+E3jb4matqOu6/rHgnT9U1bWNWbdd3dxdIZWklbAyTuGDjkYr7W1X/kF3P8A&#10;1wk/9BNO07T7HSbGLTNMhhtra3iWG3t7dFjiijQYVERQAqqAAAAAB0q4RkEdfY1+W4msp1ZVErXb&#10;dj9Ow9JwpRpt3skrn+NT4wK/8JjrH/YXvf8A0e9f6cv/AAQf/wCUSnwX/wCwHqP/AKdr2v0zb4Wf&#10;DR2LN4b0Ekkkk2FuSSe/3K7DTNL07RbGPTNJt4LW2iBEVvbRrFGgJyQqIAo5OeB1r7birjVZlh4U&#10;FR5bO9736Ndl3PjuGeDnl2InXdXmumrWt1T7vsfkZ/wW6/Ybi/bi/YU8Q6J4dtBceMPBqyeMfB7o&#10;m6aS6so2NxZpj5sXcG+MKOsnlnBKiv8ANH+FXxQ8b/BL4maD8XvhzeSad4g8M6tba1pV0hKtFc2s&#10;gdQ3qDgq69GUkEYJFf7HJHGK4M/C34ZsS7+HNBYk5JNhb5/9F1HDPGrwGHnhqlLni3pra191s9H/&#10;AJ9x8ScGrHV44inU5JJa6XvbZ7rVf1sfys/8FifBer/8Fcf+CWvwu/bj/Zg06bXL7wxLPrGreHdN&#10;U3F7BbX0S2+r26Rpl3lsrq3jLIAWaNS4yAM/xmfAb4//ABf/AGWvi1pnxp+B2t3PhzxTocsn2O/g&#10;VGZRIhjmililVkkjkRirxyKVI6iv9f7SNC0bw9afYNAs7Wxg3GQQWcSQx7m6nagAye5xXzZ43/Ya&#10;/Y1+JXiKbxf4++FHw71jVblvMutR1Dw/YTXM7n+KWRod0je7En3ruyLjulhaM8LUoc1O7sr7J9Hd&#10;WZw55wRVxVaGKp1+Wdld23a6q2x/nYeJPix/wVj/AOC12pN4Y1S4134gWXgzT7vXpbLTLCDTdGsm&#10;toHcu6WcUUD3sqAxwKwaVy2xB8xr8q/CHjLxn8KfHGn+N/Bl/faD4i8P6lFfadfW5MF5Y31pIGR1&#10;zykkbr0I4IIIr/Yb8D/D3wJ8MfD0XhT4baHo/h7S4STDpuh2cFhaxk9dsMCIgz7CvDPGH7EP7HXx&#10;C8Wy+PPHfwq+Hms61cS+ddapqfh/T7i5nkBzvmkeEmRvUuSTXpYPxKo0+al9USp9ErfO+ltf6uef&#10;i/DmtU5an1pyn1bv8ra30/qx/IN/wUI+JvxS+Mn/AAbg/A/4ofGrXL7xJ4l1r4hfbNS1rU5fNubk&#10;G81lYPMfAzsgWNAMcBQO1fjh/wAETCP+HqnwX/7GiT/0juK/0/ofAHgaHw9beEItF0lNJswq2elr&#10;Zwi0t1T7oigC+WgGTjao603T/h34A0m9j1HS9D0e1uITuint7KCORD0yrKgIP0NeVhePIUsLXwsc&#10;PpUc2tbW5ulrdD18TwTKriaGJdfWCitt+Xre/U6HVv8AkG3H/XCT/wBBNf4zk7Dz5Of+Wjfzr/Zy&#10;dQy7TzXB/wDCq/hievhvQPr9gt//AI3XmcJcVrLPa3pc3Pbra1r+T7nfxXwq8z9lary8l+l73t5r&#10;sfmB+yX+zt4D/az/AOCJ/wAM/wBnX4lK50fxZ8E9A0y4miAMttIbCF4LmLPHmQTKkqZ43KM8V/A/&#10;+2d/wSp/bS/Yk+IF/wCFfiB4N1zWdDguXj0vxp4esJ73SdQt8/u5RJCsnkOy4LxS7WRuOeCf9Udb&#10;EaZpJsdCiggEMBjtIEQJChVcIoVduFBxwMcV/Gr8Pf8Ag668QeFtYv8Awj+0h8H4bu40/ULmwnvv&#10;BmpmEO1vK0R/0PUA+3G3/n4OfavZ4OzbMfa4ipg6SnFu7i2la99n+D/I8bi7K8v9lh6eLquEkrKS&#10;Td7W3X4n8wHwN+Cf7b/7Qstv8BfgZovxF1yyv7gW7aFYfb00aMuw3PchitnDGD8ztLtA6k14d8Y/&#10;hd4g+CPxY8R/Bzxa9tLqvhbWbrQdSezfzIDdWbmOYRvgblDggNjkDNf2O/GH/g7A+F0Xw+vbL9nX&#10;4V+IIvE1zaslldeKLizh060nZcCSSO0eWSfyydwQbA+MFlBzX8Zupal47+MPxEuNWuFu9d8TeKta&#10;lupEtozLdahqepTl2Ecacs800nyqo6kADtX6nkuMxtaU54qgqUVsr3bfVtn5jnOEwdKMIYau6snu&#10;7WSXRK/U/tZ/Yh/5VePiJ/2Kvjv/ANHTV/EX4bK/8JLpv/YRtv8A0atf6sX/AATU/ZQuf2SP2B/h&#10;5+zZ4zht7jUdM0Ey+I4WAlibUdSlkvbyIhgQyRyzNGMjlVFfYH/CrPhmpDL4b0EEHIIsLfgj/tnX&#10;5dguOYYOvi1Glzqc20720+5n6bjeCp4yjhXKpyOEEmrX1+9HjtFfSX2G3/uD8hR9ht/7g/IV+ffW&#10;12Pv/Ys//9D+/cnAzTQ/c1/PZ+2N+31+2R+0B+2Dff8ABN7/AIJbRaRZ+IfDlqlx8UPihrkQnsfD&#10;azhdsNujK8ZmQOA26ORmc7ET5JGFGT/gmN/wV68OWA8UeDP22tdvPEYXzXstc8NxS6PJL2TY084S&#10;MZwSIDu6hVOMe/HI1GEJYivGm5K6T5m7PZuydr9LnhSzxynKNChKoouzaslfqldq9vI/oiDZpc5r&#10;+Yr/AIKc/EH/AIKD/srfHD4A/Eqw+M11a6N488YeFfAPifwBo+mWw08X8aK2p3kd7MjSvHeMGAj8&#10;qMopGD2r9Sv2oPHX/BRbQP2z/g74X/Zp8M6Lqnwg1K5lX4r6ze+Qbqxi83BKGSeORNsPzxeVHJvk&#10;yrAACsp5JJRpzVSNpqTWtvh3WqWvRW3ZpDOYuVSDpyvBxW1/i2ejene+x+llFNQkj5uuadXinshR&#10;RRQAUUV5l8Y/iz4R+BXwr8R/GXx89xHofhXRbvXtWe0iM8y2tlE00pjjXl22qcKOSaqEHJqMVdsm&#10;c1FOUnZI9NorwT9mH9ofwX+1d8BfDH7RHw7hv7fQ/Fmn/wBp6bDqkaxXSw+Y8Y81EZwpJQnG48V7&#10;3kU6tOUJOElZrRip1Izipxd09QoorE8SeIdG8JaBfeKfEdzFZadptnNqF/eTsEigtrZDJLK7HoqI&#10;pYnsBUpNuyKbtqzZLYpN9fy2eAf2jf8AgqH/AMFl/Geu+KP2NPFlr8BfgNourTaPpXjKXTlvvEHi&#10;GW3YB5Ikk6LghisbwrHkIZHcMK+0Pgl+wp/wVQ+AXxl8MeLJv2p7j4k+DIdWtj4t8LeNdCSKe50z&#10;OLgWl2sl06z4JMfMa5wGJFe/XyJUU41sRGM19n3m/RtJpPyv6nhUM8lWalRoSlB/a0S9Um02vl6H&#10;7ibs9KdX4efB/wDaX+Ouv/8ABeD4r/suax4kvbj4f6F8JtI17SPDLpCLa21C4XTzJOriMSlmM0mQ&#10;XI+Y8dMfuHXm47ASw7gpO/NFS+UldHpYLHRrqbivhk4/NOwUUUVwnYFFFFABRRkdaKACiiigAoor&#10;xL9pD4/fDz9lr4GeJ/2gvircm10HwrpUuqX7oMySbcLHDEv8Us0jLFGvd2Aq6VOU5KEFdvREVKkY&#10;Rc5OyWrPa2baKA2RX8uXwRtv+Cyv/BWfQ1/aNj+J8X7Nnws1hnl8GeH/AA7p66hrl/p+SqXM8ztD&#10;IBIAdshlQN95Idm0n9Fv2Pf2Sv8AgpX+zl8dLe6+NP7QkPxe+G09heRX+l+INGTT9ZtrtlzazW88&#10;fnl1VxtkDzqNpyEzXtYvJYUFKM8RHnjvFcz+V0uW/wAzxsLnU6zjKGHlyS2lovna97fL5H680UUV&#10;4R7gUUZB6UUAFFGRRQAUUZFGRQAUUV+an7IXjz/gor4j/aj+NPh39rHwxoukfDTTNfMfwj1ax8gX&#10;F9p32iZYy/lTyu4a2ETyNKkbLISoGOF6KOGc4TnzJcuur1ettO/+Rz1sSoThDlb5nbRaLS+vY/Su&#10;iiiuc6BGBIwDj3r+Zz9oj/g15/Y6+MnjnWPiF4D8ZeN/B97rWoXOqXVmhtdTsFuLqRpZDHHNGkqq&#10;XY4XzsAcDHWv6YmIC5zX5qW/jz/gou3/AAU4ufAs/hnRh+zgvgwXEHiYCD7ada8tSV3faPP3+duT&#10;YYPL8v5t2a9rJcfiqEqksLW5Gld6pXt0s932R42c4HC14wjiaXOr2Wm1+umy7s/COy/4NHfh1HqX&#10;m6j8cNdls/lxBB4at4p/9v8AetfSLz2/d8d81+xX7Cv/AARD/Yc/YM8Q2/xF8DaXf+J/GlsmLfxb&#10;4umW7ubViCGe0gRI7a3Yg43pFvA43dc/r8Ogpa6MdxZmOJg6dau2n00X5WMMHwrl+HmqlKirrq7v&#10;82xAMDFLRRXzp9AFFFFAH//R/Y7/AINiYv8AhPv2d/i7+054kYXHinx58YL+TXLwtud/ItLe7RST&#10;yMS30xxnoQa/pqr+S/8A4JafFrwX/wAEpv25PjH/AMEzv2jdQg8LaF4i8VDxn8KNb1eQW2m3lteL&#10;5ccInkIjV5bdYUViwBlgkjJ3bQf6rtW8WeG9B0iXxBrmoWFlp8EXnz393cRw28ceM72ldggXHcnF&#10;fUcXU5PHTqpe7Ozj5ppWt6bHzXClWKwUKbfvQupeTTd7+u/mfz1/8HBH/Ic/ZXz/ANHC6R/6AK+i&#10;/wBuL9q34+fCP/gqB+zB+z38PtfbTvCHxDm11PF+ji0tJhqAs0QwAzTQvPFtyf8AUyJnvmvmL/gv&#10;frGleIZ/2Tdd0K5t72yvPj9otzaXlpIssE0UkYZJI5EJV0YHKsCQRyDWt/wUr/5TUfsV/wDXx4m/&#10;9Fx162AoxnQwsakb+7W37pP8meVjqso18TKEre9R282vzRF+33+13/wUP8L/APBWPwX+xJ+xjq2h&#10;RW3jj4Tpfi18S2ME2naRevf6gLnXJJFj+1SNa2toAlv5vlO+AYyTz88fte/G7/grR/wR71Lwd+0B&#10;8WPivYftAeA/EOtjwxr/AIbvdBs9Ang1C5hkltxbS2ysyeYY32OG2gqEeM7gR9a/Ekf8dKfw+Pr+&#10;zVef+nPUq5b/AIOaOP2HPBOP+i0+Gx/5BvK2y+VP6xgsK6MXGpFc14q7vdb7r5WMcdCp7DGYpVZK&#10;UJPl952VrdNn87nLfGr4T/8ABejwt8BdX/bAl+O/hrTvE2jaTL4suvg7pPhmzbR4LO2iNxLpy306&#10;yTTTJEGDFh87jasi8PX6bfsu/tK/Fn9vb/gmvon7QPwYudH8KePvGPg65XTru+ga603TPEELSWjy&#10;tCd7PbrcRNIqHcShAOTmvrn9pIf8Y7ePz/1JWuf+kM1fyX/BD9sv4tfsR/8ABtr8N/iD8DZbSw8T&#10;eIvFlx4M0/XL5FeDSBqWp3zSXpVwyFo0iIUurKpbcQduDwYenLH4eLjTipqpFK0UlZp6Oy1St1u9&#10;97noV5xwNeV6knB05N3bbumtVd6N36WR95ftF/s3/wDBar9nj4EeJ/2j9J/axtvE2reD9Iu/FN54&#10;YuPBWl2WmXltYRNPPbo4Dlf3SNtyg3EdUJ3CP9qb4lftTft//wDBFzSf2svhl46s/hxa3nwr1/W/&#10;ib4Yi0O31SHxHClqYZrK3nuW82xQvBMUkjJfbKAeVBrjv2p/+CamnfDD9hnxt8df2rP2oPjj4o1G&#10;y8C3+pSXD+KU07QNQ1CWyf7ParZeVKJre4lZIlh8zMinHU8dX+y0/n/8Gx06wYkI+B3i0MsfzYKf&#10;bt44zjbg5HbHNegqkPZ0cRHllKNVRuoKKs07rZX8m1dHnck/aVaMuaMXTbs5uT0as93bzSdmTf8A&#10;BD74C/t1af8As2fBv4x638drO6+Eb+GpriL4UN4TsIpIbWTz0hi/toP9pPlTYmLkfMBtPHNHwh+O&#10;H/BRb/grZ8TPG/jv9l74l2nwR+CHg/xPdeEvDuqWOhW2r674mu7HAnuHN6CkUI3BsKV27gmHYMy/&#10;bX/BHZYPEn/BIL4SaTplzDvuvAtxpiShxhLgz3MBUkHhlfgjqDxX4D/8ETf2E/hB+0b8JvGfwp8e&#10;/Fv42eBviJ4E8datpniLwR4N8Xf2FbxQCULHeLp5t5HJdw6Sy5/1i4OOMk5wnVx2Iq2ThKy9xOyc&#10;pXbWzeyu77iUZwpYLD0m3Gcbv32rtRjZX1aW7srbH7GfsMftRfti/Cj9vjxP/wAEyv25/EemePNR&#10;j8IR+PPh78QrHTotLuNU03zBHNBd20IEYkQ7gCFyDFJl3BU17j/wXX8eaz8O/wDglL8YNZ0CSSG5&#10;u9Bt9H82NtpWHUbyC2nH0aJ3Uj0NVv2a/wDglF+zJ+zN+1bpv7Q2nfEL4neL/iBZeHb3StPh+IHi&#10;iDWJRpU52TFYTbRTmKN5cjD7FeTJGTX0/wD8FHP2btQ/a6/Yf+JX7PGibP7T8ReGZ49H8zAVtRtW&#10;W6tEJP3RJPEiFuwYmvEqYrC/2jh60PhTi5acqunq0uie/wB57dLC4n+z69KfxNS5dbuzWiv1tt32&#10;Mz/gmT8NdA+E/wDwT7+D3gfw0iJbW/gHSLp3Rdvm3F7At1cSkD+KSaV3b3NfdZ6fjX4F/wDBCL9v&#10;v4f/ABj/AGUtA/ZT+JGoW+g/Fb4W258Fa14U1mVbXUp7fSyYbe5igl2vJiJVjmCgskqNuADKT+4+&#10;v+PfBPhe5sLHxLrGl6dPql7Hp+mQX93DbyXl1KcJBbrIwMsrHhUQFj6V5ed4WrTxlWFVa3b9dd/N&#10;M9LJcXSqYWlOm9EkvSy2+R/Jj8XR+2Dq/wDwcP8AxV8CfsV3OgaN4l8QfCvQbDVPF/iS3a8tfDuk&#10;JaWEs99Haj5Z7kuscUMbgqWfLDAJHtvx5+L/APwVA/4JJ/Fb4a/E79of4w2Pxs+EvjTxhZ+C/FMG&#10;oaBaaNfaTPeKWWa3a3Oc7FlkRjIU/dmN0yyvXrHwKAb/AIOXPjbj/oh+h/8AoGl1L/wc0Kf+GHPB&#10;OP8AotHhv/0VeV9rCvGpi8JhJ04uM6cE7xV9Y97XVulmj46pQcMLi8XCpJSjObVm0tJdtnfzTP1U&#10;/bT+FX7aXxb8N6F4a/Y4+Juj/C24TUJpPEuu6hosWuXUtn5YEUVpBOPKVt+SzMQcYwetfil+0J8S&#10;/wDgqH/wSl+Kvws+I/xk+NNr8a/ht438d6d4E8S6Rq3h2z0i7sH1BsLcW8ttl8hQ7KQ+NyhWRgdw&#10;9p/4KIfHH9pn41/8FLvhx/wTB+C3xEv/AIQaDr/hC58aeI/GGiJGNZ1AxNOFsbGaTGw7YD9wgksx&#10;bcFCn8w/+Cx37Gfwx/ZFtvgqX+MXxa8deLtd+Lug7NA+IPiddWg+w204M19FYCFDE0bmOMS5I+cr&#10;yTxzZBglehQr8rVRN8vIm7O+rla620s9LdDfPsY7V69BSTptLm52ldW0Ub2e+t1rc/Wr/gtR+2l+&#10;11+yR8SP2etF/ZKnhuL/AMc+Nr/Qr/wxdQWr2+uuEtks7SaeeJ5beIyzZd4Hifbn5hjI8P8A2n/h&#10;Z/wXP/Zs+Bevfth237RPhzxPqvhOxm8U+IPhrbeEbO30Q6far5t3b2tywM8i28QdsuI3dFJEivgn&#10;q/8Agtwc/tofsQD/AKrXJ/6FY1+vP/BQZB/wwV8bsf8ARI/GH/pnuq46GIjRoYFQpRfPfmvFNv32&#10;rXa7drPz2O2th5Vq+N5qslyW5bSaS9xO+j799PLU+LPiP/wVp8IfDv8A4JM6P/wUnv8ASImvvEPh&#10;2ybR/DXmMYpvEd4zWwsvMA3eTHcRylm+8YkOPmIz8zfC79nL/gu/8Vfh3YftD+I/2ivDPhLxVq1t&#10;Dr9l8L28J2lzoFpFMgli0+8usG4XKkLKyCR0OcOzAMPym/aI8MeIdR/4Nj/gN400ezmvrPwl4v0z&#10;xDrUUKltljHq+owl27bBJKiknj5hX9hXw6/aH+C/jr4C6Z+0T4e8Q6MfBl3oMeuf26bqNLKC0EQe&#10;Qyylgsfk4KyK2CjKVYAjFVj6ccFScsPTTvUnFtxUrKLVo6p2vf1fczwNWWMqJYio0lThKybjdyTv&#10;LS17W9EfjF/wSa/4KDftB/Eb4BftDfGn9u7Wba6m+FfjbWILq20y1tYLbS7PS7Zp7iytDbxxmdEd&#10;GSJ5meRhty5JzXAfsyr/AMFdf+CnXwzb9ryw+NFn8CPB/iSS5l+Hfgvw/wCHLLWJ206OVo4LvUbm&#10;8HmMZCnRW+cfOFjUgH4Y/wCCemmXf7S//BNP9vCP4Tm4u28XeMfFup6CIFPnXEVzaPdwqiDJLyJg&#10;BRkknFevf8Ekv+Cfn7On7Yv7DXgn4i+H/jp8fdN1ay01dI8UeF/C3jr7DZaLqVszRvbxWItna2hY&#10;ASQKScxsCCa9XHYTD0JYmqkoNSjH4FJRXLfZ6K7667eZ5mBxNeusNSbc04yfxuLk+a261dl08z9R&#10;P+CUf7Zv7Rfxp8T/ABX/AGSf2zRpU3xS+DHiC20rVNa0aD7Na61pt8rtaXoiUKiu3lktsRFKPGdq&#10;kkV8w/8ABy9rl9d/sf8Aw/8Ag/FLJb2fjn4xeH9D1SVGKg2yiWTax/u79r9+UB7V99fsPf8ABN39&#10;m/8AYq+L3jb4i/Crxj428WeLPE9hY2XiufxtrtvrV4scLNJbPIY7eGZXYAhWlJ3KuF6V4d/wX1/Z&#10;e8b/ALTX/BPXWZvhbDNc+JfAOsWfxB0q1tULzzppYcXUcKjJMggkeRQASzRhRya8PBYnDLOKNWlp&#10;C8elknbV26Lm1Xke1jMNiv7Iq0quskn1u2r6K/V8uh+yHhLw5pHg7wtpvhHQII7ax0uwt9OsreEB&#10;Y4oLaJYo0QDoqqoAHpXQMQFJPHHU1+cP/BNT/goh8Fv2+v2c9A8e+ENX09PFMGmQW3jDwu86LqGm&#10;6lCix3G6AkOYJHBeGUKVZCOdwYD7i1zxj4Qk1QfDuXWdLt9c1WyuW0/S3u4lvZkRDvkit93mssYO&#10;WZVIXua+ZxWEq0qsqVWNpLc+lwuKpVaUalKV09j+eLwh+0r/AMFEf+CsXx+8faZ+xD4+0v4M/BX4&#10;da/J4UXxn/Y0Osa14j1S2P74wx3XyRxDhht8vajJu3sxC73wp/am/b7/AGC/2/PAn7FP7fPjDSfi&#10;j4L+LSXFt4B+ItrpcWk6jBqsRAFpdQ2+1CDIyRkHeR5sbiTG5F5j/g2m8XaJ4N+BnxU/ZP8AFEyW&#10;fj3wV8WNbuNc0S8YRXpt7jyoUuBC2JDH5kLoWxgNgHqM3v8Agqb4s0L47f8ABVr9kP8AZn+GM1vq&#10;vinwj43n8e+Kre0ZZX0nSoPIm3XO3Pll4oJJArEHAU4+dM/dVaUPrtXL/ZR9nGMteVX0jdT5t9Xr&#10;vbW1j4ilVn9TpY9VZe0lJacztrKzjy3tovK+l+5X/aT/AGr/APgph4o/4K8+Jf2Af2P/ABJoGmaT&#10;f/D3TNYTUPEemW93beFYyscl9q0QWIT3M7M6QxQzSPFvkGVAGR4p+1D+0Z/wVs/4JFfFfwTefEj4&#10;gad+0X4W+JU914Y0vStR0a20G7tvERjUWaK9qCVV5pUb75V41dNqMFevrn4TAH/g5H+KhxyPgBpH&#10;X/r4sa57/gv7n/hLP2UP+zh9E/8ARkVPBzpfWcNhXRi4yppy91Xb5W733W3RoWKhV+r4nEqtJSjU&#10;aXvOyXMla2z36o82/al8Ef8ABdP9lv8AZ91f9tnUPj/4X1/U/CtmfE/if4XWnhe0h0OPT4cPc21r&#10;dspnlFvHuLM3lu6glZAwG76T/bv/AOChPxUg/wCCK1v+31+zfqB8JeJNc0jwxq1rOkFtffYZNRvb&#10;eC9gVLuKaFwpaSIMyE45GDX39/wU6X/jXL8dz/1SPxZ/6a7iv50/2gcf8Qofhb/sCeH+P+5iWufL&#10;HDFrDVK1ON1VjHSKScXrZpKz+dzfMlPCvEU6VSVvZSlrJtprS6bem/Q+x7L4Y/8ABdT9pD4Bw/tY&#10;aD8bPD/w61jU/D0XiLwt8JNL8O2d5atamAT28N/qdyjt9ru12s/7to42bbhRkL5N+xT+03/wVn/4&#10;LEfCm38b/Dbxx4c+A/hrwqF8O694k0vRYtb1LxN4ihjWW5eCC6Pl2drEjxFlVs73IBZeE/o0/Z7X&#10;d+zd4HJ/6EfRuP8Atwir8bf+DbXH/DvnVwABj4s+Kv8A0OCsI5gnhsRV9jC8JRUfdWifNfprt9q/&#10;c6JZe1icPS9tO04ycveerXLbrpv9mxs/8Ex/2sP2w7H9sL4p/wDBNj9ujWdN8YeK/AWlWninw544&#10;06zjsTqmkXRiBE0USom4C4iK/IGU+YjM+0Mer/Y4/bQ+NXir9pT9tDSPjBq02ueF/gv4hs28I6RF&#10;a2tu9lp6Wmo3NxbxyQQpJMZPsyANO0jAjg8nPi3wN/5WUfjLj/ohWjf+jdPq/wD8EtbvRLD/AIKA&#10;ft73viaW0h06L4iaE99LfsiWyW4t9U8wzNIQgjC53bjjGc8VpjsPSca9X2a1p05aLq5Rvbtfy7kY&#10;OvVUqFL2jdqlSOr6KMrX728+x4H+xfqv/BWP/gqf8GZf2yfCX7R+kfCnSNZ1a+tPD3gXw34WsdXh&#10;02KxnaIJey3JExkbaGKszEqQ2VDbR9Nf8FAP2vf23f2Ef2N/hX8OdQ8Q+D9Y+NHxD8a2/wAPZfiJ&#10;c2gtdDtftEsmNTktHRI438oxb0KGKM+Y2HCgHzv48/8ABGHwZ8E9I8T/ALUX/BOD4w+LfgZex2N3&#10;4qn03TNS+0+Drs28RuMSQO+IoHAOSWmRVOFTYNtes/sp3Xwv/wCC1H/BLnwLZ/t86dpl1rPiWTUh&#10;G1pMmnXlxqGgXUtmdW0sLtaOQpgyiJWiHmMpXy2C1riK2HnOGKjFOjGVnHkSlG6dk/5kra6u9tbX&#10;MMPSxEYSwrk1WlG6k5txlZq7X8rd9NFa+mx33wm/Y/8A+Ctvwz+JXhbxr4m/aj03x9okOrWcnjLw&#10;rrvhCy0+3vdMMim8WyurUPLFN5e7yTgAtjcQMis/Tf2sf2gLn/gvFf8A7HUniBj8OIPgufFcXhz7&#10;HaYGqedbr5/2oQ/aukjfJ5uzn7vSvzt+LXgf9qH/AIIk/HH4PL8IfjP4o+Jnw1+Inj2y8CXHwp8e&#10;SLf6jbW90VHnadLktiJcDfGsQSQxqysj4H0Toox/wc+aoP8Aq3U/+lFpUSwin7StJxnF05uLUVHZ&#10;rdWVmu+vkxxxTh7OlHmhJVIKScnLdPZ3d0+33o1fiT+1V+3p+39+2/48/Y//AOCfvirRvhf4G+Es&#10;kGnePfifeabFrF/d6vNndZWMEwMQ2Mjp/Af3bsZB8iHi9f8A2iv+CjX/AASw/ak+G3g/9tD4iaX8&#10;ZPg78U/EK+E4/Fj6NBpGr6Bqk21YfMW2whjLOGO5pA0ayFfLZMNX/wCCJmu6V8HP24v2vf2XPiFd&#10;R2XjO6+K0/jHTrO+ZY7nU9KuprqVbiFTgyBUmikbbnAlB6c1b/4OE9f0X4x6l+z1+xN4HuFu/Hni&#10;n4zaTrtvpti4ku7PTbOGe2lupkXLRR5ut6uwwVikbnYcdEKUFjY5f7KPs3Fa8qvrC7nzb76726WM&#10;Z1pvByx/tZe05nZcztpKyjy7babX6nYf8FFP2xf+Cgvw7/4Ki/DX9kH9jK+0aZPHfw5upxpHiO1g&#10;fS7PUDdXCPrNzMIjdstlbwlxCkoSRgFKsTg+K/tjaz/wWK/4Jb+AbD9s3xb8c9L+M/hHS9asLXx7&#10;4M1DwxZaPGlpf3CxGS0lt8uB5jrEhDoUZlYrIu5R7f8AtH8/8HH3wEPr8F9d/wDRl9X0b/wcHf8A&#10;KIn4tf7vhz/1IdOrLCVKcauAw6pRaqKPNeKbd5Nb2utOxviaVSdLHYh1ZJ03LltJpK0U9r2evc6f&#10;/h8v+x7/AM/d5/31H/jR/wAPl/2Pf+fu8/76j/xr+FPav91f8/jRtX+6v+fxr6L/AFFw3Z/eeB/r&#10;xiO/4f8AAP/S/sy/a+/YI/ZT/bs8KW/hP9pjwlZa8LEN/Zepoz2up2BfG77NeQFZow2BuTcUbuDX&#10;5g6H/wAG1/8AwTd0+8T/AISL/hY3iDTYWzFoeseJZvsCgZAUJaxwSbQDjG/pwcjOf6BKK9TC53jK&#10;EPZ0a0orsn/VjzMVkuErz9pWoqT7tHxn8d/2EP2cf2idC+Hnhr4j6Vemx+FutWOveDLbTr2a0S0u&#10;tOjWG3D7GzLGiKBsfIOOc1vfFr9jb4F/Gz9oD4f/ALTHj6yv5/Fnwze8fwndW95LBBCb4ATedApC&#10;S52jG4HFfV1Fc0cfWVrTel1v33+/qdMsDRbbcFrb8Nvu6Hy5q/7InwX1r9rPTP21r+zvm8faR4Tk&#10;8E2N8t3KtqulSyyzsjWufLZ98zneRuA47VV/a7/Y1+Bv7b/w70/4W/H+yv73R9M1+08TWkWn3ktl&#10;It/ZLIsLmSIhioErZU8Hv0r6toqY4yqpQmpu8dn29CpYOk4yg4K0t/P1OZ8V+GdL8a+FtU8Ha8ry&#10;WGrafc6ZeojmNmguo2ikCsOVJRjgjkV8U6J/wTQ/ZA0n9jFf2Bp/Dc2ofDREm8rStTvJri6ikluG&#10;uhNHdswmSaOZiyOrAr06ZB+/KKVLF1YK0Jtap6d1s/VDrYSlUd5wT0a17PdejPxi+Ev/AAQj/YS+&#10;GGv2Gr+Io/G/j2y0YltC8O/ELxBcaxommkKVQwaeRHBlFO1N6vt6jnmvoj9kr/gmH+y/+xj4a8Ze&#10;BfhVH4k1Dw942gey1Tw74o1WXVNNgspPP32dpbyALDDILiQSDlnz87MRmv0Vorsr51i6qcalZtPz&#10;7HHQyXCU2pU6STW2nfc/Gj4Cf8EL/wBiD9m74vaP8XPhvN4/U+HtZ/4SDQfDN94juJ9BsL7+GVLP&#10;au8qTkea79s5wMdp+1b/AMEYf2H/ANrf4pSfHPxZpWveFvGtyANQ8T+A9Tk0a9vSFC7rjYrxSOVA&#10;UyGPeRwWNfrHRTee411FW9tLmta9+nYSyTB+zdH2MeW97W69z85P2Lv+CW37KX7Cvi3VfiN8H7fx&#10;HqHinW7BdK1PxN4t1e41fUJbRXEnlBpSsaKWVS2xATtGScCv0aIB60tFcWKxdWvN1K0nJ92duGwt&#10;OjD2dKKivI/LL9sT/gjd+wb+234xf4l/FbwtcaZ4skA87xX4Su30nUrgqoVWuGjDRTuoACvLG7AD&#10;GcV5j+zj/wAEIv2BP2a/itovxw0Kw8WeJPFHhy9TUdD1Pxdrk9/9juYjmOVIUWGEtGfuFkbB5HPN&#10;fs3RXbHPcbGl7GNeSjta727ehxTyTByq+2lRi5b3st+/qfJ/hz9jP4GeFf2tvEP7bejWd/H4/wDE&#10;/h628L6vfSXkr2slhaiERIlqT5aMPIjy4GTg+tL+1z+xr8Dv23/h5p/ws+P9nf32kaZr9p4ltItP&#10;vZbGRb6yWRYXMkRBKgSNlTwfwr6vorjWMrKcaim7xsk+1tEdbwdJwlTcFaV213vvc/Pv9tf/AIJo&#10;/st/t63eia/8a7HV7PxF4ZyNA8X+F7+TStaso2beYo7mMMDHv+YK6ttbLLtJJr5gm/4IK/8ABPjV&#10;PhprfgPxdpfivxDqmutaSXXjzxDrtzqPimBrB99v9l1CfcLdVPBSOMI44ZW4r9o6K6qOdYunCNOn&#10;Wkktknt1Oatk2EqTlUqUU293b5H50n/gmF+y7d+HPhD4e8QR+J9WPwS1mXxD4J1HVdauri+/tCeZ&#10;ZpJr6YnN2S6jiTgAYAAr7X+KHw68N/GD4b+IfhL42jml0bxRod94e1eKCRoZHstRge2nVJF+ZGMc&#10;jAMOQeRXf0VzVcbWm4uc27beV3d/jqdNLB0oKUYQSvv56W/LQ+BvEXw2/ZZ/YK/YH1L4baz4e1DV&#10;PhN4L8O3NtqOgSwPr1xLpN1cM1yskUpLXCgzu7g5IQHGSAK/miuNN/4NePB2mXPxY0TxXruraZDM&#10;dah+FsOoa81jeXafPHB/ZM0aE7m+QJNIIhnDEJX9oWt/8ga6/wCveT/0E1/E7b/8pXdP/wCw/H/6&#10;UrX2HC03VVeUqk0/ifLK1/XR6+dz5LiamqToKNODXwrmje3pqtPI/Xf/AIN5vgl4/wDAP7LXjX40&#10;+PvDs3hL/ha3xI1TxpoXhmaA2xstGlVEtQIGVWjRj5nlqRzEEYYBr1b4yf8ABBL9gH4q/EjUPiv4&#10;ds/F/wAPtX1iZrjVv+Fc63Lo1rdyyMXdmtgksSFmJZhGqAnnGa/aO3/494/9xf5VNXgV8/xLxNTF&#10;UpuDl0T6dF52PcoZDh1h6eHqxU1HuuvV+R8WfsZfsEfs3fsFeFNW8Kfs8aZqFr/b98mp69qWsX8+&#10;pX+oXMSbEeaedmPygnCoFUZJxkmvtEgY6flTqK8rEYidWTqVJNt7tnq0KEKUFTpxSS6I/GD9ov8A&#10;4IK/8E6v2jPiBc/FS48Oav4M1+9mNxfX/gDUG0dbiVjlpHtwklurt/EyRqzHqc16r+xv/wAEe/2K&#10;f2HviI3xj+EGla9feL2sZtOXxH4n1a41K7SC4AWVY1JSFC4ADMIwSOM4r9SqK9Cee4yVL2Eq0nHa&#10;13t2OCOSYONX20aMVLe9lv39T8rP2r/+COf7Fv7XHxTHx28V2HiHwr42eNYbvxV4B1WTRL+8VQFB&#10;uTGrRyPtAXzCnmEAAtgCvS/2Mf8AgmL+yJ+wfe6j4k+B2hXc3iXWYzDq/jDxJeSaprd3GWDNG11L&#10;9xGZQzJGqKxALAkCv0IorKeb4qVL2Dqvl7X0NIZThY1fbqkube9tb9/U+XdC/ZC+CugftYaz+2np&#10;tlfJ481/wzB4S1G9a8la1fTbdo3jRbUny1cNEuXA3Hn1qr+05+xr8Df2t73wVqHxosr+8l8AeKLf&#10;xj4bNley2gi1O1KmN5RER5qDaMo3Br6sornjjaylGam7pWTvsrWt9xu8FRcZQcFZu7Xd3vf7zzj4&#10;v/Czwh8cvhR4k+DPxBimn0LxXod74e1mC3laCV7LUIWgnVJU+ZGKOQGHIPIr5V8Tf8E4/wBl7xd+&#10;xZZ/sBa1puqP8NrG3tbW209NRnS8WOzuheRA3gPmnEwySTyOK+8aKKOMq00lCbVndeq6+oVcHSqN&#10;ucU7q3yfT0Oc8K+F9J8H+EtO8FaIjpYaXp0Gl2aSOXdbe2jWGMMx5JCKMk8nrXgX7J37I3wW/Ys+&#10;GE/wh+A1nfWWiXOt3viCWG/u5b2Q3uoFTOwllJYKdowvQdq+oKKhYipyyjzaPVru1t+bNHQg5Rly&#10;6rReV/8Ahj5U8OfscfA/wt+1nr37a2kWd8nj7xL4cg8K6rfPeSvavp9s0TRqlqT5aODCmWAyfxrG&#10;8BfsNfs7fDrxV8WvF2haVdy3PxuuFn+IkN9eTT299thuLcpHGzYgRo7mVWEeM59q+xKK0eOrWtzv&#10;ZLfotl8uhksFRvdQW7e3V7v5n4RTf8G737Ahzolpf/FS38KtKJJPAsHjC9GgOoOfLMDZl259Jc+h&#10;r7P+Pv8AwS8/Y0/aL+CvhD4DeMfDE2l6D8P1I8Ef8Ixez6TdaKSixsbaaBgcsFUvv3h2G5gTzX6H&#10;UV11M8xk5RlKtJuO2py08kwcIyjGjFKW+iPyR/Zz/wCCLv7Gf7PPxg0/4+P/AMJn478W6Ko/4R/W&#10;PiRrs2uvpTKcq9okipGkin7jlSUJJUg19dQfsX/Aq2/a/m/bmistQ/4WFP4W/wCENe+N7L9kOmFk&#10;fZ9lz5e/Ma/PjP519aUVlXzXE1ZOc6rbatv07ehtRyzDU4qMKaSTvt17+p+an7Zv/BKH9jr9uTxb&#10;Y/Ez4s6PqemeMNPgW2tfGXhC/k0jWPJT7iSzRhlmCA4QyoxQHCkCq/7H3/BJb9jf9ivx5dfFz4b6&#10;VrGueNbuJoJPGfjbUZNZ1hI3UrIsM0oCw71O12jRWZeCSOK/TOin/a+K9l7D2r5e19PT08tif7Jw&#10;3tfb+yXNve2t+/r5nyp4r/Y4+B3jP9q3w1+2frllfv478JeH7nwzo17HeSpax2N0ZDKr2oPluxMr&#10;YYgkceldb+1B+zX8K/2vfgbrf7PHxrtru88M+IPsg1K2sbmS0mf7FdRXkO2aIh1xNChODyAR0Ne/&#10;UVzrF1VKE1N3ht5Wd1b5nQ8JS5Zx5VaW/nfR3+R+Nv8Aw4o/4J4f9ADxF/4Pr3/4qj/hxR/wTw/6&#10;AHiL/wAH17/8VX7JUV2/2/jv+f8AL/wJnD/YOC/58r7l/kf/2VBLAwQUAAYACAAAACEAH5Mr9eEA&#10;AAAKAQAADwAAAGRycy9kb3ducmV2LnhtbEyPzU7DMBCE70i8g7VIXFDrpEWhDdlUCNEDHPoXHsCN&#10;t0lEvI5iJw1vjznBcTSjmW+yzWRaMVLvGssI8TwCQVxa3XCF8FlsZysQzivWqrVMCN/kYJPf3mQq&#10;1fbKRxpPvhKhhF2qEGrvu1RKV9ZklJvbjjh4F9sb5YPsK6l7dQ3lppWLKEqkUQ2HhVp19FpT+XUa&#10;DMJHMW754cjF/vB+uAz7t91EekC8v5tenkF4mvxfGH7xAzrkgelsB9ZOtAhJsg5fPMJs+bgEERLr&#10;RRyDOCOskieQeSb/X8h/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GqblGcwIAAPgEAAAOAAAAAAAAAAAAAAAAADwCAABkcnMvZTJvRG9jLnhtbFBLAQItAAoAAAAA&#10;AAAAIQDfzZBAyn0AAMp9AAAVAAAAAAAAAAAAAAAAANsEAABkcnMvbWVkaWEvaW1hZ2UxLmpwZWdQ&#10;SwECLQAUAAYACAAAACEAH5Mr9eEAAAAKAQAADwAAAAAAAAAAAAAAAADYggAAZHJzL2Rvd25yZXYu&#10;eG1sUEsBAi0AFAAGAAgAAAAhAFhgsxu6AAAAIgEAABkAAAAAAAAAAAAAAAAA5oMAAGRycy9fcmVs&#10;cy9lMm9Eb2MueG1sLnJlbHNQSwUGAAAAAAYABgB9AQAA14QAAAAA&#10;" stroked="f" strokeweight=".5pt">
                <v:fill r:id="rId13" o:title="" recolor="t" rotate="t" type="frame"/>
                <v:textbox>
                  <w:txbxContent>
                    <w:p w14:paraId="479E0C6B" w14:textId="77777777" w:rsidR="00B1608C" w:rsidRDefault="00B1608C" w:rsidP="00B1608C"/>
                  </w:txbxContent>
                </v:textbox>
              </v:shape>
            </w:pict>
          </mc:Fallback>
        </mc:AlternateContent>
      </w:r>
    </w:p>
    <w:p w14:paraId="055DF07B" w14:textId="77777777" w:rsidR="00B1608C" w:rsidRPr="007607B8" w:rsidRDefault="00B1608C" w:rsidP="00B1608C">
      <w:pPr>
        <w:rPr>
          <w:rFonts w:eastAsiaTheme="majorEastAsia"/>
          <w:b/>
          <w:spacing w:val="-10"/>
          <w:kern w:val="28"/>
          <w:sz w:val="56"/>
          <w:szCs w:val="56"/>
        </w:rPr>
      </w:pPr>
      <w:r>
        <w:rPr>
          <w:noProof/>
        </w:rPr>
        <mc:AlternateContent>
          <mc:Choice Requires="wpg">
            <w:drawing>
              <wp:anchor distT="0" distB="0" distL="114300" distR="114300" simplePos="0" relativeHeight="251658242" behindDoc="1" locked="0" layoutInCell="1" allowOverlap="1" wp14:anchorId="2A51F212" wp14:editId="24C05C88">
                <wp:simplePos x="0" y="0"/>
                <wp:positionH relativeFrom="column">
                  <wp:posOffset>-212090</wp:posOffset>
                </wp:positionH>
                <wp:positionV relativeFrom="paragraph">
                  <wp:posOffset>-156845</wp:posOffset>
                </wp:positionV>
                <wp:extent cx="6188149" cy="2973927"/>
                <wp:effectExtent l="0" t="0" r="9525" b="10795"/>
                <wp:wrapNone/>
                <wp:docPr id="1905028448" name="Group 1"/>
                <wp:cNvGraphicFramePr/>
                <a:graphic xmlns:a="http://schemas.openxmlformats.org/drawingml/2006/main">
                  <a:graphicData uri="http://schemas.microsoft.com/office/word/2010/wordprocessingGroup">
                    <wpg:wgp>
                      <wpg:cNvGrpSpPr/>
                      <wpg:grpSpPr>
                        <a:xfrm>
                          <a:off x="0" y="0"/>
                          <a:ext cx="6188149" cy="2973927"/>
                          <a:chOff x="0" y="0"/>
                          <a:chExt cx="6188149" cy="2973927"/>
                        </a:xfrm>
                      </wpg:grpSpPr>
                      <wps:wsp>
                        <wps:cNvPr id="1674566071" name="docshape4"/>
                        <wps:cNvSpPr txBox="1">
                          <a:spLocks/>
                        </wps:cNvSpPr>
                        <wps:spPr bwMode="auto">
                          <a:xfrm>
                            <a:off x="0" y="0"/>
                            <a:ext cx="6188149" cy="2158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90A98" w14:textId="77777777" w:rsidR="00B1608C" w:rsidRPr="00BE2E6A" w:rsidRDefault="00B1608C" w:rsidP="00B1608C">
                              <w:pPr>
                                <w:pStyle w:val="Heading1"/>
                                <w:spacing w:before="100" w:beforeAutospacing="1" w:after="100" w:afterAutospacing="1" w:line="840" w:lineRule="exact"/>
                                <w:rPr>
                                  <w:color w:val="65FFBF"/>
                                  <w:spacing w:val="-14"/>
                                  <w:sz w:val="84"/>
                                  <w:szCs w:val="84"/>
                                </w:rPr>
                              </w:pPr>
                              <w:r w:rsidRPr="00BE2E6A">
                                <w:rPr>
                                  <w:color w:val="00004C"/>
                                  <w:spacing w:val="-14"/>
                                  <w:sz w:val="84"/>
                                  <w:szCs w:val="84"/>
                                </w:rPr>
                                <w:t xml:space="preserve">Advice on </w:t>
                              </w:r>
                              <w:r w:rsidRPr="00BE2E6A">
                                <w:rPr>
                                  <w:color w:val="00004C"/>
                                  <w:spacing w:val="-14"/>
                                  <w:sz w:val="84"/>
                                  <w:szCs w:val="84"/>
                                </w:rPr>
                                <w:br/>
                              </w:r>
                              <w:r w:rsidRPr="00BE2E6A">
                                <w:rPr>
                                  <w:color w:val="00B3A4"/>
                                  <w:spacing w:val="-14"/>
                                  <w:sz w:val="84"/>
                                  <w:szCs w:val="84"/>
                                </w:rPr>
                                <w:t xml:space="preserve">NZ ETS unit limits and </w:t>
                              </w:r>
                              <w:r>
                                <w:rPr>
                                  <w:color w:val="00B3A4"/>
                                  <w:spacing w:val="-14"/>
                                  <w:sz w:val="84"/>
                                  <w:szCs w:val="84"/>
                                </w:rPr>
                                <w:br/>
                              </w:r>
                              <w:r w:rsidRPr="00BE2E6A">
                                <w:rPr>
                                  <w:color w:val="00B3A4"/>
                                  <w:spacing w:val="-14"/>
                                  <w:sz w:val="84"/>
                                  <w:szCs w:val="84"/>
                                </w:rPr>
                                <w:t xml:space="preserve">price control settings </w:t>
                              </w:r>
                              <w:r w:rsidRPr="00BE2E6A">
                                <w:rPr>
                                  <w:color w:val="00B3A4"/>
                                  <w:spacing w:val="-14"/>
                                  <w:sz w:val="84"/>
                                  <w:szCs w:val="84"/>
                                </w:rPr>
                                <w:br/>
                                <w:t>for 2027–2031</w:t>
                              </w:r>
                            </w:p>
                            <w:p w14:paraId="44E83499" w14:textId="77777777" w:rsidR="00B1608C" w:rsidRDefault="00B1608C" w:rsidP="00B1608C">
                              <w:pPr>
                                <w:pStyle w:val="Heading4"/>
                                <w:spacing w:line="240" w:lineRule="auto"/>
                              </w:pPr>
                            </w:p>
                          </w:txbxContent>
                        </wps:txbx>
                        <wps:bodyPr rot="0" vert="horz" wrap="square" lIns="0" tIns="0" rIns="0" bIns="0" anchor="t" anchorCtr="0" upright="1">
                          <a:noAutofit/>
                        </wps:bodyPr>
                      </wps:wsp>
                      <wps:wsp>
                        <wps:cNvPr id="1347741541" name="docshape5"/>
                        <wps:cNvSpPr txBox="1">
                          <a:spLocks/>
                        </wps:cNvSpPr>
                        <wps:spPr bwMode="auto">
                          <a:xfrm>
                            <a:off x="0" y="2222205"/>
                            <a:ext cx="514604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E71C1" w14:textId="063D5F46" w:rsidR="00B1608C" w:rsidRPr="00BE2E6A" w:rsidRDefault="00B1608C" w:rsidP="00B1608C">
                              <w:pPr>
                                <w:pStyle w:val="Heading2"/>
                                <w:rPr>
                                  <w:lang w:val="en-AU"/>
                                </w:rPr>
                              </w:pPr>
                              <w:r>
                                <w:rPr>
                                  <w:lang w:val="en-AU"/>
                                </w:rPr>
                                <w:t>Executive summary</w:t>
                              </w:r>
                            </w:p>
                          </w:txbxContent>
                        </wps:txbx>
                        <wps:bodyPr rot="0" vert="horz" wrap="square" lIns="0" tIns="0" rIns="0" bIns="0" anchor="t" anchorCtr="0" upright="1">
                          <a:noAutofit/>
                        </wps:bodyPr>
                      </wps:wsp>
                      <wps:wsp>
                        <wps:cNvPr id="1973621103" name="docshape5"/>
                        <wps:cNvSpPr txBox="1">
                          <a:spLocks/>
                        </wps:cNvSpPr>
                        <wps:spPr bwMode="auto">
                          <a:xfrm>
                            <a:off x="0" y="2562447"/>
                            <a:ext cx="514604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BB8BB" w14:textId="77777777" w:rsidR="00B1608C" w:rsidRPr="00BE2E6A" w:rsidRDefault="00B1608C" w:rsidP="00B1608C">
                              <w:pPr>
                                <w:pStyle w:val="Heading2"/>
                                <w:rPr>
                                  <w:b/>
                                  <w:color w:val="auto"/>
                                  <w:lang w:val="en-AU"/>
                                </w:rPr>
                              </w:pPr>
                              <w:r w:rsidRPr="00BE2E6A">
                                <w:rPr>
                                  <w:b/>
                                  <w:bCs/>
                                  <w:lang w:val="en-AU"/>
                                </w:rPr>
                                <w:t>April 2026</w:t>
                              </w:r>
                            </w:p>
                          </w:txbxContent>
                        </wps:txbx>
                        <wps:bodyPr rot="0" vert="horz" wrap="square" lIns="0" tIns="0" rIns="0" bIns="0" anchor="t" anchorCtr="0" upright="1">
                          <a:noAutofit/>
                        </wps:bodyPr>
                      </wps:wsp>
                    </wpg:wgp>
                  </a:graphicData>
                </a:graphic>
              </wp:anchor>
            </w:drawing>
          </mc:Choice>
          <mc:Fallback>
            <w:pict>
              <v:group w14:anchorId="2A51F212" id="Group 1" o:spid="_x0000_s1027" style="position:absolute;margin-left:-16.7pt;margin-top:-12.35pt;width:487.25pt;height:234.15pt;z-index:-251658238" coordsize="61881,2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tNkfQIAAAUJAAAOAAAAZHJzL2Uyb0RvYy54bWzkVl1v0zAUfUfiP1h+Z4lTN22jphMwNiEN&#10;mDT4Aa7jfIjENra7ZPx6rp2mZdsDYmgwiT641/b19bnH59pZnw5di26EsY2SOSYnMUZCclU0ssrx&#10;l8/nr5YYWcdkwVolRY5vhcWnm5cv1r3ORKJq1RbCIAgibdbrHNfO6SyKLK9Fx+yJ0kLCZKlMxxx0&#10;TRUVhvUQvWujJI7TqFem0EZxYS2Mno2TeBPil6Xg7lNZWuFQm2PA5kJrQrv1bbRZs6wyTNcN38Ng&#10;j0DRsUbCpodQZ8wxtDPNg1Bdw42yqnQnXHWRKsuGi5ADZEPie9lcGLXTIZcq6yt9oAmovcfTo8Py&#10;jzcXRl/rKwNM9LoCLkLP5zKUpvP/gBINgbLbA2VicIjDYEqWS0JXGHGYS1aL2SpZjKTyGph/sI7X&#10;736xMpo2ju7A6TUIxB45sH/GwXXNtAjU2gw4uDKoKUC/6YLO0zReEIwk60CvheLWu1KflMcAzp4t&#10;5IY3CvIn4dStvlT8qwUXAH3wGRdY773tP6gCwrGdU2HF73NL5ktKgmAPDLFMG+suhOqQN3JsQO8h&#10;PLu5tM7DObr4k5TqvGlbGGdZK+8MgKMfCfA94hG7G7bDSMyU/lYVt5CPUWMlQeWDUSvzHaMeqijH&#10;9tuOGYFR+17CEfmSmwwzGdvJYJLD0hw7jEbzrRtLc6dNU9UQeaRXqtfAW9mEjDzBI4o9XFDFiPbp&#10;5TGjiwUlc/pAHvOJn6eUR+J/cdiKZVMBzglNYwo8+wKkhNDlv9JIMnHwf2sE7sA0ISSe3b9C/o5G&#10;5mlC6f4Kfn4amT13jYRHB97acHXuvwv8Y/5zP9w7x6+XzQ8AAAD//wMAUEsDBBQABgAIAAAAIQDO&#10;1snV4gAAAAsBAAAPAAAAZHJzL2Rvd25yZXYueG1sTI/BTsMwDIbvSLxDZCRuW5o1DChNp2kCTtMk&#10;NiTEzWu8tlqTVE3Wdm9POMHNlj/9/v58NZmWDdT7xlkFYp4AI1s63dhKwefhbfYEzAe0GltnScGV&#10;PKyK25scM+1G+0HDPlQshlifoYI6hC7j3Jc1GfRz15GNt5PrDYa49hXXPY4x3LR8kSRLbrCx8UON&#10;HW1qKs/7i1HwPuK4TsXrsD2fNtfvw8PuaytIqfu7af0CLNAU/mD41Y/qUESno7tY7VmrYJamMqJx&#10;WMhHYJF4lkIAOyqQMl0CL3L+v0PxAwAA//8DAFBLAQItABQABgAIAAAAIQC2gziS/gAAAOEBAAAT&#10;AAAAAAAAAAAAAAAAAAAAAABbQ29udGVudF9UeXBlc10ueG1sUEsBAi0AFAAGAAgAAAAhADj9If/W&#10;AAAAlAEAAAsAAAAAAAAAAAAAAAAALwEAAF9yZWxzLy5yZWxzUEsBAi0AFAAGAAgAAAAhALfi02R9&#10;AgAABQkAAA4AAAAAAAAAAAAAAAAALgIAAGRycy9lMm9Eb2MueG1sUEsBAi0AFAAGAAgAAAAhAM7W&#10;ydXiAAAACwEAAA8AAAAAAAAAAAAAAAAA1wQAAGRycy9kb3ducmV2LnhtbFBLBQYAAAAABAAEAPMA&#10;AADmBQAAAAA=&#10;">
                <v:shape id="docshape4" o:spid="_x0000_s1028" type="#_x0000_t202" style="position:absolute;width:61881;height:2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v64yAAAAOMAAAAPAAAAZHJzL2Rvd25yZXYueG1sRE9LSwMx&#10;EL4L/ocwgjebbbG7sjYtpaUoiIc+BI/DZtwsbiZLErfpvzeC0ON871msku3FSD50jhVMJwUI4sbp&#10;jlsFp+Pu4QlEiMgae8ek4EIBVsvbmwXW2p15T+MhtiKHcKhRgYlxqKUMjSGLYeIG4sx9OW8x5tO3&#10;Uns853Dby1lRlNJix7nB4EAbQ8334ccq+NgMu7f0afB9nOuX7azaX3yTlLq/S+tnEJFSvIr/3a86&#10;zy+rx3lZFtUU/n7KAMjlLwAAAP//AwBQSwECLQAUAAYACAAAACEA2+H2y+4AAACFAQAAEwAAAAAA&#10;AAAAAAAAAAAAAAAAW0NvbnRlbnRfVHlwZXNdLnhtbFBLAQItABQABgAIAAAAIQBa9CxbvwAAABUB&#10;AAALAAAAAAAAAAAAAAAAAB8BAABfcmVscy8ucmVsc1BLAQItABQABgAIAAAAIQCmjv64yAAAAOMA&#10;AAAPAAAAAAAAAAAAAAAAAAcCAABkcnMvZG93bnJldi54bWxQSwUGAAAAAAMAAwC3AAAA/AIAAAAA&#10;" filled="f" stroked="f">
                  <v:path arrowok="t"/>
                  <v:textbox inset="0,0,0,0">
                    <w:txbxContent>
                      <w:p w14:paraId="1B090A98" w14:textId="77777777" w:rsidR="00B1608C" w:rsidRPr="00BE2E6A" w:rsidRDefault="00B1608C" w:rsidP="00B1608C">
                        <w:pPr>
                          <w:pStyle w:val="Heading1"/>
                          <w:spacing w:before="100" w:beforeAutospacing="1" w:after="100" w:afterAutospacing="1" w:line="840" w:lineRule="exact"/>
                          <w:rPr>
                            <w:color w:val="65FFBF"/>
                            <w:spacing w:val="-14"/>
                            <w:sz w:val="84"/>
                            <w:szCs w:val="84"/>
                          </w:rPr>
                        </w:pPr>
                        <w:r w:rsidRPr="00BE2E6A">
                          <w:rPr>
                            <w:color w:val="00004C"/>
                            <w:spacing w:val="-14"/>
                            <w:sz w:val="84"/>
                            <w:szCs w:val="84"/>
                          </w:rPr>
                          <w:t xml:space="preserve">Advice on </w:t>
                        </w:r>
                        <w:r w:rsidRPr="00BE2E6A">
                          <w:rPr>
                            <w:color w:val="00004C"/>
                            <w:spacing w:val="-14"/>
                            <w:sz w:val="84"/>
                            <w:szCs w:val="84"/>
                          </w:rPr>
                          <w:br/>
                        </w:r>
                        <w:r w:rsidRPr="00BE2E6A">
                          <w:rPr>
                            <w:color w:val="00B3A4"/>
                            <w:spacing w:val="-14"/>
                            <w:sz w:val="84"/>
                            <w:szCs w:val="84"/>
                          </w:rPr>
                          <w:t xml:space="preserve">NZ ETS unit limits and </w:t>
                        </w:r>
                        <w:r>
                          <w:rPr>
                            <w:color w:val="00B3A4"/>
                            <w:spacing w:val="-14"/>
                            <w:sz w:val="84"/>
                            <w:szCs w:val="84"/>
                          </w:rPr>
                          <w:br/>
                        </w:r>
                        <w:r w:rsidRPr="00BE2E6A">
                          <w:rPr>
                            <w:color w:val="00B3A4"/>
                            <w:spacing w:val="-14"/>
                            <w:sz w:val="84"/>
                            <w:szCs w:val="84"/>
                          </w:rPr>
                          <w:t xml:space="preserve">price control settings </w:t>
                        </w:r>
                        <w:r w:rsidRPr="00BE2E6A">
                          <w:rPr>
                            <w:color w:val="00B3A4"/>
                            <w:spacing w:val="-14"/>
                            <w:sz w:val="84"/>
                            <w:szCs w:val="84"/>
                          </w:rPr>
                          <w:br/>
                          <w:t>for 2027–2031</w:t>
                        </w:r>
                      </w:p>
                      <w:p w14:paraId="44E83499" w14:textId="77777777" w:rsidR="00B1608C" w:rsidRDefault="00B1608C" w:rsidP="00B1608C">
                        <w:pPr>
                          <w:pStyle w:val="Heading4"/>
                          <w:spacing w:line="240" w:lineRule="auto"/>
                        </w:pPr>
                      </w:p>
                    </w:txbxContent>
                  </v:textbox>
                </v:shape>
                <v:shape id="docshape5" o:spid="_x0000_s1029" type="#_x0000_t202" style="position:absolute;top:22222;width:51460;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AryAAAAOMAAAAPAAAAZHJzL2Rvd25yZXYueG1sRE9fS8Mw&#10;EH8X/A7hBN9c2tnZUZcNmQwF8WHTgY9HczbF5lKS2GXf3giCj/f7f6tNsoOYyIfesYJyVoAgbp3u&#10;uVPw/ra7WYIIEVnj4JgUnCnAZn15scJGuxPvaTrETuQQDg0qMDGOjZShNWQxzNxInLlP5y3GfPpO&#10;ao+nHG4HOS+KO2mx59xgcKStofbr8G0VHLfj7iV9GHydFvrpcV7vz75NSl1fpYd7EJFS/Bf/uZ91&#10;nn9b1XVVLqoSfn/KAMj1DwAAAP//AwBQSwECLQAUAAYACAAAACEA2+H2y+4AAACFAQAAEwAAAAAA&#10;AAAAAAAAAAAAAAAAW0NvbnRlbnRfVHlwZXNdLnhtbFBLAQItABQABgAIAAAAIQBa9CxbvwAAABUB&#10;AAALAAAAAAAAAAAAAAAAAB8BAABfcmVscy8ucmVsc1BLAQItABQABgAIAAAAIQBvvVAryAAAAOMA&#10;AAAPAAAAAAAAAAAAAAAAAAcCAABkcnMvZG93bnJldi54bWxQSwUGAAAAAAMAAwC3AAAA/AIAAAAA&#10;" filled="f" stroked="f">
                  <v:path arrowok="t"/>
                  <v:textbox inset="0,0,0,0">
                    <w:txbxContent>
                      <w:p w14:paraId="19CE71C1" w14:textId="063D5F46" w:rsidR="00B1608C" w:rsidRPr="00BE2E6A" w:rsidRDefault="00B1608C" w:rsidP="00B1608C">
                        <w:pPr>
                          <w:pStyle w:val="Heading2"/>
                          <w:rPr>
                            <w:lang w:val="en-AU"/>
                          </w:rPr>
                        </w:pPr>
                        <w:r>
                          <w:rPr>
                            <w:lang w:val="en-AU"/>
                          </w:rPr>
                          <w:t>Executive summary</w:t>
                        </w:r>
                      </w:p>
                    </w:txbxContent>
                  </v:textbox>
                </v:shape>
                <v:shape id="docshape5" o:spid="_x0000_s1030" type="#_x0000_t202" style="position:absolute;top:25624;width:5146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I1yAAAAOMAAAAPAAAAZHJzL2Rvd25yZXYueG1sRE9fS8Mw&#10;EH8X9h3CCb65tB1uWpeNMRkOxIdNBR+P5myKzaUkscu+vRkIPt7v/y3XyfZiJB86xwrKaQGCuHG6&#10;41bB+9vu9h5EiMgae8ek4EwB1qvJ1RJr7U58oPEYW5FDONSowMQ41FKGxpDFMHUDcea+nLcY8+lb&#10;qT2ecrjtZVUUc2mx49xgcKCtoeb7+GMVfGyH3Uv6NPg63unnp2pxOPsmKXVznTaPICKl+C/+c+91&#10;nv+wmM2rsixmcPkpAyBXvwAAAP//AwBQSwECLQAUAAYACAAAACEA2+H2y+4AAACFAQAAEwAAAAAA&#10;AAAAAAAAAAAAAAAAW0NvbnRlbnRfVHlwZXNdLnhtbFBLAQItABQABgAIAAAAIQBa9CxbvwAAABUB&#10;AAALAAAAAAAAAAAAAAAAAB8BAABfcmVscy8ucmVsc1BLAQItABQABgAIAAAAIQBLlaI1yAAAAOMA&#10;AAAPAAAAAAAAAAAAAAAAAAcCAABkcnMvZG93bnJldi54bWxQSwUGAAAAAAMAAwC3AAAA/AIAAAAA&#10;" filled="f" stroked="f">
                  <v:path arrowok="t"/>
                  <v:textbox inset="0,0,0,0">
                    <w:txbxContent>
                      <w:p w14:paraId="270BB8BB" w14:textId="77777777" w:rsidR="00B1608C" w:rsidRPr="00BE2E6A" w:rsidRDefault="00B1608C" w:rsidP="00B1608C">
                        <w:pPr>
                          <w:pStyle w:val="Heading2"/>
                          <w:rPr>
                            <w:b/>
                            <w:color w:val="auto"/>
                            <w:lang w:val="en-AU"/>
                          </w:rPr>
                        </w:pPr>
                        <w:r w:rsidRPr="00BE2E6A">
                          <w:rPr>
                            <w:b/>
                            <w:bCs/>
                            <w:lang w:val="en-AU"/>
                          </w:rPr>
                          <w:t>April 2026</w:t>
                        </w:r>
                      </w:p>
                    </w:txbxContent>
                  </v:textbox>
                </v:shape>
              </v:group>
            </w:pict>
          </mc:Fallback>
        </mc:AlternateContent>
      </w:r>
      <w:r>
        <w:rPr>
          <w:noProof/>
        </w:rPr>
        <w:drawing>
          <wp:anchor distT="0" distB="0" distL="0" distR="0" simplePos="0" relativeHeight="251658240" behindDoc="1" locked="0" layoutInCell="1" allowOverlap="1" wp14:anchorId="02AA8588" wp14:editId="62D167C1">
            <wp:simplePos x="0" y="0"/>
            <wp:positionH relativeFrom="page">
              <wp:posOffset>0</wp:posOffset>
            </wp:positionH>
            <wp:positionV relativeFrom="page">
              <wp:posOffset>4963160</wp:posOffset>
            </wp:positionV>
            <wp:extent cx="7578725" cy="5698490"/>
            <wp:effectExtent l="0" t="0" r="3175" b="3810"/>
            <wp:wrapNone/>
            <wp:docPr id="7" name="image3.png" descr="A blue and green curv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descr="A blue and green curved shap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78725" cy="5698490"/>
                    </a:xfrm>
                    <a:prstGeom prst="rect">
                      <a:avLst/>
                    </a:prstGeom>
                  </pic:spPr>
                </pic:pic>
              </a:graphicData>
            </a:graphic>
            <wp14:sizeRelH relativeFrom="margin">
              <wp14:pctWidth>0</wp14:pctWidth>
            </wp14:sizeRelH>
          </wp:anchor>
        </w:drawing>
      </w:r>
    </w:p>
    <w:p w14:paraId="7FDF59E0" w14:textId="77777777" w:rsidR="00B1608C" w:rsidRDefault="00B1608C" w:rsidP="00B1608C">
      <w:pPr>
        <w:pStyle w:val="BodyText"/>
      </w:pPr>
    </w:p>
    <w:p w14:paraId="3687D33F" w14:textId="77777777" w:rsidR="00B1608C" w:rsidRDefault="00B1608C" w:rsidP="00B1608C">
      <w:pPr>
        <w:pStyle w:val="BodyText"/>
        <w:sectPr w:rsidR="00B1608C" w:rsidSect="00B1608C">
          <w:footerReference w:type="default" r:id="rId15"/>
          <w:footerReference w:type="first" r:id="rId16"/>
          <w:pgSz w:w="11906" w:h="16838"/>
          <w:pgMar w:top="1418" w:right="1418" w:bottom="1134" w:left="1418" w:header="709" w:footer="624" w:gutter="0"/>
          <w:pgNumType w:start="0"/>
          <w:cols w:space="708"/>
          <w:titlePg/>
          <w:docGrid w:linePitch="360"/>
        </w:sectPr>
      </w:pPr>
    </w:p>
    <w:p w14:paraId="5D58BF54" w14:textId="77777777" w:rsidR="00767FA9" w:rsidRPr="0042787E" w:rsidRDefault="00767FA9" w:rsidP="00767FA9">
      <w:pPr>
        <w:pStyle w:val="Heading1nonumber"/>
        <w:rPr>
          <w:rFonts w:eastAsia="Calibri" w:cs="Calibri"/>
        </w:rPr>
      </w:pPr>
      <w:bookmarkStart w:id="0" w:name="_Toc227255187"/>
      <w:r w:rsidRPr="0042787E">
        <w:lastRenderedPageBreak/>
        <w:t xml:space="preserve">Executive </w:t>
      </w:r>
      <w:r>
        <w:t>s</w:t>
      </w:r>
      <w:r w:rsidRPr="0042787E">
        <w:t>ummary</w:t>
      </w:r>
      <w:bookmarkEnd w:id="0"/>
    </w:p>
    <w:p w14:paraId="30B0D694" w14:textId="77777777" w:rsidR="00767FA9" w:rsidRPr="0042787E" w:rsidRDefault="00767FA9" w:rsidP="00767FA9">
      <w:pPr>
        <w:pStyle w:val="Intro"/>
        <w:rPr>
          <w:szCs w:val="38"/>
        </w:rPr>
      </w:pPr>
      <w:r w:rsidRPr="0042787E">
        <w:t>This is our advice to the Government on unit limits and price control settings for the New Zealand Emissions Trading Scheme.</w:t>
      </w:r>
    </w:p>
    <w:p w14:paraId="0B24B62C" w14:textId="77777777" w:rsidR="00767FA9" w:rsidRPr="0042787E" w:rsidRDefault="00767FA9" w:rsidP="00767FA9">
      <w:pPr>
        <w:pStyle w:val="BodyText"/>
      </w:pPr>
      <w:r w:rsidRPr="0042787E">
        <w:t>The New Zealand Emissions Trading Scheme (NZ ETS) is a key policy tool for reducing domestic greenhouse gas emissions. He Pou a Rangi Climate Change Commission provides the Government with regular advice on the scheme’s unit limits and price control settings (NZ ETS settings). This is the fifth year the Commission has provided advice on NZ ETS settings. This advice covers the settings for 2027–2031.</w:t>
      </w:r>
    </w:p>
    <w:p w14:paraId="1A6D77A0" w14:textId="77777777" w:rsidR="00767FA9" w:rsidRDefault="00767FA9" w:rsidP="00767FA9">
      <w:pPr>
        <w:pStyle w:val="BodyText"/>
      </w:pPr>
      <w:r w:rsidRPr="0042787E">
        <w:t xml:space="preserve">After our recommendations were finalised, the current conflict began in the Middle East. The conflict has evolving implications for the supply and price of fossil fuels. Our advice already factors in uncertainty in the outlook for fossil fuel prices and Aotearoa New Zealand’s emissions. The conflict has heightened that uncertainty, and could have further impacts across the economy, affecting emissions. Regular updates to NZ ETS settings </w:t>
      </w:r>
      <w:r w:rsidRPr="0042787E">
        <w:br/>
        <w:t>allow the Government to keep the NZ ETS settings aligned with emissions targets while responding to uncertainty and changing circumstances. It will be important to reassess these issues in the next review of the NZ ETS settings, which under current legislation is scheduled for 2027.</w:t>
      </w:r>
      <w:r w:rsidRPr="0042787E">
        <w:rPr>
          <w:rStyle w:val="FootnoteReference"/>
        </w:rPr>
        <w:footnoteReference w:id="1"/>
      </w:r>
    </w:p>
    <w:p w14:paraId="7492ED18" w14:textId="77777777" w:rsidR="00767FA9" w:rsidRPr="0042787E" w:rsidRDefault="00767FA9" w:rsidP="00767FA9">
      <w:pPr>
        <w:pStyle w:val="BodyText"/>
      </w:pPr>
      <w:r>
        <w:t>This advice is based on the Climate Change Response Act 2002 as it is currently in force. We also refer, where relevant, to the Government’s announced intentions to amend this Act, shifting the next NZ ETS settings update to 2028. This reflects the information available to us about those plans at the time this advice was finalised.</w:t>
      </w:r>
    </w:p>
    <w:p w14:paraId="439EA5DC" w14:textId="77777777" w:rsidR="00767FA9" w:rsidRPr="0042787E" w:rsidRDefault="00767FA9" w:rsidP="00767FA9">
      <w:pPr>
        <w:pStyle w:val="Heading2nonumber"/>
        <w:rPr>
          <w:rFonts w:cs="Calibri"/>
        </w:rPr>
      </w:pPr>
      <w:bookmarkStart w:id="1" w:name="_Toc225320134"/>
      <w:bookmarkStart w:id="2" w:name="_Toc225439403"/>
      <w:bookmarkStart w:id="3" w:name="_Toc227255188"/>
      <w:r w:rsidRPr="0042787E">
        <w:t>Our recommendations</w:t>
      </w:r>
      <w:bookmarkEnd w:id="1"/>
      <w:bookmarkEnd w:id="2"/>
      <w:bookmarkEnd w:id="3"/>
    </w:p>
    <w:p w14:paraId="384DB161" w14:textId="77777777" w:rsidR="00767FA9" w:rsidRPr="0042787E" w:rsidRDefault="00767FA9" w:rsidP="00767FA9">
      <w:pPr>
        <w:pStyle w:val="BodyText"/>
      </w:pPr>
      <w:r w:rsidRPr="0042787E">
        <w:t xml:space="preserve">We are recommending that the Government maintain the current NZ ETS auction volumes through to 2030, and set 2031 auction volumes on the basis that the surplus of units in the market has been depleted by then. We are also recommending that the Government retain and extend to 2031 the current price control settings, with inflation adjustments from 2029. </w:t>
      </w:r>
    </w:p>
    <w:p w14:paraId="179AA285" w14:textId="77777777" w:rsidR="00767FA9" w:rsidRPr="0042787E" w:rsidRDefault="00767FA9" w:rsidP="00767FA9">
      <w:pPr>
        <w:pStyle w:val="BodyText"/>
      </w:pPr>
      <w:r w:rsidRPr="0042787E">
        <w:t xml:space="preserve">Our recommendations balance two competing risks. On one hand it is possible that the current settings (or any reduction in volumes) will lead to an undersupply of units in the market later this decade. An undersupply could lead to rapidly rising and volatile New Zealand Unit (NZU) prices. This could unintentionally drive emissions reduction through </w:t>
      </w:r>
      <w:r w:rsidRPr="0042787E">
        <w:lastRenderedPageBreak/>
        <w:t>plant closures and reduced production, rather than by incentivising investments in lower-emissions technologies.</w:t>
      </w:r>
    </w:p>
    <w:p w14:paraId="22597859" w14:textId="77777777" w:rsidR="00767FA9" w:rsidRPr="0042787E" w:rsidRDefault="00767FA9" w:rsidP="00767FA9">
      <w:pPr>
        <w:pStyle w:val="BodyText"/>
      </w:pPr>
      <w:r w:rsidRPr="0042787E">
        <w:t>On the other hand, a significant drop in NZU prices followed Government policy announcements on 4 November 2025. Market participants have reported that the perception of continued weakening of climate policy in general is contributing to low market sentiment. Any increase in auction volumes at this time to address the risk of undersupply could further undermine confidence in an already depressed market.</w:t>
      </w:r>
    </w:p>
    <w:p w14:paraId="5D6AB25E" w14:textId="77777777" w:rsidR="00767FA9" w:rsidRPr="0042787E" w:rsidRDefault="00767FA9" w:rsidP="00767FA9">
      <w:pPr>
        <w:pStyle w:val="BodyText"/>
      </w:pPr>
      <w:r w:rsidRPr="0042787E">
        <w:t>Our advice is therefore to maintain the current auction volume settings for now, while preparing to address the risk of a unit shortfall in future years.</w:t>
      </w:r>
    </w:p>
    <w:p w14:paraId="6149974A" w14:textId="77777777" w:rsidR="00767FA9" w:rsidRPr="0042787E" w:rsidRDefault="00767FA9" w:rsidP="00767FA9">
      <w:pPr>
        <w:pStyle w:val="Heading3"/>
        <w:rPr>
          <w:rFonts w:eastAsia="Calibri" w:cs="Calibri"/>
          <w:b/>
        </w:rPr>
      </w:pPr>
      <w:r w:rsidRPr="0042787E">
        <w:rPr>
          <w:rFonts w:eastAsia="Calibri" w:cs="Calibri"/>
        </w:rPr>
        <w:t>Addressing the risk of a unit shortfall</w:t>
      </w:r>
    </w:p>
    <w:p w14:paraId="5F3DD53C" w14:textId="77777777" w:rsidR="00767FA9" w:rsidRPr="0042787E" w:rsidRDefault="00767FA9" w:rsidP="00767FA9">
      <w:pPr>
        <w:pStyle w:val="BodyText"/>
      </w:pPr>
      <w:r w:rsidRPr="0042787E">
        <w:t xml:space="preserve">We make our recommendations on the NZ ETS settings package on the basis that the next regulations update will be in 2027 as required by current legislation. On that basis, we advise the Government during the coming year to clearly signal and test with the market options for addressing the risk of undersupply in the years 2028–2030. </w:t>
      </w:r>
    </w:p>
    <w:p w14:paraId="622A5974" w14:textId="77777777" w:rsidR="00767FA9" w:rsidRPr="0042787E" w:rsidRDefault="00767FA9" w:rsidP="00767FA9">
      <w:pPr>
        <w:pStyle w:val="BodyText"/>
      </w:pPr>
      <w:r w:rsidRPr="0042787E">
        <w:t xml:space="preserve">If the Climate Change Response Act 2002 is amended as the Government has </w:t>
      </w:r>
      <w:r>
        <w:t xml:space="preserve">announced </w:t>
      </w:r>
      <w:r w:rsidRPr="0042787E">
        <w:t>it intends to, and the next settings update moves from 2027 to 2028, our advice would be for the Government to adopt a temporary lower tier of the cost containment reserve (CCR)</w:t>
      </w:r>
      <w:r w:rsidRPr="0042787E">
        <w:rPr>
          <w:rStyle w:val="FootnoteReference"/>
        </w:rPr>
        <w:footnoteReference w:id="2"/>
      </w:r>
      <w:r w:rsidRPr="0042787E">
        <w:t xml:space="preserve"> to address the undersupply risk from 2028–2030. </w:t>
      </w:r>
    </w:p>
    <w:p w14:paraId="0DB69E3F" w14:textId="77777777" w:rsidR="00767FA9" w:rsidRPr="0042787E" w:rsidRDefault="00767FA9" w:rsidP="00767FA9">
      <w:pPr>
        <w:pStyle w:val="BodyText"/>
      </w:pPr>
      <w:r w:rsidRPr="0042787E">
        <w:t>We set out our recommendations in Table ES.1. Below we explain the key judgements, findings and areas of uncertainty that led us to this package of recommendations.</w:t>
      </w:r>
    </w:p>
    <w:tbl>
      <w:tblPr>
        <w:tblStyle w:val="BoxDesign"/>
        <w:tblW w:w="0" w:type="auto"/>
        <w:tblLook w:val="0420" w:firstRow="1" w:lastRow="0" w:firstColumn="0" w:lastColumn="0" w:noHBand="0" w:noVBand="1"/>
      </w:tblPr>
      <w:tblGrid>
        <w:gridCol w:w="9016"/>
      </w:tblGrid>
      <w:tr w:rsidR="00767FA9" w:rsidRPr="0042787E" w14:paraId="3429E799" w14:textId="77777777" w:rsidTr="004C4D06">
        <w:trPr>
          <w:cnfStyle w:val="100000000000" w:firstRow="1" w:lastRow="0" w:firstColumn="0" w:lastColumn="0" w:oddVBand="0" w:evenVBand="0" w:oddHBand="0" w:evenHBand="0" w:firstRowFirstColumn="0" w:firstRowLastColumn="0" w:lastRowFirstColumn="0" w:lastRowLastColumn="0"/>
          <w:trHeight w:val="300"/>
        </w:trPr>
        <w:tc>
          <w:tcPr>
            <w:tcW w:w="9060" w:type="dxa"/>
          </w:tcPr>
          <w:p w14:paraId="31E187F7" w14:textId="77777777" w:rsidR="00767FA9" w:rsidRPr="0042787E" w:rsidRDefault="00767FA9" w:rsidP="004C4D06">
            <w:pPr>
              <w:pStyle w:val="Tableheading"/>
              <w:rPr>
                <w:b/>
              </w:rPr>
            </w:pPr>
            <w:r w:rsidRPr="0042787E">
              <w:rPr>
                <w:b/>
              </w:rPr>
              <w:t>Key points for decision-makers</w:t>
            </w:r>
          </w:p>
        </w:tc>
      </w:tr>
      <w:tr w:rsidR="00767FA9" w:rsidRPr="0042787E" w14:paraId="639CBD23" w14:textId="77777777" w:rsidTr="004C4D06">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00"/>
        </w:trPr>
        <w:tc>
          <w:tcPr>
            <w:tcW w:w="9060" w:type="dxa"/>
          </w:tcPr>
          <w:p w14:paraId="46A69C64" w14:textId="77777777" w:rsidR="00767FA9" w:rsidRPr="0042787E" w:rsidRDefault="00767FA9" w:rsidP="004C4D06">
            <w:pPr>
              <w:pStyle w:val="Boxtext"/>
              <w:rPr>
                <w:b/>
                <w:bCs/>
              </w:rPr>
            </w:pPr>
            <w:r w:rsidRPr="0042787E">
              <w:rPr>
                <w:b/>
                <w:bCs/>
              </w:rPr>
              <w:t>What are we recommending?</w:t>
            </w:r>
          </w:p>
          <w:p w14:paraId="00CA90EF" w14:textId="77777777" w:rsidR="00767FA9" w:rsidRPr="0042787E" w:rsidRDefault="00767FA9" w:rsidP="004C4D06">
            <w:pPr>
              <w:pStyle w:val="Boxbullet"/>
            </w:pPr>
            <w:r w:rsidRPr="0042787E">
              <w:t>We are recommending retaining current settings for now, but we advise the Government to prepare for the risk of undersupply over 2028–2030.</w:t>
            </w:r>
          </w:p>
          <w:p w14:paraId="7626C3D0" w14:textId="77777777" w:rsidR="00767FA9" w:rsidRPr="0042787E" w:rsidRDefault="00767FA9" w:rsidP="00767FA9">
            <w:pPr>
              <w:pStyle w:val="Boxbullet"/>
              <w:numPr>
                <w:ilvl w:val="1"/>
                <w:numId w:val="1"/>
              </w:numPr>
            </w:pPr>
            <w:r w:rsidRPr="0042787E">
              <w:t>Maintain the current NZ ETS auction volumes through to 2030, and set 2031 auction volumes on the basis that the surplus of units in the market has been depleted by then.</w:t>
            </w:r>
          </w:p>
          <w:p w14:paraId="4832FC19" w14:textId="77777777" w:rsidR="00767FA9" w:rsidRPr="0042787E" w:rsidRDefault="00767FA9" w:rsidP="00767FA9">
            <w:pPr>
              <w:pStyle w:val="Boxbullet"/>
              <w:numPr>
                <w:ilvl w:val="1"/>
                <w:numId w:val="1"/>
              </w:numPr>
            </w:pPr>
            <w:r w:rsidRPr="0042787E">
              <w:t>Retain and extend to 2031 the current price control settings, with inflation adjustments from 2029.</w:t>
            </w:r>
          </w:p>
          <w:p w14:paraId="66FE21EC" w14:textId="77777777" w:rsidR="00767FA9" w:rsidRPr="0042787E" w:rsidRDefault="00767FA9" w:rsidP="004C4D06">
            <w:pPr>
              <w:pStyle w:val="Boxtext"/>
              <w:spacing w:after="0"/>
              <w:rPr>
                <w:b/>
                <w:bCs/>
              </w:rPr>
            </w:pPr>
            <w:r w:rsidRPr="0042787E">
              <w:rPr>
                <w:b/>
                <w:bCs/>
              </w:rPr>
              <w:t>Why have we made these recommendations?</w:t>
            </w:r>
          </w:p>
          <w:p w14:paraId="3E684894" w14:textId="77777777" w:rsidR="00767FA9" w:rsidRPr="0042787E" w:rsidRDefault="00767FA9" w:rsidP="004C4D06">
            <w:pPr>
              <w:pStyle w:val="Boxbullet"/>
            </w:pPr>
            <w:r w:rsidRPr="0042787E">
              <w:t>These recommendations aim to limit the risk of further price instability and loss of confidence in the NZ ETS.</w:t>
            </w:r>
          </w:p>
          <w:p w14:paraId="41B53A8B" w14:textId="77777777" w:rsidR="00767FA9" w:rsidRPr="0042787E" w:rsidRDefault="00767FA9" w:rsidP="004C4D06">
            <w:pPr>
              <w:pStyle w:val="Boxbullet"/>
            </w:pPr>
            <w:r w:rsidRPr="0042787E">
              <w:t>Recently the NZ ETS emissions price has been low and volatile. Uncertainty about the NZ ETS and wider climate policy appears to have undermined confidence.</w:t>
            </w:r>
          </w:p>
          <w:p w14:paraId="6093CC19" w14:textId="77777777" w:rsidR="00767FA9" w:rsidRPr="0042787E" w:rsidRDefault="00767FA9" w:rsidP="004C4D06">
            <w:pPr>
              <w:pStyle w:val="Boxbullet"/>
            </w:pPr>
            <w:r w:rsidRPr="0042787E">
              <w:lastRenderedPageBreak/>
              <w:t>The market has a surplus of units available now, but that is changing. Under current settings, by 2028 there could be too few units available to meet demand.</w:t>
            </w:r>
          </w:p>
          <w:p w14:paraId="2109C09D" w14:textId="77777777" w:rsidR="00767FA9" w:rsidRPr="0042787E" w:rsidRDefault="00767FA9" w:rsidP="004C4D06">
            <w:pPr>
              <w:pStyle w:val="Boxbullet"/>
            </w:pPr>
            <w:r w:rsidRPr="0042787E">
              <w:t>The Government could respond by making more units available through auctions now, but unexpected changes now could destabilise the market further.</w:t>
            </w:r>
          </w:p>
          <w:p w14:paraId="0E2EFF3C" w14:textId="77777777" w:rsidR="00767FA9" w:rsidRPr="0042787E" w:rsidRDefault="00767FA9" w:rsidP="004C4D06">
            <w:pPr>
              <w:pStyle w:val="Boxtext"/>
              <w:spacing w:after="0"/>
              <w:rPr>
                <w:b/>
                <w:bCs/>
              </w:rPr>
            </w:pPr>
            <w:r w:rsidRPr="0042787E">
              <w:rPr>
                <w:b/>
                <w:bCs/>
              </w:rPr>
              <w:t>Why is a unit shortfall a bad thing?</w:t>
            </w:r>
          </w:p>
          <w:p w14:paraId="3C025D1D" w14:textId="77777777" w:rsidR="00767FA9" w:rsidRPr="0042787E" w:rsidRDefault="00767FA9" w:rsidP="004C4D06">
            <w:pPr>
              <w:pStyle w:val="Boxbullet"/>
            </w:pPr>
            <w:r w:rsidRPr="0042787E">
              <w:t xml:space="preserve">For an ETS to be effective, the emissions price should rise steadily over time to encourage the shift to low-emissions options. But when emissions prices rise too rapidly, they can outpace the ability of people and businesses to respond. </w:t>
            </w:r>
          </w:p>
          <w:p w14:paraId="41BB03D7" w14:textId="77777777" w:rsidR="00767FA9" w:rsidRPr="0042787E" w:rsidRDefault="00767FA9" w:rsidP="004C4D06">
            <w:pPr>
              <w:pStyle w:val="Boxbullet"/>
            </w:pPr>
            <w:r w:rsidRPr="0042787E">
              <w:t>A shortfall could cause rapid increases and volatility in NZU prices:</w:t>
            </w:r>
          </w:p>
          <w:p w14:paraId="3E8F34EF" w14:textId="77777777" w:rsidR="00767FA9" w:rsidRPr="0042787E" w:rsidRDefault="00767FA9" w:rsidP="00767FA9">
            <w:pPr>
              <w:pStyle w:val="Boxbullet"/>
              <w:numPr>
                <w:ilvl w:val="1"/>
                <w:numId w:val="1"/>
              </w:numPr>
            </w:pPr>
            <w:r w:rsidRPr="0042787E">
              <w:t>leading to disruptive economic impacts, such as reduced production, factory closures and job losses</w:t>
            </w:r>
          </w:p>
          <w:p w14:paraId="16EE88E6" w14:textId="77777777" w:rsidR="00767FA9" w:rsidRPr="0042787E" w:rsidRDefault="00767FA9" w:rsidP="00767FA9">
            <w:pPr>
              <w:pStyle w:val="Boxbullet"/>
              <w:numPr>
                <w:ilvl w:val="1"/>
                <w:numId w:val="1"/>
              </w:numPr>
            </w:pPr>
            <w:r w:rsidRPr="0042787E">
              <w:t>pressuring the Government to make unplanned interventions in the market, and</w:t>
            </w:r>
          </w:p>
          <w:p w14:paraId="58068B63" w14:textId="77777777" w:rsidR="00767FA9" w:rsidRPr="0042787E" w:rsidRDefault="00767FA9" w:rsidP="00767FA9">
            <w:pPr>
              <w:pStyle w:val="Boxbullet"/>
              <w:numPr>
                <w:ilvl w:val="1"/>
                <w:numId w:val="1"/>
              </w:numPr>
            </w:pPr>
            <w:r w:rsidRPr="0042787E">
              <w:t>causing investors to delay investments in reducing emissions.</w:t>
            </w:r>
          </w:p>
          <w:p w14:paraId="0E1E38C6" w14:textId="77777777" w:rsidR="00767FA9" w:rsidRPr="0042787E" w:rsidRDefault="00767FA9" w:rsidP="004C4D06">
            <w:pPr>
              <w:pStyle w:val="Boxtext"/>
              <w:spacing w:after="0"/>
              <w:rPr>
                <w:b/>
              </w:rPr>
            </w:pPr>
            <w:r w:rsidRPr="0042787E">
              <w:rPr>
                <w:b/>
                <w:bCs/>
              </w:rPr>
              <w:t>What is the scope of this advice?</w:t>
            </w:r>
          </w:p>
          <w:p w14:paraId="3874B54F" w14:textId="77777777" w:rsidR="00767FA9" w:rsidRPr="0042787E" w:rsidRDefault="00767FA9" w:rsidP="004C4D06">
            <w:pPr>
              <w:pStyle w:val="Boxbullet"/>
            </w:pPr>
            <w:r w:rsidRPr="0042787E">
              <w:t>This advice is about the NZ ETS unit limits and price control settings for 2027–2031. Our other advice can address broader prospects for reducing emissions through the NZ ETS and other mechanisms.</w:t>
            </w:r>
          </w:p>
          <w:p w14:paraId="705C6612" w14:textId="77777777" w:rsidR="00767FA9" w:rsidRPr="0042787E" w:rsidRDefault="00767FA9" w:rsidP="004C4D06">
            <w:pPr>
              <w:pStyle w:val="Boxbullet"/>
            </w:pPr>
            <w:r w:rsidRPr="0042787E">
              <w:t xml:space="preserve">The NZ ETS is the Government’s main tool for emissions reduction, but it currently covers less than </w:t>
            </w:r>
            <w:r w:rsidRPr="001166C1">
              <w:t>40% of</w:t>
            </w:r>
            <w:r w:rsidRPr="0042787E">
              <w:t xml:space="preserve"> domestic net emissions and that share is reducing.</w:t>
            </w:r>
          </w:p>
          <w:p w14:paraId="23C4C098" w14:textId="77777777" w:rsidR="00767FA9" w:rsidRPr="0042787E" w:rsidRDefault="00767FA9" w:rsidP="004C4D06">
            <w:pPr>
              <w:pStyle w:val="Boxbullet"/>
            </w:pPr>
            <w:r w:rsidRPr="0042787E">
              <w:t>Auctioned NZUs, which this advice focuses on, form only a small part of the total units in the system.</w:t>
            </w:r>
          </w:p>
          <w:p w14:paraId="4E1D4B07" w14:textId="77777777" w:rsidR="00767FA9" w:rsidRPr="0042787E" w:rsidRDefault="00767FA9" w:rsidP="004C4D06">
            <w:pPr>
              <w:pStyle w:val="Boxtext"/>
              <w:rPr>
                <w:b/>
              </w:rPr>
            </w:pPr>
            <w:r w:rsidRPr="0042787E">
              <w:rPr>
                <w:b/>
              </w:rPr>
              <w:t>What else needs to happen with the NZ ETS?</w:t>
            </w:r>
          </w:p>
          <w:p w14:paraId="54D43424" w14:textId="77777777" w:rsidR="00767FA9" w:rsidRPr="0042787E" w:rsidRDefault="00767FA9" w:rsidP="004C4D06">
            <w:pPr>
              <w:pStyle w:val="Boxbullet"/>
            </w:pPr>
            <w:r w:rsidRPr="0042787E">
              <w:t xml:space="preserve">Investors need credible, well-signalled policies on the NZ ETS, and on climate change generally, to give them confidence that their investments in emissions reduction will generate returns. </w:t>
            </w:r>
          </w:p>
          <w:p w14:paraId="6BE138CB" w14:textId="77777777" w:rsidR="00767FA9" w:rsidRPr="0042787E" w:rsidRDefault="00767FA9" w:rsidP="004C4D06">
            <w:pPr>
              <w:pStyle w:val="Boxbullet"/>
            </w:pPr>
            <w:r w:rsidRPr="0042787E">
              <w:t>We have previously advised that meeting emissions targets is likely to require a strengthened NZ ETS as well as targeted policies in other sectors such as transport, energy and agriculture.</w:t>
            </w:r>
          </w:p>
          <w:p w14:paraId="3A4CBD48" w14:textId="77777777" w:rsidR="00767FA9" w:rsidRPr="0042787E" w:rsidRDefault="00767FA9" w:rsidP="004C4D06">
            <w:pPr>
              <w:pStyle w:val="Boxbullet"/>
            </w:pPr>
            <w:r w:rsidRPr="0042787E">
              <w:t xml:space="preserve">The point when the NZ ETS in its current form will no longer be able to incentivise further net emissions reductions is drawing closer. Our updated analysis for this NZ ETS settings advice indicates that this could happen as early as the mid-2030s. </w:t>
            </w:r>
          </w:p>
          <w:p w14:paraId="2D063E9C" w14:textId="77777777" w:rsidR="00767FA9" w:rsidRPr="0042787E" w:rsidRDefault="00767FA9" w:rsidP="004C4D06">
            <w:pPr>
              <w:pStyle w:val="Boxbullet"/>
              <w:numPr>
                <w:ilvl w:val="0"/>
                <w:numId w:val="0"/>
              </w:numPr>
              <w:ind w:left="720" w:hanging="360"/>
            </w:pPr>
          </w:p>
        </w:tc>
      </w:tr>
    </w:tbl>
    <w:p w14:paraId="0F10D916" w14:textId="77777777" w:rsidR="00767FA9" w:rsidRPr="0042787E" w:rsidRDefault="00767FA9" w:rsidP="00767FA9">
      <w:pPr>
        <w:pStyle w:val="Heading2nonumber"/>
      </w:pPr>
      <w:bookmarkStart w:id="4" w:name="_Toc227255189"/>
      <w:r w:rsidRPr="0042787E">
        <w:lastRenderedPageBreak/>
        <w:t>How we arrived at our recommendations</w:t>
      </w:r>
      <w:bookmarkEnd w:id="4"/>
    </w:p>
    <w:p w14:paraId="1464CDA7" w14:textId="77777777" w:rsidR="00767FA9" w:rsidRPr="0042787E" w:rsidRDefault="00767FA9" w:rsidP="00767FA9">
      <w:pPr>
        <w:pStyle w:val="BodyText"/>
      </w:pPr>
      <w:r w:rsidRPr="0042787E">
        <w:t xml:space="preserve">The Climate Change Response Act 2002 (the Act) requires that NZ ETS unit limits and price control settings accord with emissions budgets and the 2050 target. We aim to ensure accordance by using a method that is centred on this requirement and </w:t>
      </w:r>
      <w:r w:rsidRPr="0042787E" w:rsidDel="00FE48CB">
        <w:t xml:space="preserve">that </w:t>
      </w:r>
      <w:r w:rsidRPr="0042787E">
        <w:t>also works through other matters that must be considered under the Act.</w:t>
      </w:r>
    </w:p>
    <w:p w14:paraId="7A323D08" w14:textId="77777777" w:rsidR="00767FA9" w:rsidRPr="0042787E" w:rsidRDefault="00767FA9" w:rsidP="00767FA9">
      <w:pPr>
        <w:pStyle w:val="BodyText"/>
      </w:pPr>
      <w:r w:rsidRPr="0042787E">
        <w:lastRenderedPageBreak/>
        <w:t>First, we assess how the country’s emissions reduction goals can be shared across sectors inside and outside the NZ ETS, to give the emissions cap for the scheme.</w:t>
      </w:r>
      <w:r w:rsidRPr="0042787E">
        <w:rPr>
          <w:rStyle w:val="FootnoteReference"/>
        </w:rPr>
        <w:footnoteReference w:id="3"/>
      </w:r>
      <w:r w:rsidRPr="0042787E">
        <w:t xml:space="preserve"> We then consider how much of that emissions cap is used up by units from industrial allocation</w:t>
      </w:r>
      <w:r>
        <w:t>,</w:t>
      </w:r>
      <w:r w:rsidRPr="0042787E">
        <w:rPr>
          <w:rStyle w:val="FootnoteReference"/>
        </w:rPr>
        <w:footnoteReference w:id="4"/>
      </w:r>
      <w:r w:rsidRPr="0042787E">
        <w:t xml:space="preserve"> overseas units, and surplus units already in the market. Any remaining volume under the emissions cap can be made available at auction. We also assess the emissions prices that could be needed to reduce emissions down to the emissions cap, to inform our judgements about the price control settings.</w:t>
      </w:r>
    </w:p>
    <w:p w14:paraId="745C530A" w14:textId="77777777" w:rsidR="00767FA9" w:rsidRPr="0042787E" w:rsidRDefault="00767FA9" w:rsidP="00767FA9">
      <w:pPr>
        <w:pStyle w:val="BodyText"/>
      </w:pPr>
      <w:r w:rsidRPr="0042787E">
        <w:t xml:space="preserve">We consider that our recommended package of unit limits and price control settings strictly accords with the second emissions budget and the 2050 target. We also consider that the package accords with the third emissions budget, with a discrepancy that can be justified after considering relevant matters in the Act. This is set out in more detail in </w:t>
      </w:r>
      <w:r w:rsidRPr="0042787E">
        <w:rPr>
          <w:i/>
          <w:iCs/>
        </w:rPr>
        <w:t>Chapter 5: Price control settings</w:t>
      </w:r>
      <w:r w:rsidRPr="0042787E">
        <w:t xml:space="preserve"> in this report and in </w:t>
      </w:r>
      <w:r w:rsidRPr="0042787E">
        <w:rPr>
          <w:i/>
          <w:iCs/>
        </w:rPr>
        <w:t>Technical Annex 3: Assessment of accordance</w:t>
      </w:r>
      <w:r w:rsidRPr="0042787E">
        <w:t>, published separately on our website.</w:t>
      </w:r>
    </w:p>
    <w:p w14:paraId="14EA9FA5" w14:textId="77777777" w:rsidR="00767FA9" w:rsidRPr="0042787E" w:rsidRDefault="00767FA9" w:rsidP="00767FA9">
      <w:pPr>
        <w:pStyle w:val="Heading3"/>
        <w:rPr>
          <w:rFonts w:eastAsia="Calibri" w:cs="Calibri"/>
          <w:b/>
        </w:rPr>
      </w:pPr>
      <w:r w:rsidRPr="0042787E">
        <w:rPr>
          <w:rFonts w:eastAsia="Calibri" w:cs="Calibri"/>
        </w:rPr>
        <w:t>NZ ETS emissions caps</w:t>
      </w:r>
    </w:p>
    <w:p w14:paraId="07FB3DE8" w14:textId="77777777" w:rsidR="00767FA9" w:rsidRPr="0042787E" w:rsidRDefault="00767FA9" w:rsidP="00767FA9">
      <w:pPr>
        <w:pStyle w:val="BodyText"/>
      </w:pPr>
      <w:r w:rsidRPr="0042787E">
        <w:t xml:space="preserve">We assess appropriate emissions caps to be </w:t>
      </w:r>
      <w:r w:rsidRPr="001166C1">
        <w:t>81.9 Mt</w:t>
      </w:r>
      <w:r w:rsidRPr="0042787E">
        <w:t>CO</w:t>
      </w:r>
      <w:r w:rsidRPr="0042787E">
        <w:rPr>
          <w:vertAlign w:val="subscript"/>
        </w:rPr>
        <w:t>2</w:t>
      </w:r>
      <w:r w:rsidRPr="0042787E">
        <w:t xml:space="preserve">e for the second (2026–30) and </w:t>
      </w:r>
      <w:r w:rsidRPr="001166C1">
        <w:t>28.9 Mt</w:t>
      </w:r>
      <w:r w:rsidRPr="0042787E">
        <w:t>CO</w:t>
      </w:r>
      <w:r w:rsidRPr="0042787E">
        <w:rPr>
          <w:vertAlign w:val="subscript"/>
        </w:rPr>
        <w:t>2</w:t>
      </w:r>
      <w:r w:rsidRPr="0042787E">
        <w:t>e for the third (2031–35) emissions budget periods.</w:t>
      </w:r>
    </w:p>
    <w:p w14:paraId="4C82B344" w14:textId="77777777" w:rsidR="00767FA9" w:rsidRPr="0042787E" w:rsidRDefault="00767FA9" w:rsidP="00767FA9">
      <w:pPr>
        <w:pStyle w:val="BodyText"/>
      </w:pPr>
      <w:r w:rsidRPr="0042787E">
        <w:t>These caps align with emissions budgets for those periods and are consistent with the Government’s current emissions reduction plan. The emissions cap for the third emissions budget is based on an assumption that NZ ETS sectors will be responsible for closing all of the gap between currently projected emissions and the third emissions budget.</w:t>
      </w:r>
    </w:p>
    <w:p w14:paraId="4D240434" w14:textId="77777777" w:rsidR="00767FA9" w:rsidRPr="0042787E" w:rsidRDefault="00767FA9" w:rsidP="00767FA9">
      <w:pPr>
        <w:pStyle w:val="BodyText"/>
        <w:rPr>
          <w:vertAlign w:val="superscript"/>
        </w:rPr>
      </w:pPr>
      <w:r w:rsidRPr="0042787E">
        <w:t>The emissions caps are lower than the Government announced when it decided on the last NZ ETS settings in August 2025.</w:t>
      </w:r>
      <w:r w:rsidRPr="0042787E">
        <w:rPr>
          <w:rStyle w:val="FootnoteReference"/>
          <w:rFonts w:eastAsia="Calibri" w:cs="Calibri"/>
          <w:color w:val="000000" w:themeColor="text1"/>
        </w:rPr>
        <w:footnoteReference w:id="5"/>
      </w:r>
      <w:r w:rsidRPr="0042787E">
        <w:t xml:space="preserve"> More recent emissions projections show higher agricultural emissions, as well as greater CO</w:t>
      </w:r>
      <w:r w:rsidRPr="0042787E">
        <w:rPr>
          <w:vertAlign w:val="subscript"/>
        </w:rPr>
        <w:t>2</w:t>
      </w:r>
      <w:r w:rsidRPr="0042787E">
        <w:t xml:space="preserve"> removals by forests. As a result, those August 2025 caps no longer align with emissions budgets.</w:t>
      </w:r>
    </w:p>
    <w:p w14:paraId="79C22A2F" w14:textId="77777777" w:rsidR="00767FA9" w:rsidRPr="0042787E" w:rsidRDefault="00767FA9" w:rsidP="00767FA9">
      <w:pPr>
        <w:pStyle w:val="Heading3"/>
        <w:rPr>
          <w:rFonts w:eastAsia="Calibri" w:cs="Calibri"/>
        </w:rPr>
      </w:pPr>
      <w:r w:rsidRPr="0042787E">
        <w:rPr>
          <w:rFonts w:eastAsia="Calibri" w:cs="Calibri"/>
        </w:rPr>
        <w:t>Our assessment of unit limits</w:t>
      </w:r>
    </w:p>
    <w:p w14:paraId="28D95179" w14:textId="77777777" w:rsidR="00767FA9" w:rsidRPr="0042787E" w:rsidRDefault="00767FA9" w:rsidP="00767FA9">
      <w:pPr>
        <w:pStyle w:val="Heading4"/>
        <w:rPr>
          <w:rFonts w:eastAsia="Calibri" w:cs="Calibri"/>
          <w:bCs/>
          <w:color w:val="000000" w:themeColor="text1"/>
        </w:rPr>
      </w:pPr>
      <w:r w:rsidRPr="0042787E">
        <w:rPr>
          <w:rFonts w:eastAsia="Calibri" w:cs="Calibri"/>
          <w:bCs/>
          <w:color w:val="000000" w:themeColor="text1"/>
        </w:rPr>
        <w:t>We remove volume from the emissions cap to align with New Zealand’s Greenhouse Gas Inventory</w:t>
      </w:r>
    </w:p>
    <w:p w14:paraId="3417674C" w14:textId="77777777" w:rsidR="00767FA9" w:rsidRPr="0042787E" w:rsidRDefault="00767FA9" w:rsidP="00767FA9">
      <w:pPr>
        <w:pStyle w:val="BodyText"/>
      </w:pPr>
      <w:r w:rsidRPr="0042787E">
        <w:t xml:space="preserve">We assess that </w:t>
      </w:r>
      <w:r w:rsidRPr="001166C1">
        <w:t>4.3</w:t>
      </w:r>
      <w:r w:rsidRPr="0042787E">
        <w:t xml:space="preserve"> MtCO</w:t>
      </w:r>
      <w:r w:rsidRPr="0042787E">
        <w:rPr>
          <w:vertAlign w:val="subscript"/>
        </w:rPr>
        <w:t>2</w:t>
      </w:r>
      <w:r w:rsidRPr="0042787E">
        <w:t xml:space="preserve">e should be subtracted from the emissions cap for the period 2027–31 to account for differences between the emissions reported under the NZ ETS and </w:t>
      </w:r>
      <w:r w:rsidRPr="0042787E">
        <w:lastRenderedPageBreak/>
        <w:t>those estimated in New Zealand’s Greenhouse Gas Inventory (GHG Inventory)</w:t>
      </w:r>
      <w:r w:rsidRPr="0042787E">
        <w:rPr>
          <w:rStyle w:val="FootnoteReference"/>
        </w:rPr>
        <w:footnoteReference w:id="6"/>
      </w:r>
      <w:r w:rsidRPr="0042787E">
        <w:t xml:space="preserve"> and in target accounting</w:t>
      </w:r>
      <w:r>
        <w:t>.</w:t>
      </w:r>
      <w:r w:rsidRPr="0042787E">
        <w:rPr>
          <w:rStyle w:val="FootnoteReference"/>
        </w:rPr>
        <w:footnoteReference w:id="7"/>
      </w:r>
    </w:p>
    <w:p w14:paraId="00E2AE5F" w14:textId="77777777" w:rsidR="00767FA9" w:rsidRPr="0042787E" w:rsidRDefault="00767FA9" w:rsidP="00767FA9">
      <w:pPr>
        <w:pStyle w:val="BodyText"/>
      </w:pPr>
      <w:r w:rsidRPr="0042787E">
        <w:t>Of these ‘technical adjustments’</w:t>
      </w:r>
      <w:r w:rsidRPr="001166C1">
        <w:t>, 3.2</w:t>
      </w:r>
      <w:r w:rsidRPr="0042787E">
        <w:t xml:space="preserve"> MtCO</w:t>
      </w:r>
      <w:r w:rsidRPr="0042787E">
        <w:rPr>
          <w:vertAlign w:val="subscript"/>
        </w:rPr>
        <w:t>2</w:t>
      </w:r>
      <w:r w:rsidRPr="0042787E">
        <w:t>e relates to forestry. A larger adjustment might be necessary depending on Government decisions on updating the NZ ETS default carbon yield tables. Those decisions are expected in 2026. If these yield tables are updated, our advice is that the Government should re-calculate and apply an updated value for the forestry-related technical adjustment.</w:t>
      </w:r>
    </w:p>
    <w:p w14:paraId="13482B3C" w14:textId="77777777" w:rsidR="00767FA9" w:rsidRPr="0042787E" w:rsidRDefault="00767FA9" w:rsidP="00767FA9">
      <w:pPr>
        <w:pStyle w:val="Heading4"/>
        <w:rPr>
          <w:b/>
        </w:rPr>
      </w:pPr>
      <w:r w:rsidRPr="0042787E">
        <w:t xml:space="preserve">The surplus of units in the market is continuing to decline </w:t>
      </w:r>
    </w:p>
    <w:p w14:paraId="52AF6388" w14:textId="77777777" w:rsidR="00767FA9" w:rsidRPr="0042787E" w:rsidRDefault="00767FA9" w:rsidP="00767FA9">
      <w:pPr>
        <w:pStyle w:val="BodyText"/>
      </w:pPr>
      <w:r w:rsidRPr="0042787E">
        <w:t xml:space="preserve">We estimate a surplus range from </w:t>
      </w:r>
      <w:r w:rsidRPr="001166C1">
        <w:t>17.1 to 41.7</w:t>
      </w:r>
      <w:r w:rsidRPr="0042787E">
        <w:t xml:space="preserve"> million units, with a central estimate of </w:t>
      </w:r>
      <w:r w:rsidRPr="001166C1">
        <w:t>29.7</w:t>
      </w:r>
      <w:r w:rsidRPr="0042787E">
        <w:t xml:space="preserve"> million units. </w:t>
      </w:r>
    </w:p>
    <w:p w14:paraId="2D8A295E" w14:textId="77777777" w:rsidR="00767FA9" w:rsidRPr="0042787E" w:rsidRDefault="00767FA9" w:rsidP="00767FA9">
      <w:pPr>
        <w:pStyle w:val="BodyText"/>
      </w:pPr>
      <w:r w:rsidRPr="0042787E">
        <w:t>The surplus is depleting more quickly than previously expected, mainly because auctions have not cleared</w:t>
      </w:r>
      <w:r w:rsidRPr="0042787E" w:rsidDel="00FF6275">
        <w:t>.</w:t>
      </w:r>
      <w:r w:rsidRPr="0042787E">
        <w:t xml:space="preserve"> Under current unit limit settings, the surplus was expected to reduce by </w:t>
      </w:r>
      <w:r w:rsidRPr="001166C1">
        <w:t>12.5</w:t>
      </w:r>
      <w:r w:rsidRPr="0042787E">
        <w:t xml:space="preserve"> million units by the end of 2025. Our central surplus estimate has reduced by a further </w:t>
      </w:r>
      <w:r w:rsidRPr="001166C1">
        <w:t>6 million</w:t>
      </w:r>
      <w:r w:rsidRPr="0042787E">
        <w:t xml:space="preserve"> units because the 2025 auctions declined, and by another </w:t>
      </w:r>
      <w:r w:rsidRPr="001166C1">
        <w:t>1.9</w:t>
      </w:r>
      <w:r w:rsidRPr="0042787E">
        <w:t xml:space="preserve"> million units due to updated data and assumptions.</w:t>
      </w:r>
    </w:p>
    <w:p w14:paraId="2861CBEC" w14:textId="77777777" w:rsidR="00767FA9" w:rsidRPr="0042787E" w:rsidRDefault="00767FA9" w:rsidP="00767FA9">
      <w:pPr>
        <w:pStyle w:val="BodyText"/>
      </w:pPr>
      <w:r w:rsidRPr="0042787E">
        <w:t>Our estimated surplus range has also narrowed. This is mainly because the Ministry for Primary Industries (MPI) has provided us with updated data on forests, including estimates (by year of planting) of forests not likely to be harvested. This enabled us to calculate the surplus uncertainty associated with forests registered in the NZ ETS factoring in MPI’s assumptions about their age.</w:t>
      </w:r>
    </w:p>
    <w:p w14:paraId="4AD8EF3B" w14:textId="77777777" w:rsidR="00767FA9" w:rsidRPr="0042787E" w:rsidRDefault="00767FA9" w:rsidP="00767FA9">
      <w:pPr>
        <w:pStyle w:val="Heading4"/>
      </w:pPr>
      <w:r w:rsidRPr="0042787E">
        <w:t>Industrial allocation and overseas units</w:t>
      </w:r>
    </w:p>
    <w:p w14:paraId="7F5E83BF" w14:textId="77777777" w:rsidR="00767FA9" w:rsidRPr="0042787E" w:rsidRDefault="00767FA9" w:rsidP="00767FA9">
      <w:pPr>
        <w:pStyle w:val="BodyText"/>
      </w:pPr>
      <w:r w:rsidRPr="0042787E">
        <w:t>Our industrial allocation forecast is lower than in our 2025 advice, due to new data.</w:t>
      </w:r>
      <w:r w:rsidRPr="0042787E">
        <w:rPr>
          <w:rStyle w:val="FootnoteReference"/>
        </w:rPr>
        <w:footnoteReference w:id="8"/>
      </w:r>
      <w:r w:rsidRPr="0042787E">
        <w:t xml:space="preserve"> </w:t>
      </w:r>
    </w:p>
    <w:p w14:paraId="67F12401" w14:textId="77777777" w:rsidR="00767FA9" w:rsidRPr="0042787E" w:rsidRDefault="00767FA9" w:rsidP="00767FA9">
      <w:pPr>
        <w:pStyle w:val="BodyText"/>
      </w:pPr>
      <w:r w:rsidRPr="0042787E">
        <w:t xml:space="preserve">As in previous years, we recommend that the approved overseas unit limit be set at zero, as no overseas units have been approved for use in the NZ ETS. </w:t>
      </w:r>
    </w:p>
    <w:p w14:paraId="28FF30AD" w14:textId="77777777" w:rsidR="00767FA9" w:rsidRPr="0042787E" w:rsidRDefault="00767FA9" w:rsidP="00767FA9">
      <w:pPr>
        <w:pStyle w:val="Heading4"/>
      </w:pPr>
      <w:r w:rsidRPr="0042787E">
        <w:t>Volume of units that could be made available at auction</w:t>
      </w:r>
    </w:p>
    <w:p w14:paraId="60FB2F6B" w14:textId="77777777" w:rsidR="00767FA9" w:rsidRPr="0042787E" w:rsidRDefault="00767FA9" w:rsidP="00767FA9">
      <w:pPr>
        <w:pStyle w:val="BodyText"/>
      </w:pPr>
      <w:r w:rsidRPr="0042787E">
        <w:t xml:space="preserve">The Government has adopted a goal of drawing down the surplus by 2030. Consistent with that goal, we estimate the volume that </w:t>
      </w:r>
      <w:r w:rsidRPr="0042787E">
        <w:rPr>
          <w:i/>
        </w:rPr>
        <w:t>could</w:t>
      </w:r>
      <w:r w:rsidRPr="0042787E">
        <w:t xml:space="preserve"> be made available for auction over 2027–30 to be in a range from </w:t>
      </w:r>
      <w:r w:rsidRPr="001166C1">
        <w:t>11.2</w:t>
      </w:r>
      <w:r w:rsidRPr="0042787E">
        <w:t xml:space="preserve"> million </w:t>
      </w:r>
      <w:r w:rsidRPr="001166C1">
        <w:t>to 35.8</w:t>
      </w:r>
      <w:r w:rsidRPr="0042787E">
        <w:t xml:space="preserve"> million units, with a central estimate of </w:t>
      </w:r>
      <w:r w:rsidRPr="001166C1">
        <w:t>23.2</w:t>
      </w:r>
      <w:r w:rsidRPr="0042787E">
        <w:t xml:space="preserve"> million units. This compares to the auction volume under status quo settings of </w:t>
      </w:r>
      <w:r w:rsidRPr="001166C1">
        <w:t>11.7</w:t>
      </w:r>
      <w:r w:rsidRPr="0042787E">
        <w:t xml:space="preserve"> million units for that period.</w:t>
      </w:r>
    </w:p>
    <w:p w14:paraId="1F56FC28" w14:textId="77777777" w:rsidR="00767FA9" w:rsidRPr="0042787E" w:rsidRDefault="00767FA9" w:rsidP="00767FA9">
      <w:pPr>
        <w:pStyle w:val="BodyText"/>
      </w:pPr>
      <w:r w:rsidRPr="0042787E">
        <w:rPr>
          <w:rFonts w:eastAsiaTheme="minorEastAsia"/>
        </w:rPr>
        <w:lastRenderedPageBreak/>
        <w:t>If status quo auction volumes are retained, there is a risk of a unit shortfall in the market towards the end of this decade. Howev</w:t>
      </w:r>
      <w:r w:rsidRPr="0042787E">
        <w:t>er, due to the current state of the market and the ability to reassess this risk in 2027, we are not recommending any changes to these auction volumes now. We explain these issues further below.</w:t>
      </w:r>
      <w:r w:rsidRPr="0042787E" w:rsidDel="00143FEA">
        <w:t xml:space="preserve"> </w:t>
      </w:r>
    </w:p>
    <w:p w14:paraId="67144DAA" w14:textId="77777777" w:rsidR="00767FA9" w:rsidRPr="0042787E" w:rsidRDefault="00767FA9" w:rsidP="00767FA9">
      <w:pPr>
        <w:pStyle w:val="Heading3"/>
        <w:rPr>
          <w:rFonts w:eastAsia="Calibri" w:cs="Calibri"/>
        </w:rPr>
      </w:pPr>
      <w:r w:rsidRPr="0042787E">
        <w:rPr>
          <w:rFonts w:eastAsia="Calibri" w:cs="Calibri"/>
        </w:rPr>
        <w:t>The risk of a unit shortfall</w:t>
      </w:r>
    </w:p>
    <w:p w14:paraId="10F4695F" w14:textId="77777777" w:rsidR="00767FA9" w:rsidRPr="0042787E" w:rsidRDefault="00767FA9" w:rsidP="00767FA9">
      <w:pPr>
        <w:pStyle w:val="BodyText"/>
        <w:rPr>
          <w:rFonts w:eastAsia="Calibri" w:cs="Calibri"/>
        </w:rPr>
      </w:pPr>
      <w:r w:rsidRPr="0042787E">
        <w:rPr>
          <w:rFonts w:eastAsia="Calibri" w:cs="Calibri"/>
        </w:rPr>
        <w:t xml:space="preserve">If the surplus is close to our central estimate, there is a risk that the market will be undersupplied later this decade. A unit shortfall could arise as early as 2028 if the surplus is close to our central estimate and the 2026 auctions do not clear. Even if the surplus is at the high end of our estimated range, there is a risk of undersupply if the 2026 auctions do not clear. As shown in </w:t>
      </w:r>
      <w:r>
        <w:rPr>
          <w:rFonts w:eastAsia="Calibri" w:cs="Calibri"/>
        </w:rPr>
        <w:t>F</w:t>
      </w:r>
      <w:r w:rsidRPr="0042787E">
        <w:rPr>
          <w:rFonts w:eastAsia="Calibri" w:cs="Calibri"/>
        </w:rPr>
        <w:t xml:space="preserve">igure ES.1, the only scenario in which a shortfall does not occur is if the surplus is at the high end of the range </w:t>
      </w:r>
      <w:r w:rsidRPr="0042787E">
        <w:rPr>
          <w:rFonts w:eastAsia="Calibri" w:cs="Calibri"/>
          <w:i/>
        </w:rPr>
        <w:t>and</w:t>
      </w:r>
      <w:r w:rsidRPr="0042787E">
        <w:rPr>
          <w:rFonts w:eastAsia="Calibri" w:cs="Calibri"/>
        </w:rPr>
        <w:t xml:space="preserve"> the auctions clear. </w:t>
      </w:r>
    </w:p>
    <w:p w14:paraId="0B7B2999" w14:textId="77777777" w:rsidR="00767FA9" w:rsidRPr="0042787E" w:rsidDel="006957CD" w:rsidRDefault="00767FA9" w:rsidP="00767FA9">
      <w:pPr>
        <w:pStyle w:val="BodyText"/>
        <w:rPr>
          <w:rFonts w:eastAsia="Calibri" w:cs="Calibri"/>
        </w:rPr>
      </w:pPr>
      <w:r w:rsidRPr="0042787E" w:rsidDel="006957CD">
        <w:rPr>
          <w:rFonts w:eastAsia="Calibri" w:cs="Calibri"/>
        </w:rPr>
        <w:t>The surplus is dynamic, because market participants’ behaviour can shift quickly as circumstances change. For example, we have heard that due to the recent drop and volatility in NZU prices, emitters have reduced their forward hedging so the surplus might currently be at the higher end of the range. But as the surplus depletes over time and the medium-term supply and demand fundamentals become clearer to the market, hedging practices could change, which could shift the surplus to lower levels closer to our central estimate.</w:t>
      </w:r>
      <w:r w:rsidRPr="0042787E">
        <w:rPr>
          <w:rFonts w:eastAsia="Calibri" w:cs="Calibri"/>
        </w:rPr>
        <w:t xml:space="preserve"> </w:t>
      </w:r>
    </w:p>
    <w:p w14:paraId="0EF77C05" w14:textId="77777777" w:rsidR="00767FA9" w:rsidRPr="0042787E" w:rsidDel="006957CD" w:rsidRDefault="00767FA9" w:rsidP="00767FA9">
      <w:pPr>
        <w:pStyle w:val="BodyText"/>
        <w:rPr>
          <w:rFonts w:eastAsia="Calibri" w:cs="Calibri"/>
        </w:rPr>
      </w:pPr>
      <w:r w:rsidRPr="0042787E" w:rsidDel="006957CD">
        <w:rPr>
          <w:rFonts w:eastAsia="Calibri" w:cs="Calibri"/>
        </w:rPr>
        <w:t>The potential shortfall in 2028</w:t>
      </w:r>
      <w:r w:rsidRPr="0042787E">
        <w:rPr>
          <w:rFonts w:eastAsia="Calibri" w:cs="Calibri"/>
        </w:rPr>
        <w:t>,</w:t>
      </w:r>
      <w:r w:rsidRPr="0042787E" w:rsidDel="006957CD">
        <w:rPr>
          <w:rFonts w:eastAsia="Calibri" w:cs="Calibri"/>
        </w:rPr>
        <w:t xml:space="preserve"> based on our central estimate</w:t>
      </w:r>
      <w:r w:rsidRPr="0042787E">
        <w:rPr>
          <w:rFonts w:eastAsia="Calibri" w:cs="Calibri"/>
        </w:rPr>
        <w:t>,</w:t>
      </w:r>
      <w:r w:rsidRPr="0042787E" w:rsidDel="006957CD">
        <w:rPr>
          <w:rFonts w:eastAsia="Calibri" w:cs="Calibri"/>
        </w:rPr>
        <w:t xml:space="preserve"> could be around </w:t>
      </w:r>
      <w:r w:rsidRPr="001166C1" w:rsidDel="006957CD">
        <w:rPr>
          <w:rFonts w:eastAsia="Calibri" w:cs="Calibri"/>
        </w:rPr>
        <w:t>5 million</w:t>
      </w:r>
      <w:r w:rsidRPr="0042787E" w:rsidDel="006957CD">
        <w:rPr>
          <w:rFonts w:eastAsia="Calibri" w:cs="Calibri"/>
        </w:rPr>
        <w:t xml:space="preserve"> units. That is a significant volume in a market where annual demand from gross emissions totalled about </w:t>
      </w:r>
      <w:r w:rsidRPr="001166C1" w:rsidDel="006957CD">
        <w:rPr>
          <w:rFonts w:eastAsia="Calibri" w:cs="Calibri"/>
        </w:rPr>
        <w:t>33 million</w:t>
      </w:r>
      <w:r w:rsidRPr="0042787E" w:rsidDel="006957CD">
        <w:rPr>
          <w:rFonts w:eastAsia="Calibri" w:cs="Calibri"/>
        </w:rPr>
        <w:t xml:space="preserve"> units in 2025, and where the currently regulated auction volume for 2026 is </w:t>
      </w:r>
      <w:r w:rsidRPr="001166C1" w:rsidDel="006957CD">
        <w:rPr>
          <w:rFonts w:eastAsia="Calibri" w:cs="Calibri"/>
        </w:rPr>
        <w:t>5.2</w:t>
      </w:r>
      <w:r w:rsidRPr="0042787E" w:rsidDel="006957CD">
        <w:rPr>
          <w:rFonts w:eastAsia="Calibri" w:cs="Calibri"/>
        </w:rPr>
        <w:t xml:space="preserve"> million units.</w:t>
      </w:r>
    </w:p>
    <w:p w14:paraId="475D9073" w14:textId="77777777" w:rsidR="00767FA9" w:rsidRPr="0042787E" w:rsidRDefault="00767FA9" w:rsidP="00767FA9">
      <w:pPr>
        <w:pStyle w:val="BodyText"/>
        <w:rPr>
          <w:rFonts w:eastAsia="Calibri" w:cs="Calibri"/>
        </w:rPr>
      </w:pPr>
      <w:r w:rsidRPr="0042787E">
        <w:rPr>
          <w:rFonts w:eastAsia="Calibri" w:cs="Calibri"/>
        </w:rPr>
        <w:t>Whether and when this undersupply risk could materialise is uncertain. However, it is important that the Government consider how to mitigate this risk. If it does eventuate, its consequences could seriously undermine the effectiveness of the NZ ETS.</w:t>
      </w:r>
    </w:p>
    <w:p w14:paraId="6B7B744D" w14:textId="77777777" w:rsidR="00767FA9" w:rsidRPr="0042787E" w:rsidRDefault="00767FA9" w:rsidP="00767FA9">
      <w:pPr>
        <w:pStyle w:val="Heading4"/>
        <w:rPr>
          <w:rFonts w:eastAsia="Calibri" w:cs="Calibri"/>
          <w:b/>
          <w:color w:val="000000" w:themeColor="text1"/>
        </w:rPr>
      </w:pPr>
      <w:r w:rsidRPr="0042787E">
        <w:rPr>
          <w:rFonts w:eastAsia="Calibri" w:cs="Calibri"/>
          <w:bCs/>
          <w:color w:val="000000" w:themeColor="text1"/>
        </w:rPr>
        <w:t>Potential impacts of a shortfall</w:t>
      </w:r>
    </w:p>
    <w:p w14:paraId="7A2996B8" w14:textId="77777777" w:rsidR="00767FA9" w:rsidRPr="0042787E" w:rsidRDefault="00767FA9" w:rsidP="00767FA9">
      <w:pPr>
        <w:pStyle w:val="BodyText"/>
      </w:pPr>
      <w:r w:rsidRPr="0042787E">
        <w:t>Any shortfall could result in rapid increases and volatility in NZU prices. Rapid price changes have occurred before, such as in 2021–2022.</w:t>
      </w:r>
    </w:p>
    <w:p w14:paraId="28880EA6" w14:textId="77777777" w:rsidR="00767FA9" w:rsidRPr="0042787E" w:rsidRDefault="00767FA9" w:rsidP="00767FA9">
      <w:pPr>
        <w:pStyle w:val="BodyText"/>
      </w:pPr>
      <w:r w:rsidRPr="0042787E">
        <w:t>The emissions price in an ETS is intended to rise steadily over time to encourage emissions reductions. However, overly rapid price rises can outpace people’s and businesses’ ability to respond. Such price rises increase volatility, which undermines the scheme’s ability to incentivise investments to reduce emissions, both in forestry and in other sectors. When returns are unpredictable, businesses are likely to delay investment decisions.</w:t>
      </w:r>
    </w:p>
    <w:p w14:paraId="06A6CF40" w14:textId="77777777" w:rsidR="00767FA9" w:rsidRPr="0042787E" w:rsidRDefault="00767FA9" w:rsidP="00767FA9">
      <w:pPr>
        <w:pStyle w:val="BodyText"/>
      </w:pPr>
      <w:r w:rsidRPr="0042787E">
        <w:t>Volatile or rapidly rising NZU prices could also force emissions reductions through reduced production or plant closures (rather than incentivise investments in lower-emissions technologies), and create conditions where the Government is pressured to make ad hoc interventions in the market.</w:t>
      </w:r>
    </w:p>
    <w:p w14:paraId="48696EAA" w14:textId="77777777" w:rsidR="00767FA9" w:rsidRPr="0042787E" w:rsidRDefault="00767FA9" w:rsidP="00767FA9">
      <w:pPr>
        <w:pStyle w:val="FigureTabletitle"/>
      </w:pPr>
      <w:r w:rsidRPr="0042787E">
        <w:lastRenderedPageBreak/>
        <w:t xml:space="preserve">Figure ES.1: Scenarios demonstrating the risk of a unit shortfall from as early as 2028 </w:t>
      </w:r>
    </w:p>
    <w:p w14:paraId="0FC7543D" w14:textId="77777777" w:rsidR="00767FA9" w:rsidRPr="0042787E" w:rsidRDefault="00767FA9" w:rsidP="00767FA9">
      <w:r w:rsidRPr="0042787E">
        <w:rPr>
          <w:noProof/>
        </w:rPr>
        <w:drawing>
          <wp:inline distT="0" distB="0" distL="0" distR="0" wp14:anchorId="70EFD737" wp14:editId="1A696EED">
            <wp:extent cx="5759450" cy="4671060"/>
            <wp:effectExtent l="0" t="0" r="0" b="0"/>
            <wp:docPr id="1706556887" name="Picture 1" descr="A graph of different colored and gray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56887" name="Picture 1" descr="A graph of different colored and gray bars&#10;&#10;AI-generated content may be incorrect."/>
                    <pic:cNvPicPr/>
                  </pic:nvPicPr>
                  <pic:blipFill>
                    <a:blip r:embed="rId17"/>
                    <a:stretch>
                      <a:fillRect/>
                    </a:stretch>
                  </pic:blipFill>
                  <pic:spPr>
                    <a:xfrm>
                      <a:off x="0" y="0"/>
                      <a:ext cx="5759450" cy="4671060"/>
                    </a:xfrm>
                    <a:prstGeom prst="rect">
                      <a:avLst/>
                    </a:prstGeom>
                  </pic:spPr>
                </pic:pic>
              </a:graphicData>
            </a:graphic>
          </wp:inline>
        </w:drawing>
      </w:r>
    </w:p>
    <w:p w14:paraId="6CF771E3" w14:textId="77777777" w:rsidR="00767FA9" w:rsidRPr="0042787E" w:rsidRDefault="00767FA9" w:rsidP="00767FA9">
      <w:pPr>
        <w:ind w:left="-284"/>
      </w:pPr>
    </w:p>
    <w:p w14:paraId="6BD90779" w14:textId="77777777" w:rsidR="00767FA9" w:rsidRPr="0042787E" w:rsidRDefault="00767FA9" w:rsidP="00767FA9">
      <w:pPr>
        <w:pStyle w:val="Sourceline"/>
      </w:pPr>
      <w:r w:rsidRPr="0042787E">
        <w:t xml:space="preserve">Source: Commission analysis. </w:t>
      </w:r>
    </w:p>
    <w:p w14:paraId="0000B076" w14:textId="77777777" w:rsidR="00767FA9" w:rsidRPr="0042787E" w:rsidRDefault="00767FA9" w:rsidP="00767FA9">
      <w:pPr>
        <w:pStyle w:val="Sourceline"/>
      </w:pPr>
      <w:r w:rsidRPr="0042787E">
        <w:t xml:space="preserve">Note: This figure shows two important dimensions of uncertainty, relating to the surplus and auctions. There is also uncertainty in the other elements of unit supply and demand shown in these charts, as they are projections. </w:t>
      </w:r>
    </w:p>
    <w:p w14:paraId="357E49F4" w14:textId="77777777" w:rsidR="00767FA9" w:rsidRPr="0042787E" w:rsidRDefault="00767FA9" w:rsidP="00767FA9">
      <w:pPr>
        <w:pStyle w:val="BodyText"/>
      </w:pPr>
    </w:p>
    <w:p w14:paraId="48E7DA20" w14:textId="77777777" w:rsidR="00767FA9" w:rsidRPr="0042787E" w:rsidRDefault="00767FA9" w:rsidP="00767FA9">
      <w:pPr>
        <w:pStyle w:val="Heading3"/>
      </w:pPr>
      <w:r w:rsidRPr="0042787E">
        <w:t>Our recommended unit limits</w:t>
      </w:r>
    </w:p>
    <w:p w14:paraId="01A7E601" w14:textId="77777777" w:rsidR="00767FA9" w:rsidRPr="0042787E" w:rsidRDefault="00767FA9" w:rsidP="00767FA9">
      <w:pPr>
        <w:pStyle w:val="BodyText"/>
      </w:pPr>
      <w:r w:rsidRPr="0042787E">
        <w:t>We are recommending that the Government maintain the current NZ ETS auction volumes through to 2030. We are also recommending that the Government set 2031 auction volumes on the basis that the surplus of units in the market has been depleted by that time. Table ES.1 shows our recommended unit limit settings.</w:t>
      </w:r>
    </w:p>
    <w:p w14:paraId="212F68D1" w14:textId="77777777" w:rsidR="00767FA9" w:rsidRPr="0042787E" w:rsidRDefault="00767FA9" w:rsidP="00767FA9">
      <w:pPr>
        <w:pStyle w:val="Heading4"/>
        <w:rPr>
          <w:rFonts w:eastAsia="Calibri" w:cs="Calibri"/>
          <w:color w:val="000000" w:themeColor="text1"/>
        </w:rPr>
      </w:pPr>
      <w:r w:rsidRPr="0042787E">
        <w:rPr>
          <w:rFonts w:eastAsia="Calibri" w:cs="Calibri"/>
          <w:color w:val="000000" w:themeColor="text1"/>
        </w:rPr>
        <w:t>Our recommendations are conditional on the next NZ ETS update going ahead in 2027</w:t>
      </w:r>
    </w:p>
    <w:p w14:paraId="32D4D319" w14:textId="77777777" w:rsidR="00767FA9" w:rsidRPr="0042787E" w:rsidRDefault="00767FA9" w:rsidP="00767FA9">
      <w:pPr>
        <w:pStyle w:val="BodyText"/>
      </w:pPr>
      <w:r w:rsidRPr="0042787E">
        <w:t>Our recommendation for the NZ ETS settings package is conditional on the next update of</w:t>
      </w:r>
      <w:r>
        <w:br/>
      </w:r>
      <w:r w:rsidRPr="0042787E">
        <w:t xml:space="preserve">NZ ETS settings occurring in 2027 as currently required by the Act. </w:t>
      </w:r>
    </w:p>
    <w:p w14:paraId="29B33BC4" w14:textId="77777777" w:rsidR="00767FA9" w:rsidRPr="0042787E" w:rsidRDefault="00767FA9" w:rsidP="00767FA9">
      <w:pPr>
        <w:pStyle w:val="BodyText"/>
      </w:pPr>
      <w:r w:rsidRPr="0042787E">
        <w:lastRenderedPageBreak/>
        <w:t>The Government has said it aims to support a stable and predictable NZ ETS market that provides incentives for investment in reducing emissions. To support that goal, market participants need clear signals about the likelihood of any future change to NZ ETS settings, including how the Government proposes to address the shortfall risk.</w:t>
      </w:r>
    </w:p>
    <w:p w14:paraId="5C088995" w14:textId="77777777" w:rsidR="00767FA9" w:rsidRPr="0042787E" w:rsidRDefault="00767FA9" w:rsidP="00767FA9">
      <w:pPr>
        <w:pStyle w:val="BodyText"/>
      </w:pPr>
      <w:r w:rsidRPr="0042787E">
        <w:t>If the next update occurs in 2027 as the Act currently requires, we advise the Government to clearly signal and test with the market options for addressing undersupply risk that may need to be implemented over 2028–30.</w:t>
      </w:r>
      <w:r w:rsidRPr="0042787E">
        <w:rPr>
          <w:rStyle w:val="FootnoteReference"/>
        </w:rPr>
        <w:footnoteReference w:id="9"/>
      </w:r>
    </w:p>
    <w:p w14:paraId="4E93043D" w14:textId="77777777" w:rsidR="00767FA9" w:rsidRPr="0042787E" w:rsidRDefault="00767FA9" w:rsidP="00767FA9">
      <w:pPr>
        <w:pStyle w:val="Heading4"/>
      </w:pPr>
      <w:r w:rsidRPr="0042787E">
        <w:t>What if the next NZ ETS update is not until 2028?</w:t>
      </w:r>
    </w:p>
    <w:p w14:paraId="791677EA" w14:textId="77777777" w:rsidR="00767FA9" w:rsidRPr="0042787E" w:rsidRDefault="00767FA9" w:rsidP="00767FA9">
      <w:pPr>
        <w:pStyle w:val="BodyText"/>
      </w:pPr>
      <w:r w:rsidRPr="0042787E">
        <w:t>The Government has announced its intention to amend the Act so NZ ETS settings updates occur every two years instead of annually as at present. Depending on the timing of that amendment, the next NZ ETS settings update may not occur until late 2028. That would be too late for the Government update to address any risk of a shortfall that emerges during 2028.</w:t>
      </w:r>
    </w:p>
    <w:p w14:paraId="6E035174" w14:textId="77777777" w:rsidR="00767FA9" w:rsidRPr="0042787E" w:rsidRDefault="00767FA9" w:rsidP="00767FA9">
      <w:pPr>
        <w:pStyle w:val="BodyText"/>
      </w:pPr>
      <w:r w:rsidRPr="0042787E">
        <w:t xml:space="preserve">If the proposed amendment goes ahead and there is no NZ ETS settings update in 2027, our advice would be to put in place now a temporary, lower tier of the cost containment reserve (CCR) for 2028–2030. The purpose of this new temporary CCR tier would be to mitigate the risk of a shortfall in 2028 that could lead to NZU prices rising too high, too fast. </w:t>
      </w:r>
    </w:p>
    <w:p w14:paraId="1058BC50" w14:textId="77777777" w:rsidR="00767FA9" w:rsidRPr="0042787E" w:rsidRDefault="00767FA9" w:rsidP="00767FA9">
      <w:pPr>
        <w:pStyle w:val="BodyText"/>
      </w:pPr>
      <w:r w:rsidRPr="0042787E">
        <w:t>The temporary CCR would have a trigger price above the current auction reserve price (ARP)</w:t>
      </w:r>
      <w:r w:rsidRPr="0042787E">
        <w:rPr>
          <w:rStyle w:val="FootnoteReference"/>
        </w:rPr>
        <w:footnoteReference w:id="10"/>
      </w:r>
      <w:r w:rsidRPr="0042787E">
        <w:t xml:space="preserve"> but below the current CCR and would only provide units to the market in the case of rapidly rising prices. It would contain the unit volumes that could be auctioned based on the central estimate of the surplus, but which we are otherwise recommending not be offered for auction in this year’s settings update. These units, according to our best estimates, are within the NZ ETS emissions cap and could be auctioned without risking accordance with targets. If the next opportunity to update the settings is in 2028, this is the only option we have identified that can address undersupply risk in that year.</w:t>
      </w:r>
    </w:p>
    <w:p w14:paraId="373D1591" w14:textId="77777777" w:rsidR="00767FA9" w:rsidRPr="0042787E" w:rsidRDefault="00767FA9" w:rsidP="00767FA9">
      <w:pPr>
        <w:pStyle w:val="Heading4"/>
        <w:rPr>
          <w:rFonts w:eastAsia="Calibri" w:cs="Calibri"/>
          <w:b/>
          <w:color w:val="000000" w:themeColor="text1"/>
        </w:rPr>
      </w:pPr>
      <w:r w:rsidRPr="0042787E">
        <w:t>Why we are not recommending that those units be made available at auction</w:t>
      </w:r>
    </w:p>
    <w:p w14:paraId="3D71209C" w14:textId="77777777" w:rsidR="00767FA9" w:rsidRPr="0042787E" w:rsidRDefault="00767FA9" w:rsidP="00767FA9">
      <w:pPr>
        <w:pStyle w:val="BodyText"/>
      </w:pPr>
      <w:r w:rsidRPr="0042787E">
        <w:t>We have chosen not to recommend unit limits that would increase the base auction volume over the 2027–2030 period. This is primarily because of the current state of the market.</w:t>
      </w:r>
    </w:p>
    <w:p w14:paraId="37FCDEB5" w14:textId="77777777" w:rsidR="00767FA9" w:rsidRPr="0042787E" w:rsidRDefault="00767FA9" w:rsidP="00767FA9">
      <w:pPr>
        <w:pStyle w:val="BodyText"/>
      </w:pPr>
      <w:r w:rsidRPr="0042787E">
        <w:t xml:space="preserve">After several months of relatively stable prices in the </w:t>
      </w:r>
      <w:r w:rsidRPr="001166C1">
        <w:t>$50–$60</w:t>
      </w:r>
      <w:r w:rsidRPr="0042787E">
        <w:t xml:space="preserve"> range, the NZU spot price fell significantly in November 2025 and has been volatile since. The price reached the low </w:t>
      </w:r>
      <w:r w:rsidRPr="001166C1">
        <w:t>$30s in</w:t>
      </w:r>
      <w:r w:rsidRPr="0042787E">
        <w:t xml:space="preserve"> January 2026 before climbing back into the $</w:t>
      </w:r>
      <w:r w:rsidRPr="001166C1">
        <w:t>40s i</w:t>
      </w:r>
      <w:r w:rsidRPr="0042787E">
        <w:t>n early March. Auctions have declined because market participants can buy units on the secondary market at prices far below the current ARP.</w:t>
      </w:r>
    </w:p>
    <w:p w14:paraId="7AF89E04" w14:textId="77777777" w:rsidR="00767FA9" w:rsidRPr="0042787E" w:rsidRDefault="00767FA9" w:rsidP="00767FA9">
      <w:pPr>
        <w:pStyle w:val="BodyText"/>
        <w:rPr>
          <w:sz w:val="19"/>
          <w:szCs w:val="19"/>
        </w:rPr>
      </w:pPr>
      <w:r w:rsidRPr="0042787E">
        <w:lastRenderedPageBreak/>
        <w:t>We have not identified any reason based on the fundamentals of supply and demand for spot prices to be as low as they are. The price decline in November 2025 followed a series of Government decisions relevant to the NZ ETS. The Government in October 2025 announced a less ambitious 2050 target for reductions in biogenic methane. It also ruled out pricing of agricultural emissions. In November 2025 the Government then announced its intention to remove a requirement for NZ ETS settings to accord with Aotearoa New Zealand’s nationally determined contributions (NDCs) under the Paris Agreement.</w:t>
      </w:r>
      <w:r w:rsidRPr="0042787E">
        <w:fldChar w:fldCharType="begin"/>
      </w:r>
      <w:r>
        <w:instrText xml:space="preserve"> ADDIN EN.CITE &lt;EndNote&gt;&lt;Cite&gt;&lt;Author&gt;New Zealand Government&lt;/Author&gt;&lt;Year&gt;2025&lt;/Year&gt;&lt;RecNum&gt;909&lt;/RecNum&gt;&lt;DisplayText&gt;&lt;style face="superscript"&gt;1&lt;/style&gt;&lt;/DisplayText&gt;&lt;record&gt;&lt;rec-number&gt;909&lt;/rec-number&gt;&lt;foreign-keys&gt;&lt;key app="EN" db-id="fwvex5fabdwzs9e9rwa55p5bvws5v2dex2zs" timestamp="1773112527" guid="b0eeb080-da2c-4e54-af19-253052cc60e6"&gt;909&lt;/key&gt;&lt;/foreign-keys&gt;&lt;ref-type name="Press Release"&gt;63&lt;/ref-type&gt;&lt;contributors&gt;&lt;authors&gt;&lt;author&gt;New Zealand Government,&lt;/author&gt;&lt;/authors&gt;&lt;/contributors&gt;&lt;titles&gt;&lt;title&gt;Improving New Zealand’s climate change act&lt;/title&gt;&lt;/titles&gt;&lt;keywords&gt;&lt;keyword&gt;ERM26&lt;/keyword&gt;&lt;/keywords&gt;&lt;dates&gt;&lt;year&gt;2025&lt;/year&gt;&lt;/dates&gt;&lt;pub-location&gt;Wellington&lt;/pub-location&gt;&lt;publisher&gt;New Zealand Government&lt;/publisher&gt;&lt;urls&gt;&lt;related-urls&gt;&lt;url&gt;https://www.beehive.govt.nz/release/improving-new-zealand%E2%80%99s-climate-change-act&lt;/url&gt;&lt;/related-urls&gt;&lt;/urls&gt;&lt;/record&gt;&lt;/Cite&gt;&lt;/EndNote&gt;</w:instrText>
      </w:r>
      <w:r w:rsidRPr="0042787E">
        <w:fldChar w:fldCharType="separate"/>
      </w:r>
      <w:r w:rsidRPr="0042787E">
        <w:rPr>
          <w:noProof/>
          <w:vertAlign w:val="superscript"/>
        </w:rPr>
        <w:t>1</w:t>
      </w:r>
      <w:r w:rsidRPr="0042787E">
        <w:fldChar w:fldCharType="end"/>
      </w:r>
      <w:r w:rsidRPr="001166C1" w:rsidDel="00C85DE3">
        <w:rPr>
          <w:sz w:val="19"/>
          <w:szCs w:val="19"/>
          <w:vertAlign w:val="superscript"/>
        </w:rPr>
        <w:t xml:space="preserve"> </w:t>
      </w:r>
    </w:p>
    <w:p w14:paraId="2ED2FE9C" w14:textId="77777777" w:rsidR="00767FA9" w:rsidRPr="0042787E" w:rsidRDefault="00767FA9" w:rsidP="00767FA9">
      <w:pPr>
        <w:pStyle w:val="BodyText"/>
      </w:pPr>
      <w:r w:rsidRPr="0042787E">
        <w:t>The agriculture announcements mean NZ ETS sectors such as forestry, transport and energy may need to do more if Aotearoa New Zealand is to meet its emissions budgets. The changes also create uncertainty for market participants, since the emissions reductions required of NZ ETS sectors may keep changing in response to trends in agricultural emissions.</w:t>
      </w:r>
    </w:p>
    <w:p w14:paraId="6F7E6396" w14:textId="77777777" w:rsidR="00767FA9" w:rsidRPr="0042787E" w:rsidRDefault="00767FA9" w:rsidP="00767FA9">
      <w:pPr>
        <w:pStyle w:val="BodyText"/>
      </w:pPr>
      <w:r w:rsidRPr="0042787E">
        <w:t>The market participants we spoke with said the falling prices to a large extent reflected sentiment and uncertainty about climate policy. Those participants viewed recent NZ ETS and other climate policy announcements (relating to agriculture, transport and corporate climate reporting) as reflecting a general weakening in the Government’s commitment to emissions reductions.</w:t>
      </w:r>
      <w:r w:rsidRPr="0042787E" w:rsidDel="2D083938">
        <w:t xml:space="preserve"> </w:t>
      </w:r>
      <w:r w:rsidRPr="0042787E">
        <w:t xml:space="preserve">They did not expect sentiment to improve or prices to recover enough during 2026 for auctions to clear. </w:t>
      </w:r>
    </w:p>
    <w:p w14:paraId="5EBF652E" w14:textId="77777777" w:rsidR="00767FA9" w:rsidRPr="0042787E" w:rsidRDefault="00767FA9" w:rsidP="00767FA9">
      <w:pPr>
        <w:pStyle w:val="BodyText"/>
      </w:pPr>
      <w:r w:rsidRPr="0042787E">
        <w:t xml:space="preserve">They also said the price was weighed down by the short-term issue of increased units entering the market from forestry mandatory emissions returns due in the first six months of this year. Some indicated that increased forestry unit flows significantly contributed to the price lows experienced in January. </w:t>
      </w:r>
    </w:p>
    <w:p w14:paraId="6F9980EE" w14:textId="77777777" w:rsidR="00767FA9" w:rsidRPr="0042787E" w:rsidRDefault="00767FA9" w:rsidP="00767FA9">
      <w:pPr>
        <w:pStyle w:val="BodyText"/>
      </w:pPr>
      <w:r w:rsidRPr="0042787E">
        <w:t xml:space="preserve">While additional volumes </w:t>
      </w:r>
      <w:r w:rsidRPr="0042787E">
        <w:rPr>
          <w:i/>
        </w:rPr>
        <w:t>could</w:t>
      </w:r>
      <w:r w:rsidRPr="0042787E">
        <w:t xml:space="preserve"> be made available for auction in line with the Government’s emissions budgets, our assessment is that offering those volumes under current circumstances might further undermine market confidence.</w:t>
      </w:r>
    </w:p>
    <w:p w14:paraId="6EF427E3" w14:textId="77777777" w:rsidR="00767FA9" w:rsidRPr="0042787E" w:rsidRDefault="00767FA9" w:rsidP="00767FA9">
      <w:pPr>
        <w:pStyle w:val="Heading4"/>
      </w:pPr>
      <w:r w:rsidRPr="0042787E">
        <w:t>Why we are not recommending a further reduction in auction volumes</w:t>
      </w:r>
    </w:p>
    <w:p w14:paraId="27AB325E" w14:textId="77777777" w:rsidR="00767FA9" w:rsidRPr="0042787E" w:rsidRDefault="00767FA9" w:rsidP="00767FA9">
      <w:pPr>
        <w:pStyle w:val="BodyText"/>
      </w:pPr>
      <w:r w:rsidRPr="0042787E">
        <w:t>Some market commentators have suggested that reducing auction volumes in the years to 2030 could help the market recover from recent low and volatile prices. The Minister has also publicly expressed interest in whether reduced auction volumes in the short term might help the NZ ETS to deliver more emissions reductions and better position the Government to meet the emissions budget</w:t>
      </w:r>
      <w:r>
        <w:t>s</w:t>
      </w:r>
      <w:r w:rsidRPr="0042787E">
        <w:t xml:space="preserve"> and </w:t>
      </w:r>
      <w:r>
        <w:t>first</w:t>
      </w:r>
      <w:r w:rsidRPr="0042787E">
        <w:t xml:space="preserve"> NDC.</w:t>
      </w:r>
      <w:r w:rsidRPr="0042787E">
        <w:fldChar w:fldCharType="begin"/>
      </w:r>
      <w:r>
        <w:instrText xml:space="preserve"> ADDIN EN.CITE &lt;EndNote&gt;&lt;Cite ExcludeYear="1"&gt;&lt;Author&gt;Honourable Simon Watts&lt;/Author&gt;&lt;Year&gt;2026&lt;/Year&gt;&lt;RecNum&gt;1362&lt;/RecNum&gt;&lt;DisplayText&gt;&lt;style face="superscript"&gt;2&lt;/style&gt;&lt;/DisplayText&gt;&lt;record&gt;&lt;rec-number&gt;1362&lt;/rec-number&gt;&lt;foreign-keys&gt;&lt;key app="EN" db-id="fwvex5fabdwzs9e9rwa55p5bvws5v2dex2zs" timestamp="1773873247" guid="c8ef8e81-1983-41c8-8728-948af2043685"&gt;1362&lt;/key&gt;&lt;/foreign-keys&gt;&lt;ref-type name="Report"&gt;27&lt;/ref-type&gt;&lt;contributors&gt;&lt;authors&gt;&lt;author&gt;Honourable Simon Watts,&lt;/author&gt;&lt;/authors&gt;&lt;/contributors&gt;&lt;titles&gt;&lt;title&gt;Letter to CCC Chair regarding options for 2026 ETS settings advice&lt;/title&gt;&lt;/titles&gt;&lt;keywords&gt;&lt;keyword&gt;ETS26&lt;/keyword&gt;&lt;/keywords&gt;&lt;dates&gt;&lt;year&gt;2026&lt;/year&gt;&lt;pub-dates&gt;&lt;date&gt;23 January&lt;/date&gt;&lt;/pub-dates&gt;&lt;/dates&gt;&lt;urls&gt;&lt;related-urls&gt;&lt;url&gt;https://www.climatecommission.govt.nz/assets/ETS-advice/2026/23-Jan-2026-Letter-to-CCC-Chair-regarding-options-for-2026-ETS-Settings-advice.pdf&lt;/url&gt;&lt;/related-urls&gt;&lt;/urls&gt;&lt;/record&gt;&lt;/Cite&gt;&lt;/EndNote&gt;</w:instrText>
      </w:r>
      <w:r w:rsidRPr="0042787E">
        <w:fldChar w:fldCharType="separate"/>
      </w:r>
      <w:r w:rsidRPr="001166C1">
        <w:rPr>
          <w:noProof/>
          <w:vertAlign w:val="superscript"/>
        </w:rPr>
        <w:t>2</w:t>
      </w:r>
      <w:r w:rsidRPr="0042787E">
        <w:fldChar w:fldCharType="end"/>
      </w:r>
    </w:p>
    <w:p w14:paraId="6DB80036" w14:textId="77777777" w:rsidR="00767FA9" w:rsidRPr="0042787E" w:rsidRDefault="00767FA9" w:rsidP="00767FA9">
      <w:pPr>
        <w:pStyle w:val="BodyText"/>
        <w:rPr>
          <w:rFonts w:eastAsia="Calibri" w:cs="Calibri"/>
        </w:rPr>
      </w:pPr>
      <w:r w:rsidRPr="0042787E">
        <w:t xml:space="preserve">For the NZ ETS to effectively incentivise emissions reduction, emitters need to be able to make investment decisions based on clearly signalled information about future policies </w:t>
      </w:r>
      <w:r>
        <w:br/>
      </w:r>
      <w:r w:rsidRPr="0042787E">
        <w:t xml:space="preserve">and settings. In our view, reducing auction volumes below current levels might not in </w:t>
      </w:r>
      <w:r>
        <w:br/>
      </w:r>
      <w:r w:rsidRPr="0042787E">
        <w:t xml:space="preserve">itself encourage emitters to invest in decarbonisation. Instead, reducing auction volumes now </w:t>
      </w:r>
      <w:r w:rsidRPr="0042787E">
        <w:rPr>
          <w:rFonts w:eastAsia="Calibri" w:cs="Calibri"/>
        </w:rPr>
        <w:t xml:space="preserve">could increase the risk of a unit shortfall, resulting in undesirably rapid and volatile </w:t>
      </w:r>
      <w:r>
        <w:rPr>
          <w:rFonts w:eastAsia="Calibri" w:cs="Calibri"/>
        </w:rPr>
        <w:br/>
      </w:r>
      <w:r w:rsidRPr="0042787E">
        <w:rPr>
          <w:rFonts w:eastAsia="Calibri" w:cs="Calibri"/>
        </w:rPr>
        <w:t>price rises.</w:t>
      </w:r>
    </w:p>
    <w:p w14:paraId="46ECFD12" w14:textId="77777777" w:rsidR="00767FA9" w:rsidRPr="0042787E" w:rsidDel="00D87280" w:rsidRDefault="00767FA9" w:rsidP="00767FA9">
      <w:pPr>
        <w:pStyle w:val="BodyText"/>
        <w:rPr>
          <w:rFonts w:eastAsia="Calibri" w:cs="Calibri"/>
        </w:rPr>
      </w:pPr>
      <w:r w:rsidRPr="0042787E">
        <w:rPr>
          <w:rFonts w:eastAsia="Calibri" w:cs="Calibri"/>
        </w:rPr>
        <w:lastRenderedPageBreak/>
        <w:t xml:space="preserve">To get on track to meet the third emissions budget, additional policies complementary to the NZ ETS are likely to be necessary given what is known about the emissions reductions that are feasible over the period. </w:t>
      </w:r>
    </w:p>
    <w:p w14:paraId="0CB57349" w14:textId="77777777" w:rsidR="00767FA9" w:rsidRPr="0042787E" w:rsidRDefault="00767FA9" w:rsidP="00767FA9">
      <w:pPr>
        <w:pStyle w:val="BodyText"/>
      </w:pPr>
      <w:r w:rsidRPr="0042787E" w:rsidDel="00D87280">
        <w:t>In our 2025 emissions reduction monitoring report, we examined the further potential to reduce emissions to meet the third emissions budget.</w:t>
      </w:r>
      <w:r w:rsidRPr="0042787E">
        <w:fldChar w:fldCharType="begin"/>
      </w:r>
      <w:r>
        <w:instrText xml:space="preserve"> ADDIN EN.CITE &lt;EndNote&gt;&lt;Cite&gt;&lt;Author&gt;He Pou a Rangi Climate Change Commission&lt;/Author&gt;&lt;Year&gt;2025&lt;/Year&gt;&lt;RecNum&gt;908&lt;/RecNum&gt;&lt;Pages&gt;50&lt;/Pages&gt;&lt;DisplayText&gt;&lt;style face="superscript"&gt;3&lt;/style&gt;&lt;/DisplayText&gt;&lt;record&gt;&lt;rec-number&gt;908&lt;/rec-number&gt;&lt;foreign-keys&gt;&lt;key app="EN" db-id="fwvex5fabdwzs9e9rwa55p5bvws5v2dex2zs" timestamp="1773112527" guid="5b48bcf9-06d9-4738-892d-802d9f5148ab"&gt;908&lt;/key&gt;&lt;/foreign-keys&gt;&lt;ref-type name="Report"&gt;27&lt;/ref-type&gt;&lt;contributors&gt;&lt;authors&gt;&lt;author&gt;He Pou a Rangi Climate Change Commission,&lt;/author&gt;&lt;/authors&gt;&lt;/contributors&gt;&lt;titles&gt;&lt;title&gt;Monitoring report: Emissions reduction&lt;/title&gt;&lt;secondary-title&gt;Annual Monitoring Report&lt;/secondary-title&gt;&lt;/titles&gt;&lt;keywords&gt;&lt;keyword&gt;ERM26&lt;/keyword&gt;&lt;keyword&gt;ETS26&lt;/keyword&gt;&lt;/keywords&gt;&lt;dates&gt;&lt;year&gt;2025&lt;/year&gt;&lt;/dates&gt;&lt;publisher&gt;He Pou a Rangi Climate Change Commission&lt;/publisher&gt;&lt;urls&gt;&lt;related-urls&gt;&lt;url&gt;https://www.climatecommission.govt.nz/assets/Monitoring-and-reporting/ERM-2025/CCC-5929-ERM-2025.pdf&lt;/url&gt;&lt;/related-urls&gt;&lt;/urls&gt;&lt;/record&gt;&lt;/Cite&gt;&lt;/EndNote&gt;</w:instrText>
      </w:r>
      <w:r w:rsidRPr="0042787E">
        <w:fldChar w:fldCharType="separate"/>
      </w:r>
      <w:r w:rsidRPr="001166C1">
        <w:rPr>
          <w:noProof/>
          <w:vertAlign w:val="superscript"/>
        </w:rPr>
        <w:t>3</w:t>
      </w:r>
      <w:r w:rsidRPr="0042787E">
        <w:fldChar w:fldCharType="end"/>
      </w:r>
      <w:r w:rsidRPr="0042787E" w:rsidDel="00D87280">
        <w:t xml:space="preserve"> Most opportunities identified </w:t>
      </w:r>
      <w:r w:rsidRPr="0042787E">
        <w:t xml:space="preserve">were either not likely to respond to NZ ETS incentives (e.g. passenger vehicle mode shift and other opportunities in transport) or were in sectors not covered by the NZ ETS (e.g. agriculture), or in areas where the NZ ETS emissions price </w:t>
      </w:r>
      <w:r w:rsidRPr="0042787E" w:rsidDel="00AF77CB">
        <w:t xml:space="preserve">is unlikely to be </w:t>
      </w:r>
      <w:r w:rsidRPr="0042787E">
        <w:t>consistently high or stable enough to drive change (e.g. electricity generation and industry).</w:t>
      </w:r>
    </w:p>
    <w:p w14:paraId="28145F88" w14:textId="77777777" w:rsidR="00767FA9" w:rsidRPr="0042787E" w:rsidRDefault="00767FA9" w:rsidP="00767FA9">
      <w:pPr>
        <w:pStyle w:val="BodyText"/>
      </w:pPr>
      <w:r w:rsidRPr="0042787E">
        <w:t>Planting forests is the activity the NZ ETS is most likely to incentivise, and forests planted between now and 2031 can help with meeting the third emissions budget and second NDC (2031–2035), but not with meeting the first NDC (2021–2030). This is because new forests take 4–5 years after planting to start to sequester carbon. Withdrawing further units from auctions could encourage more afforestation, but those new forests would not provide units to the market to meet projected gross emissions demand in the years to 2030. Any further planting would not resolve the risk of a unit shortfall over 2028–2030.</w:t>
      </w:r>
    </w:p>
    <w:p w14:paraId="30A1BE19" w14:textId="77777777" w:rsidR="00767FA9" w:rsidRPr="0042787E" w:rsidRDefault="00767FA9" w:rsidP="00767FA9">
      <w:pPr>
        <w:pStyle w:val="Heading3"/>
        <w:rPr>
          <w:rFonts w:eastAsia="Calibri" w:cs="Calibri"/>
          <w:b/>
        </w:rPr>
      </w:pPr>
      <w:r w:rsidRPr="0042787E">
        <w:rPr>
          <w:rFonts w:eastAsia="Calibri" w:cs="Calibri"/>
        </w:rPr>
        <w:t>Our recommended price control settings</w:t>
      </w:r>
    </w:p>
    <w:p w14:paraId="480688D1" w14:textId="77777777" w:rsidR="00767FA9" w:rsidRPr="0042787E" w:rsidRDefault="00767FA9" w:rsidP="00767FA9">
      <w:pPr>
        <w:pStyle w:val="BodyText"/>
      </w:pPr>
      <w:r w:rsidRPr="0042787E">
        <w:rPr>
          <w:rFonts w:eastAsia="Calibri" w:cs="Calibri"/>
        </w:rPr>
        <w:t xml:space="preserve">We are recommending </w:t>
      </w:r>
      <w:r w:rsidRPr="0042787E">
        <w:t xml:space="preserve">that, for now, the ARP and CCR prices and volumes should remain at current levels and be extended on their current trajectory to 2031, with an inflation adjustment from 2029 onwards. These settings have remained consistent (aside from inflation adjustments) since 2022. </w:t>
      </w:r>
      <w:r w:rsidRPr="0042787E">
        <w:rPr>
          <w:rFonts w:eastAsia="Calibri" w:cs="Calibri"/>
        </w:rPr>
        <w:t>Table ES.1 shows our recommended price control settings.</w:t>
      </w:r>
    </w:p>
    <w:p w14:paraId="3DBB9B8F" w14:textId="77777777" w:rsidR="00767FA9" w:rsidRPr="0042787E" w:rsidRDefault="00767FA9" w:rsidP="00767FA9">
      <w:pPr>
        <w:pStyle w:val="Heading4"/>
        <w:rPr>
          <w:rFonts w:eastAsia="Calibri" w:cs="Calibri"/>
          <w:b/>
          <w:color w:val="000000" w:themeColor="text1"/>
        </w:rPr>
      </w:pPr>
      <w:r w:rsidRPr="0042787E">
        <w:rPr>
          <w:rFonts w:eastAsia="Calibri" w:cs="Calibri"/>
          <w:bCs/>
          <w:color w:val="000000" w:themeColor="text1"/>
        </w:rPr>
        <w:t>Why we are not recommending any increase in the ARP at this stage</w:t>
      </w:r>
    </w:p>
    <w:p w14:paraId="614B8A6C" w14:textId="77777777" w:rsidR="00767FA9" w:rsidRPr="0042787E" w:rsidRDefault="00767FA9" w:rsidP="00767FA9">
      <w:pPr>
        <w:pStyle w:val="BodyText"/>
      </w:pPr>
      <w:r w:rsidRPr="0042787E" w:rsidDel="00135FC0">
        <w:t>We</w:t>
      </w:r>
      <w:r w:rsidRPr="0042787E">
        <w:t xml:space="preserve"> have considered whether raising the ARP would be beneficial in the short term. However, it is unclear that increasing the ARP would have any material effect on emissions </w:t>
      </w:r>
      <w:r>
        <w:br/>
      </w:r>
      <w:r w:rsidRPr="0042787E">
        <w:t xml:space="preserve">in the short term. NZU spot prices are well below the current ARP. In the current context, market participants might perceive an increase in the ARP as an unexpected, confusing </w:t>
      </w:r>
      <w:r>
        <w:br/>
      </w:r>
      <w:r w:rsidRPr="0042787E">
        <w:t xml:space="preserve">and unnecessary change, undermining any signal it might send about commitment to climate action. </w:t>
      </w:r>
    </w:p>
    <w:p w14:paraId="2A0A4A65" w14:textId="77777777" w:rsidR="00767FA9" w:rsidRPr="0042787E" w:rsidRDefault="00767FA9" w:rsidP="00767FA9">
      <w:pPr>
        <w:pStyle w:val="BodyText"/>
      </w:pPr>
      <w:r w:rsidRPr="0042787E">
        <w:t>In 2025 we advised that it may become necessary at some stage to increase the price levels of both the ARP and CCR, depending on the extent that gross emissions reductions are need</w:t>
      </w:r>
      <w:r>
        <w:t>ed</w:t>
      </w:r>
      <w:r w:rsidRPr="0042787E">
        <w:t xml:space="preserve"> to meet the third emissions budget, and the likely cost of these. Both of these factors are very uncertain, as they will be affected by trends in fossil gas prices, EV uptake and afforestation. These uncertainties have not sufficiently resolved over the past year to justify any increase in the price control settings at this stage. We will monitor developments and address any necessary changes in future NZ ETS settings advice.</w:t>
      </w:r>
    </w:p>
    <w:p w14:paraId="67D4D384" w14:textId="77777777" w:rsidR="00767FA9" w:rsidRPr="0042787E" w:rsidRDefault="00767FA9" w:rsidP="00767FA9">
      <w:pPr>
        <w:pStyle w:val="Heading4"/>
        <w:rPr>
          <w:rFonts w:eastAsia="Calibri" w:cs="Calibri"/>
          <w:b/>
          <w:color w:val="000000" w:themeColor="text1"/>
        </w:rPr>
      </w:pPr>
      <w:r w:rsidRPr="0042787E">
        <w:rPr>
          <w:rFonts w:eastAsia="Calibri" w:cs="Calibri"/>
          <w:color w:val="000000" w:themeColor="text1"/>
        </w:rPr>
        <w:lastRenderedPageBreak/>
        <w:t>Why</w:t>
      </w:r>
      <w:r w:rsidRPr="0042787E">
        <w:rPr>
          <w:rFonts w:eastAsia="Calibri" w:cs="Calibri"/>
          <w:bCs/>
          <w:color w:val="000000" w:themeColor="text1"/>
        </w:rPr>
        <w:t xml:space="preserve"> we are we not recommending a lower ARP</w:t>
      </w:r>
      <w:r w:rsidRPr="0042787E" w:rsidDel="0077034E">
        <w:rPr>
          <w:rFonts w:eastAsia="Calibri" w:cs="Calibri"/>
          <w:bCs/>
          <w:color w:val="000000" w:themeColor="text1"/>
        </w:rPr>
        <w:t xml:space="preserve"> </w:t>
      </w:r>
    </w:p>
    <w:p w14:paraId="6AC34C16" w14:textId="77777777" w:rsidR="00767FA9" w:rsidRPr="0042787E" w:rsidRDefault="00767FA9" w:rsidP="00767FA9">
      <w:pPr>
        <w:pStyle w:val="BodyText"/>
      </w:pPr>
      <w:r w:rsidRPr="0042787E">
        <w:t>The fact that NZU spot prices are currently below the ARP level does not provide any justification to lower it. Our analysis does not indicate that the minimum price needed to meet emissions budgets has reduced. Market participants have told us that current spot prices reflect sentiment change and are not connected to supply and demand fundamentals.</w:t>
      </w:r>
    </w:p>
    <w:p w14:paraId="614ADFBA" w14:textId="77777777" w:rsidR="00767FA9" w:rsidRPr="0042787E" w:rsidRDefault="00767FA9" w:rsidP="00767FA9">
      <w:pPr>
        <w:pStyle w:val="BodyText"/>
      </w:pPr>
      <w:r w:rsidRPr="0042787E">
        <w:t>A lower ARP would be inconsistent with the known evidence about emissions prices needed to meet emissions budgets. It would undermine the Government’s net-based approach to meeting emissions budgets (under which carbon removals by forests are intended to play an important role) by reducing incentives for afforestation. It could also increase the risk of the Government selling units below the cost of offshore mitigation, increasing the economic and fiscal costs of meeting the first and second NDC.</w:t>
      </w:r>
    </w:p>
    <w:p w14:paraId="1075C674" w14:textId="77777777" w:rsidR="00767FA9" w:rsidRPr="0042787E" w:rsidRDefault="00767FA9" w:rsidP="00767FA9">
      <w:pPr>
        <w:pStyle w:val="BodyText"/>
      </w:pPr>
      <w:r w:rsidRPr="0042787E">
        <w:t>If afforestation between now and 2031 is sufficient to close the gap between current projections and the third emissions budget, there would be a case that the ARP no longer needed to increase after 2031 (except for inflation adjustments), but no case to lower the ARP as that would undermine forestry investments.</w:t>
      </w:r>
    </w:p>
    <w:p w14:paraId="114B087D" w14:textId="77777777" w:rsidR="00767FA9" w:rsidRPr="0042787E" w:rsidRDefault="00767FA9" w:rsidP="00767FA9">
      <w:pPr>
        <w:pStyle w:val="Heading2nonumber"/>
        <w:keepNext/>
        <w:rPr>
          <w:rFonts w:cs="Calibri"/>
        </w:rPr>
      </w:pPr>
      <w:bookmarkStart w:id="5" w:name="_Toc225320136"/>
      <w:bookmarkStart w:id="6" w:name="_Toc225439405"/>
      <w:bookmarkStart w:id="7" w:name="_Toc227255190"/>
      <w:r w:rsidRPr="0042787E">
        <w:t>The NZ ETS’s contribution to emissions reduction</w:t>
      </w:r>
      <w:bookmarkEnd w:id="5"/>
      <w:bookmarkEnd w:id="6"/>
      <w:bookmarkEnd w:id="7"/>
    </w:p>
    <w:p w14:paraId="06916DAB" w14:textId="77777777" w:rsidR="00767FA9" w:rsidRPr="0042787E" w:rsidRDefault="00767FA9" w:rsidP="00767FA9">
      <w:pPr>
        <w:pStyle w:val="BodyText"/>
        <w:rPr>
          <w:sz w:val="19"/>
          <w:szCs w:val="19"/>
        </w:rPr>
      </w:pPr>
      <w:r w:rsidRPr="0042787E">
        <w:t>Globally, emissions pricing is an increasingly important tool for reducing greenhouse gas emissions. By 2025 there were 37 emissions trading schemes and 43 carbon taxes operating around the world. These schemes covered 28% of the world’s greenhouse gas emissions (including China, the European Union and several of the largest states in the United States).</w:t>
      </w:r>
      <w:r w:rsidRPr="0042787E">
        <w:fldChar w:fldCharType="begin"/>
      </w:r>
      <w:r>
        <w:instrText xml:space="preserve"> ADDIN EN.CITE &lt;EndNote&gt;&lt;Cite&gt;&lt;Author&gt;World Bank Group&lt;/Author&gt;&lt;Year&gt;2025&lt;/Year&gt;&lt;RecNum&gt;1467&lt;/RecNum&gt;&lt;DisplayText&gt;&lt;style face="superscript"&gt;4&lt;/style&gt;&lt;/DisplayText&gt;&lt;record&gt;&lt;rec-number&gt;1467&lt;/rec-number&gt;&lt;foreign-keys&gt;&lt;key app="EN" db-id="fwvex5fabdwzs9e9rwa55p5bvws5v2dex2zs" timestamp="1774582413" guid="9202ef49-cca7-4852-b123-01a91a0387ee"&gt;1467&lt;/key&gt;&lt;/foreign-keys&gt;&lt;ref-type name="Report"&gt;27&lt;/ref-type&gt;&lt;contributors&gt;&lt;authors&gt;&lt;author&gt;World Bank Group,&lt;/author&gt;&lt;/authors&gt;&lt;/contributors&gt;&lt;titles&gt;&lt;title&gt;State and Trends of Carbon Pricing 2025&lt;/title&gt;&lt;/titles&gt;&lt;keywords&gt;&lt;keyword&gt;ETS26&lt;/keyword&gt;&lt;/keywords&gt;&lt;dates&gt;&lt;year&gt;2025&lt;/year&gt;&lt;/dates&gt;&lt;urls&gt;&lt;/urls&gt;&lt;/record&gt;&lt;/Cite&gt;&lt;/EndNote&gt;</w:instrText>
      </w:r>
      <w:r w:rsidRPr="0042787E">
        <w:fldChar w:fldCharType="separate"/>
      </w:r>
      <w:r w:rsidRPr="0042787E">
        <w:rPr>
          <w:noProof/>
          <w:vertAlign w:val="superscript"/>
        </w:rPr>
        <w:t>4</w:t>
      </w:r>
      <w:r w:rsidRPr="0042787E">
        <w:fldChar w:fldCharType="end"/>
      </w:r>
    </w:p>
    <w:p w14:paraId="1428ECD3" w14:textId="77777777" w:rsidR="00767FA9" w:rsidRPr="0042787E" w:rsidRDefault="00767FA9" w:rsidP="00767FA9">
      <w:pPr>
        <w:pStyle w:val="BodyText"/>
      </w:pPr>
      <w:r w:rsidRPr="0042787E">
        <w:t>In Aotearoa New Zealand, the NZ ETS is well established and is playing a role in helping the country to meet its climate targets, particularly through encouraging afforestation. The Government has made it clear that it sees the NZ ETS as Aotearoa New Zealand’s main tool for reducing emissions.</w:t>
      </w:r>
    </w:p>
    <w:p w14:paraId="01121ADF" w14:textId="77777777" w:rsidR="00767FA9" w:rsidRPr="0042787E" w:rsidRDefault="00767FA9" w:rsidP="00767FA9">
      <w:pPr>
        <w:pStyle w:val="BodyText"/>
      </w:pPr>
      <w:r w:rsidRPr="0042787E">
        <w:t>In December 2025 and January 2026 the Commission exchanged letters with the Minister of Climate Change discussing the context for this advice in light of recent statutory amendments. The Minister expressed interest in NZ ETS settings (including reducing auction volumes and a higher ARP) that would deliver additional emissions reductions towards meeting emissions budgets and NDC commitments. This report includes commentary on those areas.</w:t>
      </w:r>
    </w:p>
    <w:p w14:paraId="2E9D83AD" w14:textId="77777777" w:rsidR="00767FA9" w:rsidRPr="0042787E" w:rsidRDefault="00767FA9" w:rsidP="00767FA9">
      <w:pPr>
        <w:pStyle w:val="BodyText"/>
      </w:pPr>
      <w:r w:rsidRPr="0042787E">
        <w:t>Effective operation of the NZ ETS requires credible and well</w:t>
      </w:r>
      <w:r>
        <w:t>-</w:t>
      </w:r>
      <w:r w:rsidRPr="0042787E">
        <w:t>signalled decisions about NZ ETS settings and climate policy more generally, in order to support investment in emissions reduction. As discussed above, our assessment is that short-term adjustments to the NZ ETS settings might further destabilise the market without bringing the reduction in emissions that the Government is seeking.</w:t>
      </w:r>
    </w:p>
    <w:p w14:paraId="6BD15332" w14:textId="77777777" w:rsidR="00767FA9" w:rsidRPr="0042787E" w:rsidRDefault="00767FA9" w:rsidP="00767FA9">
      <w:pPr>
        <w:pStyle w:val="BodyText"/>
      </w:pPr>
      <w:r w:rsidRPr="0042787E">
        <w:t xml:space="preserve">As advised in our 2025 emissions reduction monitoring report, our assessment is also that meeting emissions targets will require a strengthened NZ ETS </w:t>
      </w:r>
      <w:r w:rsidRPr="0042787E">
        <w:rPr>
          <w:i/>
        </w:rPr>
        <w:t>together with</w:t>
      </w:r>
      <w:r w:rsidRPr="0042787E">
        <w:t xml:space="preserve"> additional </w:t>
      </w:r>
      <w:r w:rsidRPr="0042787E">
        <w:lastRenderedPageBreak/>
        <w:t xml:space="preserve">targeted policies in areas such as renewable energy, transport and agriculture. The NZ ETS covers less than </w:t>
      </w:r>
      <w:r w:rsidRPr="001166C1">
        <w:t>40%</w:t>
      </w:r>
      <w:r w:rsidRPr="0042787E">
        <w:t xml:space="preserve"> of Aotearoa New Zealand’s domestic net emissions, and in its current form is unlikely to drive significant emissions reduction in some of the sectors it does cover. </w:t>
      </w:r>
    </w:p>
    <w:p w14:paraId="58719837" w14:textId="77777777" w:rsidR="00767FA9" w:rsidRPr="0042787E" w:rsidRDefault="00767FA9" w:rsidP="00767FA9">
      <w:pPr>
        <w:pStyle w:val="BodyText"/>
      </w:pPr>
      <w:r w:rsidRPr="0042787E">
        <w:t>Our analysis suggests that from 2034 there may be no further volume to auction (as all gross emissions covered by the scheme will be covered by units from industrial allocation and forestry). The emissions cap, which is the key element of an ETS that enables it to incentivise reductions, could reduce to zero soon after. In addition, industrial allocation beyond that point is likely to allow emissions above the cap</w:t>
      </w:r>
      <w:r w:rsidRPr="0042787E" w:rsidDel="00CB6212">
        <w:t>.</w:t>
      </w:r>
      <w:r w:rsidRPr="0042787E">
        <w:t xml:space="preserve"> There are factors that could shift this earlier, for example the revisions to emissions budgets due in 2027 or increases to projections of agricultural emissions. </w:t>
      </w:r>
    </w:p>
    <w:p w14:paraId="18E95F8F" w14:textId="77777777" w:rsidR="00767FA9" w:rsidRPr="0042787E" w:rsidRDefault="00767FA9" w:rsidP="00767FA9">
      <w:pPr>
        <w:pStyle w:val="BodyText"/>
      </w:pPr>
      <w:r w:rsidRPr="0042787E">
        <w:t xml:space="preserve">In other words, the point is drawing closer at which the NZ ETS in its current form will no longer be able to incentivise further net emissions reductions, despite more reductions being needed to meet emissions budgets and the 2050 target. </w:t>
      </w:r>
    </w:p>
    <w:p w14:paraId="4C03A1CD" w14:textId="77777777" w:rsidR="00767FA9" w:rsidRPr="0042787E" w:rsidRDefault="00767FA9" w:rsidP="00767FA9">
      <w:pPr>
        <w:pStyle w:val="BodyText"/>
      </w:pPr>
      <w:r w:rsidRPr="0042787E">
        <w:t xml:space="preserve">To encourage the investments that will be needed to achieve further emissions reductions from 2034, the Government will need either to start now on a process to reform the structure and operation of the NZ ETS or implement a more comprehensive suite of other policies to reduce emissions, or both. </w:t>
      </w:r>
    </w:p>
    <w:p w14:paraId="42631FCC" w14:textId="77777777" w:rsidR="00767FA9" w:rsidRPr="0042787E" w:rsidDel="005950D7" w:rsidRDefault="00767FA9" w:rsidP="00767FA9">
      <w:pPr>
        <w:pStyle w:val="BodyText"/>
      </w:pPr>
      <w:r w:rsidRPr="0042787E">
        <w:t>Our upcoming emissions monitoring report will provide further advice on progress towards emissions budgets and the 2050 target.</w:t>
      </w:r>
    </w:p>
    <w:p w14:paraId="6FC7A548" w14:textId="77777777" w:rsidR="00767FA9" w:rsidRPr="0042787E" w:rsidRDefault="00767FA9" w:rsidP="00767FA9">
      <w:pPr>
        <w:pStyle w:val="Heading2nonumber"/>
        <w:keepNext/>
        <w:keepLines/>
        <w:rPr>
          <w:rFonts w:cs="Calibri"/>
        </w:rPr>
      </w:pPr>
      <w:bookmarkStart w:id="8" w:name="_Toc225320137"/>
      <w:bookmarkStart w:id="9" w:name="_Toc225439406"/>
      <w:bookmarkStart w:id="10" w:name="_Toc227255191"/>
      <w:r w:rsidRPr="0042787E">
        <w:t>What happens next for NZ ETS settings?</w:t>
      </w:r>
      <w:bookmarkEnd w:id="8"/>
      <w:bookmarkEnd w:id="9"/>
      <w:bookmarkEnd w:id="10"/>
    </w:p>
    <w:p w14:paraId="591CA2A2" w14:textId="77777777" w:rsidR="00767FA9" w:rsidRPr="0042787E" w:rsidRDefault="00767FA9" w:rsidP="00767FA9">
      <w:pPr>
        <w:keepNext/>
        <w:keepLines/>
        <w:rPr>
          <w:rFonts w:eastAsia="Calibri" w:cs="Calibri"/>
          <w:color w:val="000000" w:themeColor="text1"/>
        </w:rPr>
      </w:pPr>
      <w:r w:rsidRPr="0042787E">
        <w:rPr>
          <w:rFonts w:eastAsia="Calibri" w:cs="Calibri"/>
          <w:color w:val="000000" w:themeColor="text1"/>
        </w:rPr>
        <w:t>This advice is one step within a wider process for updating the NZ ETS settings.</w:t>
      </w:r>
    </w:p>
    <w:p w14:paraId="3A97F4D9" w14:textId="77777777" w:rsidR="00767FA9" w:rsidRPr="0042787E" w:rsidRDefault="00767FA9" w:rsidP="00767FA9">
      <w:pPr>
        <w:keepLines/>
        <w:rPr>
          <w:rFonts w:eastAsia="Calibri" w:cs="Calibri"/>
          <w:color w:val="000000" w:themeColor="text1"/>
        </w:rPr>
      </w:pPr>
      <w:r w:rsidRPr="0042787E">
        <w:rPr>
          <w:rFonts w:eastAsia="Calibri" w:cs="Calibri"/>
          <w:color w:val="000000" w:themeColor="text1"/>
        </w:rPr>
        <w:t xml:space="preserve">The Government will consider our advice and run a public consultation on proposals, which we understand will be led by the Ministry for the Environment on behalf of the Minister of Climate Change in the second quarter of 2026. The Government must make decisions on </w:t>
      </w:r>
      <w:r>
        <w:br/>
      </w:r>
      <w:r w:rsidRPr="0042787E">
        <w:rPr>
          <w:rFonts w:eastAsia="Calibri" w:cs="Calibri"/>
          <w:color w:val="000000" w:themeColor="text1"/>
        </w:rPr>
        <w:t xml:space="preserve">NZ ETS unit limits and price control settings in time for the regulations to be updated by </w:t>
      </w:r>
      <w:r>
        <w:br/>
      </w:r>
      <w:r w:rsidRPr="0042787E">
        <w:rPr>
          <w:rFonts w:eastAsia="Calibri" w:cs="Calibri"/>
          <w:color w:val="000000" w:themeColor="text1"/>
        </w:rPr>
        <w:t>30 September 2026. The new settings will come into force on 1 January 2027.</w:t>
      </w:r>
    </w:p>
    <w:p w14:paraId="7298F40F" w14:textId="77777777" w:rsidR="00767FA9" w:rsidRPr="0042787E" w:rsidRDefault="00767FA9" w:rsidP="00767FA9">
      <w:pPr>
        <w:pStyle w:val="BodyText"/>
      </w:pPr>
      <w:r w:rsidRPr="0042787E">
        <w:t xml:space="preserve">Under current legislation we expect to provide our next advice on this topic, relating to the period 2028–2032, in early 2027. </w:t>
      </w:r>
    </w:p>
    <w:p w14:paraId="70D7CB5F" w14:textId="77777777" w:rsidR="00767FA9" w:rsidRPr="0042787E" w:rsidRDefault="00767FA9" w:rsidP="00767FA9">
      <w:pPr>
        <w:pStyle w:val="BodyText"/>
      </w:pPr>
    </w:p>
    <w:p w14:paraId="21A1F952" w14:textId="77777777" w:rsidR="00767FA9" w:rsidRPr="0042787E" w:rsidRDefault="00767FA9" w:rsidP="00767FA9">
      <w:pPr>
        <w:spacing w:before="0" w:after="0" w:line="240" w:lineRule="auto"/>
        <w:rPr>
          <w:rFonts w:asciiTheme="minorHAnsi" w:eastAsia="Calibri" w:hAnsiTheme="minorHAnsi" w:cstheme="minorHAnsi"/>
          <w:b/>
          <w:color w:val="00A195"/>
          <w:sz w:val="36"/>
          <w:szCs w:val="22"/>
        </w:rPr>
      </w:pPr>
      <w:r w:rsidRPr="0042787E">
        <w:br w:type="page"/>
      </w:r>
    </w:p>
    <w:p w14:paraId="5DE6715D" w14:textId="77777777" w:rsidR="00767FA9" w:rsidRPr="0042787E" w:rsidRDefault="00767FA9" w:rsidP="00767FA9">
      <w:pPr>
        <w:pStyle w:val="Heading2nonumber"/>
      </w:pPr>
      <w:bookmarkStart w:id="11" w:name="_Toc225320138"/>
      <w:bookmarkStart w:id="12" w:name="_Toc225439407"/>
      <w:bookmarkStart w:id="13" w:name="_Toc227255192"/>
      <w:r w:rsidRPr="0042787E">
        <w:lastRenderedPageBreak/>
        <w:t>Recommendations and proposed auction volumes</w:t>
      </w:r>
      <w:bookmarkEnd w:id="11"/>
      <w:bookmarkEnd w:id="12"/>
      <w:bookmarkEnd w:id="13"/>
    </w:p>
    <w:p w14:paraId="6C97EDED" w14:textId="77777777" w:rsidR="00767FA9" w:rsidRPr="00CA62BF" w:rsidRDefault="00767FA9" w:rsidP="00767FA9">
      <w:pPr>
        <w:pStyle w:val="Heading3"/>
      </w:pPr>
      <w:r w:rsidRPr="00CA62BF">
        <w:t>Proposed auction volumes</w:t>
      </w:r>
    </w:p>
    <w:tbl>
      <w:tblPr>
        <w:tblStyle w:val="GridTable5Dark-Accent5"/>
        <w:tblW w:w="0" w:type="auto"/>
        <w:tblLayout w:type="fixed"/>
        <w:tblLook w:val="06A0" w:firstRow="1" w:lastRow="0" w:firstColumn="1" w:lastColumn="0" w:noHBand="1" w:noVBand="1"/>
      </w:tblPr>
      <w:tblGrid>
        <w:gridCol w:w="3676"/>
        <w:gridCol w:w="1072"/>
        <w:gridCol w:w="1073"/>
        <w:gridCol w:w="1073"/>
        <w:gridCol w:w="1034"/>
        <w:gridCol w:w="1112"/>
      </w:tblGrid>
      <w:tr w:rsidR="00767FA9" w:rsidRPr="0042787E" w14:paraId="7F50F4F8" w14:textId="77777777" w:rsidTr="004C4D0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6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70" w:type="dxa"/>
              <w:right w:w="170" w:type="dxa"/>
            </w:tcMar>
            <w:vAlign w:val="center"/>
          </w:tcPr>
          <w:p w14:paraId="1B8F8194" w14:textId="77777777" w:rsidR="00767FA9" w:rsidRPr="0042787E" w:rsidRDefault="00767FA9" w:rsidP="004C4D06">
            <w:pPr>
              <w:spacing w:before="0" w:after="0"/>
              <w:rPr>
                <w:sz w:val="22"/>
              </w:rPr>
            </w:pPr>
          </w:p>
        </w:tc>
        <w:tc>
          <w:tcPr>
            <w:tcW w:w="4252"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70" w:type="dxa"/>
              <w:right w:w="170" w:type="dxa"/>
            </w:tcMar>
            <w:vAlign w:val="center"/>
          </w:tcPr>
          <w:p w14:paraId="6B6AD491" w14:textId="77777777" w:rsidR="00767FA9" w:rsidRPr="0042787E" w:rsidRDefault="00767FA9" w:rsidP="004C4D06">
            <w:pPr>
              <w:spacing w:before="0" w:after="0"/>
              <w:jc w:val="center"/>
              <w:cnfStyle w:val="100000000000" w:firstRow="1" w:lastRow="0" w:firstColumn="0" w:lastColumn="0" w:oddVBand="0" w:evenVBand="0" w:oddHBand="0" w:evenHBand="0" w:firstRowFirstColumn="0" w:firstRowLastColumn="0" w:lastRowFirstColumn="0" w:lastRowLastColumn="0"/>
              <w:rPr>
                <w:sz w:val="22"/>
              </w:rPr>
            </w:pPr>
            <w:r w:rsidRPr="0042787E">
              <w:rPr>
                <w:sz w:val="22"/>
              </w:rPr>
              <w:t>No changes</w:t>
            </w:r>
          </w:p>
        </w:tc>
        <w:tc>
          <w:tcPr>
            <w:tcW w:w="11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70" w:type="dxa"/>
              <w:right w:w="170" w:type="dxa"/>
            </w:tcMar>
            <w:vAlign w:val="center"/>
          </w:tcPr>
          <w:p w14:paraId="7C69BBA7" w14:textId="77777777" w:rsidR="00767FA9" w:rsidRPr="0042787E" w:rsidRDefault="00767FA9" w:rsidP="004C4D06">
            <w:pPr>
              <w:spacing w:before="0" w:after="0"/>
              <w:jc w:val="center"/>
              <w:cnfStyle w:val="100000000000" w:firstRow="1" w:lastRow="0" w:firstColumn="0" w:lastColumn="0" w:oddVBand="0" w:evenVBand="0" w:oddHBand="0" w:evenHBand="0" w:firstRowFirstColumn="0" w:firstRowLastColumn="0" w:lastRowFirstColumn="0" w:lastRowLastColumn="0"/>
              <w:rPr>
                <w:sz w:val="22"/>
              </w:rPr>
            </w:pPr>
            <w:r w:rsidRPr="0042787E">
              <w:rPr>
                <w:sz w:val="22"/>
              </w:rPr>
              <w:t>New</w:t>
            </w:r>
          </w:p>
        </w:tc>
      </w:tr>
      <w:tr w:rsidR="00767FA9" w:rsidRPr="0042787E" w14:paraId="1AF97B93" w14:textId="77777777" w:rsidTr="004C4D06">
        <w:trPr>
          <w:trHeight w:val="480"/>
        </w:trPr>
        <w:tc>
          <w:tcPr>
            <w:cnfStyle w:val="001000000000" w:firstRow="0" w:lastRow="0" w:firstColumn="1" w:lastColumn="0" w:oddVBand="0" w:evenVBand="0" w:oddHBand="0" w:evenHBand="0" w:firstRowFirstColumn="0" w:firstRowLastColumn="0" w:lastRowFirstColumn="0" w:lastRowLastColumn="0"/>
            <w:tcW w:w="36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70" w:type="dxa"/>
              <w:right w:w="170" w:type="dxa"/>
            </w:tcMar>
            <w:vAlign w:val="center"/>
          </w:tcPr>
          <w:p w14:paraId="5FD2BF4F" w14:textId="77777777" w:rsidR="00767FA9" w:rsidRPr="0042787E" w:rsidRDefault="00767FA9" w:rsidP="004C4D06">
            <w:pPr>
              <w:spacing w:before="0" w:after="0"/>
            </w:pPr>
            <w:r w:rsidRPr="0042787E">
              <w:rPr>
                <w:b w:val="0"/>
                <w:bCs w:val="0"/>
                <w:sz w:val="22"/>
              </w:rPr>
              <w:t>Million units</w:t>
            </w:r>
          </w:p>
        </w:tc>
        <w:tc>
          <w:tcPr>
            <w:tcW w:w="10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70" w:type="dxa"/>
              <w:right w:w="170" w:type="dxa"/>
            </w:tcMar>
            <w:vAlign w:val="center"/>
          </w:tcPr>
          <w:p w14:paraId="33022539"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2027</w:t>
            </w:r>
          </w:p>
        </w:tc>
        <w:tc>
          <w:tcPr>
            <w:tcW w:w="1073" w:type="dxa"/>
            <w:tcBorders>
              <w:top w:val="nil"/>
              <w:left w:val="single" w:sz="8" w:space="0" w:color="FFFFFF" w:themeColor="background1"/>
              <w:bottom w:val="single" w:sz="8" w:space="0" w:color="FFFFFF" w:themeColor="background1"/>
              <w:right w:val="single" w:sz="8" w:space="0" w:color="FFFFFF" w:themeColor="background1"/>
            </w:tcBorders>
            <w:shd w:val="clear" w:color="auto" w:fill="002060"/>
            <w:tcMar>
              <w:left w:w="170" w:type="dxa"/>
              <w:right w:w="170" w:type="dxa"/>
            </w:tcMar>
            <w:vAlign w:val="center"/>
          </w:tcPr>
          <w:p w14:paraId="745AC848"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2028</w:t>
            </w:r>
          </w:p>
        </w:tc>
        <w:tc>
          <w:tcPr>
            <w:tcW w:w="10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70" w:type="dxa"/>
              <w:right w:w="170" w:type="dxa"/>
            </w:tcMar>
            <w:vAlign w:val="center"/>
          </w:tcPr>
          <w:p w14:paraId="59C2646C"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2029</w:t>
            </w:r>
          </w:p>
        </w:tc>
        <w:tc>
          <w:tcPr>
            <w:tcW w:w="1034" w:type="dxa"/>
            <w:tcBorders>
              <w:top w:val="nil"/>
              <w:left w:val="single" w:sz="8" w:space="0" w:color="FFFFFF" w:themeColor="background1"/>
              <w:bottom w:val="single" w:sz="8" w:space="0" w:color="FFFFFF" w:themeColor="background1"/>
              <w:right w:val="single" w:sz="8" w:space="0" w:color="FFFFFF" w:themeColor="background1"/>
            </w:tcBorders>
            <w:shd w:val="clear" w:color="auto" w:fill="002060"/>
            <w:tcMar>
              <w:left w:w="170" w:type="dxa"/>
              <w:right w:w="170" w:type="dxa"/>
            </w:tcMar>
            <w:vAlign w:val="center"/>
          </w:tcPr>
          <w:p w14:paraId="11935D3A"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2030</w:t>
            </w:r>
          </w:p>
        </w:tc>
        <w:tc>
          <w:tcPr>
            <w:tcW w:w="11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70" w:type="dxa"/>
              <w:right w:w="170" w:type="dxa"/>
            </w:tcMar>
            <w:vAlign w:val="center"/>
          </w:tcPr>
          <w:p w14:paraId="5D6C3350"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2031</w:t>
            </w:r>
          </w:p>
        </w:tc>
      </w:tr>
      <w:tr w:rsidR="00767FA9" w:rsidRPr="0042787E" w14:paraId="1D31F793" w14:textId="77777777" w:rsidTr="004C4D06">
        <w:trPr>
          <w:trHeight w:val="630"/>
        </w:trPr>
        <w:tc>
          <w:tcPr>
            <w:cnfStyle w:val="001000000000" w:firstRow="0" w:lastRow="0" w:firstColumn="1" w:lastColumn="0" w:oddVBand="0" w:evenVBand="0" w:oddHBand="0" w:evenHBand="0" w:firstRowFirstColumn="0" w:firstRowLastColumn="0" w:lastRowFirstColumn="0" w:lastRowLastColumn="0"/>
            <w:tcW w:w="36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70" w:type="dxa"/>
              <w:right w:w="170" w:type="dxa"/>
            </w:tcMar>
            <w:vAlign w:val="center"/>
          </w:tcPr>
          <w:p w14:paraId="70068560" w14:textId="77777777" w:rsidR="00767FA9" w:rsidRPr="0042787E" w:rsidRDefault="00767FA9" w:rsidP="004C4D06">
            <w:pPr>
              <w:spacing w:before="0" w:after="0"/>
            </w:pPr>
            <w:r w:rsidRPr="001166C1">
              <w:rPr>
                <w:color w:val="000000" w:themeColor="text1"/>
                <w:sz w:val="22"/>
              </w:rPr>
              <w:t>NZU auction volumes (excluding cost containment reserve volumes)</w:t>
            </w:r>
          </w:p>
        </w:tc>
        <w:tc>
          <w:tcPr>
            <w:tcW w:w="10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70" w:type="dxa"/>
              <w:right w:w="170" w:type="dxa"/>
            </w:tcMar>
            <w:vAlign w:val="center"/>
          </w:tcPr>
          <w:p w14:paraId="45379EF3"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42787E">
              <w:rPr>
                <w:color w:val="000000" w:themeColor="text1"/>
                <w:sz w:val="22"/>
              </w:rPr>
              <w:t>4.3</w:t>
            </w:r>
          </w:p>
        </w:tc>
        <w:tc>
          <w:tcPr>
            <w:tcW w:w="10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70" w:type="dxa"/>
              <w:right w:w="170" w:type="dxa"/>
            </w:tcMar>
            <w:vAlign w:val="center"/>
          </w:tcPr>
          <w:p w14:paraId="01D9997D"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3.3</w:t>
            </w:r>
          </w:p>
        </w:tc>
        <w:tc>
          <w:tcPr>
            <w:tcW w:w="10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70" w:type="dxa"/>
              <w:right w:w="170" w:type="dxa"/>
            </w:tcMar>
            <w:vAlign w:val="center"/>
          </w:tcPr>
          <w:p w14:paraId="13E1EF49"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 xml:space="preserve">2.4 </w:t>
            </w:r>
          </w:p>
        </w:tc>
        <w:tc>
          <w:tcPr>
            <w:tcW w:w="103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70" w:type="dxa"/>
              <w:right w:w="170" w:type="dxa"/>
            </w:tcMar>
            <w:vAlign w:val="center"/>
          </w:tcPr>
          <w:p w14:paraId="5DA570B4"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 xml:space="preserve">1.7 </w:t>
            </w:r>
          </w:p>
        </w:tc>
        <w:tc>
          <w:tcPr>
            <w:tcW w:w="11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70" w:type="dxa"/>
              <w:right w:w="170" w:type="dxa"/>
            </w:tcMar>
            <w:vAlign w:val="center"/>
          </w:tcPr>
          <w:p w14:paraId="2EE1882D"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 xml:space="preserve">3.0 </w:t>
            </w:r>
          </w:p>
        </w:tc>
      </w:tr>
    </w:tbl>
    <w:p w14:paraId="20F371FC" w14:textId="77777777" w:rsidR="00767FA9" w:rsidRPr="00CA62BF" w:rsidRDefault="00767FA9" w:rsidP="00767FA9">
      <w:pPr>
        <w:pStyle w:val="Heading3"/>
      </w:pPr>
      <w:r w:rsidRPr="00CA62BF">
        <w:t>Recommended unit limits and price control settings</w:t>
      </w:r>
    </w:p>
    <w:tbl>
      <w:tblPr>
        <w:tblStyle w:val="GridTable5Dark-Accent5"/>
        <w:tblW w:w="5000" w:type="pct"/>
        <w:tblLayout w:type="fixed"/>
        <w:tblLook w:val="06A0" w:firstRow="1" w:lastRow="0" w:firstColumn="1" w:lastColumn="0" w:noHBand="1" w:noVBand="1"/>
      </w:tblPr>
      <w:tblGrid>
        <w:gridCol w:w="3659"/>
        <w:gridCol w:w="1068"/>
        <w:gridCol w:w="1048"/>
        <w:gridCol w:w="1093"/>
        <w:gridCol w:w="1023"/>
        <w:gridCol w:w="1115"/>
      </w:tblGrid>
      <w:tr w:rsidR="00767FA9" w:rsidRPr="0042787E" w14:paraId="3479BB2C" w14:textId="77777777" w:rsidTr="004C4D0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03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36689123" w14:textId="77777777" w:rsidR="00767FA9" w:rsidRPr="0042787E" w:rsidRDefault="00767FA9" w:rsidP="004C4D06">
            <w:pPr>
              <w:spacing w:before="0" w:after="0"/>
              <w:rPr>
                <w:b w:val="0"/>
                <w:bCs w:val="0"/>
                <w:sz w:val="22"/>
              </w:rPr>
            </w:pPr>
          </w:p>
        </w:tc>
        <w:tc>
          <w:tcPr>
            <w:tcW w:w="1175" w:type="pct"/>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6494B538" w14:textId="77777777" w:rsidR="00767FA9" w:rsidRPr="0042787E" w:rsidRDefault="00767FA9" w:rsidP="004C4D06">
            <w:pPr>
              <w:spacing w:before="0" w:after="0"/>
              <w:jc w:val="center"/>
              <w:cnfStyle w:val="100000000000" w:firstRow="1" w:lastRow="0" w:firstColumn="0" w:lastColumn="0" w:oddVBand="0" w:evenVBand="0" w:oddHBand="0" w:evenHBand="0" w:firstRowFirstColumn="0" w:firstRowLastColumn="0" w:lastRowFirstColumn="0" w:lastRowLastColumn="0"/>
              <w:rPr>
                <w:sz w:val="22"/>
              </w:rPr>
            </w:pPr>
            <w:r w:rsidRPr="0042787E">
              <w:rPr>
                <w:sz w:val="22"/>
              </w:rPr>
              <w:t>No change</w:t>
            </w:r>
            <w:r>
              <w:rPr>
                <w:sz w:val="22"/>
              </w:rPr>
              <w:t>s</w:t>
            </w:r>
          </w:p>
        </w:tc>
        <w:tc>
          <w:tcPr>
            <w:tcW w:w="1175" w:type="pct"/>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37F90674" w14:textId="77777777" w:rsidR="00767FA9" w:rsidRPr="0042787E" w:rsidRDefault="00767FA9" w:rsidP="004C4D06">
            <w:pPr>
              <w:spacing w:before="0" w:after="0"/>
              <w:jc w:val="center"/>
              <w:cnfStyle w:val="100000000000" w:firstRow="1" w:lastRow="0" w:firstColumn="0" w:lastColumn="0" w:oddVBand="0" w:evenVBand="0" w:oddHBand="0" w:evenHBand="0" w:firstRowFirstColumn="0" w:firstRowLastColumn="0" w:lastRowFirstColumn="0" w:lastRowLastColumn="0"/>
              <w:rPr>
                <w:sz w:val="22"/>
              </w:rPr>
            </w:pPr>
            <w:r w:rsidRPr="0042787E">
              <w:rPr>
                <w:sz w:val="22"/>
              </w:rPr>
              <w:t>Updated</w:t>
            </w:r>
            <w:r w:rsidRPr="0042787E">
              <w:rPr>
                <w:rStyle w:val="FootnoteReference"/>
                <w:sz w:val="22"/>
              </w:rPr>
              <w:footnoteReference w:id="11"/>
            </w:r>
          </w:p>
        </w:tc>
        <w:tc>
          <w:tcPr>
            <w:tcW w:w="6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67795333" w14:textId="77777777" w:rsidR="00767FA9" w:rsidRPr="0042787E" w:rsidRDefault="00767FA9" w:rsidP="004C4D06">
            <w:pPr>
              <w:spacing w:before="0" w:after="0"/>
              <w:jc w:val="center"/>
              <w:cnfStyle w:val="100000000000" w:firstRow="1" w:lastRow="0" w:firstColumn="0" w:lastColumn="0" w:oddVBand="0" w:evenVBand="0" w:oddHBand="0" w:evenHBand="0" w:firstRowFirstColumn="0" w:firstRowLastColumn="0" w:lastRowFirstColumn="0" w:lastRowLastColumn="0"/>
              <w:rPr>
                <w:sz w:val="22"/>
              </w:rPr>
            </w:pPr>
            <w:r w:rsidRPr="0042787E">
              <w:rPr>
                <w:sz w:val="22"/>
              </w:rPr>
              <w:t>New</w:t>
            </w:r>
          </w:p>
        </w:tc>
      </w:tr>
      <w:tr w:rsidR="00767FA9" w:rsidRPr="0042787E" w14:paraId="41C450BD" w14:textId="77777777" w:rsidTr="004C4D06">
        <w:trPr>
          <w:trHeight w:val="480"/>
        </w:trPr>
        <w:tc>
          <w:tcPr>
            <w:cnfStyle w:val="001000000000" w:firstRow="0" w:lastRow="0" w:firstColumn="1" w:lastColumn="0" w:oddVBand="0" w:evenVBand="0" w:oddHBand="0" w:evenHBand="0" w:firstRowFirstColumn="0" w:firstRowLastColumn="0" w:lastRowFirstColumn="0" w:lastRowLastColumn="0"/>
            <w:tcW w:w="203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3D0E5330" w14:textId="77777777" w:rsidR="00767FA9" w:rsidRPr="0042787E" w:rsidRDefault="00767FA9" w:rsidP="004C4D06">
            <w:pPr>
              <w:spacing w:before="0" w:after="0"/>
            </w:pPr>
            <w:r w:rsidRPr="0042787E">
              <w:rPr>
                <w:b w:val="0"/>
                <w:bCs w:val="0"/>
                <w:sz w:val="22"/>
              </w:rPr>
              <w:t>Million units</w:t>
            </w:r>
          </w:p>
        </w:tc>
        <w:tc>
          <w:tcPr>
            <w:tcW w:w="59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699A27DC"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2027</w:t>
            </w:r>
          </w:p>
        </w:tc>
        <w:tc>
          <w:tcPr>
            <w:tcW w:w="582" w:type="pct"/>
            <w:tcBorders>
              <w:top w:val="nil"/>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59F81171"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2028</w:t>
            </w:r>
          </w:p>
        </w:tc>
        <w:tc>
          <w:tcPr>
            <w:tcW w:w="60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1CC1F2D2"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2029</w:t>
            </w:r>
          </w:p>
        </w:tc>
        <w:tc>
          <w:tcPr>
            <w:tcW w:w="568" w:type="pct"/>
            <w:tcBorders>
              <w:top w:val="nil"/>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578D22CD"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2030</w:t>
            </w:r>
          </w:p>
        </w:tc>
        <w:tc>
          <w:tcPr>
            <w:tcW w:w="6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5C7CFB5F"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2031</w:t>
            </w:r>
          </w:p>
        </w:tc>
      </w:tr>
      <w:tr w:rsidR="00767FA9" w:rsidRPr="0042787E" w14:paraId="78BF5B90" w14:textId="77777777" w:rsidTr="004C4D06">
        <w:trPr>
          <w:trHeight w:val="630"/>
        </w:trPr>
        <w:tc>
          <w:tcPr>
            <w:cnfStyle w:val="001000000000" w:firstRow="0" w:lastRow="0" w:firstColumn="1" w:lastColumn="0" w:oddVBand="0" w:evenVBand="0" w:oddHBand="0" w:evenHBand="0" w:firstRowFirstColumn="0" w:firstRowLastColumn="0" w:lastRowFirstColumn="0" w:lastRowLastColumn="0"/>
            <w:tcW w:w="203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235A4BB6" w14:textId="77777777" w:rsidR="00767FA9" w:rsidRPr="001166C1" w:rsidRDefault="00767FA9" w:rsidP="004C4D06">
            <w:pPr>
              <w:spacing w:before="0" w:after="0"/>
              <w:rPr>
                <w:sz w:val="22"/>
              </w:rPr>
            </w:pPr>
            <w:r w:rsidRPr="001166C1">
              <w:rPr>
                <w:color w:val="000000" w:themeColor="text1"/>
                <w:sz w:val="22"/>
              </w:rPr>
              <w:t>Limit on New Zealand Units available by auction (</w:t>
            </w:r>
            <w:r w:rsidRPr="00883091">
              <w:rPr>
                <w:color w:val="000000" w:themeColor="text1"/>
                <w:sz w:val="22"/>
              </w:rPr>
              <w:t>including CCR volume</w:t>
            </w:r>
            <w:r w:rsidRPr="001166C1">
              <w:rPr>
                <w:color w:val="000000" w:themeColor="text1"/>
                <w:sz w:val="22"/>
              </w:rPr>
              <w:t>)</w:t>
            </w:r>
          </w:p>
        </w:tc>
        <w:tc>
          <w:tcPr>
            <w:tcW w:w="59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5A1751EB"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color w:val="000000" w:themeColor="text1"/>
                <w:sz w:val="22"/>
              </w:rPr>
              <w:t>10.2</w:t>
            </w:r>
          </w:p>
        </w:tc>
        <w:tc>
          <w:tcPr>
            <w:tcW w:w="58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4BAE852E"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color w:val="000000" w:themeColor="text1"/>
                <w:sz w:val="22"/>
              </w:rPr>
              <w:t>8.6</w:t>
            </w:r>
          </w:p>
        </w:tc>
        <w:tc>
          <w:tcPr>
            <w:tcW w:w="60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01380344"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color w:val="000000" w:themeColor="text1"/>
                <w:sz w:val="22"/>
              </w:rPr>
              <w:t>7.1</w:t>
            </w:r>
          </w:p>
        </w:tc>
        <w:tc>
          <w:tcPr>
            <w:tcW w:w="56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5CE1FB1A"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color w:val="000000" w:themeColor="text1"/>
                <w:sz w:val="22"/>
              </w:rPr>
              <w:t>5.6</w:t>
            </w:r>
          </w:p>
        </w:tc>
        <w:tc>
          <w:tcPr>
            <w:tcW w:w="6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646B0583"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color w:val="000000" w:themeColor="text1"/>
                <w:sz w:val="22"/>
              </w:rPr>
              <w:t>6.5</w:t>
            </w:r>
          </w:p>
        </w:tc>
      </w:tr>
      <w:tr w:rsidR="00767FA9" w:rsidRPr="0042787E" w14:paraId="5995D6E5" w14:textId="77777777" w:rsidTr="004C4D06">
        <w:trPr>
          <w:trHeight w:val="630"/>
        </w:trPr>
        <w:tc>
          <w:tcPr>
            <w:cnfStyle w:val="001000000000" w:firstRow="0" w:lastRow="0" w:firstColumn="1" w:lastColumn="0" w:oddVBand="0" w:evenVBand="0" w:oddHBand="0" w:evenHBand="0" w:firstRowFirstColumn="0" w:firstRowLastColumn="0" w:lastRowFirstColumn="0" w:lastRowLastColumn="0"/>
            <w:tcW w:w="203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60288F82" w14:textId="77777777" w:rsidR="00767FA9" w:rsidRPr="001166C1" w:rsidRDefault="00767FA9" w:rsidP="004C4D06">
            <w:pPr>
              <w:spacing w:before="0" w:after="0"/>
              <w:rPr>
                <w:sz w:val="22"/>
              </w:rPr>
            </w:pPr>
            <w:r w:rsidRPr="001166C1">
              <w:rPr>
                <w:color w:val="000000" w:themeColor="text1"/>
                <w:sz w:val="22"/>
              </w:rPr>
              <w:t>Limit on the approved overseas units used</w:t>
            </w:r>
          </w:p>
        </w:tc>
        <w:tc>
          <w:tcPr>
            <w:tcW w:w="59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0F165329"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color w:val="000000" w:themeColor="text1"/>
                <w:sz w:val="22"/>
              </w:rPr>
              <w:t>0.0</w:t>
            </w:r>
          </w:p>
        </w:tc>
        <w:tc>
          <w:tcPr>
            <w:tcW w:w="58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6680F2B5"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color w:val="000000" w:themeColor="text1"/>
                <w:sz w:val="22"/>
              </w:rPr>
              <w:t>0.0</w:t>
            </w:r>
          </w:p>
        </w:tc>
        <w:tc>
          <w:tcPr>
            <w:tcW w:w="60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7BEBE709"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color w:val="000000" w:themeColor="text1"/>
                <w:sz w:val="22"/>
              </w:rPr>
              <w:t>0.0</w:t>
            </w:r>
          </w:p>
        </w:tc>
        <w:tc>
          <w:tcPr>
            <w:tcW w:w="56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240B49F2"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color w:val="000000" w:themeColor="text1"/>
                <w:sz w:val="22"/>
              </w:rPr>
              <w:t>0.0</w:t>
            </w:r>
          </w:p>
        </w:tc>
        <w:tc>
          <w:tcPr>
            <w:tcW w:w="6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60207E30"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color w:val="000000" w:themeColor="text1"/>
                <w:sz w:val="22"/>
              </w:rPr>
              <w:t>0.0</w:t>
            </w:r>
          </w:p>
        </w:tc>
      </w:tr>
      <w:tr w:rsidR="00767FA9" w:rsidRPr="0042787E" w14:paraId="6EE9CA55" w14:textId="77777777" w:rsidTr="004C4D06">
        <w:trPr>
          <w:trHeight w:val="480"/>
        </w:trPr>
        <w:tc>
          <w:tcPr>
            <w:cnfStyle w:val="001000000000" w:firstRow="0" w:lastRow="0" w:firstColumn="1" w:lastColumn="0" w:oddVBand="0" w:evenVBand="0" w:oddHBand="0" w:evenHBand="0" w:firstRowFirstColumn="0" w:firstRowLastColumn="0" w:lastRowFirstColumn="0" w:lastRowLastColumn="0"/>
            <w:tcW w:w="2031"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6461F8C3" w14:textId="77777777" w:rsidR="00767FA9" w:rsidRPr="0042787E" w:rsidRDefault="00767FA9" w:rsidP="004C4D06">
            <w:pPr>
              <w:spacing w:before="0" w:after="0"/>
              <w:rPr>
                <w:sz w:val="22"/>
              </w:rPr>
            </w:pPr>
            <w:r w:rsidRPr="001166C1">
              <w:rPr>
                <w:color w:val="000000" w:themeColor="text1"/>
                <w:sz w:val="22"/>
              </w:rPr>
              <w:t>Overall limit on units (including auction, industrial allocation, and CCR volume)</w:t>
            </w:r>
          </w:p>
        </w:tc>
        <w:tc>
          <w:tcPr>
            <w:tcW w:w="59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1D914E6C"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14.6</w:t>
            </w:r>
          </w:p>
        </w:tc>
        <w:tc>
          <w:tcPr>
            <w:tcW w:w="58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6A7A4931"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12.7</w:t>
            </w:r>
          </w:p>
        </w:tc>
        <w:tc>
          <w:tcPr>
            <w:tcW w:w="60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7056D356"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10.7</w:t>
            </w:r>
          </w:p>
        </w:tc>
        <w:tc>
          <w:tcPr>
            <w:tcW w:w="56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4DF671B8"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color w:val="000000" w:themeColor="text1"/>
                <w:sz w:val="22"/>
              </w:rPr>
              <w:t>9.2</w:t>
            </w:r>
          </w:p>
        </w:tc>
        <w:tc>
          <w:tcPr>
            <w:tcW w:w="6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027573D8"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10.0</w:t>
            </w:r>
          </w:p>
        </w:tc>
      </w:tr>
    </w:tbl>
    <w:p w14:paraId="1A0406CF" w14:textId="77777777" w:rsidR="00767FA9" w:rsidRPr="0042787E" w:rsidRDefault="00767FA9" w:rsidP="00767FA9">
      <w:pPr>
        <w:spacing w:before="0" w:after="0" w:line="120" w:lineRule="auto"/>
        <w:rPr>
          <w:rFonts w:eastAsia="Calibri" w:cs="Calibri"/>
          <w:color w:val="000000" w:themeColor="text1"/>
        </w:rPr>
      </w:pPr>
    </w:p>
    <w:tbl>
      <w:tblPr>
        <w:tblStyle w:val="GridTable5Dark-Accent5"/>
        <w:tblW w:w="0" w:type="auto"/>
        <w:tblLook w:val="06A0" w:firstRow="1" w:lastRow="0" w:firstColumn="1" w:lastColumn="0" w:noHBand="1" w:noVBand="1"/>
      </w:tblPr>
      <w:tblGrid>
        <w:gridCol w:w="3091"/>
        <w:gridCol w:w="1180"/>
        <w:gridCol w:w="1180"/>
        <w:gridCol w:w="1183"/>
        <w:gridCol w:w="1115"/>
        <w:gridCol w:w="66"/>
        <w:gridCol w:w="1180"/>
        <w:gridCol w:w="11"/>
      </w:tblGrid>
      <w:tr w:rsidR="00767FA9" w:rsidRPr="0042787E" w14:paraId="40BBC00B" w14:textId="77777777" w:rsidTr="004C4D0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FFFFFF" w:themeColor="background1"/>
              <w:left w:val="single" w:sz="8" w:space="0" w:color="FFFFFF" w:themeColor="background1"/>
              <w:bottom w:val="single" w:sz="8" w:space="0" w:color="FFFFFF" w:themeColor="background1"/>
            </w:tcBorders>
            <w:shd w:val="clear" w:color="auto" w:fill="002060"/>
            <w:tcMar>
              <w:left w:w="113" w:type="dxa"/>
              <w:right w:w="113" w:type="dxa"/>
            </w:tcMar>
            <w:vAlign w:val="center"/>
          </w:tcPr>
          <w:p w14:paraId="2785FB35" w14:textId="77777777" w:rsidR="00767FA9" w:rsidRPr="0042787E" w:rsidRDefault="00767FA9" w:rsidP="004C4D06">
            <w:pPr>
              <w:spacing w:before="0" w:after="0"/>
              <w:jc w:val="center"/>
              <w:rPr>
                <w:sz w:val="22"/>
              </w:rPr>
            </w:pPr>
          </w:p>
        </w:tc>
        <w:tc>
          <w:tcPr>
            <w:tcW w:w="0" w:type="dxa"/>
            <w:gridSpan w:val="2"/>
            <w:tcBorders>
              <w:top w:val="single" w:sz="8" w:space="0" w:color="FFFFFF" w:themeColor="background1"/>
              <w:bottom w:val="single" w:sz="8" w:space="0" w:color="FFFFFF" w:themeColor="background1"/>
            </w:tcBorders>
            <w:shd w:val="clear" w:color="auto" w:fill="002060"/>
            <w:tcMar>
              <w:left w:w="113" w:type="dxa"/>
              <w:right w:w="113" w:type="dxa"/>
            </w:tcMar>
            <w:vAlign w:val="center"/>
          </w:tcPr>
          <w:p w14:paraId="5A02E915" w14:textId="77777777" w:rsidR="00767FA9" w:rsidRPr="0042787E" w:rsidRDefault="00767FA9" w:rsidP="004C4D06">
            <w:pPr>
              <w:spacing w:before="0" w:after="0"/>
              <w:jc w:val="center"/>
              <w:cnfStyle w:val="100000000000" w:firstRow="1" w:lastRow="0" w:firstColumn="0" w:lastColumn="0" w:oddVBand="0" w:evenVBand="0" w:oddHBand="0" w:evenHBand="0" w:firstRowFirstColumn="0" w:firstRowLastColumn="0" w:lastRowFirstColumn="0" w:lastRowLastColumn="0"/>
            </w:pPr>
            <w:r w:rsidRPr="0042787E">
              <w:rPr>
                <w:sz w:val="22"/>
              </w:rPr>
              <w:t>No changes</w:t>
            </w:r>
          </w:p>
        </w:tc>
        <w:tc>
          <w:tcPr>
            <w:tcW w:w="2306" w:type="dxa"/>
            <w:gridSpan w:val="2"/>
            <w:tcBorders>
              <w:top w:val="single" w:sz="8" w:space="0" w:color="FFFFFF" w:themeColor="background1"/>
              <w:bottom w:val="single" w:sz="8" w:space="0" w:color="FFFFFF" w:themeColor="background1"/>
            </w:tcBorders>
            <w:shd w:val="clear" w:color="auto" w:fill="002060"/>
            <w:tcMar>
              <w:left w:w="113" w:type="dxa"/>
              <w:right w:w="113" w:type="dxa"/>
            </w:tcMar>
            <w:vAlign w:val="center"/>
          </w:tcPr>
          <w:p w14:paraId="3CB4B9C0" w14:textId="77777777" w:rsidR="00767FA9" w:rsidRPr="0042787E" w:rsidRDefault="00767FA9" w:rsidP="004C4D06">
            <w:pPr>
              <w:spacing w:before="0" w:after="0"/>
              <w:jc w:val="center"/>
              <w:cnfStyle w:val="100000000000" w:firstRow="1" w:lastRow="0" w:firstColumn="0" w:lastColumn="0" w:oddVBand="0" w:evenVBand="0" w:oddHBand="0" w:evenHBand="0" w:firstRowFirstColumn="0" w:firstRowLastColumn="0" w:lastRowFirstColumn="0" w:lastRowLastColumn="0"/>
            </w:pPr>
            <w:r w:rsidRPr="0042787E">
              <w:rPr>
                <w:sz w:val="22"/>
              </w:rPr>
              <w:t>Updated for inflation</w:t>
            </w:r>
          </w:p>
        </w:tc>
        <w:tc>
          <w:tcPr>
            <w:tcW w:w="1263" w:type="dxa"/>
            <w:gridSpan w:val="3"/>
            <w:tcBorders>
              <w:top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7C46BC89" w14:textId="77777777" w:rsidR="00767FA9" w:rsidRPr="0042787E" w:rsidRDefault="00767FA9" w:rsidP="004C4D06">
            <w:pPr>
              <w:spacing w:before="0" w:after="0"/>
              <w:jc w:val="center"/>
              <w:cnfStyle w:val="100000000000" w:firstRow="1" w:lastRow="0" w:firstColumn="0" w:lastColumn="0" w:oddVBand="0" w:evenVBand="0" w:oddHBand="0" w:evenHBand="0" w:firstRowFirstColumn="0" w:firstRowLastColumn="0" w:lastRowFirstColumn="0" w:lastRowLastColumn="0"/>
            </w:pPr>
            <w:r w:rsidRPr="0042787E">
              <w:rPr>
                <w:sz w:val="22"/>
              </w:rPr>
              <w:t>New</w:t>
            </w:r>
          </w:p>
        </w:tc>
      </w:tr>
      <w:tr w:rsidR="00767FA9" w:rsidRPr="0042787E" w14:paraId="7A105A4F" w14:textId="77777777" w:rsidTr="004C4D06">
        <w:trPr>
          <w:gridAfter w:val="1"/>
          <w:wAfter w:w="11" w:type="dxa"/>
          <w:trHeight w:val="48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7DC32B9A" w14:textId="77777777" w:rsidR="00767FA9" w:rsidRPr="0042787E" w:rsidRDefault="00767FA9" w:rsidP="004C4D06">
            <w:pPr>
              <w:spacing w:before="0" w:after="0"/>
            </w:pPr>
            <w:r w:rsidRPr="0042787E">
              <w:rPr>
                <w:sz w:val="22"/>
              </w:rPr>
              <w:t>Cost containment reserve</w:t>
            </w:r>
          </w:p>
        </w:tc>
        <w:tc>
          <w:tcPr>
            <w:tcW w:w="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436CA955"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2027</w:t>
            </w:r>
          </w:p>
        </w:tc>
        <w:tc>
          <w:tcPr>
            <w:tcW w:w="0" w:type="dxa"/>
            <w:tcBorders>
              <w:top w:val="nil"/>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3AA8FB6B"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2028</w:t>
            </w:r>
          </w:p>
        </w:tc>
        <w:tc>
          <w:tcPr>
            <w:tcW w:w="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7FC21408"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2029</w:t>
            </w:r>
          </w:p>
        </w:tc>
        <w:tc>
          <w:tcPr>
            <w:tcW w:w="0" w:type="dxa"/>
            <w:gridSpan w:val="2"/>
            <w:tcBorders>
              <w:top w:val="nil"/>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538760C7"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2030</w:t>
            </w:r>
          </w:p>
        </w:tc>
        <w:tc>
          <w:tcPr>
            <w:tcW w:w="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0B98A576"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2031</w:t>
            </w:r>
          </w:p>
        </w:tc>
      </w:tr>
      <w:tr w:rsidR="00767FA9" w:rsidRPr="0042787E" w14:paraId="306A6CE0" w14:textId="77777777" w:rsidTr="004C4D06">
        <w:trPr>
          <w:gridAfter w:val="1"/>
          <w:wAfter w:w="11" w:type="dxa"/>
          <w:trHeight w:val="480"/>
        </w:trPr>
        <w:tc>
          <w:tcPr>
            <w:cnfStyle w:val="001000000000" w:firstRow="0" w:lastRow="0" w:firstColumn="1" w:lastColumn="0" w:oddVBand="0" w:evenVBand="0" w:oddHBand="0" w:evenHBand="0" w:firstRowFirstColumn="0" w:firstRowLastColumn="0" w:lastRowFirstColumn="0" w:lastRowLastColumn="0"/>
            <w:tcW w:w="9039" w:type="dxa"/>
            <w:gridSpan w:val="7"/>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1DCD5"/>
            <w:tcMar>
              <w:left w:w="113" w:type="dxa"/>
              <w:right w:w="113" w:type="dxa"/>
            </w:tcMar>
            <w:vAlign w:val="center"/>
          </w:tcPr>
          <w:p w14:paraId="60657C9D" w14:textId="77777777" w:rsidR="00767FA9" w:rsidRPr="0042787E" w:rsidRDefault="00767FA9" w:rsidP="004C4D06">
            <w:pPr>
              <w:spacing w:before="0" w:after="0"/>
              <w:jc w:val="center"/>
            </w:pPr>
            <w:r w:rsidRPr="0042787E">
              <w:rPr>
                <w:color w:val="000000" w:themeColor="text1"/>
                <w:sz w:val="22"/>
              </w:rPr>
              <w:t>Tier 1</w:t>
            </w:r>
          </w:p>
        </w:tc>
      </w:tr>
      <w:tr w:rsidR="00767FA9" w:rsidRPr="0042787E" w14:paraId="00E51327" w14:textId="77777777" w:rsidTr="004C4D06">
        <w:trPr>
          <w:gridAfter w:val="1"/>
          <w:wAfter w:w="11" w:type="dxa"/>
          <w:trHeight w:val="480"/>
        </w:trPr>
        <w:tc>
          <w:tcPr>
            <w:cnfStyle w:val="001000000000" w:firstRow="0" w:lastRow="0" w:firstColumn="1" w:lastColumn="0" w:oddVBand="0" w:evenVBand="0" w:oddHBand="0" w:evenHBand="0" w:firstRowFirstColumn="0" w:firstRowLastColumn="0" w:lastRowFirstColumn="0" w:lastRowLastColumn="0"/>
            <w:tcW w:w="31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7DDF9F0B" w14:textId="77777777" w:rsidR="00767FA9" w:rsidRPr="001166C1" w:rsidRDefault="00767FA9" w:rsidP="004C4D06">
            <w:pPr>
              <w:spacing w:before="0" w:after="0"/>
            </w:pPr>
            <w:r w:rsidRPr="001166C1">
              <w:rPr>
                <w:color w:val="000000" w:themeColor="text1"/>
                <w:sz w:val="22"/>
              </w:rPr>
              <w:t>Trigger price</w:t>
            </w:r>
          </w:p>
        </w:tc>
        <w:tc>
          <w:tcPr>
            <w:tcW w:w="1186" w:type="dxa"/>
            <w:tcBorders>
              <w:top w:val="nil"/>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06E568C1"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sz w:val="22"/>
              </w:rPr>
              <w:t>$213</w:t>
            </w:r>
          </w:p>
        </w:tc>
        <w:tc>
          <w:tcPr>
            <w:tcW w:w="1186" w:type="dxa"/>
            <w:tcBorders>
              <w:top w:val="nil"/>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29F05C0D"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sz w:val="22"/>
              </w:rPr>
              <w:t>$224</w:t>
            </w:r>
          </w:p>
        </w:tc>
        <w:tc>
          <w:tcPr>
            <w:tcW w:w="1186" w:type="dxa"/>
            <w:tcBorders>
              <w:top w:val="nil"/>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05083173"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$239</w:t>
            </w:r>
          </w:p>
        </w:tc>
        <w:tc>
          <w:tcPr>
            <w:tcW w:w="1186" w:type="dxa"/>
            <w:gridSpan w:val="2"/>
            <w:tcBorders>
              <w:top w:val="nil"/>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265DAA46"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$251</w:t>
            </w:r>
          </w:p>
        </w:tc>
        <w:tc>
          <w:tcPr>
            <w:tcW w:w="1186" w:type="dxa"/>
            <w:tcBorders>
              <w:top w:val="nil"/>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7259FA52"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sz w:val="22"/>
              </w:rPr>
              <w:t>$264</w:t>
            </w:r>
          </w:p>
        </w:tc>
      </w:tr>
      <w:tr w:rsidR="00767FA9" w:rsidRPr="0042787E" w14:paraId="2BFB7572" w14:textId="77777777" w:rsidTr="004C4D06">
        <w:trPr>
          <w:gridAfter w:val="1"/>
          <w:wAfter w:w="11" w:type="dxa"/>
          <w:trHeight w:val="480"/>
        </w:trPr>
        <w:tc>
          <w:tcPr>
            <w:cnfStyle w:val="001000000000" w:firstRow="0" w:lastRow="0" w:firstColumn="1" w:lastColumn="0" w:oddVBand="0" w:evenVBand="0" w:oddHBand="0" w:evenHBand="0" w:firstRowFirstColumn="0" w:firstRowLastColumn="0" w:lastRowFirstColumn="0" w:lastRowLastColumn="0"/>
            <w:tcW w:w="31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6F1C8047" w14:textId="77777777" w:rsidR="00767FA9" w:rsidRPr="001166C1" w:rsidRDefault="00767FA9" w:rsidP="004C4D06">
            <w:pPr>
              <w:spacing w:before="0" w:after="0"/>
              <w:rPr>
                <w:sz w:val="22"/>
              </w:rPr>
            </w:pPr>
            <w:r w:rsidRPr="001166C1">
              <w:rPr>
                <w:color w:val="000000" w:themeColor="text1"/>
                <w:sz w:val="22"/>
              </w:rPr>
              <w:t>Reserve volume (million units)</w:t>
            </w:r>
          </w:p>
        </w:tc>
        <w:tc>
          <w:tcPr>
            <w:tcW w:w="11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33721E14"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2.1</w:t>
            </w:r>
          </w:p>
        </w:tc>
        <w:tc>
          <w:tcPr>
            <w:tcW w:w="11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3BF8B511"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1.9</w:t>
            </w:r>
          </w:p>
        </w:tc>
        <w:tc>
          <w:tcPr>
            <w:tcW w:w="11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4F4711CF"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1.7</w:t>
            </w:r>
          </w:p>
        </w:tc>
        <w:tc>
          <w:tcPr>
            <w:tcW w:w="1186"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74831AB9"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1.4</w:t>
            </w:r>
          </w:p>
        </w:tc>
        <w:tc>
          <w:tcPr>
            <w:tcW w:w="11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64A513F4"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1.2</w:t>
            </w:r>
          </w:p>
        </w:tc>
      </w:tr>
      <w:tr w:rsidR="00767FA9" w:rsidRPr="0042787E" w14:paraId="5F1AE0F7" w14:textId="77777777" w:rsidTr="004C4D06">
        <w:trPr>
          <w:gridAfter w:val="1"/>
          <w:wAfter w:w="11" w:type="dxa"/>
          <w:trHeight w:val="480"/>
        </w:trPr>
        <w:tc>
          <w:tcPr>
            <w:cnfStyle w:val="001000000000" w:firstRow="0" w:lastRow="0" w:firstColumn="1" w:lastColumn="0" w:oddVBand="0" w:evenVBand="0" w:oddHBand="0" w:evenHBand="0" w:firstRowFirstColumn="0" w:firstRowLastColumn="0" w:lastRowFirstColumn="0" w:lastRowLastColumn="0"/>
            <w:tcW w:w="9039" w:type="dxa"/>
            <w:gridSpan w:val="7"/>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1DCD5"/>
            <w:tcMar>
              <w:left w:w="113" w:type="dxa"/>
              <w:right w:w="113" w:type="dxa"/>
            </w:tcMar>
            <w:vAlign w:val="center"/>
          </w:tcPr>
          <w:p w14:paraId="68D56F47" w14:textId="77777777" w:rsidR="00767FA9" w:rsidRPr="0042787E" w:rsidRDefault="00767FA9" w:rsidP="004C4D06">
            <w:pPr>
              <w:spacing w:before="0" w:after="0"/>
              <w:jc w:val="center"/>
            </w:pPr>
            <w:r w:rsidRPr="0042787E">
              <w:rPr>
                <w:color w:val="000000" w:themeColor="text1"/>
                <w:sz w:val="22"/>
              </w:rPr>
              <w:t>Tier 2</w:t>
            </w:r>
          </w:p>
        </w:tc>
      </w:tr>
      <w:tr w:rsidR="00767FA9" w:rsidRPr="0042787E" w14:paraId="1D965626" w14:textId="77777777" w:rsidTr="004C4D06">
        <w:trPr>
          <w:gridAfter w:val="1"/>
          <w:wAfter w:w="11" w:type="dxa"/>
          <w:trHeight w:val="480"/>
        </w:trPr>
        <w:tc>
          <w:tcPr>
            <w:cnfStyle w:val="001000000000" w:firstRow="0" w:lastRow="0" w:firstColumn="1" w:lastColumn="0" w:oddVBand="0" w:evenVBand="0" w:oddHBand="0" w:evenHBand="0" w:firstRowFirstColumn="0" w:firstRowLastColumn="0" w:lastRowFirstColumn="0" w:lastRowLastColumn="0"/>
            <w:tcW w:w="31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25354C55" w14:textId="77777777" w:rsidR="00767FA9" w:rsidRPr="001166C1" w:rsidRDefault="00767FA9" w:rsidP="004C4D06">
            <w:pPr>
              <w:spacing w:before="0" w:after="0"/>
            </w:pPr>
            <w:r w:rsidRPr="001166C1">
              <w:rPr>
                <w:color w:val="000000" w:themeColor="text1"/>
                <w:sz w:val="22"/>
              </w:rPr>
              <w:t>Trigger price</w:t>
            </w:r>
          </w:p>
        </w:tc>
        <w:tc>
          <w:tcPr>
            <w:tcW w:w="1186" w:type="dxa"/>
            <w:tcBorders>
              <w:top w:val="nil"/>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08BE223D"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sz w:val="22"/>
              </w:rPr>
              <w:t>$267</w:t>
            </w:r>
          </w:p>
        </w:tc>
        <w:tc>
          <w:tcPr>
            <w:tcW w:w="1186" w:type="dxa"/>
            <w:tcBorders>
              <w:top w:val="nil"/>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01342AF9"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sz w:val="22"/>
              </w:rPr>
              <w:t>$280</w:t>
            </w:r>
          </w:p>
        </w:tc>
        <w:tc>
          <w:tcPr>
            <w:tcW w:w="1186" w:type="dxa"/>
            <w:tcBorders>
              <w:top w:val="nil"/>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49613765"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$298</w:t>
            </w:r>
          </w:p>
        </w:tc>
        <w:tc>
          <w:tcPr>
            <w:tcW w:w="1186" w:type="dxa"/>
            <w:gridSpan w:val="2"/>
            <w:tcBorders>
              <w:top w:val="nil"/>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31970C96"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$313</w:t>
            </w:r>
          </w:p>
        </w:tc>
        <w:tc>
          <w:tcPr>
            <w:tcW w:w="1186" w:type="dxa"/>
            <w:tcBorders>
              <w:top w:val="nil"/>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0ACAB535"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sz w:val="22"/>
              </w:rPr>
              <w:t>$328</w:t>
            </w:r>
          </w:p>
        </w:tc>
      </w:tr>
      <w:tr w:rsidR="00767FA9" w:rsidRPr="0042787E" w14:paraId="046EBABF" w14:textId="77777777" w:rsidTr="004C4D06">
        <w:trPr>
          <w:gridAfter w:val="1"/>
          <w:wAfter w:w="11" w:type="dxa"/>
          <w:trHeight w:val="480"/>
        </w:trPr>
        <w:tc>
          <w:tcPr>
            <w:cnfStyle w:val="001000000000" w:firstRow="0" w:lastRow="0" w:firstColumn="1" w:lastColumn="0" w:oddVBand="0" w:evenVBand="0" w:oddHBand="0" w:evenHBand="0" w:firstRowFirstColumn="0" w:firstRowLastColumn="0" w:lastRowFirstColumn="0" w:lastRowLastColumn="0"/>
            <w:tcW w:w="31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2B73A382" w14:textId="77777777" w:rsidR="00767FA9" w:rsidRPr="001166C1" w:rsidRDefault="00767FA9" w:rsidP="004C4D06">
            <w:pPr>
              <w:spacing w:before="0" w:after="0"/>
              <w:rPr>
                <w:sz w:val="22"/>
              </w:rPr>
            </w:pPr>
            <w:r w:rsidRPr="001166C1">
              <w:rPr>
                <w:color w:val="000000" w:themeColor="text1"/>
                <w:sz w:val="22"/>
              </w:rPr>
              <w:t>Reserve volume (million units)</w:t>
            </w:r>
          </w:p>
        </w:tc>
        <w:tc>
          <w:tcPr>
            <w:tcW w:w="11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0E547272"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3.8</w:t>
            </w:r>
          </w:p>
        </w:tc>
        <w:tc>
          <w:tcPr>
            <w:tcW w:w="11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58B72613"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3.4</w:t>
            </w:r>
          </w:p>
        </w:tc>
        <w:tc>
          <w:tcPr>
            <w:tcW w:w="11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053C9C9E"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3.0</w:t>
            </w:r>
          </w:p>
        </w:tc>
        <w:tc>
          <w:tcPr>
            <w:tcW w:w="1186"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01511A97"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2.5</w:t>
            </w:r>
          </w:p>
        </w:tc>
        <w:tc>
          <w:tcPr>
            <w:tcW w:w="11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1F75C762"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rPr>
                <w:sz w:val="22"/>
              </w:rPr>
            </w:pPr>
            <w:r w:rsidRPr="0042787E">
              <w:rPr>
                <w:sz w:val="22"/>
              </w:rPr>
              <w:t>2.3</w:t>
            </w:r>
          </w:p>
        </w:tc>
      </w:tr>
    </w:tbl>
    <w:p w14:paraId="26FEDC96" w14:textId="77777777" w:rsidR="00767FA9" w:rsidRPr="0042787E" w:rsidRDefault="00767FA9" w:rsidP="00767FA9">
      <w:pPr>
        <w:pStyle w:val="BodyText"/>
        <w:spacing w:before="0" w:after="0"/>
      </w:pPr>
    </w:p>
    <w:tbl>
      <w:tblPr>
        <w:tblStyle w:val="GridTable5Dark-Accent5"/>
        <w:tblW w:w="0" w:type="auto"/>
        <w:tblLook w:val="06A0" w:firstRow="1" w:lastRow="0" w:firstColumn="1" w:lastColumn="0" w:noHBand="1" w:noVBand="1"/>
      </w:tblPr>
      <w:tblGrid>
        <w:gridCol w:w="3229"/>
        <w:gridCol w:w="1152"/>
        <w:gridCol w:w="1153"/>
        <w:gridCol w:w="1154"/>
        <w:gridCol w:w="1154"/>
        <w:gridCol w:w="1154"/>
        <w:gridCol w:w="10"/>
      </w:tblGrid>
      <w:tr w:rsidR="00767FA9" w:rsidRPr="0042787E" w14:paraId="127A4072" w14:textId="77777777" w:rsidTr="004C4D0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FFFFFF" w:themeColor="background1"/>
              <w:left w:val="single" w:sz="8" w:space="0" w:color="FFFFFF" w:themeColor="background1"/>
              <w:bottom w:val="single" w:sz="8" w:space="0" w:color="FFFFFF" w:themeColor="background1"/>
            </w:tcBorders>
            <w:shd w:val="clear" w:color="auto" w:fill="002060"/>
            <w:tcMar>
              <w:left w:w="113" w:type="dxa"/>
              <w:right w:w="113" w:type="dxa"/>
            </w:tcMar>
            <w:vAlign w:val="center"/>
          </w:tcPr>
          <w:p w14:paraId="1A612240" w14:textId="77777777" w:rsidR="00767FA9" w:rsidRPr="0042787E" w:rsidRDefault="00767FA9" w:rsidP="004C4D06">
            <w:pPr>
              <w:spacing w:before="0" w:after="0"/>
              <w:jc w:val="center"/>
              <w:rPr>
                <w:sz w:val="22"/>
              </w:rPr>
            </w:pPr>
          </w:p>
        </w:tc>
        <w:tc>
          <w:tcPr>
            <w:tcW w:w="2315" w:type="dxa"/>
            <w:gridSpan w:val="2"/>
            <w:tcBorders>
              <w:top w:val="single" w:sz="8" w:space="0" w:color="FFFFFF" w:themeColor="background1"/>
              <w:bottom w:val="single" w:sz="8" w:space="0" w:color="FFFFFF" w:themeColor="background1"/>
            </w:tcBorders>
            <w:shd w:val="clear" w:color="auto" w:fill="002060"/>
            <w:tcMar>
              <w:left w:w="113" w:type="dxa"/>
              <w:right w:w="113" w:type="dxa"/>
            </w:tcMar>
            <w:vAlign w:val="center"/>
          </w:tcPr>
          <w:p w14:paraId="1B6BB27A" w14:textId="77777777" w:rsidR="00767FA9" w:rsidRPr="0042787E" w:rsidRDefault="00767FA9" w:rsidP="004C4D06">
            <w:pPr>
              <w:spacing w:before="0" w:after="0"/>
              <w:jc w:val="center"/>
              <w:cnfStyle w:val="100000000000" w:firstRow="1" w:lastRow="0" w:firstColumn="0" w:lastColumn="0" w:oddVBand="0" w:evenVBand="0" w:oddHBand="0" w:evenHBand="0" w:firstRowFirstColumn="0" w:firstRowLastColumn="0" w:lastRowFirstColumn="0" w:lastRowLastColumn="0"/>
            </w:pPr>
            <w:r w:rsidRPr="0042787E">
              <w:rPr>
                <w:sz w:val="22"/>
              </w:rPr>
              <w:t>No changes</w:t>
            </w:r>
          </w:p>
        </w:tc>
        <w:tc>
          <w:tcPr>
            <w:tcW w:w="2316" w:type="dxa"/>
            <w:gridSpan w:val="2"/>
            <w:tcBorders>
              <w:top w:val="single" w:sz="8" w:space="0" w:color="FFFFFF" w:themeColor="background1"/>
              <w:bottom w:val="single" w:sz="8" w:space="0" w:color="FFFFFF" w:themeColor="background1"/>
            </w:tcBorders>
            <w:shd w:val="clear" w:color="auto" w:fill="002060"/>
            <w:tcMar>
              <w:left w:w="113" w:type="dxa"/>
              <w:right w:w="113" w:type="dxa"/>
            </w:tcMar>
            <w:vAlign w:val="center"/>
          </w:tcPr>
          <w:p w14:paraId="0DAABD84" w14:textId="77777777" w:rsidR="00767FA9" w:rsidRPr="0042787E" w:rsidRDefault="00767FA9" w:rsidP="004C4D06">
            <w:pPr>
              <w:spacing w:before="0" w:after="0"/>
              <w:jc w:val="center"/>
              <w:cnfStyle w:val="100000000000" w:firstRow="1" w:lastRow="0" w:firstColumn="0" w:lastColumn="0" w:oddVBand="0" w:evenVBand="0" w:oddHBand="0" w:evenHBand="0" w:firstRowFirstColumn="0" w:firstRowLastColumn="0" w:lastRowFirstColumn="0" w:lastRowLastColumn="0"/>
            </w:pPr>
            <w:r w:rsidRPr="0042787E">
              <w:rPr>
                <w:sz w:val="22"/>
              </w:rPr>
              <w:t>Updated for inflation</w:t>
            </w:r>
          </w:p>
        </w:tc>
        <w:tc>
          <w:tcPr>
            <w:tcW w:w="1168" w:type="dxa"/>
            <w:gridSpan w:val="2"/>
            <w:tcBorders>
              <w:top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6A351BD9" w14:textId="77777777" w:rsidR="00767FA9" w:rsidRPr="0042787E" w:rsidRDefault="00767FA9" w:rsidP="004C4D06">
            <w:pPr>
              <w:spacing w:before="0" w:after="0"/>
              <w:jc w:val="center"/>
              <w:cnfStyle w:val="100000000000" w:firstRow="1" w:lastRow="0" w:firstColumn="0" w:lastColumn="0" w:oddVBand="0" w:evenVBand="0" w:oddHBand="0" w:evenHBand="0" w:firstRowFirstColumn="0" w:firstRowLastColumn="0" w:lastRowFirstColumn="0" w:lastRowLastColumn="0"/>
            </w:pPr>
            <w:r w:rsidRPr="0042787E">
              <w:rPr>
                <w:sz w:val="22"/>
              </w:rPr>
              <w:t>New</w:t>
            </w:r>
          </w:p>
        </w:tc>
      </w:tr>
      <w:tr w:rsidR="00767FA9" w:rsidRPr="0042787E" w14:paraId="6FFB2D0B" w14:textId="77777777" w:rsidTr="004C4D06">
        <w:trPr>
          <w:gridAfter w:val="1"/>
          <w:wAfter w:w="10" w:type="dxa"/>
          <w:trHeight w:val="48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770700B8" w14:textId="77777777" w:rsidR="00767FA9" w:rsidRPr="0042787E" w:rsidRDefault="00767FA9" w:rsidP="004C4D06">
            <w:pPr>
              <w:spacing w:before="0" w:after="0"/>
            </w:pPr>
            <w:r w:rsidRPr="0042787E">
              <w:rPr>
                <w:sz w:val="22"/>
              </w:rPr>
              <w:t>Auction reserve price</w:t>
            </w:r>
          </w:p>
        </w:tc>
        <w:tc>
          <w:tcPr>
            <w:tcW w:w="1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62B39298"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2027</w:t>
            </w:r>
          </w:p>
        </w:tc>
        <w:tc>
          <w:tcPr>
            <w:tcW w:w="1158" w:type="dxa"/>
            <w:tcBorders>
              <w:top w:val="nil"/>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1E0BC5E2"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2028</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44B341D3"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2029</w:t>
            </w:r>
          </w:p>
        </w:tc>
        <w:tc>
          <w:tcPr>
            <w:tcW w:w="1158" w:type="dxa"/>
            <w:tcBorders>
              <w:top w:val="nil"/>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2BF10383"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2030</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Mar>
              <w:left w:w="113" w:type="dxa"/>
              <w:right w:w="113" w:type="dxa"/>
            </w:tcMar>
            <w:vAlign w:val="center"/>
          </w:tcPr>
          <w:p w14:paraId="5820737B"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FFFFFF" w:themeColor="background1"/>
                <w:sz w:val="22"/>
              </w:rPr>
              <w:t>2031</w:t>
            </w:r>
          </w:p>
        </w:tc>
      </w:tr>
      <w:tr w:rsidR="00767FA9" w:rsidRPr="0042787E" w14:paraId="4272F11A" w14:textId="77777777" w:rsidTr="004C4D06">
        <w:trPr>
          <w:gridAfter w:val="1"/>
          <w:wAfter w:w="10" w:type="dxa"/>
          <w:trHeight w:val="480"/>
        </w:trPr>
        <w:tc>
          <w:tcPr>
            <w:cnfStyle w:val="001000000000" w:firstRow="0" w:lastRow="0" w:firstColumn="1" w:lastColumn="0" w:oddVBand="0" w:evenVBand="0" w:oddHBand="0" w:evenHBand="0" w:firstRowFirstColumn="0" w:firstRowLastColumn="0" w:lastRowFirstColumn="0" w:lastRowLastColumn="0"/>
            <w:tcW w:w="32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4E8DE"/>
            <w:tcMar>
              <w:left w:w="113" w:type="dxa"/>
              <w:right w:w="113" w:type="dxa"/>
            </w:tcMar>
            <w:vAlign w:val="center"/>
          </w:tcPr>
          <w:p w14:paraId="11FBE666" w14:textId="77777777" w:rsidR="00767FA9" w:rsidRPr="0042787E" w:rsidRDefault="00767FA9" w:rsidP="004C4D06">
            <w:pPr>
              <w:spacing w:before="0" w:after="0"/>
            </w:pPr>
            <w:r w:rsidRPr="001166C1">
              <w:rPr>
                <w:color w:val="000000" w:themeColor="text1"/>
                <w:sz w:val="22"/>
              </w:rPr>
              <w:t>Auction reserve price</w:t>
            </w:r>
          </w:p>
        </w:tc>
        <w:tc>
          <w:tcPr>
            <w:tcW w:w="115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07C2A403"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$75</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511AA91B"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$78</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06D65C7C"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$83</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F5F2"/>
            <w:tcMar>
              <w:left w:w="113" w:type="dxa"/>
              <w:right w:w="113" w:type="dxa"/>
            </w:tcMar>
            <w:vAlign w:val="center"/>
          </w:tcPr>
          <w:p w14:paraId="68A6B532"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$88</w:t>
            </w:r>
          </w:p>
        </w:tc>
        <w:tc>
          <w:tcPr>
            <w:tcW w:w="1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1DCD5"/>
            <w:tcMar>
              <w:left w:w="113" w:type="dxa"/>
              <w:right w:w="113" w:type="dxa"/>
            </w:tcMar>
            <w:vAlign w:val="center"/>
          </w:tcPr>
          <w:p w14:paraId="5E822930" w14:textId="77777777" w:rsidR="00767FA9" w:rsidRPr="0042787E" w:rsidRDefault="00767FA9" w:rsidP="004C4D06">
            <w:pPr>
              <w:spacing w:before="0" w:after="0"/>
              <w:jc w:val="center"/>
              <w:cnfStyle w:val="000000000000" w:firstRow="0" w:lastRow="0" w:firstColumn="0" w:lastColumn="0" w:oddVBand="0" w:evenVBand="0" w:oddHBand="0" w:evenHBand="0" w:firstRowFirstColumn="0" w:firstRowLastColumn="0" w:lastRowFirstColumn="0" w:lastRowLastColumn="0"/>
            </w:pPr>
            <w:r w:rsidRPr="0042787E">
              <w:rPr>
                <w:color w:val="000000" w:themeColor="text1"/>
                <w:sz w:val="22"/>
              </w:rPr>
              <w:t>$92</w:t>
            </w:r>
          </w:p>
        </w:tc>
      </w:tr>
    </w:tbl>
    <w:p w14:paraId="4DE11BC6" w14:textId="024E1833" w:rsidR="00853AA3" w:rsidRDefault="00853AA3" w:rsidP="00767FA9"/>
    <w:p w14:paraId="7AC93784" w14:textId="62F4F4C0" w:rsidR="00853AA3" w:rsidRDefault="00853AA3" w:rsidP="00853AA3">
      <w:pPr>
        <w:pStyle w:val="Heading1nonumber"/>
      </w:pPr>
      <w:r>
        <w:lastRenderedPageBreak/>
        <w:t>References</w:t>
      </w:r>
    </w:p>
    <w:p w14:paraId="52E3A009" w14:textId="77777777" w:rsidR="00853AA3" w:rsidRDefault="00853AA3" w:rsidP="00767FA9"/>
    <w:p w14:paraId="2E06ADFB" w14:textId="17C80108" w:rsidR="00853AA3" w:rsidRPr="00853AA3" w:rsidRDefault="00853AA3" w:rsidP="00853AA3">
      <w:pPr>
        <w:pStyle w:val="EndNoteBibliography"/>
        <w:spacing w:after="0"/>
      </w:pPr>
      <w:r>
        <w:fldChar w:fldCharType="begin"/>
      </w:r>
      <w:r>
        <w:instrText xml:space="preserve"> ADDIN EN.REFLIST </w:instrText>
      </w:r>
      <w:r>
        <w:fldChar w:fldCharType="separate"/>
      </w:r>
      <w:r w:rsidRPr="00853AA3">
        <w:t>1.</w:t>
      </w:r>
      <w:r w:rsidRPr="00853AA3">
        <w:tab/>
        <w:t xml:space="preserve">Improving New Zealand’s climate change act. New Zealand Government; 2025. </w:t>
      </w:r>
      <w:hyperlink r:id="rId18" w:history="1">
        <w:r w:rsidRPr="00853AA3">
          <w:rPr>
            <w:rStyle w:val="Hyperlink"/>
          </w:rPr>
          <w:t>https://www.beehive.govt.nz/release/improving-new-zealand%E2%80%99s-climate-change-act</w:t>
        </w:r>
      </w:hyperlink>
    </w:p>
    <w:p w14:paraId="25E6F921" w14:textId="0C50C475" w:rsidR="00853AA3" w:rsidRPr="00853AA3" w:rsidRDefault="00853AA3" w:rsidP="00853AA3">
      <w:pPr>
        <w:pStyle w:val="EndNoteBibliography"/>
        <w:spacing w:after="0"/>
      </w:pPr>
      <w:r w:rsidRPr="00853AA3">
        <w:t>2.</w:t>
      </w:r>
      <w:r w:rsidRPr="00853AA3">
        <w:tab/>
        <w:t xml:space="preserve">Honourable Simon Watts. </w:t>
      </w:r>
      <w:r w:rsidRPr="00853AA3">
        <w:rPr>
          <w:i/>
        </w:rPr>
        <w:t>Letter to CCC Chair regarding options for 2026 ETS settings advice</w:t>
      </w:r>
      <w:r w:rsidRPr="00853AA3">
        <w:t xml:space="preserve">. 2026. 23 January. </w:t>
      </w:r>
      <w:hyperlink r:id="rId19" w:history="1">
        <w:r w:rsidRPr="00853AA3">
          <w:rPr>
            <w:rStyle w:val="Hyperlink"/>
          </w:rPr>
          <w:t>https://www.climatecommission.govt.nz/assets/ETS-advice/2026/23-Jan-2026-Letter-to-CCC-Chair-regarding-options-for-2026-ETS-Settings-advice.pdf</w:t>
        </w:r>
      </w:hyperlink>
    </w:p>
    <w:p w14:paraId="1C4733F0" w14:textId="4CAD9141" w:rsidR="00853AA3" w:rsidRPr="00853AA3" w:rsidRDefault="00853AA3" w:rsidP="00853AA3">
      <w:pPr>
        <w:pStyle w:val="EndNoteBibliography"/>
        <w:spacing w:after="0"/>
      </w:pPr>
      <w:r w:rsidRPr="00853AA3">
        <w:t>3.</w:t>
      </w:r>
      <w:r w:rsidRPr="00853AA3">
        <w:tab/>
        <w:t xml:space="preserve">He Pou a Rangi Climate Change Commission. </w:t>
      </w:r>
      <w:r w:rsidRPr="00853AA3">
        <w:rPr>
          <w:i/>
        </w:rPr>
        <w:t>Monitoring report: Emissions reduction</w:t>
      </w:r>
      <w:r w:rsidRPr="00853AA3">
        <w:t xml:space="preserve">. 2025. </w:t>
      </w:r>
      <w:r w:rsidRPr="00853AA3">
        <w:rPr>
          <w:i/>
        </w:rPr>
        <w:t>Annual Monitoring Report</w:t>
      </w:r>
      <w:r w:rsidRPr="00853AA3">
        <w:t xml:space="preserve">. </w:t>
      </w:r>
      <w:hyperlink r:id="rId20" w:history="1">
        <w:r w:rsidRPr="00853AA3">
          <w:rPr>
            <w:rStyle w:val="Hyperlink"/>
          </w:rPr>
          <w:t>https://www.climatecommission.govt.nz/assets/Monitoring-and-reporting/ERM-2025/CCC-5929-ERM-2025.pdf</w:t>
        </w:r>
      </w:hyperlink>
    </w:p>
    <w:p w14:paraId="0AB7493B" w14:textId="77777777" w:rsidR="00853AA3" w:rsidRPr="00853AA3" w:rsidRDefault="00853AA3" w:rsidP="00853AA3">
      <w:pPr>
        <w:pStyle w:val="EndNoteBibliography"/>
      </w:pPr>
      <w:r w:rsidRPr="00853AA3">
        <w:t>4.</w:t>
      </w:r>
      <w:r w:rsidRPr="00853AA3">
        <w:tab/>
        <w:t xml:space="preserve">World Bank Group. </w:t>
      </w:r>
      <w:r w:rsidRPr="00853AA3">
        <w:rPr>
          <w:i/>
        </w:rPr>
        <w:t>State and Trends of Carbon Pricing 2025</w:t>
      </w:r>
      <w:r w:rsidRPr="00853AA3">
        <w:t xml:space="preserve">. 2025. </w:t>
      </w:r>
    </w:p>
    <w:p w14:paraId="73579723" w14:textId="72A04D02" w:rsidR="00B1608C" w:rsidRDefault="00853AA3" w:rsidP="00767FA9">
      <w:r>
        <w:fldChar w:fldCharType="end"/>
      </w:r>
    </w:p>
    <w:sectPr w:rsidR="00B1608C">
      <w:footnotePr>
        <w:numFmt w:val="lowerRoman"/>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C3F3" w14:textId="77777777" w:rsidR="00916396" w:rsidRDefault="00916396" w:rsidP="00767FA9">
      <w:pPr>
        <w:spacing w:before="0" w:after="0" w:line="240" w:lineRule="auto"/>
      </w:pPr>
      <w:r>
        <w:separator/>
      </w:r>
    </w:p>
  </w:endnote>
  <w:endnote w:type="continuationSeparator" w:id="0">
    <w:p w14:paraId="58BF9BF5" w14:textId="77777777" w:rsidR="00916396" w:rsidRDefault="00916396" w:rsidP="00767F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190987"/>
      <w:docPartObj>
        <w:docPartGallery w:val="Page Numbers (Bottom of Page)"/>
        <w:docPartUnique/>
      </w:docPartObj>
    </w:sdtPr>
    <w:sdtEndPr/>
    <w:sdtContent>
      <w:p w14:paraId="16863D8C" w14:textId="29243CA1" w:rsidR="00B1608C" w:rsidRPr="009F2752" w:rsidRDefault="00B1608C" w:rsidP="009F38CA">
        <w:pPr>
          <w:pStyle w:val="FootnoteText"/>
          <w:jc w:val="right"/>
        </w:pPr>
        <w:r w:rsidRPr="003D4844">
          <w:t>He Pou a Rangi Climate Change Commission |</w:t>
        </w:r>
        <w:r w:rsidRPr="00311C5C">
          <w:t xml:space="preserve"> NZ ETS settings 2027-2031: </w:t>
        </w:r>
        <w:r w:rsidR="00767FA9">
          <w:t>Executive summary</w:t>
        </w:r>
        <w:r w:rsidRPr="00311C5C">
          <w:t xml:space="preserve">   </w:t>
        </w:r>
        <w:r w:rsidRPr="003D4844">
          <w:fldChar w:fldCharType="begin"/>
        </w:r>
        <w:r w:rsidRPr="003D4844">
          <w:instrText xml:space="preserve"> PAGE   \* MERGEFORMAT </w:instrText>
        </w:r>
        <w:r w:rsidRPr="003D4844">
          <w:fldChar w:fldCharType="separate"/>
        </w:r>
        <w:r w:rsidRPr="003D4844">
          <w:t>0</w:t>
        </w:r>
        <w:r w:rsidRPr="003D4844">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399797"/>
      <w:docPartObj>
        <w:docPartGallery w:val="Page Numbers (Bottom of Page)"/>
        <w:docPartUnique/>
      </w:docPartObj>
    </w:sdtPr>
    <w:sdtEndPr/>
    <w:sdtContent>
      <w:p w14:paraId="43091661" w14:textId="77777777" w:rsidR="00B1608C" w:rsidRDefault="00B1608C" w:rsidP="7F67F22D">
        <w:pPr>
          <w:pStyle w:val="FootnoteText"/>
          <w:jc w:val="right"/>
        </w:pPr>
        <w:r w:rsidRPr="003D4844">
          <w:t>He Pou a Rangi Climate Change Commission |</w:t>
        </w:r>
        <w:r w:rsidRPr="00311C5C">
          <w:t xml:space="preserve"> NZ ETS settings 2027-2031: Technical annex </w:t>
        </w:r>
        <w:r w:rsidRPr="009F2752">
          <w:t>2</w:t>
        </w:r>
        <w:r w:rsidRPr="00311C5C">
          <w:t xml:space="preserve">   </w:t>
        </w:r>
        <w:r w:rsidRPr="003D4844">
          <w:fldChar w:fldCharType="begin"/>
        </w:r>
        <w:r w:rsidRPr="003D4844">
          <w:instrText xml:space="preserve"> PAGE   \* MERGEFORMAT </w:instrText>
        </w:r>
        <w:r w:rsidRPr="003D4844">
          <w:fldChar w:fldCharType="separate"/>
        </w:r>
        <w:r>
          <w:t>1</w:t>
        </w:r>
        <w:r w:rsidRPr="003D484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F125" w14:textId="77777777" w:rsidR="00916396" w:rsidRDefault="00916396" w:rsidP="00767FA9">
      <w:pPr>
        <w:spacing w:before="0" w:after="0" w:line="240" w:lineRule="auto"/>
      </w:pPr>
      <w:r>
        <w:separator/>
      </w:r>
    </w:p>
  </w:footnote>
  <w:footnote w:type="continuationSeparator" w:id="0">
    <w:p w14:paraId="041051FD" w14:textId="77777777" w:rsidR="00916396" w:rsidRDefault="00916396" w:rsidP="00767FA9">
      <w:pPr>
        <w:spacing w:before="0" w:after="0" w:line="240" w:lineRule="auto"/>
      </w:pPr>
      <w:r>
        <w:continuationSeparator/>
      </w:r>
    </w:p>
  </w:footnote>
  <w:footnote w:id="1">
    <w:p w14:paraId="3DDF6ADB" w14:textId="77777777" w:rsidR="00767FA9" w:rsidRDefault="00767FA9" w:rsidP="00767FA9">
      <w:pPr>
        <w:pStyle w:val="FootnoteText"/>
        <w:ind w:left="170" w:hanging="170"/>
      </w:pPr>
      <w:r>
        <w:rPr>
          <w:rStyle w:val="FootnoteReference"/>
        </w:rPr>
        <w:footnoteRef/>
      </w:r>
      <w:r>
        <w:t xml:space="preserve"> The Climate Change Response Act 2002 (the Act) requires us to deliver our next advice on NZ ETS settings early in 2027. The Government has proposed to amend the Act to provide settings updates every two years. Information on the proposed changes to the Act can be found here: https://environment.govt.nz/news/government-announces-a-series-of-changes-to-nzs-climate-law </w:t>
      </w:r>
    </w:p>
  </w:footnote>
  <w:footnote w:id="2">
    <w:p w14:paraId="3F13309F" w14:textId="77777777" w:rsidR="00767FA9" w:rsidRPr="00335303" w:rsidRDefault="00767FA9" w:rsidP="00767FA9">
      <w:pPr>
        <w:pStyle w:val="FootnoteText"/>
        <w:ind w:left="227" w:hanging="227"/>
        <w:rPr>
          <w:lang w:val="mi-NZ"/>
        </w:rPr>
      </w:pPr>
      <w:r>
        <w:rPr>
          <w:rStyle w:val="FootnoteReference"/>
        </w:rPr>
        <w:footnoteRef/>
      </w:r>
      <w:r>
        <w:t xml:space="preserve"> The cost containment reserve (CCR) makes an additional volume of units available for sale if the price at government auctions exceeds a specified </w:t>
      </w:r>
      <w:r w:rsidRPr="00BB551A">
        <w:t>trigger price</w:t>
      </w:r>
      <w:r>
        <w:t>, to act as a brake on further price rises</w:t>
      </w:r>
      <w:r w:rsidRPr="000B24F1">
        <w:t>.</w:t>
      </w:r>
      <w:r>
        <w:t xml:space="preserve"> </w:t>
      </w:r>
    </w:p>
  </w:footnote>
  <w:footnote w:id="3">
    <w:p w14:paraId="5E3D0E2A" w14:textId="77777777" w:rsidR="00767FA9" w:rsidRPr="00DE7ED4" w:rsidRDefault="00767FA9" w:rsidP="00767FA9">
      <w:pPr>
        <w:pStyle w:val="FootnoteText"/>
        <w:ind w:left="227" w:hanging="227"/>
      </w:pPr>
      <w:r>
        <w:rPr>
          <w:rStyle w:val="FootnoteReference"/>
        </w:rPr>
        <w:footnoteRef/>
      </w:r>
      <w:r>
        <w:t xml:space="preserve"> </w:t>
      </w:r>
      <w:r w:rsidRPr="00DE7ED4">
        <w:t xml:space="preserve">Emissions budgets can be achieved </w:t>
      </w:r>
      <w:r>
        <w:t>through</w:t>
      </w:r>
      <w:r w:rsidRPr="00DE7ED4">
        <w:t xml:space="preserve"> </w:t>
      </w:r>
      <w:r>
        <w:t xml:space="preserve">emissions reductions </w:t>
      </w:r>
      <w:r w:rsidRPr="00DE7ED4">
        <w:t>by sectors both inside</w:t>
      </w:r>
      <w:r>
        <w:t xml:space="preserve"> and </w:t>
      </w:r>
      <w:r w:rsidRPr="00DE7ED4">
        <w:t>outside the NZ ETS.</w:t>
      </w:r>
      <w:r>
        <w:t xml:space="preserve"> </w:t>
      </w:r>
      <w:r w:rsidRPr="00DE7ED4">
        <w:t xml:space="preserve">The NZ ETS emissions cap is the share of the emissions budget volume allocated to sectors in the NZ ETS. </w:t>
      </w:r>
      <w:r>
        <w:t xml:space="preserve">The emissions </w:t>
      </w:r>
      <w:r w:rsidRPr="00DE7ED4">
        <w:t>cap declines over time to reflect emissions reduction targets.</w:t>
      </w:r>
    </w:p>
  </w:footnote>
  <w:footnote w:id="4">
    <w:p w14:paraId="67554942" w14:textId="77777777" w:rsidR="00767FA9" w:rsidRPr="00167C96" w:rsidRDefault="00767FA9" w:rsidP="00767FA9">
      <w:pPr>
        <w:pStyle w:val="FootnoteText"/>
        <w:ind w:left="227" w:hanging="227"/>
        <w:rPr>
          <w:lang w:val="mi-NZ"/>
        </w:rPr>
      </w:pPr>
      <w:r>
        <w:rPr>
          <w:rStyle w:val="FootnoteReference"/>
        </w:rPr>
        <w:footnoteRef/>
      </w:r>
      <w:r>
        <w:t xml:space="preserve"> ‘Industrial allocation’ (or ‘industrial free allocation’) is </w:t>
      </w:r>
      <w:r w:rsidRPr="00EF4FC2">
        <w:t>the provision of free NZUs to firms undertaking emissions</w:t>
      </w:r>
      <w:r>
        <w:t>-</w:t>
      </w:r>
      <w:r w:rsidRPr="00EF4FC2">
        <w:t>intensive</w:t>
      </w:r>
      <w:r>
        <w:t>-</w:t>
      </w:r>
      <w:r w:rsidRPr="00EF4FC2">
        <w:t>and</w:t>
      </w:r>
      <w:r>
        <w:t>-</w:t>
      </w:r>
      <w:r w:rsidRPr="00EF4FC2">
        <w:t>trade</w:t>
      </w:r>
      <w:r>
        <w:t>-</w:t>
      </w:r>
      <w:r w:rsidRPr="00EF4FC2">
        <w:t>exposed (EITE)</w:t>
      </w:r>
      <w:r>
        <w:t xml:space="preserve"> activities</w:t>
      </w:r>
      <w:r w:rsidRPr="00EF4FC2">
        <w:t>. This reduces the cost of the NZ ETS for these firms and is intended to reduce the risk of emissions leakage.</w:t>
      </w:r>
    </w:p>
  </w:footnote>
  <w:footnote w:id="5">
    <w:p w14:paraId="4DE84750" w14:textId="77777777" w:rsidR="00767FA9" w:rsidRPr="002E18EF" w:rsidRDefault="00767FA9" w:rsidP="00767FA9">
      <w:pPr>
        <w:pStyle w:val="FootnoteText"/>
        <w:ind w:left="227" w:hanging="227"/>
        <w:rPr>
          <w:lang w:val="mi-NZ"/>
        </w:rPr>
      </w:pPr>
      <w:r>
        <w:rPr>
          <w:rStyle w:val="FootnoteReference"/>
        </w:rPr>
        <w:footnoteRef/>
      </w:r>
      <w:r>
        <w:t xml:space="preserve"> </w:t>
      </w:r>
      <w:r w:rsidRPr="00C83513">
        <w:t xml:space="preserve">The Government announced an emissions cap of </w:t>
      </w:r>
      <w:r w:rsidRPr="001613E0">
        <w:t>89.4 MtCO</w:t>
      </w:r>
      <w:r w:rsidRPr="00303879">
        <w:rPr>
          <w:vertAlign w:val="subscript"/>
        </w:rPr>
        <w:t>2</w:t>
      </w:r>
      <w:r w:rsidRPr="001613E0">
        <w:t>e for the second emissions budget (2026</w:t>
      </w:r>
      <w:r>
        <w:t>–</w:t>
      </w:r>
      <w:r w:rsidRPr="001613E0">
        <w:t>30) and a 'provisional' cap of 40.7 MtCO</w:t>
      </w:r>
      <w:r w:rsidRPr="00303879">
        <w:rPr>
          <w:vertAlign w:val="subscript"/>
        </w:rPr>
        <w:t>2</w:t>
      </w:r>
      <w:r w:rsidRPr="001613E0">
        <w:t>e for the third emissions budget (2031</w:t>
      </w:r>
      <w:r>
        <w:t>–</w:t>
      </w:r>
      <w:r w:rsidRPr="001613E0">
        <w:t>35).</w:t>
      </w:r>
    </w:p>
  </w:footnote>
  <w:footnote w:id="6">
    <w:p w14:paraId="630495D6" w14:textId="77777777" w:rsidR="00767FA9" w:rsidRPr="002E18EF" w:rsidRDefault="00767FA9" w:rsidP="00767FA9">
      <w:pPr>
        <w:pStyle w:val="FootnoteText"/>
        <w:ind w:left="227" w:hanging="227"/>
        <w:rPr>
          <w:lang w:val="mi-NZ"/>
        </w:rPr>
      </w:pPr>
      <w:r>
        <w:rPr>
          <w:rStyle w:val="FootnoteReference"/>
        </w:rPr>
        <w:footnoteRef/>
      </w:r>
      <w:r>
        <w:t xml:space="preserve"> New Zealand’s Greenhouse Gas (GHG) Inventory is the </w:t>
      </w:r>
      <w:r w:rsidRPr="002E18EF">
        <w:t>official annual report of all human-induced emissions and removals of greenhouse gases in Aotearoa New Zealand.</w:t>
      </w:r>
    </w:p>
  </w:footnote>
  <w:footnote w:id="7">
    <w:p w14:paraId="41F52169" w14:textId="77777777" w:rsidR="00767FA9" w:rsidRPr="00167C96" w:rsidRDefault="00767FA9" w:rsidP="00767FA9">
      <w:pPr>
        <w:pStyle w:val="FootnoteText"/>
        <w:ind w:left="227" w:hanging="227"/>
        <w:rPr>
          <w:lang w:val="mi-NZ"/>
        </w:rPr>
      </w:pPr>
      <w:r>
        <w:rPr>
          <w:rStyle w:val="FootnoteReference"/>
        </w:rPr>
        <w:footnoteRef/>
      </w:r>
      <w:r>
        <w:t xml:space="preserve"> </w:t>
      </w:r>
      <w:r>
        <w:rPr>
          <w:lang w:val="mi-NZ"/>
        </w:rPr>
        <w:t xml:space="preserve">Target accounting </w:t>
      </w:r>
      <w:r w:rsidRPr="002E18EF">
        <w:t>is the accounting system used to measure progress towards Aotearoa New Zealand’s emissions reduction goals.</w:t>
      </w:r>
      <w:r w:rsidRPr="00E36D82">
        <w:t xml:space="preserve"> </w:t>
      </w:r>
      <w:r>
        <w:t xml:space="preserve">It </w:t>
      </w:r>
      <w:r w:rsidRPr="002E18EF">
        <w:t xml:space="preserve">includes all gross emissions as reported in the </w:t>
      </w:r>
      <w:r>
        <w:t xml:space="preserve">GHG </w:t>
      </w:r>
      <w:r w:rsidRPr="002E18EF">
        <w:t xml:space="preserve">Inventory, but only a subset of emissions and removals from land use and forestry. </w:t>
      </w:r>
    </w:p>
  </w:footnote>
  <w:footnote w:id="8">
    <w:p w14:paraId="740F9DD8" w14:textId="77777777" w:rsidR="00767FA9" w:rsidRDefault="00767FA9" w:rsidP="00767FA9">
      <w:pPr>
        <w:pStyle w:val="FootnoteText"/>
        <w:ind w:left="227" w:hanging="227"/>
      </w:pPr>
      <w:r>
        <w:rPr>
          <w:rStyle w:val="FootnoteReference"/>
        </w:rPr>
        <w:footnoteRef/>
      </w:r>
      <w:r>
        <w:t xml:space="preserve"> As industrial allocation is included in the overall limit on units, we have updated the overall limits from 2029 to reflect the revised forecast of industrial allocation. We have not updated the overall limits for first two years of the settings period (2027–2028) due to the Act’s restrictions on amending those years of the settings. </w:t>
      </w:r>
    </w:p>
  </w:footnote>
  <w:footnote w:id="9">
    <w:p w14:paraId="16276C78" w14:textId="77777777" w:rsidR="00767FA9" w:rsidRPr="00D1087A" w:rsidRDefault="00767FA9" w:rsidP="00767FA9">
      <w:pPr>
        <w:pStyle w:val="FootnoteText"/>
        <w:ind w:left="170" w:hanging="170"/>
        <w:rPr>
          <w:lang w:val="en-US"/>
        </w:rPr>
      </w:pPr>
      <w:r>
        <w:rPr>
          <w:rStyle w:val="FootnoteReference"/>
        </w:rPr>
        <w:footnoteRef/>
      </w:r>
      <w:r>
        <w:t xml:space="preserve"> Under the Act, the first two years of the settings period cannot be amended, except if certain circumstances arise such as a change significantly affecting a matter that must be considered under the Act. This is intended to support predictability. </w:t>
      </w:r>
    </w:p>
  </w:footnote>
  <w:footnote w:id="10">
    <w:p w14:paraId="0178FAF5" w14:textId="77777777" w:rsidR="00767FA9" w:rsidRPr="00167C96" w:rsidRDefault="00767FA9" w:rsidP="00767FA9">
      <w:pPr>
        <w:pStyle w:val="FootnoteText"/>
        <w:ind w:left="170" w:hanging="170"/>
        <w:rPr>
          <w:lang w:val="mi-NZ"/>
        </w:rPr>
      </w:pPr>
      <w:r>
        <w:rPr>
          <w:rStyle w:val="FootnoteReference"/>
        </w:rPr>
        <w:footnoteRef/>
      </w:r>
      <w:r>
        <w:t xml:space="preserve"> </w:t>
      </w:r>
      <w:r>
        <w:rPr>
          <w:lang w:val="mi-NZ"/>
        </w:rPr>
        <w:t xml:space="preserve">The auction reserve price (ARP) is </w:t>
      </w:r>
      <w:r>
        <w:t xml:space="preserve">the minimum price below which units will not be sold at government auctions. </w:t>
      </w:r>
    </w:p>
  </w:footnote>
  <w:footnote w:id="11">
    <w:p w14:paraId="194047CC" w14:textId="77777777" w:rsidR="00767FA9" w:rsidRDefault="00767FA9" w:rsidP="00767FA9">
      <w:pPr>
        <w:pStyle w:val="FootnoteText"/>
        <w:ind w:left="227" w:hanging="227"/>
      </w:pPr>
      <w:r>
        <w:rPr>
          <w:rStyle w:val="FootnoteReference"/>
        </w:rPr>
        <w:footnoteRef/>
      </w:r>
      <w:r>
        <w:t xml:space="preserve"> The overall limits for 2029 and 2030 have been updated to reflect an updated forecast of industrial allocation.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66B9B"/>
    <w:multiLevelType w:val="hybridMultilevel"/>
    <w:tmpl w:val="204C758A"/>
    <w:lvl w:ilvl="0" w:tplc="BEA8A6D0">
      <w:start w:val="1"/>
      <w:numFmt w:val="bullet"/>
      <w:pStyle w:val="Body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8814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MA 11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vex5fabdwzs9e9rwa55p5bvws5v2dex2zs&quot;&gt;EndNote@climatecommission.govt.nz&lt;record-ids&gt;&lt;item&gt;908&lt;/item&gt;&lt;item&gt;909&lt;/item&gt;&lt;item&gt;1362&lt;/item&gt;&lt;item&gt;1467&lt;/item&gt;&lt;/record-ids&gt;&lt;/item&gt;&lt;/Libraries&gt;"/>
  </w:docVars>
  <w:rsids>
    <w:rsidRoot w:val="00B1608C"/>
    <w:rsid w:val="00602661"/>
    <w:rsid w:val="00717F80"/>
    <w:rsid w:val="00767FA9"/>
    <w:rsid w:val="00853AA3"/>
    <w:rsid w:val="00916396"/>
    <w:rsid w:val="00B1608C"/>
    <w:rsid w:val="00CD51E5"/>
    <w:rsid w:val="00D33A28"/>
    <w:rsid w:val="00E4608E"/>
    <w:rsid w:val="00F675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47E8"/>
  <w15:chartTrackingRefBased/>
  <w15:docId w15:val="{05679785-653B-4B17-8ED7-42C87F32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B1608C"/>
    <w:pPr>
      <w:spacing w:before="120" w:after="120" w:line="276" w:lineRule="auto"/>
    </w:pPr>
    <w:rPr>
      <w:rFonts w:ascii="Calibri" w:hAnsi="Calibri"/>
      <w:kern w:val="0"/>
      <w14:ligatures w14:val="none"/>
    </w:rPr>
  </w:style>
  <w:style w:type="paragraph" w:styleId="Heading1">
    <w:name w:val="heading 1"/>
    <w:aliases w:val="Heading 1 numbered"/>
    <w:basedOn w:val="Normal"/>
    <w:next w:val="Normal"/>
    <w:link w:val="Heading1Char"/>
    <w:uiPriority w:val="9"/>
    <w:qFormat/>
    <w:rsid w:val="00B16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numbered"/>
    <w:basedOn w:val="Normal"/>
    <w:next w:val="Normal"/>
    <w:link w:val="Heading2Char"/>
    <w:uiPriority w:val="9"/>
    <w:unhideWhenUsed/>
    <w:qFormat/>
    <w:rsid w:val="00B16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6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16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umbered Char"/>
    <w:basedOn w:val="DefaultParagraphFont"/>
    <w:link w:val="Heading1"/>
    <w:uiPriority w:val="9"/>
    <w:rsid w:val="00B1608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numbered Char"/>
    <w:basedOn w:val="DefaultParagraphFont"/>
    <w:link w:val="Heading2"/>
    <w:uiPriority w:val="9"/>
    <w:rsid w:val="00B16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6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16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08C"/>
    <w:rPr>
      <w:rFonts w:eastAsiaTheme="majorEastAsia" w:cstheme="majorBidi"/>
      <w:color w:val="272727" w:themeColor="text1" w:themeTint="D8"/>
    </w:rPr>
  </w:style>
  <w:style w:type="paragraph" w:styleId="Title">
    <w:name w:val="Title"/>
    <w:basedOn w:val="Normal"/>
    <w:next w:val="Normal"/>
    <w:link w:val="TitleChar"/>
    <w:qFormat/>
    <w:rsid w:val="00B16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6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08C"/>
    <w:pPr>
      <w:spacing w:before="160"/>
      <w:jc w:val="center"/>
    </w:pPr>
    <w:rPr>
      <w:i/>
      <w:iCs/>
      <w:color w:val="404040" w:themeColor="text1" w:themeTint="BF"/>
    </w:rPr>
  </w:style>
  <w:style w:type="character" w:customStyle="1" w:styleId="QuoteChar">
    <w:name w:val="Quote Char"/>
    <w:basedOn w:val="DefaultParagraphFont"/>
    <w:link w:val="Quote"/>
    <w:uiPriority w:val="29"/>
    <w:rsid w:val="00B1608C"/>
    <w:rPr>
      <w:i/>
      <w:iCs/>
      <w:color w:val="404040" w:themeColor="text1" w:themeTint="BF"/>
    </w:rPr>
  </w:style>
  <w:style w:type="paragraph" w:styleId="ListParagraph">
    <w:name w:val="List Paragraph"/>
    <w:basedOn w:val="Normal"/>
    <w:uiPriority w:val="34"/>
    <w:qFormat/>
    <w:rsid w:val="00B1608C"/>
    <w:pPr>
      <w:ind w:left="720"/>
      <w:contextualSpacing/>
    </w:pPr>
  </w:style>
  <w:style w:type="character" w:styleId="IntenseEmphasis">
    <w:name w:val="Intense Emphasis"/>
    <w:basedOn w:val="DefaultParagraphFont"/>
    <w:uiPriority w:val="21"/>
    <w:qFormat/>
    <w:rsid w:val="00B1608C"/>
    <w:rPr>
      <w:i/>
      <w:iCs/>
      <w:color w:val="0F4761" w:themeColor="accent1" w:themeShade="BF"/>
    </w:rPr>
  </w:style>
  <w:style w:type="paragraph" w:styleId="IntenseQuote">
    <w:name w:val="Intense Quote"/>
    <w:basedOn w:val="Normal"/>
    <w:next w:val="Normal"/>
    <w:link w:val="IntenseQuoteChar"/>
    <w:uiPriority w:val="30"/>
    <w:qFormat/>
    <w:rsid w:val="00B16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08C"/>
    <w:rPr>
      <w:i/>
      <w:iCs/>
      <w:color w:val="0F4761" w:themeColor="accent1" w:themeShade="BF"/>
    </w:rPr>
  </w:style>
  <w:style w:type="character" w:styleId="IntenseReference">
    <w:name w:val="Intense Reference"/>
    <w:basedOn w:val="DefaultParagraphFont"/>
    <w:uiPriority w:val="32"/>
    <w:qFormat/>
    <w:rsid w:val="00B1608C"/>
    <w:rPr>
      <w:b/>
      <w:bCs/>
      <w:smallCaps/>
      <w:color w:val="0F4761" w:themeColor="accent1" w:themeShade="BF"/>
      <w:spacing w:val="5"/>
    </w:rPr>
  </w:style>
  <w:style w:type="paragraph" w:styleId="BodyText">
    <w:name w:val="Body Text"/>
    <w:basedOn w:val="Normal"/>
    <w:link w:val="BodyTextChar"/>
    <w:uiPriority w:val="1"/>
    <w:qFormat/>
    <w:rsid w:val="00B1608C"/>
  </w:style>
  <w:style w:type="character" w:customStyle="1" w:styleId="BodyTextChar">
    <w:name w:val="Body Text Char"/>
    <w:basedOn w:val="DefaultParagraphFont"/>
    <w:link w:val="BodyText"/>
    <w:uiPriority w:val="1"/>
    <w:rsid w:val="00B1608C"/>
    <w:rPr>
      <w:rFonts w:ascii="Calibri" w:hAnsi="Calibri"/>
      <w:kern w:val="0"/>
      <w14:ligatures w14:val="none"/>
    </w:rPr>
  </w:style>
  <w:style w:type="paragraph" w:styleId="FootnoteText">
    <w:name w:val="footnote text"/>
    <w:basedOn w:val="Footer"/>
    <w:link w:val="FootnoteTextChar"/>
    <w:uiPriority w:val="99"/>
    <w:unhideWhenUsed/>
    <w:qFormat/>
    <w:rsid w:val="00B1608C"/>
    <w:pPr>
      <w:ind w:firstLine="227"/>
    </w:pPr>
    <w:rPr>
      <w:sz w:val="18"/>
      <w:szCs w:val="18"/>
    </w:rPr>
  </w:style>
  <w:style w:type="character" w:customStyle="1" w:styleId="FootnoteTextChar">
    <w:name w:val="Footnote Text Char"/>
    <w:basedOn w:val="DefaultParagraphFont"/>
    <w:link w:val="FootnoteText"/>
    <w:uiPriority w:val="99"/>
    <w:rsid w:val="00B1608C"/>
    <w:rPr>
      <w:rFonts w:ascii="Calibri" w:hAnsi="Calibri"/>
      <w:kern w:val="0"/>
      <w:sz w:val="18"/>
      <w:szCs w:val="18"/>
      <w14:ligatures w14:val="none"/>
    </w:rPr>
  </w:style>
  <w:style w:type="paragraph" w:styleId="Footer">
    <w:name w:val="footer"/>
    <w:basedOn w:val="Normal"/>
    <w:link w:val="FooterChar"/>
    <w:uiPriority w:val="99"/>
    <w:unhideWhenUsed/>
    <w:rsid w:val="00B1608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1608C"/>
    <w:rPr>
      <w:rFonts w:ascii="Calibri" w:hAnsi="Calibri"/>
      <w:kern w:val="0"/>
      <w14:ligatures w14:val="none"/>
    </w:rPr>
  </w:style>
  <w:style w:type="paragraph" w:customStyle="1" w:styleId="Intro">
    <w:name w:val="Intro"/>
    <w:basedOn w:val="Normal"/>
    <w:qFormat/>
    <w:rsid w:val="00767FA9"/>
    <w:pPr>
      <w:autoSpaceDE w:val="0"/>
      <w:autoSpaceDN w:val="0"/>
      <w:adjustRightInd w:val="0"/>
      <w:spacing w:after="200" w:line="216" w:lineRule="auto"/>
      <w:textAlignment w:val="center"/>
    </w:pPr>
    <w:rPr>
      <w:rFonts w:eastAsia="Calibri" w:cs="Calibri"/>
      <w:color w:val="0F385A"/>
      <w:w w:val="105"/>
      <w:sz w:val="38"/>
      <w:szCs w:val="22"/>
      <w:lang w:val="en-US"/>
    </w:rPr>
  </w:style>
  <w:style w:type="table" w:styleId="GridTable5Dark-Accent5">
    <w:name w:val="Grid Table 5 Dark Accent 5"/>
    <w:basedOn w:val="TableNormal"/>
    <w:uiPriority w:val="50"/>
    <w:rsid w:val="00767FA9"/>
    <w:pPr>
      <w:widowControl w:val="0"/>
      <w:autoSpaceDE w:val="0"/>
      <w:autoSpaceDN w:val="0"/>
      <w:spacing w:after="0" w:line="240" w:lineRule="auto"/>
    </w:pPr>
    <w:rPr>
      <w:rFonts w:ascii="Calibri" w:hAnsi="Calibri" w:cs="Arial (Body CS)"/>
      <w:kern w:val="0"/>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customStyle="1" w:styleId="Bodybullets">
    <w:name w:val="Body bullets"/>
    <w:basedOn w:val="ListParagraph"/>
    <w:uiPriority w:val="5"/>
    <w:qFormat/>
    <w:rsid w:val="00767FA9"/>
    <w:pPr>
      <w:numPr>
        <w:numId w:val="1"/>
      </w:numPr>
    </w:pPr>
  </w:style>
  <w:style w:type="paragraph" w:customStyle="1" w:styleId="Heading1nonumber">
    <w:name w:val="Heading 1 no number"/>
    <w:basedOn w:val="Heading1"/>
    <w:uiPriority w:val="1"/>
    <w:qFormat/>
    <w:rsid w:val="00767FA9"/>
    <w:pPr>
      <w:spacing w:before="120" w:after="120"/>
    </w:pPr>
    <w:rPr>
      <w:rFonts w:ascii="Calibri" w:hAnsi="Calibri" w:cstheme="minorBidi"/>
      <w:b/>
      <w:color w:val="0A2F41" w:themeColor="accent1" w:themeShade="80"/>
      <w:sz w:val="44"/>
      <w:szCs w:val="44"/>
    </w:rPr>
  </w:style>
  <w:style w:type="paragraph" w:customStyle="1" w:styleId="Heading2nonumber">
    <w:name w:val="Heading 2 no number"/>
    <w:basedOn w:val="BodyText"/>
    <w:next w:val="BodyText"/>
    <w:uiPriority w:val="2"/>
    <w:qFormat/>
    <w:rsid w:val="00767FA9"/>
    <w:pPr>
      <w:spacing w:before="160"/>
      <w:outlineLvl w:val="1"/>
    </w:pPr>
    <w:rPr>
      <w:rFonts w:asciiTheme="minorHAnsi" w:eastAsia="Calibri" w:hAnsiTheme="minorHAnsi" w:cstheme="minorHAnsi"/>
      <w:b/>
      <w:color w:val="00A195"/>
      <w:sz w:val="36"/>
      <w:szCs w:val="22"/>
    </w:rPr>
  </w:style>
  <w:style w:type="paragraph" w:customStyle="1" w:styleId="Tableheading">
    <w:name w:val="Table heading"/>
    <w:basedOn w:val="Heading4"/>
    <w:next w:val="Normal"/>
    <w:qFormat/>
    <w:rsid w:val="00767FA9"/>
    <w:pPr>
      <w:widowControl w:val="0"/>
      <w:autoSpaceDE w:val="0"/>
      <w:autoSpaceDN w:val="0"/>
      <w:spacing w:before="120" w:after="120"/>
      <w:ind w:left="134"/>
    </w:pPr>
    <w:rPr>
      <w:rFonts w:cstheme="minorBidi"/>
      <w:b/>
      <w:bCs/>
      <w:i w:val="0"/>
      <w:iCs w:val="0"/>
      <w:color w:val="FFFFFF" w:themeColor="background1"/>
      <w:szCs w:val="20"/>
      <w:lang w:val="en-US"/>
    </w:rPr>
  </w:style>
  <w:style w:type="paragraph" w:customStyle="1" w:styleId="FigureTabletitle">
    <w:name w:val="Figure/Table title"/>
    <w:basedOn w:val="Normal"/>
    <w:link w:val="FigureTabletitleChar"/>
    <w:qFormat/>
    <w:rsid w:val="00767FA9"/>
    <w:pPr>
      <w:keepNext/>
      <w:spacing w:before="240"/>
      <w:ind w:right="556"/>
    </w:pPr>
    <w:rPr>
      <w:rFonts w:asciiTheme="minorHAnsi" w:hAnsiTheme="minorHAnsi"/>
      <w:b/>
      <w:bCs/>
      <w:i/>
      <w:color w:val="0F385A"/>
    </w:rPr>
  </w:style>
  <w:style w:type="character" w:customStyle="1" w:styleId="FigureTabletitleChar">
    <w:name w:val="Figure/Table title Char"/>
    <w:basedOn w:val="DefaultParagraphFont"/>
    <w:link w:val="FigureTabletitle"/>
    <w:rsid w:val="00767FA9"/>
    <w:rPr>
      <w:b/>
      <w:bCs/>
      <w:i/>
      <w:color w:val="0F385A"/>
      <w:kern w:val="0"/>
      <w14:ligatures w14:val="none"/>
    </w:rPr>
  </w:style>
  <w:style w:type="paragraph" w:customStyle="1" w:styleId="Sourceline">
    <w:name w:val="Source line"/>
    <w:basedOn w:val="BodyText"/>
    <w:next w:val="BodyText"/>
    <w:link w:val="SourcelineChar"/>
    <w:qFormat/>
    <w:rsid w:val="00767FA9"/>
    <w:rPr>
      <w:color w:val="000000" w:themeColor="text1"/>
      <w:sz w:val="20"/>
      <w:szCs w:val="28"/>
    </w:rPr>
  </w:style>
  <w:style w:type="character" w:customStyle="1" w:styleId="SourcelineChar">
    <w:name w:val="Source line Char"/>
    <w:basedOn w:val="BodyTextChar"/>
    <w:link w:val="Sourceline"/>
    <w:rsid w:val="00767FA9"/>
    <w:rPr>
      <w:rFonts w:ascii="Calibri" w:hAnsi="Calibri"/>
      <w:color w:val="000000" w:themeColor="text1"/>
      <w:kern w:val="0"/>
      <w:sz w:val="20"/>
      <w:szCs w:val="28"/>
      <w14:ligatures w14:val="none"/>
    </w:rPr>
  </w:style>
  <w:style w:type="paragraph" w:customStyle="1" w:styleId="Boxtext">
    <w:name w:val="Box text"/>
    <w:basedOn w:val="BodyText"/>
    <w:qFormat/>
    <w:rsid w:val="00767FA9"/>
  </w:style>
  <w:style w:type="paragraph" w:customStyle="1" w:styleId="Boxbullet">
    <w:name w:val="Box bullet"/>
    <w:basedOn w:val="Bodybullets"/>
    <w:qFormat/>
    <w:rsid w:val="00767FA9"/>
    <w:pPr>
      <w:spacing w:before="0" w:after="0"/>
    </w:pPr>
  </w:style>
  <w:style w:type="table" w:customStyle="1" w:styleId="BoxDesign">
    <w:name w:val="Box Design"/>
    <w:basedOn w:val="TableNormal"/>
    <w:uiPriority w:val="99"/>
    <w:rsid w:val="00767FA9"/>
    <w:pPr>
      <w:spacing w:after="0" w:line="240" w:lineRule="auto"/>
    </w:pPr>
    <w:rPr>
      <w:rFonts w:ascii="Calibri" w:hAnsi="Calibri" w:cs="Arial (Body CS)"/>
      <w:color w:val="000000" w:themeColor="text1"/>
      <w:kern w:val="0"/>
      <w14:ligatures w14:val="none"/>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cPr>
      <w:shd w:val="clear" w:color="auto" w:fill="DEEBF7"/>
    </w:tcPr>
    <w:tblStylePr w:type="firstRow">
      <w:rPr>
        <w:rFonts w:ascii="Calibri" w:hAnsi="Calibri"/>
        <w:b/>
        <w:i w:val="0"/>
        <w:color w:val="FFFFFF" w:themeColor="background1"/>
        <w:sz w:val="24"/>
      </w:rPr>
      <w:tblPr>
        <w:tblCellMar>
          <w:top w:w="0" w:type="dxa"/>
          <w:left w:w="113" w:type="dxa"/>
          <w:bottom w:w="0" w:type="dxa"/>
          <w:right w:w="113" w:type="dxa"/>
        </w:tblCellMar>
      </w:tblPr>
      <w:tcPr>
        <w:shd w:val="clear" w:color="auto" w:fill="1F3764"/>
      </w:tcPr>
    </w:tblStylePr>
    <w:tblStylePr w:type="firstCol">
      <w:rPr>
        <w:rFonts w:ascii="Calibri" w:hAnsi="Calibri"/>
        <w:b w:val="0"/>
        <w:i w:val="0"/>
        <w:sz w:val="24"/>
      </w:rPr>
    </w:tblStylePr>
    <w:tblStylePr w:type="band1Horz">
      <w:rPr>
        <w:rFonts w:ascii="Calibri" w:hAnsi="Calibri"/>
        <w:b w:val="0"/>
        <w:i w:val="0"/>
        <w:sz w:val="24"/>
      </w:rPr>
    </w:tblStylePr>
    <w:tblStylePr w:type="band2Horz">
      <w:rPr>
        <w:rFonts w:ascii="Calibri" w:hAnsi="Calibri"/>
        <w:b w:val="0"/>
        <w:i w:val="0"/>
        <w:sz w:val="24"/>
      </w:rPr>
    </w:tblStylePr>
    <w:tblStylePr w:type="nwCell">
      <w:rPr>
        <w:rFonts w:ascii="Calibri" w:hAnsi="Calibri"/>
        <w:b/>
        <w:i w:val="0"/>
        <w:color w:val="FFFFFF" w:themeColor="background1"/>
        <w:sz w:val="24"/>
      </w:rPr>
    </w:tblStylePr>
  </w:style>
  <w:style w:type="character" w:styleId="FootnoteReference">
    <w:name w:val="footnote reference"/>
    <w:basedOn w:val="DefaultParagraphFont"/>
    <w:uiPriority w:val="99"/>
    <w:semiHidden/>
    <w:unhideWhenUsed/>
    <w:rsid w:val="00767FA9"/>
    <w:rPr>
      <w:vertAlign w:val="superscript"/>
    </w:rPr>
  </w:style>
  <w:style w:type="paragraph" w:styleId="Header">
    <w:name w:val="header"/>
    <w:basedOn w:val="Normal"/>
    <w:link w:val="HeaderChar"/>
    <w:uiPriority w:val="99"/>
    <w:unhideWhenUsed/>
    <w:rsid w:val="00767FA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7FA9"/>
    <w:rPr>
      <w:rFonts w:ascii="Calibri" w:hAnsi="Calibri"/>
      <w:kern w:val="0"/>
      <w14:ligatures w14:val="none"/>
    </w:rPr>
  </w:style>
  <w:style w:type="paragraph" w:customStyle="1" w:styleId="EndNoteBibliographyTitle">
    <w:name w:val="EndNote Bibliography Title"/>
    <w:basedOn w:val="Normal"/>
    <w:link w:val="EndNoteBibliographyTitleChar"/>
    <w:rsid w:val="00853AA3"/>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853AA3"/>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853AA3"/>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853AA3"/>
    <w:rPr>
      <w:rFonts w:ascii="Calibri" w:hAnsi="Calibri" w:cs="Calibri"/>
      <w:noProof/>
      <w:kern w:val="0"/>
      <w:lang w:val="en-US"/>
      <w14:ligatures w14:val="none"/>
    </w:rPr>
  </w:style>
  <w:style w:type="character" w:styleId="Hyperlink">
    <w:name w:val="Hyperlink"/>
    <w:basedOn w:val="DefaultParagraphFont"/>
    <w:uiPriority w:val="99"/>
    <w:unhideWhenUsed/>
    <w:rsid w:val="00853AA3"/>
    <w:rPr>
      <w:color w:val="467886" w:themeColor="hyperlink"/>
      <w:u w:val="single"/>
    </w:rPr>
  </w:style>
  <w:style w:type="character" w:styleId="UnresolvedMention">
    <w:name w:val="Unresolved Mention"/>
    <w:basedOn w:val="DefaultParagraphFont"/>
    <w:uiPriority w:val="99"/>
    <w:semiHidden/>
    <w:unhideWhenUsed/>
    <w:rsid w:val="00853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beehive.govt.nz/release/improving-new-zealand%E2%80%99s-climate-change-a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limatecommission.govt.nz/assets/Monitoring-and-reporting/ERM-2025/CCC-5929-ERM-202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limatecommission.govt.nz/assets/ETS-advice/2026/23-Jan-2026-Letter-to-CCC-Chair-regarding-options-for-2026-ETS-Settings-advic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AF364BA4E84B9543957364282FF41210" ma:contentTypeVersion="51" ma:contentTypeDescription="Create a new document." ma:contentTypeScope="" ma:versionID="049a8aa6ef3c8221dbf46ddec8c8d1b9">
  <xsd:schema xmlns:xsd="http://www.w3.org/2001/XMLSchema" xmlns:xs="http://www.w3.org/2001/XMLSchema" xmlns:p="http://schemas.microsoft.com/office/2006/metadata/properties" xmlns:ns1="http://schemas.microsoft.com/sharepoint/v3" xmlns:ns2="0840200d-5ad4-4088-9410-7099857a429a" xmlns:ns3="1cac9bea-d09c-48b0-9841-7eb5347add9c" xmlns:ns4="8a3f5702-9a46-4137-a532-513db37e74f5" targetNamespace="http://schemas.microsoft.com/office/2006/metadata/properties" ma:root="true" ma:fieldsID="f6f454640b10c7cdcb7ec3b79b96292b" ns1:_="" ns2:_="" ns3:_="" ns4:_="">
    <xsd:import namespace="http://schemas.microsoft.com/sharepoint/v3"/>
    <xsd:import namespace="0840200d-5ad4-4088-9410-7099857a429a"/>
    <xsd:import namespace="1cac9bea-d09c-48b0-9841-7eb5347add9c"/>
    <xsd:import namespace="8a3f5702-9a46-4137-a532-513db37e74f5"/>
    <xsd:element name="properties">
      <xsd:complexType>
        <xsd:sequence>
          <xsd:element name="documentManagement">
            <xsd:complexType>
              <xsd:all>
                <xsd:element ref="ns1:_ExtendedDescription" minOccurs="0"/>
                <xsd:element ref="ns2:FunctionGroup" minOccurs="0"/>
                <xsd:element ref="ns2:Function" minOccurs="0"/>
                <xsd:element ref="ns2:Activity" minOccurs="0"/>
                <xsd:element ref="ns2:Subactivity" minOccurs="0"/>
                <xsd:element ref="ns2:Case" minOccurs="0"/>
                <xsd:element ref="ns2:Category1" minOccurs="0"/>
                <xsd:element ref="ns2:Category2" minOccurs="0"/>
                <xsd:element ref="ns2:Team" minOccurs="0"/>
                <xsd:element ref="ns2:Channel" minOccurs="0"/>
                <xsd:element ref="ns2:Year" minOccurs="0"/>
                <xsd:element ref="ns2:Level2" minOccurs="0"/>
                <xsd:element ref="ns2:Level3" minOccurs="0"/>
                <xsd:element ref="ns2:PRAType" minOccurs="0"/>
                <xsd:element ref="ns2:AggregationStatus" minOccurs="0"/>
                <xsd:element ref="ns2:SetLabel" minOccurs="0"/>
                <xsd:element ref="ns2:DocumentType" minOccurs="0"/>
                <xsd:element ref="ns2:ILFrom" minOccurs="0"/>
                <xsd:element ref="ns2:HarmonieUIHidden" minOccurs="0"/>
                <xsd:element ref="ns2:Narrative" minOccurs="0"/>
                <xsd:element ref="ns2:OriginalSubject" minOccurs="0"/>
                <xsd:element ref="ns2:PRADateDisposal" minOccurs="0"/>
                <xsd:element ref="ns2:PRADateTrigger" minOccurs="0"/>
                <xsd:element ref="ns2:PRAText1" minOccurs="0"/>
                <xsd:element ref="ns2:PRAText2" minOccurs="0"/>
                <xsd:element ref="ns2:PRAText4" minOccurs="0"/>
                <xsd:element ref="ns2:PRAText5" minOccurs="0"/>
                <xsd:element ref="ns2:Project" minOccurs="0"/>
                <xsd:element ref="ns2:Received" minOccurs="0"/>
                <xsd:element ref="ns2:RelatedPeople" minOccurs="0"/>
                <xsd:element ref="ns2:SecurityClassification" minOccurs="0"/>
                <xsd:element ref="ns2:Sent" minOccurs="0"/>
                <xsd:element ref="ns2:To" minOccurs="0"/>
                <xsd:element ref="ns2:zLegacyDocID" minOccurs="0"/>
                <xsd:element ref="ns2:zLegacy" minOccurs="0"/>
                <xsd:element ref="ns2:zLegacyJSON" minOccurs="0"/>
                <xsd:element ref="ns2:CC" minOccurs="0"/>
                <xsd:element ref="ns2:MailPreviewData" minOccurs="0"/>
                <xsd:element ref="ns3:SetSensitivity" minOccurs="0"/>
                <xsd:element ref="ns3:PRAText3" minOccurs="0"/>
                <xsd:element ref="ns3:Level1" minOccurs="0"/>
                <xsd:element ref="ns3:zMigrationID" minOccurs="0"/>
                <xsd:element ref="ns3:ProjectID" minOccurs="0"/>
                <xsd:element ref="ns3:zLegacyID"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2:TaxCatchAll"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 nillable="true" ma:displayName="Description" ma:default=""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40200d-5ad4-4088-9410-7099857a429a" elementFormDefault="qualified">
    <xsd:import namespace="http://schemas.microsoft.com/office/2006/documentManagement/types"/>
    <xsd:import namespace="http://schemas.microsoft.com/office/infopath/2007/PartnerControls"/>
    <xsd:element name="FunctionGroup" ma:index="9" nillable="true" ma:displayName="Function Group" ma:default="NA" ma:hidden="true" ma:internalName="FunctionGroup" ma:readOnly="false">
      <xsd:simpleType>
        <xsd:restriction base="dms:Text">
          <xsd:maxLength value="255"/>
        </xsd:restriction>
      </xsd:simpleType>
    </xsd:element>
    <xsd:element name="Function" ma:index="10" nillable="true" ma:displayName="Function" ma:default="Advice" ma:hidden="true" ma:internalName="Function" ma:readOnly="false">
      <xsd:simpleType>
        <xsd:restriction base="dms:Text">
          <xsd:maxLength value="255"/>
        </xsd:restriction>
      </xsd:simpleType>
    </xsd:element>
    <xsd:element name="Activity" ma:index="11" nillable="true" ma:displayName="Activity" ma:default="Emissions Trading Scheme (NZETS)" ma:hidden="true" ma:internalName="Activity" ma:readOnly="false">
      <xsd:simpleType>
        <xsd:restriction base="dms:Text">
          <xsd:maxLength value="255"/>
        </xsd:restriction>
      </xsd:simpleType>
    </xsd:element>
    <xsd:element name="Subactivity" ma:index="12" nillable="true" ma:displayName="Subactivity" ma:default="Unit limits and price control settings" ma:hidden="true" ma:indexed="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Category1" ma:index="14" nillable="true" ma:displayName="Category 1" ma:default="NA" ma:hidden="true" ma:indexed="true" ma:internalName="Category1" ma:readOnly="false">
      <xsd:simpleType>
        <xsd:restriction base="dms:Text">
          <xsd:maxLength value="255"/>
        </xsd:restriction>
      </xsd:simpleType>
    </xsd:element>
    <xsd:element name="Category2" ma:index="15" nillable="true" ma:displayName="Category 2" ma:default="NA" ma:hidden="true" ma:indexed="true" ma:internalName="Category2" ma:readOnly="false">
      <xsd:simpleType>
        <xsd:restriction base="dms:Text">
          <xsd:maxLength value="255"/>
        </xsd:restriction>
      </xsd:simpleType>
    </xsd:element>
    <xsd:element name="Team" ma:index="16" nillable="true" ma:displayName="Team" ma:default="NZ ETS 2026" ma:hidden="true" ma:internalName="Team" ma:readOnly="false">
      <xsd:simpleType>
        <xsd:restriction base="dms:Text">
          <xsd:maxLength value="255"/>
        </xsd:restriction>
      </xsd:simpleType>
    </xsd:element>
    <xsd:element name="Channel" ma:index="17" nillable="true" ma:displayName="Channel" ma:default="NA" ma:hidden="true" ma:internalName="Channel" ma:readOnly="false">
      <xsd:simpleType>
        <xsd:restriction base="dms:Text">
          <xsd:maxLength value="255"/>
        </xsd:restriction>
      </xsd:simpleType>
    </xsd:element>
    <xsd:element name="Year" ma:index="18" nillable="true" ma:displayName="Year" ma:default="NA" ma:hidden="true" ma:internalName="Year" ma:readOnly="false">
      <xsd:simpleType>
        <xsd:restriction base="dms:Text">
          <xsd:maxLength value="255"/>
        </xsd:restriction>
      </xsd:simpleType>
    </xsd:element>
    <xsd:element name="Level2" ma:index="19" nillable="true" ma:displayName="Level 2" ma:default="NA" ma:hidden="true" ma:internalName="Level2" ma:readOnly="false">
      <xsd:simpleType>
        <xsd:restriction base="dms:Text">
          <xsd:maxLength value="255"/>
        </xsd:restriction>
      </xsd:simpleType>
    </xsd:element>
    <xsd:element name="Level3" ma:index="20" nillable="true" ma:displayName="Level 3" ma:default="NA" ma:hidden="true" ma:internalName="Level3"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AggregationStatus" ma:index="22"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enumeration value="Normal"/>
        </xsd:restriction>
      </xsd:simpleType>
    </xsd:element>
    <xsd:element name="SetLabel" ma:index="23" nillable="true" ma:displayName="Set Label" ma:default="NOT SET" ma:hidden="true" ma:indexed="true" ma:internalName="SetLabel" ma:readOnly="false">
      <xsd:simpleType>
        <xsd:restriction base="dms:Text">
          <xsd:maxLength value="255"/>
        </xsd:restriction>
      </xsd:simpleType>
    </xsd:element>
    <xsd:element name="DocumentType" ma:index="24"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ILFrom" ma:index="25" nillable="true" ma:displayName="From" ma:hidden="true" ma:internalName="ILFrom" ma:readOnly="false">
      <xsd:simpleType>
        <xsd:restriction base="dms:Text">
          <xsd:maxLength value="255"/>
        </xsd:restriction>
      </xsd:simpleType>
    </xsd:element>
    <xsd:element name="HarmonieUIHidden" ma:index="26" nillable="true" ma:displayName="HarmonieUIHidden" ma:hidden="true" ma:internalName="HarmonieUIHidden" ma:readOnly="false">
      <xsd:simpleType>
        <xsd:restriction base="dms:Text">
          <xsd:maxLength value="255"/>
        </xsd:restriction>
      </xsd:simpleType>
    </xsd:element>
    <xsd:element name="Narrative" ma:index="27" nillable="true" ma:displayName="Narrative" ma:hidden="true" ma:internalName="Narrative" ma:readOnly="false">
      <xsd:simpleType>
        <xsd:restriction base="dms:Note"/>
      </xsd:simpleType>
    </xsd:element>
    <xsd:element name="OriginalSubject" ma:index="28" nillable="true" ma:displayName="Original Subject" ma:hidden="true" ma:internalName="OriginalSubject" ma:readOnly="false">
      <xsd:simpleType>
        <xsd:restriction base="dms:Text">
          <xsd:maxLength value="255"/>
        </xsd:restriction>
      </xsd:simpleType>
    </xsd:element>
    <xsd:element name="PRADateDisposal" ma:index="29" nillable="true" ma:displayName="PRA Date Disposal" ma:format="DateOnly" ma:hidden="true" ma:internalName="PRADateDisposal" ma:readOnly="false">
      <xsd:simpleType>
        <xsd:restriction base="dms:DateTime"/>
      </xsd:simpleType>
    </xsd:element>
    <xsd:element name="PRADateTrigger" ma:index="30" nillable="true" ma:displayName="PRA Date Trigger" ma:format="DateOnly" ma:hidden="true" ma:internalName="PRADateTrigger" ma:readOnly="false">
      <xsd:simpleType>
        <xsd:restriction base="dms:DateTime"/>
      </xsd:simpleType>
    </xsd:element>
    <xsd:element name="PRAText1" ma:index="31" nillable="true" ma:displayName="PRA Text 1" ma:hidden="true" ma:internalName="PRAText1" ma:readOnly="false">
      <xsd:simpleType>
        <xsd:restriction base="dms:Text">
          <xsd:maxLength value="255"/>
        </xsd:restriction>
      </xsd:simpleType>
    </xsd:element>
    <xsd:element name="PRAText2" ma:index="32" nillable="true" ma:displayName="PRA Text 2" ma:hidden="true" ma:internalName="PRAText2" ma:readOnly="false">
      <xsd:simpleType>
        <xsd:restriction base="dms:Text">
          <xsd:maxLength value="255"/>
        </xsd:restriction>
      </xsd:simpleType>
    </xsd:element>
    <xsd:element name="PRAText4" ma:index="33" nillable="true" ma:displayName="PRA Text 4" ma:hidden="true" ma:internalName="PRAText4" ma:readOnly="false">
      <xsd:simpleType>
        <xsd:restriction base="dms:Text">
          <xsd:maxLength value="255"/>
        </xsd:restriction>
      </xsd:simpleType>
    </xsd:element>
    <xsd:element name="PRAText5" ma:index="34" nillable="true" ma:displayName="PRA Text 5" ma:hidden="true" ma:internalName="PRAText5" ma:readOnly="false">
      <xsd:simpleType>
        <xsd:restriction base="dms:Text">
          <xsd:maxLength value="255"/>
        </xsd:restriction>
      </xsd:simpleType>
    </xsd:element>
    <xsd:element name="Project" ma:index="35" nillable="true" ma:displayName="Project" ma:default="NA" ma:hidden="true" ma:internalName="Project" ma:readOnly="false">
      <xsd:simpleType>
        <xsd:restriction base="dms:Text">
          <xsd:maxLength value="255"/>
        </xsd:restriction>
      </xsd:simpleType>
    </xsd:element>
    <xsd:element name="Received" ma:index="36" nillable="true" ma:displayName="Received" ma:format="DateOnly" ma:hidden="true" ma:internalName="Received" ma:readOnly="false">
      <xsd:simpleType>
        <xsd:restriction base="dms:DateTime"/>
      </xsd:simpleType>
    </xsd:element>
    <xsd:element name="RelatedPeople" ma:index="37" nillable="true" ma:displayName="Related People" ma:hidden="true" ma:list="UserInfo" ma:SharePointGroup="0" ma:internalName="RelatedPeop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38" nillable="true" ma:displayName="Security Classification" ma:default="C2. INTERNAL" ma:format="Dropdown" ma:hidden="true" ma:internalName="SecurityClassification">
      <xsd:simpleType>
        <xsd:union memberTypes="dms:Text">
          <xsd:simpleType>
            <xsd:restriction base="dms:Choice">
              <xsd:enumeration value="C1. OPEN"/>
              <xsd:enumeration value="C2. INTERNAL"/>
              <xsd:enumeration value="C3. RESTRICTED"/>
              <xsd:enumeration value="C4. CONFIDENTIAL"/>
              <xsd:enumeration value="C2. INTERNAL"/>
            </xsd:restriction>
          </xsd:simpleType>
        </xsd:union>
      </xsd:simpleType>
    </xsd:element>
    <xsd:element name="Sent" ma:index="39" nillable="true" ma:displayName="Sent" ma:format="DateTime" ma:hidden="true" ma:internalName="Sent" ma:readOnly="false">
      <xsd:simpleType>
        <xsd:restriction base="dms:DateTime"/>
      </xsd:simpleType>
    </xsd:element>
    <xsd:element name="To" ma:index="40" nillable="true" ma:displayName="To" ma:hidden="true" ma:internalName="To" ma:readOnly="false">
      <xsd:simpleType>
        <xsd:restriction base="dms:Text">
          <xsd:maxLength value="255"/>
        </xsd:restriction>
      </xsd:simpleType>
    </xsd:element>
    <xsd:element name="zLegacyDocID" ma:index="41" nillable="true" ma:displayName="Legacy Doc ID" ma:hidden="true" ma:internalName="zLegacyDocID" ma:readOnly="false">
      <xsd:simpleType>
        <xsd:restriction base="dms:Text">
          <xsd:maxLength value="255"/>
        </xsd:restriction>
      </xsd:simpleType>
    </xsd:element>
    <xsd:element name="zLegacy" ma:index="42" nillable="true" ma:displayName="zLegacy" ma:hidden="true" ma:internalName="zLegacy" ma:readOnly="false">
      <xsd:simpleType>
        <xsd:restriction base="dms:Note"/>
      </xsd:simpleType>
    </xsd:element>
    <xsd:element name="zLegacyJSON" ma:index="43" nillable="true" ma:displayName="zLegacyJSON" ma:hidden="true" ma:internalName="zLegacyJSON" ma:readOnly="false">
      <xsd:simpleType>
        <xsd:restriction base="dms:Note"/>
      </xsd:simpleType>
    </xsd:element>
    <xsd:element name="CC" ma:index="44" nillable="true" ma:displayName="CC" ma:hidden="true" ma:internalName="CC" ma:readOnly="false">
      <xsd:simpleType>
        <xsd:restriction base="dms:Text">
          <xsd:maxLength value="255"/>
        </xsd:restriction>
      </xsd:simpleType>
    </xsd:element>
    <xsd:element name="MailPreviewData" ma:index="45" nillable="true" ma:displayName="MailPreviewData" ma:hidden="true" ma:internalName="MailPreviewData" ma:readOnly="false">
      <xsd:simpleType>
        <xsd:restriction base="dms:Note"/>
      </xsd:simple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1" nillable="true" ma:displayName="Taxonomy Catch All Column" ma:hidden="true" ma:list="{c8a64654-2c88-4a78-aae7-f2e7b6877122}" ma:internalName="TaxCatchAll" ma:showField="CatchAllData" ma:web="0840200d-5ad4-4088-9410-7099857a42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ac9bea-d09c-48b0-9841-7eb5347add9c" elementFormDefault="qualified">
    <xsd:import namespace="http://schemas.microsoft.com/office/2006/documentManagement/types"/>
    <xsd:import namespace="http://schemas.microsoft.com/office/infopath/2007/PartnerControls"/>
    <xsd:element name="SetSensitivity" ma:index="46" nillable="true" ma:displayName="Set Sensitivity" ma:default="NOT SET" ma:hidden="true" ma:indexed="true" ma:internalName="SetSensitivity" ma:readOnly="false">
      <xsd:simpleType>
        <xsd:restriction base="dms:Text">
          <xsd:maxLength value="255"/>
        </xsd:restriction>
      </xsd:simpleType>
    </xsd:element>
    <xsd:element name="PRAText3" ma:index="47" nillable="true" ma:displayName="PRA Text 3" ma:hidden="true" ma:internalName="PRAText3" ma:readOnly="false">
      <xsd:simpleType>
        <xsd:restriction base="dms:Text">
          <xsd:maxLength value="255"/>
        </xsd:restriction>
      </xsd:simpleType>
    </xsd:element>
    <xsd:element name="Level1" ma:index="48" nillable="true" ma:displayName="Level 1" ma:default="NA" ma:hidden="true" ma:internalName="Level1" ma:readOnly="false">
      <xsd:simpleType>
        <xsd:restriction base="dms:Text">
          <xsd:maxLength value="255"/>
        </xsd:restriction>
      </xsd:simpleType>
    </xsd:element>
    <xsd:element name="zMigrationID" ma:index="49" nillable="true" ma:displayName="zMigrationID" ma:hidden="true" ma:indexed="true" ma:internalName="zMigrationID" ma:readOnly="false">
      <xsd:simpleType>
        <xsd:restriction base="dms:Text">
          <xsd:maxLength value="255"/>
        </xsd:restriction>
      </xsd:simpleType>
    </xsd:element>
    <xsd:element name="ProjectID" ma:index="50" nillable="true" ma:displayName="ProjectID" ma:hidden="true" ma:internalName="ProjectID" ma:readOnly="false">
      <xsd:simpleType>
        <xsd:restriction base="dms:Text">
          <xsd:maxLength value="255"/>
        </xsd:restriction>
      </xsd:simpleType>
    </xsd:element>
    <xsd:element name="zLegacyID" ma:index="51" nillable="true" ma:displayName="zLegacyID" ma:hidden="true" ma:internalName="zLegacy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3f5702-9a46-4137-a532-513db37e74f5" elementFormDefault="qualified">
    <xsd:import namespace="http://schemas.microsoft.com/office/2006/documentManagement/types"/>
    <xsd:import namespace="http://schemas.microsoft.com/office/infopath/2007/PartnerControls"/>
    <xsd:element name="MediaServiceMetadata" ma:index="55" nillable="true" ma:displayName="MediaServiceMetadata" ma:hidden="true" ma:internalName="MediaServiceMetadata" ma:readOnly="true">
      <xsd:simpleType>
        <xsd:restriction base="dms:Note"/>
      </xsd:simpleType>
    </xsd:element>
    <xsd:element name="MediaServiceFastMetadata" ma:index="56" nillable="true" ma:displayName="MediaServiceFastMetadata" ma:hidden="true" ma:internalName="MediaServiceFastMetadata" ma:readOnly="true">
      <xsd:simpleType>
        <xsd:restriction base="dms:Note"/>
      </xsd:simpleType>
    </xsd:element>
    <xsd:element name="MediaServiceSearchProperties" ma:index="57" nillable="true" ma:displayName="MediaServiceSearchProperties" ma:hidden="true" ma:internalName="MediaServiceSearchProperties" ma:readOnly="true">
      <xsd:simpleType>
        <xsd:restriction base="dms:Note"/>
      </xsd:simpleType>
    </xsd:element>
    <xsd:element name="MediaServiceDateTaken" ma:index="58" nillable="true" ma:displayName="MediaServiceDateTaken" ma:hidden="true" ma:indexed="true" ma:internalName="MediaServiceDateTaken" ma:readOnly="true">
      <xsd:simpleType>
        <xsd:restriction base="dms:Text"/>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c284cdd8-0240-42f9-af2b-4d59cbd29a82" ma:termSetId="09814cd3-568e-fe90-9814-8d621ff8fb84" ma:anchorId="fba54fb3-c3e1-fe81-a776-ca4b69148c4d" ma:open="true" ma:isKeyword="false">
      <xsd:complexType>
        <xsd:sequence>
          <xsd:element ref="pc:Terms" minOccurs="0" maxOccurs="1"/>
        </xsd:sequence>
      </xsd:complexType>
    </xsd:element>
    <xsd:element name="MediaServiceOCR" ma:index="62" nillable="true" ma:displayName="Extracted Text" ma:internalName="MediaServiceOCR" ma:readOnly="true">
      <xsd:simpleType>
        <xsd:restriction base="dms:Note">
          <xsd:maxLength value="255"/>
        </xsd:restriction>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EventHashCode" ma:index="6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riginalSubject xmlns="0840200d-5ad4-4088-9410-7099857a429a" xsi:nil="true"/>
    <Project xmlns="0840200d-5ad4-4088-9410-7099857a429a">NA</Project>
    <Category2 xmlns="0840200d-5ad4-4088-9410-7099857a429a">NA</Category2>
    <PRAText2 xmlns="0840200d-5ad4-4088-9410-7099857a429a" xsi:nil="true"/>
    <MailPreviewData xmlns="0840200d-5ad4-4088-9410-7099857a429a" xsi:nil="true"/>
    <ILFrom xmlns="0840200d-5ad4-4088-9410-7099857a429a" xsi:nil="true"/>
    <Subactivity xmlns="0840200d-5ad4-4088-9410-7099857a429a">Unit limits and price control settings</Subactivity>
    <zLegacyDocID xmlns="0840200d-5ad4-4088-9410-7099857a429a" xsi:nil="true"/>
    <Activity xmlns="0840200d-5ad4-4088-9410-7099857a429a">Emissions Trading Scheme (NZETS)</Activity>
    <FunctionGroup xmlns="0840200d-5ad4-4088-9410-7099857a429a">NA</FunctionGroup>
    <_dlc_DocId xmlns="0840200d-5ad4-4088-9410-7099857a429a">3T2N7Z3DHK66-1885396541-16</_dlc_DocId>
    <SecurityClassification xmlns="0840200d-5ad4-4088-9410-7099857a429a">C2. INTERNAL</SecurityClassification>
    <zMigrationID xmlns="1cac9bea-d09c-48b0-9841-7eb5347add9c" xsi:nil="true"/>
    <zLegacyJSON xmlns="0840200d-5ad4-4088-9410-7099857a429a" xsi:nil="true"/>
    <ProjectID xmlns="1cac9bea-d09c-48b0-9841-7eb5347add9c" xsi:nil="true"/>
    <Narrative xmlns="0840200d-5ad4-4088-9410-7099857a429a" xsi:nil="true"/>
    <PRADateTrigger xmlns="0840200d-5ad4-4088-9410-7099857a429a" xsi:nil="true"/>
    <PRAText3 xmlns="1cac9bea-d09c-48b0-9841-7eb5347add9c" xsi:nil="true"/>
    <SetSensitivity xmlns="1cac9bea-d09c-48b0-9841-7eb5347add9c">NOT SET</SetSensitivity>
    <Level1 xmlns="1cac9bea-d09c-48b0-9841-7eb5347add9c">NA</Level1>
    <Case xmlns="0840200d-5ad4-4088-9410-7099857a429a">NA</Case>
    <_ExtendedDescription xmlns="http://schemas.microsoft.com/sharepoint/v3" xsi:nil="true"/>
    <PRADateDisposal xmlns="0840200d-5ad4-4088-9410-7099857a429a" xsi:nil="true"/>
    <Received xmlns="0840200d-5ad4-4088-9410-7099857a429a" xsi:nil="true"/>
    <PRAText4 xmlns="0840200d-5ad4-4088-9410-7099857a429a" xsi:nil="true"/>
    <Level2 xmlns="0840200d-5ad4-4088-9410-7099857a429a">NA</Level2>
    <Channel xmlns="0840200d-5ad4-4088-9410-7099857a429a">NA</Channel>
    <PRAType xmlns="0840200d-5ad4-4088-9410-7099857a429a">Doc</PRAType>
    <zLegacyID xmlns="1cac9bea-d09c-48b0-9841-7eb5347add9c" xsi:nil="true"/>
    <Year xmlns="0840200d-5ad4-4088-9410-7099857a429a">2026</Year>
    <HarmonieUIHidden xmlns="0840200d-5ad4-4088-9410-7099857a429a" xsi:nil="true"/>
    <PRAText5 xmlns="0840200d-5ad4-4088-9410-7099857a429a" xsi:nil="true"/>
    <Level3 xmlns="0840200d-5ad4-4088-9410-7099857a429a">NA</Level3>
    <lcf76f155ced4ddcb4097134ff3c332f xmlns="8a3f5702-9a46-4137-a532-513db37e74f5">
      <Terms xmlns="http://schemas.microsoft.com/office/infopath/2007/PartnerControls"/>
    </lcf76f155ced4ddcb4097134ff3c332f>
    <Team xmlns="0840200d-5ad4-4088-9410-7099857a429a">NZ ETS 2026</Team>
    <TaxCatchAll xmlns="0840200d-5ad4-4088-9410-7099857a429a" xsi:nil="true"/>
    <RelatedPeople xmlns="0840200d-5ad4-4088-9410-7099857a429a">
      <UserInfo>
        <DisplayName/>
        <AccountId xsi:nil="true"/>
        <AccountType/>
      </UserInfo>
    </RelatedPeople>
    <SetLabel xmlns="0840200d-5ad4-4088-9410-7099857a429a">NOT SET</SetLabel>
    <Function xmlns="0840200d-5ad4-4088-9410-7099857a429a">Advice</Function>
    <CC xmlns="0840200d-5ad4-4088-9410-7099857a429a" xsi:nil="true"/>
    <AggregationStatus xmlns="0840200d-5ad4-4088-9410-7099857a429a">Normal</AggregationStatus>
    <Category1 xmlns="0840200d-5ad4-4088-9410-7099857a429a">Final report</Category1>
    <To xmlns="0840200d-5ad4-4088-9410-7099857a429a" xsi:nil="true"/>
    <zLegacy xmlns="0840200d-5ad4-4088-9410-7099857a429a" xsi:nil="true"/>
    <DocumentType xmlns="0840200d-5ad4-4088-9410-7099857a429a" xsi:nil="true"/>
    <Sent xmlns="0840200d-5ad4-4088-9410-7099857a429a" xsi:nil="true"/>
    <PRAText1 xmlns="0840200d-5ad4-4088-9410-7099857a429a" xsi:nil="true"/>
    <_dlc_DocIdUrl xmlns="0840200d-5ad4-4088-9410-7099857a429a">
      <Url>https://climatechangegovt.sharepoint.com/sites/CCRA-ETS2026/_layouts/15/DocIdRedir.aspx?ID=3T2N7Z3DHK66-1885396541-16</Url>
      <Description>3T2N7Z3DHK66-1885396541-16</Description>
    </_dlc_DocIdUrl>
  </documentManagement>
</p:properties>
</file>

<file path=customXml/itemProps1.xml><?xml version="1.0" encoding="utf-8"?>
<ds:datastoreItem xmlns:ds="http://schemas.openxmlformats.org/officeDocument/2006/customXml" ds:itemID="{08D1AE01-F3C2-44D3-BAD8-1A50EE2EDA27}">
  <ds:schemaRefs>
    <ds:schemaRef ds:uri="http://schemas.openxmlformats.org/officeDocument/2006/bibliography"/>
  </ds:schemaRefs>
</ds:datastoreItem>
</file>

<file path=customXml/itemProps2.xml><?xml version="1.0" encoding="utf-8"?>
<ds:datastoreItem xmlns:ds="http://schemas.openxmlformats.org/officeDocument/2006/customXml" ds:itemID="{CECE7459-39DD-4F7A-9A15-672E7C615000}">
  <ds:schemaRefs>
    <ds:schemaRef ds:uri="http://schemas.microsoft.com/sharepoint/v3/contenttype/forms"/>
  </ds:schemaRefs>
</ds:datastoreItem>
</file>

<file path=customXml/itemProps3.xml><?xml version="1.0" encoding="utf-8"?>
<ds:datastoreItem xmlns:ds="http://schemas.openxmlformats.org/officeDocument/2006/customXml" ds:itemID="{BC4D5C96-8520-4310-BB82-67D2DF8D7E85}">
  <ds:schemaRefs>
    <ds:schemaRef ds:uri="http://schemas.microsoft.com/sharepoint/events"/>
  </ds:schemaRefs>
</ds:datastoreItem>
</file>

<file path=customXml/itemProps4.xml><?xml version="1.0" encoding="utf-8"?>
<ds:datastoreItem xmlns:ds="http://schemas.openxmlformats.org/officeDocument/2006/customXml" ds:itemID="{57FBA700-000F-49D6-83F4-D1638E203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40200d-5ad4-4088-9410-7099857a429a"/>
    <ds:schemaRef ds:uri="1cac9bea-d09c-48b0-9841-7eb5347add9c"/>
    <ds:schemaRef ds:uri="8a3f5702-9a46-4137-a532-513db37e7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04A25F-A9AE-405D-947E-B2547CF5F0AC}">
  <ds:schemaRefs>
    <ds:schemaRef ds:uri="http://schemas.microsoft.com/office/2006/metadata/properties"/>
    <ds:schemaRef ds:uri="http://schemas.microsoft.com/office/infopath/2007/PartnerControls"/>
    <ds:schemaRef ds:uri="0840200d-5ad4-4088-9410-7099857a429a"/>
    <ds:schemaRef ds:uri="1cac9bea-d09c-48b0-9841-7eb5347add9c"/>
    <ds:schemaRef ds:uri="http://schemas.microsoft.com/sharepoint/v3"/>
    <ds:schemaRef ds:uri="8a3f5702-9a46-4137-a532-513db37e74f5"/>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5546</Words>
  <Characters>28900</Characters>
  <Application>Microsoft Office Word</Application>
  <DocSecurity>0</DocSecurity>
  <Lines>589</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Freeman</dc:creator>
  <cp:keywords/>
  <dc:description/>
  <cp:lastModifiedBy>Gemma Freeman</cp:lastModifiedBy>
  <cp:revision>4</cp:revision>
  <dcterms:created xsi:type="dcterms:W3CDTF">2026-04-21T20:21:00Z</dcterms:created>
  <dcterms:modified xsi:type="dcterms:W3CDTF">2026-04-21T21:12:00Z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0x010100AF364BA4E84B9543957364282FF41210</vt:lpwstr>
  </property>
  <property fmtid="{D5CDD505-2E9C-101B-9397-08002B2CF9AE}" pid="3" name="_dlc_DocIdItemGuid">
    <vt:lpwstr>4007ea06-ee29-45cc-bf94-bf905446f5ae</vt:lpwstr>
  </property>
  <property fmtid="{D5CDD505-2E9C-101B-9397-08002B2CF9AE}" pid="4" name="MediaServiceImageTags">
    <vt:lpwstr/>
  </property>
</Properties>
</file>