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AD74C" w14:textId="77777777" w:rsidR="00D04AF4" w:rsidRDefault="00D04AF4" w:rsidP="00D04AF4">
      <w:pPr>
        <w:pStyle w:val="Title"/>
      </w:pPr>
      <w:bookmarkStart w:id="0" w:name="_Toc225320166"/>
      <w:bookmarkStart w:id="1" w:name="_Toc225329764"/>
      <w:r>
        <w:rPr>
          <w:noProof/>
        </w:rPr>
        <mc:AlternateContent>
          <mc:Choice Requires="wps">
            <w:drawing>
              <wp:anchor distT="0" distB="0" distL="114300" distR="114300" simplePos="0" relativeHeight="251658241" behindDoc="0" locked="0" layoutInCell="1" allowOverlap="1" wp14:anchorId="79210ACF" wp14:editId="03A89067">
                <wp:simplePos x="0" y="0"/>
                <wp:positionH relativeFrom="column">
                  <wp:posOffset>4248150</wp:posOffset>
                </wp:positionH>
                <wp:positionV relativeFrom="paragraph">
                  <wp:posOffset>-218067</wp:posOffset>
                </wp:positionV>
                <wp:extent cx="1600873" cy="768227"/>
                <wp:effectExtent l="0" t="0" r="0" b="0"/>
                <wp:wrapNone/>
                <wp:docPr id="6" name="Text Box 6"/>
                <wp:cNvGraphicFramePr/>
                <a:graphic xmlns:a="http://schemas.openxmlformats.org/drawingml/2006/main">
                  <a:graphicData uri="http://schemas.microsoft.com/office/word/2010/wordprocessingShape">
                    <wps:wsp>
                      <wps:cNvSpPr txBox="1"/>
                      <wps:spPr>
                        <a:xfrm>
                          <a:off x="0" y="0"/>
                          <a:ext cx="1600873" cy="768227"/>
                        </a:xfrm>
                        <a:prstGeom prst="rect">
                          <a:avLst/>
                        </a:prstGeom>
                        <a:blipFill dpi="0" rotWithShape="1">
                          <a:blip r:embed="rId12" cstate="print">
                            <a:extLst>
                              <a:ext uri="{28A0092B-C50C-407E-A947-70E740481C1C}">
                                <a14:useLocalDpi xmlns:a14="http://schemas.microsoft.com/office/drawing/2010/main" val="0"/>
                              </a:ext>
                            </a:extLst>
                          </a:blip>
                          <a:srcRect/>
                          <a:stretch>
                            <a:fillRect/>
                          </a:stretch>
                        </a:blipFill>
                        <a:ln w="6350">
                          <a:noFill/>
                        </a:ln>
                      </wps:spPr>
                      <wps:txbx>
                        <w:txbxContent>
                          <w:p w14:paraId="1A3331B8" w14:textId="77777777" w:rsidR="00D04AF4" w:rsidRDefault="00D04AF4" w:rsidP="00D04AF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210ACF" id="_x0000_t202" coordsize="21600,21600" o:spt="202" path="m,l,21600r21600,l21600,xe">
                <v:stroke joinstyle="miter"/>
                <v:path gradientshapeok="t" o:connecttype="rect"/>
              </v:shapetype>
              <v:shape id="Text Box 6" o:spid="_x0000_s1026" type="#_x0000_t202" style="position:absolute;margin-left:334.5pt;margin-top:-17.15pt;width:126.05pt;height:6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" stroked="f" strokeweight=".5pt">
                <v:fill r:id="rId13" o:title="" recolor="t" rotate="t" type="frame"/>
                <v:textbox>
                  <w:txbxContent>
                    <w:p w14:paraId="1A3331B8" w14:textId="77777777" w:rsidR="00D04AF4" w:rsidRDefault="00D04AF4" w:rsidP="00D04AF4"/>
                  </w:txbxContent>
                </v:textbox>
              </v:shape>
            </w:pict>
          </mc:Fallback>
        </mc:AlternateContent>
      </w:r>
    </w:p>
    <w:p w14:paraId="0B027A78" w14:textId="77777777" w:rsidR="00D04AF4" w:rsidRDefault="00D04AF4" w:rsidP="00D04AF4">
      <w:pPr>
        <w:rPr>
          <w:rFonts w:eastAsiaTheme="majorEastAsia"/>
          <w:b/>
          <w:spacing w:val="-10"/>
          <w:kern w:val="28"/>
          <w:sz w:val="56"/>
          <w:szCs w:val="56"/>
        </w:rPr>
      </w:pPr>
      <w:r>
        <w:rPr>
          <w:noProof/>
        </w:rPr>
        <mc:AlternateContent>
          <mc:Choice Requires="wpg">
            <w:drawing>
              <wp:anchor distT="0" distB="0" distL="114300" distR="114300" simplePos="0" relativeHeight="251658242" behindDoc="1" locked="0" layoutInCell="1" allowOverlap="1" wp14:anchorId="74B873CA" wp14:editId="633F0B4F">
                <wp:simplePos x="0" y="0"/>
                <wp:positionH relativeFrom="column">
                  <wp:posOffset>-212090</wp:posOffset>
                </wp:positionH>
                <wp:positionV relativeFrom="paragraph">
                  <wp:posOffset>-156845</wp:posOffset>
                </wp:positionV>
                <wp:extent cx="6188149" cy="2973927"/>
                <wp:effectExtent l="0" t="0" r="9525" b="10795"/>
                <wp:wrapNone/>
                <wp:docPr id="1905028448" name="Group 1"/>
                <wp:cNvGraphicFramePr/>
                <a:graphic xmlns:a="http://schemas.openxmlformats.org/drawingml/2006/main">
                  <a:graphicData uri="http://schemas.microsoft.com/office/word/2010/wordprocessingGroup">
                    <wpg:wgp>
                      <wpg:cNvGrpSpPr/>
                      <wpg:grpSpPr>
                        <a:xfrm>
                          <a:off x="0" y="0"/>
                          <a:ext cx="6188149" cy="2973927"/>
                          <a:chOff x="0" y="0"/>
                          <a:chExt cx="6188149" cy="2973927"/>
                        </a:xfrm>
                      </wpg:grpSpPr>
                      <wps:wsp>
                        <wps:cNvPr id="1674566071" name="docshape4"/>
                        <wps:cNvSpPr txBox="1">
                          <a:spLocks/>
                        </wps:cNvSpPr>
                        <wps:spPr bwMode="auto">
                          <a:xfrm>
                            <a:off x="0" y="0"/>
                            <a:ext cx="6188149" cy="2158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7321E" w14:textId="77777777" w:rsidR="00D04AF4" w:rsidRPr="00BE2E6A" w:rsidRDefault="00D04AF4" w:rsidP="00D04AF4">
                              <w:pPr>
                                <w:pStyle w:val="Heading1"/>
                                <w:spacing w:before="100" w:beforeAutospacing="1" w:after="100" w:afterAutospacing="1" w:line="840" w:lineRule="exact"/>
                                <w:rPr>
                                  <w:color w:val="65FFBF"/>
                                  <w:spacing w:val="-14"/>
                                  <w:sz w:val="84"/>
                                  <w:szCs w:val="84"/>
                                </w:rPr>
                              </w:pPr>
                              <w:r w:rsidRPr="00BE2E6A">
                                <w:rPr>
                                  <w:color w:val="00004C"/>
                                  <w:spacing w:val="-14"/>
                                  <w:sz w:val="84"/>
                                  <w:szCs w:val="84"/>
                                </w:rPr>
                                <w:t xml:space="preserve">Advice on </w:t>
                              </w:r>
                              <w:r w:rsidRPr="00BE2E6A">
                                <w:rPr>
                                  <w:color w:val="00004C"/>
                                  <w:spacing w:val="-14"/>
                                  <w:sz w:val="84"/>
                                  <w:szCs w:val="84"/>
                                </w:rPr>
                                <w:br/>
                              </w:r>
                              <w:r w:rsidRPr="00BE2E6A">
                                <w:rPr>
                                  <w:color w:val="00B3A4"/>
                                  <w:spacing w:val="-14"/>
                                  <w:sz w:val="84"/>
                                  <w:szCs w:val="84"/>
                                </w:rPr>
                                <w:t xml:space="preserve">NZ ETS unit limits and </w:t>
                              </w:r>
                              <w:r>
                                <w:rPr>
                                  <w:color w:val="00B3A4"/>
                                  <w:spacing w:val="-14"/>
                                  <w:sz w:val="84"/>
                                  <w:szCs w:val="84"/>
                                </w:rPr>
                                <w:br/>
                              </w:r>
                              <w:r w:rsidRPr="00BE2E6A">
                                <w:rPr>
                                  <w:color w:val="00B3A4"/>
                                  <w:spacing w:val="-14"/>
                                  <w:sz w:val="84"/>
                                  <w:szCs w:val="84"/>
                                </w:rPr>
                                <w:t xml:space="preserve">price control settings </w:t>
                              </w:r>
                              <w:r w:rsidRPr="00BE2E6A">
                                <w:rPr>
                                  <w:color w:val="00B3A4"/>
                                  <w:spacing w:val="-14"/>
                                  <w:sz w:val="84"/>
                                  <w:szCs w:val="84"/>
                                </w:rPr>
                                <w:br/>
                                <w:t>for 2027–2031</w:t>
                              </w:r>
                            </w:p>
                            <w:p w14:paraId="641A6D4E" w14:textId="77777777" w:rsidR="00D04AF4" w:rsidRDefault="00D04AF4" w:rsidP="00D04AF4">
                              <w:pPr>
                                <w:pStyle w:val="Heading4"/>
                                <w:spacing w:line="240" w:lineRule="auto"/>
                              </w:pPr>
                            </w:p>
                          </w:txbxContent>
                        </wps:txbx>
                        <wps:bodyPr rot="0" vert="horz" wrap="square" lIns="0" tIns="0" rIns="0" bIns="0" anchor="t" anchorCtr="0" upright="1">
                          <a:noAutofit/>
                        </wps:bodyPr>
                      </wps:wsp>
                      <wps:wsp>
                        <wps:cNvPr id="1347741541" name="docshape5"/>
                        <wps:cNvSpPr txBox="1">
                          <a:spLocks/>
                        </wps:cNvSpPr>
                        <wps:spPr bwMode="auto">
                          <a:xfrm>
                            <a:off x="0" y="2222205"/>
                            <a:ext cx="514604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04351" w14:textId="77777777" w:rsidR="00D04AF4" w:rsidRPr="00BE2E6A" w:rsidRDefault="00D04AF4" w:rsidP="00D04AF4">
                              <w:pPr>
                                <w:pStyle w:val="Heading2"/>
                                <w:rPr>
                                  <w:lang w:val="en-AU"/>
                                </w:rPr>
                              </w:pPr>
                              <w:r>
                                <w:rPr>
                                  <w:lang w:val="en-AU"/>
                                </w:rPr>
                                <w:t>Technical annex 1: Unit limit settings</w:t>
                              </w:r>
                            </w:p>
                          </w:txbxContent>
                        </wps:txbx>
                        <wps:bodyPr rot="0" vert="horz" wrap="square" lIns="0" tIns="0" rIns="0" bIns="0" anchor="t" anchorCtr="0" upright="1">
                          <a:noAutofit/>
                        </wps:bodyPr>
                      </wps:wsp>
                      <wps:wsp>
                        <wps:cNvPr id="1973621103" name="docshape5"/>
                        <wps:cNvSpPr txBox="1">
                          <a:spLocks/>
                        </wps:cNvSpPr>
                        <wps:spPr bwMode="auto">
                          <a:xfrm>
                            <a:off x="0" y="2562447"/>
                            <a:ext cx="514604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836F8B" w14:textId="77777777" w:rsidR="00D04AF4" w:rsidRPr="00BE2E6A" w:rsidRDefault="00D04AF4" w:rsidP="00D04AF4">
                              <w:pPr>
                                <w:pStyle w:val="Heading2"/>
                                <w:rPr>
                                  <w:b w:val="0"/>
                                  <w:bCs/>
                                  <w:lang w:val="en-AU"/>
                                </w:rPr>
                              </w:pPr>
                              <w:r w:rsidRPr="00BE2E6A">
                                <w:rPr>
                                  <w:b w:val="0"/>
                                  <w:bCs/>
                                  <w:lang w:val="en-AU"/>
                                </w:rPr>
                                <w:t>April 2026</w:t>
                              </w:r>
                            </w:p>
                          </w:txbxContent>
                        </wps:txbx>
                        <wps:bodyPr rot="0" vert="horz" wrap="square" lIns="0" tIns="0" rIns="0" bIns="0" anchor="t" anchorCtr="0" upright="1">
                          <a:noAutofit/>
                        </wps:bodyPr>
                      </wps:wsp>
                    </wpg:wgp>
                  </a:graphicData>
                </a:graphic>
              </wp:anchor>
            </w:drawing>
          </mc:Choice>
          <mc:Fallback>
            <w:pict>
              <v:group w14:anchorId="74B873CA" id="Group 1" o:spid="_x0000_s1027" style="position:absolute;margin-left:-16.7pt;margin-top:-12.35pt;width:487.25pt;height:234.15pt;z-index:-251658238" coordsize="61881,29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">
                <v:shape id="docshape4" o:spid="_x0000_s1028" type="#_x0000_t202" style="position:absolute;width:61881;height:21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" filled="f" stroked="f">
                  <v:path arrowok="t"/>
                  <v:textbox inset="0,0,0,0">
                    <w:txbxContent>
                      <w:p w14:paraId="3907321E" w14:textId="77777777" w:rsidR="00D04AF4" w:rsidRPr="00BE2E6A" w:rsidRDefault="00D04AF4" w:rsidP="00D04AF4">
                        <w:pPr>
                          <w:pStyle w:val="Heading1"/>
                          <w:spacing w:before="100" w:beforeAutospacing="1" w:after="100" w:afterAutospacing="1" w:line="840" w:lineRule="exact"/>
                          <w:rPr>
                            <w:color w:val="65FFBF"/>
                            <w:spacing w:val="-14"/>
                            <w:sz w:val="84"/>
                            <w:szCs w:val="84"/>
                          </w:rPr>
                        </w:pPr>
                        <w:r w:rsidRPr="00BE2E6A">
                          <w:rPr>
                            <w:color w:val="00004C"/>
                            <w:spacing w:val="-14"/>
                            <w:sz w:val="84"/>
                            <w:szCs w:val="84"/>
                          </w:rPr>
                          <w:t xml:space="preserve">Advice on </w:t>
                        </w:r>
                        <w:r w:rsidRPr="00BE2E6A">
                          <w:rPr>
                            <w:color w:val="00004C"/>
                            <w:spacing w:val="-14"/>
                            <w:sz w:val="84"/>
                            <w:szCs w:val="84"/>
                          </w:rPr>
                          <w:br/>
                        </w:r>
                        <w:r w:rsidRPr="00BE2E6A">
                          <w:rPr>
                            <w:color w:val="00B3A4"/>
                            <w:spacing w:val="-14"/>
                            <w:sz w:val="84"/>
                            <w:szCs w:val="84"/>
                          </w:rPr>
                          <w:t xml:space="preserve">NZ ETS unit limits and </w:t>
                        </w:r>
                        <w:r>
                          <w:rPr>
                            <w:color w:val="00B3A4"/>
                            <w:spacing w:val="-14"/>
                            <w:sz w:val="84"/>
                            <w:szCs w:val="84"/>
                          </w:rPr>
                          <w:br/>
                        </w:r>
                        <w:r w:rsidRPr="00BE2E6A">
                          <w:rPr>
                            <w:color w:val="00B3A4"/>
                            <w:spacing w:val="-14"/>
                            <w:sz w:val="84"/>
                            <w:szCs w:val="84"/>
                          </w:rPr>
                          <w:t xml:space="preserve">price control settings </w:t>
                        </w:r>
                        <w:r w:rsidRPr="00BE2E6A">
                          <w:rPr>
                            <w:color w:val="00B3A4"/>
                            <w:spacing w:val="-14"/>
                            <w:sz w:val="84"/>
                            <w:szCs w:val="84"/>
                          </w:rPr>
                          <w:br/>
                          <w:t>for 2027–2031</w:t>
                        </w:r>
                      </w:p>
                      <w:p w14:paraId="641A6D4E" w14:textId="77777777" w:rsidR="00D04AF4" w:rsidRDefault="00D04AF4" w:rsidP="00D04AF4">
                        <w:pPr>
                          <w:pStyle w:val="Heading4"/>
                          <w:spacing w:line="240" w:lineRule="auto"/>
                        </w:pPr>
                      </w:p>
                    </w:txbxContent>
                  </v:textbox>
                </v:shape>
                <v:shape id="docshape5" o:spid="_x0000_s1029" type="#_x0000_t202" style="position:absolute;top:22222;width:51460;height:4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" filled="f" stroked="f">
                  <v:path arrowok="t"/>
                  <v:textbox inset="0,0,0,0">
                    <w:txbxContent>
                      <w:p w14:paraId="64E04351" w14:textId="77777777" w:rsidR="00D04AF4" w:rsidRPr="00BE2E6A" w:rsidRDefault="00D04AF4" w:rsidP="00D04AF4">
                        <w:pPr>
                          <w:pStyle w:val="Heading2"/>
                          <w:rPr>
                            <w:lang w:val="en-AU"/>
                          </w:rPr>
                        </w:pPr>
                        <w:r>
                          <w:rPr>
                            <w:lang w:val="en-AU"/>
                          </w:rPr>
                          <w:t>Technical annex 1: Unit limit settings</w:t>
                        </w:r>
                      </w:p>
                    </w:txbxContent>
                  </v:textbox>
                </v:shape>
                <v:shape id="docshape5" o:spid="_x0000_s1030" type="#_x0000_t202" style="position:absolute;top:25624;width:51460;height:4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" filled="f" stroked="f">
                  <v:path arrowok="t"/>
                  <v:textbox inset="0,0,0,0">
                    <w:txbxContent>
                      <w:p w14:paraId="0A836F8B" w14:textId="77777777" w:rsidR="00D04AF4" w:rsidRPr="00BE2E6A" w:rsidRDefault="00D04AF4" w:rsidP="00D04AF4">
                        <w:pPr>
                          <w:pStyle w:val="Heading2"/>
                          <w:rPr>
                            <w:b w:val="0"/>
                            <w:bCs/>
                            <w:lang w:val="en-AU"/>
                          </w:rPr>
                        </w:pPr>
                        <w:r w:rsidRPr="00BE2E6A">
                          <w:rPr>
                            <w:b w:val="0"/>
                            <w:bCs/>
                            <w:lang w:val="en-AU"/>
                          </w:rPr>
                          <w:t>April 2026</w:t>
                        </w:r>
                      </w:p>
                    </w:txbxContent>
                  </v:textbox>
                </v:shape>
              </v:group>
            </w:pict>
          </mc:Fallback>
        </mc:AlternateContent>
      </w:r>
      <w:r>
        <w:rPr>
          <w:noProof/>
        </w:rPr>
        <w:drawing>
          <wp:anchor distT="0" distB="0" distL="0" distR="0" simplePos="0" relativeHeight="251658240" behindDoc="1" locked="0" layoutInCell="1" allowOverlap="1" wp14:anchorId="04A1CA84" wp14:editId="7DE478E2">
            <wp:simplePos x="0" y="0"/>
            <wp:positionH relativeFrom="page">
              <wp:posOffset>0</wp:posOffset>
            </wp:positionH>
            <wp:positionV relativeFrom="page">
              <wp:posOffset>4973320</wp:posOffset>
            </wp:positionV>
            <wp:extent cx="7578725" cy="5698490"/>
            <wp:effectExtent l="0" t="0" r="3175" b="3810"/>
            <wp:wrapNone/>
            <wp:docPr id="7" name="image3.png" descr="A blue and green curved shap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png" descr="A blue and green curved shapes&#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78725" cy="5698490"/>
                    </a:xfrm>
                    <a:prstGeom prst="rect">
                      <a:avLst/>
                    </a:prstGeom>
                  </pic:spPr>
                </pic:pic>
              </a:graphicData>
            </a:graphic>
            <wp14:sizeRelH relativeFrom="margin">
              <wp14:pctWidth>0</wp14:pctWidth>
            </wp14:sizeRelH>
          </wp:anchor>
        </w:drawing>
      </w:r>
    </w:p>
    <w:p w14:paraId="275A0121" w14:textId="77777777" w:rsidR="001842C6" w:rsidRDefault="001842C6">
      <w:pPr>
        <w:spacing w:before="0" w:after="0" w:line="240" w:lineRule="auto"/>
      </w:pPr>
    </w:p>
    <w:p w14:paraId="326482B0" w14:textId="77777777" w:rsidR="001842C6" w:rsidRDefault="001842C6">
      <w:pPr>
        <w:spacing w:before="0" w:after="0" w:line="240" w:lineRule="auto"/>
      </w:pPr>
    </w:p>
    <w:p w14:paraId="250F733B" w14:textId="6F9A5972" w:rsidR="00D473A9" w:rsidRDefault="00D473A9">
      <w:pPr>
        <w:spacing w:before="0" w:after="0" w:line="240" w:lineRule="auto"/>
        <w:sectPr w:rsidR="00D473A9" w:rsidSect="00D55E37">
          <w:footerReference w:type="default" r:id="rId15"/>
          <w:pgSz w:w="11906" w:h="16838"/>
          <w:pgMar w:top="1418" w:right="1418" w:bottom="1134" w:left="1418" w:header="709" w:footer="624" w:gutter="0"/>
          <w:pgNumType w:start="0"/>
          <w:cols w:space="708"/>
          <w:titlePg/>
          <w:docGrid w:linePitch="360"/>
        </w:sectPr>
      </w:pPr>
    </w:p>
    <w:sdt>
      <w:sdtPr>
        <w:rPr>
          <w:rFonts w:eastAsiaTheme="minorHAnsi"/>
          <w:b w:val="0"/>
          <w:color w:val="auto"/>
          <w:sz w:val="24"/>
          <w:szCs w:val="24"/>
          <w:lang w:val="en-GB"/>
        </w:rPr>
        <w:id w:val="-992406382"/>
        <w:docPartObj>
          <w:docPartGallery w:val="Table of Contents"/>
          <w:docPartUnique/>
        </w:docPartObj>
      </w:sdtPr>
      <w:sdtEndPr>
        <w:rPr>
          <w:bCs/>
        </w:rPr>
      </w:sdtEndPr>
      <w:sdtContent>
        <w:p w14:paraId="3EC0D692" w14:textId="1AE1C5C6" w:rsidR="00B928FE" w:rsidRPr="00E06D4C" w:rsidRDefault="00B928FE" w:rsidP="008D0BBC">
          <w:pPr>
            <w:pStyle w:val="Heading1nonumber"/>
            <w:numPr>
              <w:ilvl w:val="0"/>
              <w:numId w:val="0"/>
            </w:numPr>
            <w:ind w:left="431" w:hanging="431"/>
          </w:pPr>
          <w:r w:rsidRPr="00E06D4C">
            <w:rPr>
              <w:lang w:val="en-GB"/>
            </w:rPr>
            <w:t>Contents</w:t>
          </w:r>
        </w:p>
        <w:p w14:paraId="3D356F84" w14:textId="1945E471" w:rsidR="00BB5FAC" w:rsidRDefault="00B928FE">
          <w:pPr>
            <w:pStyle w:val="TOC1"/>
            <w:rPr>
              <w:rFonts w:asciiTheme="minorHAnsi" w:eastAsiaTheme="minorEastAsia" w:hAnsiTheme="minorHAnsi"/>
              <w:noProof/>
              <w:kern w:val="2"/>
              <w:lang w:eastAsia="en-NZ"/>
              <w14:ligatures w14:val="standardContextual"/>
            </w:rPr>
          </w:pPr>
          <w:r>
            <w:fldChar w:fldCharType="begin"/>
          </w:r>
          <w:r>
            <w:instrText xml:space="preserve"> TOC \o "1-3" \h \z \u </w:instrText>
          </w:r>
          <w:r>
            <w:fldChar w:fldCharType="separate"/>
          </w:r>
          <w:hyperlink w:anchor="_Toc227603091" w:history="1">
            <w:r w:rsidR="00BB5FAC" w:rsidRPr="00A84FA9">
              <w:rPr>
                <w:rStyle w:val="Hyperlink"/>
                <w:noProof/>
              </w:rPr>
              <w:t>1</w:t>
            </w:r>
            <w:r w:rsidR="00BB5FAC">
              <w:rPr>
                <w:rFonts w:asciiTheme="minorHAnsi" w:eastAsiaTheme="minorEastAsia" w:hAnsiTheme="minorHAnsi"/>
                <w:noProof/>
                <w:kern w:val="2"/>
                <w:lang w:eastAsia="en-NZ"/>
                <w14:ligatures w14:val="standardContextual"/>
              </w:rPr>
              <w:tab/>
            </w:r>
            <w:r w:rsidR="00BB5FAC" w:rsidRPr="00A84FA9">
              <w:rPr>
                <w:rStyle w:val="Hyperlink"/>
                <w:noProof/>
              </w:rPr>
              <w:t>Introduction</w:t>
            </w:r>
            <w:r w:rsidR="00BB5FAC">
              <w:rPr>
                <w:noProof/>
                <w:webHidden/>
              </w:rPr>
              <w:tab/>
            </w:r>
            <w:r w:rsidR="00BB5FAC">
              <w:rPr>
                <w:noProof/>
                <w:webHidden/>
              </w:rPr>
              <w:fldChar w:fldCharType="begin"/>
            </w:r>
            <w:r w:rsidR="00BB5FAC">
              <w:rPr>
                <w:noProof/>
                <w:webHidden/>
              </w:rPr>
              <w:instrText xml:space="preserve"> PAGEREF _Toc227603091 \h </w:instrText>
            </w:r>
            <w:r w:rsidR="00BB5FAC">
              <w:rPr>
                <w:noProof/>
                <w:webHidden/>
              </w:rPr>
            </w:r>
            <w:r w:rsidR="00BB5FAC">
              <w:rPr>
                <w:noProof/>
                <w:webHidden/>
              </w:rPr>
              <w:fldChar w:fldCharType="separate"/>
            </w:r>
            <w:r w:rsidR="00BB5FAC">
              <w:rPr>
                <w:noProof/>
                <w:webHidden/>
              </w:rPr>
              <w:t>3</w:t>
            </w:r>
            <w:r w:rsidR="00BB5FAC">
              <w:rPr>
                <w:noProof/>
                <w:webHidden/>
              </w:rPr>
              <w:fldChar w:fldCharType="end"/>
            </w:r>
          </w:hyperlink>
        </w:p>
        <w:p w14:paraId="4603FC82" w14:textId="67E2CDB0" w:rsidR="00BB5FAC" w:rsidRDefault="00BB5FAC">
          <w:pPr>
            <w:pStyle w:val="TOC2"/>
            <w:rPr>
              <w:rFonts w:asciiTheme="minorHAnsi" w:eastAsiaTheme="minorEastAsia" w:hAnsiTheme="minorHAnsi"/>
              <w:noProof/>
              <w:kern w:val="2"/>
              <w:lang w:eastAsia="en-NZ"/>
              <w14:ligatures w14:val="standardContextual"/>
            </w:rPr>
          </w:pPr>
          <w:hyperlink w:anchor="_Toc227603092" w:history="1">
            <w:r w:rsidRPr="00A84FA9">
              <w:rPr>
                <w:rStyle w:val="Hyperlink"/>
                <w:noProof/>
              </w:rPr>
              <w:t>1.1</w:t>
            </w:r>
            <w:r>
              <w:rPr>
                <w:rFonts w:asciiTheme="minorHAnsi" w:eastAsiaTheme="minorEastAsia" w:hAnsiTheme="minorHAnsi"/>
                <w:noProof/>
                <w:kern w:val="2"/>
                <w:lang w:eastAsia="en-NZ"/>
                <w14:ligatures w14:val="standardContextual"/>
              </w:rPr>
              <w:tab/>
            </w:r>
            <w:r w:rsidRPr="00A84FA9">
              <w:rPr>
                <w:rStyle w:val="Hyperlink"/>
                <w:noProof/>
              </w:rPr>
              <w:t>About this document</w:t>
            </w:r>
            <w:r>
              <w:rPr>
                <w:noProof/>
                <w:webHidden/>
              </w:rPr>
              <w:tab/>
            </w:r>
            <w:r>
              <w:rPr>
                <w:noProof/>
                <w:webHidden/>
              </w:rPr>
              <w:fldChar w:fldCharType="begin"/>
            </w:r>
            <w:r>
              <w:rPr>
                <w:noProof/>
                <w:webHidden/>
              </w:rPr>
              <w:instrText xml:space="preserve"> PAGEREF _Toc227603092 \h </w:instrText>
            </w:r>
            <w:r>
              <w:rPr>
                <w:noProof/>
                <w:webHidden/>
              </w:rPr>
            </w:r>
            <w:r>
              <w:rPr>
                <w:noProof/>
                <w:webHidden/>
              </w:rPr>
              <w:fldChar w:fldCharType="separate"/>
            </w:r>
            <w:r>
              <w:rPr>
                <w:noProof/>
                <w:webHidden/>
              </w:rPr>
              <w:t>3</w:t>
            </w:r>
            <w:r>
              <w:rPr>
                <w:noProof/>
                <w:webHidden/>
              </w:rPr>
              <w:fldChar w:fldCharType="end"/>
            </w:r>
          </w:hyperlink>
        </w:p>
        <w:p w14:paraId="21FAF419" w14:textId="42EFCF93" w:rsidR="00BB5FAC" w:rsidRDefault="00BB5FAC">
          <w:pPr>
            <w:pStyle w:val="TOC1"/>
            <w:rPr>
              <w:rFonts w:asciiTheme="minorHAnsi" w:eastAsiaTheme="minorEastAsia" w:hAnsiTheme="minorHAnsi"/>
              <w:noProof/>
              <w:kern w:val="2"/>
              <w:lang w:eastAsia="en-NZ"/>
              <w14:ligatures w14:val="standardContextual"/>
            </w:rPr>
          </w:pPr>
          <w:hyperlink w:anchor="_Toc227603093" w:history="1">
            <w:r w:rsidRPr="00A84FA9">
              <w:rPr>
                <w:rStyle w:val="Hyperlink"/>
                <w:noProof/>
              </w:rPr>
              <w:t>Part 1: The NZ ETS emissions cap</w:t>
            </w:r>
            <w:r>
              <w:rPr>
                <w:noProof/>
                <w:webHidden/>
              </w:rPr>
              <w:tab/>
            </w:r>
            <w:r>
              <w:rPr>
                <w:noProof/>
                <w:webHidden/>
              </w:rPr>
              <w:fldChar w:fldCharType="begin"/>
            </w:r>
            <w:r>
              <w:rPr>
                <w:noProof/>
                <w:webHidden/>
              </w:rPr>
              <w:instrText xml:space="preserve"> PAGEREF _Toc227603093 \h </w:instrText>
            </w:r>
            <w:r>
              <w:rPr>
                <w:noProof/>
                <w:webHidden/>
              </w:rPr>
            </w:r>
            <w:r>
              <w:rPr>
                <w:noProof/>
                <w:webHidden/>
              </w:rPr>
              <w:fldChar w:fldCharType="separate"/>
            </w:r>
            <w:r>
              <w:rPr>
                <w:noProof/>
                <w:webHidden/>
              </w:rPr>
              <w:t>5</w:t>
            </w:r>
            <w:r>
              <w:rPr>
                <w:noProof/>
                <w:webHidden/>
              </w:rPr>
              <w:fldChar w:fldCharType="end"/>
            </w:r>
          </w:hyperlink>
        </w:p>
        <w:p w14:paraId="33733A00" w14:textId="2DCBE824" w:rsidR="00BB5FAC" w:rsidRDefault="00BB5FAC">
          <w:pPr>
            <w:pStyle w:val="TOC1"/>
            <w:rPr>
              <w:rFonts w:asciiTheme="minorHAnsi" w:eastAsiaTheme="minorEastAsia" w:hAnsiTheme="minorHAnsi"/>
              <w:noProof/>
              <w:kern w:val="2"/>
              <w:lang w:eastAsia="en-NZ"/>
              <w14:ligatures w14:val="standardContextual"/>
            </w:rPr>
          </w:pPr>
          <w:hyperlink w:anchor="_Toc227603094" w:history="1">
            <w:r w:rsidRPr="00A84FA9">
              <w:rPr>
                <w:rStyle w:val="Hyperlink"/>
                <w:noProof/>
              </w:rPr>
              <w:t>2</w:t>
            </w:r>
            <w:r>
              <w:rPr>
                <w:rFonts w:asciiTheme="minorHAnsi" w:eastAsiaTheme="minorEastAsia" w:hAnsiTheme="minorHAnsi"/>
                <w:noProof/>
                <w:kern w:val="2"/>
                <w:lang w:eastAsia="en-NZ"/>
                <w14:ligatures w14:val="standardContextual"/>
              </w:rPr>
              <w:tab/>
            </w:r>
            <w:r w:rsidRPr="00A84FA9">
              <w:rPr>
                <w:rStyle w:val="Hyperlink"/>
                <w:noProof/>
              </w:rPr>
              <w:t>About the NZ ETS emissions cap</w:t>
            </w:r>
            <w:r>
              <w:rPr>
                <w:noProof/>
                <w:webHidden/>
              </w:rPr>
              <w:tab/>
            </w:r>
            <w:r>
              <w:rPr>
                <w:noProof/>
                <w:webHidden/>
              </w:rPr>
              <w:fldChar w:fldCharType="begin"/>
            </w:r>
            <w:r>
              <w:rPr>
                <w:noProof/>
                <w:webHidden/>
              </w:rPr>
              <w:instrText xml:space="preserve"> PAGEREF _Toc227603094 \h </w:instrText>
            </w:r>
            <w:r>
              <w:rPr>
                <w:noProof/>
                <w:webHidden/>
              </w:rPr>
            </w:r>
            <w:r>
              <w:rPr>
                <w:noProof/>
                <w:webHidden/>
              </w:rPr>
              <w:fldChar w:fldCharType="separate"/>
            </w:r>
            <w:r>
              <w:rPr>
                <w:noProof/>
                <w:webHidden/>
              </w:rPr>
              <w:t>5</w:t>
            </w:r>
            <w:r>
              <w:rPr>
                <w:noProof/>
                <w:webHidden/>
              </w:rPr>
              <w:fldChar w:fldCharType="end"/>
            </w:r>
          </w:hyperlink>
        </w:p>
        <w:p w14:paraId="6684E073" w14:textId="3C6302AF" w:rsidR="00BB5FAC" w:rsidRDefault="00BB5FAC">
          <w:pPr>
            <w:pStyle w:val="TOC2"/>
            <w:rPr>
              <w:rFonts w:asciiTheme="minorHAnsi" w:eastAsiaTheme="minorEastAsia" w:hAnsiTheme="minorHAnsi"/>
              <w:noProof/>
              <w:kern w:val="2"/>
              <w:lang w:eastAsia="en-NZ"/>
              <w14:ligatures w14:val="standardContextual"/>
            </w:rPr>
          </w:pPr>
          <w:hyperlink w:anchor="_Toc227603095" w:history="1">
            <w:r w:rsidRPr="00A84FA9">
              <w:rPr>
                <w:rStyle w:val="Hyperlink"/>
                <w:noProof/>
              </w:rPr>
              <w:t>2.1</w:t>
            </w:r>
            <w:r>
              <w:rPr>
                <w:rFonts w:asciiTheme="minorHAnsi" w:eastAsiaTheme="minorEastAsia" w:hAnsiTheme="minorHAnsi"/>
                <w:noProof/>
                <w:kern w:val="2"/>
                <w:lang w:eastAsia="en-NZ"/>
                <w14:ligatures w14:val="standardContextual"/>
              </w:rPr>
              <w:tab/>
            </w:r>
            <w:r w:rsidRPr="00A84FA9">
              <w:rPr>
                <w:rStyle w:val="Hyperlink"/>
                <w:noProof/>
              </w:rPr>
              <w:t>Calculation of the NZ ETS emissions cap used in our recommendations</w:t>
            </w:r>
            <w:r>
              <w:rPr>
                <w:noProof/>
                <w:webHidden/>
              </w:rPr>
              <w:tab/>
            </w:r>
            <w:r>
              <w:rPr>
                <w:noProof/>
                <w:webHidden/>
              </w:rPr>
              <w:fldChar w:fldCharType="begin"/>
            </w:r>
            <w:r>
              <w:rPr>
                <w:noProof/>
                <w:webHidden/>
              </w:rPr>
              <w:instrText xml:space="preserve"> PAGEREF _Toc227603095 \h </w:instrText>
            </w:r>
            <w:r>
              <w:rPr>
                <w:noProof/>
                <w:webHidden/>
              </w:rPr>
            </w:r>
            <w:r>
              <w:rPr>
                <w:noProof/>
                <w:webHidden/>
              </w:rPr>
              <w:fldChar w:fldCharType="separate"/>
            </w:r>
            <w:r>
              <w:rPr>
                <w:noProof/>
                <w:webHidden/>
              </w:rPr>
              <w:t>6</w:t>
            </w:r>
            <w:r>
              <w:rPr>
                <w:noProof/>
                <w:webHidden/>
              </w:rPr>
              <w:fldChar w:fldCharType="end"/>
            </w:r>
          </w:hyperlink>
        </w:p>
        <w:p w14:paraId="12A37C70" w14:textId="435D5AF2" w:rsidR="00BB5FAC" w:rsidRDefault="00BB5FAC">
          <w:pPr>
            <w:pStyle w:val="TOC3"/>
            <w:tabs>
              <w:tab w:val="right" w:leader="dot" w:pos="9060"/>
            </w:tabs>
            <w:rPr>
              <w:rFonts w:asciiTheme="minorHAnsi" w:eastAsiaTheme="minorEastAsia" w:hAnsiTheme="minorHAnsi"/>
              <w:noProof/>
              <w:kern w:val="2"/>
              <w:lang w:eastAsia="en-NZ"/>
              <w14:ligatures w14:val="standardContextual"/>
            </w:rPr>
          </w:pPr>
          <w:hyperlink w:anchor="_Toc227603096" w:history="1">
            <w:r w:rsidRPr="00A84FA9">
              <w:rPr>
                <w:rStyle w:val="Hyperlink"/>
                <w:noProof/>
              </w:rPr>
              <w:t>Agriculture</w:t>
            </w:r>
            <w:r>
              <w:rPr>
                <w:noProof/>
                <w:webHidden/>
              </w:rPr>
              <w:tab/>
            </w:r>
            <w:r>
              <w:rPr>
                <w:noProof/>
                <w:webHidden/>
              </w:rPr>
              <w:fldChar w:fldCharType="begin"/>
            </w:r>
            <w:r>
              <w:rPr>
                <w:noProof/>
                <w:webHidden/>
              </w:rPr>
              <w:instrText xml:space="preserve"> PAGEREF _Toc227603096 \h </w:instrText>
            </w:r>
            <w:r>
              <w:rPr>
                <w:noProof/>
                <w:webHidden/>
              </w:rPr>
            </w:r>
            <w:r>
              <w:rPr>
                <w:noProof/>
                <w:webHidden/>
              </w:rPr>
              <w:fldChar w:fldCharType="separate"/>
            </w:r>
            <w:r>
              <w:rPr>
                <w:noProof/>
                <w:webHidden/>
              </w:rPr>
              <w:t>7</w:t>
            </w:r>
            <w:r>
              <w:rPr>
                <w:noProof/>
                <w:webHidden/>
              </w:rPr>
              <w:fldChar w:fldCharType="end"/>
            </w:r>
          </w:hyperlink>
        </w:p>
        <w:p w14:paraId="24E9944E" w14:textId="3A15E76B" w:rsidR="00BB5FAC" w:rsidRDefault="00BB5FAC">
          <w:pPr>
            <w:pStyle w:val="TOC3"/>
            <w:tabs>
              <w:tab w:val="right" w:leader="dot" w:pos="9060"/>
            </w:tabs>
            <w:rPr>
              <w:rFonts w:asciiTheme="minorHAnsi" w:eastAsiaTheme="minorEastAsia" w:hAnsiTheme="minorHAnsi"/>
              <w:noProof/>
              <w:kern w:val="2"/>
              <w:lang w:eastAsia="en-NZ"/>
              <w14:ligatures w14:val="standardContextual"/>
            </w:rPr>
          </w:pPr>
          <w:hyperlink w:anchor="_Toc227603097" w:history="1">
            <w:r w:rsidRPr="00A84FA9">
              <w:rPr>
                <w:rStyle w:val="Hyperlink"/>
                <w:noProof/>
              </w:rPr>
              <w:t>Non-municipal waste</w:t>
            </w:r>
            <w:r>
              <w:rPr>
                <w:noProof/>
                <w:webHidden/>
              </w:rPr>
              <w:tab/>
            </w:r>
            <w:r>
              <w:rPr>
                <w:noProof/>
                <w:webHidden/>
              </w:rPr>
              <w:fldChar w:fldCharType="begin"/>
            </w:r>
            <w:r>
              <w:rPr>
                <w:noProof/>
                <w:webHidden/>
              </w:rPr>
              <w:instrText xml:space="preserve"> PAGEREF _Toc227603097 \h </w:instrText>
            </w:r>
            <w:r>
              <w:rPr>
                <w:noProof/>
                <w:webHidden/>
              </w:rPr>
            </w:r>
            <w:r>
              <w:rPr>
                <w:noProof/>
                <w:webHidden/>
              </w:rPr>
              <w:fldChar w:fldCharType="separate"/>
            </w:r>
            <w:r>
              <w:rPr>
                <w:noProof/>
                <w:webHidden/>
              </w:rPr>
              <w:t>7</w:t>
            </w:r>
            <w:r>
              <w:rPr>
                <w:noProof/>
                <w:webHidden/>
              </w:rPr>
              <w:fldChar w:fldCharType="end"/>
            </w:r>
          </w:hyperlink>
        </w:p>
        <w:p w14:paraId="2FEB2FFB" w14:textId="5CB91EC1" w:rsidR="00BB5FAC" w:rsidRDefault="00BB5FAC">
          <w:pPr>
            <w:pStyle w:val="TOC3"/>
            <w:tabs>
              <w:tab w:val="right" w:leader="dot" w:pos="9060"/>
            </w:tabs>
            <w:rPr>
              <w:rFonts w:asciiTheme="minorHAnsi" w:eastAsiaTheme="minorEastAsia" w:hAnsiTheme="minorHAnsi"/>
              <w:noProof/>
              <w:kern w:val="2"/>
              <w:lang w:eastAsia="en-NZ"/>
              <w14:ligatures w14:val="standardContextual"/>
            </w:rPr>
          </w:pPr>
          <w:hyperlink w:anchor="_Toc227603098" w:history="1">
            <w:r w:rsidRPr="00A84FA9">
              <w:rPr>
                <w:rStyle w:val="Hyperlink"/>
                <w:noProof/>
              </w:rPr>
              <w:t>F-gases</w:t>
            </w:r>
            <w:r>
              <w:rPr>
                <w:noProof/>
                <w:webHidden/>
              </w:rPr>
              <w:tab/>
            </w:r>
            <w:r>
              <w:rPr>
                <w:noProof/>
                <w:webHidden/>
              </w:rPr>
              <w:fldChar w:fldCharType="begin"/>
            </w:r>
            <w:r>
              <w:rPr>
                <w:noProof/>
                <w:webHidden/>
              </w:rPr>
              <w:instrText xml:space="preserve"> PAGEREF _Toc227603098 \h </w:instrText>
            </w:r>
            <w:r>
              <w:rPr>
                <w:noProof/>
                <w:webHidden/>
              </w:rPr>
            </w:r>
            <w:r>
              <w:rPr>
                <w:noProof/>
                <w:webHidden/>
              </w:rPr>
              <w:fldChar w:fldCharType="separate"/>
            </w:r>
            <w:r>
              <w:rPr>
                <w:noProof/>
                <w:webHidden/>
              </w:rPr>
              <w:t>7</w:t>
            </w:r>
            <w:r>
              <w:rPr>
                <w:noProof/>
                <w:webHidden/>
              </w:rPr>
              <w:fldChar w:fldCharType="end"/>
            </w:r>
          </w:hyperlink>
        </w:p>
        <w:p w14:paraId="6C9C7A23" w14:textId="0A845A00" w:rsidR="00BB5FAC" w:rsidRDefault="00BB5FAC">
          <w:pPr>
            <w:pStyle w:val="TOC3"/>
            <w:tabs>
              <w:tab w:val="right" w:leader="dot" w:pos="9060"/>
            </w:tabs>
            <w:rPr>
              <w:rFonts w:asciiTheme="minorHAnsi" w:eastAsiaTheme="minorEastAsia" w:hAnsiTheme="minorHAnsi"/>
              <w:noProof/>
              <w:kern w:val="2"/>
              <w:lang w:eastAsia="en-NZ"/>
              <w14:ligatures w14:val="standardContextual"/>
            </w:rPr>
          </w:pPr>
          <w:hyperlink w:anchor="_Toc227603099" w:history="1">
            <w:r w:rsidRPr="00A84FA9">
              <w:rPr>
                <w:rStyle w:val="Hyperlink"/>
                <w:noProof/>
              </w:rPr>
              <w:t>Industrial processes and product use</w:t>
            </w:r>
            <w:r>
              <w:rPr>
                <w:noProof/>
                <w:webHidden/>
              </w:rPr>
              <w:tab/>
            </w:r>
            <w:r>
              <w:rPr>
                <w:noProof/>
                <w:webHidden/>
              </w:rPr>
              <w:fldChar w:fldCharType="begin"/>
            </w:r>
            <w:r>
              <w:rPr>
                <w:noProof/>
                <w:webHidden/>
              </w:rPr>
              <w:instrText xml:space="preserve"> PAGEREF _Toc227603099 \h </w:instrText>
            </w:r>
            <w:r>
              <w:rPr>
                <w:noProof/>
                <w:webHidden/>
              </w:rPr>
            </w:r>
            <w:r>
              <w:rPr>
                <w:noProof/>
                <w:webHidden/>
              </w:rPr>
              <w:fldChar w:fldCharType="separate"/>
            </w:r>
            <w:r>
              <w:rPr>
                <w:noProof/>
                <w:webHidden/>
              </w:rPr>
              <w:t>7</w:t>
            </w:r>
            <w:r>
              <w:rPr>
                <w:noProof/>
                <w:webHidden/>
              </w:rPr>
              <w:fldChar w:fldCharType="end"/>
            </w:r>
          </w:hyperlink>
        </w:p>
        <w:p w14:paraId="4A067545" w14:textId="71937501" w:rsidR="00BB5FAC" w:rsidRDefault="00BB5FAC">
          <w:pPr>
            <w:pStyle w:val="TOC3"/>
            <w:tabs>
              <w:tab w:val="right" w:leader="dot" w:pos="9060"/>
            </w:tabs>
            <w:rPr>
              <w:rFonts w:asciiTheme="minorHAnsi" w:eastAsiaTheme="minorEastAsia" w:hAnsiTheme="minorHAnsi"/>
              <w:noProof/>
              <w:kern w:val="2"/>
              <w:lang w:eastAsia="en-NZ"/>
              <w14:ligatures w14:val="standardContextual"/>
            </w:rPr>
          </w:pPr>
          <w:hyperlink w:anchor="_Toc227603100" w:history="1">
            <w:r w:rsidRPr="00A84FA9">
              <w:rPr>
                <w:rStyle w:val="Hyperlink"/>
                <w:noProof/>
              </w:rPr>
              <w:t>Biomass combustion</w:t>
            </w:r>
            <w:r>
              <w:rPr>
                <w:noProof/>
                <w:webHidden/>
              </w:rPr>
              <w:tab/>
            </w:r>
            <w:r>
              <w:rPr>
                <w:noProof/>
                <w:webHidden/>
              </w:rPr>
              <w:fldChar w:fldCharType="begin"/>
            </w:r>
            <w:r>
              <w:rPr>
                <w:noProof/>
                <w:webHidden/>
              </w:rPr>
              <w:instrText xml:space="preserve"> PAGEREF _Toc227603100 \h </w:instrText>
            </w:r>
            <w:r>
              <w:rPr>
                <w:noProof/>
                <w:webHidden/>
              </w:rPr>
            </w:r>
            <w:r>
              <w:rPr>
                <w:noProof/>
                <w:webHidden/>
              </w:rPr>
              <w:fldChar w:fldCharType="separate"/>
            </w:r>
            <w:r>
              <w:rPr>
                <w:noProof/>
                <w:webHidden/>
              </w:rPr>
              <w:t>8</w:t>
            </w:r>
            <w:r>
              <w:rPr>
                <w:noProof/>
                <w:webHidden/>
              </w:rPr>
              <w:fldChar w:fldCharType="end"/>
            </w:r>
          </w:hyperlink>
        </w:p>
        <w:p w14:paraId="74CDA8E9" w14:textId="3622C987" w:rsidR="00BB5FAC" w:rsidRDefault="00BB5FAC">
          <w:pPr>
            <w:pStyle w:val="TOC3"/>
            <w:tabs>
              <w:tab w:val="right" w:leader="dot" w:pos="9060"/>
            </w:tabs>
            <w:rPr>
              <w:rFonts w:asciiTheme="minorHAnsi" w:eastAsiaTheme="minorEastAsia" w:hAnsiTheme="minorHAnsi"/>
              <w:noProof/>
              <w:kern w:val="2"/>
              <w:lang w:eastAsia="en-NZ"/>
              <w14:ligatures w14:val="standardContextual"/>
            </w:rPr>
          </w:pPr>
          <w:hyperlink w:anchor="_Toc227603101" w:history="1">
            <w:r w:rsidRPr="00A84FA9">
              <w:rPr>
                <w:rStyle w:val="Hyperlink"/>
                <w:noProof/>
              </w:rPr>
              <w:t>Forests not covered by the NZ ETS</w:t>
            </w:r>
            <w:r>
              <w:rPr>
                <w:noProof/>
                <w:webHidden/>
              </w:rPr>
              <w:tab/>
            </w:r>
            <w:r>
              <w:rPr>
                <w:noProof/>
                <w:webHidden/>
              </w:rPr>
              <w:fldChar w:fldCharType="begin"/>
            </w:r>
            <w:r>
              <w:rPr>
                <w:noProof/>
                <w:webHidden/>
              </w:rPr>
              <w:instrText xml:space="preserve"> PAGEREF _Toc227603101 \h </w:instrText>
            </w:r>
            <w:r>
              <w:rPr>
                <w:noProof/>
                <w:webHidden/>
              </w:rPr>
            </w:r>
            <w:r>
              <w:rPr>
                <w:noProof/>
                <w:webHidden/>
              </w:rPr>
              <w:fldChar w:fldCharType="separate"/>
            </w:r>
            <w:r>
              <w:rPr>
                <w:noProof/>
                <w:webHidden/>
              </w:rPr>
              <w:t>8</w:t>
            </w:r>
            <w:r>
              <w:rPr>
                <w:noProof/>
                <w:webHidden/>
              </w:rPr>
              <w:fldChar w:fldCharType="end"/>
            </w:r>
          </w:hyperlink>
        </w:p>
        <w:p w14:paraId="10D5F27A" w14:textId="071356F0" w:rsidR="00BB5FAC" w:rsidRDefault="00BB5FAC">
          <w:pPr>
            <w:pStyle w:val="TOC3"/>
            <w:tabs>
              <w:tab w:val="right" w:leader="dot" w:pos="9060"/>
            </w:tabs>
            <w:rPr>
              <w:rFonts w:asciiTheme="minorHAnsi" w:eastAsiaTheme="minorEastAsia" w:hAnsiTheme="minorHAnsi"/>
              <w:noProof/>
              <w:kern w:val="2"/>
              <w:lang w:eastAsia="en-NZ"/>
              <w14:ligatures w14:val="standardContextual"/>
            </w:rPr>
          </w:pPr>
          <w:hyperlink w:anchor="_Toc227603102" w:history="1">
            <w:r w:rsidRPr="00A84FA9">
              <w:rPr>
                <w:rStyle w:val="Hyperlink"/>
                <w:noProof/>
              </w:rPr>
              <w:t>Overall breakdown of projected emissions</w:t>
            </w:r>
            <w:r>
              <w:rPr>
                <w:noProof/>
                <w:webHidden/>
              </w:rPr>
              <w:tab/>
            </w:r>
            <w:r>
              <w:rPr>
                <w:noProof/>
                <w:webHidden/>
              </w:rPr>
              <w:fldChar w:fldCharType="begin"/>
            </w:r>
            <w:r>
              <w:rPr>
                <w:noProof/>
                <w:webHidden/>
              </w:rPr>
              <w:instrText xml:space="preserve"> PAGEREF _Toc227603102 \h </w:instrText>
            </w:r>
            <w:r>
              <w:rPr>
                <w:noProof/>
                <w:webHidden/>
              </w:rPr>
            </w:r>
            <w:r>
              <w:rPr>
                <w:noProof/>
                <w:webHidden/>
              </w:rPr>
              <w:fldChar w:fldCharType="separate"/>
            </w:r>
            <w:r>
              <w:rPr>
                <w:noProof/>
                <w:webHidden/>
              </w:rPr>
              <w:t>9</w:t>
            </w:r>
            <w:r>
              <w:rPr>
                <w:noProof/>
                <w:webHidden/>
              </w:rPr>
              <w:fldChar w:fldCharType="end"/>
            </w:r>
          </w:hyperlink>
        </w:p>
        <w:p w14:paraId="7AC3E14C" w14:textId="3696B295" w:rsidR="00BB5FAC" w:rsidRDefault="00BB5FAC">
          <w:pPr>
            <w:pStyle w:val="TOC2"/>
            <w:rPr>
              <w:rFonts w:asciiTheme="minorHAnsi" w:eastAsiaTheme="minorEastAsia" w:hAnsiTheme="minorHAnsi"/>
              <w:noProof/>
              <w:kern w:val="2"/>
              <w:lang w:eastAsia="en-NZ"/>
              <w14:ligatures w14:val="standardContextual"/>
            </w:rPr>
          </w:pPr>
          <w:hyperlink w:anchor="_Toc227603103" w:history="1">
            <w:r w:rsidRPr="00A84FA9">
              <w:rPr>
                <w:rStyle w:val="Hyperlink"/>
                <w:noProof/>
              </w:rPr>
              <w:t>2.2</w:t>
            </w:r>
            <w:r>
              <w:rPr>
                <w:rFonts w:asciiTheme="minorHAnsi" w:eastAsiaTheme="minorEastAsia" w:hAnsiTheme="minorHAnsi"/>
                <w:noProof/>
                <w:kern w:val="2"/>
                <w:lang w:eastAsia="en-NZ"/>
                <w14:ligatures w14:val="standardContextual"/>
              </w:rPr>
              <w:tab/>
            </w:r>
            <w:r w:rsidRPr="00A84FA9">
              <w:rPr>
                <w:rStyle w:val="Hyperlink"/>
                <w:noProof/>
              </w:rPr>
              <w:t>Annual distribution of emission cap</w:t>
            </w:r>
            <w:r>
              <w:rPr>
                <w:noProof/>
                <w:webHidden/>
              </w:rPr>
              <w:tab/>
            </w:r>
            <w:r>
              <w:rPr>
                <w:noProof/>
                <w:webHidden/>
              </w:rPr>
              <w:fldChar w:fldCharType="begin"/>
            </w:r>
            <w:r>
              <w:rPr>
                <w:noProof/>
                <w:webHidden/>
              </w:rPr>
              <w:instrText xml:space="preserve"> PAGEREF _Toc227603103 \h </w:instrText>
            </w:r>
            <w:r>
              <w:rPr>
                <w:noProof/>
                <w:webHidden/>
              </w:rPr>
            </w:r>
            <w:r>
              <w:rPr>
                <w:noProof/>
                <w:webHidden/>
              </w:rPr>
              <w:fldChar w:fldCharType="separate"/>
            </w:r>
            <w:r>
              <w:rPr>
                <w:noProof/>
                <w:webHidden/>
              </w:rPr>
              <w:t>11</w:t>
            </w:r>
            <w:r>
              <w:rPr>
                <w:noProof/>
                <w:webHidden/>
              </w:rPr>
              <w:fldChar w:fldCharType="end"/>
            </w:r>
          </w:hyperlink>
        </w:p>
        <w:p w14:paraId="47A71C8A" w14:textId="19AE2A6D" w:rsidR="00BB5FAC" w:rsidRDefault="00BB5FAC">
          <w:pPr>
            <w:pStyle w:val="TOC2"/>
            <w:rPr>
              <w:rFonts w:asciiTheme="minorHAnsi" w:eastAsiaTheme="minorEastAsia" w:hAnsiTheme="minorHAnsi"/>
              <w:noProof/>
              <w:kern w:val="2"/>
              <w:lang w:eastAsia="en-NZ"/>
              <w14:ligatures w14:val="standardContextual"/>
            </w:rPr>
          </w:pPr>
          <w:hyperlink w:anchor="_Toc227603104" w:history="1">
            <w:r w:rsidRPr="00A84FA9">
              <w:rPr>
                <w:rStyle w:val="Hyperlink"/>
                <w:noProof/>
              </w:rPr>
              <w:t>2.3</w:t>
            </w:r>
            <w:r>
              <w:rPr>
                <w:rFonts w:asciiTheme="minorHAnsi" w:eastAsiaTheme="minorEastAsia" w:hAnsiTheme="minorHAnsi"/>
                <w:noProof/>
                <w:kern w:val="2"/>
                <w:lang w:eastAsia="en-NZ"/>
                <w14:ligatures w14:val="standardContextual"/>
              </w:rPr>
              <w:tab/>
            </w:r>
            <w:r w:rsidRPr="00A84FA9">
              <w:rPr>
                <w:rStyle w:val="Hyperlink"/>
                <w:noProof/>
              </w:rPr>
              <w:t>Other emissions cap options considered</w:t>
            </w:r>
            <w:r>
              <w:rPr>
                <w:noProof/>
                <w:webHidden/>
              </w:rPr>
              <w:tab/>
            </w:r>
            <w:r>
              <w:rPr>
                <w:noProof/>
                <w:webHidden/>
              </w:rPr>
              <w:fldChar w:fldCharType="begin"/>
            </w:r>
            <w:r>
              <w:rPr>
                <w:noProof/>
                <w:webHidden/>
              </w:rPr>
              <w:instrText xml:space="preserve"> PAGEREF _Toc227603104 \h </w:instrText>
            </w:r>
            <w:r>
              <w:rPr>
                <w:noProof/>
                <w:webHidden/>
              </w:rPr>
            </w:r>
            <w:r>
              <w:rPr>
                <w:noProof/>
                <w:webHidden/>
              </w:rPr>
              <w:fldChar w:fldCharType="separate"/>
            </w:r>
            <w:r>
              <w:rPr>
                <w:noProof/>
                <w:webHidden/>
              </w:rPr>
              <w:t>11</w:t>
            </w:r>
            <w:r>
              <w:rPr>
                <w:noProof/>
                <w:webHidden/>
              </w:rPr>
              <w:fldChar w:fldCharType="end"/>
            </w:r>
          </w:hyperlink>
        </w:p>
        <w:p w14:paraId="70FEC4C1" w14:textId="5A84949F" w:rsidR="00BB5FAC" w:rsidRDefault="00BB5FAC">
          <w:pPr>
            <w:pStyle w:val="TOC3"/>
            <w:tabs>
              <w:tab w:val="right" w:leader="dot" w:pos="9060"/>
            </w:tabs>
            <w:rPr>
              <w:rFonts w:asciiTheme="minorHAnsi" w:eastAsiaTheme="minorEastAsia" w:hAnsiTheme="minorHAnsi"/>
              <w:noProof/>
              <w:kern w:val="2"/>
              <w:lang w:eastAsia="en-NZ"/>
              <w14:ligatures w14:val="standardContextual"/>
            </w:rPr>
          </w:pPr>
          <w:hyperlink w:anchor="_Toc227603105" w:history="1">
            <w:r w:rsidRPr="00A84FA9">
              <w:rPr>
                <w:rStyle w:val="Hyperlink"/>
                <w:noProof/>
              </w:rPr>
              <w:t>The second emissions budget</w:t>
            </w:r>
            <w:r>
              <w:rPr>
                <w:noProof/>
                <w:webHidden/>
              </w:rPr>
              <w:tab/>
            </w:r>
            <w:r>
              <w:rPr>
                <w:noProof/>
                <w:webHidden/>
              </w:rPr>
              <w:fldChar w:fldCharType="begin"/>
            </w:r>
            <w:r>
              <w:rPr>
                <w:noProof/>
                <w:webHidden/>
              </w:rPr>
              <w:instrText xml:space="preserve"> PAGEREF _Toc227603105 \h </w:instrText>
            </w:r>
            <w:r>
              <w:rPr>
                <w:noProof/>
                <w:webHidden/>
              </w:rPr>
            </w:r>
            <w:r>
              <w:rPr>
                <w:noProof/>
                <w:webHidden/>
              </w:rPr>
              <w:fldChar w:fldCharType="separate"/>
            </w:r>
            <w:r>
              <w:rPr>
                <w:noProof/>
                <w:webHidden/>
              </w:rPr>
              <w:t>11</w:t>
            </w:r>
            <w:r>
              <w:rPr>
                <w:noProof/>
                <w:webHidden/>
              </w:rPr>
              <w:fldChar w:fldCharType="end"/>
            </w:r>
          </w:hyperlink>
        </w:p>
        <w:p w14:paraId="78CF0C28" w14:textId="4BDF4BD2" w:rsidR="00BB5FAC" w:rsidRDefault="00BB5FAC">
          <w:pPr>
            <w:pStyle w:val="TOC3"/>
            <w:tabs>
              <w:tab w:val="right" w:leader="dot" w:pos="9060"/>
            </w:tabs>
            <w:rPr>
              <w:rFonts w:asciiTheme="minorHAnsi" w:eastAsiaTheme="minorEastAsia" w:hAnsiTheme="minorHAnsi"/>
              <w:noProof/>
              <w:kern w:val="2"/>
              <w:lang w:eastAsia="en-NZ"/>
              <w14:ligatures w14:val="standardContextual"/>
            </w:rPr>
          </w:pPr>
          <w:hyperlink w:anchor="_Toc227603106" w:history="1">
            <w:r w:rsidRPr="00A84FA9">
              <w:rPr>
                <w:rStyle w:val="Hyperlink"/>
                <w:noProof/>
              </w:rPr>
              <w:t>The third emissions budget</w:t>
            </w:r>
            <w:r>
              <w:rPr>
                <w:noProof/>
                <w:webHidden/>
              </w:rPr>
              <w:tab/>
            </w:r>
            <w:r>
              <w:rPr>
                <w:noProof/>
                <w:webHidden/>
              </w:rPr>
              <w:fldChar w:fldCharType="begin"/>
            </w:r>
            <w:r>
              <w:rPr>
                <w:noProof/>
                <w:webHidden/>
              </w:rPr>
              <w:instrText xml:space="preserve"> PAGEREF _Toc227603106 \h </w:instrText>
            </w:r>
            <w:r>
              <w:rPr>
                <w:noProof/>
                <w:webHidden/>
              </w:rPr>
            </w:r>
            <w:r>
              <w:rPr>
                <w:noProof/>
                <w:webHidden/>
              </w:rPr>
              <w:fldChar w:fldCharType="separate"/>
            </w:r>
            <w:r>
              <w:rPr>
                <w:noProof/>
                <w:webHidden/>
              </w:rPr>
              <w:t>12</w:t>
            </w:r>
            <w:r>
              <w:rPr>
                <w:noProof/>
                <w:webHidden/>
              </w:rPr>
              <w:fldChar w:fldCharType="end"/>
            </w:r>
          </w:hyperlink>
        </w:p>
        <w:p w14:paraId="3A125809" w14:textId="6EA9C06F" w:rsidR="00BB5FAC" w:rsidRDefault="00BB5FAC">
          <w:pPr>
            <w:pStyle w:val="TOC1"/>
            <w:rPr>
              <w:rFonts w:asciiTheme="minorHAnsi" w:eastAsiaTheme="minorEastAsia" w:hAnsiTheme="minorHAnsi"/>
              <w:noProof/>
              <w:kern w:val="2"/>
              <w:lang w:eastAsia="en-NZ"/>
              <w14:ligatures w14:val="standardContextual"/>
            </w:rPr>
          </w:pPr>
          <w:hyperlink w:anchor="_Toc227603107" w:history="1">
            <w:r w:rsidRPr="00A84FA9">
              <w:rPr>
                <w:rStyle w:val="Hyperlink"/>
                <w:noProof/>
              </w:rPr>
              <w:t>Part 2: Unit limits method</w:t>
            </w:r>
            <w:r>
              <w:rPr>
                <w:noProof/>
                <w:webHidden/>
              </w:rPr>
              <w:tab/>
            </w:r>
            <w:r>
              <w:rPr>
                <w:noProof/>
                <w:webHidden/>
              </w:rPr>
              <w:fldChar w:fldCharType="begin"/>
            </w:r>
            <w:r>
              <w:rPr>
                <w:noProof/>
                <w:webHidden/>
              </w:rPr>
              <w:instrText xml:space="preserve"> PAGEREF _Toc227603107 \h </w:instrText>
            </w:r>
            <w:r>
              <w:rPr>
                <w:noProof/>
                <w:webHidden/>
              </w:rPr>
            </w:r>
            <w:r>
              <w:rPr>
                <w:noProof/>
                <w:webHidden/>
              </w:rPr>
              <w:fldChar w:fldCharType="separate"/>
            </w:r>
            <w:r>
              <w:rPr>
                <w:noProof/>
                <w:webHidden/>
              </w:rPr>
              <w:t>14</w:t>
            </w:r>
            <w:r>
              <w:rPr>
                <w:noProof/>
                <w:webHidden/>
              </w:rPr>
              <w:fldChar w:fldCharType="end"/>
            </w:r>
          </w:hyperlink>
        </w:p>
        <w:p w14:paraId="6CC834B2" w14:textId="5182A095" w:rsidR="00BB5FAC" w:rsidRDefault="00BB5FAC">
          <w:pPr>
            <w:pStyle w:val="TOC1"/>
            <w:rPr>
              <w:rFonts w:asciiTheme="minorHAnsi" w:eastAsiaTheme="minorEastAsia" w:hAnsiTheme="minorHAnsi"/>
              <w:noProof/>
              <w:kern w:val="2"/>
              <w:lang w:eastAsia="en-NZ"/>
              <w14:ligatures w14:val="standardContextual"/>
            </w:rPr>
          </w:pPr>
          <w:hyperlink w:anchor="_Toc227603108" w:history="1">
            <w:r w:rsidRPr="00A84FA9">
              <w:rPr>
                <w:rStyle w:val="Hyperlink"/>
                <w:noProof/>
              </w:rPr>
              <w:t>3</w:t>
            </w:r>
            <w:r>
              <w:rPr>
                <w:rFonts w:asciiTheme="minorHAnsi" w:eastAsiaTheme="minorEastAsia" w:hAnsiTheme="minorHAnsi"/>
                <w:noProof/>
                <w:kern w:val="2"/>
                <w:lang w:eastAsia="en-NZ"/>
                <w14:ligatures w14:val="standardContextual"/>
              </w:rPr>
              <w:tab/>
            </w:r>
            <w:r w:rsidRPr="00A84FA9">
              <w:rPr>
                <w:rStyle w:val="Hyperlink"/>
                <w:noProof/>
              </w:rPr>
              <w:t>Step 1: Convert and align emissions and units (technical adjustments)</w:t>
            </w:r>
            <w:r>
              <w:rPr>
                <w:noProof/>
                <w:webHidden/>
              </w:rPr>
              <w:tab/>
            </w:r>
            <w:r>
              <w:rPr>
                <w:noProof/>
                <w:webHidden/>
              </w:rPr>
              <w:fldChar w:fldCharType="begin"/>
            </w:r>
            <w:r>
              <w:rPr>
                <w:noProof/>
                <w:webHidden/>
              </w:rPr>
              <w:instrText xml:space="preserve"> PAGEREF _Toc227603108 \h </w:instrText>
            </w:r>
            <w:r>
              <w:rPr>
                <w:noProof/>
                <w:webHidden/>
              </w:rPr>
            </w:r>
            <w:r>
              <w:rPr>
                <w:noProof/>
                <w:webHidden/>
              </w:rPr>
              <w:fldChar w:fldCharType="separate"/>
            </w:r>
            <w:r>
              <w:rPr>
                <w:noProof/>
                <w:webHidden/>
              </w:rPr>
              <w:t>14</w:t>
            </w:r>
            <w:r>
              <w:rPr>
                <w:noProof/>
                <w:webHidden/>
              </w:rPr>
              <w:fldChar w:fldCharType="end"/>
            </w:r>
          </w:hyperlink>
        </w:p>
        <w:p w14:paraId="579A924A" w14:textId="7F6B1F52" w:rsidR="00BB5FAC" w:rsidRDefault="00BB5FAC">
          <w:pPr>
            <w:pStyle w:val="TOC2"/>
            <w:rPr>
              <w:rFonts w:asciiTheme="minorHAnsi" w:eastAsiaTheme="minorEastAsia" w:hAnsiTheme="minorHAnsi"/>
              <w:noProof/>
              <w:kern w:val="2"/>
              <w:lang w:eastAsia="en-NZ"/>
              <w14:ligatures w14:val="standardContextual"/>
            </w:rPr>
          </w:pPr>
          <w:hyperlink w:anchor="_Toc227603109" w:history="1">
            <w:r w:rsidRPr="00A84FA9">
              <w:rPr>
                <w:rStyle w:val="Hyperlink"/>
                <w:noProof/>
              </w:rPr>
              <w:t>3.1</w:t>
            </w:r>
            <w:r>
              <w:rPr>
                <w:rFonts w:asciiTheme="minorHAnsi" w:eastAsiaTheme="minorEastAsia" w:hAnsiTheme="minorHAnsi"/>
                <w:noProof/>
                <w:kern w:val="2"/>
                <w:lang w:eastAsia="en-NZ"/>
                <w14:ligatures w14:val="standardContextual"/>
              </w:rPr>
              <w:tab/>
            </w:r>
            <w:r w:rsidRPr="00A84FA9">
              <w:rPr>
                <w:rStyle w:val="Hyperlink"/>
                <w:noProof/>
              </w:rPr>
              <w:t>Waste</w:t>
            </w:r>
            <w:r>
              <w:rPr>
                <w:noProof/>
                <w:webHidden/>
              </w:rPr>
              <w:tab/>
            </w:r>
            <w:r>
              <w:rPr>
                <w:noProof/>
                <w:webHidden/>
              </w:rPr>
              <w:fldChar w:fldCharType="begin"/>
            </w:r>
            <w:r>
              <w:rPr>
                <w:noProof/>
                <w:webHidden/>
              </w:rPr>
              <w:instrText xml:space="preserve"> PAGEREF _Toc227603109 \h </w:instrText>
            </w:r>
            <w:r>
              <w:rPr>
                <w:noProof/>
                <w:webHidden/>
              </w:rPr>
            </w:r>
            <w:r>
              <w:rPr>
                <w:noProof/>
                <w:webHidden/>
              </w:rPr>
              <w:fldChar w:fldCharType="separate"/>
            </w:r>
            <w:r>
              <w:rPr>
                <w:noProof/>
                <w:webHidden/>
              </w:rPr>
              <w:t>15</w:t>
            </w:r>
            <w:r>
              <w:rPr>
                <w:noProof/>
                <w:webHidden/>
              </w:rPr>
              <w:fldChar w:fldCharType="end"/>
            </w:r>
          </w:hyperlink>
        </w:p>
        <w:p w14:paraId="5FEB0403" w14:textId="765EFC35" w:rsidR="00BB5FAC" w:rsidRDefault="00BB5FAC">
          <w:pPr>
            <w:pStyle w:val="TOC3"/>
            <w:tabs>
              <w:tab w:val="right" w:leader="dot" w:pos="9060"/>
            </w:tabs>
            <w:rPr>
              <w:rFonts w:asciiTheme="minorHAnsi" w:eastAsiaTheme="minorEastAsia" w:hAnsiTheme="minorHAnsi"/>
              <w:noProof/>
              <w:kern w:val="2"/>
              <w:lang w:eastAsia="en-NZ"/>
              <w14:ligatures w14:val="standardContextual"/>
            </w:rPr>
          </w:pPr>
          <w:hyperlink w:anchor="_Toc227603110" w:history="1">
            <w:r w:rsidRPr="00A84FA9">
              <w:rPr>
                <w:rStyle w:val="Hyperlink"/>
                <w:noProof/>
              </w:rPr>
              <w:t>Unique emissions factors</w:t>
            </w:r>
            <w:r>
              <w:rPr>
                <w:noProof/>
                <w:webHidden/>
              </w:rPr>
              <w:tab/>
            </w:r>
            <w:r>
              <w:rPr>
                <w:noProof/>
                <w:webHidden/>
              </w:rPr>
              <w:fldChar w:fldCharType="begin"/>
            </w:r>
            <w:r>
              <w:rPr>
                <w:noProof/>
                <w:webHidden/>
              </w:rPr>
              <w:instrText xml:space="preserve"> PAGEREF _Toc227603110 \h </w:instrText>
            </w:r>
            <w:r>
              <w:rPr>
                <w:noProof/>
                <w:webHidden/>
              </w:rPr>
            </w:r>
            <w:r>
              <w:rPr>
                <w:noProof/>
                <w:webHidden/>
              </w:rPr>
              <w:fldChar w:fldCharType="separate"/>
            </w:r>
            <w:r>
              <w:rPr>
                <w:noProof/>
                <w:webHidden/>
              </w:rPr>
              <w:t>16</w:t>
            </w:r>
            <w:r>
              <w:rPr>
                <w:noProof/>
                <w:webHidden/>
              </w:rPr>
              <w:fldChar w:fldCharType="end"/>
            </w:r>
          </w:hyperlink>
        </w:p>
        <w:p w14:paraId="5605CCD7" w14:textId="2034394B" w:rsidR="00BB5FAC" w:rsidRDefault="00BB5FAC">
          <w:pPr>
            <w:pStyle w:val="TOC3"/>
            <w:tabs>
              <w:tab w:val="right" w:leader="dot" w:pos="9060"/>
            </w:tabs>
            <w:rPr>
              <w:rFonts w:asciiTheme="minorHAnsi" w:eastAsiaTheme="minorEastAsia" w:hAnsiTheme="minorHAnsi"/>
              <w:noProof/>
              <w:kern w:val="2"/>
              <w:lang w:eastAsia="en-NZ"/>
              <w14:ligatures w14:val="standardContextual"/>
            </w:rPr>
          </w:pPr>
          <w:hyperlink w:anchor="_Toc227603111" w:history="1">
            <w:r w:rsidRPr="00A84FA9">
              <w:rPr>
                <w:rStyle w:val="Hyperlink"/>
                <w:noProof/>
              </w:rPr>
              <w:t>Discrepancy between landfill gas (LFG) capture rates</w:t>
            </w:r>
            <w:r>
              <w:rPr>
                <w:noProof/>
                <w:webHidden/>
              </w:rPr>
              <w:tab/>
            </w:r>
            <w:r>
              <w:rPr>
                <w:noProof/>
                <w:webHidden/>
              </w:rPr>
              <w:fldChar w:fldCharType="begin"/>
            </w:r>
            <w:r>
              <w:rPr>
                <w:noProof/>
                <w:webHidden/>
              </w:rPr>
              <w:instrText xml:space="preserve"> PAGEREF _Toc227603111 \h </w:instrText>
            </w:r>
            <w:r>
              <w:rPr>
                <w:noProof/>
                <w:webHidden/>
              </w:rPr>
            </w:r>
            <w:r>
              <w:rPr>
                <w:noProof/>
                <w:webHidden/>
              </w:rPr>
              <w:fldChar w:fldCharType="separate"/>
            </w:r>
            <w:r>
              <w:rPr>
                <w:noProof/>
                <w:webHidden/>
              </w:rPr>
              <w:t>17</w:t>
            </w:r>
            <w:r>
              <w:rPr>
                <w:noProof/>
                <w:webHidden/>
              </w:rPr>
              <w:fldChar w:fldCharType="end"/>
            </w:r>
          </w:hyperlink>
        </w:p>
        <w:p w14:paraId="37904792" w14:textId="609E8436" w:rsidR="00BB5FAC" w:rsidRDefault="00BB5FAC">
          <w:pPr>
            <w:pStyle w:val="TOC2"/>
            <w:rPr>
              <w:rFonts w:asciiTheme="minorHAnsi" w:eastAsiaTheme="minorEastAsia" w:hAnsiTheme="minorHAnsi"/>
              <w:noProof/>
              <w:kern w:val="2"/>
              <w:lang w:eastAsia="en-NZ"/>
              <w14:ligatures w14:val="standardContextual"/>
            </w:rPr>
          </w:pPr>
          <w:hyperlink w:anchor="_Toc227603112" w:history="1">
            <w:r w:rsidRPr="00A84FA9">
              <w:rPr>
                <w:rStyle w:val="Hyperlink"/>
                <w:noProof/>
              </w:rPr>
              <w:t>3.2</w:t>
            </w:r>
            <w:r>
              <w:rPr>
                <w:rFonts w:asciiTheme="minorHAnsi" w:eastAsiaTheme="minorEastAsia" w:hAnsiTheme="minorHAnsi"/>
                <w:noProof/>
                <w:kern w:val="2"/>
                <w:lang w:eastAsia="en-NZ"/>
                <w14:ligatures w14:val="standardContextual"/>
              </w:rPr>
              <w:tab/>
            </w:r>
            <w:r w:rsidRPr="00A84FA9">
              <w:rPr>
                <w:rStyle w:val="Hyperlink"/>
                <w:noProof/>
              </w:rPr>
              <w:t>Liquid fossil fuels and gas</w:t>
            </w:r>
            <w:r>
              <w:rPr>
                <w:noProof/>
                <w:webHidden/>
              </w:rPr>
              <w:tab/>
            </w:r>
            <w:r>
              <w:rPr>
                <w:noProof/>
                <w:webHidden/>
              </w:rPr>
              <w:fldChar w:fldCharType="begin"/>
            </w:r>
            <w:r>
              <w:rPr>
                <w:noProof/>
                <w:webHidden/>
              </w:rPr>
              <w:instrText xml:space="preserve"> PAGEREF _Toc227603112 \h </w:instrText>
            </w:r>
            <w:r>
              <w:rPr>
                <w:noProof/>
                <w:webHidden/>
              </w:rPr>
            </w:r>
            <w:r>
              <w:rPr>
                <w:noProof/>
                <w:webHidden/>
              </w:rPr>
              <w:fldChar w:fldCharType="separate"/>
            </w:r>
            <w:r>
              <w:rPr>
                <w:noProof/>
                <w:webHidden/>
              </w:rPr>
              <w:t>17</w:t>
            </w:r>
            <w:r>
              <w:rPr>
                <w:noProof/>
                <w:webHidden/>
              </w:rPr>
              <w:fldChar w:fldCharType="end"/>
            </w:r>
          </w:hyperlink>
        </w:p>
        <w:p w14:paraId="3516825C" w14:textId="6F4F5551" w:rsidR="00BB5FAC" w:rsidRDefault="00BB5FAC">
          <w:pPr>
            <w:pStyle w:val="TOC2"/>
            <w:rPr>
              <w:rFonts w:asciiTheme="minorHAnsi" w:eastAsiaTheme="minorEastAsia" w:hAnsiTheme="minorHAnsi"/>
              <w:noProof/>
              <w:kern w:val="2"/>
              <w:lang w:eastAsia="en-NZ"/>
              <w14:ligatures w14:val="standardContextual"/>
            </w:rPr>
          </w:pPr>
          <w:hyperlink w:anchor="_Toc227603113" w:history="1">
            <w:r w:rsidRPr="00A84FA9">
              <w:rPr>
                <w:rStyle w:val="Hyperlink"/>
                <w:noProof/>
              </w:rPr>
              <w:t>3.3</w:t>
            </w:r>
            <w:r>
              <w:rPr>
                <w:rFonts w:asciiTheme="minorHAnsi" w:eastAsiaTheme="minorEastAsia" w:hAnsiTheme="minorHAnsi"/>
                <w:noProof/>
                <w:kern w:val="2"/>
                <w:lang w:eastAsia="en-NZ"/>
                <w14:ligatures w14:val="standardContextual"/>
              </w:rPr>
              <w:tab/>
            </w:r>
            <w:r w:rsidRPr="00A84FA9">
              <w:rPr>
                <w:rStyle w:val="Hyperlink"/>
                <w:noProof/>
              </w:rPr>
              <w:t>Coal and steel production</w:t>
            </w:r>
            <w:r>
              <w:rPr>
                <w:noProof/>
                <w:webHidden/>
              </w:rPr>
              <w:tab/>
            </w:r>
            <w:r>
              <w:rPr>
                <w:noProof/>
                <w:webHidden/>
              </w:rPr>
              <w:fldChar w:fldCharType="begin"/>
            </w:r>
            <w:r>
              <w:rPr>
                <w:noProof/>
                <w:webHidden/>
              </w:rPr>
              <w:instrText xml:space="preserve"> PAGEREF _Toc227603113 \h </w:instrText>
            </w:r>
            <w:r>
              <w:rPr>
                <w:noProof/>
                <w:webHidden/>
              </w:rPr>
            </w:r>
            <w:r>
              <w:rPr>
                <w:noProof/>
                <w:webHidden/>
              </w:rPr>
              <w:fldChar w:fldCharType="separate"/>
            </w:r>
            <w:r>
              <w:rPr>
                <w:noProof/>
                <w:webHidden/>
              </w:rPr>
              <w:t>18</w:t>
            </w:r>
            <w:r>
              <w:rPr>
                <w:noProof/>
                <w:webHidden/>
              </w:rPr>
              <w:fldChar w:fldCharType="end"/>
            </w:r>
          </w:hyperlink>
        </w:p>
        <w:p w14:paraId="3B93C07D" w14:textId="0F8F114E" w:rsidR="00BB5FAC" w:rsidRDefault="00BB5FAC">
          <w:pPr>
            <w:pStyle w:val="TOC2"/>
            <w:rPr>
              <w:rFonts w:asciiTheme="minorHAnsi" w:eastAsiaTheme="minorEastAsia" w:hAnsiTheme="minorHAnsi"/>
              <w:noProof/>
              <w:kern w:val="2"/>
              <w:lang w:eastAsia="en-NZ"/>
              <w14:ligatures w14:val="standardContextual"/>
            </w:rPr>
          </w:pPr>
          <w:hyperlink w:anchor="_Toc227603114" w:history="1">
            <w:r w:rsidRPr="00A84FA9">
              <w:rPr>
                <w:rStyle w:val="Hyperlink"/>
                <w:noProof/>
              </w:rPr>
              <w:t>3.4</w:t>
            </w:r>
            <w:r>
              <w:rPr>
                <w:rFonts w:asciiTheme="minorHAnsi" w:eastAsiaTheme="minorEastAsia" w:hAnsiTheme="minorHAnsi"/>
                <w:noProof/>
                <w:kern w:val="2"/>
                <w:lang w:eastAsia="en-NZ"/>
                <w14:ligatures w14:val="standardContextual"/>
              </w:rPr>
              <w:tab/>
            </w:r>
            <w:r w:rsidRPr="00A84FA9">
              <w:rPr>
                <w:rStyle w:val="Hyperlink"/>
                <w:noProof/>
              </w:rPr>
              <w:t>Geothermal, IPPU and F-gases</w:t>
            </w:r>
            <w:r>
              <w:rPr>
                <w:noProof/>
                <w:webHidden/>
              </w:rPr>
              <w:tab/>
            </w:r>
            <w:r>
              <w:rPr>
                <w:noProof/>
                <w:webHidden/>
              </w:rPr>
              <w:fldChar w:fldCharType="begin"/>
            </w:r>
            <w:r>
              <w:rPr>
                <w:noProof/>
                <w:webHidden/>
              </w:rPr>
              <w:instrText xml:space="preserve"> PAGEREF _Toc227603114 \h </w:instrText>
            </w:r>
            <w:r>
              <w:rPr>
                <w:noProof/>
                <w:webHidden/>
              </w:rPr>
            </w:r>
            <w:r>
              <w:rPr>
                <w:noProof/>
                <w:webHidden/>
              </w:rPr>
              <w:fldChar w:fldCharType="separate"/>
            </w:r>
            <w:r>
              <w:rPr>
                <w:noProof/>
                <w:webHidden/>
              </w:rPr>
              <w:t>19</w:t>
            </w:r>
            <w:r>
              <w:rPr>
                <w:noProof/>
                <w:webHidden/>
              </w:rPr>
              <w:fldChar w:fldCharType="end"/>
            </w:r>
          </w:hyperlink>
        </w:p>
        <w:p w14:paraId="2E4C56AD" w14:textId="1A614D4B" w:rsidR="00BB5FAC" w:rsidRDefault="00BB5FAC">
          <w:pPr>
            <w:pStyle w:val="TOC2"/>
            <w:rPr>
              <w:rFonts w:asciiTheme="minorHAnsi" w:eastAsiaTheme="minorEastAsia" w:hAnsiTheme="minorHAnsi"/>
              <w:noProof/>
              <w:kern w:val="2"/>
              <w:lang w:eastAsia="en-NZ"/>
              <w14:ligatures w14:val="standardContextual"/>
            </w:rPr>
          </w:pPr>
          <w:hyperlink w:anchor="_Toc227603115" w:history="1">
            <w:r w:rsidRPr="00A84FA9">
              <w:rPr>
                <w:rStyle w:val="Hyperlink"/>
                <w:noProof/>
              </w:rPr>
              <w:t>3.5</w:t>
            </w:r>
            <w:r>
              <w:rPr>
                <w:rFonts w:asciiTheme="minorHAnsi" w:eastAsiaTheme="minorEastAsia" w:hAnsiTheme="minorHAnsi"/>
                <w:noProof/>
                <w:kern w:val="2"/>
                <w:lang w:eastAsia="en-NZ"/>
                <w14:ligatures w14:val="standardContextual"/>
              </w:rPr>
              <w:tab/>
            </w:r>
            <w:r w:rsidRPr="00A84FA9">
              <w:rPr>
                <w:rStyle w:val="Hyperlink"/>
                <w:noProof/>
              </w:rPr>
              <w:t>Forestry</w:t>
            </w:r>
            <w:r>
              <w:rPr>
                <w:noProof/>
                <w:webHidden/>
              </w:rPr>
              <w:tab/>
            </w:r>
            <w:r>
              <w:rPr>
                <w:noProof/>
                <w:webHidden/>
              </w:rPr>
              <w:fldChar w:fldCharType="begin"/>
            </w:r>
            <w:r>
              <w:rPr>
                <w:noProof/>
                <w:webHidden/>
              </w:rPr>
              <w:instrText xml:space="preserve"> PAGEREF _Toc227603115 \h </w:instrText>
            </w:r>
            <w:r>
              <w:rPr>
                <w:noProof/>
                <w:webHidden/>
              </w:rPr>
            </w:r>
            <w:r>
              <w:rPr>
                <w:noProof/>
                <w:webHidden/>
              </w:rPr>
              <w:fldChar w:fldCharType="separate"/>
            </w:r>
            <w:r>
              <w:rPr>
                <w:noProof/>
                <w:webHidden/>
              </w:rPr>
              <w:t>19</w:t>
            </w:r>
            <w:r>
              <w:rPr>
                <w:noProof/>
                <w:webHidden/>
              </w:rPr>
              <w:fldChar w:fldCharType="end"/>
            </w:r>
          </w:hyperlink>
        </w:p>
        <w:p w14:paraId="41A5E777" w14:textId="0259D19F" w:rsidR="00BB5FAC" w:rsidRDefault="00BB5FAC">
          <w:pPr>
            <w:pStyle w:val="TOC2"/>
            <w:rPr>
              <w:rFonts w:asciiTheme="minorHAnsi" w:eastAsiaTheme="minorEastAsia" w:hAnsiTheme="minorHAnsi"/>
              <w:noProof/>
              <w:kern w:val="2"/>
              <w:lang w:eastAsia="en-NZ"/>
              <w14:ligatures w14:val="standardContextual"/>
            </w:rPr>
          </w:pPr>
          <w:hyperlink w:anchor="_Toc227603116" w:history="1">
            <w:r w:rsidRPr="00A84FA9">
              <w:rPr>
                <w:rStyle w:val="Hyperlink"/>
                <w:noProof/>
              </w:rPr>
              <w:t>3.6</w:t>
            </w:r>
            <w:r>
              <w:rPr>
                <w:rFonts w:asciiTheme="minorHAnsi" w:eastAsiaTheme="minorEastAsia" w:hAnsiTheme="minorHAnsi"/>
                <w:noProof/>
                <w:kern w:val="2"/>
                <w:lang w:eastAsia="en-NZ"/>
                <w14:ligatures w14:val="standardContextual"/>
              </w:rPr>
              <w:tab/>
            </w:r>
            <w:r w:rsidRPr="00A84FA9">
              <w:rPr>
                <w:rStyle w:val="Hyperlink"/>
                <w:noProof/>
              </w:rPr>
              <w:t>Overall step 1 results – conversion of emissions cap to unit volumes</w:t>
            </w:r>
            <w:r>
              <w:rPr>
                <w:noProof/>
                <w:webHidden/>
              </w:rPr>
              <w:tab/>
            </w:r>
            <w:r>
              <w:rPr>
                <w:noProof/>
                <w:webHidden/>
              </w:rPr>
              <w:fldChar w:fldCharType="begin"/>
            </w:r>
            <w:r>
              <w:rPr>
                <w:noProof/>
                <w:webHidden/>
              </w:rPr>
              <w:instrText xml:space="preserve"> PAGEREF _Toc227603116 \h </w:instrText>
            </w:r>
            <w:r>
              <w:rPr>
                <w:noProof/>
                <w:webHidden/>
              </w:rPr>
            </w:r>
            <w:r>
              <w:rPr>
                <w:noProof/>
                <w:webHidden/>
              </w:rPr>
              <w:fldChar w:fldCharType="separate"/>
            </w:r>
            <w:r>
              <w:rPr>
                <w:noProof/>
                <w:webHidden/>
              </w:rPr>
              <w:t>21</w:t>
            </w:r>
            <w:r>
              <w:rPr>
                <w:noProof/>
                <w:webHidden/>
              </w:rPr>
              <w:fldChar w:fldCharType="end"/>
            </w:r>
          </w:hyperlink>
        </w:p>
        <w:p w14:paraId="14AD980D" w14:textId="795CA3A9" w:rsidR="00BB5FAC" w:rsidRDefault="00BB5FAC">
          <w:pPr>
            <w:pStyle w:val="TOC1"/>
            <w:rPr>
              <w:rFonts w:asciiTheme="minorHAnsi" w:eastAsiaTheme="minorEastAsia" w:hAnsiTheme="minorHAnsi"/>
              <w:noProof/>
              <w:kern w:val="2"/>
              <w:lang w:eastAsia="en-NZ"/>
              <w14:ligatures w14:val="standardContextual"/>
            </w:rPr>
          </w:pPr>
          <w:hyperlink w:anchor="_Toc227603117" w:history="1">
            <w:r w:rsidRPr="00A84FA9">
              <w:rPr>
                <w:rStyle w:val="Hyperlink"/>
                <w:noProof/>
              </w:rPr>
              <w:t>4</w:t>
            </w:r>
            <w:r>
              <w:rPr>
                <w:rFonts w:asciiTheme="minorHAnsi" w:eastAsiaTheme="minorEastAsia" w:hAnsiTheme="minorHAnsi"/>
                <w:noProof/>
                <w:kern w:val="2"/>
                <w:lang w:eastAsia="en-NZ"/>
                <w14:ligatures w14:val="standardContextual"/>
              </w:rPr>
              <w:tab/>
            </w:r>
            <w:r w:rsidRPr="00A84FA9">
              <w:rPr>
                <w:rStyle w:val="Hyperlink"/>
                <w:noProof/>
              </w:rPr>
              <w:t>Step 2: Account for industrial free allocation</w:t>
            </w:r>
            <w:r>
              <w:rPr>
                <w:noProof/>
                <w:webHidden/>
              </w:rPr>
              <w:tab/>
            </w:r>
            <w:r>
              <w:rPr>
                <w:noProof/>
                <w:webHidden/>
              </w:rPr>
              <w:fldChar w:fldCharType="begin"/>
            </w:r>
            <w:r>
              <w:rPr>
                <w:noProof/>
                <w:webHidden/>
              </w:rPr>
              <w:instrText xml:space="preserve"> PAGEREF _Toc227603117 \h </w:instrText>
            </w:r>
            <w:r>
              <w:rPr>
                <w:noProof/>
                <w:webHidden/>
              </w:rPr>
            </w:r>
            <w:r>
              <w:rPr>
                <w:noProof/>
                <w:webHidden/>
              </w:rPr>
              <w:fldChar w:fldCharType="separate"/>
            </w:r>
            <w:r>
              <w:rPr>
                <w:noProof/>
                <w:webHidden/>
              </w:rPr>
              <w:t>21</w:t>
            </w:r>
            <w:r>
              <w:rPr>
                <w:noProof/>
                <w:webHidden/>
              </w:rPr>
              <w:fldChar w:fldCharType="end"/>
            </w:r>
          </w:hyperlink>
        </w:p>
        <w:p w14:paraId="62AED9B3" w14:textId="7207D1AD" w:rsidR="00BB5FAC" w:rsidRDefault="00BB5FAC">
          <w:pPr>
            <w:pStyle w:val="TOC3"/>
            <w:tabs>
              <w:tab w:val="right" w:leader="dot" w:pos="9060"/>
            </w:tabs>
            <w:rPr>
              <w:rFonts w:asciiTheme="minorHAnsi" w:eastAsiaTheme="minorEastAsia" w:hAnsiTheme="minorHAnsi"/>
              <w:noProof/>
              <w:kern w:val="2"/>
              <w:lang w:eastAsia="en-NZ"/>
              <w14:ligatures w14:val="standardContextual"/>
            </w:rPr>
          </w:pPr>
          <w:hyperlink w:anchor="_Toc227603118" w:history="1">
            <w:r w:rsidRPr="00A84FA9">
              <w:rPr>
                <w:rStyle w:val="Hyperlink"/>
                <w:noProof/>
              </w:rPr>
              <w:t>Changes in industrial allocation forecast</w:t>
            </w:r>
            <w:r>
              <w:rPr>
                <w:noProof/>
                <w:webHidden/>
              </w:rPr>
              <w:tab/>
            </w:r>
            <w:r>
              <w:rPr>
                <w:noProof/>
                <w:webHidden/>
              </w:rPr>
              <w:fldChar w:fldCharType="begin"/>
            </w:r>
            <w:r>
              <w:rPr>
                <w:noProof/>
                <w:webHidden/>
              </w:rPr>
              <w:instrText xml:space="preserve"> PAGEREF _Toc227603118 \h </w:instrText>
            </w:r>
            <w:r>
              <w:rPr>
                <w:noProof/>
                <w:webHidden/>
              </w:rPr>
            </w:r>
            <w:r>
              <w:rPr>
                <w:noProof/>
                <w:webHidden/>
              </w:rPr>
              <w:fldChar w:fldCharType="separate"/>
            </w:r>
            <w:r>
              <w:rPr>
                <w:noProof/>
                <w:webHidden/>
              </w:rPr>
              <w:t>22</w:t>
            </w:r>
            <w:r>
              <w:rPr>
                <w:noProof/>
                <w:webHidden/>
              </w:rPr>
              <w:fldChar w:fldCharType="end"/>
            </w:r>
          </w:hyperlink>
        </w:p>
        <w:p w14:paraId="68E2A3F5" w14:textId="79B48EC8" w:rsidR="00BB5FAC" w:rsidRDefault="00BB5FAC">
          <w:pPr>
            <w:pStyle w:val="TOC1"/>
            <w:rPr>
              <w:rFonts w:asciiTheme="minorHAnsi" w:eastAsiaTheme="minorEastAsia" w:hAnsiTheme="minorHAnsi"/>
              <w:noProof/>
              <w:kern w:val="2"/>
              <w:lang w:eastAsia="en-NZ"/>
              <w14:ligatures w14:val="standardContextual"/>
            </w:rPr>
          </w:pPr>
          <w:hyperlink w:anchor="_Toc227603119" w:history="1">
            <w:r w:rsidRPr="00A84FA9">
              <w:rPr>
                <w:rStyle w:val="Hyperlink"/>
                <w:noProof/>
              </w:rPr>
              <w:t>5</w:t>
            </w:r>
            <w:r>
              <w:rPr>
                <w:rFonts w:asciiTheme="minorHAnsi" w:eastAsiaTheme="minorEastAsia" w:hAnsiTheme="minorHAnsi"/>
                <w:noProof/>
                <w:kern w:val="2"/>
                <w:lang w:eastAsia="en-NZ"/>
                <w14:ligatures w14:val="standardContextual"/>
              </w:rPr>
              <w:tab/>
            </w:r>
            <w:r w:rsidRPr="00A84FA9">
              <w:rPr>
                <w:rStyle w:val="Hyperlink"/>
                <w:noProof/>
              </w:rPr>
              <w:t>Step 3: Estimate surplus range</w:t>
            </w:r>
            <w:r>
              <w:rPr>
                <w:noProof/>
                <w:webHidden/>
              </w:rPr>
              <w:tab/>
            </w:r>
            <w:r>
              <w:rPr>
                <w:noProof/>
                <w:webHidden/>
              </w:rPr>
              <w:fldChar w:fldCharType="begin"/>
            </w:r>
            <w:r>
              <w:rPr>
                <w:noProof/>
                <w:webHidden/>
              </w:rPr>
              <w:instrText xml:space="preserve"> PAGEREF _Toc227603119 \h </w:instrText>
            </w:r>
            <w:r>
              <w:rPr>
                <w:noProof/>
                <w:webHidden/>
              </w:rPr>
            </w:r>
            <w:r>
              <w:rPr>
                <w:noProof/>
                <w:webHidden/>
              </w:rPr>
              <w:fldChar w:fldCharType="separate"/>
            </w:r>
            <w:r>
              <w:rPr>
                <w:noProof/>
                <w:webHidden/>
              </w:rPr>
              <w:t>23</w:t>
            </w:r>
            <w:r>
              <w:rPr>
                <w:noProof/>
                <w:webHidden/>
              </w:rPr>
              <w:fldChar w:fldCharType="end"/>
            </w:r>
          </w:hyperlink>
        </w:p>
        <w:p w14:paraId="59B8D87A" w14:textId="248D29C7" w:rsidR="00BB5FAC" w:rsidRDefault="00BB5FAC">
          <w:pPr>
            <w:pStyle w:val="TOC2"/>
            <w:rPr>
              <w:rFonts w:asciiTheme="minorHAnsi" w:eastAsiaTheme="minorEastAsia" w:hAnsiTheme="minorHAnsi"/>
              <w:noProof/>
              <w:kern w:val="2"/>
              <w:lang w:eastAsia="en-NZ"/>
              <w14:ligatures w14:val="standardContextual"/>
            </w:rPr>
          </w:pPr>
          <w:hyperlink w:anchor="_Toc227603120" w:history="1">
            <w:r w:rsidRPr="00A84FA9">
              <w:rPr>
                <w:rStyle w:val="Hyperlink"/>
                <w:noProof/>
              </w:rPr>
              <w:t>5.1</w:t>
            </w:r>
            <w:r>
              <w:rPr>
                <w:rFonts w:asciiTheme="minorHAnsi" w:eastAsiaTheme="minorEastAsia" w:hAnsiTheme="minorHAnsi"/>
                <w:noProof/>
                <w:kern w:val="2"/>
                <w:lang w:eastAsia="en-NZ"/>
                <w14:ligatures w14:val="standardContextual"/>
              </w:rPr>
              <w:tab/>
            </w:r>
            <w:r w:rsidRPr="00A84FA9">
              <w:rPr>
                <w:rStyle w:val="Hyperlink"/>
                <w:noProof/>
              </w:rPr>
              <w:t>Total unit holdings</w:t>
            </w:r>
            <w:r>
              <w:rPr>
                <w:noProof/>
                <w:webHidden/>
              </w:rPr>
              <w:tab/>
            </w:r>
            <w:r>
              <w:rPr>
                <w:noProof/>
                <w:webHidden/>
              </w:rPr>
              <w:fldChar w:fldCharType="begin"/>
            </w:r>
            <w:r>
              <w:rPr>
                <w:noProof/>
                <w:webHidden/>
              </w:rPr>
              <w:instrText xml:space="preserve"> PAGEREF _Toc227603120 \h </w:instrText>
            </w:r>
            <w:r>
              <w:rPr>
                <w:noProof/>
                <w:webHidden/>
              </w:rPr>
            </w:r>
            <w:r>
              <w:rPr>
                <w:noProof/>
                <w:webHidden/>
              </w:rPr>
              <w:fldChar w:fldCharType="separate"/>
            </w:r>
            <w:r>
              <w:rPr>
                <w:noProof/>
                <w:webHidden/>
              </w:rPr>
              <w:t>23</w:t>
            </w:r>
            <w:r>
              <w:rPr>
                <w:noProof/>
                <w:webHidden/>
              </w:rPr>
              <w:fldChar w:fldCharType="end"/>
            </w:r>
          </w:hyperlink>
        </w:p>
        <w:p w14:paraId="23559E6F" w14:textId="4BF8E7C7" w:rsidR="00BB5FAC" w:rsidRDefault="00BB5FAC">
          <w:pPr>
            <w:pStyle w:val="TOC2"/>
            <w:rPr>
              <w:rFonts w:asciiTheme="minorHAnsi" w:eastAsiaTheme="minorEastAsia" w:hAnsiTheme="minorHAnsi"/>
              <w:noProof/>
              <w:kern w:val="2"/>
              <w:lang w:eastAsia="en-NZ"/>
              <w14:ligatures w14:val="standardContextual"/>
            </w:rPr>
          </w:pPr>
          <w:hyperlink w:anchor="_Toc227603121" w:history="1">
            <w:r w:rsidRPr="00A84FA9">
              <w:rPr>
                <w:rStyle w:val="Hyperlink"/>
                <w:noProof/>
              </w:rPr>
              <w:t>5.2</w:t>
            </w:r>
            <w:r>
              <w:rPr>
                <w:rFonts w:asciiTheme="minorHAnsi" w:eastAsiaTheme="minorEastAsia" w:hAnsiTheme="minorHAnsi"/>
                <w:noProof/>
                <w:kern w:val="2"/>
                <w:lang w:eastAsia="en-NZ"/>
                <w14:ligatures w14:val="standardContextual"/>
              </w:rPr>
              <w:tab/>
            </w:r>
            <w:r w:rsidRPr="00A84FA9">
              <w:rPr>
                <w:rStyle w:val="Hyperlink"/>
                <w:noProof/>
              </w:rPr>
              <w:t>Pre-1990 units held long-term</w:t>
            </w:r>
            <w:r>
              <w:rPr>
                <w:noProof/>
                <w:webHidden/>
              </w:rPr>
              <w:tab/>
            </w:r>
            <w:r>
              <w:rPr>
                <w:noProof/>
                <w:webHidden/>
              </w:rPr>
              <w:fldChar w:fldCharType="begin"/>
            </w:r>
            <w:r>
              <w:rPr>
                <w:noProof/>
                <w:webHidden/>
              </w:rPr>
              <w:instrText xml:space="preserve"> PAGEREF _Toc227603121 \h </w:instrText>
            </w:r>
            <w:r>
              <w:rPr>
                <w:noProof/>
                <w:webHidden/>
              </w:rPr>
            </w:r>
            <w:r>
              <w:rPr>
                <w:noProof/>
                <w:webHidden/>
              </w:rPr>
              <w:fldChar w:fldCharType="separate"/>
            </w:r>
            <w:r>
              <w:rPr>
                <w:noProof/>
                <w:webHidden/>
              </w:rPr>
              <w:t>24</w:t>
            </w:r>
            <w:r>
              <w:rPr>
                <w:noProof/>
                <w:webHidden/>
              </w:rPr>
              <w:fldChar w:fldCharType="end"/>
            </w:r>
          </w:hyperlink>
        </w:p>
        <w:p w14:paraId="26ABC132" w14:textId="13DE84D3" w:rsidR="00BB5FAC" w:rsidRDefault="00BB5FAC">
          <w:pPr>
            <w:pStyle w:val="TOC2"/>
            <w:rPr>
              <w:rFonts w:asciiTheme="minorHAnsi" w:eastAsiaTheme="minorEastAsia" w:hAnsiTheme="minorHAnsi"/>
              <w:noProof/>
              <w:kern w:val="2"/>
              <w:lang w:eastAsia="en-NZ"/>
              <w14:ligatures w14:val="standardContextual"/>
            </w:rPr>
          </w:pPr>
          <w:hyperlink w:anchor="_Toc227603122" w:history="1">
            <w:r w:rsidRPr="00A84FA9">
              <w:rPr>
                <w:rStyle w:val="Hyperlink"/>
                <w:noProof/>
              </w:rPr>
              <w:t>5.3</w:t>
            </w:r>
            <w:r>
              <w:rPr>
                <w:rFonts w:asciiTheme="minorHAnsi" w:eastAsiaTheme="minorEastAsia" w:hAnsiTheme="minorHAnsi"/>
                <w:noProof/>
                <w:kern w:val="2"/>
                <w:lang w:eastAsia="en-NZ"/>
                <w14:ligatures w14:val="standardContextual"/>
              </w:rPr>
              <w:tab/>
            </w:r>
            <w:r w:rsidRPr="00A84FA9">
              <w:rPr>
                <w:rStyle w:val="Hyperlink"/>
                <w:noProof/>
              </w:rPr>
              <w:t>Units held for surrender for past emissions (holding volume)</w:t>
            </w:r>
            <w:r>
              <w:rPr>
                <w:noProof/>
                <w:webHidden/>
              </w:rPr>
              <w:tab/>
            </w:r>
            <w:r>
              <w:rPr>
                <w:noProof/>
                <w:webHidden/>
              </w:rPr>
              <w:fldChar w:fldCharType="begin"/>
            </w:r>
            <w:r>
              <w:rPr>
                <w:noProof/>
                <w:webHidden/>
              </w:rPr>
              <w:instrText xml:space="preserve"> PAGEREF _Toc227603122 \h </w:instrText>
            </w:r>
            <w:r>
              <w:rPr>
                <w:noProof/>
                <w:webHidden/>
              </w:rPr>
            </w:r>
            <w:r>
              <w:rPr>
                <w:noProof/>
                <w:webHidden/>
              </w:rPr>
              <w:fldChar w:fldCharType="separate"/>
            </w:r>
            <w:r>
              <w:rPr>
                <w:noProof/>
                <w:webHidden/>
              </w:rPr>
              <w:t>25</w:t>
            </w:r>
            <w:r>
              <w:rPr>
                <w:noProof/>
                <w:webHidden/>
              </w:rPr>
              <w:fldChar w:fldCharType="end"/>
            </w:r>
          </w:hyperlink>
        </w:p>
        <w:p w14:paraId="261F6FD6" w14:textId="6CE2C1C0" w:rsidR="00BB5FAC" w:rsidRDefault="00BB5FAC">
          <w:pPr>
            <w:pStyle w:val="TOC2"/>
            <w:rPr>
              <w:rFonts w:asciiTheme="minorHAnsi" w:eastAsiaTheme="minorEastAsia" w:hAnsiTheme="minorHAnsi"/>
              <w:noProof/>
              <w:kern w:val="2"/>
              <w:lang w:eastAsia="en-NZ"/>
              <w14:ligatures w14:val="standardContextual"/>
            </w:rPr>
          </w:pPr>
          <w:hyperlink w:anchor="_Toc227603123" w:history="1">
            <w:r w:rsidRPr="00A84FA9">
              <w:rPr>
                <w:rStyle w:val="Hyperlink"/>
                <w:noProof/>
              </w:rPr>
              <w:t>5.4</w:t>
            </w:r>
            <w:r>
              <w:rPr>
                <w:rFonts w:asciiTheme="minorHAnsi" w:eastAsiaTheme="minorEastAsia" w:hAnsiTheme="minorHAnsi"/>
                <w:noProof/>
                <w:kern w:val="2"/>
                <w:lang w:eastAsia="en-NZ"/>
                <w14:ligatures w14:val="standardContextual"/>
              </w:rPr>
              <w:tab/>
            </w:r>
            <w:r w:rsidRPr="00A84FA9">
              <w:rPr>
                <w:rStyle w:val="Hyperlink"/>
                <w:noProof/>
              </w:rPr>
              <w:t>Units held for forward hedging by emitters</w:t>
            </w:r>
            <w:r>
              <w:rPr>
                <w:noProof/>
                <w:webHidden/>
              </w:rPr>
              <w:tab/>
            </w:r>
            <w:r>
              <w:rPr>
                <w:noProof/>
                <w:webHidden/>
              </w:rPr>
              <w:fldChar w:fldCharType="begin"/>
            </w:r>
            <w:r>
              <w:rPr>
                <w:noProof/>
                <w:webHidden/>
              </w:rPr>
              <w:instrText xml:space="preserve"> PAGEREF _Toc227603123 \h </w:instrText>
            </w:r>
            <w:r>
              <w:rPr>
                <w:noProof/>
                <w:webHidden/>
              </w:rPr>
            </w:r>
            <w:r>
              <w:rPr>
                <w:noProof/>
                <w:webHidden/>
              </w:rPr>
              <w:fldChar w:fldCharType="separate"/>
            </w:r>
            <w:r>
              <w:rPr>
                <w:noProof/>
                <w:webHidden/>
              </w:rPr>
              <w:t>26</w:t>
            </w:r>
            <w:r>
              <w:rPr>
                <w:noProof/>
                <w:webHidden/>
              </w:rPr>
              <w:fldChar w:fldCharType="end"/>
            </w:r>
          </w:hyperlink>
        </w:p>
        <w:p w14:paraId="1F1221F6" w14:textId="10D7EB30" w:rsidR="00BB5FAC" w:rsidRDefault="00BB5FAC">
          <w:pPr>
            <w:pStyle w:val="TOC3"/>
            <w:tabs>
              <w:tab w:val="right" w:leader="dot" w:pos="9060"/>
            </w:tabs>
            <w:rPr>
              <w:rFonts w:asciiTheme="minorHAnsi" w:eastAsiaTheme="minorEastAsia" w:hAnsiTheme="minorHAnsi"/>
              <w:noProof/>
              <w:kern w:val="2"/>
              <w:lang w:eastAsia="en-NZ"/>
              <w14:ligatures w14:val="standardContextual"/>
            </w:rPr>
          </w:pPr>
          <w:hyperlink w:anchor="_Toc227603124" w:history="1">
            <w:r w:rsidRPr="00A84FA9">
              <w:rPr>
                <w:rStyle w:val="Hyperlink"/>
                <w:noProof/>
              </w:rPr>
              <w:t>Hedging assumptions</w:t>
            </w:r>
            <w:r>
              <w:rPr>
                <w:noProof/>
                <w:webHidden/>
              </w:rPr>
              <w:tab/>
            </w:r>
            <w:r>
              <w:rPr>
                <w:noProof/>
                <w:webHidden/>
              </w:rPr>
              <w:fldChar w:fldCharType="begin"/>
            </w:r>
            <w:r>
              <w:rPr>
                <w:noProof/>
                <w:webHidden/>
              </w:rPr>
              <w:instrText xml:space="preserve"> PAGEREF _Toc227603124 \h </w:instrText>
            </w:r>
            <w:r>
              <w:rPr>
                <w:noProof/>
                <w:webHidden/>
              </w:rPr>
            </w:r>
            <w:r>
              <w:rPr>
                <w:noProof/>
                <w:webHidden/>
              </w:rPr>
              <w:fldChar w:fldCharType="separate"/>
            </w:r>
            <w:r>
              <w:rPr>
                <w:noProof/>
                <w:webHidden/>
              </w:rPr>
              <w:t>26</w:t>
            </w:r>
            <w:r>
              <w:rPr>
                <w:noProof/>
                <w:webHidden/>
              </w:rPr>
              <w:fldChar w:fldCharType="end"/>
            </w:r>
          </w:hyperlink>
        </w:p>
        <w:p w14:paraId="15AD9D35" w14:textId="5E3F430C" w:rsidR="00BB5FAC" w:rsidRDefault="00BB5FAC">
          <w:pPr>
            <w:pStyle w:val="TOC3"/>
            <w:tabs>
              <w:tab w:val="right" w:leader="dot" w:pos="9060"/>
            </w:tabs>
            <w:rPr>
              <w:rFonts w:asciiTheme="minorHAnsi" w:eastAsiaTheme="minorEastAsia" w:hAnsiTheme="minorHAnsi"/>
              <w:noProof/>
              <w:kern w:val="2"/>
              <w:lang w:eastAsia="en-NZ"/>
              <w14:ligatures w14:val="standardContextual"/>
            </w:rPr>
          </w:pPr>
          <w:hyperlink w:anchor="_Toc227603125" w:history="1">
            <w:r w:rsidRPr="00A84FA9">
              <w:rPr>
                <w:rStyle w:val="Hyperlink"/>
                <w:noProof/>
              </w:rPr>
              <w:t>Base year for hedging estimates</w:t>
            </w:r>
            <w:r>
              <w:rPr>
                <w:noProof/>
                <w:webHidden/>
              </w:rPr>
              <w:tab/>
            </w:r>
            <w:r>
              <w:rPr>
                <w:noProof/>
                <w:webHidden/>
              </w:rPr>
              <w:fldChar w:fldCharType="begin"/>
            </w:r>
            <w:r>
              <w:rPr>
                <w:noProof/>
                <w:webHidden/>
              </w:rPr>
              <w:instrText xml:space="preserve"> PAGEREF _Toc227603125 \h </w:instrText>
            </w:r>
            <w:r>
              <w:rPr>
                <w:noProof/>
                <w:webHidden/>
              </w:rPr>
            </w:r>
            <w:r>
              <w:rPr>
                <w:noProof/>
                <w:webHidden/>
              </w:rPr>
              <w:fldChar w:fldCharType="separate"/>
            </w:r>
            <w:r>
              <w:rPr>
                <w:noProof/>
                <w:webHidden/>
              </w:rPr>
              <w:t>27</w:t>
            </w:r>
            <w:r>
              <w:rPr>
                <w:noProof/>
                <w:webHidden/>
              </w:rPr>
              <w:fldChar w:fldCharType="end"/>
            </w:r>
          </w:hyperlink>
        </w:p>
        <w:p w14:paraId="4074AEA1" w14:textId="4E4432A7" w:rsidR="00BB5FAC" w:rsidRDefault="00BB5FAC">
          <w:pPr>
            <w:pStyle w:val="TOC3"/>
            <w:tabs>
              <w:tab w:val="right" w:leader="dot" w:pos="9060"/>
            </w:tabs>
            <w:rPr>
              <w:rFonts w:asciiTheme="minorHAnsi" w:eastAsiaTheme="minorEastAsia" w:hAnsiTheme="minorHAnsi"/>
              <w:noProof/>
              <w:kern w:val="2"/>
              <w:lang w:eastAsia="en-NZ"/>
              <w14:ligatures w14:val="standardContextual"/>
            </w:rPr>
          </w:pPr>
          <w:hyperlink w:anchor="_Toc227603126" w:history="1">
            <w:r w:rsidRPr="00A84FA9">
              <w:rPr>
                <w:rStyle w:val="Hyperlink"/>
                <w:noProof/>
              </w:rPr>
              <w:t>Detailed assumptions relating to hedging</w:t>
            </w:r>
            <w:r>
              <w:rPr>
                <w:noProof/>
                <w:webHidden/>
              </w:rPr>
              <w:tab/>
            </w:r>
            <w:r>
              <w:rPr>
                <w:noProof/>
                <w:webHidden/>
              </w:rPr>
              <w:fldChar w:fldCharType="begin"/>
            </w:r>
            <w:r>
              <w:rPr>
                <w:noProof/>
                <w:webHidden/>
              </w:rPr>
              <w:instrText xml:space="preserve"> PAGEREF _Toc227603126 \h </w:instrText>
            </w:r>
            <w:r>
              <w:rPr>
                <w:noProof/>
                <w:webHidden/>
              </w:rPr>
            </w:r>
            <w:r>
              <w:rPr>
                <w:noProof/>
                <w:webHidden/>
              </w:rPr>
              <w:fldChar w:fldCharType="separate"/>
            </w:r>
            <w:r>
              <w:rPr>
                <w:noProof/>
                <w:webHidden/>
              </w:rPr>
              <w:t>27</w:t>
            </w:r>
            <w:r>
              <w:rPr>
                <w:noProof/>
                <w:webHidden/>
              </w:rPr>
              <w:fldChar w:fldCharType="end"/>
            </w:r>
          </w:hyperlink>
        </w:p>
        <w:p w14:paraId="575C2F0D" w14:textId="34DC6944" w:rsidR="00BB5FAC" w:rsidRDefault="00BB5FAC">
          <w:pPr>
            <w:pStyle w:val="TOC2"/>
            <w:rPr>
              <w:rFonts w:asciiTheme="minorHAnsi" w:eastAsiaTheme="minorEastAsia" w:hAnsiTheme="minorHAnsi"/>
              <w:noProof/>
              <w:kern w:val="2"/>
              <w:lang w:eastAsia="en-NZ"/>
              <w14:ligatures w14:val="standardContextual"/>
            </w:rPr>
          </w:pPr>
          <w:hyperlink w:anchor="_Toc227603127" w:history="1">
            <w:r w:rsidRPr="00A84FA9">
              <w:rPr>
                <w:rStyle w:val="Hyperlink"/>
                <w:noProof/>
              </w:rPr>
              <w:t>5.5</w:t>
            </w:r>
            <w:r>
              <w:rPr>
                <w:rFonts w:asciiTheme="minorHAnsi" w:eastAsiaTheme="minorEastAsia" w:hAnsiTheme="minorHAnsi"/>
                <w:noProof/>
                <w:kern w:val="2"/>
                <w:lang w:eastAsia="en-NZ"/>
                <w14:ligatures w14:val="standardContextual"/>
              </w:rPr>
              <w:tab/>
            </w:r>
            <w:r w:rsidRPr="00A84FA9">
              <w:rPr>
                <w:rStyle w:val="Hyperlink"/>
                <w:noProof/>
              </w:rPr>
              <w:t>Units held for post-1989 harvest liabilities</w:t>
            </w:r>
            <w:r>
              <w:rPr>
                <w:noProof/>
                <w:webHidden/>
              </w:rPr>
              <w:tab/>
            </w:r>
            <w:r>
              <w:rPr>
                <w:noProof/>
                <w:webHidden/>
              </w:rPr>
              <w:fldChar w:fldCharType="begin"/>
            </w:r>
            <w:r>
              <w:rPr>
                <w:noProof/>
                <w:webHidden/>
              </w:rPr>
              <w:instrText xml:space="preserve"> PAGEREF _Toc227603127 \h </w:instrText>
            </w:r>
            <w:r>
              <w:rPr>
                <w:noProof/>
                <w:webHidden/>
              </w:rPr>
            </w:r>
            <w:r>
              <w:rPr>
                <w:noProof/>
                <w:webHidden/>
              </w:rPr>
              <w:fldChar w:fldCharType="separate"/>
            </w:r>
            <w:r>
              <w:rPr>
                <w:noProof/>
                <w:webHidden/>
              </w:rPr>
              <w:t>27</w:t>
            </w:r>
            <w:r>
              <w:rPr>
                <w:noProof/>
                <w:webHidden/>
              </w:rPr>
              <w:fldChar w:fldCharType="end"/>
            </w:r>
          </w:hyperlink>
        </w:p>
        <w:p w14:paraId="0685FA64" w14:textId="6E002B24" w:rsidR="00BB5FAC" w:rsidRDefault="00BB5FAC">
          <w:pPr>
            <w:pStyle w:val="TOC3"/>
            <w:tabs>
              <w:tab w:val="right" w:leader="dot" w:pos="9060"/>
            </w:tabs>
            <w:rPr>
              <w:rFonts w:asciiTheme="minorHAnsi" w:eastAsiaTheme="minorEastAsia" w:hAnsiTheme="minorHAnsi"/>
              <w:noProof/>
              <w:kern w:val="2"/>
              <w:lang w:eastAsia="en-NZ"/>
              <w14:ligatures w14:val="standardContextual"/>
            </w:rPr>
          </w:pPr>
          <w:hyperlink w:anchor="_Toc227603128" w:history="1">
            <w:r w:rsidRPr="00A84FA9">
              <w:rPr>
                <w:rStyle w:val="Hyperlink"/>
                <w:noProof/>
              </w:rPr>
              <w:t>Harvest age data and assumptions</w:t>
            </w:r>
            <w:r>
              <w:rPr>
                <w:noProof/>
                <w:webHidden/>
              </w:rPr>
              <w:tab/>
            </w:r>
            <w:r>
              <w:rPr>
                <w:noProof/>
                <w:webHidden/>
              </w:rPr>
              <w:fldChar w:fldCharType="begin"/>
            </w:r>
            <w:r>
              <w:rPr>
                <w:noProof/>
                <w:webHidden/>
              </w:rPr>
              <w:instrText xml:space="preserve"> PAGEREF _Toc227603128 \h </w:instrText>
            </w:r>
            <w:r>
              <w:rPr>
                <w:noProof/>
                <w:webHidden/>
              </w:rPr>
            </w:r>
            <w:r>
              <w:rPr>
                <w:noProof/>
                <w:webHidden/>
              </w:rPr>
              <w:fldChar w:fldCharType="separate"/>
            </w:r>
            <w:r>
              <w:rPr>
                <w:noProof/>
                <w:webHidden/>
              </w:rPr>
              <w:t>28</w:t>
            </w:r>
            <w:r>
              <w:rPr>
                <w:noProof/>
                <w:webHidden/>
              </w:rPr>
              <w:fldChar w:fldCharType="end"/>
            </w:r>
          </w:hyperlink>
        </w:p>
        <w:p w14:paraId="5CE37AAF" w14:textId="3E2F3548" w:rsidR="00BB5FAC" w:rsidRDefault="00BB5FAC">
          <w:pPr>
            <w:pStyle w:val="TOC3"/>
            <w:tabs>
              <w:tab w:val="right" w:leader="dot" w:pos="9060"/>
            </w:tabs>
            <w:rPr>
              <w:rFonts w:asciiTheme="minorHAnsi" w:eastAsiaTheme="minorEastAsia" w:hAnsiTheme="minorHAnsi"/>
              <w:noProof/>
              <w:kern w:val="2"/>
              <w:lang w:eastAsia="en-NZ"/>
              <w14:ligatures w14:val="standardContextual"/>
            </w:rPr>
          </w:pPr>
          <w:hyperlink w:anchor="_Toc227603129" w:history="1">
            <w:r w:rsidRPr="00A84FA9">
              <w:rPr>
                <w:rStyle w:val="Hyperlink"/>
                <w:noProof/>
              </w:rPr>
              <w:t>Exotic forests assumed to be managed as permanent</w:t>
            </w:r>
            <w:r>
              <w:rPr>
                <w:noProof/>
                <w:webHidden/>
              </w:rPr>
              <w:tab/>
            </w:r>
            <w:r>
              <w:rPr>
                <w:noProof/>
                <w:webHidden/>
              </w:rPr>
              <w:fldChar w:fldCharType="begin"/>
            </w:r>
            <w:r>
              <w:rPr>
                <w:noProof/>
                <w:webHidden/>
              </w:rPr>
              <w:instrText xml:space="preserve"> PAGEREF _Toc227603129 \h </w:instrText>
            </w:r>
            <w:r>
              <w:rPr>
                <w:noProof/>
                <w:webHidden/>
              </w:rPr>
            </w:r>
            <w:r>
              <w:rPr>
                <w:noProof/>
                <w:webHidden/>
              </w:rPr>
              <w:fldChar w:fldCharType="separate"/>
            </w:r>
            <w:r>
              <w:rPr>
                <w:noProof/>
                <w:webHidden/>
              </w:rPr>
              <w:t>29</w:t>
            </w:r>
            <w:r>
              <w:rPr>
                <w:noProof/>
                <w:webHidden/>
              </w:rPr>
              <w:fldChar w:fldCharType="end"/>
            </w:r>
          </w:hyperlink>
        </w:p>
        <w:p w14:paraId="1DE679CC" w14:textId="2BC58C7A" w:rsidR="00BB5FAC" w:rsidRDefault="00BB5FAC">
          <w:pPr>
            <w:pStyle w:val="TOC3"/>
            <w:tabs>
              <w:tab w:val="right" w:leader="dot" w:pos="9060"/>
            </w:tabs>
            <w:rPr>
              <w:rFonts w:asciiTheme="minorHAnsi" w:eastAsiaTheme="minorEastAsia" w:hAnsiTheme="minorHAnsi"/>
              <w:noProof/>
              <w:kern w:val="2"/>
              <w:lang w:eastAsia="en-NZ"/>
              <w14:ligatures w14:val="standardContextual"/>
            </w:rPr>
          </w:pPr>
          <w:hyperlink w:anchor="_Toc227603130" w:history="1">
            <w:r w:rsidRPr="00A84FA9">
              <w:rPr>
                <w:rStyle w:val="Hyperlink"/>
                <w:noProof/>
              </w:rPr>
              <w:t>Low-risk units</w:t>
            </w:r>
            <w:r>
              <w:rPr>
                <w:noProof/>
                <w:webHidden/>
              </w:rPr>
              <w:tab/>
            </w:r>
            <w:r>
              <w:rPr>
                <w:noProof/>
                <w:webHidden/>
              </w:rPr>
              <w:fldChar w:fldCharType="begin"/>
            </w:r>
            <w:r>
              <w:rPr>
                <w:noProof/>
                <w:webHidden/>
              </w:rPr>
              <w:instrText xml:space="preserve"> PAGEREF _Toc227603130 \h </w:instrText>
            </w:r>
            <w:r>
              <w:rPr>
                <w:noProof/>
                <w:webHidden/>
              </w:rPr>
            </w:r>
            <w:r>
              <w:rPr>
                <w:noProof/>
                <w:webHidden/>
              </w:rPr>
              <w:fldChar w:fldCharType="separate"/>
            </w:r>
            <w:r>
              <w:rPr>
                <w:noProof/>
                <w:webHidden/>
              </w:rPr>
              <w:t>31</w:t>
            </w:r>
            <w:r>
              <w:rPr>
                <w:noProof/>
                <w:webHidden/>
              </w:rPr>
              <w:fldChar w:fldCharType="end"/>
            </w:r>
          </w:hyperlink>
        </w:p>
        <w:p w14:paraId="2DDB4201" w14:textId="3B89C33C" w:rsidR="00BB5FAC" w:rsidRDefault="00BB5FAC">
          <w:pPr>
            <w:pStyle w:val="TOC3"/>
            <w:tabs>
              <w:tab w:val="right" w:leader="dot" w:pos="9060"/>
            </w:tabs>
            <w:rPr>
              <w:rFonts w:asciiTheme="minorHAnsi" w:eastAsiaTheme="minorEastAsia" w:hAnsiTheme="minorHAnsi"/>
              <w:noProof/>
              <w:kern w:val="2"/>
              <w:lang w:eastAsia="en-NZ"/>
              <w14:ligatures w14:val="standardContextual"/>
            </w:rPr>
          </w:pPr>
          <w:hyperlink w:anchor="_Toc227603131" w:history="1">
            <w:r w:rsidRPr="00A84FA9">
              <w:rPr>
                <w:rStyle w:val="Hyperlink"/>
                <w:noProof/>
              </w:rPr>
              <w:t>Range of estimated units held for post-1989 harvest liabilities</w:t>
            </w:r>
            <w:r>
              <w:rPr>
                <w:noProof/>
                <w:webHidden/>
              </w:rPr>
              <w:tab/>
            </w:r>
            <w:r>
              <w:rPr>
                <w:noProof/>
                <w:webHidden/>
              </w:rPr>
              <w:fldChar w:fldCharType="begin"/>
            </w:r>
            <w:r>
              <w:rPr>
                <w:noProof/>
                <w:webHidden/>
              </w:rPr>
              <w:instrText xml:space="preserve"> PAGEREF _Toc227603131 \h </w:instrText>
            </w:r>
            <w:r>
              <w:rPr>
                <w:noProof/>
                <w:webHidden/>
              </w:rPr>
            </w:r>
            <w:r>
              <w:rPr>
                <w:noProof/>
                <w:webHidden/>
              </w:rPr>
              <w:fldChar w:fldCharType="separate"/>
            </w:r>
            <w:r>
              <w:rPr>
                <w:noProof/>
                <w:webHidden/>
              </w:rPr>
              <w:t>33</w:t>
            </w:r>
            <w:r>
              <w:rPr>
                <w:noProof/>
                <w:webHidden/>
              </w:rPr>
              <w:fldChar w:fldCharType="end"/>
            </w:r>
          </w:hyperlink>
        </w:p>
        <w:p w14:paraId="4F7FF15C" w14:textId="21BD8DC7" w:rsidR="00BB5FAC" w:rsidRDefault="00BB5FAC">
          <w:pPr>
            <w:pStyle w:val="TOC2"/>
            <w:rPr>
              <w:rFonts w:asciiTheme="minorHAnsi" w:eastAsiaTheme="minorEastAsia" w:hAnsiTheme="minorHAnsi"/>
              <w:noProof/>
              <w:kern w:val="2"/>
              <w:lang w:eastAsia="en-NZ"/>
              <w14:ligatures w14:val="standardContextual"/>
            </w:rPr>
          </w:pPr>
          <w:hyperlink w:anchor="_Toc227603132" w:history="1">
            <w:r w:rsidRPr="00A84FA9">
              <w:rPr>
                <w:rStyle w:val="Hyperlink"/>
                <w:noProof/>
              </w:rPr>
              <w:t>5.6</w:t>
            </w:r>
            <w:r>
              <w:rPr>
                <w:rFonts w:asciiTheme="minorHAnsi" w:eastAsiaTheme="minorEastAsia" w:hAnsiTheme="minorHAnsi"/>
                <w:noProof/>
                <w:kern w:val="2"/>
                <w:lang w:eastAsia="en-NZ"/>
                <w14:ligatures w14:val="standardContextual"/>
              </w:rPr>
              <w:tab/>
            </w:r>
            <w:r w:rsidRPr="00A84FA9">
              <w:rPr>
                <w:rStyle w:val="Hyperlink"/>
                <w:noProof/>
              </w:rPr>
              <w:t>Forestry unit reconciliation</w:t>
            </w:r>
            <w:r>
              <w:rPr>
                <w:noProof/>
                <w:webHidden/>
              </w:rPr>
              <w:tab/>
            </w:r>
            <w:r>
              <w:rPr>
                <w:noProof/>
                <w:webHidden/>
              </w:rPr>
              <w:fldChar w:fldCharType="begin"/>
            </w:r>
            <w:r>
              <w:rPr>
                <w:noProof/>
                <w:webHidden/>
              </w:rPr>
              <w:instrText xml:space="preserve"> PAGEREF _Toc227603132 \h </w:instrText>
            </w:r>
            <w:r>
              <w:rPr>
                <w:noProof/>
                <w:webHidden/>
              </w:rPr>
            </w:r>
            <w:r>
              <w:rPr>
                <w:noProof/>
                <w:webHidden/>
              </w:rPr>
              <w:fldChar w:fldCharType="separate"/>
            </w:r>
            <w:r>
              <w:rPr>
                <w:noProof/>
                <w:webHidden/>
              </w:rPr>
              <w:t>34</w:t>
            </w:r>
            <w:r>
              <w:rPr>
                <w:noProof/>
                <w:webHidden/>
              </w:rPr>
              <w:fldChar w:fldCharType="end"/>
            </w:r>
          </w:hyperlink>
        </w:p>
        <w:p w14:paraId="7A5B3DD2" w14:textId="6BBD37EF" w:rsidR="00BB5FAC" w:rsidRDefault="00BB5FAC">
          <w:pPr>
            <w:pStyle w:val="TOC2"/>
            <w:rPr>
              <w:rFonts w:asciiTheme="minorHAnsi" w:eastAsiaTheme="minorEastAsia" w:hAnsiTheme="minorHAnsi"/>
              <w:noProof/>
              <w:kern w:val="2"/>
              <w:lang w:eastAsia="en-NZ"/>
              <w14:ligatures w14:val="standardContextual"/>
            </w:rPr>
          </w:pPr>
          <w:hyperlink w:anchor="_Toc227603133" w:history="1">
            <w:r w:rsidRPr="00A84FA9">
              <w:rPr>
                <w:rStyle w:val="Hyperlink"/>
                <w:noProof/>
              </w:rPr>
              <w:t>5.7</w:t>
            </w:r>
            <w:r>
              <w:rPr>
                <w:rFonts w:asciiTheme="minorHAnsi" w:eastAsiaTheme="minorEastAsia" w:hAnsiTheme="minorHAnsi"/>
                <w:noProof/>
                <w:kern w:val="2"/>
                <w:lang w:eastAsia="en-NZ"/>
                <w14:ligatures w14:val="standardContextual"/>
              </w:rPr>
              <w:tab/>
            </w:r>
            <w:r w:rsidRPr="00A84FA9">
              <w:rPr>
                <w:rStyle w:val="Hyperlink"/>
                <w:noProof/>
              </w:rPr>
              <w:t>Forestry technical adjustment</w:t>
            </w:r>
            <w:r>
              <w:rPr>
                <w:noProof/>
                <w:webHidden/>
              </w:rPr>
              <w:tab/>
            </w:r>
            <w:r>
              <w:rPr>
                <w:noProof/>
                <w:webHidden/>
              </w:rPr>
              <w:fldChar w:fldCharType="begin"/>
            </w:r>
            <w:r>
              <w:rPr>
                <w:noProof/>
                <w:webHidden/>
              </w:rPr>
              <w:instrText xml:space="preserve"> PAGEREF _Toc227603133 \h </w:instrText>
            </w:r>
            <w:r>
              <w:rPr>
                <w:noProof/>
                <w:webHidden/>
              </w:rPr>
            </w:r>
            <w:r>
              <w:rPr>
                <w:noProof/>
                <w:webHidden/>
              </w:rPr>
              <w:fldChar w:fldCharType="separate"/>
            </w:r>
            <w:r>
              <w:rPr>
                <w:noProof/>
                <w:webHidden/>
              </w:rPr>
              <w:t>35</w:t>
            </w:r>
            <w:r>
              <w:rPr>
                <w:noProof/>
                <w:webHidden/>
              </w:rPr>
              <w:fldChar w:fldCharType="end"/>
            </w:r>
          </w:hyperlink>
        </w:p>
        <w:p w14:paraId="195F949B" w14:textId="0A9995B6" w:rsidR="00BB5FAC" w:rsidRDefault="00BB5FAC">
          <w:pPr>
            <w:pStyle w:val="TOC2"/>
            <w:rPr>
              <w:rFonts w:asciiTheme="minorHAnsi" w:eastAsiaTheme="minorEastAsia" w:hAnsiTheme="minorHAnsi"/>
              <w:noProof/>
              <w:kern w:val="2"/>
              <w:lang w:eastAsia="en-NZ"/>
              <w14:ligatures w14:val="standardContextual"/>
            </w:rPr>
          </w:pPr>
          <w:hyperlink w:anchor="_Toc227603134" w:history="1">
            <w:r w:rsidRPr="00A84FA9">
              <w:rPr>
                <w:rStyle w:val="Hyperlink"/>
                <w:noProof/>
              </w:rPr>
              <w:t>5.8</w:t>
            </w:r>
            <w:r>
              <w:rPr>
                <w:rFonts w:asciiTheme="minorHAnsi" w:eastAsiaTheme="minorEastAsia" w:hAnsiTheme="minorHAnsi"/>
                <w:noProof/>
                <w:kern w:val="2"/>
                <w:lang w:eastAsia="en-NZ"/>
                <w14:ligatures w14:val="standardContextual"/>
              </w:rPr>
              <w:tab/>
            </w:r>
            <w:r w:rsidRPr="00A84FA9">
              <w:rPr>
                <w:rStyle w:val="Hyperlink"/>
                <w:noProof/>
              </w:rPr>
              <w:t>Surplus range estimate</w:t>
            </w:r>
            <w:r>
              <w:rPr>
                <w:noProof/>
                <w:webHidden/>
              </w:rPr>
              <w:tab/>
            </w:r>
            <w:r>
              <w:rPr>
                <w:noProof/>
                <w:webHidden/>
              </w:rPr>
              <w:fldChar w:fldCharType="begin"/>
            </w:r>
            <w:r>
              <w:rPr>
                <w:noProof/>
                <w:webHidden/>
              </w:rPr>
              <w:instrText xml:space="preserve"> PAGEREF _Toc227603134 \h </w:instrText>
            </w:r>
            <w:r>
              <w:rPr>
                <w:noProof/>
                <w:webHidden/>
              </w:rPr>
            </w:r>
            <w:r>
              <w:rPr>
                <w:noProof/>
                <w:webHidden/>
              </w:rPr>
              <w:fldChar w:fldCharType="separate"/>
            </w:r>
            <w:r>
              <w:rPr>
                <w:noProof/>
                <w:webHidden/>
              </w:rPr>
              <w:t>35</w:t>
            </w:r>
            <w:r>
              <w:rPr>
                <w:noProof/>
                <w:webHidden/>
              </w:rPr>
              <w:fldChar w:fldCharType="end"/>
            </w:r>
          </w:hyperlink>
        </w:p>
        <w:p w14:paraId="02D4C6C5" w14:textId="47E2AEA4" w:rsidR="00BB5FAC" w:rsidRDefault="00BB5FAC">
          <w:pPr>
            <w:pStyle w:val="TOC1"/>
            <w:rPr>
              <w:rFonts w:asciiTheme="minorHAnsi" w:eastAsiaTheme="minorEastAsia" w:hAnsiTheme="minorHAnsi"/>
              <w:noProof/>
              <w:kern w:val="2"/>
              <w:lang w:eastAsia="en-NZ"/>
              <w14:ligatures w14:val="standardContextual"/>
            </w:rPr>
          </w:pPr>
          <w:hyperlink w:anchor="_Toc227603135" w:history="1">
            <w:r w:rsidRPr="00A84FA9">
              <w:rPr>
                <w:rStyle w:val="Hyperlink"/>
                <w:noProof/>
              </w:rPr>
              <w:t>6</w:t>
            </w:r>
            <w:r>
              <w:rPr>
                <w:rFonts w:asciiTheme="minorHAnsi" w:eastAsiaTheme="minorEastAsia" w:hAnsiTheme="minorHAnsi"/>
                <w:noProof/>
                <w:kern w:val="2"/>
                <w:lang w:eastAsia="en-NZ"/>
                <w14:ligatures w14:val="standardContextual"/>
              </w:rPr>
              <w:tab/>
            </w:r>
            <w:r w:rsidRPr="00A84FA9">
              <w:rPr>
                <w:rStyle w:val="Hyperlink"/>
                <w:noProof/>
              </w:rPr>
              <w:t>Step 5: Range of possible auction volumes</w:t>
            </w:r>
            <w:r>
              <w:rPr>
                <w:noProof/>
                <w:webHidden/>
              </w:rPr>
              <w:tab/>
            </w:r>
            <w:r>
              <w:rPr>
                <w:noProof/>
                <w:webHidden/>
              </w:rPr>
              <w:fldChar w:fldCharType="begin"/>
            </w:r>
            <w:r>
              <w:rPr>
                <w:noProof/>
                <w:webHidden/>
              </w:rPr>
              <w:instrText xml:space="preserve"> PAGEREF _Toc227603135 \h </w:instrText>
            </w:r>
            <w:r>
              <w:rPr>
                <w:noProof/>
                <w:webHidden/>
              </w:rPr>
            </w:r>
            <w:r>
              <w:rPr>
                <w:noProof/>
                <w:webHidden/>
              </w:rPr>
              <w:fldChar w:fldCharType="separate"/>
            </w:r>
            <w:r>
              <w:rPr>
                <w:noProof/>
                <w:webHidden/>
              </w:rPr>
              <w:t>37</w:t>
            </w:r>
            <w:r>
              <w:rPr>
                <w:noProof/>
                <w:webHidden/>
              </w:rPr>
              <w:fldChar w:fldCharType="end"/>
            </w:r>
          </w:hyperlink>
        </w:p>
        <w:p w14:paraId="37DA197B" w14:textId="23EC6AB1" w:rsidR="00BB5FAC" w:rsidRDefault="00BB5FAC">
          <w:pPr>
            <w:pStyle w:val="TOC2"/>
            <w:rPr>
              <w:rFonts w:asciiTheme="minorHAnsi" w:eastAsiaTheme="minorEastAsia" w:hAnsiTheme="minorHAnsi"/>
              <w:noProof/>
              <w:kern w:val="2"/>
              <w:lang w:eastAsia="en-NZ"/>
              <w14:ligatures w14:val="standardContextual"/>
            </w:rPr>
          </w:pPr>
          <w:hyperlink w:anchor="_Toc227603136" w:history="1">
            <w:r w:rsidRPr="00A84FA9">
              <w:rPr>
                <w:rStyle w:val="Hyperlink"/>
                <w:noProof/>
              </w:rPr>
              <w:t>6.1</w:t>
            </w:r>
            <w:r>
              <w:rPr>
                <w:rFonts w:asciiTheme="minorHAnsi" w:eastAsiaTheme="minorEastAsia" w:hAnsiTheme="minorHAnsi"/>
                <w:noProof/>
                <w:kern w:val="2"/>
                <w:lang w:eastAsia="en-NZ"/>
                <w14:ligatures w14:val="standardContextual"/>
              </w:rPr>
              <w:tab/>
            </w:r>
            <w:r w:rsidRPr="00A84FA9">
              <w:rPr>
                <w:rStyle w:val="Hyperlink"/>
                <w:noProof/>
              </w:rPr>
              <w:t>Range of auction volumes for 2027–2030</w:t>
            </w:r>
            <w:r>
              <w:rPr>
                <w:noProof/>
                <w:webHidden/>
              </w:rPr>
              <w:tab/>
            </w:r>
            <w:r>
              <w:rPr>
                <w:noProof/>
                <w:webHidden/>
              </w:rPr>
              <w:fldChar w:fldCharType="begin"/>
            </w:r>
            <w:r>
              <w:rPr>
                <w:noProof/>
                <w:webHidden/>
              </w:rPr>
              <w:instrText xml:space="preserve"> PAGEREF _Toc227603136 \h </w:instrText>
            </w:r>
            <w:r>
              <w:rPr>
                <w:noProof/>
                <w:webHidden/>
              </w:rPr>
            </w:r>
            <w:r>
              <w:rPr>
                <w:noProof/>
                <w:webHidden/>
              </w:rPr>
              <w:fldChar w:fldCharType="separate"/>
            </w:r>
            <w:r>
              <w:rPr>
                <w:noProof/>
                <w:webHidden/>
              </w:rPr>
              <w:t>37</w:t>
            </w:r>
            <w:r>
              <w:rPr>
                <w:noProof/>
                <w:webHidden/>
              </w:rPr>
              <w:fldChar w:fldCharType="end"/>
            </w:r>
          </w:hyperlink>
        </w:p>
        <w:p w14:paraId="45105A14" w14:textId="21739F70" w:rsidR="00BB5FAC" w:rsidRDefault="00BB5FAC">
          <w:pPr>
            <w:pStyle w:val="TOC2"/>
            <w:rPr>
              <w:rFonts w:asciiTheme="minorHAnsi" w:eastAsiaTheme="minorEastAsia" w:hAnsiTheme="minorHAnsi"/>
              <w:noProof/>
              <w:kern w:val="2"/>
              <w:lang w:eastAsia="en-NZ"/>
              <w14:ligatures w14:val="standardContextual"/>
            </w:rPr>
          </w:pPr>
          <w:hyperlink w:anchor="_Toc227603137" w:history="1">
            <w:r w:rsidRPr="00A84FA9">
              <w:rPr>
                <w:rStyle w:val="Hyperlink"/>
                <w:noProof/>
              </w:rPr>
              <w:t>6.2</w:t>
            </w:r>
            <w:r>
              <w:rPr>
                <w:rFonts w:asciiTheme="minorHAnsi" w:eastAsiaTheme="minorEastAsia" w:hAnsiTheme="minorHAnsi"/>
                <w:noProof/>
                <w:kern w:val="2"/>
                <w:lang w:eastAsia="en-NZ"/>
                <w14:ligatures w14:val="standardContextual"/>
              </w:rPr>
              <w:tab/>
            </w:r>
            <w:r w:rsidRPr="00A84FA9">
              <w:rPr>
                <w:rStyle w:val="Hyperlink"/>
                <w:noProof/>
              </w:rPr>
              <w:t>Auction volumes for 2031</w:t>
            </w:r>
            <w:r>
              <w:rPr>
                <w:noProof/>
                <w:webHidden/>
              </w:rPr>
              <w:tab/>
            </w:r>
            <w:r>
              <w:rPr>
                <w:noProof/>
                <w:webHidden/>
              </w:rPr>
              <w:fldChar w:fldCharType="begin"/>
            </w:r>
            <w:r>
              <w:rPr>
                <w:noProof/>
                <w:webHidden/>
              </w:rPr>
              <w:instrText xml:space="preserve"> PAGEREF _Toc227603137 \h </w:instrText>
            </w:r>
            <w:r>
              <w:rPr>
                <w:noProof/>
                <w:webHidden/>
              </w:rPr>
            </w:r>
            <w:r>
              <w:rPr>
                <w:noProof/>
                <w:webHidden/>
              </w:rPr>
              <w:fldChar w:fldCharType="separate"/>
            </w:r>
            <w:r>
              <w:rPr>
                <w:noProof/>
                <w:webHidden/>
              </w:rPr>
              <w:t>38</w:t>
            </w:r>
            <w:r>
              <w:rPr>
                <w:noProof/>
                <w:webHidden/>
              </w:rPr>
              <w:fldChar w:fldCharType="end"/>
            </w:r>
          </w:hyperlink>
        </w:p>
        <w:p w14:paraId="1F5C8C4E" w14:textId="1AC5AD1B" w:rsidR="00BB5FAC" w:rsidRDefault="00BB5FAC">
          <w:pPr>
            <w:pStyle w:val="TOC3"/>
            <w:tabs>
              <w:tab w:val="right" w:leader="dot" w:pos="9060"/>
            </w:tabs>
            <w:rPr>
              <w:rFonts w:asciiTheme="minorHAnsi" w:eastAsiaTheme="minorEastAsia" w:hAnsiTheme="minorHAnsi"/>
              <w:noProof/>
              <w:kern w:val="2"/>
              <w:lang w:eastAsia="en-NZ"/>
              <w14:ligatures w14:val="standardContextual"/>
            </w:rPr>
          </w:pPr>
          <w:hyperlink w:anchor="_Toc227603138" w:history="1">
            <w:r w:rsidRPr="00A84FA9">
              <w:rPr>
                <w:rStyle w:val="Hyperlink"/>
                <w:noProof/>
              </w:rPr>
              <w:t>Surplus reduction volumes post 2030</w:t>
            </w:r>
            <w:r>
              <w:rPr>
                <w:noProof/>
                <w:webHidden/>
              </w:rPr>
              <w:tab/>
            </w:r>
            <w:r>
              <w:rPr>
                <w:noProof/>
                <w:webHidden/>
              </w:rPr>
              <w:fldChar w:fldCharType="begin"/>
            </w:r>
            <w:r>
              <w:rPr>
                <w:noProof/>
                <w:webHidden/>
              </w:rPr>
              <w:instrText xml:space="preserve"> PAGEREF _Toc227603138 \h </w:instrText>
            </w:r>
            <w:r>
              <w:rPr>
                <w:noProof/>
                <w:webHidden/>
              </w:rPr>
            </w:r>
            <w:r>
              <w:rPr>
                <w:noProof/>
                <w:webHidden/>
              </w:rPr>
              <w:fldChar w:fldCharType="separate"/>
            </w:r>
            <w:r>
              <w:rPr>
                <w:noProof/>
                <w:webHidden/>
              </w:rPr>
              <w:t>38</w:t>
            </w:r>
            <w:r>
              <w:rPr>
                <w:noProof/>
                <w:webHidden/>
              </w:rPr>
              <w:fldChar w:fldCharType="end"/>
            </w:r>
          </w:hyperlink>
        </w:p>
        <w:p w14:paraId="3C7F5A69" w14:textId="79E746FA" w:rsidR="00BB5FAC" w:rsidRDefault="00BB5FAC">
          <w:pPr>
            <w:pStyle w:val="TOC3"/>
            <w:tabs>
              <w:tab w:val="right" w:leader="dot" w:pos="9060"/>
            </w:tabs>
            <w:rPr>
              <w:rFonts w:asciiTheme="minorHAnsi" w:eastAsiaTheme="minorEastAsia" w:hAnsiTheme="minorHAnsi"/>
              <w:noProof/>
              <w:kern w:val="2"/>
              <w:lang w:eastAsia="en-NZ"/>
              <w14:ligatures w14:val="standardContextual"/>
            </w:rPr>
          </w:pPr>
          <w:hyperlink w:anchor="_Toc227603139" w:history="1">
            <w:r w:rsidRPr="00A84FA9">
              <w:rPr>
                <w:rStyle w:val="Hyperlink"/>
                <w:noProof/>
              </w:rPr>
              <w:t>Auction volumes</w:t>
            </w:r>
            <w:r>
              <w:rPr>
                <w:noProof/>
                <w:webHidden/>
              </w:rPr>
              <w:tab/>
            </w:r>
            <w:r>
              <w:rPr>
                <w:noProof/>
                <w:webHidden/>
              </w:rPr>
              <w:fldChar w:fldCharType="begin"/>
            </w:r>
            <w:r>
              <w:rPr>
                <w:noProof/>
                <w:webHidden/>
              </w:rPr>
              <w:instrText xml:space="preserve"> PAGEREF _Toc227603139 \h </w:instrText>
            </w:r>
            <w:r>
              <w:rPr>
                <w:noProof/>
                <w:webHidden/>
              </w:rPr>
            </w:r>
            <w:r>
              <w:rPr>
                <w:noProof/>
                <w:webHidden/>
              </w:rPr>
              <w:fldChar w:fldCharType="separate"/>
            </w:r>
            <w:r>
              <w:rPr>
                <w:noProof/>
                <w:webHidden/>
              </w:rPr>
              <w:t>39</w:t>
            </w:r>
            <w:r>
              <w:rPr>
                <w:noProof/>
                <w:webHidden/>
              </w:rPr>
              <w:fldChar w:fldCharType="end"/>
            </w:r>
          </w:hyperlink>
        </w:p>
        <w:p w14:paraId="7CBC5252" w14:textId="26264D66" w:rsidR="00BB5FAC" w:rsidRDefault="00BB5FAC">
          <w:pPr>
            <w:pStyle w:val="TOC2"/>
            <w:rPr>
              <w:rFonts w:asciiTheme="minorHAnsi" w:eastAsiaTheme="minorEastAsia" w:hAnsiTheme="minorHAnsi"/>
              <w:noProof/>
              <w:kern w:val="2"/>
              <w:lang w:eastAsia="en-NZ"/>
              <w14:ligatures w14:val="standardContextual"/>
            </w:rPr>
          </w:pPr>
          <w:hyperlink w:anchor="_Toc227603140" w:history="1">
            <w:r w:rsidRPr="00A84FA9">
              <w:rPr>
                <w:rStyle w:val="Hyperlink"/>
                <w:noProof/>
              </w:rPr>
              <w:t>6.3</w:t>
            </w:r>
            <w:r>
              <w:rPr>
                <w:rFonts w:asciiTheme="minorHAnsi" w:eastAsiaTheme="minorEastAsia" w:hAnsiTheme="minorHAnsi"/>
                <w:noProof/>
                <w:kern w:val="2"/>
                <w:lang w:eastAsia="en-NZ"/>
                <w14:ligatures w14:val="standardContextual"/>
              </w:rPr>
              <w:tab/>
            </w:r>
            <w:r w:rsidRPr="00A84FA9">
              <w:rPr>
                <w:rStyle w:val="Hyperlink"/>
                <w:noProof/>
              </w:rPr>
              <w:t>Proposed auction volumes over settings period</w:t>
            </w:r>
            <w:r>
              <w:rPr>
                <w:noProof/>
                <w:webHidden/>
              </w:rPr>
              <w:tab/>
            </w:r>
            <w:r>
              <w:rPr>
                <w:noProof/>
                <w:webHidden/>
              </w:rPr>
              <w:fldChar w:fldCharType="begin"/>
            </w:r>
            <w:r>
              <w:rPr>
                <w:noProof/>
                <w:webHidden/>
              </w:rPr>
              <w:instrText xml:space="preserve"> PAGEREF _Toc227603140 \h </w:instrText>
            </w:r>
            <w:r>
              <w:rPr>
                <w:noProof/>
                <w:webHidden/>
              </w:rPr>
            </w:r>
            <w:r>
              <w:rPr>
                <w:noProof/>
                <w:webHidden/>
              </w:rPr>
              <w:fldChar w:fldCharType="separate"/>
            </w:r>
            <w:r>
              <w:rPr>
                <w:noProof/>
                <w:webHidden/>
              </w:rPr>
              <w:t>39</w:t>
            </w:r>
            <w:r>
              <w:rPr>
                <w:noProof/>
                <w:webHidden/>
              </w:rPr>
              <w:fldChar w:fldCharType="end"/>
            </w:r>
          </w:hyperlink>
        </w:p>
        <w:p w14:paraId="5FAF0E5F" w14:textId="4C48756D" w:rsidR="00BB5FAC" w:rsidRDefault="00BB5FAC">
          <w:pPr>
            <w:pStyle w:val="TOC1"/>
            <w:rPr>
              <w:rFonts w:asciiTheme="minorHAnsi" w:eastAsiaTheme="minorEastAsia" w:hAnsiTheme="minorHAnsi"/>
              <w:noProof/>
              <w:kern w:val="2"/>
              <w:lang w:eastAsia="en-NZ"/>
              <w14:ligatures w14:val="standardContextual"/>
            </w:rPr>
          </w:pPr>
          <w:hyperlink w:anchor="_Toc227603141" w:history="1">
            <w:r w:rsidRPr="00A84FA9">
              <w:rPr>
                <w:rStyle w:val="Hyperlink"/>
                <w:noProof/>
              </w:rPr>
              <w:t>7</w:t>
            </w:r>
            <w:r>
              <w:rPr>
                <w:rFonts w:asciiTheme="minorHAnsi" w:eastAsiaTheme="minorEastAsia" w:hAnsiTheme="minorHAnsi"/>
                <w:noProof/>
                <w:kern w:val="2"/>
                <w:lang w:eastAsia="en-NZ"/>
                <w14:ligatures w14:val="standardContextual"/>
              </w:rPr>
              <w:tab/>
            </w:r>
            <w:r w:rsidRPr="00A84FA9">
              <w:rPr>
                <w:rStyle w:val="Hyperlink"/>
                <w:noProof/>
              </w:rPr>
              <w:t>References</w:t>
            </w:r>
            <w:r>
              <w:rPr>
                <w:noProof/>
                <w:webHidden/>
              </w:rPr>
              <w:tab/>
            </w:r>
            <w:r>
              <w:rPr>
                <w:noProof/>
                <w:webHidden/>
              </w:rPr>
              <w:fldChar w:fldCharType="begin"/>
            </w:r>
            <w:r>
              <w:rPr>
                <w:noProof/>
                <w:webHidden/>
              </w:rPr>
              <w:instrText xml:space="preserve"> PAGEREF _Toc227603141 \h </w:instrText>
            </w:r>
            <w:r>
              <w:rPr>
                <w:noProof/>
                <w:webHidden/>
              </w:rPr>
            </w:r>
            <w:r>
              <w:rPr>
                <w:noProof/>
                <w:webHidden/>
              </w:rPr>
              <w:fldChar w:fldCharType="separate"/>
            </w:r>
            <w:r>
              <w:rPr>
                <w:noProof/>
                <w:webHidden/>
              </w:rPr>
              <w:t>41</w:t>
            </w:r>
            <w:r>
              <w:rPr>
                <w:noProof/>
                <w:webHidden/>
              </w:rPr>
              <w:fldChar w:fldCharType="end"/>
            </w:r>
          </w:hyperlink>
        </w:p>
        <w:p w14:paraId="06F4755C" w14:textId="59C732A5" w:rsidR="00B928FE" w:rsidRDefault="00B928FE">
          <w:r>
            <w:rPr>
              <w:b/>
              <w:bCs/>
              <w:lang w:val="en-GB"/>
            </w:rPr>
            <w:fldChar w:fldCharType="end"/>
          </w:r>
        </w:p>
      </w:sdtContent>
    </w:sdt>
    <w:p w14:paraId="3A3BCAA7" w14:textId="2B8879B2" w:rsidR="003A453E" w:rsidRDefault="003A453E">
      <w:pPr>
        <w:spacing w:before="0" w:after="0" w:line="240" w:lineRule="auto"/>
      </w:pPr>
      <w:r>
        <w:br w:type="page"/>
      </w:r>
    </w:p>
    <w:p w14:paraId="6D2E38C6" w14:textId="0C898F61" w:rsidR="00E40908" w:rsidRDefault="001960B9" w:rsidP="00440439">
      <w:pPr>
        <w:pStyle w:val="Heading1nonumber"/>
      </w:pPr>
      <w:bookmarkStart w:id="2" w:name="_Toc227603091"/>
      <w:bookmarkEnd w:id="0"/>
      <w:bookmarkEnd w:id="1"/>
      <w:r>
        <w:t>Introduction</w:t>
      </w:r>
      <w:bookmarkEnd w:id="2"/>
    </w:p>
    <w:p w14:paraId="4395667E" w14:textId="64A9E078" w:rsidR="00DA27A9" w:rsidRDefault="00DA27A9" w:rsidP="00DA27A9">
      <w:pPr>
        <w:pStyle w:val="BodyText"/>
      </w:pPr>
      <w:r>
        <w:t xml:space="preserve">This document is published by </w:t>
      </w:r>
      <w:proofErr w:type="spellStart"/>
      <w:proofErr w:type="gramStart"/>
      <w:r>
        <w:t>He</w:t>
      </w:r>
      <w:proofErr w:type="spellEnd"/>
      <w:proofErr w:type="gramEnd"/>
      <w:r>
        <w:t xml:space="preserve"> Pou a Rangi Climate Change Commission (the Commission) in support of our advice to Government on the NZ ETS unit limits and price control settings for 2027</w:t>
      </w:r>
      <w:r w:rsidR="00614249">
        <w:t>–</w:t>
      </w:r>
      <w:r>
        <w:t>2031 (the advice report).</w:t>
      </w:r>
    </w:p>
    <w:p w14:paraId="5589C4E4" w14:textId="77777777" w:rsidR="00DA27A9" w:rsidRDefault="00DA27A9" w:rsidP="00DA27A9">
      <w:pPr>
        <w:pStyle w:val="BodyText"/>
      </w:pPr>
      <w:r>
        <w:t>It is a technical annex to that advice, providing further information on the data, methodology, and key assumptions we have taken to reach our final unit limit settings recommendations.</w:t>
      </w:r>
    </w:p>
    <w:p w14:paraId="215345DB" w14:textId="48783527" w:rsidR="00DA27A9" w:rsidRDefault="00DA27A9" w:rsidP="00DA27A9">
      <w:pPr>
        <w:pStyle w:val="BodyText"/>
      </w:pPr>
      <w:r>
        <w:t xml:space="preserve">The document should be read alongside the </w:t>
      </w:r>
      <w:r w:rsidRPr="00E06D4C">
        <w:rPr>
          <w:i/>
        </w:rPr>
        <w:t>NZ ETS emissions cap</w:t>
      </w:r>
      <w:r>
        <w:t xml:space="preserve"> and </w:t>
      </w:r>
      <w:r w:rsidR="000835B6" w:rsidRPr="00E06D4C">
        <w:rPr>
          <w:i/>
          <w:iCs/>
        </w:rPr>
        <w:t>U</w:t>
      </w:r>
      <w:r w:rsidRPr="00E06D4C">
        <w:rPr>
          <w:i/>
          <w:iCs/>
        </w:rPr>
        <w:t>nit</w:t>
      </w:r>
      <w:r w:rsidRPr="00E06D4C">
        <w:rPr>
          <w:i/>
        </w:rPr>
        <w:t xml:space="preserve"> limits</w:t>
      </w:r>
      <w:r>
        <w:t xml:space="preserve"> </w:t>
      </w:r>
      <w:r w:rsidR="000835B6">
        <w:t xml:space="preserve">chapters </w:t>
      </w:r>
      <w:r>
        <w:t xml:space="preserve">of the advice report. The accompanying unit limit calculations Excel workbook is also published on our website. </w:t>
      </w:r>
    </w:p>
    <w:p w14:paraId="53C2ACC7" w14:textId="60AF6A69" w:rsidR="001960B9" w:rsidRDefault="00DA27A9" w:rsidP="00DA27A9">
      <w:pPr>
        <w:pStyle w:val="BodyText"/>
      </w:pPr>
      <w:r>
        <w:t xml:space="preserve">Separate documents are available that provide more in-depth information on the analysis we completed around </w:t>
      </w:r>
      <w:r w:rsidR="00BE2E6D">
        <w:t xml:space="preserve">differences </w:t>
      </w:r>
      <w:r>
        <w:t>between forestry accounting methodologies within the NZ ETS and under target accounting, and additional information on the Commission’s NZ ETS forestry model.</w:t>
      </w:r>
    </w:p>
    <w:p w14:paraId="24CB4DF6" w14:textId="13B813D6" w:rsidR="00DA27A9" w:rsidRDefault="00DA27A9" w:rsidP="00DA27A9">
      <w:pPr>
        <w:pStyle w:val="Heading2nonumber"/>
      </w:pPr>
      <w:bookmarkStart w:id="3" w:name="_Toc227603092"/>
      <w:r>
        <w:t>About this document</w:t>
      </w:r>
      <w:bookmarkEnd w:id="3"/>
    </w:p>
    <w:p w14:paraId="1E3915F1" w14:textId="0F888E98" w:rsidR="00BA5783" w:rsidRDefault="00BA5783" w:rsidP="00BA5783">
      <w:pPr>
        <w:pStyle w:val="BodyText"/>
      </w:pPr>
      <w:r>
        <w:t xml:space="preserve">This document sets out further detail on the calculations which support our analysis for </w:t>
      </w:r>
      <w:r w:rsidR="00412151">
        <w:t>determin</w:t>
      </w:r>
      <w:r w:rsidR="00914417">
        <w:t>ing</w:t>
      </w:r>
      <w:r w:rsidR="00412151">
        <w:t xml:space="preserve"> </w:t>
      </w:r>
      <w:r>
        <w:t>the NZ ETS emissions cap, and the unit limits method which determines the range of possible auction volumes.</w:t>
      </w:r>
    </w:p>
    <w:p w14:paraId="0F0B880F" w14:textId="77777777" w:rsidR="00BA5783" w:rsidRDefault="00BA5783" w:rsidP="00BA5783">
      <w:pPr>
        <w:pStyle w:val="BodyText"/>
      </w:pPr>
      <w:r>
        <w:t xml:space="preserve">As set out in the </w:t>
      </w:r>
      <w:r w:rsidRPr="00E06D4C">
        <w:rPr>
          <w:i/>
        </w:rPr>
        <w:t>Unit limits</w:t>
      </w:r>
      <w:r>
        <w:t xml:space="preserve"> chapter of the advice report, we have used a unit limits method with five steps to determine auction volume options. </w:t>
      </w:r>
    </w:p>
    <w:p w14:paraId="486F6DB2" w14:textId="77777777" w:rsidR="00BA5783" w:rsidRDefault="00BA5783" w:rsidP="00BA5783">
      <w:pPr>
        <w:pStyle w:val="BodyText"/>
      </w:pPr>
      <w:r>
        <w:t>The five steps are:</w:t>
      </w:r>
    </w:p>
    <w:p w14:paraId="75D0175F" w14:textId="2140D3A3" w:rsidR="00BA5783" w:rsidRDefault="00BA5783" w:rsidP="00BA5783">
      <w:pPr>
        <w:pStyle w:val="Numberlist"/>
      </w:pPr>
      <w:r>
        <w:t>Convert and align emissions and units (technical adjustments)</w:t>
      </w:r>
    </w:p>
    <w:p w14:paraId="4B1D879B" w14:textId="3D39BA78" w:rsidR="00BA5783" w:rsidRDefault="00BA5783" w:rsidP="00BA5783">
      <w:pPr>
        <w:pStyle w:val="Numberlist"/>
      </w:pPr>
      <w:r>
        <w:t>Account for industrial free allocation</w:t>
      </w:r>
    </w:p>
    <w:p w14:paraId="46E814F5" w14:textId="2074D205" w:rsidR="00BA5783" w:rsidRDefault="00BA5783" w:rsidP="00BA5783">
      <w:pPr>
        <w:pStyle w:val="Numberlist"/>
      </w:pPr>
      <w:r>
        <w:t>Estimate surplus range</w:t>
      </w:r>
    </w:p>
    <w:p w14:paraId="5078D810" w14:textId="631DE76B" w:rsidR="00BA5783" w:rsidRDefault="00BA5783" w:rsidP="00BA5783">
      <w:pPr>
        <w:pStyle w:val="Numberlist"/>
      </w:pPr>
      <w:r>
        <w:t xml:space="preserve">Set </w:t>
      </w:r>
      <w:r w:rsidR="005B7B87">
        <w:t xml:space="preserve">limit on </w:t>
      </w:r>
      <w:r>
        <w:t>approved overseas unit</w:t>
      </w:r>
      <w:r w:rsidR="005B7B87">
        <w:t>s</w:t>
      </w:r>
      <w:r w:rsidDel="005B7B87">
        <w:t xml:space="preserve"> </w:t>
      </w:r>
      <w:r>
        <w:t xml:space="preserve">(not discussed in this annex) </w:t>
      </w:r>
    </w:p>
    <w:p w14:paraId="4705CE94" w14:textId="3A3BEFF9" w:rsidR="00BA5783" w:rsidRDefault="00BA5783" w:rsidP="00BA5783">
      <w:pPr>
        <w:pStyle w:val="Numberlist"/>
      </w:pPr>
      <w:r>
        <w:t>Determine range of possible auction volumes.</w:t>
      </w:r>
    </w:p>
    <w:p w14:paraId="44D2EBC4" w14:textId="2FFA95B1" w:rsidR="00BA5783" w:rsidRDefault="00BA5783" w:rsidP="00BA5783">
      <w:pPr>
        <w:pStyle w:val="BodyText"/>
      </w:pPr>
      <w:r>
        <w:t xml:space="preserve">As discussed in the advice report, the unit limits method has been presented differently compared to previous NZ ETS settings advice. This presentation now highlights that setting the NZ ETS emissions cap is an overarching step that </w:t>
      </w:r>
      <w:r w:rsidR="00000B25">
        <w:t>u</w:t>
      </w:r>
      <w:r w:rsidR="00E86D96">
        <w:t xml:space="preserve">nderpins the analysis for </w:t>
      </w:r>
      <w:r>
        <w:t xml:space="preserve">both the unit limits and price controls. We have also removed what was previously step 1 of the unit limits method as it related to how the NZ ETS settings should align with emissions reduction targets. This step is no longer needed due to amendments to the Climate Change Response Act which mean the NZ ETS settings are no longer required to accord with nationally determined contributions. </w:t>
      </w:r>
    </w:p>
    <w:p w14:paraId="2D97D85B" w14:textId="704DFA7A" w:rsidR="00DA27A9" w:rsidRDefault="00BA5783" w:rsidP="00BA5783">
      <w:pPr>
        <w:pStyle w:val="BodyText"/>
      </w:pPr>
      <w:r>
        <w:t xml:space="preserve">This document first discusses the calculation </w:t>
      </w:r>
      <w:r w:rsidR="00830421">
        <w:t xml:space="preserve">of </w:t>
      </w:r>
      <w:r w:rsidR="00FF36BE">
        <w:t xml:space="preserve">emissions covered and not covered by the </w:t>
      </w:r>
      <w:r w:rsidR="00830421">
        <w:t xml:space="preserve">NZ ETS, </w:t>
      </w:r>
      <w:r w:rsidR="00827C07">
        <w:t xml:space="preserve">used </w:t>
      </w:r>
      <w:r w:rsidR="00830421">
        <w:t xml:space="preserve">as part of </w:t>
      </w:r>
      <w:r w:rsidR="00827C07">
        <w:t>determin</w:t>
      </w:r>
      <w:r w:rsidR="00830421">
        <w:t xml:space="preserve">ing </w:t>
      </w:r>
      <w:r>
        <w:t>the NZ ETS emissions cap</w:t>
      </w:r>
      <w:r w:rsidR="00D779FC">
        <w:t>. It</w:t>
      </w:r>
      <w:r w:rsidDel="00D779FC">
        <w:t xml:space="preserve"> </w:t>
      </w:r>
      <w:r>
        <w:t>then discusses the steps in the unit limits method.</w:t>
      </w:r>
    </w:p>
    <w:p w14:paraId="56E5645A" w14:textId="77777777" w:rsidR="00F85E62" w:rsidRDefault="00F85E62">
      <w:pPr>
        <w:spacing w:before="0" w:after="0" w:line="240" w:lineRule="auto"/>
        <w:rPr>
          <w:rFonts w:eastAsiaTheme="majorEastAsia"/>
          <w:b/>
          <w:color w:val="1F3864" w:themeColor="accent1" w:themeShade="80"/>
          <w:sz w:val="44"/>
          <w:szCs w:val="44"/>
        </w:rPr>
      </w:pPr>
      <w:r>
        <w:br w:type="page"/>
      </w:r>
    </w:p>
    <w:p w14:paraId="4898B61A" w14:textId="21490468" w:rsidR="00F85E62" w:rsidRDefault="00F85E62" w:rsidP="00E06D4C">
      <w:pPr>
        <w:pStyle w:val="Title"/>
      </w:pPr>
      <w:bookmarkStart w:id="4" w:name="_Toc227603093"/>
      <w:r>
        <w:t>Part 1: The NZ ETS emissions cap</w:t>
      </w:r>
      <w:bookmarkEnd w:id="4"/>
    </w:p>
    <w:p w14:paraId="62175134" w14:textId="21B70615" w:rsidR="00BA5783" w:rsidRDefault="00B15AF5" w:rsidP="00BA5783">
      <w:pPr>
        <w:pStyle w:val="Heading1nonumber"/>
      </w:pPr>
      <w:bookmarkStart w:id="5" w:name="_Toc227603094"/>
      <w:r>
        <w:t>About t</w:t>
      </w:r>
      <w:r w:rsidR="00BA5783">
        <w:t>he NZ ETS emissions cap</w:t>
      </w:r>
      <w:bookmarkEnd w:id="5"/>
    </w:p>
    <w:p w14:paraId="37CD33CC" w14:textId="489BAD97" w:rsidR="006946F5" w:rsidRDefault="006946F5" w:rsidP="006946F5">
      <w:pPr>
        <w:pStyle w:val="BodyText"/>
      </w:pPr>
      <w:r>
        <w:t>The NZ ETS emissions cap is the intended constraint on emissions from sectors covered by the NZ ETS. In our advice we consider the emissions caps for both the second emissions budget (2026</w:t>
      </w:r>
      <w:r w:rsidR="00614249">
        <w:t>–</w:t>
      </w:r>
      <w:r>
        <w:t>2030) and the third emissions budget (2031</w:t>
      </w:r>
      <w:r w:rsidR="00614249">
        <w:t>–</w:t>
      </w:r>
      <w:r>
        <w:t>2035).</w:t>
      </w:r>
      <w:r w:rsidR="009C6061">
        <w:t xml:space="preserve">  </w:t>
      </w:r>
    </w:p>
    <w:p w14:paraId="5648E323" w14:textId="7E48F70D" w:rsidR="006946F5" w:rsidRDefault="006946F5" w:rsidP="006946F5">
      <w:pPr>
        <w:pStyle w:val="BodyText"/>
      </w:pPr>
      <w:r>
        <w:t>In August 2025, the Government announced decisions on the emissions cap for the second emissions budget (89.4 MtCO</w:t>
      </w:r>
      <w:r w:rsidRPr="00E06D4C">
        <w:rPr>
          <w:vertAlign w:val="subscript"/>
        </w:rPr>
        <w:t>2</w:t>
      </w:r>
      <w:r>
        <w:t>e), and a provisional cap for the third emissions budget (40.7 MtCO</w:t>
      </w:r>
      <w:r w:rsidRPr="00E06D4C">
        <w:rPr>
          <w:vertAlign w:val="subscript"/>
        </w:rPr>
        <w:t>2</w:t>
      </w:r>
      <w:r>
        <w:t xml:space="preserve">e). The </w:t>
      </w:r>
      <w:r w:rsidR="00E8038C">
        <w:t xml:space="preserve">Government’s </w:t>
      </w:r>
      <w:r>
        <w:t xml:space="preserve">provisional emissions cap for the third emissions budget was based on the </w:t>
      </w:r>
      <w:r w:rsidR="002F3B28">
        <w:t xml:space="preserve">second emissions reduction plan </w:t>
      </w:r>
      <w:r>
        <w:t xml:space="preserve">emissions projections for NZ ETS sectors, minus the total additional abatement required to reach </w:t>
      </w:r>
      <w:r w:rsidR="00F933B9">
        <w:t xml:space="preserve">the third </w:t>
      </w:r>
      <w:r>
        <w:t>emissions budget.</w:t>
      </w:r>
      <w:r w:rsidR="00DB1CEB">
        <w:fldChar w:fldCharType="begin"/>
      </w:r>
      <w:r w:rsidR="00673384">
        <w:instrText xml:space="preserve"> ADDIN EN.CITE &lt;EndNote&gt;&lt;Cite&gt;&lt;Author&gt;Ministry for the Environment Manatū Mō Te Taiao&lt;/Author&gt;&lt;Year&gt;2025&lt;/Year&gt;&lt;RecNum&gt;1468&lt;/RecNum&gt;&lt;DisplayText&gt;&lt;style face="superscript"&gt;1&lt;/style&gt;&lt;/DisplayText&gt;&lt;record&gt;&lt;rec-number&gt;1468&lt;/rec-number&gt;&lt;foreign-keys&gt;&lt;key app="EN" db-id="fwvex5fabdwzs9e9rwa55p5bvws5v2dex2zs" timestamp="1774583332" guid="25b6d8d1-d9bb-433f-90d0-bc563ab6ced6"&gt;1468&lt;/key&gt;&lt;/foreign-keys&gt;&lt;ref-type name="Report"&gt;27&lt;/ref-type&gt;&lt;contributors&gt;&lt;authors&gt;&lt;author&gt;Ministry for the Environment Manatū Mō Te Taiao,&lt;/author&gt;&lt;/authors&gt;&lt;tertiary-authors&gt;&lt;author&gt;Ministry for the Environment Manatū Mō Te Taiao, &lt;/author&gt;&lt;/tertiary-authors&gt;&lt;/contributors&gt;&lt;titles&gt;&lt;title&gt;NZ ETS Settings decisions for 2026-2030 package&lt;/title&gt;&lt;/titles&gt;&lt;keywords&gt;&lt;keyword&gt;ETS26&lt;/keyword&gt;&lt;/keywords&gt;&lt;dates&gt;&lt;year&gt;2025&lt;/year&gt;&lt;pub-dates&gt;&lt;date&gt;12 September 2025&lt;/date&gt;&lt;/pub-dates&gt;&lt;/dates&gt;&lt;urls&gt;&lt;related-urls&gt;&lt;url&gt;https://environment.govt.nz/assets/publications/Cabinet-papers-briefings-and-minutes/2025-update-to-New-Zealand-Emissions-Trading-Scheme-settings-and-regulations.pdf&lt;/url&gt;&lt;/related-urls&gt;&lt;/urls&gt;&lt;/record&gt;&lt;/Cite&gt;&lt;/EndNote&gt;</w:instrText>
      </w:r>
      <w:r w:rsidR="00DB1CEB">
        <w:fldChar w:fldCharType="separate"/>
      </w:r>
      <w:r w:rsidR="00DB1CEB" w:rsidRPr="00DB1CEB">
        <w:rPr>
          <w:noProof/>
          <w:vertAlign w:val="superscript"/>
        </w:rPr>
        <w:t>1</w:t>
      </w:r>
      <w:r w:rsidR="00DB1CEB">
        <w:fldChar w:fldCharType="end"/>
      </w:r>
      <w:r>
        <w:t xml:space="preserve"> </w:t>
      </w:r>
    </w:p>
    <w:p w14:paraId="453EA13D" w14:textId="78DD4DAF" w:rsidR="006946F5" w:rsidRDefault="006946F5" w:rsidP="006946F5">
      <w:pPr>
        <w:pStyle w:val="BodyText"/>
      </w:pPr>
      <w:r>
        <w:t>Since this announcement, the 2025 government emissions projections were released. These show lower emissions overall but higher agricultural emissions than in the previous projections. Based on this new information, we assess that neither of the Government’s previously announced emissions caps still align</w:t>
      </w:r>
      <w:r w:rsidR="00A87A69">
        <w:t>s</w:t>
      </w:r>
      <w:r>
        <w:t xml:space="preserve"> with emissions budgets.</w:t>
      </w:r>
    </w:p>
    <w:p w14:paraId="0EBC6DBD" w14:textId="2ECE1312" w:rsidR="006946F5" w:rsidRDefault="006946F5" w:rsidP="006946F5">
      <w:pPr>
        <w:pStyle w:val="BodyText"/>
      </w:pPr>
      <w:r>
        <w:t>As set out in the advice report, we have based the emissions cap used in our advice on the 2025 government emissions projections. To do this we determined an allocation of NZ ETS and non-NZ ETS sector emissions based on the projections. The projections do not meet the third emissions budget and the</w:t>
      </w:r>
      <w:r w:rsidR="00940E5A">
        <w:t xml:space="preserve"> Commission’s proposed</w:t>
      </w:r>
      <w:r>
        <w:t xml:space="preserve"> emissions cap for that period assumes all extra abatement required </w:t>
      </w:r>
      <w:r w:rsidR="009B6E39">
        <w:t xml:space="preserve">to meet the budget will need to be delivered by </w:t>
      </w:r>
      <w:r>
        <w:t>NZ ETS sectors.</w:t>
      </w:r>
    </w:p>
    <w:p w14:paraId="5C94CEEA" w14:textId="57AF8145" w:rsidR="007E3299" w:rsidRDefault="006946F5" w:rsidP="006946F5">
      <w:pPr>
        <w:pStyle w:val="BodyText"/>
      </w:pPr>
      <w:r>
        <w:t>Figure 1 shows the resulting allocation of emissions to non-NZ ETS and NZ ETS sectors over the period of the settings (2027</w:t>
      </w:r>
      <w:r w:rsidR="00614249">
        <w:t>–</w:t>
      </w:r>
      <w:r>
        <w:t>2031).</w:t>
      </w:r>
    </w:p>
    <w:p w14:paraId="5CE87346" w14:textId="77777777" w:rsidR="002405C3" w:rsidRDefault="002405C3" w:rsidP="002405C3">
      <w:pPr>
        <w:pStyle w:val="BodyText"/>
      </w:pPr>
      <w:r>
        <w:t xml:space="preserve">In this section we set out in more detail the calculation of emissions covered and not covered by the NZ ETS, applied to the 2025 government emissions projections to work out the proposed NZ ETS emissions cap used for our NZ ETS settings recommendations. </w:t>
      </w:r>
    </w:p>
    <w:p w14:paraId="5C9B37BE" w14:textId="13962E10" w:rsidR="002405C3" w:rsidRDefault="002405C3" w:rsidP="002405C3">
      <w:pPr>
        <w:pStyle w:val="BodyText"/>
      </w:pPr>
      <w:r>
        <w:t xml:space="preserve">In the advice report we present alternative options for the NZ ETS emissions cap which we have considered. At the end of this </w:t>
      </w:r>
      <w:proofErr w:type="gramStart"/>
      <w:r>
        <w:t>section</w:t>
      </w:r>
      <w:proofErr w:type="gramEnd"/>
      <w:r>
        <w:t xml:space="preserve"> we set out at a high level how these options were calculated.</w:t>
      </w:r>
    </w:p>
    <w:p w14:paraId="4EE1CF61" w14:textId="77777777" w:rsidR="002405C3" w:rsidRDefault="002405C3" w:rsidP="006946F5">
      <w:pPr>
        <w:pStyle w:val="BodyText"/>
      </w:pPr>
    </w:p>
    <w:p w14:paraId="3DAB8F7D" w14:textId="77777777" w:rsidR="002405C3" w:rsidRDefault="002405C3">
      <w:pPr>
        <w:spacing w:before="0" w:after="0" w:line="240" w:lineRule="auto"/>
        <w:rPr>
          <w:rFonts w:asciiTheme="minorHAnsi" w:hAnsiTheme="minorHAnsi"/>
          <w:b/>
          <w:bCs/>
          <w:i/>
          <w:color w:val="0F385A"/>
        </w:rPr>
      </w:pPr>
      <w:r>
        <w:br w:type="page"/>
      </w:r>
    </w:p>
    <w:p w14:paraId="60F30539" w14:textId="1D6B6FC5" w:rsidR="00A67A96" w:rsidRDefault="00A67A96" w:rsidP="00A67A96">
      <w:pPr>
        <w:pStyle w:val="FigureTabletitle"/>
      </w:pPr>
      <w:r>
        <w:t xml:space="preserve">Figure </w:t>
      </w:r>
      <w:r w:rsidR="00B12CA3">
        <w:fldChar w:fldCharType="begin"/>
      </w:r>
      <w:r w:rsidR="00B12CA3">
        <w:instrText xml:space="preserve"> SEQ Figure \* ARABIC </w:instrText>
      </w:r>
      <w:r w:rsidR="00B12CA3">
        <w:fldChar w:fldCharType="separate"/>
      </w:r>
      <w:r w:rsidR="00B12CA3">
        <w:rPr>
          <w:noProof/>
        </w:rPr>
        <w:t>1</w:t>
      </w:r>
      <w:r w:rsidR="00B12CA3">
        <w:rPr>
          <w:noProof/>
        </w:rPr>
        <w:fldChar w:fldCharType="end"/>
      </w:r>
      <w:r>
        <w:t>:</w:t>
      </w:r>
      <w:r w:rsidRPr="00A67A96">
        <w:t xml:space="preserve"> Breakdown of NZ ETS and non-NZ ETS emissions </w:t>
      </w:r>
      <w:r w:rsidR="00DE72E0">
        <w:t xml:space="preserve">projections </w:t>
      </w:r>
      <w:r w:rsidRPr="00A67A96">
        <w:t xml:space="preserve">over settings period, including </w:t>
      </w:r>
      <w:r w:rsidR="00DE72E0">
        <w:t xml:space="preserve">proposed </w:t>
      </w:r>
      <w:r w:rsidRPr="00A67A96">
        <w:t>NZ ETS cap</w:t>
      </w:r>
    </w:p>
    <w:p w14:paraId="56799F4C" w14:textId="275BC65F" w:rsidR="007E3299" w:rsidRDefault="007E3299" w:rsidP="006946F5">
      <w:pPr>
        <w:pStyle w:val="BodyText"/>
        <w:rPr>
          <w:noProof/>
        </w:rPr>
      </w:pPr>
    </w:p>
    <w:p w14:paraId="2B425FE2" w14:textId="2CB1064E" w:rsidR="007C1F79" w:rsidRDefault="00504608" w:rsidP="006946F5">
      <w:pPr>
        <w:pStyle w:val="BodyText"/>
        <w:rPr>
          <w:noProof/>
        </w:rPr>
      </w:pPr>
      <w:r>
        <w:rPr>
          <w:noProof/>
        </w:rPr>
        <w:drawing>
          <wp:inline distT="0" distB="0" distL="0" distR="0" wp14:anchorId="6D99A8B9" wp14:editId="789FFCC5">
            <wp:extent cx="5736590" cy="3432175"/>
            <wp:effectExtent l="0" t="0" r="0" b="0"/>
            <wp:docPr id="7518171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6590" cy="3432175"/>
                    </a:xfrm>
                    <a:prstGeom prst="rect">
                      <a:avLst/>
                    </a:prstGeom>
                    <a:noFill/>
                  </pic:spPr>
                </pic:pic>
              </a:graphicData>
            </a:graphic>
          </wp:inline>
        </w:drawing>
      </w:r>
    </w:p>
    <w:p w14:paraId="1176AD66" w14:textId="2CCF62E1" w:rsidR="00A67A96" w:rsidRDefault="00A67A96" w:rsidP="00E06D4C">
      <w:pPr>
        <w:pStyle w:val="Sourceline"/>
        <w:rPr>
          <w:szCs w:val="20"/>
        </w:rPr>
      </w:pPr>
      <w:r w:rsidRPr="00A67A96">
        <w:t>Source: Commission analysis</w:t>
      </w:r>
    </w:p>
    <w:p w14:paraId="5B4DCEF6" w14:textId="77777777" w:rsidR="00155D2F" w:rsidRDefault="00155D2F" w:rsidP="00A67A96">
      <w:pPr>
        <w:rPr>
          <w:sz w:val="20"/>
          <w:szCs w:val="20"/>
        </w:rPr>
      </w:pPr>
    </w:p>
    <w:p w14:paraId="26C04C5B" w14:textId="0DDFE4D1" w:rsidR="009C5E2A" w:rsidRDefault="009C5E2A" w:rsidP="009C5E2A">
      <w:pPr>
        <w:pStyle w:val="Heading2nonumber"/>
      </w:pPr>
      <w:bookmarkStart w:id="6" w:name="_Toc227603095"/>
      <w:r>
        <w:t>Calculation of the NZ ETS emissions cap used in our recommendations</w:t>
      </w:r>
      <w:bookmarkEnd w:id="6"/>
    </w:p>
    <w:p w14:paraId="75443C16" w14:textId="5D19329D" w:rsidR="00446A9D" w:rsidRDefault="00BC1D27" w:rsidP="00BC1D27">
      <w:pPr>
        <w:pStyle w:val="BodyText"/>
      </w:pPr>
      <w:r>
        <w:t xml:space="preserve">This section sets out more detail on </w:t>
      </w:r>
      <w:r w:rsidR="00074C97">
        <w:t>our</w:t>
      </w:r>
      <w:r>
        <w:t xml:space="preserve"> allocation of the allowed emissions volume</w:t>
      </w:r>
      <w:r w:rsidR="00446A9D">
        <w:t xml:space="preserve"> under emissions budgets</w:t>
      </w:r>
      <w:r>
        <w:t xml:space="preserve"> to the six sectors listed below</w:t>
      </w:r>
      <w:r w:rsidR="00CF1109">
        <w:t>,</w:t>
      </w:r>
      <w:r>
        <w:t xml:space="preserve"> which are not covered, or are only partially covered, by the NZ ETS</w:t>
      </w:r>
      <w:r w:rsidR="009F2B11">
        <w:t xml:space="preserve">: </w:t>
      </w:r>
    </w:p>
    <w:p w14:paraId="11FAE505" w14:textId="54DA7E36" w:rsidR="00BC1D27" w:rsidRDefault="00BC1D27" w:rsidP="00BC1D27">
      <w:pPr>
        <w:pStyle w:val="Bodybullets"/>
      </w:pPr>
      <w:r>
        <w:t>Agriculture</w:t>
      </w:r>
    </w:p>
    <w:p w14:paraId="2F9CABF6" w14:textId="007FB93F" w:rsidR="00BC1D27" w:rsidRDefault="00BC1D27" w:rsidP="00BC1D27">
      <w:pPr>
        <w:pStyle w:val="Bodybullets"/>
      </w:pPr>
      <w:r>
        <w:t>Non-municipal waste</w:t>
      </w:r>
    </w:p>
    <w:p w14:paraId="287DC86C" w14:textId="6A61A565" w:rsidR="00BC1D27" w:rsidRDefault="00BC1D27" w:rsidP="00BC1D27">
      <w:pPr>
        <w:pStyle w:val="Bodybullets"/>
      </w:pPr>
      <w:r>
        <w:t xml:space="preserve">F-gases </w:t>
      </w:r>
    </w:p>
    <w:p w14:paraId="7C7E98B8" w14:textId="388337D3" w:rsidR="00BC1D27" w:rsidRDefault="00806E32" w:rsidP="00BC1D27">
      <w:pPr>
        <w:pStyle w:val="Bodybullets"/>
      </w:pPr>
      <w:r>
        <w:t xml:space="preserve">Industrial </w:t>
      </w:r>
      <w:r w:rsidR="00313503">
        <w:t xml:space="preserve">Processes </w:t>
      </w:r>
      <w:r>
        <w:t xml:space="preserve">and </w:t>
      </w:r>
      <w:r w:rsidR="00313503">
        <w:t xml:space="preserve">Product Use </w:t>
      </w:r>
      <w:r>
        <w:t>(</w:t>
      </w:r>
      <w:r w:rsidR="00BC1D27">
        <w:t>IPPU</w:t>
      </w:r>
      <w:r>
        <w:t>)</w:t>
      </w:r>
    </w:p>
    <w:p w14:paraId="1FB5C19B" w14:textId="711EE4AE" w:rsidR="00BC1D27" w:rsidRDefault="00BC1D27" w:rsidP="00BC1D27">
      <w:pPr>
        <w:pStyle w:val="Bodybullets"/>
      </w:pPr>
      <w:r>
        <w:t>Biomass combustion</w:t>
      </w:r>
    </w:p>
    <w:p w14:paraId="1AD12D67" w14:textId="036DFC72" w:rsidR="00BC1D27" w:rsidRDefault="00BC1D27" w:rsidP="00BC1D27">
      <w:pPr>
        <w:pStyle w:val="Bodybullets"/>
      </w:pPr>
      <w:r>
        <w:t>Forestry</w:t>
      </w:r>
      <w:r w:rsidR="00313503">
        <w:t>.</w:t>
      </w:r>
    </w:p>
    <w:p w14:paraId="51549ACD" w14:textId="5CB84EEF" w:rsidR="009C5E2A" w:rsidRDefault="00CF1109" w:rsidP="00BC1D27">
      <w:pPr>
        <w:pStyle w:val="BodyText"/>
      </w:pPr>
      <w:r>
        <w:t>Below, we</w:t>
      </w:r>
      <w:r w:rsidR="00BC1D27">
        <w:t xml:space="preserve"> describe how we reached our updated estimate</w:t>
      </w:r>
      <w:r w:rsidR="00222588">
        <w:t>s</w:t>
      </w:r>
      <w:r w:rsidR="00BC1D27">
        <w:t xml:space="preserve"> of </w:t>
      </w:r>
      <w:r w:rsidR="00222588">
        <w:t xml:space="preserve">projected emissions covered and not covered by the NZ ETS </w:t>
      </w:r>
      <w:r w:rsidR="001854EA">
        <w:t>for</w:t>
      </w:r>
      <w:r w:rsidR="00BC1D27">
        <w:t xml:space="preserve"> </w:t>
      </w:r>
      <w:r w:rsidR="00CC0463">
        <w:t xml:space="preserve">each of these </w:t>
      </w:r>
      <w:r w:rsidR="00BC1D27">
        <w:t>sector</w:t>
      </w:r>
      <w:r w:rsidR="00CC0463">
        <w:t>s</w:t>
      </w:r>
      <w:r w:rsidR="00BC1D27">
        <w:t>.</w:t>
      </w:r>
      <w:r w:rsidR="00CC0463">
        <w:t xml:space="preserve"> We note where we have used the government’s emissions projections as the basis for the allocation, or where other data and analysis has been used to enable a more granular emissions allocation to the sectors outside the NZ ETS. As discussed in the advice report, we have used the “with additional measure</w:t>
      </w:r>
      <w:r>
        <w:t>s</w:t>
      </w:r>
      <w:r w:rsidR="00CC0463">
        <w:t xml:space="preserve">” (WAM) central projection in our emissions cap calculations. </w:t>
      </w:r>
    </w:p>
    <w:p w14:paraId="07509BF5" w14:textId="2EB13393" w:rsidR="00BC1D27" w:rsidRDefault="00BC1D27" w:rsidP="00BC1D27">
      <w:pPr>
        <w:pStyle w:val="Heading3"/>
      </w:pPr>
      <w:bookmarkStart w:id="7" w:name="_Toc227603096"/>
      <w:r>
        <w:t>Agriculture</w:t>
      </w:r>
      <w:bookmarkEnd w:id="7"/>
    </w:p>
    <w:p w14:paraId="2AFBBAB3" w14:textId="368655B8" w:rsidR="00BC1D27" w:rsidRDefault="00931985" w:rsidP="00BC1D27">
      <w:pPr>
        <w:pStyle w:val="BodyText"/>
      </w:pPr>
      <w:r>
        <w:t>Agricultural emissions, including b</w:t>
      </w:r>
      <w:r w:rsidR="00386B45" w:rsidRPr="00386B45">
        <w:t xml:space="preserve">iogenic methane and nitrous oxide </w:t>
      </w:r>
      <w:r>
        <w:t xml:space="preserve">emissions </w:t>
      </w:r>
      <w:r w:rsidR="00386B45" w:rsidRPr="00386B45">
        <w:t>from agriculture</w:t>
      </w:r>
      <w:r>
        <w:t>,</w:t>
      </w:r>
      <w:r w:rsidR="00386B45" w:rsidRPr="00386B45">
        <w:t xml:space="preserve"> are not covered by the NZ ETS. All agricultural emissions are </w:t>
      </w:r>
      <w:r w:rsidR="00891395">
        <w:t xml:space="preserve">therefore </w:t>
      </w:r>
      <w:r w:rsidR="00BF4A4D">
        <w:t>allocated as</w:t>
      </w:r>
      <w:r w:rsidR="00724139">
        <w:t xml:space="preserve"> being</w:t>
      </w:r>
      <w:r w:rsidR="00BF4A4D">
        <w:t xml:space="preserve"> </w:t>
      </w:r>
      <w:r w:rsidR="00386B45" w:rsidRPr="00386B45">
        <w:t>outside of the NZ ETS.</w:t>
      </w:r>
    </w:p>
    <w:p w14:paraId="21F38A3C" w14:textId="620A6EB3" w:rsidR="00386B45" w:rsidRDefault="00386B45" w:rsidP="00386B45">
      <w:pPr>
        <w:pStyle w:val="Heading3"/>
      </w:pPr>
      <w:bookmarkStart w:id="8" w:name="_Toc227603097"/>
      <w:r>
        <w:t>Non-municipal waste</w:t>
      </w:r>
      <w:bookmarkEnd w:id="8"/>
    </w:p>
    <w:p w14:paraId="1CF5DFC5" w14:textId="4F67C1FB" w:rsidR="00386B45" w:rsidRDefault="00D059BC" w:rsidP="00386B45">
      <w:pPr>
        <w:pStyle w:val="BodyText"/>
      </w:pPr>
      <w:r w:rsidRPr="00D059BC">
        <w:t xml:space="preserve">Non-municipal waste emissions are outside the NZ ETS, as only methane emissions from municipal landfill facilities are subject to NZ ETS obligations. </w:t>
      </w:r>
      <w:r w:rsidR="00BB2DFC">
        <w:t xml:space="preserve">In our calculations for </w:t>
      </w:r>
      <w:r w:rsidR="00B35689">
        <w:t xml:space="preserve">the NZ ETS emissions cap, </w:t>
      </w:r>
      <w:r w:rsidR="0079078F">
        <w:t xml:space="preserve">we used the </w:t>
      </w:r>
      <w:r w:rsidRPr="00D059BC">
        <w:t xml:space="preserve">projected non-municipal waste emissions in the detailed breakdown of the Energy and Emissions in New Zealand (ENZ) modelling used in the updated 2025 government emissions projections. This detailed ENZ breakdown was supplied to us by </w:t>
      </w:r>
      <w:r w:rsidR="004E2B7C">
        <w:t>the Ministry for the Environment (</w:t>
      </w:r>
      <w:r w:rsidRPr="00D059BC">
        <w:t>MfE</w:t>
      </w:r>
      <w:r w:rsidR="004E2B7C">
        <w:t>)</w:t>
      </w:r>
      <w:r w:rsidRPr="00D059BC">
        <w:t>.</w:t>
      </w:r>
    </w:p>
    <w:p w14:paraId="18B28F63" w14:textId="2EA5F454" w:rsidR="00D059BC" w:rsidRDefault="00D059BC" w:rsidP="00D059BC">
      <w:pPr>
        <w:pStyle w:val="Heading3"/>
      </w:pPr>
      <w:bookmarkStart w:id="9" w:name="_Toc227603098"/>
      <w:r>
        <w:t>F-gases</w:t>
      </w:r>
      <w:bookmarkEnd w:id="9"/>
    </w:p>
    <w:p w14:paraId="40E923A3" w14:textId="25B91113" w:rsidR="00926B86" w:rsidRDefault="00926B86" w:rsidP="00926B86">
      <w:pPr>
        <w:pStyle w:val="BodyText"/>
      </w:pPr>
      <w:r>
        <w:t xml:space="preserve">Some fluorinated gas emissions (F-gases) associated with certain goods and vehicles are priced via the Synthetic Greenhouse Gas (SGG) levy instead of being covered by the NZ ETS. A breakdown of NZ ETS and SGG levy F-gases is not provided in </w:t>
      </w:r>
      <w:r w:rsidR="000A667D">
        <w:t xml:space="preserve">the government </w:t>
      </w:r>
      <w:r>
        <w:t xml:space="preserve">emissions projections and therefore needs to be estimated. We have assumed that 80% of forecast </w:t>
      </w:r>
      <w:r w:rsidR="009B601E">
        <w:br/>
      </w:r>
      <w:r>
        <w:t xml:space="preserve">F-gas emissions will not be covered by the NZ ETS. This is based on comparing F-gas emissions </w:t>
      </w:r>
      <w:r w:rsidR="004C5E9E">
        <w:t xml:space="preserve">reported in the NZ ETS </w:t>
      </w:r>
      <w:r>
        <w:t xml:space="preserve">over 2019–2023 with those recorded in the </w:t>
      </w:r>
      <w:r w:rsidR="00813364">
        <w:t>Greenhouse Gas (</w:t>
      </w:r>
      <w:r>
        <w:t>GHG</w:t>
      </w:r>
      <w:r w:rsidR="00813364">
        <w:t>)</w:t>
      </w:r>
      <w:r>
        <w:t xml:space="preserve"> </w:t>
      </w:r>
      <w:r w:rsidR="00813364">
        <w:t>Inventory</w:t>
      </w:r>
      <w:r>
        <w:t xml:space="preserve">. </w:t>
      </w:r>
    </w:p>
    <w:p w14:paraId="6AAB0143" w14:textId="30A62A68" w:rsidR="00D059BC" w:rsidRDefault="00926B86" w:rsidP="00926B86">
      <w:pPr>
        <w:pStyle w:val="BodyText"/>
      </w:pPr>
      <w:r>
        <w:t xml:space="preserve">This is a different approach than we have taken in previous years, where we compared </w:t>
      </w:r>
      <w:r w:rsidR="009B601E">
        <w:br/>
      </w:r>
      <w:r>
        <w:t xml:space="preserve">NZ ETS reported F-gas emissions with those covered by the SGG levy, which gave an assumption of </w:t>
      </w:r>
      <w:r w:rsidRPr="00EA4882">
        <w:t>5</w:t>
      </w:r>
      <w:r w:rsidR="00EA4882" w:rsidRPr="00EA4882">
        <w:t>2</w:t>
      </w:r>
      <w:r w:rsidRPr="00EA4882">
        <w:t>%.</w:t>
      </w:r>
      <w:r>
        <w:t xml:space="preserve"> Our previous approach did not account for discrepancies between F-gas emissions reported in the NZ ETS and through the SGG levy, and the GHG </w:t>
      </w:r>
      <w:r w:rsidR="00813364">
        <w:t>Inventory</w:t>
      </w:r>
      <w:r>
        <w:t xml:space="preserve">. This was considered separately through a later step in the unit limits method. This year we have simplified the approach and compared directly to the GHG </w:t>
      </w:r>
      <w:r w:rsidR="00813364">
        <w:t>Inventory</w:t>
      </w:r>
      <w:r>
        <w:t>.</w:t>
      </w:r>
    </w:p>
    <w:p w14:paraId="4B994273" w14:textId="6FA372E6" w:rsidR="00926B86" w:rsidRDefault="00926B86" w:rsidP="00926B86">
      <w:pPr>
        <w:pStyle w:val="Heading3"/>
      </w:pPr>
      <w:bookmarkStart w:id="10" w:name="_Toc227603099"/>
      <w:r>
        <w:t>Industrial process</w:t>
      </w:r>
      <w:r w:rsidR="008C097B">
        <w:t>es</w:t>
      </w:r>
      <w:r>
        <w:t xml:space="preserve"> and product use</w:t>
      </w:r>
      <w:bookmarkEnd w:id="10"/>
    </w:p>
    <w:p w14:paraId="22F590A2" w14:textId="77777777" w:rsidR="00E40A52" w:rsidRDefault="00E40A52" w:rsidP="00E40A52">
      <w:pPr>
        <w:pStyle w:val="BodyText"/>
      </w:pPr>
      <w:r>
        <w:t>Several small emissions sources in the Industrial Processes and Product Use (IPPU) inventory category are outside of the NZ ETS. These include:</w:t>
      </w:r>
    </w:p>
    <w:p w14:paraId="41BA5AA9" w14:textId="168DF542" w:rsidR="00E40A52" w:rsidRDefault="00E40A52" w:rsidP="00E40A52">
      <w:pPr>
        <w:pStyle w:val="Bodybullets"/>
      </w:pPr>
      <w:r>
        <w:t>non-energy products from fuels and solvent use</w:t>
      </w:r>
    </w:p>
    <w:p w14:paraId="2534EDFF" w14:textId="7C193976" w:rsidR="00E40A52" w:rsidRDefault="00E40A52" w:rsidP="00E40A52">
      <w:pPr>
        <w:pStyle w:val="Bodybullets"/>
      </w:pPr>
      <w:r>
        <w:t>sulphur hexafluoride and perfluorocarbons from medical and other product use</w:t>
      </w:r>
    </w:p>
    <w:p w14:paraId="7A9B18FD" w14:textId="3B11A681" w:rsidR="00E40A52" w:rsidRDefault="00E40A52" w:rsidP="00E40A52">
      <w:pPr>
        <w:pStyle w:val="Bodybullets"/>
      </w:pPr>
      <w:r>
        <w:t>nitrous oxide from medical applications</w:t>
      </w:r>
    </w:p>
    <w:p w14:paraId="2B1A9B72" w14:textId="5BB132D4" w:rsidR="00E40A52" w:rsidRDefault="00E40A52" w:rsidP="00E40A52">
      <w:pPr>
        <w:pStyle w:val="Bodybullets"/>
      </w:pPr>
      <w:r>
        <w:t>other uses of carbonate.</w:t>
      </w:r>
    </w:p>
    <w:p w14:paraId="37C69953" w14:textId="3325A70D" w:rsidR="00926B86" w:rsidRDefault="00E40A52" w:rsidP="00E40A52">
      <w:pPr>
        <w:pStyle w:val="BodyText"/>
      </w:pPr>
      <w:r>
        <w:t xml:space="preserve">The 2025 government emissions projections do not separate IPPU emissions into this level of detail. To determine an estimate, we took historical data from the GHG </w:t>
      </w:r>
      <w:r w:rsidR="00D80818">
        <w:t xml:space="preserve">Inventory </w:t>
      </w:r>
      <w:r>
        <w:t>Common Reporting Format (CRF) tables that separate out these categories</w:t>
      </w:r>
      <w:r w:rsidR="00BC4F45">
        <w:t>. We then</w:t>
      </w:r>
      <w:r>
        <w:t xml:space="preserve"> determined their average </w:t>
      </w:r>
      <w:r w:rsidRPr="00FC3E5C">
        <w:t xml:space="preserve">historic proportion of total IPPU emissions. Over the last </w:t>
      </w:r>
      <w:r w:rsidR="00BC4F45">
        <w:t>five</w:t>
      </w:r>
      <w:r w:rsidR="00BC4F45" w:rsidRPr="00FC3E5C">
        <w:t xml:space="preserve"> </w:t>
      </w:r>
      <w:r w:rsidRPr="00FC3E5C">
        <w:t>years the average percentage was 4.4%. We</w:t>
      </w:r>
      <w:r>
        <w:t xml:space="preserve"> have applied this percentage to future IPPU emissions projections to estimate the volume not covered by the NZ ETS. This is a minor update from </w:t>
      </w:r>
      <w:r w:rsidRPr="00EF5992">
        <w:t>4.2%</w:t>
      </w:r>
      <w:r>
        <w:t xml:space="preserve"> used in our previous advice.</w:t>
      </w:r>
    </w:p>
    <w:p w14:paraId="07EE939B" w14:textId="39601F71" w:rsidR="00E40A52" w:rsidRDefault="00E40A52" w:rsidP="00E40A52">
      <w:pPr>
        <w:pStyle w:val="Heading3"/>
      </w:pPr>
      <w:bookmarkStart w:id="11" w:name="_Toc227603100"/>
      <w:r>
        <w:t>Biomass combustion</w:t>
      </w:r>
      <w:bookmarkEnd w:id="11"/>
    </w:p>
    <w:p w14:paraId="01B0822C" w14:textId="46865A6A" w:rsidR="00E40A52" w:rsidRDefault="00E83A2C" w:rsidP="00E40A52">
      <w:pPr>
        <w:pStyle w:val="BodyText"/>
      </w:pPr>
      <w:r w:rsidRPr="00E83A2C">
        <w:t xml:space="preserve">When biomass is combusted, in addition to carbon dioxide emissions, a small amount of methane and nitrous oxide emissions </w:t>
      </w:r>
      <w:r w:rsidR="008E259F">
        <w:t>is</w:t>
      </w:r>
      <w:r w:rsidR="008E259F" w:rsidRPr="00E83A2C">
        <w:t xml:space="preserve"> </w:t>
      </w:r>
      <w:r w:rsidRPr="00E83A2C">
        <w:t>produced. These methane and nitrous oxide emissions from biomass combustion are not covered by the NZ ETS. The projected biomass emissions are provided in the detailed breakdown of the ENZ modelling used for the 2025 government emissions projections.</w:t>
      </w:r>
    </w:p>
    <w:p w14:paraId="7560989D" w14:textId="5D7DE30D" w:rsidR="00E83A2C" w:rsidRDefault="00E73E09" w:rsidP="00E83A2C">
      <w:pPr>
        <w:pStyle w:val="Heading3"/>
      </w:pPr>
      <w:bookmarkStart w:id="12" w:name="_Toc227603101"/>
      <w:r>
        <w:t>F</w:t>
      </w:r>
      <w:r w:rsidR="00C86CD2">
        <w:t xml:space="preserve">orests not </w:t>
      </w:r>
      <w:r w:rsidR="00C201A9">
        <w:t xml:space="preserve">covered </w:t>
      </w:r>
      <w:r w:rsidR="00001917">
        <w:t xml:space="preserve">by the </w:t>
      </w:r>
      <w:r w:rsidR="00E83A2C">
        <w:t>NZ ETS</w:t>
      </w:r>
      <w:bookmarkEnd w:id="12"/>
    </w:p>
    <w:p w14:paraId="2FBEB38C" w14:textId="6E5DB913" w:rsidR="00E83A2C" w:rsidRDefault="00BF5F95" w:rsidP="00E83A2C">
      <w:pPr>
        <w:pStyle w:val="BodyText"/>
      </w:pPr>
      <w:r w:rsidRPr="00BF5F95">
        <w:t>For owners of post-1989 forests, participation in the NZ ETS is voluntary.</w:t>
      </w:r>
      <w:r w:rsidR="009C6061">
        <w:t xml:space="preserve"> </w:t>
      </w:r>
      <w:r w:rsidRPr="00BF5F95">
        <w:t xml:space="preserve">Some deforestation of native forests is also outside the NZ ETS. </w:t>
      </w:r>
      <w:r w:rsidR="009609BA">
        <w:t>I</w:t>
      </w:r>
      <w:r w:rsidR="009609BA" w:rsidRPr="00BF5F95">
        <w:t xml:space="preserve">n </w:t>
      </w:r>
      <w:r w:rsidR="009609BA">
        <w:t xml:space="preserve">determining our proposed </w:t>
      </w:r>
      <w:r w:rsidR="009609BA" w:rsidRPr="00BF5F95">
        <w:t>NZ ETS emissions cap</w:t>
      </w:r>
      <w:r w:rsidR="009609BA">
        <w:t>, w</w:t>
      </w:r>
      <w:r w:rsidRPr="00BF5F95">
        <w:t xml:space="preserve">e </w:t>
      </w:r>
      <w:r w:rsidR="004A2D96">
        <w:t xml:space="preserve">estimate </w:t>
      </w:r>
      <w:r w:rsidRPr="00BF5F95">
        <w:t xml:space="preserve">the net effect of these </w:t>
      </w:r>
      <w:r w:rsidR="00A138B4">
        <w:t xml:space="preserve">forestry </w:t>
      </w:r>
      <w:r w:rsidRPr="00BF5F95">
        <w:t xml:space="preserve">emissions and removals outside the scheme </w:t>
      </w:r>
      <w:r w:rsidR="004A2D96">
        <w:t xml:space="preserve">and </w:t>
      </w:r>
      <w:r w:rsidR="00781E0D">
        <w:t xml:space="preserve">subtract them from the emissions budget </w:t>
      </w:r>
      <w:proofErr w:type="gramStart"/>
      <w:r w:rsidR="00781E0D">
        <w:t>volume</w:t>
      </w:r>
      <w:r w:rsidR="009609BA">
        <w:t>.</w:t>
      </w:r>
      <w:r w:rsidRPr="00BF5F95">
        <w:t>.</w:t>
      </w:r>
      <w:proofErr w:type="gramEnd"/>
    </w:p>
    <w:p w14:paraId="7F82E225" w14:textId="43D01FB9" w:rsidR="00BF5F95" w:rsidRDefault="00BF5F95" w:rsidP="00BF5F95">
      <w:pPr>
        <w:pStyle w:val="Heading4"/>
      </w:pPr>
      <w:r>
        <w:t>Exotic forests</w:t>
      </w:r>
    </w:p>
    <w:p w14:paraId="7955D8B7" w14:textId="2627D228" w:rsidR="00C37AFB" w:rsidRDefault="00691F44" w:rsidP="00BD6308">
      <w:pPr>
        <w:pStyle w:val="BodyText"/>
      </w:pPr>
      <w:r w:rsidRPr="00691F44">
        <w:t xml:space="preserve">To determine the area of post-1989 </w:t>
      </w:r>
      <w:r w:rsidR="00816537">
        <w:t xml:space="preserve">exotic </w:t>
      </w:r>
      <w:r w:rsidRPr="00691F44">
        <w:t>forest outside the NZ ETS we compare</w:t>
      </w:r>
      <w:r w:rsidR="00A1674C">
        <w:t>d</w:t>
      </w:r>
      <w:r w:rsidRPr="00691F44">
        <w:t xml:space="preserve"> the</w:t>
      </w:r>
      <w:r w:rsidR="006D6248">
        <w:t xml:space="preserve"> total annual</w:t>
      </w:r>
      <w:r w:rsidRPr="00691F44">
        <w:t xml:space="preserve"> area</w:t>
      </w:r>
      <w:r w:rsidR="00DE0D63">
        <w:t xml:space="preserve"> of </w:t>
      </w:r>
      <w:r w:rsidRPr="00691F44">
        <w:t>afforest</w:t>
      </w:r>
      <w:r w:rsidR="00DE0D63">
        <w:t xml:space="preserve">ation </w:t>
      </w:r>
      <w:r w:rsidRPr="00691F44">
        <w:t xml:space="preserve">reported in the GHG Inventory with the area of forest registered in the NZ ETS. </w:t>
      </w:r>
    </w:p>
    <w:p w14:paraId="0742AAEA" w14:textId="055BA126" w:rsidR="00BD6308" w:rsidRDefault="00BD6308" w:rsidP="00BD6308">
      <w:pPr>
        <w:pStyle w:val="BodyText"/>
      </w:pPr>
      <w:r>
        <w:t xml:space="preserve">For forests planted before 2006, the NZ ETS-registered area is consistently lower than the area reported in the GHG </w:t>
      </w:r>
      <w:r w:rsidR="00430EE5">
        <w:t>Inventory</w:t>
      </w:r>
      <w:r>
        <w:t xml:space="preserve">. From 2006 onwards, there are some slight discrepancies between the NZ ETS-registered area and the area reported in the GHG </w:t>
      </w:r>
      <w:r w:rsidR="00726BEB">
        <w:t>Inventory</w:t>
      </w:r>
      <w:r>
        <w:t xml:space="preserve">. </w:t>
      </w:r>
      <w:r w:rsidR="007722B1">
        <w:t>Discrepancies in recent years are likely due to</w:t>
      </w:r>
      <w:r>
        <w:t xml:space="preserve"> a time lag between planting being reported in the GHG </w:t>
      </w:r>
      <w:r w:rsidR="000E540D">
        <w:t xml:space="preserve">Inventory </w:t>
      </w:r>
      <w:r>
        <w:t>and the forest being registered in the NZ ETS. We consider that</w:t>
      </w:r>
      <w:r w:rsidR="000E540D">
        <w:t>,</w:t>
      </w:r>
      <w:r>
        <w:t xml:space="preserve"> over time</w:t>
      </w:r>
      <w:r w:rsidR="000E540D">
        <w:t>,</w:t>
      </w:r>
      <w:r>
        <w:t xml:space="preserve"> the NZ ETS-registered area is likely to closely match the GHG </w:t>
      </w:r>
      <w:r w:rsidR="000E540D">
        <w:t>Inventory</w:t>
      </w:r>
      <w:r>
        <w:t>. Therefore, we have assumed that:</w:t>
      </w:r>
    </w:p>
    <w:p w14:paraId="23A37B19" w14:textId="0256066A" w:rsidR="00BD6308" w:rsidRDefault="00BD6308" w:rsidP="00BD6308">
      <w:pPr>
        <w:pStyle w:val="Bodybullets"/>
      </w:pPr>
      <w:r>
        <w:t xml:space="preserve">for 1990–2005 only the </w:t>
      </w:r>
      <w:proofErr w:type="gramStart"/>
      <w:r>
        <w:t>NZ ETS-registered forest</w:t>
      </w:r>
      <w:proofErr w:type="gramEnd"/>
      <w:r>
        <w:t xml:space="preserve"> area is within the NZ ETS</w:t>
      </w:r>
    </w:p>
    <w:p w14:paraId="51B62860" w14:textId="2741E9A0" w:rsidR="00BD6308" w:rsidRDefault="00BD6308" w:rsidP="00BD6308">
      <w:pPr>
        <w:pStyle w:val="Bodybullets"/>
      </w:pPr>
      <w:r>
        <w:t xml:space="preserve">for 2006–2023 the full area reported in the GHG </w:t>
      </w:r>
      <w:r w:rsidR="000E540D">
        <w:t xml:space="preserve">Inventory </w:t>
      </w:r>
      <w:r>
        <w:t xml:space="preserve">will be registered in the NZ ETS. </w:t>
      </w:r>
    </w:p>
    <w:p w14:paraId="5437D0DA" w14:textId="74C969F5" w:rsidR="00BD6308" w:rsidRDefault="00BD6308" w:rsidP="00BD6308">
      <w:pPr>
        <w:pStyle w:val="BodyText"/>
      </w:pPr>
      <w:r>
        <w:t>The Government has announced it intends to partner with the private sector to plant forests on Crown-owned land. The Government</w:t>
      </w:r>
      <w:r w:rsidR="00567E4A">
        <w:t>’s</w:t>
      </w:r>
      <w:r>
        <w:t xml:space="preserve"> stated intention is that as little as possible of this new forestry should be registered in the NZ ETS</w:t>
      </w:r>
      <w:r w:rsidRPr="0001123F">
        <w:t>.</w:t>
      </w:r>
      <w:r w:rsidR="007E4FB6">
        <w:fldChar w:fldCharType="begin"/>
      </w:r>
      <w:r w:rsidR="00673384">
        <w:instrText xml:space="preserve"> ADDIN EN.CITE &lt;EndNote&gt;&lt;Cite&gt;&lt;Author&gt;Ministry for Primary Industries Manatu Ahu Matua&lt;/Author&gt;&lt;Year&gt;2025&lt;/Year&gt;&lt;RecNum&gt;1580&lt;/RecNum&gt;&lt;DisplayText&gt;&lt;style face="superscript"&gt;2&lt;/style&gt;&lt;/DisplayText&gt;&lt;record&gt;&lt;rec-number&gt;1580&lt;/rec-number&gt;&lt;foreign-keys&gt;&lt;key app="EN" db-id="fwvex5fabdwzs9e9rwa55p5bvws5v2dex2zs" timestamp="1776642380" guid="6492042d-c437-4e9b-878e-8121c6063380"&gt;1580&lt;/key&gt;&lt;/foreign-keys&gt;&lt;ref-type name="Government Document"&gt;46&lt;/ref-type&gt;&lt;contributors&gt;&lt;authors&gt;&lt;author&gt;Ministry for Primary Industries Manatu Ahu Matua,&lt;/author&gt;&lt;/authors&gt;&lt;/contributors&gt;&lt;titles&gt;&lt;title&gt;Request for Information Overview Document: Partnering to plant trees on Crown-owned land&lt;/title&gt;&lt;/titles&gt;&lt;keywords&gt;&lt;keyword&gt;ETS26&lt;/keyword&gt;&lt;/keywords&gt;&lt;dates&gt;&lt;year&gt;2025&lt;/year&gt;&lt;/dates&gt;&lt;urls&gt;&lt;related-urls&gt;&lt;url&gt;https://www.mpi.govt.nz/dmsdocument/66807-Afforestation-on-Crown-land-Request-for-Information-Overview-Document&lt;/url&gt;&lt;/related-urls&gt;&lt;/urls&gt;&lt;/record&gt;&lt;/Cite&gt;&lt;/EndNote&gt;</w:instrText>
      </w:r>
      <w:r w:rsidR="007E4FB6">
        <w:fldChar w:fldCharType="separate"/>
      </w:r>
      <w:r w:rsidR="007E4FB6" w:rsidRPr="007E4FB6">
        <w:rPr>
          <w:noProof/>
          <w:vertAlign w:val="superscript"/>
        </w:rPr>
        <w:t>2</w:t>
      </w:r>
      <w:r w:rsidR="007E4FB6">
        <w:fldChar w:fldCharType="end"/>
      </w:r>
    </w:p>
    <w:p w14:paraId="64E96960" w14:textId="79F65A25" w:rsidR="00BD6308" w:rsidRDefault="00BD6308" w:rsidP="00BD6308">
      <w:pPr>
        <w:pStyle w:val="BodyText"/>
      </w:pPr>
      <w:r>
        <w:t>Based on information provided to us by MfE, we have calculated the assumed impact of the afforestation on Crown-owned land policy as the difference between</w:t>
      </w:r>
      <w:r w:rsidR="00C27751">
        <w:t xml:space="preserve"> the forecast area of</w:t>
      </w:r>
      <w:r>
        <w:t xml:space="preserve"> afforestation in the “with existing measures” and the “with additional measures” central emissions projections. </w:t>
      </w:r>
    </w:p>
    <w:p w14:paraId="04BB5E1B" w14:textId="41F11DD8" w:rsidR="00BF5F95" w:rsidRDefault="00BD6308" w:rsidP="00BD6308">
      <w:pPr>
        <w:pStyle w:val="BodyText"/>
      </w:pPr>
      <w:r>
        <w:t xml:space="preserve">Based on this we assume </w:t>
      </w:r>
      <w:r w:rsidRPr="001D4DAA">
        <w:t>that 175,000</w:t>
      </w:r>
      <w:r>
        <w:t xml:space="preserve"> hectares of afforestation over 2027–2050 will not be registered in the NZ ETS. We assume the remaining projected afforestation, from 2024–2050, will be registered in the NZ ETS.</w:t>
      </w:r>
    </w:p>
    <w:p w14:paraId="2B0B8C52" w14:textId="0546A73D" w:rsidR="00CF4307" w:rsidRDefault="00CF4307" w:rsidP="00CF4307">
      <w:pPr>
        <w:pStyle w:val="Heading4"/>
      </w:pPr>
      <w:r>
        <w:t>Native forests</w:t>
      </w:r>
    </w:p>
    <w:p w14:paraId="76AE4E1B" w14:textId="65BB75A3" w:rsidR="00CF4307" w:rsidRDefault="004408F1" w:rsidP="00CF4307">
      <w:pPr>
        <w:pStyle w:val="BodyText"/>
      </w:pPr>
      <w:r w:rsidRPr="004408F1">
        <w:t xml:space="preserve">There are significant year-to-year differences between the areas of post-1989 native forest reported as established in the GHG Inventory and the </w:t>
      </w:r>
      <w:proofErr w:type="gramStart"/>
      <w:r w:rsidRPr="004408F1">
        <w:t>areas  registered</w:t>
      </w:r>
      <w:proofErr w:type="gramEnd"/>
      <w:r w:rsidRPr="004408F1">
        <w:t xml:space="preserve"> in the NZ ETS. However, looking over a longer </w:t>
      </w:r>
      <w:proofErr w:type="gramStart"/>
      <w:r w:rsidRPr="004408F1">
        <w:t>time period</w:t>
      </w:r>
      <w:proofErr w:type="gramEnd"/>
      <w:r w:rsidRPr="004408F1">
        <w:t xml:space="preserve"> (1990–2020), these differences even out and the aggregate figures match very closely. Our assumption is that the year-to-year differences between the two data sets arise from differences in when forests are recorded as having been established. The close match in areas over the longer </w:t>
      </w:r>
      <w:proofErr w:type="gramStart"/>
      <w:r w:rsidRPr="004408F1">
        <w:t>time period</w:t>
      </w:r>
      <w:proofErr w:type="gramEnd"/>
      <w:r w:rsidRPr="004408F1">
        <w:t xml:space="preserve"> suggests that </w:t>
      </w:r>
      <w:r w:rsidR="00160B1B">
        <w:t>nearly</w:t>
      </w:r>
      <w:r w:rsidRPr="004408F1">
        <w:t xml:space="preserve"> all post-1989 native forests are now registered in the NZ ETS. </w:t>
      </w:r>
      <w:proofErr w:type="gramStart"/>
      <w:r w:rsidRPr="004408F1">
        <w:t>Accordingly</w:t>
      </w:r>
      <w:proofErr w:type="gramEnd"/>
      <w:r w:rsidRPr="004408F1">
        <w:t xml:space="preserve"> we assume that 100% of post-1989 native forest is in the NZ ETS.</w:t>
      </w:r>
    </w:p>
    <w:p w14:paraId="068EB7AD" w14:textId="7C8ABE6B" w:rsidR="00CF4307" w:rsidRDefault="00CF4307" w:rsidP="00CF4307">
      <w:pPr>
        <w:pStyle w:val="Heading4"/>
      </w:pPr>
      <w:r>
        <w:t>Forecast deforestation outside the NZ ETS</w:t>
      </w:r>
    </w:p>
    <w:p w14:paraId="3A6A31E7" w14:textId="77777777" w:rsidR="00297368" w:rsidRDefault="00297368" w:rsidP="00297368">
      <w:pPr>
        <w:pStyle w:val="BodyText"/>
      </w:pPr>
      <w:r>
        <w:t>Two categories of deforestation emissions are outside the NZ ETS:</w:t>
      </w:r>
    </w:p>
    <w:p w14:paraId="17094822" w14:textId="06C1F649" w:rsidR="00297368" w:rsidRDefault="00297368" w:rsidP="00297368">
      <w:pPr>
        <w:pStyle w:val="Bodybullets"/>
      </w:pPr>
      <w:r>
        <w:t>deforestation of pre-1990 native forest</w:t>
      </w:r>
    </w:p>
    <w:p w14:paraId="5A20F254" w14:textId="4E1C9AE2" w:rsidR="00297368" w:rsidRDefault="00297368" w:rsidP="00297368">
      <w:pPr>
        <w:pStyle w:val="Bodybullets"/>
      </w:pPr>
      <w:r>
        <w:t>deforestation of post-1989 forests that have not registered into the NZ ETS.</w:t>
      </w:r>
    </w:p>
    <w:p w14:paraId="0496C910" w14:textId="3CFD6046" w:rsidR="00CF4307" w:rsidRPr="00CF4307" w:rsidRDefault="00297368" w:rsidP="00297368">
      <w:pPr>
        <w:pStyle w:val="BodyText"/>
      </w:pPr>
      <w:r>
        <w:t>The 2025 government emissions projections detail the total area of expected deforestation, but do not break this down by type of forest (e.g., native versus exotic, post-1989 versus pre-1990). We assume that all projected deforestation occurs outside the NZ ETS.</w:t>
      </w:r>
    </w:p>
    <w:p w14:paraId="64C4D0B8" w14:textId="66D512F8" w:rsidR="00BD6308" w:rsidRDefault="0062403E" w:rsidP="00BD6308">
      <w:pPr>
        <w:pStyle w:val="Heading3"/>
      </w:pPr>
      <w:bookmarkStart w:id="13" w:name="_Toc227603102"/>
      <w:r>
        <w:t>Overall b</w:t>
      </w:r>
      <w:r w:rsidR="0054215B">
        <w:t>reakdown of projected</w:t>
      </w:r>
      <w:r w:rsidR="00BD6308">
        <w:t xml:space="preserve"> emissions</w:t>
      </w:r>
      <w:bookmarkEnd w:id="13"/>
    </w:p>
    <w:p w14:paraId="2B21C6DD" w14:textId="23AC1925" w:rsidR="00BD6308" w:rsidRDefault="00DE1D12" w:rsidP="00BD6308">
      <w:pPr>
        <w:pStyle w:val="BodyText"/>
      </w:pPr>
      <w:r w:rsidRPr="00DE1D12">
        <w:t xml:space="preserve">Table 1 shows the resulting breakdown of </w:t>
      </w:r>
      <w:r w:rsidR="003814A2">
        <w:t xml:space="preserve">the total projected </w:t>
      </w:r>
      <w:r w:rsidRPr="00DE1D12">
        <w:t xml:space="preserve">emissions </w:t>
      </w:r>
      <w:r w:rsidR="009C71E7">
        <w:t>in</w:t>
      </w:r>
      <w:r w:rsidR="005E01B9">
        <w:t>to</w:t>
      </w:r>
      <w:r w:rsidR="009C71E7">
        <w:t xml:space="preserve"> emissions </w:t>
      </w:r>
      <w:r w:rsidRPr="00DE1D12">
        <w:t>outside</w:t>
      </w:r>
      <w:r w:rsidR="003814A2">
        <w:t xml:space="preserve"> and inside</w:t>
      </w:r>
      <w:r w:rsidRPr="00DE1D12">
        <w:t xml:space="preserve"> of the NZ ETS over </w:t>
      </w:r>
      <w:r w:rsidR="005D6C09">
        <w:t xml:space="preserve">the second and third </w:t>
      </w:r>
      <w:r w:rsidRPr="00DE1D12">
        <w:t>emissions budget</w:t>
      </w:r>
      <w:r w:rsidR="005D6C09">
        <w:t xml:space="preserve"> periods</w:t>
      </w:r>
      <w:r w:rsidRPr="00DE1D12">
        <w:t>.</w:t>
      </w:r>
    </w:p>
    <w:p w14:paraId="5F51D106" w14:textId="77777777" w:rsidR="004C0C11" w:rsidRDefault="004C0C11">
      <w:pPr>
        <w:spacing w:before="0" w:after="0" w:line="240" w:lineRule="auto"/>
        <w:rPr>
          <w:rFonts w:asciiTheme="minorHAnsi" w:hAnsiTheme="minorHAnsi"/>
          <w:b/>
          <w:bCs/>
          <w:i/>
          <w:color w:val="0F385A"/>
        </w:rPr>
      </w:pPr>
      <w:r>
        <w:br w:type="page"/>
      </w:r>
    </w:p>
    <w:p w14:paraId="47B7FF30" w14:textId="19EAAA38" w:rsidR="00EA30FE" w:rsidRDefault="00EA30FE" w:rsidP="00EA30FE">
      <w:pPr>
        <w:pStyle w:val="FigureTabletitle"/>
      </w:pPr>
      <w:r>
        <w:t xml:space="preserve">Table </w:t>
      </w:r>
      <w:r w:rsidR="00B50217">
        <w:fldChar w:fldCharType="begin"/>
      </w:r>
      <w:r w:rsidR="00B50217">
        <w:instrText xml:space="preserve"> SEQ Table \* ARABIC </w:instrText>
      </w:r>
      <w:r w:rsidR="00B50217">
        <w:fldChar w:fldCharType="separate"/>
      </w:r>
      <w:r w:rsidR="00B50217">
        <w:rPr>
          <w:noProof/>
        </w:rPr>
        <w:t>1</w:t>
      </w:r>
      <w:r w:rsidR="00B50217">
        <w:rPr>
          <w:noProof/>
        </w:rPr>
        <w:fldChar w:fldCharType="end"/>
      </w:r>
      <w:r>
        <w:t xml:space="preserve">: </w:t>
      </w:r>
      <w:r w:rsidRPr="00084078">
        <w:t xml:space="preserve">WAM central projections broken down into NZ ETS and non-NZ ETS </w:t>
      </w:r>
      <w:r w:rsidR="0037084F">
        <w:t>emissions</w:t>
      </w:r>
      <w:r w:rsidR="00150216">
        <w:t xml:space="preserve"> </w:t>
      </w:r>
    </w:p>
    <w:tbl>
      <w:tblPr>
        <w:tblStyle w:val="GridTable5Dark-Accent52"/>
        <w:tblW w:w="5000" w:type="pct"/>
        <w:tblLook w:val="04A0" w:firstRow="1" w:lastRow="0" w:firstColumn="1" w:lastColumn="0" w:noHBand="0" w:noVBand="1"/>
      </w:tblPr>
      <w:tblGrid>
        <w:gridCol w:w="2266"/>
        <w:gridCol w:w="2454"/>
        <w:gridCol w:w="2170"/>
        <w:gridCol w:w="2170"/>
      </w:tblGrid>
      <w:tr w:rsidR="00FC4B95" w:rsidRPr="00F5655E" w14:paraId="0B2A2070" w14:textId="77777777" w:rsidTr="00E06D4C">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dxa"/>
            <w:shd w:val="clear" w:color="auto" w:fill="002060"/>
            <w:tcMar>
              <w:left w:w="105" w:type="dxa"/>
              <w:right w:w="105" w:type="dxa"/>
            </w:tcMar>
            <w:vAlign w:val="center"/>
          </w:tcPr>
          <w:p w14:paraId="7B2A86AF" w14:textId="77777777" w:rsidR="00FC4B95" w:rsidRPr="00E06D4C" w:rsidRDefault="00FC4B95" w:rsidP="00E06D4C">
            <w:pPr>
              <w:pStyle w:val="Tableheading"/>
              <w:ind w:left="57" w:right="57"/>
              <w:rPr>
                <w:color w:val="auto"/>
              </w:rPr>
            </w:pPr>
          </w:p>
        </w:tc>
        <w:tc>
          <w:tcPr>
            <w:tcW w:w="0" w:type="dxa"/>
            <w:shd w:val="clear" w:color="auto" w:fill="002060"/>
            <w:tcMar>
              <w:left w:w="105" w:type="dxa"/>
              <w:right w:w="105" w:type="dxa"/>
            </w:tcMar>
            <w:vAlign w:val="center"/>
          </w:tcPr>
          <w:p w14:paraId="297DEF1F" w14:textId="639CEE7D" w:rsidR="00FC4B95" w:rsidRPr="003D46E2" w:rsidRDefault="00FC4B95" w:rsidP="00E06D4C">
            <w:pPr>
              <w:pStyle w:val="Tableheading"/>
              <w:ind w:left="57" w:right="57"/>
              <w:cnfStyle w:val="100000000000" w:firstRow="1" w:lastRow="0" w:firstColumn="0" w:lastColumn="0" w:oddVBand="0" w:evenVBand="0" w:oddHBand="0" w:evenHBand="0" w:firstRowFirstColumn="0" w:firstRowLastColumn="0" w:lastRowFirstColumn="0" w:lastRowLastColumn="0"/>
            </w:pPr>
            <w:r w:rsidRPr="00E06D4C">
              <w:rPr>
                <w:b/>
                <w:bCs/>
              </w:rPr>
              <w:t>Sector (MtCO</w:t>
            </w:r>
            <w:r w:rsidRPr="00E06D4C">
              <w:rPr>
                <w:b/>
                <w:bCs/>
                <w:vertAlign w:val="subscript"/>
              </w:rPr>
              <w:t>2</w:t>
            </w:r>
            <w:r w:rsidRPr="00E06D4C">
              <w:rPr>
                <w:b/>
                <w:bCs/>
              </w:rPr>
              <w:t>e)</w:t>
            </w:r>
          </w:p>
        </w:tc>
        <w:tc>
          <w:tcPr>
            <w:tcW w:w="0" w:type="dxa"/>
            <w:shd w:val="clear" w:color="auto" w:fill="002060"/>
            <w:tcMar>
              <w:left w:w="105" w:type="dxa"/>
              <w:right w:w="105" w:type="dxa"/>
            </w:tcMar>
            <w:vAlign w:val="center"/>
          </w:tcPr>
          <w:p w14:paraId="653DDC46" w14:textId="1676306B" w:rsidR="00FC4B95" w:rsidRPr="003D46E2" w:rsidRDefault="00141FB8" w:rsidP="00E06D4C">
            <w:pPr>
              <w:pStyle w:val="Tableheading"/>
              <w:ind w:left="57" w:right="57"/>
              <w:cnfStyle w:val="100000000000" w:firstRow="1" w:lastRow="0" w:firstColumn="0" w:lastColumn="0" w:oddVBand="0" w:evenVBand="0" w:oddHBand="0" w:evenHBand="0" w:firstRowFirstColumn="0" w:firstRowLastColumn="0" w:lastRowFirstColumn="0" w:lastRowLastColumn="0"/>
            </w:pPr>
            <w:r w:rsidRPr="00E06D4C">
              <w:rPr>
                <w:b/>
                <w:bCs/>
              </w:rPr>
              <w:t>2026</w:t>
            </w:r>
            <w:r w:rsidR="00E50921" w:rsidRPr="00752445">
              <w:rPr>
                <w:b/>
              </w:rPr>
              <w:t>–</w:t>
            </w:r>
            <w:r w:rsidRPr="00E06D4C">
              <w:rPr>
                <w:b/>
                <w:bCs/>
              </w:rPr>
              <w:t>2030: s</w:t>
            </w:r>
            <w:r w:rsidR="00B25858" w:rsidRPr="00E06D4C">
              <w:rPr>
                <w:b/>
                <w:bCs/>
              </w:rPr>
              <w:t>econd e</w:t>
            </w:r>
            <w:r w:rsidR="00FC4B95" w:rsidRPr="00E06D4C">
              <w:rPr>
                <w:b/>
                <w:bCs/>
              </w:rPr>
              <w:t>missions budget</w:t>
            </w:r>
          </w:p>
        </w:tc>
        <w:tc>
          <w:tcPr>
            <w:tcW w:w="0" w:type="dxa"/>
            <w:shd w:val="clear" w:color="auto" w:fill="002060"/>
            <w:tcMar>
              <w:left w:w="105" w:type="dxa"/>
              <w:right w:w="105" w:type="dxa"/>
            </w:tcMar>
            <w:vAlign w:val="center"/>
          </w:tcPr>
          <w:p w14:paraId="399E5B87" w14:textId="4F2C27C7" w:rsidR="00FC4B95" w:rsidRPr="003D46E2" w:rsidRDefault="00141FB8" w:rsidP="00E06D4C">
            <w:pPr>
              <w:pStyle w:val="Tableheading"/>
              <w:ind w:left="57" w:right="57"/>
              <w:cnfStyle w:val="100000000000" w:firstRow="1" w:lastRow="0" w:firstColumn="0" w:lastColumn="0" w:oddVBand="0" w:evenVBand="0" w:oddHBand="0" w:evenHBand="0" w:firstRowFirstColumn="0" w:firstRowLastColumn="0" w:lastRowFirstColumn="0" w:lastRowLastColumn="0"/>
            </w:pPr>
            <w:r w:rsidRPr="00E06D4C">
              <w:rPr>
                <w:b/>
                <w:bCs/>
              </w:rPr>
              <w:t>2031</w:t>
            </w:r>
            <w:r w:rsidR="00E50921" w:rsidRPr="00E06D4C">
              <w:rPr>
                <w:b/>
                <w:bCs/>
              </w:rPr>
              <w:t>–</w:t>
            </w:r>
            <w:r w:rsidRPr="00E06D4C">
              <w:rPr>
                <w:b/>
                <w:bCs/>
              </w:rPr>
              <w:t>2035: t</w:t>
            </w:r>
            <w:r w:rsidR="00B25858" w:rsidRPr="00E06D4C">
              <w:rPr>
                <w:b/>
                <w:bCs/>
              </w:rPr>
              <w:t>hird e</w:t>
            </w:r>
            <w:r w:rsidR="00FC4B95" w:rsidRPr="00E06D4C">
              <w:rPr>
                <w:b/>
                <w:bCs/>
              </w:rPr>
              <w:t>missions budget</w:t>
            </w:r>
          </w:p>
        </w:tc>
      </w:tr>
      <w:tr w:rsidR="00863702" w:rsidRPr="00FC4B95" w14:paraId="11230D57" w14:textId="77777777" w:rsidTr="00E06D4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dxa"/>
            <w:shd w:val="clear" w:color="auto" w:fill="C1DCD5"/>
            <w:tcMar>
              <w:left w:w="105" w:type="dxa"/>
              <w:right w:w="105" w:type="dxa"/>
            </w:tcMar>
            <w:vAlign w:val="center"/>
          </w:tcPr>
          <w:p w14:paraId="5562FB23" w14:textId="60E17AE9" w:rsidR="00863702" w:rsidRPr="00FE2772" w:rsidRDefault="00FA2A7E" w:rsidP="00E06D4C">
            <w:pPr>
              <w:pStyle w:val="TableParagraph"/>
              <w:spacing w:beforeLines="60" w:before="144" w:after="60"/>
              <w:ind w:left="57" w:right="57"/>
              <w:rPr>
                <w:color w:val="auto"/>
              </w:rPr>
            </w:pPr>
            <w:r w:rsidRPr="00FE2772">
              <w:rPr>
                <w:color w:val="auto"/>
              </w:rPr>
              <w:t xml:space="preserve">Total </w:t>
            </w:r>
            <w:r w:rsidR="00567E5D" w:rsidRPr="00FE2772">
              <w:rPr>
                <w:color w:val="auto"/>
              </w:rPr>
              <w:t xml:space="preserve">allowed </w:t>
            </w:r>
            <w:r w:rsidR="00CE4BC2" w:rsidRPr="00FE2772">
              <w:rPr>
                <w:color w:val="auto"/>
              </w:rPr>
              <w:t xml:space="preserve">emissions </w:t>
            </w:r>
            <w:r w:rsidR="00567E5D" w:rsidRPr="00FE2772">
              <w:rPr>
                <w:color w:val="auto"/>
              </w:rPr>
              <w:t xml:space="preserve">under emissions </w:t>
            </w:r>
            <w:r w:rsidR="00CE4BC2" w:rsidRPr="00FE2772">
              <w:rPr>
                <w:color w:val="auto"/>
              </w:rPr>
              <w:t xml:space="preserve">budget </w:t>
            </w:r>
          </w:p>
        </w:tc>
        <w:tc>
          <w:tcPr>
            <w:tcW w:w="0" w:type="dxa"/>
            <w:shd w:val="clear" w:color="auto" w:fill="D4E8DE"/>
            <w:tcMar>
              <w:left w:w="105" w:type="dxa"/>
              <w:right w:w="105" w:type="dxa"/>
            </w:tcMar>
            <w:vAlign w:val="center"/>
          </w:tcPr>
          <w:p w14:paraId="51494BF9" w14:textId="77777777" w:rsidR="00863702" w:rsidRPr="00F5655E" w:rsidRDefault="00863702" w:rsidP="00E06D4C">
            <w:pPr>
              <w:pStyle w:val="TableParagraph"/>
              <w:ind w:left="57" w:right="57"/>
              <w:cnfStyle w:val="000000100000" w:firstRow="0" w:lastRow="0" w:firstColumn="0" w:lastColumn="0" w:oddVBand="0" w:evenVBand="0" w:oddHBand="1" w:evenHBand="0" w:firstRowFirstColumn="0" w:firstRowLastColumn="0" w:lastRowFirstColumn="0" w:lastRowLastColumn="0"/>
            </w:pPr>
          </w:p>
        </w:tc>
        <w:tc>
          <w:tcPr>
            <w:tcW w:w="0" w:type="dxa"/>
            <w:shd w:val="clear" w:color="auto" w:fill="D4E8DE"/>
            <w:tcMar>
              <w:left w:w="105" w:type="dxa"/>
              <w:right w:w="105" w:type="dxa"/>
            </w:tcMar>
            <w:vAlign w:val="center"/>
          </w:tcPr>
          <w:p w14:paraId="03F47CA2" w14:textId="70996E77" w:rsidR="00863702" w:rsidRPr="00F5655E" w:rsidRDefault="00567E5D" w:rsidP="00E06D4C">
            <w:pPr>
              <w:pStyle w:val="TableParagraph"/>
              <w:ind w:left="57" w:right="57"/>
              <w:cnfStyle w:val="000000100000" w:firstRow="0" w:lastRow="0" w:firstColumn="0" w:lastColumn="0" w:oddVBand="0" w:evenVBand="0" w:oddHBand="1" w:evenHBand="0" w:firstRowFirstColumn="0" w:firstRowLastColumn="0" w:lastRowFirstColumn="0" w:lastRowLastColumn="0"/>
            </w:pPr>
            <w:r w:rsidRPr="00F5655E">
              <w:t>305</w:t>
            </w:r>
          </w:p>
        </w:tc>
        <w:tc>
          <w:tcPr>
            <w:tcW w:w="0" w:type="dxa"/>
            <w:shd w:val="clear" w:color="auto" w:fill="D4E8DE"/>
            <w:tcMar>
              <w:left w:w="105" w:type="dxa"/>
              <w:right w:w="105" w:type="dxa"/>
            </w:tcMar>
            <w:vAlign w:val="center"/>
          </w:tcPr>
          <w:p w14:paraId="555DF8EA" w14:textId="5A8B9DAC" w:rsidR="00863702" w:rsidRPr="00F5655E" w:rsidRDefault="00567E5D" w:rsidP="00E06D4C">
            <w:pPr>
              <w:pStyle w:val="TableParagraph"/>
              <w:ind w:left="57" w:right="57"/>
              <w:cnfStyle w:val="000000100000" w:firstRow="0" w:lastRow="0" w:firstColumn="0" w:lastColumn="0" w:oddVBand="0" w:evenVBand="0" w:oddHBand="1" w:evenHBand="0" w:firstRowFirstColumn="0" w:firstRowLastColumn="0" w:lastRowFirstColumn="0" w:lastRowLastColumn="0"/>
            </w:pPr>
            <w:r w:rsidRPr="00F5655E">
              <w:t>240</w:t>
            </w:r>
          </w:p>
        </w:tc>
      </w:tr>
      <w:tr w:rsidR="00FC4B95" w:rsidRPr="00FC4B95" w14:paraId="68F51F88" w14:textId="77777777" w:rsidTr="00E06D4C">
        <w:trPr>
          <w:trHeight w:val="285"/>
        </w:trPr>
        <w:tc>
          <w:tcPr>
            <w:cnfStyle w:val="001000000000" w:firstRow="0" w:lastRow="0" w:firstColumn="1" w:lastColumn="0" w:oddVBand="0" w:evenVBand="0" w:oddHBand="0" w:evenHBand="0" w:firstRowFirstColumn="0" w:firstRowLastColumn="0" w:lastRowFirstColumn="0" w:lastRowLastColumn="0"/>
            <w:tcW w:w="0" w:type="dxa"/>
            <w:shd w:val="clear" w:color="auto" w:fill="C1DCD5"/>
            <w:tcMar>
              <w:left w:w="105" w:type="dxa"/>
              <w:right w:w="105" w:type="dxa"/>
            </w:tcMar>
            <w:vAlign w:val="center"/>
          </w:tcPr>
          <w:p w14:paraId="6A2B2CB8" w14:textId="37F88380" w:rsidR="00FC4B95" w:rsidRPr="00F502A2" w:rsidRDefault="00FC4B95" w:rsidP="00E06D4C">
            <w:pPr>
              <w:pStyle w:val="TableParagraph"/>
              <w:spacing w:beforeLines="60" w:before="144" w:after="60"/>
              <w:ind w:left="57" w:right="57"/>
              <w:rPr>
                <w:color w:val="auto"/>
              </w:rPr>
            </w:pPr>
            <w:r w:rsidRPr="00F502A2">
              <w:rPr>
                <w:color w:val="auto"/>
              </w:rPr>
              <w:t xml:space="preserve">Total net </w:t>
            </w:r>
            <w:r w:rsidR="00561009" w:rsidRPr="00F502A2">
              <w:rPr>
                <w:color w:val="auto"/>
              </w:rPr>
              <w:t xml:space="preserve">projected </w:t>
            </w:r>
            <w:r w:rsidRPr="00F502A2">
              <w:rPr>
                <w:color w:val="auto"/>
              </w:rPr>
              <w:t>emissions</w:t>
            </w:r>
          </w:p>
        </w:tc>
        <w:tc>
          <w:tcPr>
            <w:tcW w:w="0" w:type="dxa"/>
            <w:shd w:val="clear" w:color="auto" w:fill="D4E8DE"/>
            <w:tcMar>
              <w:left w:w="105" w:type="dxa"/>
              <w:right w:w="105" w:type="dxa"/>
            </w:tcMar>
            <w:vAlign w:val="center"/>
          </w:tcPr>
          <w:p w14:paraId="155F8C5A" w14:textId="77777777" w:rsidR="00FC4B95" w:rsidRPr="00F5655E" w:rsidRDefault="00FC4B95" w:rsidP="00E06D4C">
            <w:pPr>
              <w:pStyle w:val="TableParagraph"/>
              <w:ind w:left="57" w:right="57"/>
              <w:cnfStyle w:val="000000000000" w:firstRow="0" w:lastRow="0" w:firstColumn="0" w:lastColumn="0" w:oddVBand="0" w:evenVBand="0" w:oddHBand="0" w:evenHBand="0" w:firstRowFirstColumn="0" w:firstRowLastColumn="0" w:lastRowFirstColumn="0" w:lastRowLastColumn="0"/>
            </w:pPr>
          </w:p>
        </w:tc>
        <w:tc>
          <w:tcPr>
            <w:tcW w:w="0" w:type="dxa"/>
            <w:shd w:val="clear" w:color="auto" w:fill="D4E8DE"/>
            <w:tcMar>
              <w:left w:w="105" w:type="dxa"/>
              <w:right w:w="105" w:type="dxa"/>
            </w:tcMar>
            <w:vAlign w:val="center"/>
          </w:tcPr>
          <w:p w14:paraId="0D9815B1" w14:textId="77777777" w:rsidR="00FC4B95" w:rsidRPr="00F5655E" w:rsidRDefault="00FC4B95" w:rsidP="00E06D4C">
            <w:pPr>
              <w:pStyle w:val="TableParagraph"/>
              <w:ind w:left="57" w:right="57"/>
              <w:cnfStyle w:val="000000000000" w:firstRow="0" w:lastRow="0" w:firstColumn="0" w:lastColumn="0" w:oddVBand="0" w:evenVBand="0" w:oddHBand="0" w:evenHBand="0" w:firstRowFirstColumn="0" w:firstRowLastColumn="0" w:lastRowFirstColumn="0" w:lastRowLastColumn="0"/>
            </w:pPr>
            <w:r w:rsidRPr="00F5655E">
              <w:t xml:space="preserve">301.4 </w:t>
            </w:r>
          </w:p>
        </w:tc>
        <w:tc>
          <w:tcPr>
            <w:tcW w:w="0" w:type="dxa"/>
            <w:shd w:val="clear" w:color="auto" w:fill="D4E8DE"/>
            <w:tcMar>
              <w:left w:w="105" w:type="dxa"/>
              <w:right w:w="105" w:type="dxa"/>
            </w:tcMar>
            <w:vAlign w:val="center"/>
          </w:tcPr>
          <w:p w14:paraId="1E84D53C" w14:textId="77777777" w:rsidR="00FC4B95" w:rsidRPr="00F5655E" w:rsidRDefault="00FC4B95" w:rsidP="00E06D4C">
            <w:pPr>
              <w:pStyle w:val="TableParagraph"/>
              <w:ind w:left="57" w:right="57"/>
              <w:cnfStyle w:val="000000000000" w:firstRow="0" w:lastRow="0" w:firstColumn="0" w:lastColumn="0" w:oddVBand="0" w:evenVBand="0" w:oddHBand="0" w:evenHBand="0" w:firstRowFirstColumn="0" w:firstRowLastColumn="0" w:lastRowFirstColumn="0" w:lastRowLastColumn="0"/>
            </w:pPr>
            <w:r w:rsidRPr="00F5655E">
              <w:t xml:space="preserve">248.7 </w:t>
            </w:r>
          </w:p>
        </w:tc>
      </w:tr>
      <w:tr w:rsidR="00CA48C9" w:rsidRPr="00FC4B95" w14:paraId="41F46A32" w14:textId="77777777" w:rsidTr="006D6296">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dxa"/>
            <w:vMerge w:val="restart"/>
            <w:shd w:val="clear" w:color="auto" w:fill="C1DCD5"/>
            <w:tcMar>
              <w:left w:w="105" w:type="dxa"/>
              <w:right w:w="105" w:type="dxa"/>
            </w:tcMar>
            <w:vAlign w:val="center"/>
          </w:tcPr>
          <w:p w14:paraId="1EC7A237" w14:textId="1FE08678" w:rsidR="00FC4B95" w:rsidRPr="00F502A2" w:rsidRDefault="0041130D" w:rsidP="00E06D4C">
            <w:pPr>
              <w:pStyle w:val="TableParagraph"/>
              <w:spacing w:beforeLines="60" w:before="144" w:after="60"/>
              <w:ind w:left="57" w:right="57"/>
              <w:rPr>
                <w:color w:val="auto"/>
              </w:rPr>
            </w:pPr>
            <w:r w:rsidRPr="00F502A2">
              <w:rPr>
                <w:color w:val="auto"/>
              </w:rPr>
              <w:t xml:space="preserve">Emissions </w:t>
            </w:r>
            <w:r w:rsidR="00FC4B95" w:rsidRPr="00F502A2">
              <w:rPr>
                <w:color w:val="auto"/>
              </w:rPr>
              <w:t>outside of the NZ ETS</w:t>
            </w:r>
          </w:p>
        </w:tc>
        <w:tc>
          <w:tcPr>
            <w:tcW w:w="0" w:type="dxa"/>
            <w:shd w:val="clear" w:color="auto" w:fill="E9F5F2"/>
            <w:tcMar>
              <w:left w:w="105" w:type="dxa"/>
              <w:right w:w="105" w:type="dxa"/>
            </w:tcMar>
            <w:vAlign w:val="center"/>
          </w:tcPr>
          <w:p w14:paraId="6BA6CA7B" w14:textId="77777777" w:rsidR="00FC4B95" w:rsidRPr="00F5655E" w:rsidRDefault="00FC4B95" w:rsidP="00E06D4C">
            <w:pPr>
              <w:pStyle w:val="TableParagraph"/>
              <w:ind w:left="57" w:right="57"/>
              <w:cnfStyle w:val="000000100000" w:firstRow="0" w:lastRow="0" w:firstColumn="0" w:lastColumn="0" w:oddVBand="0" w:evenVBand="0" w:oddHBand="1" w:evenHBand="0" w:firstRowFirstColumn="0" w:firstRowLastColumn="0" w:lastRowFirstColumn="0" w:lastRowLastColumn="0"/>
            </w:pPr>
            <w:r w:rsidRPr="00F5655E">
              <w:t>Agriculture</w:t>
            </w:r>
          </w:p>
        </w:tc>
        <w:tc>
          <w:tcPr>
            <w:tcW w:w="0" w:type="dxa"/>
            <w:shd w:val="clear" w:color="auto" w:fill="E9F5F2"/>
            <w:tcMar>
              <w:left w:w="105" w:type="dxa"/>
              <w:right w:w="105" w:type="dxa"/>
            </w:tcMar>
            <w:vAlign w:val="center"/>
          </w:tcPr>
          <w:p w14:paraId="78B2BADB" w14:textId="77777777" w:rsidR="00FC4B95" w:rsidRPr="00F5655E" w:rsidRDefault="00FC4B95" w:rsidP="00E06D4C">
            <w:pPr>
              <w:pStyle w:val="TableParagraph"/>
              <w:ind w:left="57" w:right="57"/>
              <w:cnfStyle w:val="000000100000" w:firstRow="0" w:lastRow="0" w:firstColumn="0" w:lastColumn="0" w:oddVBand="0" w:evenVBand="0" w:oddHBand="1" w:evenHBand="0" w:firstRowFirstColumn="0" w:firstRowLastColumn="0" w:lastRowFirstColumn="0" w:lastRowLastColumn="0"/>
            </w:pPr>
            <w:r w:rsidRPr="00F5655E">
              <w:t xml:space="preserve">200.9 </w:t>
            </w:r>
          </w:p>
        </w:tc>
        <w:tc>
          <w:tcPr>
            <w:tcW w:w="0" w:type="dxa"/>
            <w:shd w:val="clear" w:color="auto" w:fill="E9F5F2"/>
            <w:tcMar>
              <w:left w:w="105" w:type="dxa"/>
              <w:right w:w="105" w:type="dxa"/>
            </w:tcMar>
            <w:vAlign w:val="center"/>
          </w:tcPr>
          <w:p w14:paraId="7BB74C3B" w14:textId="77777777" w:rsidR="00FC4B95" w:rsidRPr="00F5655E" w:rsidRDefault="00FC4B95" w:rsidP="00E06D4C">
            <w:pPr>
              <w:pStyle w:val="TableParagraph"/>
              <w:ind w:left="57" w:right="57"/>
              <w:cnfStyle w:val="000000100000" w:firstRow="0" w:lastRow="0" w:firstColumn="0" w:lastColumn="0" w:oddVBand="0" w:evenVBand="0" w:oddHBand="1" w:evenHBand="0" w:firstRowFirstColumn="0" w:firstRowLastColumn="0" w:lastRowFirstColumn="0" w:lastRowLastColumn="0"/>
            </w:pPr>
            <w:r w:rsidRPr="00F5655E">
              <w:t xml:space="preserve">194.0 </w:t>
            </w:r>
          </w:p>
        </w:tc>
      </w:tr>
      <w:tr w:rsidR="00CA48C9" w:rsidRPr="00FC4B95" w14:paraId="51ACA010" w14:textId="77777777" w:rsidTr="006D6296">
        <w:trPr>
          <w:trHeight w:val="285"/>
        </w:trPr>
        <w:tc>
          <w:tcPr>
            <w:cnfStyle w:val="001000000000" w:firstRow="0" w:lastRow="0" w:firstColumn="1" w:lastColumn="0" w:oddVBand="0" w:evenVBand="0" w:oddHBand="0" w:evenHBand="0" w:firstRowFirstColumn="0" w:firstRowLastColumn="0" w:lastRowFirstColumn="0" w:lastRowLastColumn="0"/>
            <w:tcW w:w="0" w:type="dxa"/>
            <w:vMerge/>
            <w:shd w:val="clear" w:color="auto" w:fill="C1DCD5"/>
            <w:tcMar>
              <w:left w:w="105" w:type="dxa"/>
              <w:right w:w="105" w:type="dxa"/>
            </w:tcMar>
            <w:vAlign w:val="center"/>
          </w:tcPr>
          <w:p w14:paraId="589AD641" w14:textId="77777777" w:rsidR="00FC4B95" w:rsidRPr="00FC4B95" w:rsidRDefault="00FC4B95" w:rsidP="00E06D4C">
            <w:pPr>
              <w:spacing w:beforeLines="60" w:before="144" w:after="60"/>
              <w:ind w:left="57" w:right="57"/>
              <w:rPr>
                <w:rFonts w:cs="Calibri"/>
                <w:color w:val="auto"/>
                <w:sz w:val="22"/>
                <w:szCs w:val="22"/>
              </w:rPr>
            </w:pPr>
          </w:p>
        </w:tc>
        <w:tc>
          <w:tcPr>
            <w:tcW w:w="0" w:type="dxa"/>
            <w:shd w:val="clear" w:color="auto" w:fill="E9F5F2"/>
            <w:tcMar>
              <w:left w:w="105" w:type="dxa"/>
              <w:right w:w="105" w:type="dxa"/>
            </w:tcMar>
            <w:vAlign w:val="center"/>
          </w:tcPr>
          <w:p w14:paraId="471A7080" w14:textId="77777777" w:rsidR="00FC4B95" w:rsidRPr="00F5655E" w:rsidRDefault="00FC4B95" w:rsidP="00E06D4C">
            <w:pPr>
              <w:pStyle w:val="TableParagraph"/>
              <w:ind w:left="57" w:right="57"/>
              <w:cnfStyle w:val="000000000000" w:firstRow="0" w:lastRow="0" w:firstColumn="0" w:lastColumn="0" w:oddVBand="0" w:evenVBand="0" w:oddHBand="0" w:evenHBand="0" w:firstRowFirstColumn="0" w:firstRowLastColumn="0" w:lastRowFirstColumn="0" w:lastRowLastColumn="0"/>
            </w:pPr>
            <w:r w:rsidRPr="00F5655E">
              <w:t>Non-municipal waste</w:t>
            </w:r>
          </w:p>
        </w:tc>
        <w:tc>
          <w:tcPr>
            <w:tcW w:w="0" w:type="dxa"/>
            <w:shd w:val="clear" w:color="auto" w:fill="E9F5F2"/>
            <w:tcMar>
              <w:left w:w="105" w:type="dxa"/>
              <w:right w:w="105" w:type="dxa"/>
            </w:tcMar>
            <w:vAlign w:val="center"/>
          </w:tcPr>
          <w:p w14:paraId="5C5AC620" w14:textId="77777777" w:rsidR="00FC4B95" w:rsidRPr="00F5655E" w:rsidRDefault="00FC4B95" w:rsidP="00E06D4C">
            <w:pPr>
              <w:pStyle w:val="TableParagraph"/>
              <w:ind w:left="57" w:right="57"/>
              <w:cnfStyle w:val="000000000000" w:firstRow="0" w:lastRow="0" w:firstColumn="0" w:lastColumn="0" w:oddVBand="0" w:evenVBand="0" w:oddHBand="0" w:evenHBand="0" w:firstRowFirstColumn="0" w:firstRowLastColumn="0" w:lastRowFirstColumn="0" w:lastRowLastColumn="0"/>
            </w:pPr>
            <w:r w:rsidRPr="00F5655E">
              <w:t xml:space="preserve">8.9 </w:t>
            </w:r>
          </w:p>
        </w:tc>
        <w:tc>
          <w:tcPr>
            <w:tcW w:w="0" w:type="dxa"/>
            <w:shd w:val="clear" w:color="auto" w:fill="E9F5F2"/>
            <w:tcMar>
              <w:left w:w="105" w:type="dxa"/>
              <w:right w:w="105" w:type="dxa"/>
            </w:tcMar>
            <w:vAlign w:val="center"/>
          </w:tcPr>
          <w:p w14:paraId="216F9B7C" w14:textId="77777777" w:rsidR="00FC4B95" w:rsidRPr="00F5655E" w:rsidRDefault="00FC4B95" w:rsidP="00E06D4C">
            <w:pPr>
              <w:pStyle w:val="TableParagraph"/>
              <w:ind w:left="57" w:right="57"/>
              <w:cnfStyle w:val="000000000000" w:firstRow="0" w:lastRow="0" w:firstColumn="0" w:lastColumn="0" w:oddVBand="0" w:evenVBand="0" w:oddHBand="0" w:evenHBand="0" w:firstRowFirstColumn="0" w:firstRowLastColumn="0" w:lastRowFirstColumn="0" w:lastRowLastColumn="0"/>
            </w:pPr>
            <w:r w:rsidRPr="00F5655E">
              <w:t xml:space="preserve">9.4 </w:t>
            </w:r>
          </w:p>
        </w:tc>
      </w:tr>
      <w:tr w:rsidR="00CA48C9" w:rsidRPr="00FC4B95" w14:paraId="7A086F64" w14:textId="77777777" w:rsidTr="006D6296">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dxa"/>
            <w:vMerge/>
            <w:shd w:val="clear" w:color="auto" w:fill="C1DCD5"/>
            <w:tcMar>
              <w:left w:w="105" w:type="dxa"/>
              <w:right w:w="105" w:type="dxa"/>
            </w:tcMar>
            <w:vAlign w:val="center"/>
          </w:tcPr>
          <w:p w14:paraId="6685729B" w14:textId="77777777" w:rsidR="00FC4B95" w:rsidRPr="00FC4B95" w:rsidRDefault="00FC4B95" w:rsidP="00E06D4C">
            <w:pPr>
              <w:spacing w:beforeLines="60" w:before="144" w:after="60"/>
              <w:ind w:left="57" w:right="57"/>
              <w:rPr>
                <w:rFonts w:cs="Calibri"/>
                <w:color w:val="auto"/>
                <w:sz w:val="22"/>
                <w:szCs w:val="22"/>
              </w:rPr>
            </w:pPr>
          </w:p>
        </w:tc>
        <w:tc>
          <w:tcPr>
            <w:tcW w:w="0" w:type="dxa"/>
            <w:shd w:val="clear" w:color="auto" w:fill="E9F5F2"/>
            <w:tcMar>
              <w:left w:w="105" w:type="dxa"/>
              <w:right w:w="105" w:type="dxa"/>
            </w:tcMar>
            <w:vAlign w:val="center"/>
          </w:tcPr>
          <w:p w14:paraId="288A9A9F" w14:textId="77777777" w:rsidR="00FC4B95" w:rsidRPr="00F5655E" w:rsidRDefault="00FC4B95" w:rsidP="00E06D4C">
            <w:pPr>
              <w:pStyle w:val="TableParagraph"/>
              <w:ind w:left="57" w:right="57"/>
              <w:cnfStyle w:val="000000100000" w:firstRow="0" w:lastRow="0" w:firstColumn="0" w:lastColumn="0" w:oddVBand="0" w:evenVBand="0" w:oddHBand="1" w:evenHBand="0" w:firstRowFirstColumn="0" w:firstRowLastColumn="0" w:lastRowFirstColumn="0" w:lastRowLastColumn="0"/>
            </w:pPr>
            <w:r w:rsidRPr="00F5655E">
              <w:t>F-gases</w:t>
            </w:r>
          </w:p>
        </w:tc>
        <w:tc>
          <w:tcPr>
            <w:tcW w:w="0" w:type="dxa"/>
            <w:shd w:val="clear" w:color="auto" w:fill="E9F5F2"/>
            <w:tcMar>
              <w:left w:w="105" w:type="dxa"/>
              <w:right w:w="105" w:type="dxa"/>
            </w:tcMar>
            <w:vAlign w:val="center"/>
          </w:tcPr>
          <w:p w14:paraId="685A9855" w14:textId="77777777" w:rsidR="00FC4B95" w:rsidRPr="00F5655E" w:rsidRDefault="00FC4B95" w:rsidP="00E06D4C">
            <w:pPr>
              <w:pStyle w:val="TableParagraph"/>
              <w:ind w:left="57" w:right="57"/>
              <w:cnfStyle w:val="000000100000" w:firstRow="0" w:lastRow="0" w:firstColumn="0" w:lastColumn="0" w:oddVBand="0" w:evenVBand="0" w:oddHBand="1" w:evenHBand="0" w:firstRowFirstColumn="0" w:firstRowLastColumn="0" w:lastRowFirstColumn="0" w:lastRowLastColumn="0"/>
            </w:pPr>
            <w:r w:rsidRPr="00F5655E">
              <w:t xml:space="preserve">3.5 </w:t>
            </w:r>
          </w:p>
        </w:tc>
        <w:tc>
          <w:tcPr>
            <w:tcW w:w="0" w:type="dxa"/>
            <w:shd w:val="clear" w:color="auto" w:fill="E9F5F2"/>
            <w:tcMar>
              <w:left w:w="105" w:type="dxa"/>
              <w:right w:w="105" w:type="dxa"/>
            </w:tcMar>
            <w:vAlign w:val="center"/>
          </w:tcPr>
          <w:p w14:paraId="7692D529" w14:textId="77777777" w:rsidR="00FC4B95" w:rsidRPr="00F5655E" w:rsidRDefault="00FC4B95" w:rsidP="00E06D4C">
            <w:pPr>
              <w:pStyle w:val="TableParagraph"/>
              <w:ind w:left="57" w:right="57"/>
              <w:cnfStyle w:val="000000100000" w:firstRow="0" w:lastRow="0" w:firstColumn="0" w:lastColumn="0" w:oddVBand="0" w:evenVBand="0" w:oddHBand="1" w:evenHBand="0" w:firstRowFirstColumn="0" w:firstRowLastColumn="0" w:lastRowFirstColumn="0" w:lastRowLastColumn="0"/>
            </w:pPr>
            <w:r w:rsidRPr="00F5655E">
              <w:t xml:space="preserve">3.1 </w:t>
            </w:r>
          </w:p>
        </w:tc>
      </w:tr>
      <w:tr w:rsidR="00CA48C9" w:rsidRPr="00FC4B95" w14:paraId="6A015571" w14:textId="77777777" w:rsidTr="006D6296">
        <w:trPr>
          <w:trHeight w:val="285"/>
        </w:trPr>
        <w:tc>
          <w:tcPr>
            <w:cnfStyle w:val="001000000000" w:firstRow="0" w:lastRow="0" w:firstColumn="1" w:lastColumn="0" w:oddVBand="0" w:evenVBand="0" w:oddHBand="0" w:evenHBand="0" w:firstRowFirstColumn="0" w:firstRowLastColumn="0" w:lastRowFirstColumn="0" w:lastRowLastColumn="0"/>
            <w:tcW w:w="0" w:type="dxa"/>
            <w:vMerge/>
            <w:shd w:val="clear" w:color="auto" w:fill="C1DCD5"/>
            <w:tcMar>
              <w:left w:w="105" w:type="dxa"/>
              <w:right w:w="105" w:type="dxa"/>
            </w:tcMar>
            <w:vAlign w:val="center"/>
          </w:tcPr>
          <w:p w14:paraId="30A645F1" w14:textId="77777777" w:rsidR="00FC4B95" w:rsidRPr="00FC4B95" w:rsidRDefault="00FC4B95" w:rsidP="00E06D4C">
            <w:pPr>
              <w:spacing w:beforeLines="60" w:before="144" w:after="60"/>
              <w:ind w:left="57" w:right="57"/>
              <w:rPr>
                <w:rFonts w:cs="Calibri"/>
                <w:color w:val="auto"/>
                <w:sz w:val="22"/>
                <w:szCs w:val="22"/>
              </w:rPr>
            </w:pPr>
          </w:p>
        </w:tc>
        <w:tc>
          <w:tcPr>
            <w:tcW w:w="0" w:type="dxa"/>
            <w:shd w:val="clear" w:color="auto" w:fill="E9F5F2"/>
            <w:tcMar>
              <w:left w:w="105" w:type="dxa"/>
              <w:right w:w="105" w:type="dxa"/>
            </w:tcMar>
            <w:vAlign w:val="center"/>
          </w:tcPr>
          <w:p w14:paraId="75D5F6B4" w14:textId="77777777" w:rsidR="00FC4B95" w:rsidRPr="00F5655E" w:rsidRDefault="00FC4B95" w:rsidP="00E06D4C">
            <w:pPr>
              <w:pStyle w:val="TableParagraph"/>
              <w:ind w:left="57" w:right="57"/>
              <w:cnfStyle w:val="000000000000" w:firstRow="0" w:lastRow="0" w:firstColumn="0" w:lastColumn="0" w:oddVBand="0" w:evenVBand="0" w:oddHBand="0" w:evenHBand="0" w:firstRowFirstColumn="0" w:firstRowLastColumn="0" w:lastRowFirstColumn="0" w:lastRowLastColumn="0"/>
            </w:pPr>
            <w:r w:rsidRPr="00F5655E">
              <w:t>IPPU</w:t>
            </w:r>
          </w:p>
        </w:tc>
        <w:tc>
          <w:tcPr>
            <w:tcW w:w="0" w:type="dxa"/>
            <w:shd w:val="clear" w:color="auto" w:fill="E9F5F2"/>
            <w:tcMar>
              <w:left w:w="105" w:type="dxa"/>
              <w:right w:w="105" w:type="dxa"/>
            </w:tcMar>
            <w:vAlign w:val="center"/>
          </w:tcPr>
          <w:p w14:paraId="2C665486" w14:textId="77777777" w:rsidR="00FC4B95" w:rsidRPr="00F5655E" w:rsidRDefault="00FC4B95" w:rsidP="00E06D4C">
            <w:pPr>
              <w:pStyle w:val="TableParagraph"/>
              <w:ind w:left="57" w:right="57"/>
              <w:cnfStyle w:val="000000000000" w:firstRow="0" w:lastRow="0" w:firstColumn="0" w:lastColumn="0" w:oddVBand="0" w:evenVBand="0" w:oddHBand="0" w:evenHBand="0" w:firstRowFirstColumn="0" w:firstRowLastColumn="0" w:lastRowFirstColumn="0" w:lastRowLastColumn="0"/>
            </w:pPr>
            <w:r w:rsidRPr="00F5655E">
              <w:t xml:space="preserve">0.7 </w:t>
            </w:r>
          </w:p>
        </w:tc>
        <w:tc>
          <w:tcPr>
            <w:tcW w:w="0" w:type="dxa"/>
            <w:shd w:val="clear" w:color="auto" w:fill="E9F5F2"/>
            <w:tcMar>
              <w:left w:w="105" w:type="dxa"/>
              <w:right w:w="105" w:type="dxa"/>
            </w:tcMar>
            <w:vAlign w:val="center"/>
          </w:tcPr>
          <w:p w14:paraId="6CC55957" w14:textId="77777777" w:rsidR="00FC4B95" w:rsidRPr="00F5655E" w:rsidRDefault="00FC4B95" w:rsidP="00E06D4C">
            <w:pPr>
              <w:pStyle w:val="TableParagraph"/>
              <w:ind w:left="57" w:right="57"/>
              <w:cnfStyle w:val="000000000000" w:firstRow="0" w:lastRow="0" w:firstColumn="0" w:lastColumn="0" w:oddVBand="0" w:evenVBand="0" w:oddHBand="0" w:evenHBand="0" w:firstRowFirstColumn="0" w:firstRowLastColumn="0" w:lastRowFirstColumn="0" w:lastRowLastColumn="0"/>
            </w:pPr>
            <w:r w:rsidRPr="00F5655E">
              <w:t xml:space="preserve">0.6 </w:t>
            </w:r>
          </w:p>
        </w:tc>
      </w:tr>
      <w:tr w:rsidR="00CA48C9" w:rsidRPr="00FC4B95" w14:paraId="3545D914" w14:textId="77777777" w:rsidTr="006D6296">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dxa"/>
            <w:vMerge/>
            <w:shd w:val="clear" w:color="auto" w:fill="C1DCD5"/>
            <w:tcMar>
              <w:left w:w="105" w:type="dxa"/>
              <w:right w:w="105" w:type="dxa"/>
            </w:tcMar>
            <w:vAlign w:val="center"/>
          </w:tcPr>
          <w:p w14:paraId="5037AD30" w14:textId="77777777" w:rsidR="00FC4B95" w:rsidRPr="00FC4B95" w:rsidRDefault="00FC4B95" w:rsidP="00E06D4C">
            <w:pPr>
              <w:spacing w:beforeLines="60" w:before="144" w:after="60"/>
              <w:ind w:left="57" w:right="57"/>
              <w:rPr>
                <w:rFonts w:cs="Calibri"/>
                <w:color w:val="auto"/>
                <w:sz w:val="22"/>
                <w:szCs w:val="22"/>
              </w:rPr>
            </w:pPr>
          </w:p>
        </w:tc>
        <w:tc>
          <w:tcPr>
            <w:tcW w:w="0" w:type="dxa"/>
            <w:shd w:val="clear" w:color="auto" w:fill="E9F5F2"/>
            <w:tcMar>
              <w:left w:w="105" w:type="dxa"/>
              <w:right w:w="105" w:type="dxa"/>
            </w:tcMar>
            <w:vAlign w:val="center"/>
          </w:tcPr>
          <w:p w14:paraId="02FBDBD0" w14:textId="77777777" w:rsidR="00FC4B95" w:rsidRPr="00F5655E" w:rsidRDefault="00FC4B95" w:rsidP="00E06D4C">
            <w:pPr>
              <w:pStyle w:val="TableParagraph"/>
              <w:ind w:left="57" w:right="57"/>
              <w:cnfStyle w:val="000000100000" w:firstRow="0" w:lastRow="0" w:firstColumn="0" w:lastColumn="0" w:oddVBand="0" w:evenVBand="0" w:oddHBand="1" w:evenHBand="0" w:firstRowFirstColumn="0" w:firstRowLastColumn="0" w:lastRowFirstColumn="0" w:lastRowLastColumn="0"/>
            </w:pPr>
            <w:r w:rsidRPr="00F5655E">
              <w:t>Biomass combustion</w:t>
            </w:r>
          </w:p>
        </w:tc>
        <w:tc>
          <w:tcPr>
            <w:tcW w:w="0" w:type="dxa"/>
            <w:shd w:val="clear" w:color="auto" w:fill="E9F5F2"/>
            <w:tcMar>
              <w:left w:w="105" w:type="dxa"/>
              <w:right w:w="105" w:type="dxa"/>
            </w:tcMar>
            <w:vAlign w:val="center"/>
          </w:tcPr>
          <w:p w14:paraId="132C7815" w14:textId="77777777" w:rsidR="00FC4B95" w:rsidRPr="00F5655E" w:rsidRDefault="00FC4B95" w:rsidP="00E06D4C">
            <w:pPr>
              <w:pStyle w:val="TableParagraph"/>
              <w:ind w:left="57" w:right="57"/>
              <w:cnfStyle w:val="000000100000" w:firstRow="0" w:lastRow="0" w:firstColumn="0" w:lastColumn="0" w:oddVBand="0" w:evenVBand="0" w:oddHBand="1" w:evenHBand="0" w:firstRowFirstColumn="0" w:firstRowLastColumn="0" w:lastRowFirstColumn="0" w:lastRowLastColumn="0"/>
            </w:pPr>
            <w:r w:rsidRPr="00F5655E">
              <w:t xml:space="preserve">0.3 </w:t>
            </w:r>
          </w:p>
        </w:tc>
        <w:tc>
          <w:tcPr>
            <w:tcW w:w="0" w:type="dxa"/>
            <w:shd w:val="clear" w:color="auto" w:fill="E9F5F2"/>
            <w:tcMar>
              <w:left w:w="105" w:type="dxa"/>
              <w:right w:w="105" w:type="dxa"/>
            </w:tcMar>
            <w:vAlign w:val="center"/>
          </w:tcPr>
          <w:p w14:paraId="2C0775FB" w14:textId="77777777" w:rsidR="00FC4B95" w:rsidRPr="00F5655E" w:rsidRDefault="00FC4B95" w:rsidP="00E06D4C">
            <w:pPr>
              <w:pStyle w:val="TableParagraph"/>
              <w:ind w:left="57" w:right="57"/>
              <w:cnfStyle w:val="000000100000" w:firstRow="0" w:lastRow="0" w:firstColumn="0" w:lastColumn="0" w:oddVBand="0" w:evenVBand="0" w:oddHBand="1" w:evenHBand="0" w:firstRowFirstColumn="0" w:firstRowLastColumn="0" w:lastRowFirstColumn="0" w:lastRowLastColumn="0"/>
            </w:pPr>
            <w:r w:rsidRPr="00F5655E">
              <w:t xml:space="preserve">0.3 </w:t>
            </w:r>
          </w:p>
        </w:tc>
      </w:tr>
      <w:tr w:rsidR="00CA48C9" w:rsidRPr="00FC4B95" w14:paraId="5E610A59" w14:textId="77777777" w:rsidTr="006D6296">
        <w:trPr>
          <w:trHeight w:val="285"/>
        </w:trPr>
        <w:tc>
          <w:tcPr>
            <w:cnfStyle w:val="001000000000" w:firstRow="0" w:lastRow="0" w:firstColumn="1" w:lastColumn="0" w:oddVBand="0" w:evenVBand="0" w:oddHBand="0" w:evenHBand="0" w:firstRowFirstColumn="0" w:firstRowLastColumn="0" w:lastRowFirstColumn="0" w:lastRowLastColumn="0"/>
            <w:tcW w:w="0" w:type="dxa"/>
            <w:vMerge/>
            <w:shd w:val="clear" w:color="auto" w:fill="C1DCD5"/>
            <w:tcMar>
              <w:left w:w="105" w:type="dxa"/>
              <w:right w:w="105" w:type="dxa"/>
            </w:tcMar>
            <w:vAlign w:val="center"/>
          </w:tcPr>
          <w:p w14:paraId="53A5A543" w14:textId="77777777" w:rsidR="00FC4B95" w:rsidRPr="008A35CD" w:rsidRDefault="00FC4B95" w:rsidP="00E06D4C">
            <w:pPr>
              <w:pStyle w:val="TableParagraph"/>
              <w:spacing w:beforeLines="60" w:before="144" w:after="60"/>
              <w:ind w:left="57" w:right="57"/>
              <w:rPr>
                <w:color w:val="auto"/>
              </w:rPr>
            </w:pPr>
          </w:p>
        </w:tc>
        <w:tc>
          <w:tcPr>
            <w:tcW w:w="0" w:type="dxa"/>
            <w:shd w:val="clear" w:color="auto" w:fill="E9F5F2"/>
            <w:tcMar>
              <w:left w:w="105" w:type="dxa"/>
              <w:right w:w="105" w:type="dxa"/>
            </w:tcMar>
            <w:vAlign w:val="center"/>
          </w:tcPr>
          <w:p w14:paraId="14C1E2BE" w14:textId="77777777" w:rsidR="00FC4B95" w:rsidRPr="00F5655E" w:rsidRDefault="00FC4B95" w:rsidP="00E06D4C">
            <w:pPr>
              <w:pStyle w:val="TableParagraph"/>
              <w:ind w:left="57" w:right="57"/>
              <w:cnfStyle w:val="000000000000" w:firstRow="0" w:lastRow="0" w:firstColumn="0" w:lastColumn="0" w:oddVBand="0" w:evenVBand="0" w:oddHBand="0" w:evenHBand="0" w:firstRowFirstColumn="0" w:firstRowLastColumn="0" w:lastRowFirstColumn="0" w:lastRowLastColumn="0"/>
            </w:pPr>
            <w:r w:rsidRPr="00F5655E">
              <w:t>Forestry removals</w:t>
            </w:r>
          </w:p>
        </w:tc>
        <w:tc>
          <w:tcPr>
            <w:tcW w:w="0" w:type="dxa"/>
            <w:shd w:val="clear" w:color="auto" w:fill="E9F5F2"/>
            <w:tcMar>
              <w:left w:w="105" w:type="dxa"/>
              <w:right w:w="105" w:type="dxa"/>
            </w:tcMar>
            <w:vAlign w:val="center"/>
          </w:tcPr>
          <w:p w14:paraId="6D245FF9" w14:textId="77777777" w:rsidR="00FC4B95" w:rsidRPr="00F5655E" w:rsidRDefault="00FC4B95" w:rsidP="00E06D4C">
            <w:pPr>
              <w:pStyle w:val="TableParagraph"/>
              <w:ind w:left="57" w:right="57"/>
              <w:cnfStyle w:val="000000000000" w:firstRow="0" w:lastRow="0" w:firstColumn="0" w:lastColumn="0" w:oddVBand="0" w:evenVBand="0" w:oddHBand="0" w:evenHBand="0" w:firstRowFirstColumn="0" w:firstRowLastColumn="0" w:lastRowFirstColumn="0" w:lastRowLastColumn="0"/>
            </w:pPr>
            <w:r w:rsidRPr="00F5655E">
              <w:t xml:space="preserve">-0.2 </w:t>
            </w:r>
          </w:p>
        </w:tc>
        <w:tc>
          <w:tcPr>
            <w:tcW w:w="0" w:type="dxa"/>
            <w:shd w:val="clear" w:color="auto" w:fill="E9F5F2"/>
            <w:tcMar>
              <w:left w:w="105" w:type="dxa"/>
              <w:right w:w="105" w:type="dxa"/>
            </w:tcMar>
            <w:vAlign w:val="center"/>
          </w:tcPr>
          <w:p w14:paraId="2782C234" w14:textId="77777777" w:rsidR="00FC4B95" w:rsidRPr="00F5655E" w:rsidRDefault="00FC4B95" w:rsidP="00E06D4C">
            <w:pPr>
              <w:pStyle w:val="TableParagraph"/>
              <w:ind w:left="57" w:right="57"/>
              <w:cnfStyle w:val="000000000000" w:firstRow="0" w:lastRow="0" w:firstColumn="0" w:lastColumn="0" w:oddVBand="0" w:evenVBand="0" w:oddHBand="0" w:evenHBand="0" w:firstRowFirstColumn="0" w:firstRowLastColumn="0" w:lastRowFirstColumn="0" w:lastRowLastColumn="0"/>
            </w:pPr>
            <w:r w:rsidRPr="00F5655E">
              <w:t xml:space="preserve">-1.8 </w:t>
            </w:r>
          </w:p>
        </w:tc>
      </w:tr>
      <w:tr w:rsidR="00CA48C9" w:rsidRPr="00FC4B95" w14:paraId="0149A594" w14:textId="77777777" w:rsidTr="006D6296">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dxa"/>
            <w:vMerge/>
            <w:shd w:val="clear" w:color="auto" w:fill="C1DCD5"/>
            <w:tcMar>
              <w:left w:w="105" w:type="dxa"/>
              <w:right w:w="105" w:type="dxa"/>
            </w:tcMar>
            <w:vAlign w:val="center"/>
          </w:tcPr>
          <w:p w14:paraId="4BD6E0C8" w14:textId="77777777" w:rsidR="00FC4B95" w:rsidRPr="008A35CD" w:rsidRDefault="00FC4B95" w:rsidP="00E06D4C">
            <w:pPr>
              <w:pStyle w:val="TableParagraph"/>
              <w:spacing w:beforeLines="60" w:before="144" w:after="60"/>
              <w:ind w:left="57" w:right="57"/>
              <w:rPr>
                <w:color w:val="auto"/>
              </w:rPr>
            </w:pPr>
          </w:p>
        </w:tc>
        <w:tc>
          <w:tcPr>
            <w:tcW w:w="0" w:type="dxa"/>
            <w:shd w:val="clear" w:color="auto" w:fill="E9F5F2"/>
            <w:tcMar>
              <w:left w:w="105" w:type="dxa"/>
              <w:right w:w="105" w:type="dxa"/>
            </w:tcMar>
            <w:vAlign w:val="center"/>
          </w:tcPr>
          <w:p w14:paraId="0D7A3A71" w14:textId="77777777" w:rsidR="00FC4B95" w:rsidRPr="00F5655E" w:rsidRDefault="00FC4B95" w:rsidP="00E06D4C">
            <w:pPr>
              <w:pStyle w:val="TableParagraph"/>
              <w:ind w:left="57" w:right="57"/>
              <w:cnfStyle w:val="000000100000" w:firstRow="0" w:lastRow="0" w:firstColumn="0" w:lastColumn="0" w:oddVBand="0" w:evenVBand="0" w:oddHBand="1" w:evenHBand="0" w:firstRowFirstColumn="0" w:firstRowLastColumn="0" w:lastRowFirstColumn="0" w:lastRowLastColumn="0"/>
            </w:pPr>
            <w:r w:rsidRPr="00F5655E">
              <w:t>Forestry emissions</w:t>
            </w:r>
          </w:p>
        </w:tc>
        <w:tc>
          <w:tcPr>
            <w:tcW w:w="0" w:type="dxa"/>
            <w:shd w:val="clear" w:color="auto" w:fill="E9F5F2"/>
            <w:tcMar>
              <w:left w:w="105" w:type="dxa"/>
              <w:right w:w="105" w:type="dxa"/>
            </w:tcMar>
            <w:vAlign w:val="center"/>
          </w:tcPr>
          <w:p w14:paraId="2520B61A" w14:textId="77777777" w:rsidR="00FC4B95" w:rsidRPr="00F5655E" w:rsidRDefault="00FC4B95" w:rsidP="00E06D4C">
            <w:pPr>
              <w:pStyle w:val="TableParagraph"/>
              <w:ind w:left="57" w:right="57"/>
              <w:cnfStyle w:val="000000100000" w:firstRow="0" w:lastRow="0" w:firstColumn="0" w:lastColumn="0" w:oddVBand="0" w:evenVBand="0" w:oddHBand="1" w:evenHBand="0" w:firstRowFirstColumn="0" w:firstRowLastColumn="0" w:lastRowFirstColumn="0" w:lastRowLastColumn="0"/>
            </w:pPr>
            <w:r w:rsidRPr="00F5655E">
              <w:t xml:space="preserve">5.4 </w:t>
            </w:r>
          </w:p>
        </w:tc>
        <w:tc>
          <w:tcPr>
            <w:tcW w:w="0" w:type="dxa"/>
            <w:shd w:val="clear" w:color="auto" w:fill="E9F5F2"/>
            <w:tcMar>
              <w:left w:w="105" w:type="dxa"/>
              <w:right w:w="105" w:type="dxa"/>
            </w:tcMar>
            <w:vAlign w:val="center"/>
          </w:tcPr>
          <w:p w14:paraId="72F6CDFF" w14:textId="77777777" w:rsidR="00FC4B95" w:rsidRPr="00F5655E" w:rsidRDefault="00FC4B95" w:rsidP="00E06D4C">
            <w:pPr>
              <w:pStyle w:val="TableParagraph"/>
              <w:ind w:left="57" w:right="57"/>
              <w:cnfStyle w:val="000000100000" w:firstRow="0" w:lastRow="0" w:firstColumn="0" w:lastColumn="0" w:oddVBand="0" w:evenVBand="0" w:oddHBand="1" w:evenHBand="0" w:firstRowFirstColumn="0" w:firstRowLastColumn="0" w:lastRowFirstColumn="0" w:lastRowLastColumn="0"/>
            </w:pPr>
            <w:r w:rsidRPr="00F5655E">
              <w:t xml:space="preserve">5.5 </w:t>
            </w:r>
          </w:p>
        </w:tc>
      </w:tr>
      <w:tr w:rsidR="00FC4B95" w:rsidRPr="00FC4B95" w14:paraId="31258986" w14:textId="77777777" w:rsidTr="00E06D4C">
        <w:trPr>
          <w:trHeight w:val="285"/>
        </w:trPr>
        <w:tc>
          <w:tcPr>
            <w:cnfStyle w:val="001000000000" w:firstRow="0" w:lastRow="0" w:firstColumn="1" w:lastColumn="0" w:oddVBand="0" w:evenVBand="0" w:oddHBand="0" w:evenHBand="0" w:firstRowFirstColumn="0" w:firstRowLastColumn="0" w:lastRowFirstColumn="0" w:lastRowLastColumn="0"/>
            <w:tcW w:w="0" w:type="dxa"/>
            <w:shd w:val="clear" w:color="auto" w:fill="C1DCD5"/>
            <w:tcMar>
              <w:left w:w="105" w:type="dxa"/>
              <w:right w:w="105" w:type="dxa"/>
            </w:tcMar>
            <w:vAlign w:val="center"/>
          </w:tcPr>
          <w:p w14:paraId="0161CEA6" w14:textId="5CC9932F" w:rsidR="00FC4B95" w:rsidRPr="008A35CD" w:rsidRDefault="0041130D" w:rsidP="00E06D4C">
            <w:pPr>
              <w:pStyle w:val="TableParagraph"/>
              <w:spacing w:beforeLines="60" w:before="144" w:after="60"/>
              <w:ind w:left="57" w:right="57"/>
              <w:rPr>
                <w:color w:val="auto"/>
              </w:rPr>
            </w:pPr>
            <w:proofErr w:type="gramStart"/>
            <w:r w:rsidRPr="008A35CD">
              <w:rPr>
                <w:color w:val="auto"/>
              </w:rPr>
              <w:t>Sum</w:t>
            </w:r>
            <w:proofErr w:type="gramEnd"/>
            <w:r w:rsidRPr="008A35CD">
              <w:rPr>
                <w:color w:val="auto"/>
              </w:rPr>
              <w:t xml:space="preserve"> of n</w:t>
            </w:r>
            <w:r w:rsidR="00FC4B95" w:rsidRPr="008A35CD">
              <w:rPr>
                <w:color w:val="auto"/>
              </w:rPr>
              <w:t>et</w:t>
            </w:r>
            <w:r w:rsidR="00874D61" w:rsidRPr="008A35CD">
              <w:rPr>
                <w:color w:val="auto"/>
              </w:rPr>
              <w:t xml:space="preserve"> project</w:t>
            </w:r>
            <w:r w:rsidR="003E3C8E" w:rsidRPr="008A35CD">
              <w:rPr>
                <w:color w:val="auto"/>
              </w:rPr>
              <w:t>ed</w:t>
            </w:r>
            <w:r w:rsidR="00FC4B95" w:rsidRPr="008A35CD">
              <w:rPr>
                <w:color w:val="auto"/>
              </w:rPr>
              <w:t xml:space="preserve"> emissions outside of the NZ ETS</w:t>
            </w:r>
          </w:p>
        </w:tc>
        <w:tc>
          <w:tcPr>
            <w:tcW w:w="0" w:type="dxa"/>
            <w:shd w:val="clear" w:color="auto" w:fill="D4E8DE"/>
            <w:tcMar>
              <w:left w:w="105" w:type="dxa"/>
              <w:right w:w="105" w:type="dxa"/>
            </w:tcMar>
            <w:vAlign w:val="center"/>
          </w:tcPr>
          <w:p w14:paraId="20416C68" w14:textId="77777777" w:rsidR="00FC4B95" w:rsidRPr="00F5655E" w:rsidRDefault="00FC4B95" w:rsidP="00E06D4C">
            <w:pPr>
              <w:pStyle w:val="TableParagraph"/>
              <w:ind w:left="57" w:right="57"/>
              <w:cnfStyle w:val="000000000000" w:firstRow="0" w:lastRow="0" w:firstColumn="0" w:lastColumn="0" w:oddVBand="0" w:evenVBand="0" w:oddHBand="0" w:evenHBand="0" w:firstRowFirstColumn="0" w:firstRowLastColumn="0" w:lastRowFirstColumn="0" w:lastRowLastColumn="0"/>
            </w:pPr>
            <w:r w:rsidRPr="00F5655E">
              <w:t> </w:t>
            </w:r>
          </w:p>
        </w:tc>
        <w:tc>
          <w:tcPr>
            <w:tcW w:w="0" w:type="dxa"/>
            <w:shd w:val="clear" w:color="auto" w:fill="D4E8DE"/>
            <w:tcMar>
              <w:left w:w="105" w:type="dxa"/>
              <w:right w:w="105" w:type="dxa"/>
            </w:tcMar>
            <w:vAlign w:val="center"/>
          </w:tcPr>
          <w:p w14:paraId="08E8964E" w14:textId="77777777" w:rsidR="00FC4B95" w:rsidRPr="00F5655E" w:rsidRDefault="00FC4B95" w:rsidP="00E06D4C">
            <w:pPr>
              <w:pStyle w:val="TableParagraph"/>
              <w:ind w:left="57" w:right="57"/>
              <w:cnfStyle w:val="000000000000" w:firstRow="0" w:lastRow="0" w:firstColumn="0" w:lastColumn="0" w:oddVBand="0" w:evenVBand="0" w:oddHBand="0" w:evenHBand="0" w:firstRowFirstColumn="0" w:firstRowLastColumn="0" w:lastRowFirstColumn="0" w:lastRowLastColumn="0"/>
            </w:pPr>
            <w:r w:rsidRPr="00F5655E">
              <w:t xml:space="preserve">219.5 </w:t>
            </w:r>
          </w:p>
        </w:tc>
        <w:tc>
          <w:tcPr>
            <w:tcW w:w="0" w:type="dxa"/>
            <w:shd w:val="clear" w:color="auto" w:fill="D4E8DE"/>
            <w:tcMar>
              <w:left w:w="105" w:type="dxa"/>
              <w:right w:w="105" w:type="dxa"/>
            </w:tcMar>
            <w:vAlign w:val="center"/>
          </w:tcPr>
          <w:p w14:paraId="5DDAE239" w14:textId="77777777" w:rsidR="00FC4B95" w:rsidRPr="00F5655E" w:rsidRDefault="00FC4B95" w:rsidP="00E06D4C">
            <w:pPr>
              <w:pStyle w:val="TableParagraph"/>
              <w:ind w:left="57" w:right="57"/>
              <w:cnfStyle w:val="000000000000" w:firstRow="0" w:lastRow="0" w:firstColumn="0" w:lastColumn="0" w:oddVBand="0" w:evenVBand="0" w:oddHBand="0" w:evenHBand="0" w:firstRowFirstColumn="0" w:firstRowLastColumn="0" w:lastRowFirstColumn="0" w:lastRowLastColumn="0"/>
            </w:pPr>
            <w:r w:rsidRPr="00F5655E">
              <w:t xml:space="preserve">211.1 </w:t>
            </w:r>
          </w:p>
        </w:tc>
      </w:tr>
      <w:tr w:rsidR="00FC4B95" w:rsidRPr="00FC4B95" w14:paraId="605DCAB9" w14:textId="77777777" w:rsidTr="00E06D4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dxa"/>
            <w:shd w:val="clear" w:color="auto" w:fill="C1DCD5"/>
            <w:tcMar>
              <w:left w:w="105" w:type="dxa"/>
              <w:right w:w="105" w:type="dxa"/>
            </w:tcMar>
            <w:vAlign w:val="center"/>
          </w:tcPr>
          <w:p w14:paraId="0819AF8D" w14:textId="77777777" w:rsidR="00FC4B95" w:rsidRPr="008A35CD" w:rsidRDefault="00FC4B95" w:rsidP="00E06D4C">
            <w:pPr>
              <w:pStyle w:val="TableParagraph"/>
              <w:spacing w:beforeLines="60" w:before="144" w:after="60"/>
              <w:ind w:left="57" w:right="57"/>
              <w:rPr>
                <w:color w:val="auto"/>
              </w:rPr>
            </w:pPr>
          </w:p>
        </w:tc>
        <w:tc>
          <w:tcPr>
            <w:tcW w:w="0" w:type="dxa"/>
            <w:shd w:val="clear" w:color="auto" w:fill="E9F5F2"/>
            <w:tcMar>
              <w:left w:w="105" w:type="dxa"/>
              <w:right w:w="105" w:type="dxa"/>
            </w:tcMar>
            <w:vAlign w:val="center"/>
          </w:tcPr>
          <w:p w14:paraId="5C706DD7" w14:textId="77777777" w:rsidR="00FC4B95" w:rsidRPr="00FC4B95" w:rsidRDefault="00FC4B95" w:rsidP="00E06D4C">
            <w:pPr>
              <w:pStyle w:val="TableParagraph"/>
              <w:ind w:left="57" w:right="57"/>
              <w:cnfStyle w:val="000000100000" w:firstRow="0" w:lastRow="0" w:firstColumn="0" w:lastColumn="0" w:oddVBand="0" w:evenVBand="0" w:oddHBand="1" w:evenHBand="0" w:firstRowFirstColumn="0" w:firstRowLastColumn="0" w:lastRowFirstColumn="0" w:lastRowLastColumn="0"/>
            </w:pPr>
            <w:r w:rsidRPr="00FC4B95">
              <w:t>Gross emissions in the NZ ETS</w:t>
            </w:r>
          </w:p>
        </w:tc>
        <w:tc>
          <w:tcPr>
            <w:tcW w:w="0" w:type="dxa"/>
            <w:shd w:val="clear" w:color="auto" w:fill="E9F5F2"/>
            <w:tcMar>
              <w:left w:w="105" w:type="dxa"/>
              <w:right w:w="105" w:type="dxa"/>
            </w:tcMar>
            <w:vAlign w:val="center"/>
          </w:tcPr>
          <w:p w14:paraId="6032C518" w14:textId="77777777" w:rsidR="00FC4B95" w:rsidRPr="00FC4B95" w:rsidRDefault="00FC4B95" w:rsidP="00E06D4C">
            <w:pPr>
              <w:pStyle w:val="TableParagraph"/>
              <w:ind w:left="57" w:right="57"/>
              <w:cnfStyle w:val="000000100000" w:firstRow="0" w:lastRow="0" w:firstColumn="0" w:lastColumn="0" w:oddVBand="0" w:evenVBand="0" w:oddHBand="1" w:evenHBand="0" w:firstRowFirstColumn="0" w:firstRowLastColumn="0" w:lastRowFirstColumn="0" w:lastRowLastColumn="0"/>
            </w:pPr>
            <w:r w:rsidRPr="00FC4B95">
              <w:t xml:space="preserve">151.9 </w:t>
            </w:r>
          </w:p>
        </w:tc>
        <w:tc>
          <w:tcPr>
            <w:tcW w:w="0" w:type="dxa"/>
            <w:shd w:val="clear" w:color="auto" w:fill="E9F5F2"/>
            <w:tcMar>
              <w:left w:w="105" w:type="dxa"/>
              <w:right w:w="105" w:type="dxa"/>
            </w:tcMar>
            <w:vAlign w:val="center"/>
          </w:tcPr>
          <w:p w14:paraId="16C00A74" w14:textId="77777777" w:rsidR="00FC4B95" w:rsidRPr="00FC4B95" w:rsidRDefault="00FC4B95" w:rsidP="00E06D4C">
            <w:pPr>
              <w:pStyle w:val="TableParagraph"/>
              <w:ind w:left="57" w:right="57"/>
              <w:cnfStyle w:val="000000100000" w:firstRow="0" w:lastRow="0" w:firstColumn="0" w:lastColumn="0" w:oddVBand="0" w:evenVBand="0" w:oddHBand="1" w:evenHBand="0" w:firstRowFirstColumn="0" w:firstRowLastColumn="0" w:lastRowFirstColumn="0" w:lastRowLastColumn="0"/>
            </w:pPr>
            <w:r w:rsidRPr="00FC4B95">
              <w:t xml:space="preserve">135.5 </w:t>
            </w:r>
          </w:p>
        </w:tc>
      </w:tr>
      <w:tr w:rsidR="00FC4B95" w:rsidRPr="00FC4B95" w14:paraId="70379F91" w14:textId="77777777" w:rsidTr="00E06D4C">
        <w:trPr>
          <w:trHeight w:val="285"/>
        </w:trPr>
        <w:tc>
          <w:tcPr>
            <w:cnfStyle w:val="001000000000" w:firstRow="0" w:lastRow="0" w:firstColumn="1" w:lastColumn="0" w:oddVBand="0" w:evenVBand="0" w:oddHBand="0" w:evenHBand="0" w:firstRowFirstColumn="0" w:firstRowLastColumn="0" w:lastRowFirstColumn="0" w:lastRowLastColumn="0"/>
            <w:tcW w:w="0" w:type="dxa"/>
            <w:shd w:val="clear" w:color="auto" w:fill="C1DCD5"/>
            <w:tcMar>
              <w:left w:w="105" w:type="dxa"/>
              <w:right w:w="105" w:type="dxa"/>
            </w:tcMar>
            <w:vAlign w:val="center"/>
          </w:tcPr>
          <w:p w14:paraId="0936F919" w14:textId="77777777" w:rsidR="00FC4B95" w:rsidRPr="008A35CD" w:rsidRDefault="00FC4B95" w:rsidP="00E06D4C">
            <w:pPr>
              <w:pStyle w:val="TableParagraph"/>
              <w:spacing w:beforeLines="60" w:before="144" w:after="60"/>
              <w:ind w:left="57" w:right="57"/>
              <w:rPr>
                <w:color w:val="auto"/>
              </w:rPr>
            </w:pPr>
          </w:p>
        </w:tc>
        <w:tc>
          <w:tcPr>
            <w:tcW w:w="0" w:type="dxa"/>
            <w:shd w:val="clear" w:color="auto" w:fill="E9F5F2"/>
            <w:tcMar>
              <w:left w:w="105" w:type="dxa"/>
              <w:right w:w="105" w:type="dxa"/>
            </w:tcMar>
            <w:vAlign w:val="center"/>
          </w:tcPr>
          <w:p w14:paraId="1CFED80D" w14:textId="17F787C6" w:rsidR="00FC4B95" w:rsidRPr="00FC4B95" w:rsidRDefault="00FC4B95" w:rsidP="00E06D4C">
            <w:pPr>
              <w:pStyle w:val="TableParagraph"/>
              <w:ind w:left="57" w:right="57"/>
              <w:cnfStyle w:val="000000000000" w:firstRow="0" w:lastRow="0" w:firstColumn="0" w:lastColumn="0" w:oddVBand="0" w:evenVBand="0" w:oddHBand="0" w:evenHBand="0" w:firstRowFirstColumn="0" w:firstRowLastColumn="0" w:lastRowFirstColumn="0" w:lastRowLastColumn="0"/>
            </w:pPr>
            <w:r w:rsidRPr="00FC4B95">
              <w:t>Forestry in the NZ ETS</w:t>
            </w:r>
          </w:p>
        </w:tc>
        <w:tc>
          <w:tcPr>
            <w:tcW w:w="0" w:type="dxa"/>
            <w:shd w:val="clear" w:color="auto" w:fill="E9F5F2"/>
            <w:tcMar>
              <w:left w:w="105" w:type="dxa"/>
              <w:right w:w="105" w:type="dxa"/>
            </w:tcMar>
            <w:vAlign w:val="center"/>
          </w:tcPr>
          <w:p w14:paraId="77B32563" w14:textId="77777777" w:rsidR="00FC4B95" w:rsidRPr="00FC4B95" w:rsidRDefault="00FC4B95" w:rsidP="00E06D4C">
            <w:pPr>
              <w:pStyle w:val="TableParagraph"/>
              <w:ind w:left="57" w:right="57"/>
              <w:cnfStyle w:val="000000000000" w:firstRow="0" w:lastRow="0" w:firstColumn="0" w:lastColumn="0" w:oddVBand="0" w:evenVBand="0" w:oddHBand="0" w:evenHBand="0" w:firstRowFirstColumn="0" w:firstRowLastColumn="0" w:lastRowFirstColumn="0" w:lastRowLastColumn="0"/>
            </w:pPr>
            <w:r w:rsidRPr="00FC4B95">
              <w:t xml:space="preserve">-70.0 </w:t>
            </w:r>
          </w:p>
        </w:tc>
        <w:tc>
          <w:tcPr>
            <w:tcW w:w="0" w:type="dxa"/>
            <w:shd w:val="clear" w:color="auto" w:fill="E9F5F2"/>
            <w:tcMar>
              <w:left w:w="105" w:type="dxa"/>
              <w:right w:w="105" w:type="dxa"/>
            </w:tcMar>
            <w:vAlign w:val="center"/>
          </w:tcPr>
          <w:p w14:paraId="2EAE4FC9" w14:textId="77777777" w:rsidR="00FC4B95" w:rsidRPr="00FC4B95" w:rsidRDefault="00FC4B95" w:rsidP="00E06D4C">
            <w:pPr>
              <w:pStyle w:val="TableParagraph"/>
              <w:ind w:left="57" w:right="57"/>
              <w:cnfStyle w:val="000000000000" w:firstRow="0" w:lastRow="0" w:firstColumn="0" w:lastColumn="0" w:oddVBand="0" w:evenVBand="0" w:oddHBand="0" w:evenHBand="0" w:firstRowFirstColumn="0" w:firstRowLastColumn="0" w:lastRowFirstColumn="0" w:lastRowLastColumn="0"/>
            </w:pPr>
            <w:r w:rsidRPr="00FC4B95">
              <w:t xml:space="preserve">-97.8 </w:t>
            </w:r>
          </w:p>
        </w:tc>
      </w:tr>
      <w:tr w:rsidR="00FC4B95" w:rsidRPr="00FC4B95" w14:paraId="73BF232A" w14:textId="77777777" w:rsidTr="00E06D4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dxa"/>
            <w:shd w:val="clear" w:color="auto" w:fill="C1DCD5"/>
            <w:tcMar>
              <w:left w:w="105" w:type="dxa"/>
              <w:right w:w="105" w:type="dxa"/>
            </w:tcMar>
            <w:vAlign w:val="center"/>
          </w:tcPr>
          <w:p w14:paraId="20F17DCE" w14:textId="56BDBD2A" w:rsidR="00FC4B95" w:rsidRPr="008A35CD" w:rsidRDefault="00E66AFE" w:rsidP="00E06D4C">
            <w:pPr>
              <w:pStyle w:val="TableParagraph"/>
              <w:spacing w:beforeLines="60" w:before="144" w:after="60"/>
              <w:ind w:left="57" w:right="57"/>
              <w:rPr>
                <w:color w:val="auto"/>
              </w:rPr>
            </w:pPr>
            <w:proofErr w:type="gramStart"/>
            <w:r w:rsidRPr="008A35CD">
              <w:rPr>
                <w:color w:val="auto"/>
              </w:rPr>
              <w:t>Sum</w:t>
            </w:r>
            <w:proofErr w:type="gramEnd"/>
            <w:r w:rsidRPr="008A35CD">
              <w:rPr>
                <w:color w:val="auto"/>
              </w:rPr>
              <w:t xml:space="preserve"> of </w:t>
            </w:r>
            <w:r w:rsidR="00FC4B95" w:rsidRPr="008A35CD">
              <w:rPr>
                <w:color w:val="auto"/>
              </w:rPr>
              <w:t xml:space="preserve">net </w:t>
            </w:r>
            <w:r w:rsidR="003E3C8E" w:rsidRPr="008A35CD">
              <w:rPr>
                <w:color w:val="auto"/>
              </w:rPr>
              <w:t xml:space="preserve">projected </w:t>
            </w:r>
            <w:r w:rsidR="00FC4B95" w:rsidRPr="008A35CD">
              <w:rPr>
                <w:color w:val="auto"/>
              </w:rPr>
              <w:t>emissions in the NZ ETS</w:t>
            </w:r>
          </w:p>
        </w:tc>
        <w:tc>
          <w:tcPr>
            <w:tcW w:w="0" w:type="dxa"/>
            <w:shd w:val="clear" w:color="auto" w:fill="D4E8DE"/>
            <w:tcMar>
              <w:left w:w="105" w:type="dxa"/>
              <w:right w:w="105" w:type="dxa"/>
            </w:tcMar>
            <w:vAlign w:val="center"/>
          </w:tcPr>
          <w:p w14:paraId="6B7412B0" w14:textId="77777777" w:rsidR="00FC4B95" w:rsidRPr="00FC4B95" w:rsidRDefault="00FC4B95" w:rsidP="00E06D4C">
            <w:pPr>
              <w:pStyle w:val="TableParagraph"/>
              <w:ind w:left="57" w:right="57"/>
              <w:cnfStyle w:val="000000100000" w:firstRow="0" w:lastRow="0" w:firstColumn="0" w:lastColumn="0" w:oddVBand="0" w:evenVBand="0" w:oddHBand="1" w:evenHBand="0" w:firstRowFirstColumn="0" w:firstRowLastColumn="0" w:lastRowFirstColumn="0" w:lastRowLastColumn="0"/>
            </w:pPr>
            <w:r w:rsidRPr="00FC4B95">
              <w:t> </w:t>
            </w:r>
          </w:p>
        </w:tc>
        <w:tc>
          <w:tcPr>
            <w:tcW w:w="0" w:type="dxa"/>
            <w:shd w:val="clear" w:color="auto" w:fill="D4E8DE"/>
            <w:tcMar>
              <w:left w:w="105" w:type="dxa"/>
              <w:right w:w="105" w:type="dxa"/>
            </w:tcMar>
            <w:vAlign w:val="center"/>
          </w:tcPr>
          <w:p w14:paraId="5EFDD562" w14:textId="1D18C8A8" w:rsidR="00FC4B95" w:rsidRPr="00FC4B95" w:rsidRDefault="00FC4B95" w:rsidP="00E06D4C">
            <w:pPr>
              <w:pStyle w:val="TableParagraph"/>
              <w:ind w:left="57" w:right="57"/>
              <w:cnfStyle w:val="000000100000" w:firstRow="0" w:lastRow="0" w:firstColumn="0" w:lastColumn="0" w:oddVBand="0" w:evenVBand="0" w:oddHBand="1" w:evenHBand="0" w:firstRowFirstColumn="0" w:firstRowLastColumn="0" w:lastRowFirstColumn="0" w:lastRowLastColumn="0"/>
            </w:pPr>
            <w:r w:rsidRPr="00FC4B95">
              <w:t>81.</w:t>
            </w:r>
            <w:r w:rsidRPr="006871BD">
              <w:t>9</w:t>
            </w:r>
            <w:r w:rsidRPr="006871BD">
              <w:rPr>
                <w:vertAlign w:val="superscript"/>
              </w:rPr>
              <w:footnoteReference w:id="2"/>
            </w:r>
            <w:r w:rsidRPr="00FC4B95">
              <w:t xml:space="preserve"> </w:t>
            </w:r>
          </w:p>
        </w:tc>
        <w:tc>
          <w:tcPr>
            <w:tcW w:w="0" w:type="dxa"/>
            <w:shd w:val="clear" w:color="auto" w:fill="D4E8DE"/>
            <w:tcMar>
              <w:left w:w="105" w:type="dxa"/>
              <w:right w:w="105" w:type="dxa"/>
            </w:tcMar>
            <w:vAlign w:val="center"/>
          </w:tcPr>
          <w:p w14:paraId="4AEFFCB9" w14:textId="77777777" w:rsidR="00FC4B95" w:rsidRPr="00FC4B95" w:rsidRDefault="00FC4B95" w:rsidP="00E06D4C">
            <w:pPr>
              <w:pStyle w:val="TableParagraph"/>
              <w:ind w:left="57" w:right="57"/>
              <w:cnfStyle w:val="000000100000" w:firstRow="0" w:lastRow="0" w:firstColumn="0" w:lastColumn="0" w:oddVBand="0" w:evenVBand="0" w:oddHBand="1" w:evenHBand="0" w:firstRowFirstColumn="0" w:firstRowLastColumn="0" w:lastRowFirstColumn="0" w:lastRowLastColumn="0"/>
            </w:pPr>
            <w:r w:rsidRPr="00FC4B95">
              <w:t xml:space="preserve">37.7 </w:t>
            </w:r>
          </w:p>
        </w:tc>
      </w:tr>
      <w:tr w:rsidR="00FC4B95" w:rsidRPr="00FC4B95" w14:paraId="1785332C" w14:textId="77777777" w:rsidTr="00E06D4C">
        <w:trPr>
          <w:trHeight w:val="285"/>
        </w:trPr>
        <w:tc>
          <w:tcPr>
            <w:cnfStyle w:val="001000000000" w:firstRow="0" w:lastRow="0" w:firstColumn="1" w:lastColumn="0" w:oddVBand="0" w:evenVBand="0" w:oddHBand="0" w:evenHBand="0" w:firstRowFirstColumn="0" w:firstRowLastColumn="0" w:lastRowFirstColumn="0" w:lastRowLastColumn="0"/>
            <w:tcW w:w="0" w:type="dxa"/>
            <w:shd w:val="clear" w:color="auto" w:fill="C1DCD5"/>
            <w:tcMar>
              <w:left w:w="105" w:type="dxa"/>
              <w:right w:w="105" w:type="dxa"/>
            </w:tcMar>
            <w:vAlign w:val="center"/>
          </w:tcPr>
          <w:p w14:paraId="06B4F9EC" w14:textId="77777777" w:rsidR="00FC4B95" w:rsidRPr="008A35CD" w:rsidRDefault="00FC4B95" w:rsidP="00E06D4C">
            <w:pPr>
              <w:pStyle w:val="TableParagraph"/>
              <w:spacing w:beforeLines="60" w:before="144" w:after="60"/>
              <w:ind w:left="57" w:right="57"/>
              <w:rPr>
                <w:color w:val="auto"/>
              </w:rPr>
            </w:pPr>
            <w:r w:rsidRPr="008A35CD">
              <w:rPr>
                <w:color w:val="auto"/>
              </w:rPr>
              <w:t>Difference to notified budgets</w:t>
            </w:r>
          </w:p>
        </w:tc>
        <w:tc>
          <w:tcPr>
            <w:tcW w:w="0" w:type="dxa"/>
            <w:shd w:val="clear" w:color="auto" w:fill="C1DCD5"/>
            <w:tcMar>
              <w:left w:w="105" w:type="dxa"/>
              <w:right w:w="105" w:type="dxa"/>
            </w:tcMar>
            <w:vAlign w:val="center"/>
          </w:tcPr>
          <w:p w14:paraId="67E4895B" w14:textId="77777777" w:rsidR="00FC4B95" w:rsidRPr="00FC4B95" w:rsidRDefault="00FC4B95" w:rsidP="00E06D4C">
            <w:pPr>
              <w:pStyle w:val="TableParagraph"/>
              <w:ind w:left="57" w:right="57"/>
              <w:cnfStyle w:val="000000000000" w:firstRow="0" w:lastRow="0" w:firstColumn="0" w:lastColumn="0" w:oddVBand="0" w:evenVBand="0" w:oddHBand="0" w:evenHBand="0" w:firstRowFirstColumn="0" w:firstRowLastColumn="0" w:lastRowFirstColumn="0" w:lastRowLastColumn="0"/>
            </w:pPr>
          </w:p>
        </w:tc>
        <w:tc>
          <w:tcPr>
            <w:tcW w:w="0" w:type="dxa"/>
            <w:shd w:val="clear" w:color="auto" w:fill="C1DCD5"/>
            <w:tcMar>
              <w:left w:w="105" w:type="dxa"/>
              <w:right w:w="105" w:type="dxa"/>
            </w:tcMar>
            <w:vAlign w:val="center"/>
          </w:tcPr>
          <w:p w14:paraId="457651DB" w14:textId="77777777" w:rsidR="00FC4B95" w:rsidRPr="00FC4B95" w:rsidRDefault="00FC4B95" w:rsidP="00E06D4C">
            <w:pPr>
              <w:pStyle w:val="TableParagraph"/>
              <w:ind w:left="57" w:right="57"/>
              <w:cnfStyle w:val="000000000000" w:firstRow="0" w:lastRow="0" w:firstColumn="0" w:lastColumn="0" w:oddVBand="0" w:evenVBand="0" w:oddHBand="0" w:evenHBand="0" w:firstRowFirstColumn="0" w:firstRowLastColumn="0" w:lastRowFirstColumn="0" w:lastRowLastColumn="0"/>
            </w:pPr>
            <w:r w:rsidRPr="00FC4B95">
              <w:t xml:space="preserve">-3.6 </w:t>
            </w:r>
          </w:p>
        </w:tc>
        <w:tc>
          <w:tcPr>
            <w:tcW w:w="0" w:type="dxa"/>
            <w:shd w:val="clear" w:color="auto" w:fill="C1DCD5"/>
            <w:tcMar>
              <w:left w:w="105" w:type="dxa"/>
              <w:right w:w="105" w:type="dxa"/>
            </w:tcMar>
            <w:vAlign w:val="center"/>
          </w:tcPr>
          <w:p w14:paraId="672F2AAE" w14:textId="77777777" w:rsidR="00FC4B95" w:rsidRPr="00FC4B95" w:rsidRDefault="00FC4B95" w:rsidP="00E06D4C">
            <w:pPr>
              <w:pStyle w:val="TableParagraph"/>
              <w:ind w:left="57" w:right="57"/>
              <w:cnfStyle w:val="000000000000" w:firstRow="0" w:lastRow="0" w:firstColumn="0" w:lastColumn="0" w:oddVBand="0" w:evenVBand="0" w:oddHBand="0" w:evenHBand="0" w:firstRowFirstColumn="0" w:firstRowLastColumn="0" w:lastRowFirstColumn="0" w:lastRowLastColumn="0"/>
            </w:pPr>
            <w:r w:rsidRPr="00FC4B95">
              <w:t xml:space="preserve">+8.7 </w:t>
            </w:r>
          </w:p>
        </w:tc>
      </w:tr>
      <w:tr w:rsidR="00FC4B95" w:rsidRPr="00FC4B95" w14:paraId="4804700B" w14:textId="77777777" w:rsidTr="00E06D4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dxa"/>
            <w:shd w:val="clear" w:color="auto" w:fill="C1DCD5"/>
            <w:tcMar>
              <w:left w:w="105" w:type="dxa"/>
              <w:right w:w="105" w:type="dxa"/>
            </w:tcMar>
            <w:vAlign w:val="center"/>
          </w:tcPr>
          <w:p w14:paraId="6C08F047" w14:textId="77777777" w:rsidR="00FC4B95" w:rsidRPr="008A35CD" w:rsidRDefault="00FC4B95" w:rsidP="00E06D4C">
            <w:pPr>
              <w:pStyle w:val="TableParagraph"/>
              <w:spacing w:beforeLines="60" w:before="144" w:after="60"/>
              <w:ind w:left="57" w:right="57"/>
              <w:rPr>
                <w:color w:val="auto"/>
              </w:rPr>
            </w:pPr>
            <w:r w:rsidRPr="008A35CD">
              <w:rPr>
                <w:color w:val="auto"/>
              </w:rPr>
              <w:t>Emissions cap used in our advice</w:t>
            </w:r>
          </w:p>
        </w:tc>
        <w:tc>
          <w:tcPr>
            <w:tcW w:w="0" w:type="dxa"/>
            <w:shd w:val="clear" w:color="auto" w:fill="C1DCD5"/>
            <w:tcMar>
              <w:left w:w="105" w:type="dxa"/>
              <w:right w:w="105" w:type="dxa"/>
            </w:tcMar>
            <w:vAlign w:val="center"/>
          </w:tcPr>
          <w:p w14:paraId="2DF6D712" w14:textId="77777777" w:rsidR="00FC4B95" w:rsidRPr="00FC4B95" w:rsidRDefault="00FC4B95" w:rsidP="00E06D4C">
            <w:pPr>
              <w:pStyle w:val="TableParagraph"/>
              <w:ind w:left="57" w:right="57"/>
              <w:cnfStyle w:val="000000100000" w:firstRow="0" w:lastRow="0" w:firstColumn="0" w:lastColumn="0" w:oddVBand="0" w:evenVBand="0" w:oddHBand="1" w:evenHBand="0" w:firstRowFirstColumn="0" w:firstRowLastColumn="0" w:lastRowFirstColumn="0" w:lastRowLastColumn="0"/>
            </w:pPr>
          </w:p>
        </w:tc>
        <w:tc>
          <w:tcPr>
            <w:tcW w:w="0" w:type="dxa"/>
            <w:shd w:val="clear" w:color="auto" w:fill="C1DCD5"/>
            <w:tcMar>
              <w:left w:w="105" w:type="dxa"/>
              <w:right w:w="105" w:type="dxa"/>
            </w:tcMar>
            <w:vAlign w:val="center"/>
          </w:tcPr>
          <w:p w14:paraId="71A58A01" w14:textId="77777777" w:rsidR="00FC4B95" w:rsidRPr="00FC4B95" w:rsidRDefault="00FC4B95" w:rsidP="00E06D4C">
            <w:pPr>
              <w:pStyle w:val="TableParagraph"/>
              <w:ind w:left="57" w:right="57"/>
              <w:cnfStyle w:val="000000100000" w:firstRow="0" w:lastRow="0" w:firstColumn="0" w:lastColumn="0" w:oddVBand="0" w:evenVBand="0" w:oddHBand="1" w:evenHBand="0" w:firstRowFirstColumn="0" w:firstRowLastColumn="0" w:lastRowFirstColumn="0" w:lastRowLastColumn="0"/>
            </w:pPr>
            <w:r w:rsidRPr="00FC4B95">
              <w:t>81.9</w:t>
            </w:r>
          </w:p>
        </w:tc>
        <w:tc>
          <w:tcPr>
            <w:tcW w:w="0" w:type="dxa"/>
            <w:shd w:val="clear" w:color="auto" w:fill="C1DCD5"/>
            <w:tcMar>
              <w:left w:w="105" w:type="dxa"/>
              <w:right w:w="105" w:type="dxa"/>
            </w:tcMar>
            <w:vAlign w:val="center"/>
          </w:tcPr>
          <w:p w14:paraId="76AC389A" w14:textId="5825E495" w:rsidR="00FC4B95" w:rsidRPr="00FC4B95" w:rsidRDefault="00FC4B95" w:rsidP="00E06D4C">
            <w:pPr>
              <w:pStyle w:val="TableParagraph"/>
              <w:ind w:left="57" w:right="57"/>
              <w:cnfStyle w:val="000000100000" w:firstRow="0" w:lastRow="0" w:firstColumn="0" w:lastColumn="0" w:oddVBand="0" w:evenVBand="0" w:oddHBand="1" w:evenHBand="0" w:firstRowFirstColumn="0" w:firstRowLastColumn="0" w:lastRowFirstColumn="0" w:lastRowLastColumn="0"/>
            </w:pPr>
            <w:r w:rsidRPr="00FC4B95">
              <w:t>28.9</w:t>
            </w:r>
          </w:p>
        </w:tc>
      </w:tr>
    </w:tbl>
    <w:p w14:paraId="0988BD53" w14:textId="2AFBE853" w:rsidR="004625B8" w:rsidRDefault="004625B8" w:rsidP="00EA30FE">
      <w:pPr>
        <w:pStyle w:val="Heading2nonumber"/>
      </w:pPr>
      <w:bookmarkStart w:id="14" w:name="_Toc227603103"/>
      <w:r>
        <w:t>Annual distribution of emission cap</w:t>
      </w:r>
      <w:bookmarkEnd w:id="14"/>
    </w:p>
    <w:p w14:paraId="28D16EE8" w14:textId="31CE2C06" w:rsidR="00902898" w:rsidRDefault="00902898" w:rsidP="00902898">
      <w:pPr>
        <w:pStyle w:val="BodyText"/>
      </w:pPr>
      <w:r>
        <w:t xml:space="preserve">Although we determine emissions caps for each emissions budget period, </w:t>
      </w:r>
      <w:r w:rsidR="008723CF">
        <w:t>to</w:t>
      </w:r>
      <w:r>
        <w:t xml:space="preserve"> calculate annual unit limits it is necessary to distribute the emissions cap</w:t>
      </w:r>
      <w:r w:rsidR="00FC11BA">
        <w:t xml:space="preserve"> volume</w:t>
      </w:r>
      <w:r>
        <w:t xml:space="preserve"> </w:t>
      </w:r>
      <w:r w:rsidR="001D432A">
        <w:t xml:space="preserve">to </w:t>
      </w:r>
      <w:r>
        <w:t>each year</w:t>
      </w:r>
      <w:r w:rsidR="001D432A">
        <w:t xml:space="preserve">. In other words, </w:t>
      </w:r>
      <w:r w:rsidR="00C20B1F">
        <w:t xml:space="preserve">we need to </w:t>
      </w:r>
      <w:r w:rsidR="00AF5253">
        <w:t xml:space="preserve">set </w:t>
      </w:r>
      <w:r w:rsidR="001D432A">
        <w:t xml:space="preserve">a </w:t>
      </w:r>
      <w:r w:rsidR="00AF5253">
        <w:t>trajectory</w:t>
      </w:r>
      <w:r w:rsidR="004C34CC">
        <w:t xml:space="preserve"> for </w:t>
      </w:r>
      <w:r w:rsidR="00122881">
        <w:t xml:space="preserve">how allowed emissions </w:t>
      </w:r>
      <w:r w:rsidR="00D15275">
        <w:t xml:space="preserve">track </w:t>
      </w:r>
      <w:r w:rsidR="00261520">
        <w:t>down</w:t>
      </w:r>
      <w:r w:rsidR="00D15275">
        <w:t xml:space="preserve"> over time</w:t>
      </w:r>
      <w:r>
        <w:t xml:space="preserve">. </w:t>
      </w:r>
    </w:p>
    <w:p w14:paraId="05987DDF" w14:textId="25D6242D" w:rsidR="00902898" w:rsidRDefault="00902898" w:rsidP="00902898">
      <w:pPr>
        <w:pStyle w:val="BodyText"/>
      </w:pPr>
      <w:r>
        <w:t xml:space="preserve">For the second emissions budget period, we allocate the emissions cap </w:t>
      </w:r>
      <w:r w:rsidR="009E231C">
        <w:t xml:space="preserve">across each year </w:t>
      </w:r>
      <w:r>
        <w:t xml:space="preserve">in line with the projected NZ ETS emissions. </w:t>
      </w:r>
    </w:p>
    <w:p w14:paraId="05B6BCE6" w14:textId="64233E8C" w:rsidR="004625B8" w:rsidRPr="004625B8" w:rsidRDefault="00902898" w:rsidP="00902898">
      <w:pPr>
        <w:pStyle w:val="BodyText"/>
      </w:pPr>
      <w:r>
        <w:t xml:space="preserve">For the third emissions budget period, </w:t>
      </w:r>
      <w:r w:rsidR="00126998">
        <w:t xml:space="preserve">if the </w:t>
      </w:r>
      <w:r>
        <w:t xml:space="preserve">emissions cap </w:t>
      </w:r>
      <w:r w:rsidR="00126998">
        <w:t xml:space="preserve">is </w:t>
      </w:r>
      <w:r>
        <w:t xml:space="preserve">proportionately </w:t>
      </w:r>
      <w:r w:rsidR="00DD12E1">
        <w:t xml:space="preserve">distributed </w:t>
      </w:r>
      <w:r>
        <w:t>in line with the emissions projections</w:t>
      </w:r>
      <w:r w:rsidR="001454BF">
        <w:t>,</w:t>
      </w:r>
      <w:r w:rsidR="00333077">
        <w:t xml:space="preserve"> this lead</w:t>
      </w:r>
      <w:r w:rsidR="000F47E3">
        <w:t xml:space="preserve">s to an emissions </w:t>
      </w:r>
      <w:r w:rsidR="00220093">
        <w:t>cap volume in 2035 which is lower than the forecast level of industrial allocation</w:t>
      </w:r>
      <w:r>
        <w:t>. We</w:t>
      </w:r>
      <w:r w:rsidDel="00A51775">
        <w:t xml:space="preserve"> have </w:t>
      </w:r>
      <w:r>
        <w:t xml:space="preserve">therefore </w:t>
      </w:r>
      <w:r w:rsidR="00521497">
        <w:t xml:space="preserve">adjusted the way the </w:t>
      </w:r>
      <w:r w:rsidDel="00A51775">
        <w:t xml:space="preserve">cap </w:t>
      </w:r>
      <w:r w:rsidR="00521497">
        <w:t xml:space="preserve">is </w:t>
      </w:r>
      <w:r w:rsidR="009E1122">
        <w:t>distributed</w:t>
      </w:r>
      <w:r w:rsidR="00521497">
        <w:t xml:space="preserve"> across 2031</w:t>
      </w:r>
      <w:r w:rsidR="00521497" w:rsidRPr="005B5B03">
        <w:rPr>
          <w:rFonts w:cs="Calibri"/>
        </w:rPr>
        <w:t>–</w:t>
      </w:r>
      <w:r w:rsidRPr="005B5B03" w:rsidDel="00A51775">
        <w:rPr>
          <w:rFonts w:cs="Calibri"/>
        </w:rPr>
        <w:t>2035</w:t>
      </w:r>
      <w:r w:rsidR="00BB2236" w:rsidRPr="005B5B03">
        <w:rPr>
          <w:rFonts w:cs="Calibri"/>
        </w:rPr>
        <w:t>,</w:t>
      </w:r>
      <w:r w:rsidRPr="005B5B03">
        <w:rPr>
          <w:rFonts w:cs="Calibri"/>
        </w:rPr>
        <w:t xml:space="preserve"> </w:t>
      </w:r>
      <w:r>
        <w:t xml:space="preserve">to reduce the </w:t>
      </w:r>
      <w:r w:rsidR="00BB2236">
        <w:t>volume allocated to</w:t>
      </w:r>
      <w:r>
        <w:t xml:space="preserve"> earlier years and increase it in later years</w:t>
      </w:r>
      <w:r w:rsidR="00BB2236">
        <w:t>. This</w:t>
      </w:r>
      <w:r>
        <w:t xml:space="preserve"> ensure</w:t>
      </w:r>
      <w:r w:rsidR="004213F7">
        <w:t>s</w:t>
      </w:r>
      <w:r>
        <w:t xml:space="preserve"> its consistency with forecast industrial allocation.</w:t>
      </w:r>
    </w:p>
    <w:p w14:paraId="46E3A5E0" w14:textId="51AD89B5" w:rsidR="00DE1D12" w:rsidRDefault="00EA30FE" w:rsidP="00EA30FE">
      <w:pPr>
        <w:pStyle w:val="Heading2nonumber"/>
      </w:pPr>
      <w:bookmarkStart w:id="15" w:name="_Toc227603104"/>
      <w:r>
        <w:t>Other emissions cap options considered</w:t>
      </w:r>
      <w:bookmarkEnd w:id="15"/>
    </w:p>
    <w:p w14:paraId="194F9470" w14:textId="647DD1E7" w:rsidR="00EA30FE" w:rsidRDefault="00E3107B" w:rsidP="00EA30FE">
      <w:pPr>
        <w:pStyle w:val="BodyText"/>
      </w:pPr>
      <w:r w:rsidRPr="00E3107B">
        <w:t>As set out in the advice report, we considered other emissions cap options. These are summarised in this section along with some further explanation of how each option was calculated. The other emissions cap options were not calculated in as much detail as the emissions cap option which we propose. Therefore, the numbers presented in this section should be considered as indicative estimates.</w:t>
      </w:r>
    </w:p>
    <w:p w14:paraId="653119C9" w14:textId="1C9C0292" w:rsidR="00E3107B" w:rsidRDefault="00E3107B" w:rsidP="00E3107B">
      <w:pPr>
        <w:pStyle w:val="Heading3"/>
      </w:pPr>
      <w:bookmarkStart w:id="16" w:name="_Toc227603105"/>
      <w:r>
        <w:t>The second emissions budget</w:t>
      </w:r>
      <w:bookmarkEnd w:id="16"/>
    </w:p>
    <w:p w14:paraId="3B01AB3A" w14:textId="5843B95B" w:rsidR="00E3107B" w:rsidRDefault="00F80511" w:rsidP="00E3107B">
      <w:pPr>
        <w:pStyle w:val="BodyText"/>
      </w:pPr>
      <w:r w:rsidRPr="00F80511">
        <w:t>Table 2 summarises the alternative emissions cap options which we considered. The subsections following set out at a high level how the alternative options have been calculated.</w:t>
      </w:r>
    </w:p>
    <w:p w14:paraId="179DE742" w14:textId="42999A0F" w:rsidR="00933946" w:rsidRDefault="00933946" w:rsidP="00933946">
      <w:pPr>
        <w:pStyle w:val="FigureTabletitle"/>
      </w:pPr>
      <w:r>
        <w:t xml:space="preserve">Table </w:t>
      </w:r>
      <w:r w:rsidR="00B50217">
        <w:fldChar w:fldCharType="begin"/>
      </w:r>
      <w:r w:rsidR="00B50217">
        <w:instrText xml:space="preserve"> SEQ Table \* ARABIC </w:instrText>
      </w:r>
      <w:r w:rsidR="00B50217">
        <w:fldChar w:fldCharType="separate"/>
      </w:r>
      <w:r w:rsidR="00B50217">
        <w:rPr>
          <w:noProof/>
        </w:rPr>
        <w:t>2</w:t>
      </w:r>
      <w:r w:rsidR="00B50217">
        <w:rPr>
          <w:noProof/>
        </w:rPr>
        <w:fldChar w:fldCharType="end"/>
      </w:r>
      <w:r>
        <w:t xml:space="preserve">: </w:t>
      </w:r>
      <w:r w:rsidRPr="005535AA">
        <w:t>Emissions cap options for the second emissions budget period (2026</w:t>
      </w:r>
      <w:r w:rsidR="009F053F">
        <w:t>–</w:t>
      </w:r>
      <w:r w:rsidRPr="005535AA">
        <w:t>2030)</w:t>
      </w:r>
    </w:p>
    <w:tbl>
      <w:tblPr>
        <w:tblStyle w:val="GridTable5Dark-Accent53"/>
        <w:tblW w:w="5060" w:type="pct"/>
        <w:tblLayout w:type="fixed"/>
        <w:tblCellMar>
          <w:left w:w="0" w:type="dxa"/>
          <w:right w:w="57" w:type="dxa"/>
        </w:tblCellMar>
        <w:tblLook w:val="04A0" w:firstRow="1" w:lastRow="0" w:firstColumn="1" w:lastColumn="0" w:noHBand="0" w:noVBand="1"/>
      </w:tblPr>
      <w:tblGrid>
        <w:gridCol w:w="2377"/>
        <w:gridCol w:w="1698"/>
        <w:gridCol w:w="1698"/>
        <w:gridCol w:w="1698"/>
        <w:gridCol w:w="1698"/>
      </w:tblGrid>
      <w:tr w:rsidR="00C636A9" w:rsidRPr="00C636A9" w14:paraId="1023B731" w14:textId="77777777">
        <w:trPr>
          <w:cnfStyle w:val="100000000000" w:firstRow="1" w:lastRow="0" w:firstColumn="0" w:lastColumn="0" w:oddVBand="0" w:evenVBand="0" w:oddHBand="0"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1296" w:type="pct"/>
            <w:shd w:val="clear" w:color="auto" w:fill="0F385A"/>
            <w:vAlign w:val="center"/>
          </w:tcPr>
          <w:p w14:paraId="3D57EA04" w14:textId="77777777" w:rsidR="00C636A9" w:rsidRPr="00C636A9" w:rsidRDefault="00C636A9" w:rsidP="00E06D4C">
            <w:pPr>
              <w:pStyle w:val="Tableheading"/>
              <w:spacing w:before="60" w:after="60"/>
              <w:ind w:left="57" w:right="57"/>
              <w:rPr>
                <w:rFonts w:eastAsia="Yu Gothic Light" w:cs="Calibri"/>
              </w:rPr>
            </w:pPr>
            <w:r w:rsidRPr="00E06D4C">
              <w:rPr>
                <w:b/>
                <w:bCs/>
              </w:rPr>
              <w:t>Cap option</w:t>
            </w:r>
          </w:p>
          <w:p w14:paraId="70B96076" w14:textId="392ACD79" w:rsidR="00C636A9" w:rsidRPr="00F52C33" w:rsidRDefault="00C636A9" w:rsidP="00E06D4C">
            <w:pPr>
              <w:pStyle w:val="Tableheading"/>
              <w:spacing w:before="60" w:after="60"/>
              <w:ind w:left="57" w:right="57"/>
              <w:rPr>
                <w:rFonts w:ascii="Calibri-Light" w:hAnsi="Calibri-Light" w:hint="eastAsia"/>
              </w:rPr>
            </w:pPr>
            <w:r w:rsidRPr="00E06D4C">
              <w:rPr>
                <w:rFonts w:ascii="Calibri-Light" w:hAnsi="Calibri-Light"/>
                <w:b/>
                <w:bCs/>
              </w:rPr>
              <w:t>(MtCO</w:t>
            </w:r>
            <w:r w:rsidRPr="00E06D4C">
              <w:rPr>
                <w:rFonts w:ascii="Calibri-Light" w:hAnsi="Calibri-Light"/>
                <w:b/>
                <w:bCs/>
                <w:vertAlign w:val="subscript"/>
              </w:rPr>
              <w:t>2</w:t>
            </w:r>
            <w:r w:rsidRPr="00E06D4C">
              <w:rPr>
                <w:rFonts w:ascii="Calibri-Light" w:hAnsi="Calibri-Light"/>
                <w:b/>
                <w:bCs/>
              </w:rPr>
              <w:t>e)</w:t>
            </w:r>
          </w:p>
        </w:tc>
        <w:tc>
          <w:tcPr>
            <w:tcW w:w="926" w:type="pct"/>
            <w:shd w:val="clear" w:color="auto" w:fill="0F385A"/>
            <w:vAlign w:val="center"/>
          </w:tcPr>
          <w:p w14:paraId="12B673E0" w14:textId="77777777" w:rsidR="00C636A9" w:rsidRPr="00E06D4C" w:rsidRDefault="00C636A9" w:rsidP="00E06D4C">
            <w:pPr>
              <w:pStyle w:val="Tableheading"/>
              <w:spacing w:before="60" w:after="60"/>
              <w:ind w:left="57" w:right="57"/>
              <w:cnfStyle w:val="100000000000" w:firstRow="1" w:lastRow="0" w:firstColumn="0" w:lastColumn="0" w:oddVBand="0" w:evenVBand="0" w:oddHBand="0" w:evenHBand="0" w:firstRowFirstColumn="0" w:firstRowLastColumn="0" w:lastRowFirstColumn="0" w:lastRowLastColumn="0"/>
            </w:pPr>
            <w:r w:rsidRPr="00E06D4C">
              <w:rPr>
                <w:b/>
                <w:bCs/>
              </w:rPr>
              <w:t>Net cap</w:t>
            </w:r>
          </w:p>
        </w:tc>
        <w:tc>
          <w:tcPr>
            <w:tcW w:w="926" w:type="pct"/>
            <w:shd w:val="clear" w:color="auto" w:fill="0F385A"/>
            <w:vAlign w:val="center"/>
          </w:tcPr>
          <w:p w14:paraId="7C880627" w14:textId="77777777" w:rsidR="00C636A9" w:rsidRPr="00E06D4C" w:rsidRDefault="00C636A9" w:rsidP="00E06D4C">
            <w:pPr>
              <w:pStyle w:val="Tableheading"/>
              <w:spacing w:before="60" w:after="60"/>
              <w:ind w:left="57" w:right="57"/>
              <w:cnfStyle w:val="100000000000" w:firstRow="1" w:lastRow="0" w:firstColumn="0" w:lastColumn="0" w:oddVBand="0" w:evenVBand="0" w:oddHBand="0" w:evenHBand="0" w:firstRowFirstColumn="0" w:firstRowLastColumn="0" w:lastRowFirstColumn="0" w:lastRowLastColumn="0"/>
            </w:pPr>
            <w:r w:rsidRPr="00E06D4C">
              <w:rPr>
                <w:b/>
                <w:bCs/>
              </w:rPr>
              <w:t>Sum cap + non-NZ ETS emissions</w:t>
            </w:r>
          </w:p>
        </w:tc>
        <w:tc>
          <w:tcPr>
            <w:tcW w:w="926" w:type="pct"/>
            <w:shd w:val="clear" w:color="auto" w:fill="0F385A"/>
            <w:vAlign w:val="center"/>
          </w:tcPr>
          <w:p w14:paraId="096105B3" w14:textId="3F1051D5" w:rsidR="00C636A9" w:rsidRPr="00E06D4C" w:rsidRDefault="00C636A9" w:rsidP="00E06D4C">
            <w:pPr>
              <w:pStyle w:val="Tableheading"/>
              <w:spacing w:before="60" w:after="60"/>
              <w:ind w:left="57" w:right="57"/>
              <w:cnfStyle w:val="100000000000" w:firstRow="1" w:lastRow="0" w:firstColumn="0" w:lastColumn="0" w:oddVBand="0" w:evenVBand="0" w:oddHBand="0" w:evenHBand="0" w:firstRowFirstColumn="0" w:firstRowLastColumn="0" w:lastRowFirstColumn="0" w:lastRowLastColumn="0"/>
            </w:pPr>
            <w:r w:rsidRPr="00E06D4C">
              <w:rPr>
                <w:b/>
                <w:bCs/>
              </w:rPr>
              <w:t>Difference to budget (305 Mt</w:t>
            </w:r>
            <w:r w:rsidR="002A4B8B">
              <w:rPr>
                <w:b/>
              </w:rPr>
              <w:t>CO</w:t>
            </w:r>
            <w:r w:rsidR="002A4B8B" w:rsidRPr="00E06D4C">
              <w:rPr>
                <w:b/>
                <w:bCs/>
                <w:vertAlign w:val="subscript"/>
              </w:rPr>
              <w:t>2</w:t>
            </w:r>
            <w:r w:rsidR="002A4B8B">
              <w:rPr>
                <w:b/>
              </w:rPr>
              <w:t>e</w:t>
            </w:r>
            <w:r w:rsidRPr="00E06D4C">
              <w:rPr>
                <w:b/>
                <w:bCs/>
              </w:rPr>
              <w:t>)</w:t>
            </w:r>
          </w:p>
        </w:tc>
        <w:tc>
          <w:tcPr>
            <w:tcW w:w="927" w:type="pct"/>
            <w:shd w:val="clear" w:color="auto" w:fill="0F385A"/>
            <w:vAlign w:val="center"/>
          </w:tcPr>
          <w:p w14:paraId="6A245D7F" w14:textId="77777777" w:rsidR="00C636A9" w:rsidRPr="00E06D4C" w:rsidRDefault="00C636A9" w:rsidP="00E06D4C">
            <w:pPr>
              <w:pStyle w:val="Tableheading"/>
              <w:spacing w:before="60" w:after="60"/>
              <w:ind w:left="57" w:right="57"/>
              <w:cnfStyle w:val="100000000000" w:firstRow="1" w:lastRow="0" w:firstColumn="0" w:lastColumn="0" w:oddVBand="0" w:evenVBand="0" w:oddHBand="0" w:evenHBand="0" w:firstRowFirstColumn="0" w:firstRowLastColumn="0" w:lastRowFirstColumn="0" w:lastRowLastColumn="0"/>
            </w:pPr>
            <w:r w:rsidRPr="00E06D4C">
              <w:rPr>
                <w:b/>
                <w:bCs/>
              </w:rPr>
              <w:t>Further effort for NZ ETS</w:t>
            </w:r>
          </w:p>
        </w:tc>
      </w:tr>
      <w:tr w:rsidR="00C636A9" w:rsidRPr="00C636A9" w14:paraId="260A000D" w14:textId="77777777">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1296" w:type="pct"/>
            <w:shd w:val="clear" w:color="auto" w:fill="C1DCD5"/>
            <w:vAlign w:val="center"/>
          </w:tcPr>
          <w:p w14:paraId="45379569" w14:textId="77777777" w:rsidR="00C636A9" w:rsidRPr="00E06D4C" w:rsidRDefault="00C636A9" w:rsidP="00E06D4C">
            <w:pPr>
              <w:pStyle w:val="TableParagraph"/>
              <w:spacing w:before="60" w:after="60"/>
              <w:ind w:left="57" w:right="57"/>
              <w:rPr>
                <w:color w:val="auto"/>
              </w:rPr>
            </w:pPr>
            <w:r w:rsidRPr="00E06D4C">
              <w:rPr>
                <w:color w:val="auto"/>
              </w:rPr>
              <w:t>1.Status quo</w:t>
            </w:r>
          </w:p>
        </w:tc>
        <w:tc>
          <w:tcPr>
            <w:tcW w:w="926" w:type="pct"/>
            <w:shd w:val="clear" w:color="auto" w:fill="D4E8DE"/>
            <w:vAlign w:val="center"/>
          </w:tcPr>
          <w:p w14:paraId="006BC958" w14:textId="77777777" w:rsidR="00C636A9" w:rsidRPr="003B2594" w:rsidRDefault="00C636A9" w:rsidP="00E06D4C">
            <w:pPr>
              <w:pStyle w:val="TableParagraph"/>
              <w:spacing w:before="60" w:after="60"/>
              <w:ind w:left="57" w:right="57"/>
              <w:cnfStyle w:val="000000100000" w:firstRow="0" w:lastRow="0" w:firstColumn="0" w:lastColumn="0" w:oddVBand="0" w:evenVBand="0" w:oddHBand="1" w:evenHBand="0" w:firstRowFirstColumn="0" w:firstRowLastColumn="0" w:lastRowFirstColumn="0" w:lastRowLastColumn="0"/>
            </w:pPr>
            <w:r w:rsidRPr="003B2594">
              <w:rPr>
                <w:rFonts w:hint="eastAsia"/>
              </w:rPr>
              <w:t>89.4</w:t>
            </w:r>
          </w:p>
        </w:tc>
        <w:tc>
          <w:tcPr>
            <w:tcW w:w="926" w:type="pct"/>
            <w:shd w:val="clear" w:color="auto" w:fill="D4E8DE"/>
            <w:vAlign w:val="center"/>
          </w:tcPr>
          <w:p w14:paraId="4217F389" w14:textId="77777777" w:rsidR="00C636A9" w:rsidRPr="003B2594" w:rsidRDefault="00C636A9" w:rsidP="00E06D4C">
            <w:pPr>
              <w:pStyle w:val="TableParagraph"/>
              <w:spacing w:before="60" w:after="60"/>
              <w:ind w:left="57" w:right="57"/>
              <w:cnfStyle w:val="000000100000" w:firstRow="0" w:lastRow="0" w:firstColumn="0" w:lastColumn="0" w:oddVBand="0" w:evenVBand="0" w:oddHBand="1" w:evenHBand="0" w:firstRowFirstColumn="0" w:firstRowLastColumn="0" w:lastRowFirstColumn="0" w:lastRowLastColumn="0"/>
            </w:pPr>
            <w:r w:rsidRPr="003B2594">
              <w:rPr>
                <w:rFonts w:hint="eastAsia"/>
              </w:rPr>
              <w:t>308.9</w:t>
            </w:r>
          </w:p>
        </w:tc>
        <w:tc>
          <w:tcPr>
            <w:tcW w:w="926" w:type="pct"/>
            <w:shd w:val="clear" w:color="auto" w:fill="D4E8DE"/>
            <w:vAlign w:val="center"/>
          </w:tcPr>
          <w:p w14:paraId="2BE69BF3" w14:textId="77777777" w:rsidR="00C636A9" w:rsidRPr="003B2594" w:rsidRDefault="00C636A9" w:rsidP="00E06D4C">
            <w:pPr>
              <w:pStyle w:val="TableParagraph"/>
              <w:spacing w:before="60" w:after="60"/>
              <w:ind w:left="57" w:right="57"/>
              <w:cnfStyle w:val="000000100000" w:firstRow="0" w:lastRow="0" w:firstColumn="0" w:lastColumn="0" w:oddVBand="0" w:evenVBand="0" w:oddHBand="1" w:evenHBand="0" w:firstRowFirstColumn="0" w:firstRowLastColumn="0" w:lastRowFirstColumn="0" w:lastRowLastColumn="0"/>
            </w:pPr>
            <w:r w:rsidRPr="003B2594">
              <w:rPr>
                <w:rFonts w:hint="eastAsia"/>
              </w:rPr>
              <w:t>3.9</w:t>
            </w:r>
          </w:p>
        </w:tc>
        <w:tc>
          <w:tcPr>
            <w:tcW w:w="927" w:type="pct"/>
            <w:shd w:val="clear" w:color="auto" w:fill="D4E8DE"/>
            <w:vAlign w:val="center"/>
          </w:tcPr>
          <w:p w14:paraId="48F97BAA" w14:textId="77777777" w:rsidR="00C636A9" w:rsidRPr="003B2594" w:rsidRDefault="00C636A9" w:rsidP="00E06D4C">
            <w:pPr>
              <w:pStyle w:val="TableParagraph"/>
              <w:spacing w:before="60" w:after="60"/>
              <w:ind w:left="57" w:right="57"/>
              <w:cnfStyle w:val="000000100000" w:firstRow="0" w:lastRow="0" w:firstColumn="0" w:lastColumn="0" w:oddVBand="0" w:evenVBand="0" w:oddHBand="1" w:evenHBand="0" w:firstRowFirstColumn="0" w:firstRowLastColumn="0" w:lastRowFirstColumn="0" w:lastRowLastColumn="0"/>
            </w:pPr>
            <w:r w:rsidRPr="003B2594">
              <w:rPr>
                <w:rFonts w:hint="eastAsia"/>
              </w:rPr>
              <w:t>7.5</w:t>
            </w:r>
          </w:p>
        </w:tc>
      </w:tr>
      <w:tr w:rsidR="00C636A9" w:rsidRPr="00C636A9" w14:paraId="71A513EF" w14:textId="77777777">
        <w:trPr>
          <w:trHeight w:val="483"/>
        </w:trPr>
        <w:tc>
          <w:tcPr>
            <w:cnfStyle w:val="001000000000" w:firstRow="0" w:lastRow="0" w:firstColumn="1" w:lastColumn="0" w:oddVBand="0" w:evenVBand="0" w:oddHBand="0" w:evenHBand="0" w:firstRowFirstColumn="0" w:firstRowLastColumn="0" w:lastRowFirstColumn="0" w:lastRowLastColumn="0"/>
            <w:tcW w:w="1296" w:type="pct"/>
            <w:shd w:val="clear" w:color="auto" w:fill="C1DCD5"/>
            <w:vAlign w:val="center"/>
          </w:tcPr>
          <w:p w14:paraId="68B0BDA6" w14:textId="77777777" w:rsidR="00C636A9" w:rsidRPr="00E06D4C" w:rsidRDefault="00C636A9" w:rsidP="00E06D4C">
            <w:pPr>
              <w:pStyle w:val="TableParagraph"/>
              <w:spacing w:before="60" w:after="60"/>
              <w:ind w:left="57" w:right="57"/>
              <w:rPr>
                <w:color w:val="auto"/>
              </w:rPr>
            </w:pPr>
            <w:r w:rsidRPr="00E06D4C">
              <w:rPr>
                <w:color w:val="auto"/>
              </w:rPr>
              <w:t>2. 2025 projections (preferred)</w:t>
            </w:r>
          </w:p>
        </w:tc>
        <w:tc>
          <w:tcPr>
            <w:tcW w:w="926" w:type="pct"/>
            <w:shd w:val="clear" w:color="auto" w:fill="D4E8DE"/>
            <w:vAlign w:val="center"/>
          </w:tcPr>
          <w:p w14:paraId="5F687BB8" w14:textId="77777777" w:rsidR="00C636A9" w:rsidRPr="003B2594" w:rsidRDefault="00C636A9" w:rsidP="00E06D4C">
            <w:pPr>
              <w:pStyle w:val="TableParagraph"/>
              <w:spacing w:before="60" w:after="60"/>
              <w:ind w:left="57" w:right="57"/>
              <w:cnfStyle w:val="000000000000" w:firstRow="0" w:lastRow="0" w:firstColumn="0" w:lastColumn="0" w:oddVBand="0" w:evenVBand="0" w:oddHBand="0" w:evenHBand="0" w:firstRowFirstColumn="0" w:firstRowLastColumn="0" w:lastRowFirstColumn="0" w:lastRowLastColumn="0"/>
            </w:pPr>
            <w:r w:rsidRPr="003B2594">
              <w:rPr>
                <w:rFonts w:hint="eastAsia"/>
              </w:rPr>
              <w:t>81.9</w:t>
            </w:r>
          </w:p>
        </w:tc>
        <w:tc>
          <w:tcPr>
            <w:tcW w:w="926" w:type="pct"/>
            <w:shd w:val="clear" w:color="auto" w:fill="D4E8DE"/>
            <w:vAlign w:val="center"/>
          </w:tcPr>
          <w:p w14:paraId="465F29B2" w14:textId="77777777" w:rsidR="00C636A9" w:rsidRPr="003B2594" w:rsidRDefault="00C636A9" w:rsidP="00E06D4C">
            <w:pPr>
              <w:pStyle w:val="TableParagraph"/>
              <w:spacing w:before="60" w:after="60"/>
              <w:ind w:left="57" w:right="57"/>
              <w:cnfStyle w:val="000000000000" w:firstRow="0" w:lastRow="0" w:firstColumn="0" w:lastColumn="0" w:oddVBand="0" w:evenVBand="0" w:oddHBand="0" w:evenHBand="0" w:firstRowFirstColumn="0" w:firstRowLastColumn="0" w:lastRowFirstColumn="0" w:lastRowLastColumn="0"/>
            </w:pPr>
            <w:r w:rsidRPr="003B2594">
              <w:rPr>
                <w:rFonts w:hint="eastAsia"/>
              </w:rPr>
              <w:t>301.4</w:t>
            </w:r>
          </w:p>
        </w:tc>
        <w:tc>
          <w:tcPr>
            <w:tcW w:w="926" w:type="pct"/>
            <w:shd w:val="clear" w:color="auto" w:fill="D4E8DE"/>
            <w:vAlign w:val="center"/>
          </w:tcPr>
          <w:p w14:paraId="4BCF6210" w14:textId="77777777" w:rsidR="00C636A9" w:rsidRPr="003B2594" w:rsidRDefault="00C636A9" w:rsidP="00E06D4C">
            <w:pPr>
              <w:pStyle w:val="TableParagraph"/>
              <w:spacing w:before="60" w:after="60"/>
              <w:ind w:left="57" w:right="57"/>
              <w:cnfStyle w:val="000000000000" w:firstRow="0" w:lastRow="0" w:firstColumn="0" w:lastColumn="0" w:oddVBand="0" w:evenVBand="0" w:oddHBand="0" w:evenHBand="0" w:firstRowFirstColumn="0" w:firstRowLastColumn="0" w:lastRowFirstColumn="0" w:lastRowLastColumn="0"/>
            </w:pPr>
            <w:r w:rsidRPr="003B2594">
              <w:rPr>
                <w:rFonts w:hint="eastAsia"/>
              </w:rPr>
              <w:t>–</w:t>
            </w:r>
            <w:r w:rsidRPr="003B2594">
              <w:rPr>
                <w:rFonts w:hint="eastAsia"/>
              </w:rPr>
              <w:t>3.6</w:t>
            </w:r>
          </w:p>
        </w:tc>
        <w:tc>
          <w:tcPr>
            <w:tcW w:w="927" w:type="pct"/>
            <w:shd w:val="clear" w:color="auto" w:fill="D4E8DE"/>
            <w:vAlign w:val="center"/>
          </w:tcPr>
          <w:p w14:paraId="6DF1D5D4" w14:textId="77777777" w:rsidR="00C636A9" w:rsidRPr="003B2594" w:rsidRDefault="00C636A9" w:rsidP="00E06D4C">
            <w:pPr>
              <w:pStyle w:val="TableParagraph"/>
              <w:spacing w:before="60" w:after="60"/>
              <w:ind w:left="57" w:right="57"/>
              <w:cnfStyle w:val="000000000000" w:firstRow="0" w:lastRow="0" w:firstColumn="0" w:lastColumn="0" w:oddVBand="0" w:evenVBand="0" w:oddHBand="0" w:evenHBand="0" w:firstRowFirstColumn="0" w:firstRowLastColumn="0" w:lastRowFirstColumn="0" w:lastRowLastColumn="0"/>
            </w:pPr>
            <w:r w:rsidRPr="003B2594">
              <w:rPr>
                <w:rFonts w:hint="eastAsia"/>
              </w:rPr>
              <w:t>0</w:t>
            </w:r>
          </w:p>
        </w:tc>
      </w:tr>
      <w:tr w:rsidR="00C636A9" w:rsidRPr="00C636A9" w14:paraId="4AE8EBF4" w14:textId="77777777">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1296" w:type="pct"/>
            <w:shd w:val="clear" w:color="auto" w:fill="C1DCD5"/>
            <w:vAlign w:val="center"/>
          </w:tcPr>
          <w:p w14:paraId="64FAA3A5" w14:textId="77777777" w:rsidR="00C636A9" w:rsidRPr="00E06D4C" w:rsidRDefault="00C636A9" w:rsidP="00E06D4C">
            <w:pPr>
              <w:pStyle w:val="TableParagraph"/>
              <w:spacing w:before="60" w:after="60"/>
              <w:ind w:left="57" w:right="57"/>
              <w:rPr>
                <w:color w:val="auto"/>
              </w:rPr>
            </w:pPr>
            <w:r w:rsidRPr="00E06D4C">
              <w:rPr>
                <w:color w:val="auto"/>
              </w:rPr>
              <w:t>3. CCC 2024 budget advice</w:t>
            </w:r>
          </w:p>
        </w:tc>
        <w:tc>
          <w:tcPr>
            <w:tcW w:w="926" w:type="pct"/>
            <w:shd w:val="clear" w:color="auto" w:fill="D4E8DE"/>
            <w:vAlign w:val="center"/>
          </w:tcPr>
          <w:p w14:paraId="7E64D976" w14:textId="77777777" w:rsidR="00C636A9" w:rsidRPr="003B2594" w:rsidRDefault="00C636A9" w:rsidP="00E06D4C">
            <w:pPr>
              <w:pStyle w:val="TableParagraph"/>
              <w:spacing w:before="60" w:after="60"/>
              <w:ind w:left="57" w:right="57"/>
              <w:cnfStyle w:val="000000100000" w:firstRow="0" w:lastRow="0" w:firstColumn="0" w:lastColumn="0" w:oddVBand="0" w:evenVBand="0" w:oddHBand="1" w:evenHBand="0" w:firstRowFirstColumn="0" w:firstRowLastColumn="0" w:lastRowFirstColumn="0" w:lastRowLastColumn="0"/>
            </w:pPr>
            <w:r w:rsidRPr="003B2594">
              <w:rPr>
                <w:rFonts w:hint="eastAsia"/>
              </w:rPr>
              <w:t>72.9</w:t>
            </w:r>
          </w:p>
        </w:tc>
        <w:tc>
          <w:tcPr>
            <w:tcW w:w="926" w:type="pct"/>
            <w:shd w:val="clear" w:color="auto" w:fill="D4E8DE"/>
            <w:vAlign w:val="center"/>
          </w:tcPr>
          <w:p w14:paraId="7DF792FA" w14:textId="77777777" w:rsidR="00C636A9" w:rsidRPr="003B2594" w:rsidRDefault="00C636A9" w:rsidP="00E06D4C">
            <w:pPr>
              <w:pStyle w:val="TableParagraph"/>
              <w:spacing w:before="60" w:after="60"/>
              <w:ind w:left="57" w:right="57"/>
              <w:cnfStyle w:val="000000100000" w:firstRow="0" w:lastRow="0" w:firstColumn="0" w:lastColumn="0" w:oddVBand="0" w:evenVBand="0" w:oddHBand="1" w:evenHBand="0" w:firstRowFirstColumn="0" w:firstRowLastColumn="0" w:lastRowFirstColumn="0" w:lastRowLastColumn="0"/>
            </w:pPr>
            <w:r w:rsidRPr="003B2594">
              <w:rPr>
                <w:rFonts w:hint="eastAsia"/>
              </w:rPr>
              <w:t>292.4</w:t>
            </w:r>
          </w:p>
        </w:tc>
        <w:tc>
          <w:tcPr>
            <w:tcW w:w="926" w:type="pct"/>
            <w:shd w:val="clear" w:color="auto" w:fill="D4E8DE"/>
            <w:vAlign w:val="center"/>
          </w:tcPr>
          <w:p w14:paraId="1DCE7EA1" w14:textId="77777777" w:rsidR="00C636A9" w:rsidRPr="003B2594" w:rsidRDefault="00C636A9" w:rsidP="00E06D4C">
            <w:pPr>
              <w:pStyle w:val="TableParagraph"/>
              <w:spacing w:before="60" w:after="60"/>
              <w:ind w:left="57" w:right="57"/>
              <w:cnfStyle w:val="000000100000" w:firstRow="0" w:lastRow="0" w:firstColumn="0" w:lastColumn="0" w:oddVBand="0" w:evenVBand="0" w:oddHBand="1" w:evenHBand="0" w:firstRowFirstColumn="0" w:firstRowLastColumn="0" w:lastRowFirstColumn="0" w:lastRowLastColumn="0"/>
            </w:pPr>
            <w:r w:rsidRPr="003B2594">
              <w:rPr>
                <w:rFonts w:hint="eastAsia"/>
              </w:rPr>
              <w:t>–</w:t>
            </w:r>
            <w:r w:rsidRPr="003B2594">
              <w:rPr>
                <w:rFonts w:hint="eastAsia"/>
              </w:rPr>
              <w:t>12.6</w:t>
            </w:r>
          </w:p>
        </w:tc>
        <w:tc>
          <w:tcPr>
            <w:tcW w:w="927" w:type="pct"/>
            <w:shd w:val="clear" w:color="auto" w:fill="D4E8DE"/>
            <w:vAlign w:val="center"/>
          </w:tcPr>
          <w:p w14:paraId="15DC9911" w14:textId="77777777" w:rsidR="00C636A9" w:rsidRPr="003B2594" w:rsidRDefault="00C636A9" w:rsidP="00E06D4C">
            <w:pPr>
              <w:pStyle w:val="TableParagraph"/>
              <w:spacing w:before="60" w:after="60"/>
              <w:ind w:left="57" w:right="57"/>
              <w:cnfStyle w:val="000000100000" w:firstRow="0" w:lastRow="0" w:firstColumn="0" w:lastColumn="0" w:oddVBand="0" w:evenVBand="0" w:oddHBand="1" w:evenHBand="0" w:firstRowFirstColumn="0" w:firstRowLastColumn="0" w:lastRowFirstColumn="0" w:lastRowLastColumn="0"/>
            </w:pPr>
            <w:r w:rsidRPr="003B2594">
              <w:rPr>
                <w:rFonts w:hint="eastAsia"/>
              </w:rPr>
              <w:t>–</w:t>
            </w:r>
            <w:r w:rsidRPr="003B2594">
              <w:rPr>
                <w:rFonts w:hint="eastAsia"/>
              </w:rPr>
              <w:t>9.0</w:t>
            </w:r>
          </w:p>
        </w:tc>
      </w:tr>
      <w:tr w:rsidR="00C636A9" w:rsidRPr="00C636A9" w14:paraId="2C96567C" w14:textId="77777777">
        <w:trPr>
          <w:trHeight w:val="483"/>
        </w:trPr>
        <w:tc>
          <w:tcPr>
            <w:cnfStyle w:val="001000000000" w:firstRow="0" w:lastRow="0" w:firstColumn="1" w:lastColumn="0" w:oddVBand="0" w:evenVBand="0" w:oddHBand="0" w:evenHBand="0" w:firstRowFirstColumn="0" w:firstRowLastColumn="0" w:lastRowFirstColumn="0" w:lastRowLastColumn="0"/>
            <w:tcW w:w="1296" w:type="pct"/>
            <w:shd w:val="clear" w:color="auto" w:fill="C1DCD5"/>
            <w:vAlign w:val="center"/>
          </w:tcPr>
          <w:p w14:paraId="64B0D41E" w14:textId="77777777" w:rsidR="00C636A9" w:rsidRPr="00E06D4C" w:rsidRDefault="00C636A9" w:rsidP="00E06D4C">
            <w:pPr>
              <w:pStyle w:val="TableParagraph"/>
              <w:spacing w:before="60" w:after="60"/>
              <w:ind w:left="57" w:right="57"/>
              <w:rPr>
                <w:color w:val="auto"/>
              </w:rPr>
            </w:pPr>
            <w:r w:rsidRPr="00E06D4C">
              <w:rPr>
                <w:color w:val="auto"/>
              </w:rPr>
              <w:t>4. First NDC</w:t>
            </w:r>
          </w:p>
        </w:tc>
        <w:tc>
          <w:tcPr>
            <w:tcW w:w="926" w:type="pct"/>
            <w:shd w:val="clear" w:color="auto" w:fill="D4E8DE"/>
            <w:vAlign w:val="center"/>
          </w:tcPr>
          <w:p w14:paraId="6EC672FD" w14:textId="77777777" w:rsidR="00C636A9" w:rsidRPr="003B2594" w:rsidRDefault="00C636A9" w:rsidP="00E06D4C">
            <w:pPr>
              <w:pStyle w:val="TableParagraph"/>
              <w:spacing w:before="60" w:after="60"/>
              <w:ind w:left="57" w:right="57"/>
              <w:cnfStyle w:val="000000000000" w:firstRow="0" w:lastRow="0" w:firstColumn="0" w:lastColumn="0" w:oddVBand="0" w:evenVBand="0" w:oddHBand="0" w:evenHBand="0" w:firstRowFirstColumn="0" w:firstRowLastColumn="0" w:lastRowFirstColumn="0" w:lastRowLastColumn="0"/>
            </w:pPr>
            <w:r w:rsidRPr="003B2594">
              <w:rPr>
                <w:rFonts w:hint="eastAsia"/>
              </w:rPr>
              <w:t>–</w:t>
            </w:r>
            <w:r w:rsidRPr="003B2594">
              <w:rPr>
                <w:rFonts w:hint="eastAsia"/>
              </w:rPr>
              <w:t>3.0</w:t>
            </w:r>
          </w:p>
        </w:tc>
        <w:tc>
          <w:tcPr>
            <w:tcW w:w="926" w:type="pct"/>
            <w:shd w:val="clear" w:color="auto" w:fill="D4E8DE"/>
            <w:vAlign w:val="center"/>
          </w:tcPr>
          <w:p w14:paraId="4E3649EC" w14:textId="77777777" w:rsidR="00C636A9" w:rsidRPr="003B2594" w:rsidRDefault="00C636A9" w:rsidP="00E06D4C">
            <w:pPr>
              <w:pStyle w:val="TableParagraph"/>
              <w:spacing w:before="60" w:after="60"/>
              <w:ind w:left="57" w:right="57"/>
              <w:cnfStyle w:val="000000000000" w:firstRow="0" w:lastRow="0" w:firstColumn="0" w:lastColumn="0" w:oddVBand="0" w:evenVBand="0" w:oddHBand="0" w:evenHBand="0" w:firstRowFirstColumn="0" w:firstRowLastColumn="0" w:lastRowFirstColumn="0" w:lastRowLastColumn="0"/>
            </w:pPr>
            <w:r w:rsidRPr="003B2594">
              <w:rPr>
                <w:rFonts w:hint="eastAsia"/>
              </w:rPr>
              <w:t>216.5</w:t>
            </w:r>
          </w:p>
        </w:tc>
        <w:tc>
          <w:tcPr>
            <w:tcW w:w="926" w:type="pct"/>
            <w:shd w:val="clear" w:color="auto" w:fill="D4E8DE"/>
            <w:vAlign w:val="center"/>
          </w:tcPr>
          <w:p w14:paraId="13BEBFE0" w14:textId="77777777" w:rsidR="00C636A9" w:rsidRPr="003B2594" w:rsidRDefault="00C636A9" w:rsidP="00E06D4C">
            <w:pPr>
              <w:pStyle w:val="TableParagraph"/>
              <w:spacing w:before="60" w:after="60"/>
              <w:ind w:left="57" w:right="57"/>
              <w:cnfStyle w:val="000000000000" w:firstRow="0" w:lastRow="0" w:firstColumn="0" w:lastColumn="0" w:oddVBand="0" w:evenVBand="0" w:oddHBand="0" w:evenHBand="0" w:firstRowFirstColumn="0" w:firstRowLastColumn="0" w:lastRowFirstColumn="0" w:lastRowLastColumn="0"/>
            </w:pPr>
            <w:r w:rsidRPr="003B2594">
              <w:rPr>
                <w:rFonts w:hint="eastAsia"/>
              </w:rPr>
              <w:t>–</w:t>
            </w:r>
            <w:r w:rsidRPr="003B2594">
              <w:rPr>
                <w:rFonts w:hint="eastAsia"/>
              </w:rPr>
              <w:t>88.5</w:t>
            </w:r>
          </w:p>
        </w:tc>
        <w:tc>
          <w:tcPr>
            <w:tcW w:w="927" w:type="pct"/>
            <w:shd w:val="clear" w:color="auto" w:fill="D4E8DE"/>
            <w:vAlign w:val="center"/>
          </w:tcPr>
          <w:p w14:paraId="17D39F63" w14:textId="42FCEECE" w:rsidR="00C636A9" w:rsidRPr="003B2594" w:rsidRDefault="00C636A9" w:rsidP="00E06D4C">
            <w:pPr>
              <w:pStyle w:val="TableParagraph"/>
              <w:spacing w:before="60" w:after="60"/>
              <w:ind w:left="57" w:right="57"/>
              <w:cnfStyle w:val="000000000000" w:firstRow="0" w:lastRow="0" w:firstColumn="0" w:lastColumn="0" w:oddVBand="0" w:evenVBand="0" w:oddHBand="0" w:evenHBand="0" w:firstRowFirstColumn="0" w:firstRowLastColumn="0" w:lastRowFirstColumn="0" w:lastRowLastColumn="0"/>
            </w:pPr>
            <w:r w:rsidRPr="003B2594">
              <w:rPr>
                <w:rFonts w:hint="eastAsia"/>
              </w:rPr>
              <w:t>–</w:t>
            </w:r>
            <w:r w:rsidRPr="003B2594">
              <w:rPr>
                <w:rFonts w:hint="eastAsia"/>
              </w:rPr>
              <w:t>84.9</w:t>
            </w:r>
          </w:p>
        </w:tc>
      </w:tr>
    </w:tbl>
    <w:p w14:paraId="5E8BC07F" w14:textId="3083BA17" w:rsidR="00F80511" w:rsidRDefault="00933946" w:rsidP="00933946">
      <w:pPr>
        <w:pStyle w:val="Heading4"/>
      </w:pPr>
      <w:r>
        <w:t>Status quo</w:t>
      </w:r>
    </w:p>
    <w:p w14:paraId="6AF0A223" w14:textId="28A01AC8" w:rsidR="00933946" w:rsidRDefault="00C84CF6" w:rsidP="00933946">
      <w:pPr>
        <w:pStyle w:val="BodyText"/>
      </w:pPr>
      <w:r>
        <w:t>This option is b</w:t>
      </w:r>
      <w:r w:rsidR="00211736" w:rsidRPr="00211736">
        <w:t>ased directly on the Government’s decision on an emissions cap for the second emissions budget period.</w:t>
      </w:r>
    </w:p>
    <w:p w14:paraId="53DA24CB" w14:textId="3CF7B8C1" w:rsidR="00211736" w:rsidRDefault="00211736" w:rsidP="00211736">
      <w:pPr>
        <w:pStyle w:val="Heading4"/>
      </w:pPr>
      <w:r>
        <w:t>CCC</w:t>
      </w:r>
      <w:r w:rsidR="009F032B">
        <w:t xml:space="preserve"> (Climate Change Commission)</w:t>
      </w:r>
      <w:r>
        <w:t xml:space="preserve"> 2024 budget advice</w:t>
      </w:r>
    </w:p>
    <w:p w14:paraId="48D6EBF5" w14:textId="5E0298C0" w:rsidR="00211736" w:rsidRDefault="00C84CF6" w:rsidP="00211736">
      <w:pPr>
        <w:pStyle w:val="BodyText"/>
      </w:pPr>
      <w:r>
        <w:t>This option is b</w:t>
      </w:r>
      <w:r w:rsidR="00B14192" w:rsidRPr="00B14192">
        <w:t xml:space="preserve">ased on the summary of emissions in the </w:t>
      </w:r>
      <w:r w:rsidR="00172201">
        <w:t xml:space="preserve">fourth emissions budget </w:t>
      </w:r>
      <w:r w:rsidR="00B14192" w:rsidRPr="00B14192">
        <w:t>demonstration path, which was released with our 2024 advice on the level of the fourth emissions budget. For this estimate</w:t>
      </w:r>
      <w:r w:rsidR="003A4ACE">
        <w:t>,</w:t>
      </w:r>
      <w:r w:rsidR="00317B15">
        <w:t xml:space="preserve"> </w:t>
      </w:r>
      <w:r w:rsidR="00B14192" w:rsidRPr="00B14192">
        <w:t xml:space="preserve">granular details such as biomass </w:t>
      </w:r>
      <w:r w:rsidR="006A44CD">
        <w:t xml:space="preserve">combustion </w:t>
      </w:r>
      <w:r w:rsidR="00B14192" w:rsidRPr="00B14192">
        <w:t xml:space="preserve">and </w:t>
      </w:r>
      <w:r w:rsidR="00616AF4">
        <w:t xml:space="preserve">the </w:t>
      </w:r>
      <w:r w:rsidR="00B14192" w:rsidRPr="00B14192">
        <w:t>breakdown of municipal versus non-municipal waste</w:t>
      </w:r>
      <w:r w:rsidR="000500F6">
        <w:t xml:space="preserve"> e</w:t>
      </w:r>
      <w:r w:rsidR="00900107">
        <w:t>m</w:t>
      </w:r>
      <w:r w:rsidR="000500F6">
        <w:t>issions</w:t>
      </w:r>
      <w:r w:rsidR="00B14192" w:rsidRPr="00B14192">
        <w:t xml:space="preserve">, were based on the </w:t>
      </w:r>
      <w:r w:rsidR="00B45EC9">
        <w:t xml:space="preserve">same </w:t>
      </w:r>
      <w:r w:rsidR="00B14192" w:rsidRPr="00B14192">
        <w:t xml:space="preserve">assumptions </w:t>
      </w:r>
      <w:r w:rsidR="00F94142">
        <w:t xml:space="preserve">as used for </w:t>
      </w:r>
      <w:r w:rsidR="00F94142" w:rsidRPr="00E06D4C">
        <w:rPr>
          <w:i/>
          <w:iCs/>
        </w:rPr>
        <w:t>option 2: 2025 projections</w:t>
      </w:r>
      <w:r w:rsidR="007A245E" w:rsidRPr="00E06D4C">
        <w:t>,</w:t>
      </w:r>
      <w:r w:rsidR="00F94142">
        <w:t xml:space="preserve"> </w:t>
      </w:r>
      <w:r w:rsidR="005A1AED">
        <w:t xml:space="preserve">as described </w:t>
      </w:r>
      <w:r w:rsidR="001C36BF">
        <w:t xml:space="preserve">in section </w:t>
      </w:r>
      <w:r w:rsidR="00B81A9E">
        <w:t xml:space="preserve">2.1 </w:t>
      </w:r>
      <w:r w:rsidR="001C36BF">
        <w:t>above</w:t>
      </w:r>
      <w:r w:rsidR="00B14192" w:rsidRPr="00B14192">
        <w:t>. This emissions cap option uses the non-NZ ETS emissions estimated for the period based on the government emissions projections.</w:t>
      </w:r>
    </w:p>
    <w:p w14:paraId="69C19744" w14:textId="224F7080" w:rsidR="00B14192" w:rsidRDefault="00CB7A96" w:rsidP="00CB7A96">
      <w:pPr>
        <w:pStyle w:val="Heading4"/>
      </w:pPr>
      <w:r>
        <w:t>First NDC</w:t>
      </w:r>
    </w:p>
    <w:p w14:paraId="5C29DCB7" w14:textId="7B9542E4" w:rsidR="00CB7A96" w:rsidRDefault="00284C77" w:rsidP="00CB7A96">
      <w:pPr>
        <w:pStyle w:val="BodyText"/>
      </w:pPr>
      <w:r>
        <w:t>This option is b</w:t>
      </w:r>
      <w:r w:rsidR="00277A49" w:rsidRPr="00277A49">
        <w:t xml:space="preserve">ased on a provisional budget for the first </w:t>
      </w:r>
      <w:r w:rsidR="00A32156">
        <w:t>nationally determined contribution (</w:t>
      </w:r>
      <w:r w:rsidR="00277A49" w:rsidRPr="00277A49">
        <w:t>NDC</w:t>
      </w:r>
      <w:r w:rsidR="00A32156">
        <w:t>)</w:t>
      </w:r>
      <w:r w:rsidR="00277A49" w:rsidRPr="00277A49">
        <w:t xml:space="preserve"> of </w:t>
      </w:r>
      <w:r w:rsidR="00277A49" w:rsidRPr="00B13C77">
        <w:t>57</w:t>
      </w:r>
      <w:r w:rsidR="006752D7">
        <w:t>4.7</w:t>
      </w:r>
      <w:r w:rsidR="00277A49" w:rsidRPr="00277A49">
        <w:t xml:space="preserve"> MtCO</w:t>
      </w:r>
      <w:r w:rsidR="00277A49" w:rsidRPr="009E1E5B">
        <w:rPr>
          <w:vertAlign w:val="subscript"/>
        </w:rPr>
        <w:t>2</w:t>
      </w:r>
      <w:r w:rsidR="00277A49" w:rsidRPr="00277A49">
        <w:t>e</w:t>
      </w:r>
      <w:r w:rsidR="002A0B9E">
        <w:t>, calculated</w:t>
      </w:r>
      <w:r w:rsidR="00277A49" w:rsidRPr="00277A49">
        <w:t xml:space="preserve"> using the 2025 GHG </w:t>
      </w:r>
      <w:r w:rsidR="00AA06EB">
        <w:t>I</w:t>
      </w:r>
      <w:r w:rsidR="00AA06EB" w:rsidRPr="00277A49">
        <w:t>nventory</w:t>
      </w:r>
      <w:r w:rsidR="00277A49" w:rsidRPr="00277A49">
        <w:t>. This assum</w:t>
      </w:r>
      <w:r w:rsidR="00732E17">
        <w:t>es</w:t>
      </w:r>
      <w:r w:rsidR="00277A49" w:rsidRPr="00277A49">
        <w:t xml:space="preserve"> linear reductions in emissions over 2020–2030 to achieve the target of a 50% reduction in net emissions in 2030 compared to 2005 gross emissions. We then </w:t>
      </w:r>
      <w:r w:rsidR="009B2FE0">
        <w:t xml:space="preserve">subtracted </w:t>
      </w:r>
      <w:r w:rsidR="00277A49" w:rsidRPr="00AF728B">
        <w:t>358</w:t>
      </w:r>
      <w:r w:rsidR="00D04D53">
        <w:t>.2</w:t>
      </w:r>
      <w:r w:rsidR="00277A49" w:rsidRPr="00277A49">
        <w:t xml:space="preserve"> MtCO</w:t>
      </w:r>
      <w:r w:rsidR="00277A49" w:rsidRPr="002E15EE">
        <w:rPr>
          <w:vertAlign w:val="subscript"/>
        </w:rPr>
        <w:t>2</w:t>
      </w:r>
      <w:r w:rsidR="00277A49" w:rsidRPr="00277A49">
        <w:t xml:space="preserve">e from this budget </w:t>
      </w:r>
      <w:r w:rsidR="00B33F48">
        <w:t xml:space="preserve">to account for </w:t>
      </w:r>
      <w:r w:rsidR="00277A49" w:rsidRPr="00277A49">
        <w:t xml:space="preserve">emissions that have already occurred over 2020–2025 </w:t>
      </w:r>
      <w:r w:rsidR="000D7FF9">
        <w:t>(</w:t>
      </w:r>
      <w:r w:rsidR="00277A49" w:rsidRPr="00277A49">
        <w:t>using the government emissions projections</w:t>
      </w:r>
      <w:r w:rsidR="00C01101">
        <w:t xml:space="preserve"> for 2024 and 2025)</w:t>
      </w:r>
      <w:r w:rsidR="00277A49" w:rsidRPr="00277A49">
        <w:t xml:space="preserve">. This left a remaining budget of </w:t>
      </w:r>
      <w:r w:rsidR="00277A49" w:rsidRPr="009E1E5B">
        <w:t>21</w:t>
      </w:r>
      <w:r w:rsidR="00D04D53">
        <w:t>6.5</w:t>
      </w:r>
      <w:r w:rsidR="00277A49" w:rsidRPr="00277A49">
        <w:t xml:space="preserve"> MtCO</w:t>
      </w:r>
      <w:r w:rsidR="00277A49" w:rsidRPr="009E1E5B">
        <w:rPr>
          <w:vertAlign w:val="subscript"/>
        </w:rPr>
        <w:t>2</w:t>
      </w:r>
      <w:r w:rsidR="00277A49" w:rsidRPr="00277A49">
        <w:t xml:space="preserve">e. We then applied the non-NZ ETS emissions estimated for this period based on the government emissions projections of </w:t>
      </w:r>
      <w:r w:rsidR="00277A49" w:rsidRPr="009E1E5B">
        <w:t>219</w:t>
      </w:r>
      <w:r w:rsidR="00B100D4">
        <w:t>.5</w:t>
      </w:r>
      <w:r w:rsidR="00277A49" w:rsidRPr="00277A49">
        <w:t xml:space="preserve"> </w:t>
      </w:r>
      <w:r w:rsidR="00277A49" w:rsidRPr="009E1E5B">
        <w:t>MtCO</w:t>
      </w:r>
      <w:r w:rsidR="00277A49" w:rsidRPr="009E1E5B">
        <w:rPr>
          <w:vertAlign w:val="subscript"/>
        </w:rPr>
        <w:t>2</w:t>
      </w:r>
      <w:r w:rsidR="00277A49" w:rsidRPr="009E1E5B">
        <w:t>e</w:t>
      </w:r>
      <w:r w:rsidR="00277A49" w:rsidRPr="00277A49">
        <w:t xml:space="preserve"> to reach the net cap of </w:t>
      </w:r>
      <w:r w:rsidR="00277A49" w:rsidRPr="009E1E5B">
        <w:t>-3</w:t>
      </w:r>
      <w:r w:rsidR="00B100D4">
        <w:t>.0</w:t>
      </w:r>
      <w:r w:rsidR="00277A49" w:rsidRPr="00277A49">
        <w:t xml:space="preserve"> MtCO</w:t>
      </w:r>
      <w:r w:rsidR="00277A49" w:rsidRPr="002E15EE">
        <w:rPr>
          <w:vertAlign w:val="subscript"/>
        </w:rPr>
        <w:t>2</w:t>
      </w:r>
      <w:r w:rsidR="00277A49" w:rsidRPr="00277A49">
        <w:t>e.</w:t>
      </w:r>
    </w:p>
    <w:p w14:paraId="2BD42D61" w14:textId="357B883F" w:rsidR="00277A49" w:rsidRDefault="007861F7" w:rsidP="007861F7">
      <w:pPr>
        <w:pStyle w:val="Heading3"/>
      </w:pPr>
      <w:bookmarkStart w:id="17" w:name="_Toc227603106"/>
      <w:r>
        <w:t>The third emissions budget</w:t>
      </w:r>
      <w:bookmarkEnd w:id="17"/>
    </w:p>
    <w:p w14:paraId="68E5CF49" w14:textId="7F6A8D0E" w:rsidR="007861F7" w:rsidRDefault="00704C85" w:rsidP="007861F7">
      <w:pPr>
        <w:pStyle w:val="BodyText"/>
      </w:pPr>
      <w:r w:rsidRPr="00704C85">
        <w:t>Table 3 below summarises the alternative emissions cap options which we considered. The subsections following set out at a high level how the alternative options have been calculated.</w:t>
      </w:r>
    </w:p>
    <w:p w14:paraId="376698BE" w14:textId="6B8A35A5" w:rsidR="001519FA" w:rsidRDefault="001519FA" w:rsidP="001519FA">
      <w:pPr>
        <w:pStyle w:val="FigureTabletitle"/>
      </w:pPr>
      <w:r>
        <w:t xml:space="preserve">Table </w:t>
      </w:r>
      <w:r w:rsidR="00B50217">
        <w:fldChar w:fldCharType="begin"/>
      </w:r>
      <w:r w:rsidR="00B50217">
        <w:instrText xml:space="preserve"> SEQ Table \* ARABIC </w:instrText>
      </w:r>
      <w:r w:rsidR="00B50217">
        <w:fldChar w:fldCharType="separate"/>
      </w:r>
      <w:r w:rsidR="00B50217">
        <w:rPr>
          <w:noProof/>
        </w:rPr>
        <w:t>3</w:t>
      </w:r>
      <w:r w:rsidR="00B50217">
        <w:rPr>
          <w:noProof/>
        </w:rPr>
        <w:fldChar w:fldCharType="end"/>
      </w:r>
      <w:r>
        <w:t xml:space="preserve">: </w:t>
      </w:r>
      <w:r w:rsidRPr="00E14C1A">
        <w:t xml:space="preserve">Emissions cap options for the </w:t>
      </w:r>
      <w:r w:rsidR="00A93363">
        <w:t xml:space="preserve">third </w:t>
      </w:r>
      <w:r w:rsidRPr="00E14C1A">
        <w:t>emissions budget period (20</w:t>
      </w:r>
      <w:r w:rsidR="00E378A7">
        <w:t>31</w:t>
      </w:r>
      <w:r w:rsidR="009F053F">
        <w:t>–</w:t>
      </w:r>
      <w:r w:rsidRPr="00E14C1A">
        <w:t>203</w:t>
      </w:r>
      <w:r w:rsidR="00E378A7">
        <w:t>5</w:t>
      </w:r>
      <w:r w:rsidRPr="00E14C1A">
        <w:t>)</w:t>
      </w:r>
    </w:p>
    <w:tbl>
      <w:tblPr>
        <w:tblStyle w:val="GridTable5Dark-Accent54"/>
        <w:tblW w:w="5000" w:type="pct"/>
        <w:tblLayout w:type="fixed"/>
        <w:tblCellMar>
          <w:left w:w="0" w:type="dxa"/>
          <w:right w:w="0" w:type="dxa"/>
        </w:tblCellMar>
        <w:tblLook w:val="04A0" w:firstRow="1" w:lastRow="0" w:firstColumn="1" w:lastColumn="0" w:noHBand="0" w:noVBand="1"/>
      </w:tblPr>
      <w:tblGrid>
        <w:gridCol w:w="2880"/>
        <w:gridCol w:w="1544"/>
        <w:gridCol w:w="1546"/>
        <w:gridCol w:w="1544"/>
        <w:gridCol w:w="1546"/>
      </w:tblGrid>
      <w:tr w:rsidR="008E754A" w:rsidRPr="00B51D1C" w14:paraId="799F6FDB" w14:textId="77777777" w:rsidTr="00FB02C4">
        <w:trPr>
          <w:cnfStyle w:val="100000000000" w:firstRow="1" w:lastRow="0" w:firstColumn="0" w:lastColumn="0" w:oddVBand="0" w:evenVBand="0" w:oddHBand="0"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0" w:type="pct"/>
            <w:shd w:val="clear" w:color="auto" w:fill="0F385A"/>
          </w:tcPr>
          <w:p w14:paraId="1C55B5F5" w14:textId="41DD40BD" w:rsidR="00B51D1C" w:rsidRPr="00B51D1C" w:rsidRDefault="00B51D1C" w:rsidP="00E06D4C">
            <w:pPr>
              <w:pStyle w:val="Tableheading"/>
              <w:spacing w:before="60" w:after="60"/>
              <w:ind w:left="57" w:right="57"/>
              <w:rPr>
                <w:rFonts w:eastAsia="Yu Gothic Light" w:cs="Calibri"/>
              </w:rPr>
            </w:pPr>
            <w:r w:rsidRPr="00E06D4C">
              <w:rPr>
                <w:b/>
                <w:bCs/>
              </w:rPr>
              <w:t>Cap options</w:t>
            </w:r>
          </w:p>
          <w:p w14:paraId="1F32415C" w14:textId="77777777" w:rsidR="00B51D1C" w:rsidRPr="00F52C33" w:rsidRDefault="00B51D1C" w:rsidP="00E06D4C">
            <w:pPr>
              <w:pStyle w:val="Tableheading"/>
              <w:spacing w:before="60" w:after="60"/>
              <w:ind w:left="57" w:right="57"/>
              <w:rPr>
                <w:rFonts w:ascii="Calibri-Light" w:hAnsi="Calibri-Light" w:hint="eastAsia"/>
              </w:rPr>
            </w:pPr>
            <w:r w:rsidRPr="00E06D4C">
              <w:rPr>
                <w:rFonts w:ascii="Calibri-Light" w:hAnsi="Calibri-Light"/>
                <w:b/>
                <w:bCs/>
              </w:rPr>
              <w:t>(MtCO</w:t>
            </w:r>
            <w:r w:rsidRPr="00E06D4C">
              <w:rPr>
                <w:rFonts w:ascii="Calibri-Light" w:hAnsi="Calibri-Light"/>
                <w:b/>
                <w:bCs/>
                <w:vertAlign w:val="subscript"/>
              </w:rPr>
              <w:t>2</w:t>
            </w:r>
            <w:r w:rsidRPr="00E06D4C">
              <w:rPr>
                <w:rFonts w:ascii="Calibri-Light" w:hAnsi="Calibri-Light"/>
                <w:b/>
                <w:bCs/>
              </w:rPr>
              <w:t>e)</w:t>
            </w:r>
          </w:p>
        </w:tc>
        <w:tc>
          <w:tcPr>
            <w:tcW w:w="0" w:type="pct"/>
            <w:shd w:val="clear" w:color="auto" w:fill="0F385A"/>
          </w:tcPr>
          <w:p w14:paraId="66023997" w14:textId="77777777" w:rsidR="00B51D1C" w:rsidRPr="00E06D4C" w:rsidRDefault="00B51D1C" w:rsidP="00E06D4C">
            <w:pPr>
              <w:pStyle w:val="Tableheading"/>
              <w:spacing w:before="60" w:after="60"/>
              <w:ind w:left="57" w:right="57"/>
              <w:jc w:val="center"/>
              <w:cnfStyle w:val="100000000000" w:firstRow="1" w:lastRow="0" w:firstColumn="0" w:lastColumn="0" w:oddVBand="0" w:evenVBand="0" w:oddHBand="0" w:evenHBand="0" w:firstRowFirstColumn="0" w:firstRowLastColumn="0" w:lastRowFirstColumn="0" w:lastRowLastColumn="0"/>
            </w:pPr>
            <w:r w:rsidRPr="00E06D4C">
              <w:rPr>
                <w:b/>
                <w:bCs/>
              </w:rPr>
              <w:t>Net cap</w:t>
            </w:r>
          </w:p>
        </w:tc>
        <w:tc>
          <w:tcPr>
            <w:tcW w:w="0" w:type="pct"/>
            <w:shd w:val="clear" w:color="auto" w:fill="0F385A"/>
          </w:tcPr>
          <w:p w14:paraId="7E684785" w14:textId="77777777" w:rsidR="00B51D1C" w:rsidRPr="00E06D4C" w:rsidRDefault="00B51D1C" w:rsidP="00E06D4C">
            <w:pPr>
              <w:pStyle w:val="Tableheading"/>
              <w:spacing w:before="60" w:after="60"/>
              <w:ind w:left="57" w:right="57"/>
              <w:jc w:val="center"/>
              <w:cnfStyle w:val="100000000000" w:firstRow="1" w:lastRow="0" w:firstColumn="0" w:lastColumn="0" w:oddVBand="0" w:evenVBand="0" w:oddHBand="0" w:evenHBand="0" w:firstRowFirstColumn="0" w:firstRowLastColumn="0" w:lastRowFirstColumn="0" w:lastRowLastColumn="0"/>
            </w:pPr>
            <w:r w:rsidRPr="00E06D4C">
              <w:rPr>
                <w:b/>
                <w:bCs/>
              </w:rPr>
              <w:t>Sum cap + non-NZ ETS emissions</w:t>
            </w:r>
          </w:p>
        </w:tc>
        <w:tc>
          <w:tcPr>
            <w:tcW w:w="0" w:type="pct"/>
            <w:shd w:val="clear" w:color="auto" w:fill="0F385A"/>
          </w:tcPr>
          <w:p w14:paraId="018CA837" w14:textId="60096DEC" w:rsidR="00B51D1C" w:rsidRPr="00B51D1C" w:rsidRDefault="00B51D1C" w:rsidP="00E06D4C">
            <w:pPr>
              <w:pStyle w:val="Tableheading"/>
              <w:spacing w:before="60" w:after="60"/>
              <w:ind w:left="57" w:right="57"/>
              <w:jc w:val="center"/>
              <w:cnfStyle w:val="100000000000" w:firstRow="1" w:lastRow="0" w:firstColumn="0" w:lastColumn="0" w:oddVBand="0" w:evenVBand="0" w:oddHBand="0" w:evenHBand="0" w:firstRowFirstColumn="0" w:firstRowLastColumn="0" w:lastRowFirstColumn="0" w:lastRowLastColumn="0"/>
              <w:rPr>
                <w:rFonts w:eastAsia="Yu Gothic Light" w:cs="Calibri"/>
              </w:rPr>
            </w:pPr>
            <w:r w:rsidRPr="00E06D4C">
              <w:rPr>
                <w:b/>
                <w:bCs/>
              </w:rPr>
              <w:t>Difference to budget</w:t>
            </w:r>
          </w:p>
          <w:p w14:paraId="0C1DF2DE" w14:textId="3B934865" w:rsidR="00B51D1C" w:rsidRPr="00E06D4C" w:rsidRDefault="00B51D1C" w:rsidP="00E06D4C">
            <w:pPr>
              <w:pStyle w:val="Tableheading"/>
              <w:spacing w:before="60" w:after="60"/>
              <w:ind w:left="57" w:right="57"/>
              <w:jc w:val="center"/>
              <w:cnfStyle w:val="100000000000" w:firstRow="1" w:lastRow="0" w:firstColumn="0" w:lastColumn="0" w:oddVBand="0" w:evenVBand="0" w:oddHBand="0" w:evenHBand="0" w:firstRowFirstColumn="0" w:firstRowLastColumn="0" w:lastRowFirstColumn="0" w:lastRowLastColumn="0"/>
            </w:pPr>
            <w:r w:rsidRPr="00E06D4C">
              <w:rPr>
                <w:b/>
                <w:bCs/>
              </w:rPr>
              <w:t>(240 Mt</w:t>
            </w:r>
            <w:r w:rsidR="002A4B8B">
              <w:rPr>
                <w:b/>
              </w:rPr>
              <w:t>CO</w:t>
            </w:r>
            <w:r w:rsidR="002A4B8B" w:rsidRPr="00E06D4C">
              <w:rPr>
                <w:b/>
                <w:bCs/>
                <w:vertAlign w:val="subscript"/>
              </w:rPr>
              <w:t>2</w:t>
            </w:r>
            <w:r w:rsidR="002A4B8B">
              <w:rPr>
                <w:b/>
              </w:rPr>
              <w:t>e</w:t>
            </w:r>
            <w:r w:rsidRPr="00E06D4C">
              <w:rPr>
                <w:b/>
                <w:bCs/>
              </w:rPr>
              <w:t>)</w:t>
            </w:r>
          </w:p>
        </w:tc>
        <w:tc>
          <w:tcPr>
            <w:tcW w:w="0" w:type="pct"/>
            <w:shd w:val="clear" w:color="auto" w:fill="0F385A"/>
          </w:tcPr>
          <w:p w14:paraId="73FADA8E" w14:textId="77777777" w:rsidR="00B51D1C" w:rsidRPr="00E06D4C" w:rsidRDefault="00B51D1C" w:rsidP="00E06D4C">
            <w:pPr>
              <w:pStyle w:val="Tableheading"/>
              <w:spacing w:before="60" w:after="60"/>
              <w:ind w:left="57" w:right="57"/>
              <w:jc w:val="center"/>
              <w:cnfStyle w:val="100000000000" w:firstRow="1" w:lastRow="0" w:firstColumn="0" w:lastColumn="0" w:oddVBand="0" w:evenVBand="0" w:oddHBand="0" w:evenHBand="0" w:firstRowFirstColumn="0" w:firstRowLastColumn="0" w:lastRowFirstColumn="0" w:lastRowLastColumn="0"/>
            </w:pPr>
            <w:r w:rsidRPr="00E06D4C">
              <w:rPr>
                <w:b/>
                <w:bCs/>
              </w:rPr>
              <w:t>Further effort for NZ ETS</w:t>
            </w:r>
          </w:p>
        </w:tc>
      </w:tr>
      <w:tr w:rsidR="00B51D1C" w:rsidRPr="00B51D1C" w14:paraId="1F952471" w14:textId="77777777">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1589" w:type="pct"/>
            <w:shd w:val="clear" w:color="auto" w:fill="C1DCD5"/>
          </w:tcPr>
          <w:p w14:paraId="74932D4D" w14:textId="77777777" w:rsidR="00B51D1C" w:rsidRPr="00E06D4C" w:rsidRDefault="00B51D1C" w:rsidP="00E06D4C">
            <w:pPr>
              <w:pStyle w:val="TableParagraph"/>
              <w:spacing w:before="60" w:after="60"/>
              <w:ind w:left="57" w:right="57"/>
              <w:rPr>
                <w:color w:val="auto"/>
              </w:rPr>
            </w:pPr>
            <w:r w:rsidRPr="00E06D4C">
              <w:rPr>
                <w:color w:val="auto"/>
              </w:rPr>
              <w:t>1. Status quo</w:t>
            </w:r>
            <w:r w:rsidRPr="00E06D4C">
              <w:rPr>
                <w:color w:val="auto"/>
              </w:rPr>
              <w:tab/>
            </w:r>
          </w:p>
        </w:tc>
        <w:tc>
          <w:tcPr>
            <w:tcW w:w="852" w:type="pct"/>
            <w:shd w:val="clear" w:color="auto" w:fill="D4E8DE"/>
            <w:vAlign w:val="center"/>
          </w:tcPr>
          <w:p w14:paraId="4D3DCFD8" w14:textId="77777777" w:rsidR="00B51D1C" w:rsidRPr="00EB0991" w:rsidRDefault="00B51D1C" w:rsidP="00E06D4C">
            <w:pPr>
              <w:pStyle w:val="TableParagraph"/>
              <w:spacing w:before="60" w:after="60"/>
              <w:ind w:left="57" w:right="57"/>
              <w:jc w:val="center"/>
              <w:cnfStyle w:val="000000100000" w:firstRow="0" w:lastRow="0" w:firstColumn="0" w:lastColumn="0" w:oddVBand="0" w:evenVBand="0" w:oddHBand="1" w:evenHBand="0" w:firstRowFirstColumn="0" w:firstRowLastColumn="0" w:lastRowFirstColumn="0" w:lastRowLastColumn="0"/>
            </w:pPr>
            <w:r w:rsidRPr="00EB0991">
              <w:rPr>
                <w:rFonts w:hint="eastAsia"/>
              </w:rPr>
              <w:t>40.7</w:t>
            </w:r>
          </w:p>
        </w:tc>
        <w:tc>
          <w:tcPr>
            <w:tcW w:w="853" w:type="pct"/>
            <w:shd w:val="clear" w:color="auto" w:fill="D4E8DE"/>
            <w:vAlign w:val="center"/>
          </w:tcPr>
          <w:p w14:paraId="575B6876" w14:textId="77777777" w:rsidR="00B51D1C" w:rsidRPr="00EB0991" w:rsidRDefault="00B51D1C" w:rsidP="00E06D4C">
            <w:pPr>
              <w:pStyle w:val="TableParagraph"/>
              <w:spacing w:before="60" w:after="60"/>
              <w:ind w:left="57" w:right="57"/>
              <w:jc w:val="center"/>
              <w:cnfStyle w:val="000000100000" w:firstRow="0" w:lastRow="0" w:firstColumn="0" w:lastColumn="0" w:oddVBand="0" w:evenVBand="0" w:oddHBand="1" w:evenHBand="0" w:firstRowFirstColumn="0" w:firstRowLastColumn="0" w:lastRowFirstColumn="0" w:lastRowLastColumn="0"/>
            </w:pPr>
            <w:r w:rsidRPr="00EB0991">
              <w:rPr>
                <w:rFonts w:hint="eastAsia"/>
              </w:rPr>
              <w:t>251.8</w:t>
            </w:r>
          </w:p>
        </w:tc>
        <w:tc>
          <w:tcPr>
            <w:tcW w:w="852" w:type="pct"/>
            <w:shd w:val="clear" w:color="auto" w:fill="D4E8DE"/>
            <w:vAlign w:val="center"/>
          </w:tcPr>
          <w:p w14:paraId="68C34C49" w14:textId="77777777" w:rsidR="00B51D1C" w:rsidRPr="00EB0991" w:rsidRDefault="00B51D1C" w:rsidP="00E06D4C">
            <w:pPr>
              <w:pStyle w:val="TableParagraph"/>
              <w:spacing w:before="60" w:after="60"/>
              <w:ind w:left="57" w:right="57"/>
              <w:jc w:val="center"/>
              <w:cnfStyle w:val="000000100000" w:firstRow="0" w:lastRow="0" w:firstColumn="0" w:lastColumn="0" w:oddVBand="0" w:evenVBand="0" w:oddHBand="1" w:evenHBand="0" w:firstRowFirstColumn="0" w:firstRowLastColumn="0" w:lastRowFirstColumn="0" w:lastRowLastColumn="0"/>
            </w:pPr>
            <w:r w:rsidRPr="00EB0991">
              <w:rPr>
                <w:rFonts w:hint="eastAsia"/>
              </w:rPr>
              <w:t>11.8</w:t>
            </w:r>
          </w:p>
        </w:tc>
        <w:tc>
          <w:tcPr>
            <w:tcW w:w="853" w:type="pct"/>
            <w:shd w:val="clear" w:color="auto" w:fill="D4E8DE"/>
            <w:vAlign w:val="center"/>
          </w:tcPr>
          <w:p w14:paraId="2752690F" w14:textId="77777777" w:rsidR="00B51D1C" w:rsidRPr="00EB0991" w:rsidRDefault="00B51D1C" w:rsidP="00E06D4C">
            <w:pPr>
              <w:pStyle w:val="TableParagraph"/>
              <w:spacing w:before="60" w:after="60"/>
              <w:ind w:left="57" w:right="57"/>
              <w:jc w:val="center"/>
              <w:cnfStyle w:val="000000100000" w:firstRow="0" w:lastRow="0" w:firstColumn="0" w:lastColumn="0" w:oddVBand="0" w:evenVBand="0" w:oddHBand="1" w:evenHBand="0" w:firstRowFirstColumn="0" w:firstRowLastColumn="0" w:lastRowFirstColumn="0" w:lastRowLastColumn="0"/>
            </w:pPr>
            <w:r w:rsidRPr="00EB0991">
              <w:rPr>
                <w:rFonts w:hint="eastAsia"/>
              </w:rPr>
              <w:t>3.0</w:t>
            </w:r>
          </w:p>
        </w:tc>
      </w:tr>
      <w:tr w:rsidR="00B51D1C" w:rsidRPr="00B51D1C" w14:paraId="797D482E" w14:textId="77777777">
        <w:trPr>
          <w:trHeight w:val="483"/>
        </w:trPr>
        <w:tc>
          <w:tcPr>
            <w:cnfStyle w:val="001000000000" w:firstRow="0" w:lastRow="0" w:firstColumn="1" w:lastColumn="0" w:oddVBand="0" w:evenVBand="0" w:oddHBand="0" w:evenHBand="0" w:firstRowFirstColumn="0" w:firstRowLastColumn="0" w:lastRowFirstColumn="0" w:lastRowLastColumn="0"/>
            <w:tcW w:w="1589" w:type="pct"/>
            <w:shd w:val="clear" w:color="auto" w:fill="C1DCD5"/>
          </w:tcPr>
          <w:p w14:paraId="37A3BB2C" w14:textId="77777777" w:rsidR="00B51D1C" w:rsidRPr="00E06D4C" w:rsidRDefault="00B51D1C" w:rsidP="00E06D4C">
            <w:pPr>
              <w:pStyle w:val="TableParagraph"/>
              <w:spacing w:before="60" w:after="60"/>
              <w:ind w:left="57" w:right="57"/>
              <w:rPr>
                <w:color w:val="auto"/>
              </w:rPr>
            </w:pPr>
            <w:r w:rsidRPr="00E06D4C">
              <w:rPr>
                <w:color w:val="auto"/>
              </w:rPr>
              <w:t xml:space="preserve">2. 2025 projections </w:t>
            </w:r>
          </w:p>
        </w:tc>
        <w:tc>
          <w:tcPr>
            <w:tcW w:w="852" w:type="pct"/>
            <w:shd w:val="clear" w:color="auto" w:fill="E9F5F2"/>
            <w:vAlign w:val="center"/>
          </w:tcPr>
          <w:p w14:paraId="1F5062B3" w14:textId="77777777" w:rsidR="00B51D1C" w:rsidRPr="00EB0991" w:rsidRDefault="00B51D1C" w:rsidP="00E06D4C">
            <w:pPr>
              <w:pStyle w:val="TableParagraph"/>
              <w:spacing w:before="60" w:after="60"/>
              <w:ind w:left="57" w:right="57"/>
              <w:jc w:val="center"/>
              <w:cnfStyle w:val="000000000000" w:firstRow="0" w:lastRow="0" w:firstColumn="0" w:lastColumn="0" w:oddVBand="0" w:evenVBand="0" w:oddHBand="0" w:evenHBand="0" w:firstRowFirstColumn="0" w:firstRowLastColumn="0" w:lastRowFirstColumn="0" w:lastRowLastColumn="0"/>
            </w:pPr>
            <w:r w:rsidRPr="00EB0991">
              <w:rPr>
                <w:rFonts w:hint="eastAsia"/>
              </w:rPr>
              <w:t>37.7</w:t>
            </w:r>
          </w:p>
        </w:tc>
        <w:tc>
          <w:tcPr>
            <w:tcW w:w="853" w:type="pct"/>
            <w:shd w:val="clear" w:color="auto" w:fill="E9F5F2"/>
            <w:vAlign w:val="center"/>
          </w:tcPr>
          <w:p w14:paraId="69E72D17" w14:textId="77777777" w:rsidR="00B51D1C" w:rsidRPr="00EB0991" w:rsidRDefault="00B51D1C" w:rsidP="00E06D4C">
            <w:pPr>
              <w:pStyle w:val="TableParagraph"/>
              <w:spacing w:before="60" w:after="60"/>
              <w:ind w:left="57" w:right="57"/>
              <w:jc w:val="center"/>
              <w:cnfStyle w:val="000000000000" w:firstRow="0" w:lastRow="0" w:firstColumn="0" w:lastColumn="0" w:oddVBand="0" w:evenVBand="0" w:oddHBand="0" w:evenHBand="0" w:firstRowFirstColumn="0" w:firstRowLastColumn="0" w:lastRowFirstColumn="0" w:lastRowLastColumn="0"/>
            </w:pPr>
            <w:r w:rsidRPr="00EB0991">
              <w:rPr>
                <w:rFonts w:hint="eastAsia"/>
              </w:rPr>
              <w:t>248.7</w:t>
            </w:r>
          </w:p>
        </w:tc>
        <w:tc>
          <w:tcPr>
            <w:tcW w:w="852" w:type="pct"/>
            <w:shd w:val="clear" w:color="auto" w:fill="E9F5F2"/>
            <w:vAlign w:val="center"/>
          </w:tcPr>
          <w:p w14:paraId="64B9B0CE" w14:textId="77777777" w:rsidR="00B51D1C" w:rsidRPr="00EB0991" w:rsidRDefault="00B51D1C" w:rsidP="00E06D4C">
            <w:pPr>
              <w:pStyle w:val="TableParagraph"/>
              <w:spacing w:before="60" w:after="60"/>
              <w:ind w:left="57" w:right="57"/>
              <w:jc w:val="center"/>
              <w:cnfStyle w:val="000000000000" w:firstRow="0" w:lastRow="0" w:firstColumn="0" w:lastColumn="0" w:oddVBand="0" w:evenVBand="0" w:oddHBand="0" w:evenHBand="0" w:firstRowFirstColumn="0" w:firstRowLastColumn="0" w:lastRowFirstColumn="0" w:lastRowLastColumn="0"/>
            </w:pPr>
            <w:r w:rsidRPr="00EB0991">
              <w:rPr>
                <w:rFonts w:hint="eastAsia"/>
              </w:rPr>
              <w:t>8.7</w:t>
            </w:r>
          </w:p>
        </w:tc>
        <w:tc>
          <w:tcPr>
            <w:tcW w:w="853" w:type="pct"/>
            <w:shd w:val="clear" w:color="auto" w:fill="E9F5F2"/>
            <w:vAlign w:val="center"/>
          </w:tcPr>
          <w:p w14:paraId="42C0CCCA" w14:textId="77777777" w:rsidR="00B51D1C" w:rsidRPr="00EB0991" w:rsidRDefault="00B51D1C" w:rsidP="00E06D4C">
            <w:pPr>
              <w:pStyle w:val="TableParagraph"/>
              <w:spacing w:before="60" w:after="60"/>
              <w:ind w:left="57" w:right="57"/>
              <w:jc w:val="center"/>
              <w:cnfStyle w:val="000000000000" w:firstRow="0" w:lastRow="0" w:firstColumn="0" w:lastColumn="0" w:oddVBand="0" w:evenVBand="0" w:oddHBand="0" w:evenHBand="0" w:firstRowFirstColumn="0" w:firstRowLastColumn="0" w:lastRowFirstColumn="0" w:lastRowLastColumn="0"/>
            </w:pPr>
            <w:r w:rsidRPr="00EB0991">
              <w:rPr>
                <w:rFonts w:hint="eastAsia"/>
              </w:rPr>
              <w:t>0</w:t>
            </w:r>
          </w:p>
        </w:tc>
      </w:tr>
      <w:tr w:rsidR="00B51D1C" w:rsidRPr="00B51D1C" w14:paraId="09FCA6D6" w14:textId="77777777">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1589" w:type="pct"/>
            <w:shd w:val="clear" w:color="auto" w:fill="C1DCD5"/>
          </w:tcPr>
          <w:p w14:paraId="56471501" w14:textId="77777777" w:rsidR="00B51D1C" w:rsidRPr="00E06D4C" w:rsidRDefault="00B51D1C" w:rsidP="00E06D4C">
            <w:pPr>
              <w:pStyle w:val="TableParagraph"/>
              <w:spacing w:before="60" w:after="60"/>
              <w:ind w:left="57" w:right="57"/>
              <w:rPr>
                <w:color w:val="auto"/>
              </w:rPr>
            </w:pPr>
            <w:r w:rsidRPr="00E06D4C">
              <w:rPr>
                <w:color w:val="auto"/>
              </w:rPr>
              <w:t xml:space="preserve">3. Further reductions (preferred) </w:t>
            </w:r>
          </w:p>
        </w:tc>
        <w:tc>
          <w:tcPr>
            <w:tcW w:w="852" w:type="pct"/>
            <w:shd w:val="clear" w:color="auto" w:fill="D4E8DE"/>
            <w:vAlign w:val="center"/>
          </w:tcPr>
          <w:p w14:paraId="7FFDB0C9" w14:textId="77777777" w:rsidR="00B51D1C" w:rsidRPr="00EB0991" w:rsidRDefault="00B51D1C" w:rsidP="00E06D4C">
            <w:pPr>
              <w:pStyle w:val="TableParagraph"/>
              <w:spacing w:before="60" w:after="60"/>
              <w:ind w:left="57" w:right="57"/>
              <w:jc w:val="center"/>
              <w:cnfStyle w:val="000000100000" w:firstRow="0" w:lastRow="0" w:firstColumn="0" w:lastColumn="0" w:oddVBand="0" w:evenVBand="0" w:oddHBand="1" w:evenHBand="0" w:firstRowFirstColumn="0" w:firstRowLastColumn="0" w:lastRowFirstColumn="0" w:lastRowLastColumn="0"/>
            </w:pPr>
            <w:r w:rsidRPr="00EB0991">
              <w:rPr>
                <w:rFonts w:hint="eastAsia"/>
              </w:rPr>
              <w:t>28.9</w:t>
            </w:r>
          </w:p>
        </w:tc>
        <w:tc>
          <w:tcPr>
            <w:tcW w:w="853" w:type="pct"/>
            <w:shd w:val="clear" w:color="auto" w:fill="D4E8DE"/>
            <w:vAlign w:val="center"/>
          </w:tcPr>
          <w:p w14:paraId="4273FEAA" w14:textId="77777777" w:rsidR="00B51D1C" w:rsidRPr="00EB0991" w:rsidRDefault="00B51D1C" w:rsidP="00E06D4C">
            <w:pPr>
              <w:pStyle w:val="TableParagraph"/>
              <w:spacing w:before="60" w:after="60"/>
              <w:ind w:left="57" w:right="57"/>
              <w:jc w:val="center"/>
              <w:cnfStyle w:val="000000100000" w:firstRow="0" w:lastRow="0" w:firstColumn="0" w:lastColumn="0" w:oddVBand="0" w:evenVBand="0" w:oddHBand="1" w:evenHBand="0" w:firstRowFirstColumn="0" w:firstRowLastColumn="0" w:lastRowFirstColumn="0" w:lastRowLastColumn="0"/>
            </w:pPr>
            <w:r w:rsidRPr="00EB0991">
              <w:rPr>
                <w:rFonts w:hint="eastAsia"/>
              </w:rPr>
              <w:t>240.0</w:t>
            </w:r>
          </w:p>
        </w:tc>
        <w:tc>
          <w:tcPr>
            <w:tcW w:w="852" w:type="pct"/>
            <w:shd w:val="clear" w:color="auto" w:fill="D4E8DE"/>
            <w:vAlign w:val="center"/>
          </w:tcPr>
          <w:p w14:paraId="76FD8C1B" w14:textId="77777777" w:rsidR="00B51D1C" w:rsidRPr="00EB0991" w:rsidRDefault="00B51D1C" w:rsidP="00E06D4C">
            <w:pPr>
              <w:pStyle w:val="TableParagraph"/>
              <w:spacing w:before="60" w:after="60"/>
              <w:ind w:left="57" w:right="57"/>
              <w:jc w:val="center"/>
              <w:cnfStyle w:val="000000100000" w:firstRow="0" w:lastRow="0" w:firstColumn="0" w:lastColumn="0" w:oddVBand="0" w:evenVBand="0" w:oddHBand="1" w:evenHBand="0" w:firstRowFirstColumn="0" w:firstRowLastColumn="0" w:lastRowFirstColumn="0" w:lastRowLastColumn="0"/>
            </w:pPr>
            <w:r w:rsidRPr="00EB0991">
              <w:rPr>
                <w:rFonts w:hint="eastAsia"/>
              </w:rPr>
              <w:t>0</w:t>
            </w:r>
          </w:p>
        </w:tc>
        <w:tc>
          <w:tcPr>
            <w:tcW w:w="853" w:type="pct"/>
            <w:shd w:val="clear" w:color="auto" w:fill="D4E8DE"/>
            <w:vAlign w:val="center"/>
          </w:tcPr>
          <w:p w14:paraId="77F4EB88" w14:textId="77777777" w:rsidR="00B51D1C" w:rsidRPr="00EB0991" w:rsidRDefault="00B51D1C" w:rsidP="00E06D4C">
            <w:pPr>
              <w:pStyle w:val="TableParagraph"/>
              <w:spacing w:before="60" w:after="60"/>
              <w:ind w:left="57" w:right="57"/>
              <w:jc w:val="center"/>
              <w:cnfStyle w:val="000000100000" w:firstRow="0" w:lastRow="0" w:firstColumn="0" w:lastColumn="0" w:oddVBand="0" w:evenVBand="0" w:oddHBand="1" w:evenHBand="0" w:firstRowFirstColumn="0" w:firstRowLastColumn="0" w:lastRowFirstColumn="0" w:lastRowLastColumn="0"/>
            </w:pPr>
            <w:r w:rsidRPr="00EB0991">
              <w:rPr>
                <w:rFonts w:hint="eastAsia"/>
              </w:rPr>
              <w:t>–</w:t>
            </w:r>
            <w:r w:rsidRPr="00EB0991">
              <w:rPr>
                <w:rFonts w:hint="eastAsia"/>
              </w:rPr>
              <w:t>8.7</w:t>
            </w:r>
          </w:p>
        </w:tc>
      </w:tr>
      <w:tr w:rsidR="00B51D1C" w:rsidRPr="00B51D1C" w14:paraId="4790A541" w14:textId="77777777">
        <w:trPr>
          <w:trHeight w:val="483"/>
        </w:trPr>
        <w:tc>
          <w:tcPr>
            <w:cnfStyle w:val="001000000000" w:firstRow="0" w:lastRow="0" w:firstColumn="1" w:lastColumn="0" w:oddVBand="0" w:evenVBand="0" w:oddHBand="0" w:evenHBand="0" w:firstRowFirstColumn="0" w:firstRowLastColumn="0" w:lastRowFirstColumn="0" w:lastRowLastColumn="0"/>
            <w:tcW w:w="1589" w:type="pct"/>
            <w:shd w:val="clear" w:color="auto" w:fill="C1DCD5"/>
          </w:tcPr>
          <w:p w14:paraId="3C991EE8" w14:textId="77777777" w:rsidR="00B51D1C" w:rsidRPr="00E06D4C" w:rsidRDefault="00B51D1C" w:rsidP="00E06D4C">
            <w:pPr>
              <w:pStyle w:val="TableParagraph"/>
              <w:spacing w:before="60" w:after="60"/>
              <w:ind w:left="57" w:right="57"/>
              <w:rPr>
                <w:color w:val="auto"/>
              </w:rPr>
            </w:pPr>
            <w:r w:rsidRPr="00E06D4C">
              <w:rPr>
                <w:color w:val="auto"/>
              </w:rPr>
              <w:t>4. Second NDC</w:t>
            </w:r>
          </w:p>
        </w:tc>
        <w:tc>
          <w:tcPr>
            <w:tcW w:w="852" w:type="pct"/>
            <w:shd w:val="clear" w:color="auto" w:fill="E9F5F2"/>
            <w:vAlign w:val="center"/>
          </w:tcPr>
          <w:p w14:paraId="594388D7" w14:textId="77777777" w:rsidR="00B51D1C" w:rsidRPr="00EB0991" w:rsidRDefault="00B51D1C" w:rsidP="00E06D4C">
            <w:pPr>
              <w:pStyle w:val="TableParagraph"/>
              <w:spacing w:before="60" w:after="60"/>
              <w:ind w:left="57" w:right="57"/>
              <w:jc w:val="center"/>
              <w:cnfStyle w:val="000000000000" w:firstRow="0" w:lastRow="0" w:firstColumn="0" w:lastColumn="0" w:oddVBand="0" w:evenVBand="0" w:oddHBand="0" w:evenHBand="0" w:firstRowFirstColumn="0" w:firstRowLastColumn="0" w:lastRowFirstColumn="0" w:lastRowLastColumn="0"/>
            </w:pPr>
            <w:r w:rsidRPr="00EB0991">
              <w:rPr>
                <w:rFonts w:hint="eastAsia"/>
              </w:rPr>
              <w:t>24.5 to 14.2</w:t>
            </w:r>
          </w:p>
        </w:tc>
        <w:tc>
          <w:tcPr>
            <w:tcW w:w="853" w:type="pct"/>
            <w:shd w:val="clear" w:color="auto" w:fill="E9F5F2"/>
            <w:vAlign w:val="center"/>
          </w:tcPr>
          <w:p w14:paraId="0EE582CA" w14:textId="77777777" w:rsidR="00B51D1C" w:rsidRPr="00EB0991" w:rsidRDefault="00B51D1C" w:rsidP="00E06D4C">
            <w:pPr>
              <w:pStyle w:val="TableParagraph"/>
              <w:spacing w:before="60" w:after="60"/>
              <w:ind w:left="57" w:right="57"/>
              <w:jc w:val="center"/>
              <w:cnfStyle w:val="000000000000" w:firstRow="0" w:lastRow="0" w:firstColumn="0" w:lastColumn="0" w:oddVBand="0" w:evenVBand="0" w:oddHBand="0" w:evenHBand="0" w:firstRowFirstColumn="0" w:firstRowLastColumn="0" w:lastRowFirstColumn="0" w:lastRowLastColumn="0"/>
            </w:pPr>
            <w:r w:rsidRPr="00EB0991">
              <w:rPr>
                <w:rFonts w:hint="eastAsia"/>
              </w:rPr>
              <w:t>235.5 to 225.3</w:t>
            </w:r>
          </w:p>
        </w:tc>
        <w:tc>
          <w:tcPr>
            <w:tcW w:w="852" w:type="pct"/>
            <w:shd w:val="clear" w:color="auto" w:fill="E9F5F2"/>
            <w:vAlign w:val="center"/>
          </w:tcPr>
          <w:p w14:paraId="15D73B54" w14:textId="77777777" w:rsidR="00B51D1C" w:rsidRPr="00EB0991" w:rsidRDefault="00B51D1C" w:rsidP="00E06D4C">
            <w:pPr>
              <w:pStyle w:val="TableParagraph"/>
              <w:spacing w:before="60" w:after="60"/>
              <w:ind w:left="57" w:right="57"/>
              <w:jc w:val="center"/>
              <w:cnfStyle w:val="000000000000" w:firstRow="0" w:lastRow="0" w:firstColumn="0" w:lastColumn="0" w:oddVBand="0" w:evenVBand="0" w:oddHBand="0" w:evenHBand="0" w:firstRowFirstColumn="0" w:firstRowLastColumn="0" w:lastRowFirstColumn="0" w:lastRowLastColumn="0"/>
            </w:pPr>
            <w:r w:rsidRPr="00EB0991">
              <w:rPr>
                <w:rFonts w:hint="eastAsia"/>
              </w:rPr>
              <w:t>–</w:t>
            </w:r>
            <w:r w:rsidRPr="00EB0991">
              <w:rPr>
                <w:rFonts w:hint="eastAsia"/>
              </w:rPr>
              <w:t xml:space="preserve">4.5 to </w:t>
            </w:r>
            <w:r w:rsidRPr="00EB0991">
              <w:rPr>
                <w:rFonts w:hint="eastAsia"/>
              </w:rPr>
              <w:t>–</w:t>
            </w:r>
            <w:r w:rsidRPr="00EB0991">
              <w:rPr>
                <w:rFonts w:hint="eastAsia"/>
              </w:rPr>
              <w:t>14.7</w:t>
            </w:r>
          </w:p>
        </w:tc>
        <w:tc>
          <w:tcPr>
            <w:tcW w:w="853" w:type="pct"/>
            <w:shd w:val="clear" w:color="auto" w:fill="E9F5F2"/>
            <w:vAlign w:val="center"/>
          </w:tcPr>
          <w:p w14:paraId="7D0BC4FA" w14:textId="77777777" w:rsidR="00B51D1C" w:rsidRPr="00EB0991" w:rsidRDefault="00B51D1C" w:rsidP="00E06D4C">
            <w:pPr>
              <w:pStyle w:val="TableParagraph"/>
              <w:spacing w:before="60" w:after="60"/>
              <w:ind w:left="57" w:right="57"/>
              <w:jc w:val="center"/>
              <w:cnfStyle w:val="000000000000" w:firstRow="0" w:lastRow="0" w:firstColumn="0" w:lastColumn="0" w:oddVBand="0" w:evenVBand="0" w:oddHBand="0" w:evenHBand="0" w:firstRowFirstColumn="0" w:firstRowLastColumn="0" w:lastRowFirstColumn="0" w:lastRowLastColumn="0"/>
            </w:pPr>
            <w:r w:rsidRPr="00EB0991">
              <w:rPr>
                <w:rFonts w:hint="eastAsia"/>
              </w:rPr>
              <w:t>–</w:t>
            </w:r>
            <w:r w:rsidRPr="00EB0991">
              <w:rPr>
                <w:rFonts w:hint="eastAsia"/>
              </w:rPr>
              <w:t xml:space="preserve">13.2 to </w:t>
            </w:r>
            <w:r w:rsidRPr="00EB0991">
              <w:rPr>
                <w:rFonts w:hint="eastAsia"/>
              </w:rPr>
              <w:t>–</w:t>
            </w:r>
            <w:r w:rsidRPr="00EB0991">
              <w:rPr>
                <w:rFonts w:hint="eastAsia"/>
              </w:rPr>
              <w:t>23.5</w:t>
            </w:r>
          </w:p>
        </w:tc>
      </w:tr>
      <w:tr w:rsidR="00B51D1C" w:rsidRPr="00B51D1C" w14:paraId="619555C0" w14:textId="77777777">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1589" w:type="pct"/>
            <w:shd w:val="clear" w:color="auto" w:fill="C1DCD5"/>
          </w:tcPr>
          <w:p w14:paraId="132080F6" w14:textId="77777777" w:rsidR="00B51D1C" w:rsidRPr="00E06D4C" w:rsidRDefault="00B51D1C" w:rsidP="00E06D4C">
            <w:pPr>
              <w:pStyle w:val="TableParagraph"/>
              <w:spacing w:before="60" w:after="60"/>
              <w:ind w:left="57" w:right="57"/>
              <w:rPr>
                <w:color w:val="auto"/>
              </w:rPr>
            </w:pPr>
            <w:r w:rsidRPr="00E06D4C">
              <w:rPr>
                <w:color w:val="auto"/>
              </w:rPr>
              <w:t>5. CCC 2024 budget advice</w:t>
            </w:r>
          </w:p>
        </w:tc>
        <w:tc>
          <w:tcPr>
            <w:tcW w:w="852" w:type="pct"/>
            <w:shd w:val="clear" w:color="auto" w:fill="E9F5F2"/>
            <w:vAlign w:val="bottom"/>
          </w:tcPr>
          <w:p w14:paraId="610028BE" w14:textId="6C608A2E" w:rsidR="00B51D1C" w:rsidRPr="00EB0991" w:rsidRDefault="00B51D1C" w:rsidP="00E06D4C">
            <w:pPr>
              <w:pStyle w:val="TableParagraph"/>
              <w:spacing w:before="60" w:after="60"/>
              <w:ind w:left="57" w:right="57"/>
              <w:jc w:val="center"/>
              <w:cnfStyle w:val="000000100000" w:firstRow="0" w:lastRow="0" w:firstColumn="0" w:lastColumn="0" w:oddVBand="0" w:evenVBand="0" w:oddHBand="1" w:evenHBand="0" w:firstRowFirstColumn="0" w:firstRowLastColumn="0" w:lastRowFirstColumn="0" w:lastRowLastColumn="0"/>
            </w:pPr>
            <w:r w:rsidRPr="00EB0991">
              <w:rPr>
                <w:color w:val="3F3F76"/>
              </w:rPr>
              <w:t>22.9</w:t>
            </w:r>
          </w:p>
        </w:tc>
        <w:tc>
          <w:tcPr>
            <w:tcW w:w="853" w:type="pct"/>
            <w:shd w:val="clear" w:color="auto" w:fill="E9F5F2"/>
            <w:vAlign w:val="bottom"/>
          </w:tcPr>
          <w:p w14:paraId="5E27F6E2" w14:textId="4EA204E4" w:rsidR="00B51D1C" w:rsidRPr="00EB0991" w:rsidRDefault="00B51D1C" w:rsidP="00E06D4C">
            <w:pPr>
              <w:pStyle w:val="TableParagraph"/>
              <w:spacing w:before="60" w:after="60"/>
              <w:ind w:left="57" w:right="57"/>
              <w:jc w:val="center"/>
              <w:cnfStyle w:val="000000100000" w:firstRow="0" w:lastRow="0" w:firstColumn="0" w:lastColumn="0" w:oddVBand="0" w:evenVBand="0" w:oddHBand="1" w:evenHBand="0" w:firstRowFirstColumn="0" w:firstRowLastColumn="0" w:lastRowFirstColumn="0" w:lastRowLastColumn="0"/>
            </w:pPr>
            <w:r w:rsidRPr="00EB0991">
              <w:rPr>
                <w:color w:val="000000"/>
              </w:rPr>
              <w:t>234.0</w:t>
            </w:r>
          </w:p>
        </w:tc>
        <w:tc>
          <w:tcPr>
            <w:tcW w:w="852" w:type="pct"/>
            <w:shd w:val="clear" w:color="auto" w:fill="E9F5F2"/>
            <w:vAlign w:val="bottom"/>
          </w:tcPr>
          <w:p w14:paraId="3E373197" w14:textId="38A2742C" w:rsidR="00B51D1C" w:rsidRPr="00EB0991" w:rsidRDefault="00B51D1C" w:rsidP="00E06D4C">
            <w:pPr>
              <w:pStyle w:val="TableParagraph"/>
              <w:spacing w:before="60" w:after="60"/>
              <w:ind w:left="57" w:right="57"/>
              <w:jc w:val="center"/>
              <w:cnfStyle w:val="000000100000" w:firstRow="0" w:lastRow="0" w:firstColumn="0" w:lastColumn="0" w:oddVBand="0" w:evenVBand="0" w:oddHBand="1" w:evenHBand="0" w:firstRowFirstColumn="0" w:firstRowLastColumn="0" w:lastRowFirstColumn="0" w:lastRowLastColumn="0"/>
            </w:pPr>
            <w:r w:rsidRPr="00FB02C4">
              <w:t>-6.0</w:t>
            </w:r>
          </w:p>
        </w:tc>
        <w:tc>
          <w:tcPr>
            <w:tcW w:w="853" w:type="pct"/>
            <w:shd w:val="clear" w:color="auto" w:fill="E9F5F2"/>
            <w:vAlign w:val="bottom"/>
          </w:tcPr>
          <w:p w14:paraId="66764080" w14:textId="4B4F918D" w:rsidR="00B51D1C" w:rsidRPr="00EB0991" w:rsidRDefault="00B51D1C" w:rsidP="00E06D4C">
            <w:pPr>
              <w:pStyle w:val="TableParagraph"/>
              <w:spacing w:before="60" w:after="60"/>
              <w:ind w:left="57" w:right="57"/>
              <w:jc w:val="center"/>
              <w:cnfStyle w:val="000000100000" w:firstRow="0" w:lastRow="0" w:firstColumn="0" w:lastColumn="0" w:oddVBand="0" w:evenVBand="0" w:oddHBand="1" w:evenHBand="0" w:firstRowFirstColumn="0" w:firstRowLastColumn="0" w:lastRowFirstColumn="0" w:lastRowLastColumn="0"/>
            </w:pPr>
            <w:r w:rsidRPr="00FB02C4">
              <w:t>-14.8</w:t>
            </w:r>
          </w:p>
        </w:tc>
      </w:tr>
      <w:tr w:rsidR="00B51D1C" w:rsidRPr="00B51D1C" w14:paraId="65298E47" w14:textId="77777777">
        <w:trPr>
          <w:trHeight w:val="483"/>
        </w:trPr>
        <w:tc>
          <w:tcPr>
            <w:cnfStyle w:val="001000000000" w:firstRow="0" w:lastRow="0" w:firstColumn="1" w:lastColumn="0" w:oddVBand="0" w:evenVBand="0" w:oddHBand="0" w:evenHBand="0" w:firstRowFirstColumn="0" w:firstRowLastColumn="0" w:lastRowFirstColumn="0" w:lastRowLastColumn="0"/>
            <w:tcW w:w="1589" w:type="pct"/>
            <w:shd w:val="clear" w:color="auto" w:fill="C1DCD5"/>
          </w:tcPr>
          <w:p w14:paraId="39078C21" w14:textId="77777777" w:rsidR="00B51D1C" w:rsidRPr="00E06D4C" w:rsidRDefault="00B51D1C" w:rsidP="00E06D4C">
            <w:pPr>
              <w:pStyle w:val="TableParagraph"/>
              <w:spacing w:before="60" w:after="60"/>
              <w:ind w:left="57" w:right="57"/>
              <w:rPr>
                <w:color w:val="auto"/>
              </w:rPr>
            </w:pPr>
            <w:r w:rsidRPr="00E06D4C">
              <w:rPr>
                <w:color w:val="auto"/>
              </w:rPr>
              <w:t>6. Further reductions (based on WEM agriculture projection)</w:t>
            </w:r>
            <w:r w:rsidRPr="00E06D4C">
              <w:rPr>
                <w:color w:val="auto"/>
              </w:rPr>
              <w:tab/>
            </w:r>
          </w:p>
        </w:tc>
        <w:tc>
          <w:tcPr>
            <w:tcW w:w="852" w:type="pct"/>
            <w:shd w:val="clear" w:color="auto" w:fill="E9F5F2"/>
            <w:vAlign w:val="center"/>
          </w:tcPr>
          <w:p w14:paraId="71979E9C" w14:textId="77777777" w:rsidR="00B51D1C" w:rsidRPr="00EB0991" w:rsidRDefault="00B51D1C" w:rsidP="00E06D4C">
            <w:pPr>
              <w:pStyle w:val="TableParagraph"/>
              <w:spacing w:before="60" w:after="60"/>
              <w:ind w:left="57" w:right="57"/>
              <w:jc w:val="center"/>
              <w:cnfStyle w:val="000000000000" w:firstRow="0" w:lastRow="0" w:firstColumn="0" w:lastColumn="0" w:oddVBand="0" w:evenVBand="0" w:oddHBand="0" w:evenHBand="0" w:firstRowFirstColumn="0" w:firstRowLastColumn="0" w:lastRowFirstColumn="0" w:lastRowLastColumn="0"/>
            </w:pPr>
            <w:r w:rsidRPr="00EB0991">
              <w:t>23.9</w:t>
            </w:r>
          </w:p>
        </w:tc>
        <w:tc>
          <w:tcPr>
            <w:tcW w:w="853" w:type="pct"/>
            <w:shd w:val="clear" w:color="auto" w:fill="E9F5F2"/>
            <w:vAlign w:val="center"/>
          </w:tcPr>
          <w:p w14:paraId="60ACB198" w14:textId="77777777" w:rsidR="00B51D1C" w:rsidRPr="00EB0991" w:rsidRDefault="00B51D1C" w:rsidP="00E06D4C">
            <w:pPr>
              <w:pStyle w:val="TableParagraph"/>
              <w:spacing w:before="60" w:after="60"/>
              <w:ind w:left="57" w:right="57"/>
              <w:jc w:val="center"/>
              <w:cnfStyle w:val="000000000000" w:firstRow="0" w:lastRow="0" w:firstColumn="0" w:lastColumn="0" w:oddVBand="0" w:evenVBand="0" w:oddHBand="0" w:evenHBand="0" w:firstRowFirstColumn="0" w:firstRowLastColumn="0" w:lastRowFirstColumn="0" w:lastRowLastColumn="0"/>
            </w:pPr>
            <w:r w:rsidRPr="00EB0991">
              <w:t>240.0</w:t>
            </w:r>
          </w:p>
        </w:tc>
        <w:tc>
          <w:tcPr>
            <w:tcW w:w="852" w:type="pct"/>
            <w:shd w:val="clear" w:color="auto" w:fill="E9F5F2"/>
            <w:vAlign w:val="center"/>
          </w:tcPr>
          <w:p w14:paraId="5C25F5D9" w14:textId="77777777" w:rsidR="00B51D1C" w:rsidRPr="00EB0991" w:rsidRDefault="00B51D1C" w:rsidP="00E06D4C">
            <w:pPr>
              <w:pStyle w:val="TableParagraph"/>
              <w:spacing w:before="60" w:after="60"/>
              <w:ind w:left="57" w:right="57"/>
              <w:jc w:val="center"/>
              <w:cnfStyle w:val="000000000000" w:firstRow="0" w:lastRow="0" w:firstColumn="0" w:lastColumn="0" w:oddVBand="0" w:evenVBand="0" w:oddHBand="0" w:evenHBand="0" w:firstRowFirstColumn="0" w:firstRowLastColumn="0" w:lastRowFirstColumn="0" w:lastRowLastColumn="0"/>
            </w:pPr>
            <w:r w:rsidRPr="00EB0991">
              <w:t>0</w:t>
            </w:r>
          </w:p>
        </w:tc>
        <w:tc>
          <w:tcPr>
            <w:tcW w:w="853" w:type="pct"/>
            <w:shd w:val="clear" w:color="auto" w:fill="E9F5F2"/>
            <w:vAlign w:val="center"/>
          </w:tcPr>
          <w:p w14:paraId="375579AC" w14:textId="6F88885C" w:rsidR="00B51D1C" w:rsidRPr="00EB0991" w:rsidRDefault="00B51D1C" w:rsidP="00E06D4C">
            <w:pPr>
              <w:pStyle w:val="TableParagraph"/>
              <w:spacing w:before="60" w:after="60"/>
              <w:ind w:left="57" w:right="57"/>
              <w:jc w:val="center"/>
              <w:cnfStyle w:val="000000000000" w:firstRow="0" w:lastRow="0" w:firstColumn="0" w:lastColumn="0" w:oddVBand="0" w:evenVBand="0" w:oddHBand="0" w:evenHBand="0" w:firstRowFirstColumn="0" w:firstRowLastColumn="0" w:lastRowFirstColumn="0" w:lastRowLastColumn="0"/>
            </w:pPr>
            <w:r w:rsidRPr="00EB0991">
              <w:t>-13.7</w:t>
            </w:r>
          </w:p>
        </w:tc>
      </w:tr>
    </w:tbl>
    <w:p w14:paraId="6EC52628" w14:textId="7A209784" w:rsidR="00B51D1C" w:rsidRDefault="001519FA" w:rsidP="001519FA">
      <w:pPr>
        <w:pStyle w:val="Heading4"/>
      </w:pPr>
      <w:r>
        <w:t>Status quo</w:t>
      </w:r>
    </w:p>
    <w:p w14:paraId="6D786166" w14:textId="1DA115B3" w:rsidR="001519FA" w:rsidRDefault="00B07A53" w:rsidP="001519FA">
      <w:pPr>
        <w:pStyle w:val="BodyText"/>
      </w:pPr>
      <w:r>
        <w:t>This</w:t>
      </w:r>
      <w:r w:rsidR="0042184B">
        <w:t xml:space="preserve"> option</w:t>
      </w:r>
      <w:r>
        <w:t xml:space="preserve"> is b</w:t>
      </w:r>
      <w:r w:rsidR="00124618" w:rsidRPr="00124618">
        <w:t>ased directly on the Government’s decision on a provisional emissions cap for the third emissions budget period.</w:t>
      </w:r>
    </w:p>
    <w:p w14:paraId="5077AF2C" w14:textId="7C1AA94F" w:rsidR="00124618" w:rsidRDefault="00124618" w:rsidP="00124618">
      <w:pPr>
        <w:pStyle w:val="Heading4"/>
      </w:pPr>
      <w:r>
        <w:t>Second NDC</w:t>
      </w:r>
    </w:p>
    <w:p w14:paraId="58C12945" w14:textId="30247084" w:rsidR="00124618" w:rsidRDefault="00AF5CA6" w:rsidP="00124618">
      <w:pPr>
        <w:pStyle w:val="BodyText"/>
      </w:pPr>
      <w:r w:rsidRPr="00AF5CA6">
        <w:t xml:space="preserve">This </w:t>
      </w:r>
      <w:r w:rsidR="0042184B">
        <w:t xml:space="preserve">option </w:t>
      </w:r>
      <w:r w:rsidRPr="00AF5CA6">
        <w:t xml:space="preserve">is a range as the second NDC is expressed as a range (a reduction of 51–55% on 2005 emissions). The second NDC is a point year </w:t>
      </w:r>
      <w:proofErr w:type="gramStart"/>
      <w:r w:rsidRPr="00AF5CA6">
        <w:t>target</w:t>
      </w:r>
      <w:proofErr w:type="gramEnd"/>
      <w:r w:rsidRPr="00AF5CA6">
        <w:t xml:space="preserve"> so this net emissions cap has been estimated assuming a straight line between 2030 projected emissions and the 2035 second NDC target emissions. Other trajectories for meeting the second NDC are possible. This results in combined NZ ETS and non-NZ ETS emissions over the period of </w:t>
      </w:r>
      <w:r w:rsidRPr="004C0B90">
        <w:t>23</w:t>
      </w:r>
      <w:r w:rsidR="00B100D4">
        <w:t>5.5</w:t>
      </w:r>
      <w:r w:rsidRPr="004C0B90">
        <w:t>–225</w:t>
      </w:r>
      <w:r w:rsidR="00854227">
        <w:t>.3</w:t>
      </w:r>
      <w:r w:rsidRPr="00AF5CA6">
        <w:t xml:space="preserve"> MtCO</w:t>
      </w:r>
      <w:r w:rsidR="00412AFD" w:rsidRPr="00412AFD">
        <w:rPr>
          <w:vertAlign w:val="subscript"/>
        </w:rPr>
        <w:t>2</w:t>
      </w:r>
      <w:r w:rsidRPr="00AF5CA6">
        <w:t xml:space="preserve">e. We then applied the non-NZ ETS emissions estimated for this period based on the government emissions projections of </w:t>
      </w:r>
      <w:r w:rsidRPr="006062D0">
        <w:t>211</w:t>
      </w:r>
      <w:r w:rsidR="00854227">
        <w:t>.1</w:t>
      </w:r>
      <w:r w:rsidRPr="00AF5CA6">
        <w:t xml:space="preserve"> </w:t>
      </w:r>
      <w:r w:rsidRPr="006062D0">
        <w:t>Mt</w:t>
      </w:r>
      <w:r w:rsidRPr="00AF5CA6">
        <w:t>CO</w:t>
      </w:r>
      <w:bookmarkStart w:id="18" w:name="_Hlk227494734"/>
      <w:r w:rsidRPr="00412AFD">
        <w:rPr>
          <w:vertAlign w:val="subscript"/>
        </w:rPr>
        <w:t>2</w:t>
      </w:r>
      <w:bookmarkEnd w:id="18"/>
      <w:r w:rsidRPr="00AF5CA6">
        <w:t xml:space="preserve">e to reach the net cap of </w:t>
      </w:r>
      <w:r w:rsidRPr="00571C68">
        <w:t>14</w:t>
      </w:r>
      <w:r w:rsidR="00854227">
        <w:t>.2</w:t>
      </w:r>
      <w:r w:rsidRPr="00571C68">
        <w:t>–24</w:t>
      </w:r>
      <w:r w:rsidR="00305626">
        <w:t>.4</w:t>
      </w:r>
      <w:r w:rsidRPr="00AF5CA6">
        <w:t xml:space="preserve"> </w:t>
      </w:r>
      <w:r w:rsidRPr="00571C68">
        <w:t>MtCO</w:t>
      </w:r>
      <w:r w:rsidR="00412AFD" w:rsidRPr="00571C68">
        <w:rPr>
          <w:vertAlign w:val="subscript"/>
        </w:rPr>
        <w:t>2</w:t>
      </w:r>
      <w:r w:rsidRPr="00571C68">
        <w:t>e</w:t>
      </w:r>
      <w:r w:rsidRPr="00AF5CA6">
        <w:t>.</w:t>
      </w:r>
    </w:p>
    <w:p w14:paraId="1A6FBDC1" w14:textId="7B5C165A" w:rsidR="00AF5CA6" w:rsidRDefault="008E1DE9" w:rsidP="008E1DE9">
      <w:pPr>
        <w:pStyle w:val="Heading4"/>
      </w:pPr>
      <w:r>
        <w:t>CCC 2024 budget advice</w:t>
      </w:r>
    </w:p>
    <w:p w14:paraId="2015A585" w14:textId="3373D95A" w:rsidR="008E1DE9" w:rsidRDefault="0042184B" w:rsidP="008E1DE9">
      <w:pPr>
        <w:pStyle w:val="BodyText"/>
      </w:pPr>
      <w:r>
        <w:t>This option is a</w:t>
      </w:r>
      <w:r w:rsidR="008E1DE9">
        <w:t>s d</w:t>
      </w:r>
      <w:r w:rsidR="00AD2A10">
        <w:t xml:space="preserve">escribed in the section </w:t>
      </w:r>
      <w:r w:rsidR="008E1DE9">
        <w:t>above</w:t>
      </w:r>
      <w:r w:rsidR="00FC1EBF">
        <w:t xml:space="preserve"> on the</w:t>
      </w:r>
      <w:r w:rsidR="00073522">
        <w:t xml:space="preserve"> corresponding</w:t>
      </w:r>
      <w:r w:rsidR="00FC1EBF">
        <w:t xml:space="preserve"> </w:t>
      </w:r>
      <w:r w:rsidR="00073522">
        <w:t xml:space="preserve">cap for </w:t>
      </w:r>
      <w:r w:rsidR="0012354E">
        <w:t>second emissions budget</w:t>
      </w:r>
      <w:r w:rsidR="00073522">
        <w:t xml:space="preserve"> period</w:t>
      </w:r>
      <w:r w:rsidR="008E1DE9">
        <w:t xml:space="preserve">. </w:t>
      </w:r>
    </w:p>
    <w:p w14:paraId="6AF09ED5" w14:textId="608C065A" w:rsidR="008E1DE9" w:rsidRDefault="008E1DE9" w:rsidP="008E1DE9">
      <w:pPr>
        <w:pStyle w:val="Heading4"/>
      </w:pPr>
      <w:r>
        <w:t>Further reductions (based on WEM projection for agriculture and WAM projection for other sectors)</w:t>
      </w:r>
    </w:p>
    <w:p w14:paraId="730E0C92" w14:textId="4987D679" w:rsidR="007D124F" w:rsidRDefault="007D124F" w:rsidP="007D124F">
      <w:pPr>
        <w:pStyle w:val="BodyText"/>
      </w:pPr>
      <w:r w:rsidRPr="007D124F">
        <w:t xml:space="preserve">This </w:t>
      </w:r>
      <w:r w:rsidR="0042184B">
        <w:t xml:space="preserve">option </w:t>
      </w:r>
      <w:r w:rsidRPr="007D124F">
        <w:t xml:space="preserve">followed the same process </w:t>
      </w:r>
      <w:r w:rsidR="00A37798">
        <w:t xml:space="preserve">for calculating the emissions cap as </w:t>
      </w:r>
      <w:r w:rsidR="00B85092">
        <w:t xml:space="preserve">we used </w:t>
      </w:r>
      <w:r w:rsidR="006F796C">
        <w:t>for our recommendations</w:t>
      </w:r>
      <w:r w:rsidR="00B56E2D">
        <w:t>. That process</w:t>
      </w:r>
      <w:r w:rsidR="006F796C">
        <w:t xml:space="preserve"> </w:t>
      </w:r>
      <w:r w:rsidR="00B56E2D">
        <w:t>wa</w:t>
      </w:r>
      <w:r w:rsidR="006F796C">
        <w:t xml:space="preserve">s </w:t>
      </w:r>
      <w:r w:rsidR="00B17F56">
        <w:t>based on</w:t>
      </w:r>
      <w:r w:rsidRPr="007D124F">
        <w:t xml:space="preserve"> the WAM central </w:t>
      </w:r>
      <w:r w:rsidR="00B17F56">
        <w:t>scenario from the government’s latest emissions projections. The only difference is that</w:t>
      </w:r>
      <w:r w:rsidR="00435B4A">
        <w:t>,</w:t>
      </w:r>
      <w:r w:rsidRPr="007D124F">
        <w:t xml:space="preserve"> for the agriculture sector</w:t>
      </w:r>
      <w:r w:rsidR="00B17F56">
        <w:t xml:space="preserve">, </w:t>
      </w:r>
      <w:r w:rsidR="00435B4A">
        <w:t xml:space="preserve">in </w:t>
      </w:r>
      <w:r w:rsidR="00B17F56">
        <w:t>this option we</w:t>
      </w:r>
      <w:r w:rsidRPr="007D124F">
        <w:t xml:space="preserve"> used the WEM central </w:t>
      </w:r>
      <w:r w:rsidR="00B17F56">
        <w:t>scenario</w:t>
      </w:r>
      <w:r w:rsidRPr="007D124F">
        <w:t>.</w:t>
      </w:r>
      <w:r w:rsidR="009C6061">
        <w:t xml:space="preserve"> </w:t>
      </w:r>
    </w:p>
    <w:p w14:paraId="166BB46B" w14:textId="77777777" w:rsidR="009C6061" w:rsidRPr="00E06D4C" w:rsidRDefault="009C6061" w:rsidP="00E06D4C">
      <w:r>
        <w:br w:type="page"/>
      </w:r>
    </w:p>
    <w:p w14:paraId="6BF337B5" w14:textId="36027E66" w:rsidR="00F85E62" w:rsidRDefault="00F85E62" w:rsidP="00E06D4C">
      <w:pPr>
        <w:pStyle w:val="Title"/>
      </w:pPr>
      <w:bookmarkStart w:id="19" w:name="_Toc227603107"/>
      <w:r>
        <w:t>Part 2: Unit limits method</w:t>
      </w:r>
      <w:bookmarkEnd w:id="19"/>
    </w:p>
    <w:p w14:paraId="507991FD" w14:textId="49244302" w:rsidR="007D124F" w:rsidRDefault="007D124F" w:rsidP="007D124F">
      <w:pPr>
        <w:pStyle w:val="Heading1nonumber"/>
      </w:pPr>
      <w:bookmarkStart w:id="20" w:name="_Toc227603108"/>
      <w:r>
        <w:t>Step 1: Convert and align emissions and units (technical adjustments)</w:t>
      </w:r>
      <w:bookmarkEnd w:id="20"/>
    </w:p>
    <w:p w14:paraId="5B6DD45E" w14:textId="34CAAFD2" w:rsidR="009F2561" w:rsidRDefault="009F2561" w:rsidP="009F2561">
      <w:pPr>
        <w:pStyle w:val="BodyText"/>
      </w:pPr>
      <w:r>
        <w:t xml:space="preserve">Step 1 focuses on converting the NZ ETS emissions cap to a volume of allowed units for the NZ ETS that is consistent with emissions budgets. Adjustments can be necessary due to differences in the way emissions are estimated in the GHG </w:t>
      </w:r>
      <w:r w:rsidR="00813364">
        <w:t>Inventory</w:t>
      </w:r>
      <w:r>
        <w:t xml:space="preserve"> and target accounting as compared to the NZ ETS. </w:t>
      </w:r>
    </w:p>
    <w:p w14:paraId="1F78F830" w14:textId="5EC7DA43" w:rsidR="009F2561" w:rsidRDefault="009F2561" w:rsidP="009F2561">
      <w:pPr>
        <w:pStyle w:val="BodyText"/>
      </w:pPr>
      <w:r>
        <w:t xml:space="preserve">Any consistent differences between the GHG </w:t>
      </w:r>
      <w:r w:rsidR="00813364">
        <w:t>Inventory</w:t>
      </w:r>
      <w:r>
        <w:t xml:space="preserve"> emissions used in target accounting, and emissions reported in the NZ ETS</w:t>
      </w:r>
      <w:r w:rsidR="00C8105F">
        <w:t>,</w:t>
      </w:r>
      <w:r>
        <w:t xml:space="preserve"> may affect the NZ ETS settings’ ability to accord with emissions reduction targets. This makes it necessary to identify what differences exist and whether a technical adjustment is needed to keep the units in the scheme aligned with targets.</w:t>
      </w:r>
    </w:p>
    <w:p w14:paraId="7ED5FB56" w14:textId="652DCC1C" w:rsidR="009F2561" w:rsidRDefault="009F2561" w:rsidP="009F2561">
      <w:pPr>
        <w:pStyle w:val="BodyText"/>
      </w:pPr>
      <w:r>
        <w:t xml:space="preserve">On average, there is a 16-month lag between when emissions </w:t>
      </w:r>
      <w:r w:rsidR="006354F8">
        <w:t xml:space="preserve">occur </w:t>
      </w:r>
      <w:r>
        <w:t xml:space="preserve">and when they are reported in the GHG </w:t>
      </w:r>
      <w:r w:rsidR="00813364">
        <w:t>Inventory</w:t>
      </w:r>
      <w:r>
        <w:t xml:space="preserve">, which is released annually in April. In contrast, NZ ETS reporting has a shorter delay of about </w:t>
      </w:r>
      <w:r w:rsidR="007E682D">
        <w:t xml:space="preserve">eight </w:t>
      </w:r>
      <w:r>
        <w:t xml:space="preserve">months, </w:t>
      </w:r>
      <w:r w:rsidR="003955CB">
        <w:t xml:space="preserve">with </w:t>
      </w:r>
      <w:r>
        <w:t xml:space="preserve">reported </w:t>
      </w:r>
      <w:r w:rsidR="003955CB">
        <w:t xml:space="preserve">emissions published </w:t>
      </w:r>
      <w:r>
        <w:t xml:space="preserve">in August following the </w:t>
      </w:r>
      <w:r w:rsidR="003364F3">
        <w:t xml:space="preserve">last </w:t>
      </w:r>
      <w:r w:rsidR="005833FF">
        <w:t xml:space="preserve">compliance </w:t>
      </w:r>
      <w:r w:rsidR="003364F3">
        <w:t xml:space="preserve">period which runs on a </w:t>
      </w:r>
      <w:r>
        <w:t>calendar year</w:t>
      </w:r>
      <w:r w:rsidR="003364F3">
        <w:t xml:space="preserve"> basis</w:t>
      </w:r>
      <w:r>
        <w:t>.</w:t>
      </w:r>
      <w:r w:rsidR="009C6061">
        <w:t xml:space="preserve"> </w:t>
      </w:r>
      <w:r>
        <w:t xml:space="preserve">Because of these timelines, </w:t>
      </w:r>
      <w:r w:rsidR="002C48FC">
        <w:t xml:space="preserve">we </w:t>
      </w:r>
      <w:r>
        <w:t xml:space="preserve">can only compare GHG </w:t>
      </w:r>
      <w:r w:rsidR="00813364">
        <w:t>Inventory</w:t>
      </w:r>
      <w:r>
        <w:t xml:space="preserve"> and NZ ETS data up to 2023. The 2025 government emissions projections have been considered as a reference point for evaluating </w:t>
      </w:r>
      <w:r w:rsidR="004362C9">
        <w:t xml:space="preserve">emissions relating to </w:t>
      </w:r>
      <w:r>
        <w:t>the 2024 calendar year.</w:t>
      </w:r>
      <w:r w:rsidR="009C6061">
        <w:t xml:space="preserve"> </w:t>
      </w:r>
    </w:p>
    <w:p w14:paraId="72181165" w14:textId="711E38A4" w:rsidR="009F2561" w:rsidRDefault="009F2561" w:rsidP="009F2561">
      <w:pPr>
        <w:pStyle w:val="BodyText"/>
      </w:pPr>
      <w:r>
        <w:t xml:space="preserve">Table 4 groups emissions by NZ ETS activities, compared to the corresponding GHG </w:t>
      </w:r>
      <w:r w:rsidR="005E4F56">
        <w:t xml:space="preserve">Inventory </w:t>
      </w:r>
      <w:r>
        <w:t xml:space="preserve">category. The forestry grouping shows the ‘Target Accounting’ categories rather than the GHG </w:t>
      </w:r>
      <w:r w:rsidR="005E4F56">
        <w:t xml:space="preserve">Inventory </w:t>
      </w:r>
      <w:r>
        <w:t xml:space="preserve">categories. Target accounting emissions are a specialised measure of emissions and removals by forests used to track progress towards emissions budgets and targets. </w:t>
      </w:r>
    </w:p>
    <w:p w14:paraId="156293FC" w14:textId="206032F9" w:rsidR="007D124F" w:rsidRPr="007D124F" w:rsidRDefault="009F2561" w:rsidP="009F2561">
      <w:pPr>
        <w:pStyle w:val="BodyText"/>
      </w:pPr>
      <w:r>
        <w:t>The analytical approach and categorisations remain broadly consistent with our previous advice.</w:t>
      </w:r>
    </w:p>
    <w:p w14:paraId="06418BCA" w14:textId="2F6FE02B" w:rsidR="00481F36" w:rsidRDefault="00481F36" w:rsidP="00481F36">
      <w:pPr>
        <w:pStyle w:val="FigureTabletitle"/>
      </w:pPr>
      <w:r>
        <w:t xml:space="preserve">Table </w:t>
      </w:r>
      <w:r w:rsidR="00B50217">
        <w:fldChar w:fldCharType="begin"/>
      </w:r>
      <w:r w:rsidR="00B50217">
        <w:instrText xml:space="preserve"> SEQ Table \* ARABIC </w:instrText>
      </w:r>
      <w:r w:rsidR="00B50217">
        <w:fldChar w:fldCharType="separate"/>
      </w:r>
      <w:r w:rsidR="00B50217">
        <w:rPr>
          <w:noProof/>
        </w:rPr>
        <w:t>4</w:t>
      </w:r>
      <w:r w:rsidR="00B50217">
        <w:rPr>
          <w:noProof/>
        </w:rPr>
        <w:fldChar w:fldCharType="end"/>
      </w:r>
      <w:r>
        <w:t>:</w:t>
      </w:r>
      <w:r w:rsidRPr="00173728">
        <w:t xml:space="preserve">NZ ETS activities and corresponding GHG </w:t>
      </w:r>
      <w:r w:rsidR="00813364">
        <w:t>Inventory</w:t>
      </w:r>
      <w:r w:rsidRPr="00173728">
        <w:t xml:space="preserve"> emissions</w:t>
      </w:r>
    </w:p>
    <w:tbl>
      <w:tblPr>
        <w:tblStyle w:val="GridTable5Dark-Accent55"/>
        <w:tblW w:w="0" w:type="auto"/>
        <w:tblLook w:val="04A0" w:firstRow="1" w:lastRow="0" w:firstColumn="1" w:lastColumn="0" w:noHBand="0" w:noVBand="1"/>
      </w:tblPr>
      <w:tblGrid>
        <w:gridCol w:w="1545"/>
        <w:gridCol w:w="3553"/>
        <w:gridCol w:w="3917"/>
      </w:tblGrid>
      <w:tr w:rsidR="00F014A9" w:rsidRPr="00F014A9" w14:paraId="62F97B2A" w14:textId="77777777">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545" w:type="dxa"/>
            <w:shd w:val="clear" w:color="auto" w:fill="002060"/>
            <w:tcMar>
              <w:right w:w="45" w:type="dxa"/>
            </w:tcMar>
            <w:vAlign w:val="center"/>
          </w:tcPr>
          <w:p w14:paraId="4ED91681" w14:textId="77777777" w:rsidR="00F014A9" w:rsidRPr="00F52C33" w:rsidRDefault="00F014A9" w:rsidP="00E06D4C">
            <w:pPr>
              <w:pStyle w:val="Tableheading"/>
              <w:contextualSpacing/>
            </w:pPr>
            <w:r w:rsidRPr="00E06D4C">
              <w:rPr>
                <w:b/>
                <w:bCs/>
              </w:rPr>
              <w:t>Grouping</w:t>
            </w:r>
          </w:p>
        </w:tc>
        <w:tc>
          <w:tcPr>
            <w:tcW w:w="3553" w:type="dxa"/>
            <w:shd w:val="clear" w:color="auto" w:fill="002060"/>
            <w:tcMar>
              <w:right w:w="45" w:type="dxa"/>
            </w:tcMar>
            <w:vAlign w:val="center"/>
          </w:tcPr>
          <w:p w14:paraId="794127FB" w14:textId="77777777" w:rsidR="00F014A9" w:rsidRPr="00F52C33" w:rsidRDefault="00F014A9" w:rsidP="00E06D4C">
            <w:pPr>
              <w:pStyle w:val="Tableheading"/>
              <w:contextualSpacing/>
              <w:cnfStyle w:val="100000000000" w:firstRow="1" w:lastRow="0" w:firstColumn="0" w:lastColumn="0" w:oddVBand="0" w:evenVBand="0" w:oddHBand="0" w:evenHBand="0" w:firstRowFirstColumn="0" w:firstRowLastColumn="0" w:lastRowFirstColumn="0" w:lastRowLastColumn="0"/>
            </w:pPr>
            <w:r w:rsidRPr="00E06D4C">
              <w:rPr>
                <w:b/>
                <w:bCs/>
              </w:rPr>
              <w:t>NZ ETS activities</w:t>
            </w:r>
          </w:p>
        </w:tc>
        <w:tc>
          <w:tcPr>
            <w:tcW w:w="3917" w:type="dxa"/>
            <w:shd w:val="clear" w:color="auto" w:fill="002060"/>
            <w:tcMar>
              <w:right w:w="45" w:type="dxa"/>
            </w:tcMar>
            <w:vAlign w:val="center"/>
          </w:tcPr>
          <w:p w14:paraId="53A7AF36" w14:textId="77777777" w:rsidR="00F014A9" w:rsidRPr="00F52C33" w:rsidRDefault="00F014A9" w:rsidP="00E06D4C">
            <w:pPr>
              <w:pStyle w:val="Tableheading"/>
              <w:contextualSpacing/>
              <w:cnfStyle w:val="100000000000" w:firstRow="1" w:lastRow="0" w:firstColumn="0" w:lastColumn="0" w:oddVBand="0" w:evenVBand="0" w:oddHBand="0" w:evenHBand="0" w:firstRowFirstColumn="0" w:firstRowLastColumn="0" w:lastRowFirstColumn="0" w:lastRowLastColumn="0"/>
            </w:pPr>
            <w:r w:rsidRPr="00E06D4C">
              <w:rPr>
                <w:b/>
                <w:bCs/>
              </w:rPr>
              <w:t>GHG inventory /Target Accounting categories</w:t>
            </w:r>
          </w:p>
        </w:tc>
      </w:tr>
      <w:tr w:rsidR="00F014A9" w:rsidRPr="00F014A9" w14:paraId="40123A8E" w14:textId="77777777">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545" w:type="dxa"/>
            <w:shd w:val="clear" w:color="auto" w:fill="C1DCD5"/>
            <w:tcMar>
              <w:right w:w="45" w:type="dxa"/>
            </w:tcMar>
          </w:tcPr>
          <w:p w14:paraId="17F6DE37" w14:textId="43A312A4" w:rsidR="00F014A9" w:rsidRPr="001F26E9" w:rsidRDefault="00F014A9" w:rsidP="00E06D4C">
            <w:pPr>
              <w:pStyle w:val="TableParagraph"/>
              <w:spacing w:beforeLines="60" w:before="144" w:after="60"/>
              <w:contextualSpacing/>
              <w:rPr>
                <w:color w:val="auto"/>
              </w:rPr>
            </w:pPr>
            <w:r w:rsidRPr="001F26E9">
              <w:rPr>
                <w:color w:val="auto"/>
              </w:rPr>
              <w:t xml:space="preserve">Liquid fossil fuels </w:t>
            </w:r>
            <w:r w:rsidR="00B75E9F" w:rsidRPr="001F26E9">
              <w:rPr>
                <w:color w:val="auto"/>
              </w:rPr>
              <w:t xml:space="preserve">(LFF) </w:t>
            </w:r>
            <w:r w:rsidRPr="001F26E9">
              <w:rPr>
                <w:color w:val="auto"/>
              </w:rPr>
              <w:t>and gas</w:t>
            </w:r>
          </w:p>
        </w:tc>
        <w:tc>
          <w:tcPr>
            <w:tcW w:w="3553" w:type="dxa"/>
            <w:shd w:val="clear" w:color="auto" w:fill="D4E8DE"/>
            <w:tcMar>
              <w:right w:w="45" w:type="dxa"/>
            </w:tcMar>
          </w:tcPr>
          <w:p w14:paraId="74B7A34B" w14:textId="77777777" w:rsidR="00F014A9" w:rsidRPr="00F014A9" w:rsidRDefault="00F014A9" w:rsidP="00E06D4C">
            <w:pPr>
              <w:pStyle w:val="TableParagraph"/>
              <w:numPr>
                <w:ilvl w:val="0"/>
                <w:numId w:val="32"/>
              </w:numPr>
              <w:spacing w:beforeLines="60" w:before="144" w:after="60"/>
              <w:ind w:left="884" w:hanging="357"/>
              <w:contextualSpacing/>
              <w:cnfStyle w:val="000000100000" w:firstRow="0" w:lastRow="0" w:firstColumn="0" w:lastColumn="0" w:oddVBand="0" w:evenVBand="0" w:oddHBand="1" w:evenHBand="0" w:firstRowFirstColumn="0" w:firstRowLastColumn="0" w:lastRowFirstColumn="0" w:lastRowLastColumn="0"/>
              <w:rPr>
                <w:rFonts w:cs="Calibri"/>
              </w:rPr>
            </w:pPr>
            <w:r w:rsidRPr="00F014A9">
              <w:t>owning obligation fuels</w:t>
            </w:r>
          </w:p>
          <w:p w14:paraId="440060BE" w14:textId="77777777" w:rsidR="00F014A9" w:rsidRPr="00F014A9" w:rsidRDefault="00F014A9" w:rsidP="00E06D4C">
            <w:pPr>
              <w:pStyle w:val="TableParagraph"/>
              <w:numPr>
                <w:ilvl w:val="0"/>
                <w:numId w:val="32"/>
              </w:numPr>
              <w:spacing w:beforeLines="60" w:before="144" w:after="60"/>
              <w:ind w:left="884" w:hanging="357"/>
              <w:contextualSpacing/>
              <w:cnfStyle w:val="000000100000" w:firstRow="0" w:lastRow="0" w:firstColumn="0" w:lastColumn="0" w:oddVBand="0" w:evenVBand="0" w:oddHBand="1" w:evenHBand="0" w:firstRowFirstColumn="0" w:firstRowLastColumn="0" w:lastRowFirstColumn="0" w:lastRowLastColumn="0"/>
              <w:rPr>
                <w:rFonts w:cs="Calibri"/>
              </w:rPr>
            </w:pPr>
            <w:r w:rsidRPr="00F014A9">
              <w:t xml:space="preserve">purchasing </w:t>
            </w:r>
            <w:r w:rsidRPr="00F014A9">
              <w:rPr>
                <w:rFonts w:cs="Calibri"/>
              </w:rPr>
              <w:t>obligation fuel</w:t>
            </w:r>
          </w:p>
          <w:p w14:paraId="5D8C3376" w14:textId="77777777" w:rsidR="00F014A9" w:rsidRPr="00F014A9" w:rsidRDefault="00F014A9" w:rsidP="00E06D4C">
            <w:pPr>
              <w:pStyle w:val="TableParagraph"/>
              <w:numPr>
                <w:ilvl w:val="0"/>
                <w:numId w:val="32"/>
              </w:numPr>
              <w:spacing w:beforeLines="60" w:before="144" w:after="60"/>
              <w:ind w:left="884" w:hanging="357"/>
              <w:contextualSpacing/>
              <w:cnfStyle w:val="000000100000" w:firstRow="0" w:lastRow="0" w:firstColumn="0" w:lastColumn="0" w:oddVBand="0" w:evenVBand="0" w:oddHBand="1" w:evenHBand="0" w:firstRowFirstColumn="0" w:firstRowLastColumn="0" w:lastRowFirstColumn="0" w:lastRowLastColumn="0"/>
              <w:rPr>
                <w:rFonts w:cs="Calibri"/>
              </w:rPr>
            </w:pPr>
            <w:r w:rsidRPr="00F014A9">
              <w:t xml:space="preserve">combusting used or waste oil </w:t>
            </w:r>
          </w:p>
          <w:p w14:paraId="669F18EC" w14:textId="77777777" w:rsidR="00F014A9" w:rsidRPr="00F014A9" w:rsidRDefault="00F014A9" w:rsidP="00E06D4C">
            <w:pPr>
              <w:pStyle w:val="TableParagraph"/>
              <w:numPr>
                <w:ilvl w:val="0"/>
                <w:numId w:val="32"/>
              </w:numPr>
              <w:spacing w:beforeLines="60" w:before="144" w:after="60"/>
              <w:ind w:left="884" w:hanging="357"/>
              <w:contextualSpacing/>
              <w:cnfStyle w:val="000000100000" w:firstRow="0" w:lastRow="0" w:firstColumn="0" w:lastColumn="0" w:oddVBand="0" w:evenVBand="0" w:oddHBand="1" w:evenHBand="0" w:firstRowFirstColumn="0" w:firstRowLastColumn="0" w:lastRowFirstColumn="0" w:lastRowLastColumn="0"/>
              <w:rPr>
                <w:rFonts w:cs="Calibri"/>
              </w:rPr>
            </w:pPr>
            <w:r w:rsidRPr="00F014A9">
              <w:t xml:space="preserve">using crude oil or other liquid hydrocarbons </w:t>
            </w:r>
          </w:p>
          <w:p w14:paraId="008BF486" w14:textId="77777777" w:rsidR="00F014A9" w:rsidRPr="00F014A9" w:rsidRDefault="00F014A9" w:rsidP="00E06D4C">
            <w:pPr>
              <w:pStyle w:val="TableParagraph"/>
              <w:numPr>
                <w:ilvl w:val="0"/>
                <w:numId w:val="32"/>
              </w:numPr>
              <w:spacing w:beforeLines="60" w:before="144" w:after="60"/>
              <w:ind w:left="884" w:hanging="357"/>
              <w:contextualSpacing/>
              <w:cnfStyle w:val="000000100000" w:firstRow="0" w:lastRow="0" w:firstColumn="0" w:lastColumn="0" w:oddVBand="0" w:evenVBand="0" w:oddHBand="1" w:evenHBand="0" w:firstRowFirstColumn="0" w:firstRowLastColumn="0" w:lastRowFirstColumn="0" w:lastRowLastColumn="0"/>
              <w:rPr>
                <w:rFonts w:cs="Calibri"/>
              </w:rPr>
            </w:pPr>
            <w:r w:rsidRPr="00F014A9">
              <w:t>mining natural gas</w:t>
            </w:r>
          </w:p>
          <w:p w14:paraId="1430638B" w14:textId="77777777" w:rsidR="00F014A9" w:rsidRPr="00F014A9" w:rsidRDefault="00F014A9" w:rsidP="00E06D4C">
            <w:pPr>
              <w:pStyle w:val="TableParagraph"/>
              <w:numPr>
                <w:ilvl w:val="0"/>
                <w:numId w:val="32"/>
              </w:numPr>
              <w:spacing w:beforeLines="60" w:before="144" w:after="60"/>
              <w:ind w:left="884" w:hanging="357"/>
              <w:contextualSpacing/>
              <w:cnfStyle w:val="000000100000" w:firstRow="0" w:lastRow="0" w:firstColumn="0" w:lastColumn="0" w:oddVBand="0" w:evenVBand="0" w:oddHBand="1" w:evenHBand="0" w:firstRowFirstColumn="0" w:firstRowLastColumn="0" w:lastRowFirstColumn="0" w:lastRowLastColumn="0"/>
              <w:rPr>
                <w:rFonts w:cs="Calibri"/>
              </w:rPr>
            </w:pPr>
            <w:r w:rsidRPr="00F014A9">
              <w:t xml:space="preserve">importing natural gas </w:t>
            </w:r>
          </w:p>
          <w:p w14:paraId="1F677B14" w14:textId="77777777" w:rsidR="00F014A9" w:rsidRPr="00F014A9" w:rsidRDefault="00F014A9" w:rsidP="00E06D4C">
            <w:pPr>
              <w:pStyle w:val="TableParagraph"/>
              <w:numPr>
                <w:ilvl w:val="0"/>
                <w:numId w:val="32"/>
              </w:numPr>
              <w:spacing w:beforeLines="60" w:before="144" w:after="60"/>
              <w:ind w:left="884" w:hanging="357"/>
              <w:contextualSpacing/>
              <w:cnfStyle w:val="000000100000" w:firstRow="0" w:lastRow="0" w:firstColumn="0" w:lastColumn="0" w:oddVBand="0" w:evenVBand="0" w:oddHBand="1" w:evenHBand="0" w:firstRowFirstColumn="0" w:firstRowLastColumn="0" w:lastRowFirstColumn="0" w:lastRowLastColumn="0"/>
              <w:rPr>
                <w:rFonts w:cs="Calibri"/>
              </w:rPr>
            </w:pPr>
            <w:r w:rsidRPr="00F014A9">
              <w:t xml:space="preserve">purchasing natural gas </w:t>
            </w:r>
          </w:p>
          <w:p w14:paraId="5FE97A5B" w14:textId="6A34873A" w:rsidR="00F014A9" w:rsidRPr="00F014A9" w:rsidRDefault="00F014A9" w:rsidP="00E06D4C">
            <w:pPr>
              <w:pStyle w:val="TableParagraph"/>
              <w:numPr>
                <w:ilvl w:val="0"/>
                <w:numId w:val="32"/>
              </w:numPr>
              <w:spacing w:beforeLines="60" w:before="144" w:after="60"/>
              <w:ind w:left="884" w:hanging="357"/>
              <w:contextualSpacing/>
              <w:cnfStyle w:val="000000100000" w:firstRow="0" w:lastRow="0" w:firstColumn="0" w:lastColumn="0" w:oddVBand="0" w:evenVBand="0" w:oddHBand="1" w:evenHBand="0" w:firstRowFirstColumn="0" w:firstRowLastColumn="0" w:lastRowFirstColumn="0" w:lastRowLastColumn="0"/>
            </w:pPr>
            <w:r w:rsidRPr="00F014A9">
              <w:t xml:space="preserve">embedded substances </w:t>
            </w:r>
          </w:p>
        </w:tc>
        <w:tc>
          <w:tcPr>
            <w:tcW w:w="3917" w:type="dxa"/>
            <w:shd w:val="clear" w:color="auto" w:fill="D4E8DE"/>
            <w:tcMar>
              <w:right w:w="45" w:type="dxa"/>
            </w:tcMar>
          </w:tcPr>
          <w:p w14:paraId="1B07CD37" w14:textId="77777777" w:rsidR="00F014A9" w:rsidRPr="00F014A9" w:rsidRDefault="00F014A9" w:rsidP="00E06D4C">
            <w:pPr>
              <w:pStyle w:val="TableParagraph"/>
              <w:spacing w:beforeLines="60" w:before="144" w:after="60"/>
              <w:contextualSpacing/>
              <w:cnfStyle w:val="000000100000" w:firstRow="0" w:lastRow="0" w:firstColumn="0" w:lastColumn="0" w:oddVBand="0" w:evenVBand="0" w:oddHBand="1" w:evenHBand="0" w:firstRowFirstColumn="0" w:firstRowLastColumn="0" w:lastRowFirstColumn="0" w:lastRowLastColumn="0"/>
            </w:pPr>
            <w:r w:rsidRPr="00F014A9">
              <w:t>CRF Table 1.A(a)s1:</w:t>
            </w:r>
          </w:p>
          <w:p w14:paraId="1558722D" w14:textId="77777777" w:rsidR="00F014A9" w:rsidRPr="00F014A9" w:rsidRDefault="00F014A9" w:rsidP="00E06D4C">
            <w:pPr>
              <w:pStyle w:val="TableParagraph"/>
              <w:numPr>
                <w:ilvl w:val="0"/>
                <w:numId w:val="33"/>
              </w:numPr>
              <w:spacing w:beforeLines="60" w:before="144" w:after="60"/>
              <w:contextualSpacing/>
              <w:cnfStyle w:val="000000100000" w:firstRow="0" w:lastRow="0" w:firstColumn="0" w:lastColumn="0" w:oddVBand="0" w:evenVBand="0" w:oddHBand="1" w:evenHBand="0" w:firstRowFirstColumn="0" w:firstRowLastColumn="0" w:lastRowFirstColumn="0" w:lastRowLastColumn="0"/>
            </w:pPr>
            <w:r w:rsidRPr="00F014A9">
              <w:t xml:space="preserve">LFF combustion (including LPG) </w:t>
            </w:r>
          </w:p>
          <w:p w14:paraId="7D20EEDA" w14:textId="77777777" w:rsidR="00F014A9" w:rsidRPr="00F014A9" w:rsidRDefault="00F014A9" w:rsidP="00E06D4C">
            <w:pPr>
              <w:pStyle w:val="TableParagraph"/>
              <w:spacing w:beforeLines="60" w:before="144" w:after="60"/>
              <w:contextualSpacing/>
              <w:cnfStyle w:val="000000100000" w:firstRow="0" w:lastRow="0" w:firstColumn="0" w:lastColumn="0" w:oddVBand="0" w:evenVBand="0" w:oddHBand="1" w:evenHBand="0" w:firstRowFirstColumn="0" w:firstRowLastColumn="0" w:lastRowFirstColumn="0" w:lastRowLastColumn="0"/>
            </w:pPr>
            <w:r w:rsidRPr="00F014A9">
              <w:t>All gases:</w:t>
            </w:r>
          </w:p>
          <w:p w14:paraId="73781E79" w14:textId="77777777" w:rsidR="00F014A9" w:rsidRPr="00F014A9" w:rsidRDefault="00F014A9" w:rsidP="00E06D4C">
            <w:pPr>
              <w:pStyle w:val="TableParagraph"/>
              <w:numPr>
                <w:ilvl w:val="0"/>
                <w:numId w:val="33"/>
              </w:numPr>
              <w:spacing w:beforeLines="60" w:before="144" w:after="60"/>
              <w:contextualSpacing/>
              <w:cnfStyle w:val="000000100000" w:firstRow="0" w:lastRow="0" w:firstColumn="0" w:lastColumn="0" w:oddVBand="0" w:evenVBand="0" w:oddHBand="1" w:evenHBand="0" w:firstRowFirstColumn="0" w:firstRowLastColumn="0" w:lastRowFirstColumn="0" w:lastRowLastColumn="0"/>
            </w:pPr>
            <w:r w:rsidRPr="00F014A9">
              <w:t>1B: fugitive emissions, natural gas venting and flaring</w:t>
            </w:r>
          </w:p>
          <w:p w14:paraId="6235FCC5" w14:textId="77777777" w:rsidR="00F014A9" w:rsidRPr="00F014A9" w:rsidRDefault="00F014A9" w:rsidP="00E06D4C">
            <w:pPr>
              <w:pStyle w:val="TableParagraph"/>
              <w:numPr>
                <w:ilvl w:val="0"/>
                <w:numId w:val="33"/>
              </w:numPr>
              <w:spacing w:beforeLines="60" w:before="144" w:after="60"/>
              <w:contextualSpacing/>
              <w:cnfStyle w:val="000000100000" w:firstRow="0" w:lastRow="0" w:firstColumn="0" w:lastColumn="0" w:oddVBand="0" w:evenVBand="0" w:oddHBand="1" w:evenHBand="0" w:firstRowFirstColumn="0" w:firstRowLastColumn="0" w:lastRowFirstColumn="0" w:lastRowLastColumn="0"/>
            </w:pPr>
            <w:r w:rsidRPr="00F014A9">
              <w:t xml:space="preserve">2B: IPPU chemical industry, excluding H2 production </w:t>
            </w:r>
          </w:p>
          <w:p w14:paraId="4C2EF24C" w14:textId="77777777" w:rsidR="00F014A9" w:rsidRPr="00F014A9" w:rsidRDefault="00F014A9" w:rsidP="00E06D4C">
            <w:pPr>
              <w:spacing w:beforeLines="60" w:before="144" w:after="60" w:line="240" w:lineRule="auto"/>
              <w:contextualSpacing/>
              <w:cnfStyle w:val="000000100000" w:firstRow="0" w:lastRow="0" w:firstColumn="0" w:lastColumn="0" w:oddVBand="0" w:evenVBand="0" w:oddHBand="1" w:evenHBand="0" w:firstRowFirstColumn="0" w:firstRowLastColumn="0" w:lastRowFirstColumn="0" w:lastRowLastColumn="0"/>
              <w:rPr>
                <w:rFonts w:cs="Calibri"/>
                <w:sz w:val="22"/>
                <w:szCs w:val="22"/>
              </w:rPr>
            </w:pPr>
          </w:p>
        </w:tc>
      </w:tr>
      <w:tr w:rsidR="00F014A9" w:rsidRPr="00F014A9" w14:paraId="2F67000E" w14:textId="77777777">
        <w:trPr>
          <w:trHeight w:val="480"/>
        </w:trPr>
        <w:tc>
          <w:tcPr>
            <w:cnfStyle w:val="001000000000" w:firstRow="0" w:lastRow="0" w:firstColumn="1" w:lastColumn="0" w:oddVBand="0" w:evenVBand="0" w:oddHBand="0" w:evenHBand="0" w:firstRowFirstColumn="0" w:firstRowLastColumn="0" w:lastRowFirstColumn="0" w:lastRowLastColumn="0"/>
            <w:tcW w:w="1545" w:type="dxa"/>
            <w:shd w:val="clear" w:color="auto" w:fill="C1DCD5"/>
            <w:tcMar>
              <w:right w:w="45" w:type="dxa"/>
            </w:tcMar>
          </w:tcPr>
          <w:p w14:paraId="165D3779" w14:textId="77777777" w:rsidR="00F014A9" w:rsidRPr="001F26E9" w:rsidRDefault="00F014A9" w:rsidP="00E06D4C">
            <w:pPr>
              <w:pStyle w:val="TableParagraph"/>
              <w:spacing w:beforeLines="60" w:before="144" w:after="60"/>
              <w:contextualSpacing/>
              <w:rPr>
                <w:color w:val="auto"/>
              </w:rPr>
            </w:pPr>
            <w:r w:rsidRPr="001F26E9">
              <w:rPr>
                <w:color w:val="auto"/>
              </w:rPr>
              <w:t>Coal and steel production*</w:t>
            </w:r>
          </w:p>
        </w:tc>
        <w:tc>
          <w:tcPr>
            <w:tcW w:w="3553" w:type="dxa"/>
            <w:shd w:val="clear" w:color="auto" w:fill="E9F5F2"/>
            <w:tcMar>
              <w:right w:w="45" w:type="dxa"/>
            </w:tcMar>
          </w:tcPr>
          <w:p w14:paraId="1125E74A" w14:textId="77777777" w:rsidR="00F014A9" w:rsidRPr="00F014A9" w:rsidRDefault="00F014A9" w:rsidP="00E06D4C">
            <w:pPr>
              <w:pStyle w:val="TableParagraph"/>
              <w:numPr>
                <w:ilvl w:val="0"/>
                <w:numId w:val="34"/>
              </w:numPr>
              <w:spacing w:beforeLines="60" w:before="144" w:after="60"/>
              <w:contextualSpacing/>
              <w:cnfStyle w:val="000000000000" w:firstRow="0" w:lastRow="0" w:firstColumn="0" w:lastColumn="0" w:oddVBand="0" w:evenVBand="0" w:oddHBand="0" w:evenHBand="0" w:firstRowFirstColumn="0" w:firstRowLastColumn="0" w:lastRowFirstColumn="0" w:lastRowLastColumn="0"/>
            </w:pPr>
            <w:proofErr w:type="gramStart"/>
            <w:r w:rsidRPr="00F014A9">
              <w:t>importing</w:t>
            </w:r>
            <w:proofErr w:type="gramEnd"/>
            <w:r w:rsidRPr="00F014A9">
              <w:t xml:space="preserve"> coal</w:t>
            </w:r>
          </w:p>
          <w:p w14:paraId="7626BC8C" w14:textId="77777777" w:rsidR="00F014A9" w:rsidRPr="00F014A9" w:rsidRDefault="00F014A9" w:rsidP="00E06D4C">
            <w:pPr>
              <w:pStyle w:val="TableParagraph"/>
              <w:numPr>
                <w:ilvl w:val="0"/>
                <w:numId w:val="34"/>
              </w:numPr>
              <w:spacing w:beforeLines="60" w:before="144" w:after="60"/>
              <w:contextualSpacing/>
              <w:cnfStyle w:val="000000000000" w:firstRow="0" w:lastRow="0" w:firstColumn="0" w:lastColumn="0" w:oddVBand="0" w:evenVBand="0" w:oddHBand="0" w:evenHBand="0" w:firstRowFirstColumn="0" w:firstRowLastColumn="0" w:lastRowFirstColumn="0" w:lastRowLastColumn="0"/>
            </w:pPr>
            <w:proofErr w:type="gramStart"/>
            <w:r w:rsidRPr="00F014A9">
              <w:t>mining coal</w:t>
            </w:r>
            <w:proofErr w:type="gramEnd"/>
          </w:p>
          <w:p w14:paraId="471C4FAE" w14:textId="77777777" w:rsidR="00F014A9" w:rsidRPr="00F014A9" w:rsidRDefault="00F014A9" w:rsidP="00E06D4C">
            <w:pPr>
              <w:pStyle w:val="TableParagraph"/>
              <w:numPr>
                <w:ilvl w:val="0"/>
                <w:numId w:val="34"/>
              </w:numPr>
              <w:spacing w:beforeLines="60" w:before="144" w:after="60"/>
              <w:contextualSpacing/>
              <w:cnfStyle w:val="000000000000" w:firstRow="0" w:lastRow="0" w:firstColumn="0" w:lastColumn="0" w:oddVBand="0" w:evenVBand="0" w:oddHBand="0" w:evenHBand="0" w:firstRowFirstColumn="0" w:firstRowLastColumn="0" w:lastRowFirstColumn="0" w:lastRowLastColumn="0"/>
            </w:pPr>
            <w:r w:rsidRPr="00F014A9">
              <w:t xml:space="preserve">purchasing coal </w:t>
            </w:r>
          </w:p>
          <w:p w14:paraId="242993C4" w14:textId="77777777" w:rsidR="00F014A9" w:rsidRPr="00F014A9" w:rsidRDefault="00F014A9" w:rsidP="00E06D4C">
            <w:pPr>
              <w:pStyle w:val="TableParagraph"/>
              <w:numPr>
                <w:ilvl w:val="0"/>
                <w:numId w:val="34"/>
              </w:numPr>
              <w:spacing w:beforeLines="60" w:before="144" w:after="60"/>
              <w:contextualSpacing/>
              <w:cnfStyle w:val="000000000000" w:firstRow="0" w:lastRow="0" w:firstColumn="0" w:lastColumn="0" w:oddVBand="0" w:evenVBand="0" w:oddHBand="0" w:evenHBand="0" w:firstRowFirstColumn="0" w:firstRowLastColumn="0" w:lastRowFirstColumn="0" w:lastRowLastColumn="0"/>
            </w:pPr>
            <w:r w:rsidRPr="00F014A9">
              <w:t>producing iron or steel</w:t>
            </w:r>
          </w:p>
        </w:tc>
        <w:tc>
          <w:tcPr>
            <w:tcW w:w="3917" w:type="dxa"/>
            <w:shd w:val="clear" w:color="auto" w:fill="E9F5F2"/>
            <w:tcMar>
              <w:right w:w="45" w:type="dxa"/>
            </w:tcMar>
          </w:tcPr>
          <w:p w14:paraId="6A16799A" w14:textId="77777777" w:rsidR="00F014A9" w:rsidRPr="00F014A9" w:rsidRDefault="00F014A9" w:rsidP="00E06D4C">
            <w:pPr>
              <w:pStyle w:val="TableParagraph"/>
              <w:spacing w:beforeLines="60" w:before="144" w:after="60"/>
              <w:contextualSpacing/>
              <w:cnfStyle w:val="000000000000" w:firstRow="0" w:lastRow="0" w:firstColumn="0" w:lastColumn="0" w:oddVBand="0" w:evenVBand="0" w:oddHBand="0" w:evenHBand="0" w:firstRowFirstColumn="0" w:firstRowLastColumn="0" w:lastRowFirstColumn="0" w:lastRowLastColumn="0"/>
            </w:pPr>
            <w:r w:rsidRPr="00F014A9">
              <w:t>CRF Table 1.A(a)s1:</w:t>
            </w:r>
          </w:p>
          <w:p w14:paraId="7B43FA02" w14:textId="77777777" w:rsidR="00F014A9" w:rsidRPr="00F014A9" w:rsidRDefault="00F014A9" w:rsidP="00E06D4C">
            <w:pPr>
              <w:pStyle w:val="TableParagraph"/>
              <w:numPr>
                <w:ilvl w:val="0"/>
                <w:numId w:val="35"/>
              </w:numPr>
              <w:spacing w:beforeLines="60" w:before="144" w:after="60"/>
              <w:contextualSpacing/>
              <w:cnfStyle w:val="000000000000" w:firstRow="0" w:lastRow="0" w:firstColumn="0" w:lastColumn="0" w:oddVBand="0" w:evenVBand="0" w:oddHBand="0" w:evenHBand="0" w:firstRowFirstColumn="0" w:firstRowLastColumn="0" w:lastRowFirstColumn="0" w:lastRowLastColumn="0"/>
            </w:pPr>
            <w:r w:rsidRPr="00F014A9">
              <w:t>solid fuels combustion emissions</w:t>
            </w:r>
          </w:p>
          <w:p w14:paraId="79DB2299" w14:textId="77777777" w:rsidR="00F014A9" w:rsidRPr="00F014A9" w:rsidRDefault="00F014A9" w:rsidP="00E06D4C">
            <w:pPr>
              <w:pStyle w:val="TableParagraph"/>
              <w:spacing w:beforeLines="60" w:before="144" w:after="60"/>
              <w:contextualSpacing/>
              <w:cnfStyle w:val="000000000000" w:firstRow="0" w:lastRow="0" w:firstColumn="0" w:lastColumn="0" w:oddVBand="0" w:evenVBand="0" w:oddHBand="0" w:evenHBand="0" w:firstRowFirstColumn="0" w:firstRowLastColumn="0" w:lastRowFirstColumn="0" w:lastRowLastColumn="0"/>
            </w:pPr>
            <w:r w:rsidRPr="00F014A9">
              <w:t xml:space="preserve"> All gases:</w:t>
            </w:r>
          </w:p>
          <w:p w14:paraId="66CB3BCB" w14:textId="77777777" w:rsidR="00F014A9" w:rsidRPr="00F014A9" w:rsidRDefault="00F014A9" w:rsidP="00E06D4C">
            <w:pPr>
              <w:pStyle w:val="TableParagraph"/>
              <w:numPr>
                <w:ilvl w:val="0"/>
                <w:numId w:val="35"/>
              </w:numPr>
              <w:spacing w:beforeLines="60" w:before="144" w:after="60"/>
              <w:contextualSpacing/>
              <w:cnfStyle w:val="000000000000" w:firstRow="0" w:lastRow="0" w:firstColumn="0" w:lastColumn="0" w:oddVBand="0" w:evenVBand="0" w:oddHBand="0" w:evenHBand="0" w:firstRowFirstColumn="0" w:firstRowLastColumn="0" w:lastRowFirstColumn="0" w:lastRowLastColumn="0"/>
            </w:pPr>
            <w:r w:rsidRPr="00F014A9">
              <w:t>1B.1.a: fugitive emissions, coal mining</w:t>
            </w:r>
          </w:p>
          <w:p w14:paraId="1DC1D076" w14:textId="77777777" w:rsidR="00F014A9" w:rsidRPr="00F014A9" w:rsidRDefault="00F014A9" w:rsidP="00E06D4C">
            <w:pPr>
              <w:pStyle w:val="TableParagraph"/>
              <w:spacing w:beforeLines="60" w:before="144" w:after="60"/>
              <w:contextualSpacing/>
              <w:cnfStyle w:val="000000000000" w:firstRow="0" w:lastRow="0" w:firstColumn="0" w:lastColumn="0" w:oddVBand="0" w:evenVBand="0" w:oddHBand="0" w:evenHBand="0" w:firstRowFirstColumn="0" w:firstRowLastColumn="0" w:lastRowFirstColumn="0" w:lastRowLastColumn="0"/>
            </w:pPr>
            <w:r w:rsidRPr="00F014A9">
              <w:t>2.C.1: iron and steel production</w:t>
            </w:r>
          </w:p>
        </w:tc>
      </w:tr>
      <w:tr w:rsidR="00F014A9" w:rsidRPr="00F014A9" w14:paraId="32DB8512" w14:textId="77777777">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545" w:type="dxa"/>
            <w:shd w:val="clear" w:color="auto" w:fill="C1DCD5"/>
            <w:tcMar>
              <w:right w:w="45" w:type="dxa"/>
            </w:tcMar>
          </w:tcPr>
          <w:p w14:paraId="1D79F3FA" w14:textId="77777777" w:rsidR="00F014A9" w:rsidRPr="001F26E9" w:rsidRDefault="00F014A9" w:rsidP="00E06D4C">
            <w:pPr>
              <w:pStyle w:val="TableParagraph"/>
              <w:spacing w:beforeLines="60" w:before="144" w:after="60"/>
              <w:contextualSpacing/>
              <w:rPr>
                <w:color w:val="auto"/>
              </w:rPr>
            </w:pPr>
            <w:r w:rsidRPr="001F26E9">
              <w:rPr>
                <w:color w:val="auto"/>
              </w:rPr>
              <w:t>Geothermal</w:t>
            </w:r>
          </w:p>
        </w:tc>
        <w:tc>
          <w:tcPr>
            <w:tcW w:w="3553" w:type="dxa"/>
            <w:shd w:val="clear" w:color="auto" w:fill="D4E8DE"/>
            <w:tcMar>
              <w:right w:w="45" w:type="dxa"/>
            </w:tcMar>
          </w:tcPr>
          <w:p w14:paraId="6A917DF5" w14:textId="77777777" w:rsidR="00F014A9" w:rsidRPr="00F014A9" w:rsidRDefault="00F014A9" w:rsidP="00E06D4C">
            <w:pPr>
              <w:pStyle w:val="TableParagraph"/>
              <w:numPr>
                <w:ilvl w:val="0"/>
                <w:numId w:val="35"/>
              </w:numPr>
              <w:spacing w:beforeLines="60" w:before="144" w:after="60"/>
              <w:contextualSpacing/>
              <w:cnfStyle w:val="000000100000" w:firstRow="0" w:lastRow="0" w:firstColumn="0" w:lastColumn="0" w:oddVBand="0" w:evenVBand="0" w:oddHBand="1" w:evenHBand="0" w:firstRowFirstColumn="0" w:firstRowLastColumn="0" w:lastRowFirstColumn="0" w:lastRowLastColumn="0"/>
            </w:pPr>
            <w:r w:rsidRPr="00F014A9">
              <w:t>using geothermal fluid</w:t>
            </w:r>
          </w:p>
        </w:tc>
        <w:tc>
          <w:tcPr>
            <w:tcW w:w="3917" w:type="dxa"/>
            <w:shd w:val="clear" w:color="auto" w:fill="D4E8DE"/>
            <w:tcMar>
              <w:right w:w="45" w:type="dxa"/>
            </w:tcMar>
          </w:tcPr>
          <w:p w14:paraId="6A9A0C6C" w14:textId="77777777" w:rsidR="00F014A9" w:rsidRPr="00F014A9" w:rsidRDefault="00F014A9" w:rsidP="00E06D4C">
            <w:pPr>
              <w:pStyle w:val="TableParagraph"/>
              <w:spacing w:beforeLines="60" w:before="144" w:after="60"/>
              <w:contextualSpacing/>
              <w:cnfStyle w:val="000000100000" w:firstRow="0" w:lastRow="0" w:firstColumn="0" w:lastColumn="0" w:oddVBand="0" w:evenVBand="0" w:oddHBand="1" w:evenHBand="0" w:firstRowFirstColumn="0" w:firstRowLastColumn="0" w:lastRowFirstColumn="0" w:lastRowLastColumn="0"/>
            </w:pPr>
            <w:r w:rsidRPr="00F014A9">
              <w:t>1.B.2.d: fugitive emissions, geothermal</w:t>
            </w:r>
          </w:p>
        </w:tc>
      </w:tr>
      <w:tr w:rsidR="00F014A9" w:rsidRPr="00F014A9" w14:paraId="26F82472" w14:textId="77777777">
        <w:trPr>
          <w:trHeight w:val="480"/>
        </w:trPr>
        <w:tc>
          <w:tcPr>
            <w:cnfStyle w:val="001000000000" w:firstRow="0" w:lastRow="0" w:firstColumn="1" w:lastColumn="0" w:oddVBand="0" w:evenVBand="0" w:oddHBand="0" w:evenHBand="0" w:firstRowFirstColumn="0" w:firstRowLastColumn="0" w:lastRowFirstColumn="0" w:lastRowLastColumn="0"/>
            <w:tcW w:w="1545" w:type="dxa"/>
            <w:shd w:val="clear" w:color="auto" w:fill="C1DCD5"/>
            <w:tcMar>
              <w:right w:w="45" w:type="dxa"/>
            </w:tcMar>
          </w:tcPr>
          <w:p w14:paraId="2A8CC45B" w14:textId="77777777" w:rsidR="00F014A9" w:rsidRPr="001F26E9" w:rsidRDefault="00F014A9" w:rsidP="00E06D4C">
            <w:pPr>
              <w:pStyle w:val="TableParagraph"/>
              <w:spacing w:beforeLines="60" w:before="144" w:after="60"/>
              <w:contextualSpacing/>
              <w:rPr>
                <w:color w:val="auto"/>
              </w:rPr>
            </w:pPr>
            <w:r w:rsidRPr="001F26E9">
              <w:rPr>
                <w:color w:val="auto"/>
              </w:rPr>
              <w:t>IPPU</w:t>
            </w:r>
          </w:p>
        </w:tc>
        <w:tc>
          <w:tcPr>
            <w:tcW w:w="3553" w:type="dxa"/>
            <w:shd w:val="clear" w:color="auto" w:fill="E9F5F2"/>
            <w:tcMar>
              <w:right w:w="45" w:type="dxa"/>
            </w:tcMar>
          </w:tcPr>
          <w:p w14:paraId="75558F1A" w14:textId="77777777" w:rsidR="00F014A9" w:rsidRPr="00F014A9" w:rsidRDefault="00F014A9" w:rsidP="00E06D4C">
            <w:pPr>
              <w:pStyle w:val="TableParagraph"/>
              <w:numPr>
                <w:ilvl w:val="0"/>
                <w:numId w:val="36"/>
              </w:numPr>
              <w:spacing w:beforeLines="60" w:before="144" w:after="60"/>
              <w:contextualSpacing/>
              <w:cnfStyle w:val="000000000000" w:firstRow="0" w:lastRow="0" w:firstColumn="0" w:lastColumn="0" w:oddVBand="0" w:evenVBand="0" w:oddHBand="0" w:evenHBand="0" w:firstRowFirstColumn="0" w:firstRowLastColumn="0" w:lastRowFirstColumn="0" w:lastRowLastColumn="0"/>
            </w:pPr>
            <w:r w:rsidRPr="00F014A9">
              <w:t>producing aluminium</w:t>
            </w:r>
          </w:p>
          <w:p w14:paraId="6E5FD38D" w14:textId="77777777" w:rsidR="00F014A9" w:rsidRPr="00F014A9" w:rsidRDefault="00F014A9" w:rsidP="00E06D4C">
            <w:pPr>
              <w:pStyle w:val="TableParagraph"/>
              <w:numPr>
                <w:ilvl w:val="0"/>
                <w:numId w:val="36"/>
              </w:numPr>
              <w:spacing w:beforeLines="60" w:before="144" w:after="60"/>
              <w:contextualSpacing/>
              <w:cnfStyle w:val="000000000000" w:firstRow="0" w:lastRow="0" w:firstColumn="0" w:lastColumn="0" w:oddVBand="0" w:evenVBand="0" w:oddHBand="0" w:evenHBand="0" w:firstRowFirstColumn="0" w:firstRowLastColumn="0" w:lastRowFirstColumn="0" w:lastRowLastColumn="0"/>
            </w:pPr>
            <w:r w:rsidRPr="00F014A9">
              <w:t>producing clinker or burnt lime</w:t>
            </w:r>
          </w:p>
          <w:p w14:paraId="6D43B2D8" w14:textId="77777777" w:rsidR="00F014A9" w:rsidRPr="00F014A9" w:rsidRDefault="00F014A9" w:rsidP="00E06D4C">
            <w:pPr>
              <w:pStyle w:val="TableParagraph"/>
              <w:numPr>
                <w:ilvl w:val="0"/>
                <w:numId w:val="36"/>
              </w:numPr>
              <w:spacing w:beforeLines="60" w:before="144" w:after="60"/>
              <w:contextualSpacing/>
              <w:cnfStyle w:val="000000000000" w:firstRow="0" w:lastRow="0" w:firstColumn="0" w:lastColumn="0" w:oddVBand="0" w:evenVBand="0" w:oddHBand="0" w:evenHBand="0" w:firstRowFirstColumn="0" w:firstRowLastColumn="0" w:lastRowFirstColumn="0" w:lastRowLastColumn="0"/>
            </w:pPr>
            <w:proofErr w:type="gramStart"/>
            <w:r w:rsidRPr="00F014A9">
              <w:t>producing</w:t>
            </w:r>
            <w:proofErr w:type="gramEnd"/>
            <w:r w:rsidRPr="00F014A9">
              <w:t xml:space="preserve"> glass using soda ash</w:t>
            </w:r>
          </w:p>
          <w:p w14:paraId="5930F497" w14:textId="77777777" w:rsidR="00F014A9" w:rsidRPr="00F014A9" w:rsidRDefault="00F014A9" w:rsidP="00E06D4C">
            <w:pPr>
              <w:pStyle w:val="TableParagraph"/>
              <w:numPr>
                <w:ilvl w:val="0"/>
                <w:numId w:val="27"/>
              </w:numPr>
              <w:spacing w:beforeLines="60" w:before="144" w:after="60"/>
              <w:contextualSpacing/>
              <w:cnfStyle w:val="000000000000" w:firstRow="0" w:lastRow="0" w:firstColumn="0" w:lastColumn="0" w:oddVBand="0" w:evenVBand="0" w:oddHBand="0" w:evenHBand="0" w:firstRowFirstColumn="0" w:firstRowLastColumn="0" w:lastRowFirstColumn="0" w:lastRowLastColumn="0"/>
            </w:pPr>
            <w:r w:rsidRPr="00F014A9">
              <w:t>operating electrical switchgear using sulphur hexafluoride (SF</w:t>
            </w:r>
            <w:r w:rsidRPr="00F014A9">
              <w:rPr>
                <w:vertAlign w:val="subscript"/>
              </w:rPr>
              <w:t>6</w:t>
            </w:r>
            <w:r w:rsidRPr="00F014A9">
              <w:t>)</w:t>
            </w:r>
          </w:p>
        </w:tc>
        <w:tc>
          <w:tcPr>
            <w:tcW w:w="3917" w:type="dxa"/>
            <w:shd w:val="clear" w:color="auto" w:fill="E9F5F2"/>
            <w:tcMar>
              <w:right w:w="45" w:type="dxa"/>
            </w:tcMar>
          </w:tcPr>
          <w:p w14:paraId="462422E4" w14:textId="77777777" w:rsidR="00F014A9" w:rsidRPr="00F014A9" w:rsidRDefault="00F014A9" w:rsidP="00E06D4C">
            <w:pPr>
              <w:pStyle w:val="TableParagraph"/>
              <w:numPr>
                <w:ilvl w:val="0"/>
                <w:numId w:val="27"/>
              </w:numPr>
              <w:spacing w:beforeLines="60" w:before="144" w:after="60"/>
              <w:contextualSpacing/>
              <w:cnfStyle w:val="000000000000" w:firstRow="0" w:lastRow="0" w:firstColumn="0" w:lastColumn="0" w:oddVBand="0" w:evenVBand="0" w:oddHBand="0" w:evenHBand="0" w:firstRowFirstColumn="0" w:firstRowLastColumn="0" w:lastRowFirstColumn="0" w:lastRowLastColumn="0"/>
            </w:pPr>
            <w:r w:rsidRPr="00F014A9">
              <w:t xml:space="preserve">2.A.1: cement production </w:t>
            </w:r>
          </w:p>
          <w:p w14:paraId="735B5D17" w14:textId="77777777" w:rsidR="00F014A9" w:rsidRPr="00F014A9" w:rsidRDefault="00F014A9" w:rsidP="00E06D4C">
            <w:pPr>
              <w:pStyle w:val="TableParagraph"/>
              <w:numPr>
                <w:ilvl w:val="0"/>
                <w:numId w:val="27"/>
              </w:numPr>
              <w:spacing w:beforeLines="60" w:before="144" w:after="60"/>
              <w:contextualSpacing/>
              <w:cnfStyle w:val="000000000000" w:firstRow="0" w:lastRow="0" w:firstColumn="0" w:lastColumn="0" w:oddVBand="0" w:evenVBand="0" w:oddHBand="0" w:evenHBand="0" w:firstRowFirstColumn="0" w:firstRowLastColumn="0" w:lastRowFirstColumn="0" w:lastRowLastColumn="0"/>
            </w:pPr>
            <w:r w:rsidRPr="00F014A9">
              <w:t xml:space="preserve">2.A.2: lime production </w:t>
            </w:r>
          </w:p>
          <w:p w14:paraId="130F3A83" w14:textId="77777777" w:rsidR="00F014A9" w:rsidRPr="00F014A9" w:rsidRDefault="00F014A9" w:rsidP="00E06D4C">
            <w:pPr>
              <w:pStyle w:val="TableParagraph"/>
              <w:numPr>
                <w:ilvl w:val="0"/>
                <w:numId w:val="27"/>
              </w:numPr>
              <w:spacing w:beforeLines="60" w:before="144" w:after="60"/>
              <w:contextualSpacing/>
              <w:cnfStyle w:val="000000000000" w:firstRow="0" w:lastRow="0" w:firstColumn="0" w:lastColumn="0" w:oddVBand="0" w:evenVBand="0" w:oddHBand="0" w:evenHBand="0" w:firstRowFirstColumn="0" w:firstRowLastColumn="0" w:lastRowFirstColumn="0" w:lastRowLastColumn="0"/>
            </w:pPr>
            <w:r w:rsidRPr="00F014A9">
              <w:t xml:space="preserve">2.A.4.b: other uses of soda ash </w:t>
            </w:r>
          </w:p>
          <w:p w14:paraId="4A447082" w14:textId="77777777" w:rsidR="00F014A9" w:rsidRPr="00F014A9" w:rsidRDefault="00F014A9" w:rsidP="00E06D4C">
            <w:pPr>
              <w:pStyle w:val="TableParagraph"/>
              <w:numPr>
                <w:ilvl w:val="0"/>
                <w:numId w:val="27"/>
              </w:numPr>
              <w:spacing w:beforeLines="60" w:before="144" w:after="60"/>
              <w:contextualSpacing/>
              <w:cnfStyle w:val="000000000000" w:firstRow="0" w:lastRow="0" w:firstColumn="0" w:lastColumn="0" w:oddVBand="0" w:evenVBand="0" w:oddHBand="0" w:evenHBand="0" w:firstRowFirstColumn="0" w:firstRowLastColumn="0" w:lastRowFirstColumn="0" w:lastRowLastColumn="0"/>
            </w:pPr>
            <w:r w:rsidRPr="00F014A9">
              <w:t>2.C.3: aluminium production</w:t>
            </w:r>
          </w:p>
          <w:p w14:paraId="3E9CF88E" w14:textId="77777777" w:rsidR="00F014A9" w:rsidRPr="00F014A9" w:rsidRDefault="00F014A9" w:rsidP="00E06D4C">
            <w:pPr>
              <w:pStyle w:val="TableParagraph"/>
              <w:numPr>
                <w:ilvl w:val="0"/>
                <w:numId w:val="27"/>
              </w:numPr>
              <w:spacing w:beforeLines="60" w:before="144" w:after="60"/>
              <w:contextualSpacing/>
              <w:cnfStyle w:val="000000000000" w:firstRow="0" w:lastRow="0" w:firstColumn="0" w:lastColumn="0" w:oddVBand="0" w:evenVBand="0" w:oddHBand="0" w:evenHBand="0" w:firstRowFirstColumn="0" w:firstRowLastColumn="0" w:lastRowFirstColumn="0" w:lastRowLastColumn="0"/>
            </w:pPr>
            <w:r w:rsidRPr="00F014A9">
              <w:t>2.G.1: electrical equipment (SF</w:t>
            </w:r>
            <w:r w:rsidRPr="00F014A9">
              <w:rPr>
                <w:vertAlign w:val="subscript"/>
              </w:rPr>
              <w:t>6</w:t>
            </w:r>
            <w:r w:rsidRPr="00F014A9">
              <w:t>)</w:t>
            </w:r>
          </w:p>
        </w:tc>
      </w:tr>
      <w:tr w:rsidR="00F014A9" w:rsidRPr="00F014A9" w14:paraId="537A7645" w14:textId="77777777">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545" w:type="dxa"/>
            <w:shd w:val="clear" w:color="auto" w:fill="C1DCD5"/>
            <w:tcMar>
              <w:right w:w="45" w:type="dxa"/>
            </w:tcMar>
          </w:tcPr>
          <w:p w14:paraId="189B007C" w14:textId="77777777" w:rsidR="00F014A9" w:rsidRPr="001F26E9" w:rsidRDefault="00F014A9" w:rsidP="00E06D4C">
            <w:pPr>
              <w:pStyle w:val="TableParagraph"/>
              <w:spacing w:beforeLines="60" w:before="144" w:after="60"/>
              <w:contextualSpacing/>
              <w:rPr>
                <w:color w:val="auto"/>
              </w:rPr>
            </w:pPr>
            <w:r w:rsidRPr="001F26E9">
              <w:rPr>
                <w:color w:val="auto"/>
              </w:rPr>
              <w:t>Synthetic greenhouse gases (SGG)</w:t>
            </w:r>
          </w:p>
        </w:tc>
        <w:tc>
          <w:tcPr>
            <w:tcW w:w="3553" w:type="dxa"/>
            <w:shd w:val="clear" w:color="auto" w:fill="D4E8DE"/>
            <w:tcMar>
              <w:right w:w="45" w:type="dxa"/>
            </w:tcMar>
          </w:tcPr>
          <w:p w14:paraId="0D6E4B13" w14:textId="77777777" w:rsidR="00F014A9" w:rsidRPr="00F014A9" w:rsidRDefault="00F014A9" w:rsidP="00E06D4C">
            <w:pPr>
              <w:pStyle w:val="TableParagraph"/>
              <w:spacing w:beforeLines="60" w:before="144" w:after="60"/>
              <w:contextualSpacing/>
              <w:cnfStyle w:val="000000100000" w:firstRow="0" w:lastRow="0" w:firstColumn="0" w:lastColumn="0" w:oddVBand="0" w:evenVBand="0" w:oddHBand="1" w:evenHBand="0" w:firstRowFirstColumn="0" w:firstRowLastColumn="0" w:lastRowFirstColumn="0" w:lastRowLastColumn="0"/>
            </w:pPr>
            <w:r w:rsidRPr="00F014A9">
              <w:t xml:space="preserve">NZ ETS: </w:t>
            </w:r>
          </w:p>
          <w:p w14:paraId="5B42C9F4" w14:textId="77777777" w:rsidR="00F014A9" w:rsidRPr="00F014A9" w:rsidRDefault="00F014A9" w:rsidP="00E06D4C">
            <w:pPr>
              <w:pStyle w:val="TableParagraph"/>
              <w:numPr>
                <w:ilvl w:val="0"/>
                <w:numId w:val="37"/>
              </w:numPr>
              <w:spacing w:beforeLines="60" w:before="144" w:after="60"/>
              <w:contextualSpacing/>
              <w:cnfStyle w:val="000000100000" w:firstRow="0" w:lastRow="0" w:firstColumn="0" w:lastColumn="0" w:oddVBand="0" w:evenVBand="0" w:oddHBand="1" w:evenHBand="0" w:firstRowFirstColumn="0" w:firstRowLastColumn="0" w:lastRowFirstColumn="0" w:lastRowLastColumn="0"/>
            </w:pPr>
            <w:r w:rsidRPr="00F014A9">
              <w:t>importing hydrofluorocarbons (HFCs)</w:t>
            </w:r>
          </w:p>
          <w:p w14:paraId="2C4A7C5E" w14:textId="77777777" w:rsidR="00F014A9" w:rsidRPr="00F014A9" w:rsidRDefault="00F014A9" w:rsidP="00E06D4C">
            <w:pPr>
              <w:pStyle w:val="TableParagraph"/>
              <w:numPr>
                <w:ilvl w:val="0"/>
                <w:numId w:val="37"/>
              </w:numPr>
              <w:spacing w:beforeLines="60" w:before="144" w:after="60"/>
              <w:contextualSpacing/>
              <w:cnfStyle w:val="000000100000" w:firstRow="0" w:lastRow="0" w:firstColumn="0" w:lastColumn="0" w:oddVBand="0" w:evenVBand="0" w:oddHBand="1" w:evenHBand="0" w:firstRowFirstColumn="0" w:firstRowLastColumn="0" w:lastRowFirstColumn="0" w:lastRowLastColumn="0"/>
            </w:pPr>
            <w:r w:rsidRPr="00F014A9">
              <w:t>exporting HFCs</w:t>
            </w:r>
          </w:p>
          <w:p w14:paraId="4091FD1D" w14:textId="77777777" w:rsidR="00F014A9" w:rsidRPr="00F014A9" w:rsidRDefault="00F014A9" w:rsidP="00E06D4C">
            <w:pPr>
              <w:pStyle w:val="TableParagraph"/>
              <w:numPr>
                <w:ilvl w:val="0"/>
                <w:numId w:val="37"/>
              </w:numPr>
              <w:spacing w:beforeLines="60" w:before="144" w:after="60"/>
              <w:contextualSpacing/>
              <w:cnfStyle w:val="000000100000" w:firstRow="0" w:lastRow="0" w:firstColumn="0" w:lastColumn="0" w:oddVBand="0" w:evenVBand="0" w:oddHBand="1" w:evenHBand="0" w:firstRowFirstColumn="0" w:firstRowLastColumn="0" w:lastRowFirstColumn="0" w:lastRowLastColumn="0"/>
            </w:pPr>
            <w:r w:rsidRPr="00F014A9">
              <w:t>SGG levy:</w:t>
            </w:r>
          </w:p>
          <w:p w14:paraId="3BA808A5" w14:textId="77777777" w:rsidR="00F014A9" w:rsidRPr="00F014A9" w:rsidRDefault="00F014A9" w:rsidP="00E06D4C">
            <w:pPr>
              <w:pStyle w:val="TableParagraph"/>
              <w:numPr>
                <w:ilvl w:val="0"/>
                <w:numId w:val="37"/>
              </w:numPr>
              <w:spacing w:beforeLines="60" w:before="144" w:after="60"/>
              <w:contextualSpacing/>
              <w:cnfStyle w:val="000000100000" w:firstRow="0" w:lastRow="0" w:firstColumn="0" w:lastColumn="0" w:oddVBand="0" w:evenVBand="0" w:oddHBand="1" w:evenHBand="0" w:firstRowFirstColumn="0" w:firstRowLastColumn="0" w:lastRowFirstColumn="0" w:lastRowLastColumn="0"/>
            </w:pPr>
            <w:r w:rsidRPr="00F014A9">
              <w:t>Products containing SGGs</w:t>
            </w:r>
          </w:p>
          <w:p w14:paraId="386063E1" w14:textId="77777777" w:rsidR="00F014A9" w:rsidRPr="00F014A9" w:rsidRDefault="00F014A9" w:rsidP="00E06D4C">
            <w:pPr>
              <w:pStyle w:val="TableParagraph"/>
              <w:numPr>
                <w:ilvl w:val="0"/>
                <w:numId w:val="37"/>
              </w:numPr>
              <w:spacing w:beforeLines="60" w:before="144" w:after="60"/>
              <w:contextualSpacing/>
              <w:cnfStyle w:val="000000100000" w:firstRow="0" w:lastRow="0" w:firstColumn="0" w:lastColumn="0" w:oddVBand="0" w:evenVBand="0" w:oddHBand="1" w:evenHBand="0" w:firstRowFirstColumn="0" w:firstRowLastColumn="0" w:lastRowFirstColumn="0" w:lastRowLastColumn="0"/>
            </w:pPr>
            <w:r w:rsidRPr="00F014A9">
              <w:t>SGGs in motor vehicles</w:t>
            </w:r>
          </w:p>
        </w:tc>
        <w:tc>
          <w:tcPr>
            <w:tcW w:w="3917" w:type="dxa"/>
            <w:shd w:val="clear" w:color="auto" w:fill="D4E8DE"/>
            <w:tcMar>
              <w:right w:w="45" w:type="dxa"/>
            </w:tcMar>
          </w:tcPr>
          <w:p w14:paraId="64E48295" w14:textId="77777777" w:rsidR="00F014A9" w:rsidRPr="00F014A9" w:rsidRDefault="00F014A9" w:rsidP="00E06D4C">
            <w:pPr>
              <w:pStyle w:val="TableParagraph"/>
              <w:numPr>
                <w:ilvl w:val="0"/>
                <w:numId w:val="25"/>
              </w:numPr>
              <w:spacing w:beforeLines="60" w:before="144" w:after="60"/>
              <w:contextualSpacing/>
              <w:cnfStyle w:val="000000100000" w:firstRow="0" w:lastRow="0" w:firstColumn="0" w:lastColumn="0" w:oddVBand="0" w:evenVBand="0" w:oddHBand="1" w:evenHBand="0" w:firstRowFirstColumn="0" w:firstRowLastColumn="0" w:lastRowFirstColumn="0" w:lastRowLastColumn="0"/>
            </w:pPr>
            <w:r w:rsidRPr="00F014A9">
              <w:t>2.F: product used as substitutes for ozone depleting substances (ODS)</w:t>
            </w:r>
          </w:p>
          <w:p w14:paraId="2D7271C9" w14:textId="77777777" w:rsidR="00F014A9" w:rsidRPr="00F014A9" w:rsidRDefault="00F014A9" w:rsidP="00E06D4C">
            <w:pPr>
              <w:spacing w:beforeLines="60" w:before="144" w:after="60" w:line="240" w:lineRule="auto"/>
              <w:contextualSpacing/>
              <w:cnfStyle w:val="000000100000" w:firstRow="0" w:lastRow="0" w:firstColumn="0" w:lastColumn="0" w:oddVBand="0" w:evenVBand="0" w:oddHBand="1" w:evenHBand="0" w:firstRowFirstColumn="0" w:firstRowLastColumn="0" w:lastRowFirstColumn="0" w:lastRowLastColumn="0"/>
              <w:rPr>
                <w:rFonts w:cs="Calibri"/>
                <w:sz w:val="22"/>
                <w:szCs w:val="22"/>
              </w:rPr>
            </w:pPr>
          </w:p>
          <w:p w14:paraId="1A83F5D4" w14:textId="77777777" w:rsidR="00F014A9" w:rsidRPr="00F014A9" w:rsidRDefault="00F014A9" w:rsidP="00E06D4C">
            <w:pPr>
              <w:spacing w:beforeLines="60" w:before="144" w:after="60" w:line="240" w:lineRule="auto"/>
              <w:contextualSpacing/>
              <w:cnfStyle w:val="000000100000" w:firstRow="0" w:lastRow="0" w:firstColumn="0" w:lastColumn="0" w:oddVBand="0" w:evenVBand="0" w:oddHBand="1" w:evenHBand="0" w:firstRowFirstColumn="0" w:firstRowLastColumn="0" w:lastRowFirstColumn="0" w:lastRowLastColumn="0"/>
              <w:rPr>
                <w:rFonts w:cs="Calibri"/>
                <w:sz w:val="22"/>
                <w:szCs w:val="22"/>
              </w:rPr>
            </w:pPr>
          </w:p>
        </w:tc>
      </w:tr>
      <w:tr w:rsidR="00F014A9" w:rsidRPr="00F014A9" w14:paraId="2FEF03B3" w14:textId="77777777">
        <w:trPr>
          <w:trHeight w:val="480"/>
        </w:trPr>
        <w:tc>
          <w:tcPr>
            <w:cnfStyle w:val="001000000000" w:firstRow="0" w:lastRow="0" w:firstColumn="1" w:lastColumn="0" w:oddVBand="0" w:evenVBand="0" w:oddHBand="0" w:evenHBand="0" w:firstRowFirstColumn="0" w:firstRowLastColumn="0" w:lastRowFirstColumn="0" w:lastRowLastColumn="0"/>
            <w:tcW w:w="1545" w:type="dxa"/>
            <w:shd w:val="clear" w:color="auto" w:fill="C1DCD5"/>
            <w:tcMar>
              <w:right w:w="45" w:type="dxa"/>
            </w:tcMar>
          </w:tcPr>
          <w:p w14:paraId="1C180E02" w14:textId="77777777" w:rsidR="00F014A9" w:rsidRPr="001F26E9" w:rsidRDefault="00F014A9" w:rsidP="00E06D4C">
            <w:pPr>
              <w:pStyle w:val="TableParagraph"/>
              <w:spacing w:beforeLines="60" w:before="144" w:after="60"/>
              <w:contextualSpacing/>
              <w:rPr>
                <w:color w:val="auto"/>
              </w:rPr>
            </w:pPr>
            <w:r w:rsidRPr="001F26E9">
              <w:rPr>
                <w:color w:val="auto"/>
              </w:rPr>
              <w:t>Waste</w:t>
            </w:r>
          </w:p>
        </w:tc>
        <w:tc>
          <w:tcPr>
            <w:tcW w:w="3553" w:type="dxa"/>
            <w:shd w:val="clear" w:color="auto" w:fill="E9F5F2"/>
            <w:tcMar>
              <w:right w:w="45" w:type="dxa"/>
            </w:tcMar>
          </w:tcPr>
          <w:p w14:paraId="61DE2D81" w14:textId="77777777" w:rsidR="00F014A9" w:rsidRPr="00F014A9" w:rsidRDefault="00F014A9" w:rsidP="00E06D4C">
            <w:pPr>
              <w:pStyle w:val="TableParagraph"/>
              <w:numPr>
                <w:ilvl w:val="0"/>
                <w:numId w:val="25"/>
              </w:numPr>
              <w:spacing w:beforeLines="60" w:before="144" w:after="60"/>
              <w:contextualSpacing/>
              <w:cnfStyle w:val="000000000000" w:firstRow="0" w:lastRow="0" w:firstColumn="0" w:lastColumn="0" w:oddVBand="0" w:evenVBand="0" w:oddHBand="0" w:evenHBand="0" w:firstRowFirstColumn="0" w:firstRowLastColumn="0" w:lastRowFirstColumn="0" w:lastRowLastColumn="0"/>
            </w:pPr>
            <w:r w:rsidRPr="00F014A9">
              <w:t>operating a disposal facility</w:t>
            </w:r>
          </w:p>
        </w:tc>
        <w:tc>
          <w:tcPr>
            <w:tcW w:w="3917" w:type="dxa"/>
            <w:shd w:val="clear" w:color="auto" w:fill="E9F5F2"/>
            <w:tcMar>
              <w:right w:w="45" w:type="dxa"/>
            </w:tcMar>
          </w:tcPr>
          <w:p w14:paraId="23849258" w14:textId="77777777" w:rsidR="00F014A9" w:rsidRPr="00F014A9" w:rsidRDefault="00F014A9" w:rsidP="00E06D4C">
            <w:pPr>
              <w:pStyle w:val="TableParagraph"/>
              <w:spacing w:beforeLines="60" w:before="144" w:after="60"/>
              <w:contextualSpacing/>
              <w:cnfStyle w:val="000000000000" w:firstRow="0" w:lastRow="0" w:firstColumn="0" w:lastColumn="0" w:oddVBand="0" w:evenVBand="0" w:oddHBand="0" w:evenHBand="0" w:firstRowFirstColumn="0" w:firstRowLastColumn="0" w:lastRowFirstColumn="0" w:lastRowLastColumn="0"/>
            </w:pPr>
            <w:r w:rsidRPr="00F014A9">
              <w:t xml:space="preserve">5.A.1: </w:t>
            </w:r>
            <w:proofErr w:type="gramStart"/>
            <w:r w:rsidRPr="00F014A9">
              <w:t>managed</w:t>
            </w:r>
            <w:proofErr w:type="gramEnd"/>
            <w:r w:rsidRPr="00F014A9">
              <w:t xml:space="preserve"> waste disposal sites </w:t>
            </w:r>
          </w:p>
        </w:tc>
      </w:tr>
      <w:tr w:rsidR="00F014A9" w:rsidRPr="00F014A9" w14:paraId="301D8860" w14:textId="77777777">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545" w:type="dxa"/>
            <w:shd w:val="clear" w:color="auto" w:fill="C1DCD5"/>
            <w:tcMar>
              <w:right w:w="45" w:type="dxa"/>
            </w:tcMar>
          </w:tcPr>
          <w:p w14:paraId="7F6DB9AC" w14:textId="77777777" w:rsidR="00F014A9" w:rsidRPr="001F26E9" w:rsidRDefault="00F014A9" w:rsidP="00E06D4C">
            <w:pPr>
              <w:pStyle w:val="TableParagraph"/>
              <w:spacing w:beforeLines="60" w:before="144" w:after="60"/>
              <w:contextualSpacing/>
              <w:rPr>
                <w:color w:val="auto"/>
              </w:rPr>
            </w:pPr>
            <w:r w:rsidRPr="001F26E9">
              <w:rPr>
                <w:color w:val="auto"/>
              </w:rPr>
              <w:t>Forestry</w:t>
            </w:r>
          </w:p>
        </w:tc>
        <w:tc>
          <w:tcPr>
            <w:tcW w:w="3553" w:type="dxa"/>
            <w:shd w:val="clear" w:color="auto" w:fill="D4E8DE"/>
            <w:tcMar>
              <w:right w:w="45" w:type="dxa"/>
            </w:tcMar>
          </w:tcPr>
          <w:p w14:paraId="2F78FEE9" w14:textId="77777777" w:rsidR="00F014A9" w:rsidRPr="00F014A9" w:rsidRDefault="00F014A9" w:rsidP="00E06D4C">
            <w:pPr>
              <w:pStyle w:val="TableParagraph"/>
              <w:numPr>
                <w:ilvl w:val="0"/>
                <w:numId w:val="38"/>
              </w:numPr>
              <w:spacing w:beforeLines="60" w:before="144" w:after="60"/>
              <w:contextualSpacing/>
              <w:cnfStyle w:val="000000100000" w:firstRow="0" w:lastRow="0" w:firstColumn="0" w:lastColumn="0" w:oddVBand="0" w:evenVBand="0" w:oddHBand="1" w:evenHBand="0" w:firstRowFirstColumn="0" w:firstRowLastColumn="0" w:lastRowFirstColumn="0" w:lastRowLastColumn="0"/>
            </w:pPr>
            <w:r w:rsidRPr="00F014A9">
              <w:t>deforestation of pre-1990 forests</w:t>
            </w:r>
          </w:p>
          <w:p w14:paraId="4FD7FB33" w14:textId="56F7E69D" w:rsidR="00F014A9" w:rsidRPr="00F014A9" w:rsidRDefault="00F014A9" w:rsidP="00E06D4C">
            <w:pPr>
              <w:pStyle w:val="TableParagraph"/>
              <w:numPr>
                <w:ilvl w:val="0"/>
                <w:numId w:val="38"/>
              </w:numPr>
              <w:spacing w:beforeLines="60" w:before="144" w:after="60"/>
              <w:contextualSpacing/>
              <w:cnfStyle w:val="000000100000" w:firstRow="0" w:lastRow="0" w:firstColumn="0" w:lastColumn="0" w:oddVBand="0" w:evenVBand="0" w:oddHBand="1" w:evenHBand="0" w:firstRowFirstColumn="0" w:firstRowLastColumn="0" w:lastRowFirstColumn="0" w:lastRowLastColumn="0"/>
            </w:pPr>
            <w:r w:rsidRPr="00F014A9">
              <w:t>harvest</w:t>
            </w:r>
            <w:r w:rsidR="009930D5" w:rsidRPr="00F014A9">
              <w:t xml:space="preserve"> </w:t>
            </w:r>
            <w:r w:rsidR="009930D5">
              <w:t>and</w:t>
            </w:r>
            <w:r w:rsidRPr="00F014A9">
              <w:t xml:space="preserve"> deforestation of post-1989 forests </w:t>
            </w:r>
          </w:p>
          <w:p w14:paraId="2BCCA31A" w14:textId="50956B13" w:rsidR="00F014A9" w:rsidRPr="00F014A9" w:rsidRDefault="00F014A9" w:rsidP="00E06D4C">
            <w:pPr>
              <w:pStyle w:val="TableParagraph"/>
              <w:numPr>
                <w:ilvl w:val="0"/>
                <w:numId w:val="38"/>
              </w:numPr>
              <w:spacing w:beforeLines="60" w:before="144" w:after="60"/>
              <w:contextualSpacing/>
              <w:cnfStyle w:val="000000100000" w:firstRow="0" w:lastRow="0" w:firstColumn="0" w:lastColumn="0" w:oddVBand="0" w:evenVBand="0" w:oddHBand="1" w:evenHBand="0" w:firstRowFirstColumn="0" w:firstRowLastColumn="0" w:lastRowFirstColumn="0" w:lastRowLastColumn="0"/>
            </w:pPr>
            <w:r w:rsidRPr="00F014A9">
              <w:t xml:space="preserve">post-1989 forest </w:t>
            </w:r>
            <w:r w:rsidR="00855D53">
              <w:t>CO</w:t>
            </w:r>
            <w:r w:rsidR="00855D53" w:rsidRPr="00BC66D4">
              <w:rPr>
                <w:vertAlign w:val="subscript"/>
              </w:rPr>
              <w:t>2</w:t>
            </w:r>
            <w:r w:rsidR="00855D53">
              <w:t xml:space="preserve"> </w:t>
            </w:r>
            <w:r w:rsidRPr="00F014A9">
              <w:t>removals</w:t>
            </w:r>
          </w:p>
        </w:tc>
        <w:tc>
          <w:tcPr>
            <w:tcW w:w="3917" w:type="dxa"/>
            <w:shd w:val="clear" w:color="auto" w:fill="D4E8DE"/>
          </w:tcPr>
          <w:p w14:paraId="0DCAD1FC" w14:textId="77777777" w:rsidR="003D287B" w:rsidRPr="00F014A9" w:rsidRDefault="003D287B" w:rsidP="00E06D4C">
            <w:pPr>
              <w:pStyle w:val="TableParagraph"/>
              <w:numPr>
                <w:ilvl w:val="0"/>
                <w:numId w:val="39"/>
              </w:numPr>
              <w:spacing w:beforeLines="60" w:before="144" w:after="60"/>
              <w:contextualSpacing/>
              <w:cnfStyle w:val="000000100000" w:firstRow="0" w:lastRow="0" w:firstColumn="0" w:lastColumn="0" w:oddVBand="0" w:evenVBand="0" w:oddHBand="1" w:evenHBand="0" w:firstRowFirstColumn="0" w:firstRowLastColumn="0" w:lastRowFirstColumn="0" w:lastRowLastColumn="0"/>
            </w:pPr>
            <w:proofErr w:type="gramStart"/>
            <w:r w:rsidRPr="00F014A9">
              <w:t>afforestation exotic</w:t>
            </w:r>
            <w:proofErr w:type="gramEnd"/>
          </w:p>
          <w:p w14:paraId="38E65F61" w14:textId="77777777" w:rsidR="003D287B" w:rsidRPr="00F014A9" w:rsidRDefault="003D287B" w:rsidP="00E06D4C">
            <w:pPr>
              <w:pStyle w:val="TableParagraph"/>
              <w:numPr>
                <w:ilvl w:val="0"/>
                <w:numId w:val="39"/>
              </w:numPr>
              <w:spacing w:beforeLines="60" w:before="144" w:after="60"/>
              <w:contextualSpacing/>
              <w:cnfStyle w:val="000000100000" w:firstRow="0" w:lastRow="0" w:firstColumn="0" w:lastColumn="0" w:oddVBand="0" w:evenVBand="0" w:oddHBand="1" w:evenHBand="0" w:firstRowFirstColumn="0" w:firstRowLastColumn="0" w:lastRowFirstColumn="0" w:lastRowLastColumn="0"/>
            </w:pPr>
            <w:proofErr w:type="gramStart"/>
            <w:r w:rsidRPr="00F014A9">
              <w:t>afforestation native</w:t>
            </w:r>
            <w:proofErr w:type="gramEnd"/>
          </w:p>
          <w:p w14:paraId="78E5D3DE" w14:textId="77777777" w:rsidR="003D287B" w:rsidRPr="00F014A9" w:rsidRDefault="003D287B" w:rsidP="00E06D4C">
            <w:pPr>
              <w:pStyle w:val="TableParagraph"/>
              <w:numPr>
                <w:ilvl w:val="0"/>
                <w:numId w:val="39"/>
              </w:numPr>
              <w:spacing w:beforeLines="60" w:before="144" w:after="60"/>
              <w:contextualSpacing/>
              <w:cnfStyle w:val="000000100000" w:firstRow="0" w:lastRow="0" w:firstColumn="0" w:lastColumn="0" w:oddVBand="0" w:evenVBand="0" w:oddHBand="1" w:evenHBand="0" w:firstRowFirstColumn="0" w:firstRowLastColumn="0" w:lastRowFirstColumn="0" w:lastRowLastColumn="0"/>
            </w:pPr>
            <w:r w:rsidRPr="00F014A9">
              <w:t>deforestation exotic</w:t>
            </w:r>
          </w:p>
          <w:p w14:paraId="23FDDE5E" w14:textId="77777777" w:rsidR="003D287B" w:rsidRPr="00F014A9" w:rsidRDefault="003D287B" w:rsidP="00E06D4C">
            <w:pPr>
              <w:pStyle w:val="TableParagraph"/>
              <w:numPr>
                <w:ilvl w:val="0"/>
                <w:numId w:val="39"/>
              </w:numPr>
              <w:spacing w:beforeLines="60" w:before="144" w:after="60"/>
              <w:contextualSpacing/>
              <w:cnfStyle w:val="000000100000" w:firstRow="0" w:lastRow="0" w:firstColumn="0" w:lastColumn="0" w:oddVBand="0" w:evenVBand="0" w:oddHBand="1" w:evenHBand="0" w:firstRowFirstColumn="0" w:firstRowLastColumn="0" w:lastRowFirstColumn="0" w:lastRowLastColumn="0"/>
            </w:pPr>
            <w:r w:rsidRPr="00F014A9">
              <w:t>deforestation native</w:t>
            </w:r>
          </w:p>
          <w:p w14:paraId="09FFA9B0" w14:textId="77777777" w:rsidR="00F014A9" w:rsidRPr="00F014A9" w:rsidRDefault="00F014A9" w:rsidP="00E06D4C">
            <w:pPr>
              <w:pStyle w:val="TableParagraph"/>
              <w:spacing w:beforeLines="60" w:before="144" w:after="60"/>
              <w:contextualSpacing/>
              <w:cnfStyle w:val="000000100000" w:firstRow="0" w:lastRow="0" w:firstColumn="0" w:lastColumn="0" w:oddVBand="0" w:evenVBand="0" w:oddHBand="1" w:evenHBand="0" w:firstRowFirstColumn="0" w:firstRowLastColumn="0" w:lastRowFirstColumn="0" w:lastRowLastColumn="0"/>
            </w:pPr>
          </w:p>
        </w:tc>
      </w:tr>
    </w:tbl>
    <w:p w14:paraId="070E73D7" w14:textId="7C349E86" w:rsidR="008E1DE9" w:rsidRDefault="00481F36" w:rsidP="00026E6F">
      <w:pPr>
        <w:pStyle w:val="Sourceline"/>
      </w:pPr>
      <w:r w:rsidRPr="003D287B">
        <w:t>*Emissions from use of coal as a reduction agent in steel production</w:t>
      </w:r>
      <w:r w:rsidR="005A6568" w:rsidRPr="003D287B">
        <w:t xml:space="preserve"> are classified differently in the NZ ETS versus the GHG </w:t>
      </w:r>
      <w:r w:rsidR="00813364">
        <w:t>Inventory</w:t>
      </w:r>
      <w:r w:rsidR="005A6568" w:rsidRPr="003D287B">
        <w:t>, so it is necessary to combine total coal and steel emissions in the comparison.</w:t>
      </w:r>
    </w:p>
    <w:p w14:paraId="398C7566" w14:textId="77777777" w:rsidR="003D287B" w:rsidRPr="003D287B" w:rsidRDefault="003D287B" w:rsidP="003D287B">
      <w:pPr>
        <w:pStyle w:val="BodyText"/>
      </w:pPr>
    </w:p>
    <w:p w14:paraId="3C846FBD" w14:textId="7F61DF66" w:rsidR="005A6568" w:rsidRDefault="005A6568" w:rsidP="005A6568">
      <w:pPr>
        <w:pStyle w:val="Heading2nonumber"/>
      </w:pPr>
      <w:bookmarkStart w:id="21" w:name="_Toc227603109"/>
      <w:r>
        <w:t>Waste</w:t>
      </w:r>
      <w:bookmarkEnd w:id="21"/>
    </w:p>
    <w:p w14:paraId="35B5B395" w14:textId="148E369A" w:rsidR="007454D5" w:rsidRDefault="007454D5" w:rsidP="007454D5">
      <w:pPr>
        <w:pStyle w:val="BodyText"/>
      </w:pPr>
      <w:r>
        <w:t>We have applied a technical adjustment of 1.1 MtCO</w:t>
      </w:r>
      <w:r w:rsidRPr="007454D5">
        <w:rPr>
          <w:vertAlign w:val="subscript"/>
        </w:rPr>
        <w:t>2</w:t>
      </w:r>
      <w:r>
        <w:t>e over 2027</w:t>
      </w:r>
      <w:r w:rsidR="00BC66D4">
        <w:t>–</w:t>
      </w:r>
      <w:r>
        <w:t>2031 relating to waste landfill gas capture rates.</w:t>
      </w:r>
    </w:p>
    <w:p w14:paraId="4B1C2657" w14:textId="1D43D752" w:rsidR="005A6568" w:rsidRDefault="007454D5" w:rsidP="007454D5">
      <w:pPr>
        <w:pStyle w:val="BodyText"/>
      </w:pPr>
      <w:r>
        <w:t>As show</w:t>
      </w:r>
      <w:r w:rsidR="008633A7">
        <w:t>n</w:t>
      </w:r>
      <w:r>
        <w:t xml:space="preserve"> in Figure 2, NZ ETS waste emissions have consistently been lower than those reported in the GHG </w:t>
      </w:r>
      <w:r w:rsidR="00813364">
        <w:t>Inventory</w:t>
      </w:r>
      <w:r>
        <w:t xml:space="preserve">, with the scale of difference increasing in 2022 and 2023 to as much </w:t>
      </w:r>
      <w:r w:rsidRPr="00992984">
        <w:t>as 0.9 MtCO</w:t>
      </w:r>
      <w:r w:rsidRPr="00992984">
        <w:rPr>
          <w:vertAlign w:val="subscript"/>
        </w:rPr>
        <w:t>2</w:t>
      </w:r>
      <w:r w:rsidRPr="00992984">
        <w:t>e.</w:t>
      </w:r>
      <w:r w:rsidR="009C6061">
        <w:t xml:space="preserve"> </w:t>
      </w:r>
    </w:p>
    <w:p w14:paraId="6F311E29" w14:textId="4EA81857" w:rsidR="00B211FF" w:rsidRDefault="00B211FF" w:rsidP="00B211FF">
      <w:pPr>
        <w:pStyle w:val="FigureTabletitle"/>
      </w:pPr>
      <w:r>
        <w:t xml:space="preserve">Figure </w:t>
      </w:r>
      <w:r w:rsidR="00B12CA3">
        <w:fldChar w:fldCharType="begin"/>
      </w:r>
      <w:r w:rsidR="00B12CA3">
        <w:instrText xml:space="preserve"> SEQ Figure \* ARABIC </w:instrText>
      </w:r>
      <w:r w:rsidR="00B12CA3">
        <w:fldChar w:fldCharType="separate"/>
      </w:r>
      <w:r w:rsidR="00B12CA3">
        <w:rPr>
          <w:noProof/>
        </w:rPr>
        <w:t>2</w:t>
      </w:r>
      <w:r w:rsidR="00B12CA3">
        <w:rPr>
          <w:noProof/>
        </w:rPr>
        <w:fldChar w:fldCharType="end"/>
      </w:r>
      <w:r>
        <w:t>:</w:t>
      </w:r>
      <w:r w:rsidRPr="000822CC">
        <w:t xml:space="preserve">Waste emissions reported in the NZ ETS and 2025 GHG </w:t>
      </w:r>
      <w:r w:rsidR="00813364">
        <w:t>Inventory</w:t>
      </w:r>
    </w:p>
    <w:p w14:paraId="18A79C2C" w14:textId="7DE0814D" w:rsidR="00CE36D4" w:rsidRDefault="0043517E" w:rsidP="007454D5">
      <w:pPr>
        <w:pStyle w:val="BodyText"/>
        <w:rPr>
          <w:noProof/>
        </w:rPr>
      </w:pPr>
      <w:r>
        <w:rPr>
          <w:noProof/>
        </w:rPr>
        <w:drawing>
          <wp:inline distT="0" distB="0" distL="0" distR="0" wp14:anchorId="2AA731AA" wp14:editId="45DE57F1">
            <wp:extent cx="5627370" cy="3432175"/>
            <wp:effectExtent l="0" t="0" r="0" b="0"/>
            <wp:docPr id="4350328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27370" cy="3432175"/>
                    </a:xfrm>
                    <a:prstGeom prst="rect">
                      <a:avLst/>
                    </a:prstGeom>
                    <a:noFill/>
                  </pic:spPr>
                </pic:pic>
              </a:graphicData>
            </a:graphic>
          </wp:inline>
        </w:drawing>
      </w:r>
    </w:p>
    <w:p w14:paraId="62F0C631" w14:textId="543EDB45" w:rsidR="00B211FF" w:rsidRDefault="00B211FF" w:rsidP="00E06D4C">
      <w:pPr>
        <w:pStyle w:val="Sourceline"/>
      </w:pPr>
      <w:r w:rsidRPr="00B211FF">
        <w:t>Source: Commission analysis</w:t>
      </w:r>
    </w:p>
    <w:p w14:paraId="3369146F" w14:textId="77777777" w:rsidR="008A4BEF" w:rsidRDefault="008A4BEF" w:rsidP="00F90017">
      <w:pPr>
        <w:pStyle w:val="BodyText"/>
      </w:pPr>
    </w:p>
    <w:p w14:paraId="1C9200D2" w14:textId="77777777" w:rsidR="00F90017" w:rsidRDefault="00F90017" w:rsidP="00F90017">
      <w:pPr>
        <w:pStyle w:val="BodyText"/>
      </w:pPr>
      <w:r>
        <w:t>We identified two primary causes for this discrepancy:</w:t>
      </w:r>
    </w:p>
    <w:p w14:paraId="2836429F" w14:textId="192C4887" w:rsidR="00F90017" w:rsidRDefault="00F90017" w:rsidP="00886958">
      <w:pPr>
        <w:pStyle w:val="Numberlist"/>
        <w:numPr>
          <w:ilvl w:val="0"/>
          <w:numId w:val="28"/>
        </w:numPr>
      </w:pPr>
      <w:r>
        <w:t>A significant drop in the Unique Emissions Factors (UEF) used in the NZ ETS to calculate the emissions of waste disposal facilities in 2022</w:t>
      </w:r>
    </w:p>
    <w:p w14:paraId="59C16B0B" w14:textId="21BA9A3F" w:rsidR="00B211FF" w:rsidRDefault="00F90017" w:rsidP="00886958">
      <w:pPr>
        <w:pStyle w:val="Numberlist"/>
      </w:pPr>
      <w:r>
        <w:t xml:space="preserve">An ongoing difference between assumed landfill gas (LFG) recovery rates in the GHG </w:t>
      </w:r>
      <w:r w:rsidR="00813364">
        <w:t>Inventory</w:t>
      </w:r>
      <w:r>
        <w:t xml:space="preserve"> and the NZ ETS.</w:t>
      </w:r>
    </w:p>
    <w:p w14:paraId="36B801F7" w14:textId="01AB4F79" w:rsidR="008949BE" w:rsidRDefault="006A05B2" w:rsidP="00BC66D4">
      <w:pPr>
        <w:pStyle w:val="Numberlist"/>
        <w:numPr>
          <w:ilvl w:val="0"/>
          <w:numId w:val="0"/>
        </w:numPr>
      </w:pPr>
      <w:r>
        <w:t xml:space="preserve">There is already a process underway to address the first </w:t>
      </w:r>
      <w:r w:rsidR="0043755E">
        <w:t>issue</w:t>
      </w:r>
      <w:r>
        <w:t xml:space="preserve">, which </w:t>
      </w:r>
      <w:r w:rsidR="003C7162">
        <w:t>is expected to be resolved for emissions occurring in 2025. Therefore</w:t>
      </w:r>
      <w:r w:rsidR="00697101">
        <w:t>,</w:t>
      </w:r>
      <w:r w:rsidR="003C7162">
        <w:t xml:space="preserve"> our </w:t>
      </w:r>
      <w:r w:rsidR="004D75DC">
        <w:t xml:space="preserve">proposed technical adjustment only relates to the second </w:t>
      </w:r>
      <w:r w:rsidR="00697101">
        <w:t>issue, relating to LFG recovery rates</w:t>
      </w:r>
      <w:r w:rsidR="002848F0">
        <w:t xml:space="preserve">. </w:t>
      </w:r>
    </w:p>
    <w:p w14:paraId="65935721" w14:textId="3494A0E3" w:rsidR="00886958" w:rsidRDefault="00886958" w:rsidP="00886958">
      <w:pPr>
        <w:pStyle w:val="Heading3"/>
      </w:pPr>
      <w:bookmarkStart w:id="22" w:name="_Toc227603110"/>
      <w:r>
        <w:t>Unique emissions factors</w:t>
      </w:r>
      <w:bookmarkEnd w:id="22"/>
    </w:p>
    <w:p w14:paraId="747A017B" w14:textId="0EBC3829" w:rsidR="00C71829" w:rsidRDefault="00C71829" w:rsidP="00C71829">
      <w:pPr>
        <w:pStyle w:val="BodyText"/>
      </w:pPr>
      <w:r>
        <w:t xml:space="preserve">We understand that the significant reduction in the NZ ETS reported waste emissions in 2022 is partly attributable to a significant decrease in the unique emissions factors (UEFs) applied to many waste disposal facilities. In 2025, MfE advised us that the </w:t>
      </w:r>
      <w:r w:rsidR="00D14FA4">
        <w:t xml:space="preserve">lower </w:t>
      </w:r>
      <w:r>
        <w:t>UEFs w</w:t>
      </w:r>
      <w:r w:rsidR="001F3D61">
        <w:t>ere</w:t>
      </w:r>
      <w:r>
        <w:t xml:space="preserve"> due to an error in calculation and w</w:t>
      </w:r>
      <w:r w:rsidR="00B12701">
        <w:t>ere</w:t>
      </w:r>
      <w:r>
        <w:t xml:space="preserve"> being reviewed.</w:t>
      </w:r>
      <w:r w:rsidR="009C6061">
        <w:t xml:space="preserve"> </w:t>
      </w:r>
    </w:p>
    <w:p w14:paraId="4EE855EB" w14:textId="09838057" w:rsidR="00886958" w:rsidRDefault="00C71829" w:rsidP="00C71829">
      <w:pPr>
        <w:pStyle w:val="BodyText"/>
      </w:pPr>
      <w:r>
        <w:t xml:space="preserve">In 2024 and 2025 </w:t>
      </w:r>
      <w:proofErr w:type="spellStart"/>
      <w:r>
        <w:t>MfE</w:t>
      </w:r>
      <w:proofErr w:type="spellEnd"/>
      <w:r>
        <w:t xml:space="preserve"> consulted on several changes to the methodology for calculating landfill UEFs.</w:t>
      </w:r>
      <w:r w:rsidR="00082248">
        <w:fldChar w:fldCharType="begin"/>
      </w:r>
      <w:r w:rsidR="00673384">
        <w:instrText xml:space="preserve"> ADDIN EN.CITE &lt;EndNote&gt;&lt;Cite&gt;&lt;Author&gt;Taiao&lt;/Author&gt;&lt;Year&gt;2025&lt;/Year&gt;&lt;RecNum&gt;1574&lt;/RecNum&gt;&lt;DisplayText&gt;&lt;style face="superscript"&gt;3&lt;/style&gt;&lt;/DisplayText&gt;&lt;record&gt;&lt;rec-number&gt;1574&lt;/rec-number&gt;&lt;foreign-keys&gt;&lt;key app="EN" db-id="fwvex5fabdwzs9e9rwa55p5bvws5v2dex2zs" timestamp="1776556988" guid="2ac5b9bf-2518-47d1-affb-2b03ad666486"&gt;1574&lt;/key&gt;&lt;/foreign-keys&gt;&lt;ref-type name="Government Document"&gt;46&lt;/ref-type&gt;&lt;contributors&gt;&lt;authors&gt;&lt;author&gt;Ministry for the Environment Manatū Mō Te Taiao&lt;/author&gt;&lt;/authors&gt;&lt;/contributors&gt;&lt;titles&gt;&lt;title&gt;Proposed changes to the New Zealand Emissions Trading Scheme regulations 2025&lt;/title&gt;&lt;/titles&gt;&lt;keywords&gt;&lt;keyword&gt;ETS26&lt;/keyword&gt;&lt;/keywords&gt;&lt;dates&gt;&lt;year&gt;2025&lt;/year&gt;&lt;pub-dates&gt;&lt;date&gt;May 2025&lt;/date&gt;&lt;/pub-dates&gt;&lt;/dates&gt;&lt;urls&gt;&lt;related-urls&gt;&lt;url&gt;https://environment.govt.nz/assets/publications/climate-change/Proposed-changes-to-the-NZ-ETS-regulations-2025-consultation-document.pdf&lt;/url&gt;&lt;/related-urls&gt;&lt;/urls&gt;&lt;/record&gt;&lt;/Cite&gt;&lt;/EndNote&gt;</w:instrText>
      </w:r>
      <w:r w:rsidR="00082248">
        <w:fldChar w:fldCharType="separate"/>
      </w:r>
      <w:r w:rsidR="007E4FB6" w:rsidRPr="007E4FB6">
        <w:rPr>
          <w:noProof/>
          <w:vertAlign w:val="superscript"/>
        </w:rPr>
        <w:t>3</w:t>
      </w:r>
      <w:r w:rsidR="00082248">
        <w:fldChar w:fldCharType="end"/>
      </w:r>
      <w:r>
        <w:t xml:space="preserve"> These changes, including an increase in the default emissions factor (DEF) for landfill gas systems, are expected to raise waste disposal UEFs, and thereby increase overall waste emissions reported </w:t>
      </w:r>
      <w:r w:rsidR="00E643EE">
        <w:t>in</w:t>
      </w:r>
      <w:r>
        <w:t xml:space="preserve"> the NZ ETS. This adjustment should reduce the discrepancy between NZ ETS and GHG </w:t>
      </w:r>
      <w:r w:rsidR="00813364">
        <w:t>Inventory</w:t>
      </w:r>
      <w:r>
        <w:t xml:space="preserve"> reported emissions. The revised UEFs will apply </w:t>
      </w:r>
      <w:r w:rsidR="00F96C16">
        <w:t>in the</w:t>
      </w:r>
      <w:r>
        <w:t xml:space="preserve"> NZ ETS </w:t>
      </w:r>
      <w:r w:rsidR="00F96C16">
        <w:t xml:space="preserve">for </w:t>
      </w:r>
      <w:r>
        <w:t>2025 emissions, reported in 2026</w:t>
      </w:r>
      <w:r w:rsidR="00583D82">
        <w:t>, so we consider that a technical adjustment is not needed to correct for this issue</w:t>
      </w:r>
      <w:r>
        <w:t>.</w:t>
      </w:r>
    </w:p>
    <w:p w14:paraId="1A3614AB" w14:textId="319CBA35" w:rsidR="00C71829" w:rsidRDefault="00C71829" w:rsidP="00C71829">
      <w:pPr>
        <w:pStyle w:val="Heading3"/>
      </w:pPr>
      <w:bookmarkStart w:id="23" w:name="_Toc227603111"/>
      <w:r>
        <w:t>Discrepancy between landfill gas (LFG) capture rates</w:t>
      </w:r>
      <w:bookmarkEnd w:id="23"/>
    </w:p>
    <w:p w14:paraId="61C0D031" w14:textId="7E3C4CFC" w:rsidR="00497BCF" w:rsidRDefault="00497BCF" w:rsidP="00497BCF">
      <w:pPr>
        <w:pStyle w:val="BodyText"/>
      </w:pPr>
      <w:r>
        <w:t xml:space="preserve">A second factor contributing to the discrepancy in waste emissions relates to differences in assumed LFG capture rates. </w:t>
      </w:r>
      <w:r w:rsidR="00DC16C5" w:rsidRPr="00E06D4C">
        <w:t>We understand that t</w:t>
      </w:r>
      <w:r w:rsidRPr="00E06D4C">
        <w:t xml:space="preserve">he GHG </w:t>
      </w:r>
      <w:r w:rsidR="00813364">
        <w:t>Inventory</w:t>
      </w:r>
      <w:r w:rsidRPr="00E06D4C">
        <w:t xml:space="preserve"> applies a default LFG capture rate of 20 per cent, based on the Intergovernmental Panel on Climate Change (IPCC) default values</w:t>
      </w:r>
      <w:r w:rsidRPr="00DC16C5">
        <w:t>.</w:t>
      </w:r>
      <w:r w:rsidR="00DC16C5" w:rsidRPr="00DC16C5">
        <w:t xml:space="preserve"> </w:t>
      </w:r>
      <w:r>
        <w:t xml:space="preserve">By contrast, the NZ ETS allows for significantly higher </w:t>
      </w:r>
      <w:r w:rsidR="00AE11C2">
        <w:t xml:space="preserve">values </w:t>
      </w:r>
      <w:r w:rsidR="00BB2F2B">
        <w:t xml:space="preserve">for </w:t>
      </w:r>
      <w:r>
        <w:t xml:space="preserve">LFG capture efficiency, resulting in lower reported emissions. We understand that MfE is currently considering how best to address this inconsistency. Any changes made will likely not be reflected until GHG </w:t>
      </w:r>
      <w:r w:rsidR="00813364">
        <w:t>Inventory</w:t>
      </w:r>
      <w:r>
        <w:t xml:space="preserve"> reporting in 2027 at the earliest.</w:t>
      </w:r>
    </w:p>
    <w:p w14:paraId="72BC45F4" w14:textId="5A3123CF" w:rsidR="00C71829" w:rsidRDefault="00497BCF" w:rsidP="00497BCF">
      <w:pPr>
        <w:pStyle w:val="BodyText"/>
      </w:pPr>
      <w:r>
        <w:t>We have applied a technical adjustment of 0.2–0.3 MtCO</w:t>
      </w:r>
      <w:r w:rsidRPr="0092556B">
        <w:rPr>
          <w:vertAlign w:val="subscript"/>
        </w:rPr>
        <w:t>2</w:t>
      </w:r>
      <w:r>
        <w:t xml:space="preserve">e per year over 2027–2031 to waste. We derived this technical adjustment based on the average discrepancy from 2017–2021 - the five years preceding the change in UEFs, during which NZ ETS emissions were 24% lower than those reported in the GHG </w:t>
      </w:r>
      <w:r w:rsidR="00813364">
        <w:t>Inventory</w:t>
      </w:r>
      <w:r>
        <w:t>.</w:t>
      </w:r>
    </w:p>
    <w:p w14:paraId="49DEB5F9" w14:textId="645A07A4" w:rsidR="007B3472" w:rsidRDefault="007B3472" w:rsidP="007B3472">
      <w:pPr>
        <w:pStyle w:val="Heading2nonumber"/>
      </w:pPr>
      <w:bookmarkStart w:id="24" w:name="_Toc227603112"/>
      <w:r>
        <w:t>Liquid fossil fuel</w:t>
      </w:r>
      <w:r w:rsidR="000C3318">
        <w:t>s</w:t>
      </w:r>
      <w:r>
        <w:t xml:space="preserve"> and gas</w:t>
      </w:r>
      <w:bookmarkEnd w:id="24"/>
    </w:p>
    <w:p w14:paraId="4C642D17" w14:textId="70CD2ED1" w:rsidR="0037286F" w:rsidRDefault="0037286F" w:rsidP="0037286F">
      <w:pPr>
        <w:pStyle w:val="BodyText"/>
      </w:pPr>
      <w:r>
        <w:t xml:space="preserve">We have not implemented a technical adjustment for liquid fossil fuels </w:t>
      </w:r>
      <w:r w:rsidR="00A70627">
        <w:t xml:space="preserve">(LFF) </w:t>
      </w:r>
      <w:r>
        <w:t>and gas.</w:t>
      </w:r>
    </w:p>
    <w:p w14:paraId="684A3EC1" w14:textId="2A37925E" w:rsidR="007B3472" w:rsidRDefault="007B75E8" w:rsidP="0037286F">
      <w:pPr>
        <w:pStyle w:val="BodyText"/>
      </w:pPr>
      <w:r>
        <w:t>The comparison</w:t>
      </w:r>
      <w:r w:rsidR="00A70627">
        <w:t xml:space="preserve"> of GHG </w:t>
      </w:r>
      <w:r w:rsidR="00813364">
        <w:t>Inventory</w:t>
      </w:r>
      <w:r w:rsidR="00A70627">
        <w:t xml:space="preserve"> and NZ ETS reported emissions for LFF and gas is</w:t>
      </w:r>
      <w:r w:rsidR="001C5AF5">
        <w:t xml:space="preserve"> shown in Figure 3 below.</w:t>
      </w:r>
      <w:r w:rsidR="00A70627">
        <w:t xml:space="preserve"> </w:t>
      </w:r>
      <w:r w:rsidR="0037286F">
        <w:t>There is a difference of approximately 0.4 MtCO</w:t>
      </w:r>
      <w:r w:rsidR="0037286F" w:rsidRPr="00F349DB">
        <w:rPr>
          <w:vertAlign w:val="subscript"/>
        </w:rPr>
        <w:t>2</w:t>
      </w:r>
      <w:r w:rsidR="0037286F">
        <w:t>e, or 1.7%, in the emissions reported</w:t>
      </w:r>
      <w:r w:rsidR="0037286F" w:rsidDel="000457CC">
        <w:t xml:space="preserve"> </w:t>
      </w:r>
      <w:r w:rsidR="0037286F">
        <w:t>for the 2023 calendar year.</w:t>
      </w:r>
      <w:r w:rsidR="000457CC">
        <w:t xml:space="preserve"> However, emissions in the 2022 year are aligned and </w:t>
      </w:r>
      <w:r w:rsidR="00397180">
        <w:t>the total difference across the</w:t>
      </w:r>
      <w:r w:rsidR="00472B6E">
        <w:t xml:space="preserve"> five years of the</w:t>
      </w:r>
      <w:r w:rsidR="00397180">
        <w:t xml:space="preserve"> 2019</w:t>
      </w:r>
      <w:r w:rsidR="008950E2">
        <w:t>–</w:t>
      </w:r>
      <w:r w:rsidR="00397180">
        <w:t>2023 is only approximate</w:t>
      </w:r>
      <w:r w:rsidR="00AC6B11">
        <w:t>ly</w:t>
      </w:r>
      <w:r w:rsidR="00397180">
        <w:t xml:space="preserve"> </w:t>
      </w:r>
      <w:r w:rsidR="00472B6E">
        <w:t>1.5%</w:t>
      </w:r>
      <w:r w:rsidR="00AC6B11">
        <w:t xml:space="preserve">. Given </w:t>
      </w:r>
      <w:r w:rsidR="00F93AEB">
        <w:t xml:space="preserve">this context, </w:t>
      </w:r>
      <w:r w:rsidR="0037286F">
        <w:t>we consider that an ongoing technical adjustment is not warranted</w:t>
      </w:r>
      <w:r w:rsidR="00CD4D4B">
        <w:t xml:space="preserve"> at this stage</w:t>
      </w:r>
      <w:r w:rsidR="0037286F">
        <w:t>.</w:t>
      </w:r>
    </w:p>
    <w:p w14:paraId="4CE41AB0" w14:textId="30F6F5A5" w:rsidR="00CF2C1A" w:rsidRDefault="00CF2C1A" w:rsidP="00CF2C1A">
      <w:pPr>
        <w:pStyle w:val="FigureTabletitle"/>
      </w:pPr>
      <w:r>
        <w:t xml:space="preserve">Figure </w:t>
      </w:r>
      <w:r w:rsidR="00B12CA3">
        <w:fldChar w:fldCharType="begin"/>
      </w:r>
      <w:r w:rsidR="00B12CA3">
        <w:instrText xml:space="preserve"> SEQ Figure \* ARABIC </w:instrText>
      </w:r>
      <w:r w:rsidR="00B12CA3">
        <w:fldChar w:fldCharType="separate"/>
      </w:r>
      <w:r w:rsidR="00B12CA3">
        <w:rPr>
          <w:noProof/>
        </w:rPr>
        <w:t>3</w:t>
      </w:r>
      <w:r w:rsidR="00B12CA3">
        <w:rPr>
          <w:noProof/>
        </w:rPr>
        <w:fldChar w:fldCharType="end"/>
      </w:r>
      <w:r>
        <w:t xml:space="preserve">: </w:t>
      </w:r>
      <w:r w:rsidRPr="00C55038">
        <w:t xml:space="preserve">LFF and gas emissions reported in the NZ ETS and GHG </w:t>
      </w:r>
      <w:r w:rsidR="00813364">
        <w:t>Inventory</w:t>
      </w:r>
    </w:p>
    <w:p w14:paraId="66588D8A" w14:textId="16368211" w:rsidR="0037286F" w:rsidRDefault="0059587A" w:rsidP="0037286F">
      <w:pPr>
        <w:pStyle w:val="BodyText"/>
        <w:rPr>
          <w:noProof/>
        </w:rPr>
      </w:pPr>
      <w:r>
        <w:rPr>
          <w:noProof/>
        </w:rPr>
        <w:drawing>
          <wp:inline distT="0" distB="0" distL="0" distR="0" wp14:anchorId="499294D5" wp14:editId="06917B5E">
            <wp:extent cx="5742940" cy="3481070"/>
            <wp:effectExtent l="0" t="0" r="0" b="5080"/>
            <wp:docPr id="14355978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42940" cy="3481070"/>
                    </a:xfrm>
                    <a:prstGeom prst="rect">
                      <a:avLst/>
                    </a:prstGeom>
                    <a:noFill/>
                  </pic:spPr>
                </pic:pic>
              </a:graphicData>
            </a:graphic>
          </wp:inline>
        </w:drawing>
      </w:r>
    </w:p>
    <w:p w14:paraId="7C75CBA5" w14:textId="2DB578BA" w:rsidR="00CF2C1A" w:rsidRDefault="00CF2C1A" w:rsidP="00E06D4C">
      <w:pPr>
        <w:pStyle w:val="Sourceline"/>
      </w:pPr>
      <w:r w:rsidRPr="00CF2C1A">
        <w:t>Source: Commission analysis</w:t>
      </w:r>
    </w:p>
    <w:p w14:paraId="5EBA145B" w14:textId="0B0A22D1" w:rsidR="0043287B" w:rsidRDefault="00A43F86" w:rsidP="00A43F86">
      <w:pPr>
        <w:pStyle w:val="Heading2nonumber"/>
      </w:pPr>
      <w:bookmarkStart w:id="25" w:name="_Toc227603113"/>
      <w:r>
        <w:t>Coal and steel production</w:t>
      </w:r>
      <w:bookmarkEnd w:id="25"/>
    </w:p>
    <w:p w14:paraId="4ADABDE2" w14:textId="77777777" w:rsidR="001603C8" w:rsidRDefault="001603C8" w:rsidP="001603C8">
      <w:pPr>
        <w:pStyle w:val="BodyText"/>
      </w:pPr>
      <w:r>
        <w:t>We have not implemented a technical adjustment for coal and steel production.</w:t>
      </w:r>
    </w:p>
    <w:p w14:paraId="44B360DE" w14:textId="18A9A698" w:rsidR="001603C8" w:rsidRDefault="007070FE" w:rsidP="001603C8">
      <w:pPr>
        <w:pStyle w:val="BodyText"/>
      </w:pPr>
      <w:r>
        <w:t xml:space="preserve">There are </w:t>
      </w:r>
      <w:r w:rsidR="001603C8">
        <w:t>minor</w:t>
      </w:r>
      <w:r w:rsidR="001603C8" w:rsidDel="00EC0C5B">
        <w:t xml:space="preserve"> </w:t>
      </w:r>
      <w:r w:rsidR="001603C8">
        <w:t xml:space="preserve">discrepancies between the GHG </w:t>
      </w:r>
      <w:proofErr w:type="gramStart"/>
      <w:r w:rsidR="00813364">
        <w:t>Inventory</w:t>
      </w:r>
      <w:proofErr w:type="gramEnd"/>
      <w:r w:rsidR="001603C8">
        <w:t xml:space="preserve"> and the NZ ETS</w:t>
      </w:r>
      <w:r w:rsidR="00DF2464">
        <w:t xml:space="preserve"> </w:t>
      </w:r>
      <w:r w:rsidR="00EC0C5B">
        <w:t xml:space="preserve">emissions reported each year for </w:t>
      </w:r>
      <w:r w:rsidR="00DF2464">
        <w:t>coal and steel production</w:t>
      </w:r>
      <w:r w:rsidR="001603C8">
        <w:t xml:space="preserve">. The primary source of these discrepancies is between emissions related to the importing and mining of coal reported in the NZ ETS, and solid fuel combustion reported in the GHG </w:t>
      </w:r>
      <w:r w:rsidR="00813364">
        <w:t>Inventory</w:t>
      </w:r>
      <w:r w:rsidR="001603C8">
        <w:t>.</w:t>
      </w:r>
    </w:p>
    <w:p w14:paraId="3097EF5A" w14:textId="3F68DF9F" w:rsidR="001603C8" w:rsidRDefault="001603C8" w:rsidP="001603C8">
      <w:pPr>
        <w:pStyle w:val="BodyText"/>
      </w:pPr>
      <w:r>
        <w:t xml:space="preserve">As shown in Figure 4, </w:t>
      </w:r>
      <w:r w:rsidR="00CD1111">
        <w:t xml:space="preserve">there is </w:t>
      </w:r>
      <w:r>
        <w:t>a discrepancy of approximately 0.4 MtCO</w:t>
      </w:r>
      <w:r w:rsidRPr="000D29AC">
        <w:rPr>
          <w:vertAlign w:val="subscript"/>
        </w:rPr>
        <w:t>2</w:t>
      </w:r>
      <w:proofErr w:type="gramStart"/>
      <w:r>
        <w:t>e  between</w:t>
      </w:r>
      <w:proofErr w:type="gramEnd"/>
      <w:r>
        <w:t xml:space="preserve"> emissions reported in the GHG </w:t>
      </w:r>
      <w:r w:rsidR="00813364">
        <w:t>Inventory</w:t>
      </w:r>
      <w:r>
        <w:t xml:space="preserve"> and in the NZ ETS </w:t>
      </w:r>
      <w:r w:rsidR="00E57FED">
        <w:t>for</w:t>
      </w:r>
      <w:r>
        <w:t xml:space="preserve"> the 2023 calendar year. </w:t>
      </w:r>
    </w:p>
    <w:p w14:paraId="098485F6" w14:textId="4FC62D35" w:rsidR="00A43F86" w:rsidRDefault="001603C8" w:rsidP="001603C8">
      <w:pPr>
        <w:pStyle w:val="BodyText"/>
      </w:pPr>
      <w:r>
        <w:t>As this discrepancy is relatively small, we have decided not to apply an ongoing technical adjustment related to coal and steel in this year’s advice. This is consistent with our approach in last year’s advice. We will monitor this issue to evaluate how the discrepancy develops over time, and whether it is necessary to apply a technical adjustment.</w:t>
      </w:r>
    </w:p>
    <w:p w14:paraId="6ADE6284" w14:textId="3557BEC3" w:rsidR="008E4747" w:rsidRDefault="008E4747" w:rsidP="008E4747">
      <w:pPr>
        <w:pStyle w:val="FigureTabletitle"/>
      </w:pPr>
      <w:r>
        <w:t xml:space="preserve">Figure </w:t>
      </w:r>
      <w:r w:rsidR="00B12CA3">
        <w:fldChar w:fldCharType="begin"/>
      </w:r>
      <w:r w:rsidR="00B12CA3">
        <w:instrText xml:space="preserve"> SEQ Figure \* ARABIC </w:instrText>
      </w:r>
      <w:r w:rsidR="00B12CA3">
        <w:fldChar w:fldCharType="separate"/>
      </w:r>
      <w:r w:rsidR="00B12CA3">
        <w:rPr>
          <w:noProof/>
        </w:rPr>
        <w:t>4</w:t>
      </w:r>
      <w:r w:rsidR="00B12CA3">
        <w:rPr>
          <w:noProof/>
        </w:rPr>
        <w:fldChar w:fldCharType="end"/>
      </w:r>
      <w:r>
        <w:t xml:space="preserve">: </w:t>
      </w:r>
      <w:r w:rsidRPr="00B2428F">
        <w:t xml:space="preserve">Coal and steel production emissions reported int he NZ ETS and 2025 GHG </w:t>
      </w:r>
      <w:r w:rsidR="00813364">
        <w:t>Inventory</w:t>
      </w:r>
    </w:p>
    <w:p w14:paraId="38A7C17E" w14:textId="6E026FC9" w:rsidR="001603C8" w:rsidRDefault="00207756" w:rsidP="001603C8">
      <w:pPr>
        <w:pStyle w:val="BodyText"/>
        <w:rPr>
          <w:noProof/>
        </w:rPr>
      </w:pPr>
      <w:r>
        <w:rPr>
          <w:noProof/>
        </w:rPr>
        <w:drawing>
          <wp:inline distT="0" distB="0" distL="0" distR="0" wp14:anchorId="3F16BD8D" wp14:editId="23EA4915">
            <wp:extent cx="5688330" cy="3450590"/>
            <wp:effectExtent l="0" t="0" r="7620" b="0"/>
            <wp:docPr id="2745667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88330" cy="3450590"/>
                    </a:xfrm>
                    <a:prstGeom prst="rect">
                      <a:avLst/>
                    </a:prstGeom>
                    <a:noFill/>
                  </pic:spPr>
                </pic:pic>
              </a:graphicData>
            </a:graphic>
          </wp:inline>
        </w:drawing>
      </w:r>
    </w:p>
    <w:p w14:paraId="20D8AE5E" w14:textId="2F9A129C" w:rsidR="008E4747" w:rsidRDefault="008E4747" w:rsidP="00E06D4C">
      <w:pPr>
        <w:pStyle w:val="Sourceline"/>
      </w:pPr>
      <w:r w:rsidRPr="008E4747">
        <w:t>Source: Commission analysis</w:t>
      </w:r>
    </w:p>
    <w:p w14:paraId="61EBCC81" w14:textId="6712C76C" w:rsidR="008E4747" w:rsidRDefault="008E4747" w:rsidP="008E4747">
      <w:pPr>
        <w:pStyle w:val="Heading2nonumber"/>
      </w:pPr>
      <w:bookmarkStart w:id="26" w:name="_Toc227603114"/>
      <w:r>
        <w:t>Geothermal, IPPU and F-gases</w:t>
      </w:r>
      <w:bookmarkEnd w:id="26"/>
    </w:p>
    <w:p w14:paraId="5920856D" w14:textId="77777777" w:rsidR="00367774" w:rsidRDefault="00367774" w:rsidP="00367774">
      <w:pPr>
        <w:pStyle w:val="BodyText"/>
      </w:pPr>
      <w:r>
        <w:t>We have not implemented a technical adjustment for geothermal, IPPU or F-gases.</w:t>
      </w:r>
    </w:p>
    <w:p w14:paraId="4FAB8E4C" w14:textId="0750A8D4" w:rsidR="00367774" w:rsidRDefault="00367774" w:rsidP="00367774">
      <w:pPr>
        <w:pStyle w:val="BodyText"/>
      </w:pPr>
      <w:r>
        <w:t xml:space="preserve">Geothermal and IPPU emissions show no significant discrepancies between GHG emissions reported in the NZ ETS and GHG </w:t>
      </w:r>
      <w:r w:rsidR="00813364">
        <w:t>Inventory</w:t>
      </w:r>
      <w:r>
        <w:t xml:space="preserve">. </w:t>
      </w:r>
    </w:p>
    <w:p w14:paraId="0D35A50C" w14:textId="3C6972B5" w:rsidR="008E4747" w:rsidRDefault="00367774" w:rsidP="00367774">
      <w:pPr>
        <w:pStyle w:val="BodyText"/>
      </w:pPr>
      <w:r>
        <w:t xml:space="preserve">No adjustment is needed for F-gases as we have already aligned the NZ ETS emissions cap with the GHG </w:t>
      </w:r>
      <w:r w:rsidR="00813364">
        <w:t>Inventory</w:t>
      </w:r>
      <w:r>
        <w:t xml:space="preserve"> through our assumption on the share of F-gas emissions outside the NZ ETS, discussed in the section above on calculation of the NZ ETS cap.</w:t>
      </w:r>
    </w:p>
    <w:p w14:paraId="35F83D5E" w14:textId="5E49197D" w:rsidR="00367774" w:rsidRDefault="00367774" w:rsidP="00367774">
      <w:pPr>
        <w:pStyle w:val="Heading2nonumber"/>
      </w:pPr>
      <w:bookmarkStart w:id="27" w:name="_Toc227603115"/>
      <w:r>
        <w:t>Forestry</w:t>
      </w:r>
      <w:bookmarkEnd w:id="27"/>
    </w:p>
    <w:p w14:paraId="54FFEFBF" w14:textId="4042F41C" w:rsidR="001062A6" w:rsidRDefault="001062A6" w:rsidP="001062A6">
      <w:pPr>
        <w:pStyle w:val="BodyText"/>
      </w:pPr>
      <w:r>
        <w:t xml:space="preserve">We have implemented a technical adjustment of 3.2 </w:t>
      </w:r>
      <w:r w:rsidR="000D29AC">
        <w:t>M</w:t>
      </w:r>
      <w:r>
        <w:t>tCO</w:t>
      </w:r>
      <w:r w:rsidRPr="001062A6">
        <w:rPr>
          <w:vertAlign w:val="subscript"/>
        </w:rPr>
        <w:t>2</w:t>
      </w:r>
      <w:r>
        <w:t xml:space="preserve">e </w:t>
      </w:r>
      <w:r w:rsidR="00836D29">
        <w:t xml:space="preserve">over </w:t>
      </w:r>
      <w:r>
        <w:t>2027</w:t>
      </w:r>
      <w:r w:rsidR="00D42BD0">
        <w:t>–</w:t>
      </w:r>
      <w:r>
        <w:t>2031 relating to forestry.</w:t>
      </w:r>
    </w:p>
    <w:p w14:paraId="799D4CF9" w14:textId="34624B3E" w:rsidR="001062A6" w:rsidRDefault="001062A6" w:rsidP="001062A6">
      <w:pPr>
        <w:pStyle w:val="BodyText"/>
      </w:pPr>
      <w:r>
        <w:t xml:space="preserve">This year we have undertaken a significant piece of analysis exploring the impacts of </w:t>
      </w:r>
      <w:r w:rsidR="0002540E">
        <w:t xml:space="preserve">differences </w:t>
      </w:r>
      <w:r>
        <w:t>in how forestry emissions and removals are accounted for in the NZ ETS and Aotearoa New Zealand’s target accounting. This found that</w:t>
      </w:r>
      <w:r w:rsidR="00B2379B">
        <w:t>,</w:t>
      </w:r>
      <w:r>
        <w:t xml:space="preserve"> in the NZ ETS, more units are being allocated to </w:t>
      </w:r>
      <w:r w:rsidR="00F14CE5">
        <w:t xml:space="preserve">NZ ETS-registered </w:t>
      </w:r>
      <w:r>
        <w:t>forests than the net carbon removals recognised in target accounting for</w:t>
      </w:r>
      <w:r w:rsidR="002A480F">
        <w:t xml:space="preserve"> those forests</w:t>
      </w:r>
      <w:r w:rsidR="00426277">
        <w:t>. T</w:t>
      </w:r>
      <w:r>
        <w:t xml:space="preserve">his is projected to continue until 2036. </w:t>
      </w:r>
    </w:p>
    <w:p w14:paraId="229EDD73" w14:textId="31A850C3" w:rsidR="001062A6" w:rsidRDefault="001062A6" w:rsidP="001062A6">
      <w:pPr>
        <w:pStyle w:val="BodyText"/>
      </w:pPr>
      <w:r>
        <w:t xml:space="preserve">A key input to this analysis is the </w:t>
      </w:r>
      <w:r w:rsidR="00D34052">
        <w:t xml:space="preserve">NZ ETS </w:t>
      </w:r>
      <w:r>
        <w:t>carbon yield tables, which are used to determine the volume of units allocated in each year based on forest age. There are two key uncertainties in relation to the carbon yield tables which could significantly affect the size of the technical adjustment.</w:t>
      </w:r>
    </w:p>
    <w:p w14:paraId="43A25B52" w14:textId="22F32C74" w:rsidR="001062A6" w:rsidRDefault="001062A6" w:rsidP="001062A6">
      <w:pPr>
        <w:pStyle w:val="BodyText"/>
      </w:pPr>
      <w:r>
        <w:t xml:space="preserve">First, the Government is expected to consider updates to the NZ ETS default carbon yield tables in the first half of this year, following consultation in 2025. If these yield tables are updated, it is important that the Government updates this analysis when making its decision on the 2026 NZ ETS settings update. We have estimated the necessary technical adjustment if the Government were to adopt the default carbon yield tables contained in its 2025 consultation document. </w:t>
      </w:r>
    </w:p>
    <w:p w14:paraId="46962AC3" w14:textId="39ED59EC" w:rsidR="001062A6" w:rsidRDefault="001062A6" w:rsidP="001062A6">
      <w:pPr>
        <w:pStyle w:val="BodyText"/>
      </w:pPr>
      <w:r>
        <w:t xml:space="preserve">Second, the forestry model used to undertake this analysis uses area-weighted carbon yield tables. We have used the area-weighted carbon yield tables provided to us by </w:t>
      </w:r>
      <w:r w:rsidR="0065162A">
        <w:t xml:space="preserve">the </w:t>
      </w:r>
      <w:r>
        <w:t>M</w:t>
      </w:r>
      <w:r w:rsidR="0065162A">
        <w:t xml:space="preserve">inistry for </w:t>
      </w:r>
      <w:r>
        <w:t>P</w:t>
      </w:r>
      <w:r w:rsidR="0065162A">
        <w:t xml:space="preserve">rimary </w:t>
      </w:r>
      <w:r>
        <w:t>I</w:t>
      </w:r>
      <w:r w:rsidR="0065162A">
        <w:t>ndustries (</w:t>
      </w:r>
      <w:r>
        <w:t>MPI</w:t>
      </w:r>
      <w:r w:rsidR="0065162A">
        <w:t>)</w:t>
      </w:r>
      <w:r>
        <w:t xml:space="preserve">, as we do not have the detailed level of information required to develop our own. However, we note that the weightings used to create these tables assume that approximately </w:t>
      </w:r>
      <w:r w:rsidRPr="00E5483E">
        <w:t>35%</w:t>
      </w:r>
      <w:r>
        <w:t xml:space="preserve"> of total forest area uses the default carbon yield tables. This is despite only </w:t>
      </w:r>
      <w:r w:rsidR="00975225">
        <w:t>20</w:t>
      </w:r>
      <w:r w:rsidRPr="00414CF2">
        <w:t>%</w:t>
      </w:r>
      <w:r>
        <w:t xml:space="preserve"> of total forest area registered in the NZ ETS </w:t>
      </w:r>
      <w:r w:rsidR="00975225">
        <w:t xml:space="preserve">in </w:t>
      </w:r>
      <w:r w:rsidR="00FA4CD4">
        <w:t>the third mandatory emissions reporting period</w:t>
      </w:r>
      <w:r w:rsidR="00975225">
        <w:t xml:space="preserve"> </w:t>
      </w:r>
      <w:r w:rsidR="00FA4CD4">
        <w:t>(</w:t>
      </w:r>
      <w:r w:rsidR="00975225">
        <w:t>MERP</w:t>
      </w:r>
      <w:r w:rsidR="00FA4CD4">
        <w:t>)</w:t>
      </w:r>
      <w:r>
        <w:t xml:space="preserve"> having its carbon measurement method listed as using default tables as of October 2025. We understand that there are reasons for this difference, which we discuss in further detail in </w:t>
      </w:r>
      <w:r w:rsidRPr="00E06D4C">
        <w:t>Technical Annex 2: Forestry accounting</w:t>
      </w:r>
      <w:r>
        <w:t xml:space="preserve">, published separately on our website. However, we suggest that the appropriate weightings to use in this analysis be further considered and updated if </w:t>
      </w:r>
      <w:proofErr w:type="gramStart"/>
      <w:r>
        <w:t>necessary</w:t>
      </w:r>
      <w:proofErr w:type="gramEnd"/>
      <w:r>
        <w:t xml:space="preserve"> as part of the Government’s </w:t>
      </w:r>
      <w:r w:rsidR="00957FBB">
        <w:t xml:space="preserve">2026 </w:t>
      </w:r>
      <w:r>
        <w:t>decision on the NZ ETS settings</w:t>
      </w:r>
      <w:r w:rsidR="00957FBB">
        <w:t xml:space="preserve"> for 2027</w:t>
      </w:r>
      <w:r w:rsidR="00D42BD0">
        <w:t>–</w:t>
      </w:r>
      <w:r w:rsidR="00957FBB">
        <w:t>2031</w:t>
      </w:r>
      <w:r>
        <w:t xml:space="preserve">. </w:t>
      </w:r>
    </w:p>
    <w:p w14:paraId="4F4A1F99" w14:textId="56FA4FE4" w:rsidR="00367774" w:rsidRDefault="001062A6" w:rsidP="001062A6">
      <w:pPr>
        <w:pStyle w:val="BodyText"/>
      </w:pPr>
      <w:r>
        <w:t xml:space="preserve">Table </w:t>
      </w:r>
      <w:r w:rsidR="009C6061">
        <w:t xml:space="preserve">5 </w:t>
      </w:r>
      <w:r>
        <w:t xml:space="preserve">summarises the different results that could arise from this analysis depending on the default carbon yield tables used, and the weightings used to create the area-weighted table. </w:t>
      </w:r>
      <w:r w:rsidR="00075A01">
        <w:t>Other than the value used in our advice, t</w:t>
      </w:r>
      <w:r>
        <w:t>hese are indicative estimates to provide a sense of how changes to the default carbon yield tables and/or updating the area</w:t>
      </w:r>
      <w:r w:rsidR="0065162A">
        <w:t xml:space="preserve"> </w:t>
      </w:r>
      <w:r>
        <w:t>weightings can impact the results.</w:t>
      </w:r>
    </w:p>
    <w:p w14:paraId="77886F0C" w14:textId="09391DDA" w:rsidR="007D5053" w:rsidRDefault="007D5053" w:rsidP="007D5053">
      <w:pPr>
        <w:pStyle w:val="FigureTabletitle"/>
      </w:pPr>
      <w:r>
        <w:t xml:space="preserve">Table </w:t>
      </w:r>
      <w:r w:rsidR="00B50217">
        <w:fldChar w:fldCharType="begin"/>
      </w:r>
      <w:r w:rsidR="00B50217">
        <w:instrText xml:space="preserve"> SEQ Table \* ARABIC </w:instrText>
      </w:r>
      <w:r w:rsidR="00B50217">
        <w:fldChar w:fldCharType="separate"/>
      </w:r>
      <w:r w:rsidR="00B50217">
        <w:rPr>
          <w:noProof/>
        </w:rPr>
        <w:t>5</w:t>
      </w:r>
      <w:r w:rsidR="00B50217">
        <w:rPr>
          <w:noProof/>
        </w:rPr>
        <w:fldChar w:fldCharType="end"/>
      </w:r>
      <w:r>
        <w:t xml:space="preserve">: </w:t>
      </w:r>
      <w:r w:rsidR="0061020E">
        <w:t xml:space="preserve">Forestry </w:t>
      </w:r>
      <w:r w:rsidRPr="00683D0A">
        <w:t>technical adjustments based on alternative yield tables and/or area weightings</w:t>
      </w:r>
    </w:p>
    <w:tbl>
      <w:tblPr>
        <w:tblStyle w:val="GridTable5Dark-Accent13"/>
        <w:tblW w:w="4998" w:type="pct"/>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253"/>
        <w:gridCol w:w="2692"/>
        <w:gridCol w:w="3108"/>
      </w:tblGrid>
      <w:tr w:rsidR="00B575FE" w:rsidRPr="00666D61" w14:paraId="39795A8B" w14:textId="77777777" w:rsidTr="002A2A14">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3253" w:type="dxa"/>
            <w:tcBorders>
              <w:top w:val="single" w:sz="6" w:space="0" w:color="FFFFFF"/>
              <w:left w:val="single" w:sz="6" w:space="0" w:color="FFFFFF"/>
              <w:bottom w:val="single" w:sz="4" w:space="0" w:color="FFFFFF"/>
            </w:tcBorders>
            <w:shd w:val="clear" w:color="auto" w:fill="002060"/>
            <w:tcMar>
              <w:left w:w="105" w:type="dxa"/>
              <w:right w:w="105" w:type="dxa"/>
            </w:tcMar>
          </w:tcPr>
          <w:p w14:paraId="6A7DE35A" w14:textId="61B8A505" w:rsidR="00666D61" w:rsidRPr="00F52C33" w:rsidRDefault="002A5425" w:rsidP="00E06D4C">
            <w:pPr>
              <w:pStyle w:val="Tableheading"/>
              <w:spacing w:before="60" w:after="60"/>
              <w:ind w:left="57" w:right="57"/>
            </w:pPr>
            <w:r w:rsidRPr="00E06D4C">
              <w:rPr>
                <w:b/>
                <w:bCs/>
              </w:rPr>
              <w:t>T</w:t>
            </w:r>
            <w:r w:rsidR="00666D61" w:rsidRPr="00E06D4C">
              <w:rPr>
                <w:b/>
                <w:bCs/>
              </w:rPr>
              <w:t>echnical adjustment over 2027–2031 (Million NZUs)</w:t>
            </w:r>
          </w:p>
        </w:tc>
        <w:tc>
          <w:tcPr>
            <w:tcW w:w="2692" w:type="dxa"/>
            <w:tcBorders>
              <w:top w:val="single" w:sz="6" w:space="0" w:color="FFFFFF"/>
              <w:bottom w:val="single" w:sz="4" w:space="0" w:color="FFFFFF"/>
            </w:tcBorders>
            <w:shd w:val="clear" w:color="auto" w:fill="002060"/>
            <w:tcMar>
              <w:left w:w="105" w:type="dxa"/>
              <w:right w:w="105" w:type="dxa"/>
            </w:tcMar>
          </w:tcPr>
          <w:p w14:paraId="7A87DB2B" w14:textId="77777777" w:rsidR="00666D61" w:rsidRPr="00F52C33" w:rsidRDefault="00666D61" w:rsidP="00E06D4C">
            <w:pPr>
              <w:pStyle w:val="Tableheading"/>
              <w:spacing w:before="60" w:after="60"/>
              <w:ind w:left="57" w:right="57"/>
              <w:cnfStyle w:val="100000000000" w:firstRow="1" w:lastRow="0" w:firstColumn="0" w:lastColumn="0" w:oddVBand="0" w:evenVBand="0" w:oddHBand="0" w:evenHBand="0" w:firstRowFirstColumn="0" w:firstRowLastColumn="0" w:lastRowFirstColumn="0" w:lastRowLastColumn="0"/>
            </w:pPr>
            <w:r w:rsidRPr="00E06D4C">
              <w:rPr>
                <w:b/>
                <w:bCs/>
              </w:rPr>
              <w:t>Using area weightings as provided by MPI</w:t>
            </w:r>
          </w:p>
        </w:tc>
        <w:tc>
          <w:tcPr>
            <w:tcW w:w="3108" w:type="dxa"/>
            <w:tcBorders>
              <w:top w:val="single" w:sz="6" w:space="0" w:color="FFFFFF"/>
              <w:bottom w:val="single" w:sz="4" w:space="0" w:color="FFFFFF"/>
            </w:tcBorders>
            <w:shd w:val="clear" w:color="auto" w:fill="002060"/>
            <w:tcMar>
              <w:left w:w="105" w:type="dxa"/>
              <w:right w:w="105" w:type="dxa"/>
            </w:tcMar>
          </w:tcPr>
          <w:p w14:paraId="48EFFAE7" w14:textId="77777777" w:rsidR="00666D61" w:rsidRPr="00F52C33" w:rsidRDefault="00666D61" w:rsidP="00E06D4C">
            <w:pPr>
              <w:pStyle w:val="Tableheading"/>
              <w:spacing w:before="60" w:after="60"/>
              <w:ind w:left="57" w:right="57"/>
              <w:cnfStyle w:val="100000000000" w:firstRow="1" w:lastRow="0" w:firstColumn="0" w:lastColumn="0" w:oddVBand="0" w:evenVBand="0" w:oddHBand="0" w:evenHBand="0" w:firstRowFirstColumn="0" w:firstRowLastColumn="0" w:lastRowFirstColumn="0" w:lastRowLastColumn="0"/>
            </w:pPr>
            <w:r w:rsidRPr="00E06D4C">
              <w:rPr>
                <w:b/>
                <w:bCs/>
              </w:rPr>
              <w:t>Using area weightings based on registered area by carbon measurement method</w:t>
            </w:r>
          </w:p>
        </w:tc>
      </w:tr>
      <w:tr w:rsidR="00B575FE" w:rsidRPr="00C827DE" w14:paraId="6F05E69B" w14:textId="77777777" w:rsidTr="002A2A14">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3253" w:type="dxa"/>
            <w:tcBorders>
              <w:top w:val="single" w:sz="4" w:space="0" w:color="FFFFFF"/>
              <w:left w:val="single" w:sz="6" w:space="0" w:color="FFFFFF"/>
              <w:bottom w:val="single" w:sz="4" w:space="0" w:color="FFFFFF"/>
            </w:tcBorders>
            <w:shd w:val="clear" w:color="auto" w:fill="C1DCD5"/>
            <w:tcMar>
              <w:left w:w="105" w:type="dxa"/>
              <w:right w:w="105" w:type="dxa"/>
            </w:tcMar>
          </w:tcPr>
          <w:p w14:paraId="7F934C2D" w14:textId="77777777" w:rsidR="00666D61" w:rsidRPr="00E06D4C" w:rsidRDefault="00666D61" w:rsidP="00E06D4C">
            <w:pPr>
              <w:pStyle w:val="TableParagraph"/>
              <w:spacing w:before="60" w:after="60"/>
              <w:ind w:left="57" w:right="57"/>
              <w:rPr>
                <w:color w:val="auto"/>
              </w:rPr>
            </w:pPr>
            <w:r w:rsidRPr="00E06D4C">
              <w:rPr>
                <w:color w:val="auto"/>
              </w:rPr>
              <w:t>Default carbon yield tables as in regulation</w:t>
            </w:r>
          </w:p>
        </w:tc>
        <w:tc>
          <w:tcPr>
            <w:tcW w:w="2692" w:type="dxa"/>
            <w:tcBorders>
              <w:top w:val="single" w:sz="4" w:space="0" w:color="FFFFFF"/>
              <w:bottom w:val="single" w:sz="4" w:space="0" w:color="FFFFFF"/>
            </w:tcBorders>
            <w:shd w:val="clear" w:color="auto" w:fill="D4E8DE"/>
            <w:tcMar>
              <w:left w:w="105" w:type="dxa"/>
              <w:right w:w="105" w:type="dxa"/>
            </w:tcMar>
            <w:vAlign w:val="center"/>
          </w:tcPr>
          <w:p w14:paraId="50DE57B4" w14:textId="062573FC" w:rsidR="00666D61" w:rsidRPr="00C827DE" w:rsidRDefault="00666D61" w:rsidP="00E06D4C">
            <w:pPr>
              <w:pStyle w:val="TableParagraph"/>
              <w:spacing w:before="60" w:after="60"/>
              <w:ind w:left="57" w:right="57"/>
              <w:cnfStyle w:val="000000100000" w:firstRow="0" w:lastRow="0" w:firstColumn="0" w:lastColumn="0" w:oddVBand="0" w:evenVBand="0" w:oddHBand="1" w:evenHBand="0" w:firstRowFirstColumn="0" w:firstRowLastColumn="0" w:lastRowFirstColumn="0" w:lastRowLastColumn="0"/>
            </w:pPr>
            <w:r w:rsidRPr="00C827DE">
              <w:t>3.2 (used in our advice)</w:t>
            </w:r>
          </w:p>
        </w:tc>
        <w:tc>
          <w:tcPr>
            <w:tcW w:w="3108" w:type="dxa"/>
            <w:tcBorders>
              <w:top w:val="single" w:sz="4" w:space="0" w:color="FFFFFF"/>
              <w:bottom w:val="single" w:sz="4" w:space="0" w:color="FFFFFF"/>
              <w:right w:val="nil"/>
            </w:tcBorders>
            <w:shd w:val="clear" w:color="auto" w:fill="D4E8DE"/>
            <w:tcMar>
              <w:left w:w="105" w:type="dxa"/>
              <w:right w:w="105" w:type="dxa"/>
            </w:tcMar>
            <w:vAlign w:val="center"/>
          </w:tcPr>
          <w:p w14:paraId="7CD769E1" w14:textId="78BB1670" w:rsidR="00666D61" w:rsidRPr="00C827DE" w:rsidRDefault="0077100E" w:rsidP="00E06D4C">
            <w:pPr>
              <w:pStyle w:val="TableParagraph"/>
              <w:spacing w:before="60" w:after="60"/>
              <w:ind w:left="57" w:right="57"/>
              <w:cnfStyle w:val="000000100000" w:firstRow="0" w:lastRow="0" w:firstColumn="0" w:lastColumn="0" w:oddVBand="0" w:evenVBand="0" w:oddHBand="1" w:evenHBand="0" w:firstRowFirstColumn="0" w:firstRowLastColumn="0" w:lastRowFirstColumn="0" w:lastRowLastColumn="0"/>
            </w:pPr>
            <w:r w:rsidRPr="00C827DE">
              <w:t>6.9</w:t>
            </w:r>
          </w:p>
        </w:tc>
      </w:tr>
      <w:tr w:rsidR="00B575FE" w:rsidRPr="00C827DE" w14:paraId="13F59718" w14:textId="77777777" w:rsidTr="002A2A14">
        <w:trPr>
          <w:trHeight w:val="465"/>
        </w:trPr>
        <w:tc>
          <w:tcPr>
            <w:cnfStyle w:val="001000000000" w:firstRow="0" w:lastRow="0" w:firstColumn="1" w:lastColumn="0" w:oddVBand="0" w:evenVBand="0" w:oddHBand="0" w:evenHBand="0" w:firstRowFirstColumn="0" w:firstRowLastColumn="0" w:lastRowFirstColumn="0" w:lastRowLastColumn="0"/>
            <w:tcW w:w="3253" w:type="dxa"/>
            <w:tcBorders>
              <w:top w:val="single" w:sz="4" w:space="0" w:color="FFFFFF"/>
              <w:left w:val="single" w:sz="6" w:space="0" w:color="FFFFFF"/>
            </w:tcBorders>
            <w:shd w:val="clear" w:color="auto" w:fill="C1DCD5"/>
            <w:tcMar>
              <w:left w:w="105" w:type="dxa"/>
              <w:right w:w="105" w:type="dxa"/>
            </w:tcMar>
          </w:tcPr>
          <w:p w14:paraId="506CAA8A" w14:textId="77777777" w:rsidR="00666D61" w:rsidRPr="00E06D4C" w:rsidRDefault="00666D61" w:rsidP="00E06D4C">
            <w:pPr>
              <w:pStyle w:val="TableParagraph"/>
              <w:spacing w:before="60" w:after="60"/>
              <w:ind w:left="57" w:right="57"/>
              <w:rPr>
                <w:color w:val="auto"/>
              </w:rPr>
            </w:pPr>
            <w:r w:rsidRPr="00E06D4C">
              <w:rPr>
                <w:color w:val="auto"/>
              </w:rPr>
              <w:t>Default carbon yield tables as in 2025 consultation</w:t>
            </w:r>
          </w:p>
        </w:tc>
        <w:tc>
          <w:tcPr>
            <w:tcW w:w="2692" w:type="dxa"/>
            <w:tcBorders>
              <w:top w:val="single" w:sz="4" w:space="0" w:color="FFFFFF"/>
              <w:bottom w:val="nil"/>
            </w:tcBorders>
            <w:shd w:val="clear" w:color="auto" w:fill="D4E8DE"/>
            <w:tcMar>
              <w:left w:w="105" w:type="dxa"/>
              <w:right w:w="105" w:type="dxa"/>
            </w:tcMar>
            <w:vAlign w:val="center"/>
          </w:tcPr>
          <w:p w14:paraId="73D74F10" w14:textId="41C84D6D" w:rsidR="00666D61" w:rsidRPr="00C827DE" w:rsidRDefault="00666D61" w:rsidP="00E06D4C">
            <w:pPr>
              <w:pStyle w:val="TableParagraph"/>
              <w:spacing w:before="60" w:after="60"/>
              <w:ind w:left="57" w:right="57"/>
              <w:cnfStyle w:val="000000000000" w:firstRow="0" w:lastRow="0" w:firstColumn="0" w:lastColumn="0" w:oddVBand="0" w:evenVBand="0" w:oddHBand="0" w:evenHBand="0" w:firstRowFirstColumn="0" w:firstRowLastColumn="0" w:lastRowFirstColumn="0" w:lastRowLastColumn="0"/>
            </w:pPr>
            <w:r w:rsidRPr="00C827DE">
              <w:t>6.1</w:t>
            </w:r>
          </w:p>
        </w:tc>
        <w:tc>
          <w:tcPr>
            <w:tcW w:w="3108" w:type="dxa"/>
            <w:tcBorders>
              <w:top w:val="single" w:sz="4" w:space="0" w:color="FFFFFF"/>
              <w:bottom w:val="nil"/>
              <w:right w:val="nil"/>
            </w:tcBorders>
            <w:shd w:val="clear" w:color="auto" w:fill="D4E8DE"/>
            <w:tcMar>
              <w:left w:w="105" w:type="dxa"/>
              <w:right w:w="105" w:type="dxa"/>
            </w:tcMar>
            <w:vAlign w:val="center"/>
          </w:tcPr>
          <w:p w14:paraId="26011E56" w14:textId="74548B46" w:rsidR="00666D61" w:rsidRPr="00C827DE" w:rsidRDefault="00666D61" w:rsidP="00E06D4C">
            <w:pPr>
              <w:pStyle w:val="TableParagraph"/>
              <w:spacing w:before="60" w:after="60"/>
              <w:ind w:left="57" w:right="57"/>
              <w:cnfStyle w:val="000000000000" w:firstRow="0" w:lastRow="0" w:firstColumn="0" w:lastColumn="0" w:oddVBand="0" w:evenVBand="0" w:oddHBand="0" w:evenHBand="0" w:firstRowFirstColumn="0" w:firstRowLastColumn="0" w:lastRowFirstColumn="0" w:lastRowLastColumn="0"/>
            </w:pPr>
            <w:r w:rsidRPr="00C827DE">
              <w:t>8.</w:t>
            </w:r>
            <w:r w:rsidR="00FA03D9" w:rsidRPr="00C827DE">
              <w:t>4</w:t>
            </w:r>
          </w:p>
        </w:tc>
      </w:tr>
    </w:tbl>
    <w:p w14:paraId="132FE17F" w14:textId="2BFB6871" w:rsidR="00092BD5" w:rsidRDefault="0032177E" w:rsidP="001062A6">
      <w:pPr>
        <w:pStyle w:val="BodyText"/>
      </w:pPr>
      <w:r w:rsidRPr="0032177E">
        <w:t xml:space="preserve">The analysis and modelling that forms the basis of the forestry technical adjustment, including further description of the issues set out above, is contained in </w:t>
      </w:r>
      <w:r w:rsidRPr="00E06D4C">
        <w:t>Technical Annex 2: Forestry accounting</w:t>
      </w:r>
      <w:r w:rsidRPr="0032177E">
        <w:t>, published separately on our website.</w:t>
      </w:r>
    </w:p>
    <w:p w14:paraId="38D58481" w14:textId="0B565E77" w:rsidR="0032177E" w:rsidRDefault="00532B95" w:rsidP="0032177E">
      <w:pPr>
        <w:pStyle w:val="Heading2nonumber"/>
      </w:pPr>
      <w:bookmarkStart w:id="28" w:name="_Toc227603116"/>
      <w:r>
        <w:t>Overall s</w:t>
      </w:r>
      <w:r w:rsidR="008E6C40">
        <w:t xml:space="preserve">tep 1 results </w:t>
      </w:r>
      <w:r w:rsidR="00D2245F">
        <w:t xml:space="preserve">– conversion of emissions cap to unit </w:t>
      </w:r>
      <w:r w:rsidR="0032177E" w:rsidDel="00D2245F">
        <w:t>volumes</w:t>
      </w:r>
      <w:bookmarkEnd w:id="28"/>
    </w:p>
    <w:p w14:paraId="28E057FE" w14:textId="5BD7B8DD" w:rsidR="0032177E" w:rsidRDefault="00511D61" w:rsidP="0032177E">
      <w:pPr>
        <w:pStyle w:val="BodyText"/>
      </w:pPr>
      <w:r w:rsidRPr="00511D61">
        <w:t xml:space="preserve">Table </w:t>
      </w:r>
      <w:r w:rsidR="009C6061">
        <w:t>6</w:t>
      </w:r>
      <w:r w:rsidR="009C6061" w:rsidRPr="00511D61">
        <w:t xml:space="preserve"> </w:t>
      </w:r>
      <w:r w:rsidRPr="00511D61">
        <w:t>shows the proposed annual technical adjustments related to waste and forestry, and the result</w:t>
      </w:r>
      <w:r w:rsidR="0046605C">
        <w:t xml:space="preserve">s of converting </w:t>
      </w:r>
      <w:r w:rsidR="007610FB">
        <w:t>the NZ ETS emissions cap for each year to emissions budget-consistent unit volumes</w:t>
      </w:r>
      <w:r w:rsidR="0046605C">
        <w:t xml:space="preserve"> </w:t>
      </w:r>
      <w:r w:rsidRPr="00511D61">
        <w:t>over 2026</w:t>
      </w:r>
      <w:r w:rsidR="00D42BD0">
        <w:t>–</w:t>
      </w:r>
      <w:r w:rsidRPr="00511D61">
        <w:t>2035.</w:t>
      </w:r>
    </w:p>
    <w:p w14:paraId="23A368C8" w14:textId="56722CB7" w:rsidR="005F27E1" w:rsidRDefault="005F27E1" w:rsidP="005F27E1">
      <w:pPr>
        <w:pStyle w:val="FigureTabletitle"/>
      </w:pPr>
      <w:r>
        <w:t xml:space="preserve">Table </w:t>
      </w:r>
      <w:r w:rsidR="00B50217">
        <w:fldChar w:fldCharType="begin"/>
      </w:r>
      <w:r w:rsidR="00B50217">
        <w:instrText xml:space="preserve"> SEQ Table \* ARABIC </w:instrText>
      </w:r>
      <w:r w:rsidR="00B50217">
        <w:fldChar w:fldCharType="separate"/>
      </w:r>
      <w:r w:rsidR="00B50217">
        <w:rPr>
          <w:noProof/>
        </w:rPr>
        <w:t>6</w:t>
      </w:r>
      <w:r w:rsidR="00B50217">
        <w:rPr>
          <w:noProof/>
        </w:rPr>
        <w:fldChar w:fldCharType="end"/>
      </w:r>
      <w:r>
        <w:t xml:space="preserve">: </w:t>
      </w:r>
      <w:r w:rsidR="00DC47FA">
        <w:t xml:space="preserve">Overall step 1 results – </w:t>
      </w:r>
      <w:r w:rsidR="00DB6377">
        <w:t xml:space="preserve">application of technical adjustments to </w:t>
      </w:r>
      <w:r w:rsidR="00DC47FA">
        <w:t>conver</w:t>
      </w:r>
      <w:r w:rsidR="00DB6377">
        <w:t xml:space="preserve">t </w:t>
      </w:r>
      <w:r w:rsidR="00DC47FA">
        <w:t xml:space="preserve">NZ ETS emissions caps to </w:t>
      </w:r>
      <w:r w:rsidR="00DB6377">
        <w:t xml:space="preserve">unit volumes </w:t>
      </w:r>
    </w:p>
    <w:tbl>
      <w:tblPr>
        <w:tblStyle w:val="GridTable5Dark-Accent14"/>
        <w:tblW w:w="0" w:type="auto"/>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4A0" w:firstRow="1" w:lastRow="0" w:firstColumn="1" w:lastColumn="0" w:noHBand="0" w:noVBand="1"/>
      </w:tblPr>
      <w:tblGrid>
        <w:gridCol w:w="1531"/>
        <w:gridCol w:w="781"/>
        <w:gridCol w:w="781"/>
        <w:gridCol w:w="781"/>
        <w:gridCol w:w="782"/>
        <w:gridCol w:w="781"/>
        <w:gridCol w:w="781"/>
        <w:gridCol w:w="782"/>
        <w:gridCol w:w="781"/>
        <w:gridCol w:w="781"/>
        <w:gridCol w:w="782"/>
      </w:tblGrid>
      <w:tr w:rsidR="00FE7BD7" w:rsidRPr="005F27E1" w14:paraId="72CFEE56" w14:textId="77777777" w:rsidTr="00434781">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531" w:type="dxa"/>
            <w:tcBorders>
              <w:top w:val="single" w:sz="6" w:space="0" w:color="FFFFFF"/>
              <w:left w:val="single" w:sz="6" w:space="0" w:color="FFFFFF"/>
            </w:tcBorders>
            <w:shd w:val="clear" w:color="auto" w:fill="002060"/>
            <w:tcMar>
              <w:left w:w="105" w:type="dxa"/>
              <w:right w:w="105" w:type="dxa"/>
            </w:tcMar>
          </w:tcPr>
          <w:p w14:paraId="26993A5D" w14:textId="77777777" w:rsidR="005F27E1" w:rsidRPr="005F27E1" w:rsidRDefault="005F27E1" w:rsidP="00E06D4C">
            <w:pPr>
              <w:pStyle w:val="Tableheading"/>
              <w:spacing w:beforeLines="60" w:before="144" w:afterLines="60" w:after="144"/>
              <w:ind w:left="57" w:right="57"/>
            </w:pPr>
            <w:r w:rsidRPr="00E06D4C">
              <w:rPr>
                <w:b/>
                <w:bCs/>
              </w:rPr>
              <w:t>NZUs (millions)</w:t>
            </w:r>
          </w:p>
        </w:tc>
        <w:tc>
          <w:tcPr>
            <w:tcW w:w="781" w:type="dxa"/>
            <w:tcBorders>
              <w:top w:val="single" w:sz="6" w:space="0" w:color="FFFFFF"/>
            </w:tcBorders>
            <w:shd w:val="clear" w:color="auto" w:fill="002060"/>
            <w:tcMar>
              <w:left w:w="105" w:type="dxa"/>
              <w:right w:w="105" w:type="dxa"/>
            </w:tcMar>
          </w:tcPr>
          <w:p w14:paraId="5F60BF13" w14:textId="77777777" w:rsidR="005F27E1" w:rsidRPr="005F27E1" w:rsidRDefault="005F27E1" w:rsidP="00E06D4C">
            <w:pPr>
              <w:pStyle w:val="Tableheading"/>
              <w:spacing w:beforeLines="60" w:before="144" w:afterLines="60" w:after="144"/>
              <w:ind w:left="57" w:right="57"/>
              <w:cnfStyle w:val="100000000000" w:firstRow="1" w:lastRow="0" w:firstColumn="0" w:lastColumn="0" w:oddVBand="0" w:evenVBand="0" w:oddHBand="0" w:evenHBand="0" w:firstRowFirstColumn="0" w:firstRowLastColumn="0" w:lastRowFirstColumn="0" w:lastRowLastColumn="0"/>
            </w:pPr>
            <w:r w:rsidRPr="00E06D4C">
              <w:rPr>
                <w:b/>
                <w:bCs/>
              </w:rPr>
              <w:t>2026</w:t>
            </w:r>
          </w:p>
        </w:tc>
        <w:tc>
          <w:tcPr>
            <w:tcW w:w="781" w:type="dxa"/>
            <w:tcBorders>
              <w:top w:val="single" w:sz="6" w:space="0" w:color="FFFFFF"/>
            </w:tcBorders>
            <w:shd w:val="clear" w:color="auto" w:fill="002060"/>
            <w:tcMar>
              <w:left w:w="105" w:type="dxa"/>
              <w:right w:w="105" w:type="dxa"/>
            </w:tcMar>
          </w:tcPr>
          <w:p w14:paraId="1D8F2C13" w14:textId="77777777" w:rsidR="005F27E1" w:rsidRPr="005F27E1" w:rsidRDefault="005F27E1" w:rsidP="00E06D4C">
            <w:pPr>
              <w:pStyle w:val="Tableheading"/>
              <w:spacing w:beforeLines="60" w:before="144" w:afterLines="60" w:after="144"/>
              <w:ind w:left="57" w:right="57"/>
              <w:cnfStyle w:val="100000000000" w:firstRow="1" w:lastRow="0" w:firstColumn="0" w:lastColumn="0" w:oddVBand="0" w:evenVBand="0" w:oddHBand="0" w:evenHBand="0" w:firstRowFirstColumn="0" w:firstRowLastColumn="0" w:lastRowFirstColumn="0" w:lastRowLastColumn="0"/>
            </w:pPr>
            <w:r w:rsidRPr="00E06D4C">
              <w:rPr>
                <w:b/>
                <w:bCs/>
              </w:rPr>
              <w:t>2027</w:t>
            </w:r>
          </w:p>
        </w:tc>
        <w:tc>
          <w:tcPr>
            <w:tcW w:w="781" w:type="dxa"/>
            <w:tcBorders>
              <w:top w:val="single" w:sz="6" w:space="0" w:color="FFFFFF"/>
            </w:tcBorders>
            <w:shd w:val="clear" w:color="auto" w:fill="002060"/>
            <w:tcMar>
              <w:left w:w="105" w:type="dxa"/>
              <w:right w:w="105" w:type="dxa"/>
            </w:tcMar>
          </w:tcPr>
          <w:p w14:paraId="189A8529" w14:textId="77777777" w:rsidR="005F27E1" w:rsidRPr="005F27E1" w:rsidRDefault="005F27E1" w:rsidP="00E06D4C">
            <w:pPr>
              <w:pStyle w:val="Tableheading"/>
              <w:spacing w:beforeLines="60" w:before="144" w:afterLines="60" w:after="144"/>
              <w:ind w:left="57" w:right="57"/>
              <w:cnfStyle w:val="100000000000" w:firstRow="1" w:lastRow="0" w:firstColumn="0" w:lastColumn="0" w:oddVBand="0" w:evenVBand="0" w:oddHBand="0" w:evenHBand="0" w:firstRowFirstColumn="0" w:firstRowLastColumn="0" w:lastRowFirstColumn="0" w:lastRowLastColumn="0"/>
            </w:pPr>
            <w:r w:rsidRPr="00E06D4C">
              <w:rPr>
                <w:b/>
                <w:bCs/>
              </w:rPr>
              <w:t>2028</w:t>
            </w:r>
          </w:p>
        </w:tc>
        <w:tc>
          <w:tcPr>
            <w:tcW w:w="782" w:type="dxa"/>
            <w:tcBorders>
              <w:top w:val="single" w:sz="6" w:space="0" w:color="FFFFFF"/>
            </w:tcBorders>
            <w:shd w:val="clear" w:color="auto" w:fill="002060"/>
            <w:tcMar>
              <w:left w:w="105" w:type="dxa"/>
              <w:right w:w="105" w:type="dxa"/>
            </w:tcMar>
          </w:tcPr>
          <w:p w14:paraId="7AF32878" w14:textId="77777777" w:rsidR="005F27E1" w:rsidRPr="005F27E1" w:rsidRDefault="005F27E1" w:rsidP="00E06D4C">
            <w:pPr>
              <w:pStyle w:val="Tableheading"/>
              <w:spacing w:beforeLines="60" w:before="144" w:afterLines="60" w:after="144"/>
              <w:ind w:left="57" w:right="57"/>
              <w:cnfStyle w:val="100000000000" w:firstRow="1" w:lastRow="0" w:firstColumn="0" w:lastColumn="0" w:oddVBand="0" w:evenVBand="0" w:oddHBand="0" w:evenHBand="0" w:firstRowFirstColumn="0" w:firstRowLastColumn="0" w:lastRowFirstColumn="0" w:lastRowLastColumn="0"/>
            </w:pPr>
            <w:r w:rsidRPr="00E06D4C">
              <w:rPr>
                <w:b/>
                <w:bCs/>
              </w:rPr>
              <w:t>2029</w:t>
            </w:r>
          </w:p>
        </w:tc>
        <w:tc>
          <w:tcPr>
            <w:tcW w:w="781" w:type="dxa"/>
            <w:tcBorders>
              <w:top w:val="single" w:sz="6" w:space="0" w:color="FFFFFF"/>
            </w:tcBorders>
            <w:shd w:val="clear" w:color="auto" w:fill="002060"/>
            <w:tcMar>
              <w:left w:w="105" w:type="dxa"/>
              <w:right w:w="105" w:type="dxa"/>
            </w:tcMar>
          </w:tcPr>
          <w:p w14:paraId="5D6474BC" w14:textId="77777777" w:rsidR="005F27E1" w:rsidRPr="005F27E1" w:rsidRDefault="005F27E1" w:rsidP="00E06D4C">
            <w:pPr>
              <w:pStyle w:val="Tableheading"/>
              <w:spacing w:beforeLines="60" w:before="144" w:afterLines="60" w:after="144"/>
              <w:ind w:left="57" w:right="57"/>
              <w:cnfStyle w:val="100000000000" w:firstRow="1" w:lastRow="0" w:firstColumn="0" w:lastColumn="0" w:oddVBand="0" w:evenVBand="0" w:oddHBand="0" w:evenHBand="0" w:firstRowFirstColumn="0" w:firstRowLastColumn="0" w:lastRowFirstColumn="0" w:lastRowLastColumn="0"/>
            </w:pPr>
            <w:r w:rsidRPr="00E06D4C">
              <w:rPr>
                <w:b/>
                <w:bCs/>
              </w:rPr>
              <w:t>2030</w:t>
            </w:r>
          </w:p>
        </w:tc>
        <w:tc>
          <w:tcPr>
            <w:tcW w:w="781" w:type="dxa"/>
            <w:tcBorders>
              <w:top w:val="single" w:sz="6" w:space="0" w:color="FFFFFF"/>
            </w:tcBorders>
            <w:shd w:val="clear" w:color="auto" w:fill="002060"/>
            <w:tcMar>
              <w:left w:w="105" w:type="dxa"/>
              <w:right w:w="105" w:type="dxa"/>
            </w:tcMar>
          </w:tcPr>
          <w:p w14:paraId="71DF34EC" w14:textId="77777777" w:rsidR="005F27E1" w:rsidRPr="005F27E1" w:rsidRDefault="005F27E1" w:rsidP="00E06D4C">
            <w:pPr>
              <w:pStyle w:val="Tableheading"/>
              <w:spacing w:beforeLines="60" w:before="144" w:afterLines="60" w:after="144"/>
              <w:ind w:left="57" w:right="57"/>
              <w:cnfStyle w:val="100000000000" w:firstRow="1" w:lastRow="0" w:firstColumn="0" w:lastColumn="0" w:oddVBand="0" w:evenVBand="0" w:oddHBand="0" w:evenHBand="0" w:firstRowFirstColumn="0" w:firstRowLastColumn="0" w:lastRowFirstColumn="0" w:lastRowLastColumn="0"/>
            </w:pPr>
            <w:r w:rsidRPr="00E06D4C">
              <w:rPr>
                <w:b/>
                <w:bCs/>
              </w:rPr>
              <w:t>2031</w:t>
            </w:r>
          </w:p>
        </w:tc>
        <w:tc>
          <w:tcPr>
            <w:tcW w:w="782" w:type="dxa"/>
            <w:tcBorders>
              <w:top w:val="single" w:sz="6" w:space="0" w:color="FFFFFF"/>
            </w:tcBorders>
            <w:shd w:val="clear" w:color="auto" w:fill="002060"/>
            <w:tcMar>
              <w:left w:w="105" w:type="dxa"/>
              <w:right w:w="105" w:type="dxa"/>
            </w:tcMar>
          </w:tcPr>
          <w:p w14:paraId="1AFE3FC4" w14:textId="77777777" w:rsidR="005F27E1" w:rsidRPr="005F27E1" w:rsidRDefault="005F27E1" w:rsidP="00E06D4C">
            <w:pPr>
              <w:pStyle w:val="Tableheading"/>
              <w:spacing w:beforeLines="60" w:before="144" w:afterLines="60" w:after="144"/>
              <w:ind w:left="57" w:right="57"/>
              <w:cnfStyle w:val="100000000000" w:firstRow="1" w:lastRow="0" w:firstColumn="0" w:lastColumn="0" w:oddVBand="0" w:evenVBand="0" w:oddHBand="0" w:evenHBand="0" w:firstRowFirstColumn="0" w:firstRowLastColumn="0" w:lastRowFirstColumn="0" w:lastRowLastColumn="0"/>
            </w:pPr>
            <w:r w:rsidRPr="00E06D4C">
              <w:rPr>
                <w:b/>
                <w:bCs/>
              </w:rPr>
              <w:t>2032</w:t>
            </w:r>
          </w:p>
        </w:tc>
        <w:tc>
          <w:tcPr>
            <w:tcW w:w="781" w:type="dxa"/>
            <w:tcBorders>
              <w:top w:val="single" w:sz="6" w:space="0" w:color="FFFFFF"/>
            </w:tcBorders>
            <w:shd w:val="clear" w:color="auto" w:fill="002060"/>
            <w:tcMar>
              <w:left w:w="105" w:type="dxa"/>
              <w:right w:w="105" w:type="dxa"/>
            </w:tcMar>
          </w:tcPr>
          <w:p w14:paraId="26E109C3" w14:textId="77777777" w:rsidR="005F27E1" w:rsidRPr="005F27E1" w:rsidRDefault="005F27E1" w:rsidP="00E06D4C">
            <w:pPr>
              <w:pStyle w:val="Tableheading"/>
              <w:spacing w:beforeLines="60" w:before="144" w:afterLines="60" w:after="144"/>
              <w:ind w:left="57" w:right="57"/>
              <w:cnfStyle w:val="100000000000" w:firstRow="1" w:lastRow="0" w:firstColumn="0" w:lastColumn="0" w:oddVBand="0" w:evenVBand="0" w:oddHBand="0" w:evenHBand="0" w:firstRowFirstColumn="0" w:firstRowLastColumn="0" w:lastRowFirstColumn="0" w:lastRowLastColumn="0"/>
            </w:pPr>
            <w:r w:rsidRPr="00E06D4C">
              <w:rPr>
                <w:b/>
                <w:bCs/>
              </w:rPr>
              <w:t>2033</w:t>
            </w:r>
          </w:p>
        </w:tc>
        <w:tc>
          <w:tcPr>
            <w:tcW w:w="781" w:type="dxa"/>
            <w:tcBorders>
              <w:top w:val="single" w:sz="6" w:space="0" w:color="FFFFFF"/>
            </w:tcBorders>
            <w:shd w:val="clear" w:color="auto" w:fill="002060"/>
            <w:tcMar>
              <w:left w:w="105" w:type="dxa"/>
              <w:right w:w="105" w:type="dxa"/>
            </w:tcMar>
          </w:tcPr>
          <w:p w14:paraId="2240433A" w14:textId="77777777" w:rsidR="005F27E1" w:rsidRPr="005F27E1" w:rsidRDefault="005F27E1" w:rsidP="00E06D4C">
            <w:pPr>
              <w:pStyle w:val="Tableheading"/>
              <w:spacing w:beforeLines="60" w:before="144" w:afterLines="60" w:after="144"/>
              <w:ind w:left="57" w:right="57"/>
              <w:cnfStyle w:val="100000000000" w:firstRow="1" w:lastRow="0" w:firstColumn="0" w:lastColumn="0" w:oddVBand="0" w:evenVBand="0" w:oddHBand="0" w:evenHBand="0" w:firstRowFirstColumn="0" w:firstRowLastColumn="0" w:lastRowFirstColumn="0" w:lastRowLastColumn="0"/>
            </w:pPr>
            <w:r w:rsidRPr="00E06D4C">
              <w:rPr>
                <w:b/>
                <w:bCs/>
              </w:rPr>
              <w:t>2034</w:t>
            </w:r>
          </w:p>
        </w:tc>
        <w:tc>
          <w:tcPr>
            <w:tcW w:w="782" w:type="dxa"/>
            <w:tcBorders>
              <w:top w:val="single" w:sz="6" w:space="0" w:color="FFFFFF"/>
              <w:right w:val="single" w:sz="6" w:space="0" w:color="FFFFFF"/>
            </w:tcBorders>
            <w:shd w:val="clear" w:color="auto" w:fill="002060"/>
            <w:tcMar>
              <w:left w:w="105" w:type="dxa"/>
              <w:right w:w="105" w:type="dxa"/>
            </w:tcMar>
          </w:tcPr>
          <w:p w14:paraId="165FC331" w14:textId="77777777" w:rsidR="005F27E1" w:rsidRPr="005F27E1" w:rsidRDefault="005F27E1" w:rsidP="00E06D4C">
            <w:pPr>
              <w:pStyle w:val="Tableheading"/>
              <w:spacing w:beforeLines="60" w:before="144" w:afterLines="60" w:after="144"/>
              <w:ind w:left="57" w:right="57"/>
              <w:cnfStyle w:val="100000000000" w:firstRow="1" w:lastRow="0" w:firstColumn="0" w:lastColumn="0" w:oddVBand="0" w:evenVBand="0" w:oddHBand="0" w:evenHBand="0" w:firstRowFirstColumn="0" w:firstRowLastColumn="0" w:lastRowFirstColumn="0" w:lastRowLastColumn="0"/>
            </w:pPr>
            <w:r w:rsidRPr="00E06D4C">
              <w:rPr>
                <w:b/>
                <w:bCs/>
              </w:rPr>
              <w:t>2035</w:t>
            </w:r>
          </w:p>
        </w:tc>
      </w:tr>
      <w:tr w:rsidR="00FE7BD7" w:rsidRPr="005F27E1" w14:paraId="1FE3D51D" w14:textId="77777777" w:rsidTr="00434781">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531" w:type="dxa"/>
            <w:tcBorders>
              <w:left w:val="single" w:sz="6" w:space="0" w:color="FFFFFF"/>
            </w:tcBorders>
            <w:shd w:val="clear" w:color="auto" w:fill="C1DCD5"/>
            <w:tcMar>
              <w:left w:w="105" w:type="dxa"/>
              <w:right w:w="105" w:type="dxa"/>
            </w:tcMar>
          </w:tcPr>
          <w:p w14:paraId="2DF75AA5" w14:textId="77777777" w:rsidR="005F27E1" w:rsidRPr="00E06D4C" w:rsidRDefault="005F27E1" w:rsidP="00E06D4C">
            <w:pPr>
              <w:pStyle w:val="TableParagraph"/>
              <w:spacing w:beforeLines="60" w:before="144" w:afterLines="60" w:after="144"/>
              <w:ind w:left="57" w:right="57"/>
              <w:rPr>
                <w:color w:val="auto"/>
              </w:rPr>
            </w:pPr>
            <w:r w:rsidRPr="00E06D4C">
              <w:rPr>
                <w:color w:val="auto"/>
              </w:rPr>
              <w:t xml:space="preserve">NZ ETS emissions cap </w:t>
            </w:r>
          </w:p>
        </w:tc>
        <w:tc>
          <w:tcPr>
            <w:tcW w:w="781" w:type="dxa"/>
            <w:shd w:val="clear" w:color="auto" w:fill="D4E8DE"/>
            <w:tcMar>
              <w:left w:w="105" w:type="dxa"/>
              <w:right w:w="105" w:type="dxa"/>
            </w:tcMar>
            <w:vAlign w:val="bottom"/>
          </w:tcPr>
          <w:p w14:paraId="055D3A18" w14:textId="577138DA" w:rsidR="005F27E1" w:rsidRPr="008A7DDF" w:rsidRDefault="005F27E1" w:rsidP="00E06D4C">
            <w:pPr>
              <w:pStyle w:val="TableParagraph"/>
              <w:spacing w:beforeLines="60" w:before="144" w:afterLines="60" w:after="144"/>
              <w:ind w:left="57" w:right="57"/>
              <w:jc w:val="center"/>
              <w:cnfStyle w:val="000000100000" w:firstRow="0" w:lastRow="0" w:firstColumn="0" w:lastColumn="0" w:oddVBand="0" w:evenVBand="0" w:oddHBand="1" w:evenHBand="0" w:firstRowFirstColumn="0" w:firstRowLastColumn="0" w:lastRowFirstColumn="0" w:lastRowLastColumn="0"/>
            </w:pPr>
            <w:r w:rsidRPr="008A7DDF">
              <w:t>21.9</w:t>
            </w:r>
          </w:p>
        </w:tc>
        <w:tc>
          <w:tcPr>
            <w:tcW w:w="781" w:type="dxa"/>
            <w:shd w:val="clear" w:color="auto" w:fill="D4E8DE"/>
            <w:tcMar>
              <w:left w:w="105" w:type="dxa"/>
              <w:right w:w="105" w:type="dxa"/>
            </w:tcMar>
            <w:vAlign w:val="bottom"/>
          </w:tcPr>
          <w:p w14:paraId="648A6F80" w14:textId="2D9ED4CB" w:rsidR="005F27E1" w:rsidRPr="008A7DDF" w:rsidRDefault="005F27E1" w:rsidP="00E06D4C">
            <w:pPr>
              <w:pStyle w:val="TableParagraph"/>
              <w:spacing w:beforeLines="60" w:before="144" w:afterLines="60" w:after="144"/>
              <w:ind w:left="57" w:right="57"/>
              <w:jc w:val="center"/>
              <w:cnfStyle w:val="000000100000" w:firstRow="0" w:lastRow="0" w:firstColumn="0" w:lastColumn="0" w:oddVBand="0" w:evenVBand="0" w:oddHBand="1" w:evenHBand="0" w:firstRowFirstColumn="0" w:firstRowLastColumn="0" w:lastRowFirstColumn="0" w:lastRowLastColumn="0"/>
            </w:pPr>
            <w:r w:rsidRPr="008A7DDF">
              <w:t>19.3</w:t>
            </w:r>
          </w:p>
        </w:tc>
        <w:tc>
          <w:tcPr>
            <w:tcW w:w="781" w:type="dxa"/>
            <w:shd w:val="clear" w:color="auto" w:fill="D4E8DE"/>
            <w:tcMar>
              <w:left w:w="105" w:type="dxa"/>
              <w:right w:w="105" w:type="dxa"/>
            </w:tcMar>
            <w:vAlign w:val="bottom"/>
          </w:tcPr>
          <w:p w14:paraId="2DE477F7" w14:textId="4156422B" w:rsidR="005F27E1" w:rsidRPr="008A7DDF" w:rsidRDefault="005F27E1" w:rsidP="00E06D4C">
            <w:pPr>
              <w:pStyle w:val="TableParagraph"/>
              <w:spacing w:beforeLines="60" w:before="144" w:afterLines="60" w:after="144"/>
              <w:ind w:left="57" w:right="57"/>
              <w:jc w:val="center"/>
              <w:cnfStyle w:val="000000100000" w:firstRow="0" w:lastRow="0" w:firstColumn="0" w:lastColumn="0" w:oddVBand="0" w:evenVBand="0" w:oddHBand="1" w:evenHBand="0" w:firstRowFirstColumn="0" w:firstRowLastColumn="0" w:lastRowFirstColumn="0" w:lastRowLastColumn="0"/>
            </w:pPr>
            <w:r w:rsidRPr="008A7DDF">
              <w:t>16.0</w:t>
            </w:r>
          </w:p>
        </w:tc>
        <w:tc>
          <w:tcPr>
            <w:tcW w:w="782" w:type="dxa"/>
            <w:shd w:val="clear" w:color="auto" w:fill="D4E8DE"/>
            <w:tcMar>
              <w:left w:w="105" w:type="dxa"/>
              <w:right w:w="105" w:type="dxa"/>
            </w:tcMar>
            <w:vAlign w:val="bottom"/>
          </w:tcPr>
          <w:p w14:paraId="30DAF8E0" w14:textId="25353DF8" w:rsidR="005F27E1" w:rsidRPr="008A7DDF" w:rsidRDefault="005F27E1" w:rsidP="00E06D4C">
            <w:pPr>
              <w:pStyle w:val="TableParagraph"/>
              <w:spacing w:beforeLines="60" w:before="144" w:afterLines="60" w:after="144"/>
              <w:ind w:left="57" w:right="57"/>
              <w:jc w:val="center"/>
              <w:cnfStyle w:val="000000100000" w:firstRow="0" w:lastRow="0" w:firstColumn="0" w:lastColumn="0" w:oddVBand="0" w:evenVBand="0" w:oddHBand="1" w:evenHBand="0" w:firstRowFirstColumn="0" w:firstRowLastColumn="0" w:lastRowFirstColumn="0" w:lastRowLastColumn="0"/>
            </w:pPr>
            <w:r w:rsidRPr="008A7DDF">
              <w:t>13.4</w:t>
            </w:r>
          </w:p>
        </w:tc>
        <w:tc>
          <w:tcPr>
            <w:tcW w:w="781" w:type="dxa"/>
            <w:shd w:val="clear" w:color="auto" w:fill="D4E8DE"/>
            <w:tcMar>
              <w:left w:w="105" w:type="dxa"/>
              <w:right w:w="105" w:type="dxa"/>
            </w:tcMar>
            <w:vAlign w:val="bottom"/>
          </w:tcPr>
          <w:p w14:paraId="5B8A816A" w14:textId="06971E7A" w:rsidR="005F27E1" w:rsidRPr="008A7DDF" w:rsidRDefault="005F27E1" w:rsidP="00E06D4C">
            <w:pPr>
              <w:pStyle w:val="TableParagraph"/>
              <w:spacing w:beforeLines="60" w:before="144" w:afterLines="60" w:after="144"/>
              <w:ind w:left="57" w:right="57"/>
              <w:jc w:val="center"/>
              <w:cnfStyle w:val="000000100000" w:firstRow="0" w:lastRow="0" w:firstColumn="0" w:lastColumn="0" w:oddVBand="0" w:evenVBand="0" w:oddHBand="1" w:evenHBand="0" w:firstRowFirstColumn="0" w:firstRowLastColumn="0" w:lastRowFirstColumn="0" w:lastRowLastColumn="0"/>
            </w:pPr>
            <w:r w:rsidRPr="008A7DDF">
              <w:t>11.2</w:t>
            </w:r>
          </w:p>
        </w:tc>
        <w:tc>
          <w:tcPr>
            <w:tcW w:w="781" w:type="dxa"/>
            <w:shd w:val="clear" w:color="auto" w:fill="D4E8DE"/>
            <w:tcMar>
              <w:left w:w="105" w:type="dxa"/>
              <w:right w:w="105" w:type="dxa"/>
            </w:tcMar>
            <w:vAlign w:val="bottom"/>
          </w:tcPr>
          <w:p w14:paraId="6B93A9C1" w14:textId="6E78D774" w:rsidR="005F27E1" w:rsidRPr="008A7DDF" w:rsidRDefault="005F27E1" w:rsidP="00E06D4C">
            <w:pPr>
              <w:pStyle w:val="TableParagraph"/>
              <w:spacing w:beforeLines="60" w:before="144" w:afterLines="60" w:after="144"/>
              <w:ind w:left="57" w:right="57"/>
              <w:jc w:val="center"/>
              <w:cnfStyle w:val="000000100000" w:firstRow="0" w:lastRow="0" w:firstColumn="0" w:lastColumn="0" w:oddVBand="0" w:evenVBand="0" w:oddHBand="1" w:evenHBand="0" w:firstRowFirstColumn="0" w:firstRowLastColumn="0" w:lastRowFirstColumn="0" w:lastRowLastColumn="0"/>
            </w:pPr>
            <w:r w:rsidRPr="008A7DDF">
              <w:t>7.6</w:t>
            </w:r>
          </w:p>
        </w:tc>
        <w:tc>
          <w:tcPr>
            <w:tcW w:w="782" w:type="dxa"/>
            <w:shd w:val="clear" w:color="auto" w:fill="D4E8DE"/>
            <w:tcMar>
              <w:left w:w="105" w:type="dxa"/>
              <w:right w:w="105" w:type="dxa"/>
            </w:tcMar>
            <w:vAlign w:val="bottom"/>
          </w:tcPr>
          <w:p w14:paraId="1AE440AF" w14:textId="2CEE72A1" w:rsidR="005F27E1" w:rsidRPr="008A7DDF" w:rsidRDefault="005F27E1" w:rsidP="00E06D4C">
            <w:pPr>
              <w:pStyle w:val="TableParagraph"/>
              <w:spacing w:beforeLines="60" w:before="144" w:afterLines="60" w:after="144"/>
              <w:ind w:left="57" w:right="57"/>
              <w:jc w:val="center"/>
              <w:cnfStyle w:val="000000100000" w:firstRow="0" w:lastRow="0" w:firstColumn="0" w:lastColumn="0" w:oddVBand="0" w:evenVBand="0" w:oddHBand="1" w:evenHBand="0" w:firstRowFirstColumn="0" w:firstRowLastColumn="0" w:lastRowFirstColumn="0" w:lastRowLastColumn="0"/>
            </w:pPr>
            <w:r w:rsidRPr="008A7DDF">
              <w:t>6.7</w:t>
            </w:r>
          </w:p>
        </w:tc>
        <w:tc>
          <w:tcPr>
            <w:tcW w:w="781" w:type="dxa"/>
            <w:shd w:val="clear" w:color="auto" w:fill="D4E8DE"/>
            <w:tcMar>
              <w:left w:w="105" w:type="dxa"/>
              <w:right w:w="105" w:type="dxa"/>
            </w:tcMar>
            <w:vAlign w:val="bottom"/>
          </w:tcPr>
          <w:p w14:paraId="41923EE2" w14:textId="52B05D22" w:rsidR="005F27E1" w:rsidRPr="008A7DDF" w:rsidRDefault="005F27E1" w:rsidP="00E06D4C">
            <w:pPr>
              <w:pStyle w:val="TableParagraph"/>
              <w:spacing w:beforeLines="60" w:before="144" w:afterLines="60" w:after="144"/>
              <w:ind w:left="57" w:right="57"/>
              <w:jc w:val="center"/>
              <w:cnfStyle w:val="000000100000" w:firstRow="0" w:lastRow="0" w:firstColumn="0" w:lastColumn="0" w:oddVBand="0" w:evenVBand="0" w:oddHBand="1" w:evenHBand="0" w:firstRowFirstColumn="0" w:firstRowLastColumn="0" w:lastRowFirstColumn="0" w:lastRowLastColumn="0"/>
            </w:pPr>
            <w:r w:rsidRPr="008A7DDF">
              <w:t>5.8</w:t>
            </w:r>
          </w:p>
        </w:tc>
        <w:tc>
          <w:tcPr>
            <w:tcW w:w="781" w:type="dxa"/>
            <w:shd w:val="clear" w:color="auto" w:fill="D4E8DE"/>
            <w:tcMar>
              <w:left w:w="105" w:type="dxa"/>
              <w:right w:w="105" w:type="dxa"/>
            </w:tcMar>
            <w:vAlign w:val="bottom"/>
          </w:tcPr>
          <w:p w14:paraId="22833E9E" w14:textId="52F1C89A" w:rsidR="005F27E1" w:rsidRPr="008A7DDF" w:rsidRDefault="005F27E1" w:rsidP="00E06D4C">
            <w:pPr>
              <w:pStyle w:val="TableParagraph"/>
              <w:spacing w:beforeLines="60" w:before="144" w:afterLines="60" w:after="144"/>
              <w:ind w:left="57" w:right="57"/>
              <w:jc w:val="center"/>
              <w:cnfStyle w:val="000000100000" w:firstRow="0" w:lastRow="0" w:firstColumn="0" w:lastColumn="0" w:oddVBand="0" w:evenVBand="0" w:oddHBand="1" w:evenHBand="0" w:firstRowFirstColumn="0" w:firstRowLastColumn="0" w:lastRowFirstColumn="0" w:lastRowLastColumn="0"/>
            </w:pPr>
            <w:r w:rsidRPr="008A7DDF">
              <w:t>4.7</w:t>
            </w:r>
          </w:p>
        </w:tc>
        <w:tc>
          <w:tcPr>
            <w:tcW w:w="782" w:type="dxa"/>
            <w:tcBorders>
              <w:right w:val="single" w:sz="4" w:space="0" w:color="FFFFFF"/>
            </w:tcBorders>
            <w:shd w:val="clear" w:color="auto" w:fill="D4E8DE"/>
            <w:tcMar>
              <w:left w:w="105" w:type="dxa"/>
              <w:right w:w="105" w:type="dxa"/>
            </w:tcMar>
            <w:vAlign w:val="bottom"/>
          </w:tcPr>
          <w:p w14:paraId="2005F710" w14:textId="20A9A153" w:rsidR="005F27E1" w:rsidRPr="008A7DDF" w:rsidRDefault="005F27E1" w:rsidP="00E06D4C">
            <w:pPr>
              <w:pStyle w:val="TableParagraph"/>
              <w:spacing w:beforeLines="60" w:before="144" w:afterLines="60" w:after="144"/>
              <w:ind w:left="57" w:right="57"/>
              <w:jc w:val="center"/>
              <w:cnfStyle w:val="000000100000" w:firstRow="0" w:lastRow="0" w:firstColumn="0" w:lastColumn="0" w:oddVBand="0" w:evenVBand="0" w:oddHBand="1" w:evenHBand="0" w:firstRowFirstColumn="0" w:firstRowLastColumn="0" w:lastRowFirstColumn="0" w:lastRowLastColumn="0"/>
            </w:pPr>
            <w:r w:rsidRPr="008A7DDF">
              <w:t>4.1</w:t>
            </w:r>
          </w:p>
        </w:tc>
      </w:tr>
      <w:tr w:rsidR="00FE7BD7" w:rsidRPr="005F27E1" w14:paraId="2F6F1D5B" w14:textId="77777777" w:rsidTr="00434781">
        <w:trPr>
          <w:trHeight w:val="465"/>
        </w:trPr>
        <w:tc>
          <w:tcPr>
            <w:cnfStyle w:val="001000000000" w:firstRow="0" w:lastRow="0" w:firstColumn="1" w:lastColumn="0" w:oddVBand="0" w:evenVBand="0" w:oddHBand="0" w:evenHBand="0" w:firstRowFirstColumn="0" w:firstRowLastColumn="0" w:lastRowFirstColumn="0" w:lastRowLastColumn="0"/>
            <w:tcW w:w="1531" w:type="dxa"/>
            <w:tcBorders>
              <w:left w:val="single" w:sz="6" w:space="0" w:color="FFFFFF"/>
            </w:tcBorders>
            <w:shd w:val="clear" w:color="auto" w:fill="C1DCD5"/>
            <w:tcMar>
              <w:left w:w="105" w:type="dxa"/>
              <w:right w:w="105" w:type="dxa"/>
            </w:tcMar>
          </w:tcPr>
          <w:p w14:paraId="02738B23" w14:textId="77777777" w:rsidR="005F27E1" w:rsidRPr="00E06D4C" w:rsidRDefault="005F27E1" w:rsidP="00E06D4C">
            <w:pPr>
              <w:pStyle w:val="TableParagraph"/>
              <w:spacing w:beforeLines="60" w:before="144" w:afterLines="60" w:after="144"/>
              <w:ind w:left="57" w:right="57"/>
              <w:rPr>
                <w:color w:val="auto"/>
              </w:rPr>
            </w:pPr>
            <w:r w:rsidRPr="00E06D4C">
              <w:rPr>
                <w:color w:val="auto"/>
              </w:rPr>
              <w:t>Waste adjustment</w:t>
            </w:r>
          </w:p>
        </w:tc>
        <w:tc>
          <w:tcPr>
            <w:tcW w:w="781" w:type="dxa"/>
            <w:shd w:val="clear" w:color="auto" w:fill="D4E8DE"/>
            <w:tcMar>
              <w:left w:w="105" w:type="dxa"/>
              <w:right w:w="105" w:type="dxa"/>
            </w:tcMar>
            <w:vAlign w:val="center"/>
          </w:tcPr>
          <w:p w14:paraId="25AD69C6" w14:textId="269EBDC7" w:rsidR="005F27E1" w:rsidRPr="008A7DDF" w:rsidRDefault="005F27E1" w:rsidP="00E06D4C">
            <w:pPr>
              <w:pStyle w:val="TableParagraph"/>
              <w:spacing w:beforeLines="60" w:before="144" w:afterLines="60" w:after="144"/>
              <w:ind w:left="57" w:right="57"/>
              <w:jc w:val="center"/>
              <w:cnfStyle w:val="000000000000" w:firstRow="0" w:lastRow="0" w:firstColumn="0" w:lastColumn="0" w:oddVBand="0" w:evenVBand="0" w:oddHBand="0" w:evenHBand="0" w:firstRowFirstColumn="0" w:firstRowLastColumn="0" w:lastRowFirstColumn="0" w:lastRowLastColumn="0"/>
            </w:pPr>
            <w:r w:rsidRPr="008A7DDF">
              <w:t>0.3</w:t>
            </w:r>
          </w:p>
        </w:tc>
        <w:tc>
          <w:tcPr>
            <w:tcW w:w="781" w:type="dxa"/>
            <w:shd w:val="clear" w:color="auto" w:fill="D4E8DE"/>
            <w:tcMar>
              <w:left w:w="105" w:type="dxa"/>
              <w:right w:w="105" w:type="dxa"/>
            </w:tcMar>
            <w:vAlign w:val="center"/>
          </w:tcPr>
          <w:p w14:paraId="08BFA348" w14:textId="32E33FDA" w:rsidR="005F27E1" w:rsidRPr="008A7DDF" w:rsidRDefault="005F27E1" w:rsidP="00E06D4C">
            <w:pPr>
              <w:pStyle w:val="TableParagraph"/>
              <w:spacing w:beforeLines="60" w:before="144" w:afterLines="60" w:after="144"/>
              <w:ind w:left="57" w:right="57"/>
              <w:jc w:val="center"/>
              <w:cnfStyle w:val="000000000000" w:firstRow="0" w:lastRow="0" w:firstColumn="0" w:lastColumn="0" w:oddVBand="0" w:evenVBand="0" w:oddHBand="0" w:evenHBand="0" w:firstRowFirstColumn="0" w:firstRowLastColumn="0" w:lastRowFirstColumn="0" w:lastRowLastColumn="0"/>
            </w:pPr>
            <w:r w:rsidRPr="008A7DDF">
              <w:t>0.3</w:t>
            </w:r>
          </w:p>
        </w:tc>
        <w:tc>
          <w:tcPr>
            <w:tcW w:w="781" w:type="dxa"/>
            <w:shd w:val="clear" w:color="auto" w:fill="D4E8DE"/>
            <w:tcMar>
              <w:left w:w="105" w:type="dxa"/>
              <w:right w:w="105" w:type="dxa"/>
            </w:tcMar>
            <w:vAlign w:val="center"/>
          </w:tcPr>
          <w:p w14:paraId="3AE7BD2D" w14:textId="53156FC0" w:rsidR="005F27E1" w:rsidRPr="008A7DDF" w:rsidRDefault="005F27E1" w:rsidP="00E06D4C">
            <w:pPr>
              <w:pStyle w:val="TableParagraph"/>
              <w:spacing w:beforeLines="60" w:before="144" w:afterLines="60" w:after="144"/>
              <w:ind w:left="57" w:right="57"/>
              <w:jc w:val="center"/>
              <w:cnfStyle w:val="000000000000" w:firstRow="0" w:lastRow="0" w:firstColumn="0" w:lastColumn="0" w:oddVBand="0" w:evenVBand="0" w:oddHBand="0" w:evenHBand="0" w:firstRowFirstColumn="0" w:firstRowLastColumn="0" w:lastRowFirstColumn="0" w:lastRowLastColumn="0"/>
            </w:pPr>
            <w:r w:rsidRPr="008A7DDF">
              <w:t>0.2</w:t>
            </w:r>
          </w:p>
        </w:tc>
        <w:tc>
          <w:tcPr>
            <w:tcW w:w="782" w:type="dxa"/>
            <w:shd w:val="clear" w:color="auto" w:fill="D4E8DE"/>
            <w:tcMar>
              <w:left w:w="105" w:type="dxa"/>
              <w:right w:w="105" w:type="dxa"/>
            </w:tcMar>
            <w:vAlign w:val="center"/>
          </w:tcPr>
          <w:p w14:paraId="67512DC7" w14:textId="786D059E" w:rsidR="005F27E1" w:rsidRPr="008A7DDF" w:rsidRDefault="005F27E1" w:rsidP="00E06D4C">
            <w:pPr>
              <w:pStyle w:val="TableParagraph"/>
              <w:spacing w:beforeLines="60" w:before="144" w:afterLines="60" w:after="144"/>
              <w:ind w:left="57" w:right="57"/>
              <w:jc w:val="center"/>
              <w:cnfStyle w:val="000000000000" w:firstRow="0" w:lastRow="0" w:firstColumn="0" w:lastColumn="0" w:oddVBand="0" w:evenVBand="0" w:oddHBand="0" w:evenHBand="0" w:firstRowFirstColumn="0" w:firstRowLastColumn="0" w:lastRowFirstColumn="0" w:lastRowLastColumn="0"/>
            </w:pPr>
            <w:r w:rsidRPr="008A7DDF">
              <w:t>0.2</w:t>
            </w:r>
          </w:p>
        </w:tc>
        <w:tc>
          <w:tcPr>
            <w:tcW w:w="781" w:type="dxa"/>
            <w:shd w:val="clear" w:color="auto" w:fill="D4E8DE"/>
            <w:tcMar>
              <w:left w:w="105" w:type="dxa"/>
              <w:right w:w="105" w:type="dxa"/>
            </w:tcMar>
            <w:vAlign w:val="center"/>
          </w:tcPr>
          <w:p w14:paraId="3056219B" w14:textId="097D7BAF" w:rsidR="005F27E1" w:rsidRPr="008A7DDF" w:rsidRDefault="005F27E1" w:rsidP="00E06D4C">
            <w:pPr>
              <w:pStyle w:val="TableParagraph"/>
              <w:spacing w:beforeLines="60" w:before="144" w:afterLines="60" w:after="144"/>
              <w:ind w:left="57" w:right="57"/>
              <w:jc w:val="center"/>
              <w:cnfStyle w:val="000000000000" w:firstRow="0" w:lastRow="0" w:firstColumn="0" w:lastColumn="0" w:oddVBand="0" w:evenVBand="0" w:oddHBand="0" w:evenHBand="0" w:firstRowFirstColumn="0" w:firstRowLastColumn="0" w:lastRowFirstColumn="0" w:lastRowLastColumn="0"/>
            </w:pPr>
            <w:r w:rsidRPr="008A7DDF">
              <w:t>0.2</w:t>
            </w:r>
          </w:p>
        </w:tc>
        <w:tc>
          <w:tcPr>
            <w:tcW w:w="781" w:type="dxa"/>
            <w:shd w:val="clear" w:color="auto" w:fill="D4E8DE"/>
            <w:tcMar>
              <w:left w:w="105" w:type="dxa"/>
              <w:right w:w="105" w:type="dxa"/>
            </w:tcMar>
            <w:vAlign w:val="center"/>
          </w:tcPr>
          <w:p w14:paraId="735409E0" w14:textId="2DFE90AA" w:rsidR="005F27E1" w:rsidRPr="008A7DDF" w:rsidRDefault="005F27E1" w:rsidP="00E06D4C">
            <w:pPr>
              <w:pStyle w:val="TableParagraph"/>
              <w:spacing w:beforeLines="60" w:before="144" w:afterLines="60" w:after="144"/>
              <w:ind w:left="57" w:right="57"/>
              <w:jc w:val="center"/>
              <w:cnfStyle w:val="000000000000" w:firstRow="0" w:lastRow="0" w:firstColumn="0" w:lastColumn="0" w:oddVBand="0" w:evenVBand="0" w:oddHBand="0" w:evenHBand="0" w:firstRowFirstColumn="0" w:firstRowLastColumn="0" w:lastRowFirstColumn="0" w:lastRowLastColumn="0"/>
            </w:pPr>
            <w:r w:rsidRPr="008A7DDF">
              <w:t>0.2</w:t>
            </w:r>
          </w:p>
        </w:tc>
        <w:tc>
          <w:tcPr>
            <w:tcW w:w="782" w:type="dxa"/>
            <w:shd w:val="clear" w:color="auto" w:fill="D4E8DE"/>
            <w:tcMar>
              <w:left w:w="105" w:type="dxa"/>
              <w:right w:w="105" w:type="dxa"/>
            </w:tcMar>
            <w:vAlign w:val="center"/>
          </w:tcPr>
          <w:p w14:paraId="7A0BDD05" w14:textId="1A00840E" w:rsidR="005F27E1" w:rsidRPr="008A7DDF" w:rsidRDefault="005F27E1" w:rsidP="00E06D4C">
            <w:pPr>
              <w:pStyle w:val="TableParagraph"/>
              <w:spacing w:beforeLines="60" w:before="144" w:afterLines="60" w:after="144"/>
              <w:ind w:left="57" w:right="57"/>
              <w:jc w:val="center"/>
              <w:cnfStyle w:val="000000000000" w:firstRow="0" w:lastRow="0" w:firstColumn="0" w:lastColumn="0" w:oddVBand="0" w:evenVBand="0" w:oddHBand="0" w:evenHBand="0" w:firstRowFirstColumn="0" w:firstRowLastColumn="0" w:lastRowFirstColumn="0" w:lastRowLastColumn="0"/>
            </w:pPr>
            <w:r w:rsidRPr="008A7DDF">
              <w:t>0.1</w:t>
            </w:r>
          </w:p>
        </w:tc>
        <w:tc>
          <w:tcPr>
            <w:tcW w:w="781" w:type="dxa"/>
            <w:shd w:val="clear" w:color="auto" w:fill="D4E8DE"/>
            <w:tcMar>
              <w:left w:w="105" w:type="dxa"/>
              <w:right w:w="105" w:type="dxa"/>
            </w:tcMar>
            <w:vAlign w:val="center"/>
          </w:tcPr>
          <w:p w14:paraId="342AF264" w14:textId="20D6CCB4" w:rsidR="005F27E1" w:rsidRPr="008A7DDF" w:rsidRDefault="005F27E1" w:rsidP="00E06D4C">
            <w:pPr>
              <w:pStyle w:val="TableParagraph"/>
              <w:spacing w:beforeLines="60" w:before="144" w:afterLines="60" w:after="144"/>
              <w:ind w:left="57" w:right="57"/>
              <w:jc w:val="center"/>
              <w:cnfStyle w:val="000000000000" w:firstRow="0" w:lastRow="0" w:firstColumn="0" w:lastColumn="0" w:oddVBand="0" w:evenVBand="0" w:oddHBand="0" w:evenHBand="0" w:firstRowFirstColumn="0" w:firstRowLastColumn="0" w:lastRowFirstColumn="0" w:lastRowLastColumn="0"/>
            </w:pPr>
            <w:r w:rsidRPr="008A7DDF">
              <w:t>0.1</w:t>
            </w:r>
          </w:p>
        </w:tc>
        <w:tc>
          <w:tcPr>
            <w:tcW w:w="781" w:type="dxa"/>
            <w:shd w:val="clear" w:color="auto" w:fill="D4E8DE"/>
            <w:tcMar>
              <w:left w:w="105" w:type="dxa"/>
              <w:right w:w="105" w:type="dxa"/>
            </w:tcMar>
            <w:vAlign w:val="center"/>
          </w:tcPr>
          <w:p w14:paraId="6EA1BD9E" w14:textId="6B77D108" w:rsidR="005F27E1" w:rsidRPr="008A7DDF" w:rsidRDefault="005F27E1" w:rsidP="00E06D4C">
            <w:pPr>
              <w:pStyle w:val="TableParagraph"/>
              <w:spacing w:beforeLines="60" w:before="144" w:afterLines="60" w:after="144"/>
              <w:ind w:left="57" w:right="57"/>
              <w:jc w:val="center"/>
              <w:cnfStyle w:val="000000000000" w:firstRow="0" w:lastRow="0" w:firstColumn="0" w:lastColumn="0" w:oddVBand="0" w:evenVBand="0" w:oddHBand="0" w:evenHBand="0" w:firstRowFirstColumn="0" w:firstRowLastColumn="0" w:lastRowFirstColumn="0" w:lastRowLastColumn="0"/>
            </w:pPr>
            <w:r w:rsidRPr="008A7DDF">
              <w:t>0.1</w:t>
            </w:r>
          </w:p>
        </w:tc>
        <w:tc>
          <w:tcPr>
            <w:tcW w:w="782" w:type="dxa"/>
            <w:tcBorders>
              <w:right w:val="single" w:sz="4" w:space="0" w:color="FFFFFF"/>
            </w:tcBorders>
            <w:shd w:val="clear" w:color="auto" w:fill="D4E8DE"/>
            <w:tcMar>
              <w:left w:w="105" w:type="dxa"/>
              <w:right w:w="105" w:type="dxa"/>
            </w:tcMar>
            <w:vAlign w:val="center"/>
          </w:tcPr>
          <w:p w14:paraId="4DF447B1" w14:textId="77777777" w:rsidR="005F27E1" w:rsidRPr="008A7DDF" w:rsidRDefault="005F27E1" w:rsidP="00E06D4C">
            <w:pPr>
              <w:pStyle w:val="TableParagraph"/>
              <w:spacing w:beforeLines="60" w:before="144" w:afterLines="60" w:after="144"/>
              <w:ind w:left="57" w:right="57"/>
              <w:jc w:val="center"/>
              <w:cnfStyle w:val="000000000000" w:firstRow="0" w:lastRow="0" w:firstColumn="0" w:lastColumn="0" w:oddVBand="0" w:evenVBand="0" w:oddHBand="0" w:evenHBand="0" w:firstRowFirstColumn="0" w:firstRowLastColumn="0" w:lastRowFirstColumn="0" w:lastRowLastColumn="0"/>
            </w:pPr>
            <w:r w:rsidRPr="008A7DDF">
              <w:t xml:space="preserve">0.1 </w:t>
            </w:r>
          </w:p>
        </w:tc>
      </w:tr>
      <w:tr w:rsidR="00FE7BD7" w:rsidRPr="005F27E1" w14:paraId="2423FA4C" w14:textId="77777777" w:rsidTr="00434781">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531" w:type="dxa"/>
            <w:tcBorders>
              <w:left w:val="single" w:sz="6" w:space="0" w:color="FFFFFF"/>
            </w:tcBorders>
            <w:shd w:val="clear" w:color="auto" w:fill="C1DCD5"/>
            <w:tcMar>
              <w:left w:w="105" w:type="dxa"/>
              <w:right w:w="105" w:type="dxa"/>
            </w:tcMar>
          </w:tcPr>
          <w:p w14:paraId="54C5ED8C" w14:textId="77777777" w:rsidR="005F27E1" w:rsidRPr="00E06D4C" w:rsidRDefault="005F27E1" w:rsidP="00E06D4C">
            <w:pPr>
              <w:pStyle w:val="TableParagraph"/>
              <w:spacing w:beforeLines="60" w:before="144" w:afterLines="60" w:after="144"/>
              <w:ind w:left="57" w:right="57"/>
              <w:rPr>
                <w:color w:val="auto"/>
              </w:rPr>
            </w:pPr>
            <w:r w:rsidRPr="00E06D4C">
              <w:rPr>
                <w:color w:val="auto"/>
              </w:rPr>
              <w:t>Forestry adjustment</w:t>
            </w:r>
          </w:p>
        </w:tc>
        <w:tc>
          <w:tcPr>
            <w:tcW w:w="781" w:type="dxa"/>
            <w:shd w:val="clear" w:color="auto" w:fill="E9F5F2"/>
            <w:tcMar>
              <w:left w:w="105" w:type="dxa"/>
              <w:right w:w="105" w:type="dxa"/>
            </w:tcMar>
            <w:vAlign w:val="center"/>
          </w:tcPr>
          <w:p w14:paraId="4836E442" w14:textId="6E9B1039" w:rsidR="005F27E1" w:rsidRPr="008A7DDF" w:rsidRDefault="005F27E1" w:rsidP="00E06D4C">
            <w:pPr>
              <w:pStyle w:val="TableParagraph"/>
              <w:spacing w:beforeLines="60" w:before="144" w:afterLines="60" w:after="144"/>
              <w:ind w:left="57" w:right="57"/>
              <w:jc w:val="center"/>
              <w:cnfStyle w:val="000000100000" w:firstRow="0" w:lastRow="0" w:firstColumn="0" w:lastColumn="0" w:oddVBand="0" w:evenVBand="0" w:oddHBand="1" w:evenHBand="0" w:firstRowFirstColumn="0" w:firstRowLastColumn="0" w:lastRowFirstColumn="0" w:lastRowLastColumn="0"/>
            </w:pPr>
            <w:r w:rsidRPr="008A7DDF">
              <w:t>0.8</w:t>
            </w:r>
          </w:p>
        </w:tc>
        <w:tc>
          <w:tcPr>
            <w:tcW w:w="781" w:type="dxa"/>
            <w:shd w:val="clear" w:color="auto" w:fill="E9F5F2"/>
            <w:tcMar>
              <w:left w:w="105" w:type="dxa"/>
              <w:right w:w="105" w:type="dxa"/>
            </w:tcMar>
            <w:vAlign w:val="center"/>
          </w:tcPr>
          <w:p w14:paraId="7CDF8DFE" w14:textId="4DCA3F56" w:rsidR="005F27E1" w:rsidRPr="008A7DDF" w:rsidRDefault="005F27E1" w:rsidP="00E06D4C">
            <w:pPr>
              <w:pStyle w:val="TableParagraph"/>
              <w:spacing w:beforeLines="60" w:before="144" w:afterLines="60" w:after="144"/>
              <w:ind w:left="57" w:right="57"/>
              <w:jc w:val="center"/>
              <w:cnfStyle w:val="000000100000" w:firstRow="0" w:lastRow="0" w:firstColumn="0" w:lastColumn="0" w:oddVBand="0" w:evenVBand="0" w:oddHBand="1" w:evenHBand="0" w:firstRowFirstColumn="0" w:firstRowLastColumn="0" w:lastRowFirstColumn="0" w:lastRowLastColumn="0"/>
            </w:pPr>
            <w:r w:rsidRPr="008A7DDF">
              <w:t>0.9</w:t>
            </w:r>
          </w:p>
        </w:tc>
        <w:tc>
          <w:tcPr>
            <w:tcW w:w="781" w:type="dxa"/>
            <w:shd w:val="clear" w:color="auto" w:fill="E9F5F2"/>
            <w:tcMar>
              <w:left w:w="105" w:type="dxa"/>
              <w:right w:w="105" w:type="dxa"/>
            </w:tcMar>
            <w:vAlign w:val="center"/>
          </w:tcPr>
          <w:p w14:paraId="27573732" w14:textId="62EC9DFB" w:rsidR="005F27E1" w:rsidRPr="008A7DDF" w:rsidRDefault="005F27E1" w:rsidP="00E06D4C">
            <w:pPr>
              <w:pStyle w:val="TableParagraph"/>
              <w:spacing w:beforeLines="60" w:before="144" w:afterLines="60" w:after="144"/>
              <w:ind w:left="57" w:right="57"/>
              <w:jc w:val="center"/>
              <w:cnfStyle w:val="000000100000" w:firstRow="0" w:lastRow="0" w:firstColumn="0" w:lastColumn="0" w:oddVBand="0" w:evenVBand="0" w:oddHBand="1" w:evenHBand="0" w:firstRowFirstColumn="0" w:firstRowLastColumn="0" w:lastRowFirstColumn="0" w:lastRowLastColumn="0"/>
            </w:pPr>
            <w:r w:rsidRPr="008A7DDF">
              <w:t>0.8</w:t>
            </w:r>
          </w:p>
        </w:tc>
        <w:tc>
          <w:tcPr>
            <w:tcW w:w="782" w:type="dxa"/>
            <w:shd w:val="clear" w:color="auto" w:fill="E9F5F2"/>
            <w:tcMar>
              <w:left w:w="105" w:type="dxa"/>
              <w:right w:w="105" w:type="dxa"/>
            </w:tcMar>
            <w:vAlign w:val="center"/>
          </w:tcPr>
          <w:p w14:paraId="57ED3E9F" w14:textId="2A759AEC" w:rsidR="005F27E1" w:rsidRPr="008A7DDF" w:rsidRDefault="005F27E1" w:rsidP="00E06D4C">
            <w:pPr>
              <w:pStyle w:val="TableParagraph"/>
              <w:spacing w:beforeLines="60" w:before="144" w:afterLines="60" w:after="144"/>
              <w:ind w:left="57" w:right="57"/>
              <w:jc w:val="center"/>
              <w:cnfStyle w:val="000000100000" w:firstRow="0" w:lastRow="0" w:firstColumn="0" w:lastColumn="0" w:oddVBand="0" w:evenVBand="0" w:oddHBand="1" w:evenHBand="0" w:firstRowFirstColumn="0" w:firstRowLastColumn="0" w:lastRowFirstColumn="0" w:lastRowLastColumn="0"/>
            </w:pPr>
            <w:r w:rsidRPr="008A7DDF">
              <w:t>0.6</w:t>
            </w:r>
          </w:p>
        </w:tc>
        <w:tc>
          <w:tcPr>
            <w:tcW w:w="781" w:type="dxa"/>
            <w:shd w:val="clear" w:color="auto" w:fill="E9F5F2"/>
            <w:tcMar>
              <w:left w:w="105" w:type="dxa"/>
              <w:right w:w="105" w:type="dxa"/>
            </w:tcMar>
            <w:vAlign w:val="center"/>
          </w:tcPr>
          <w:p w14:paraId="43884236" w14:textId="7CC5296C" w:rsidR="005F27E1" w:rsidRPr="008A7DDF" w:rsidRDefault="005F27E1" w:rsidP="00E06D4C">
            <w:pPr>
              <w:pStyle w:val="TableParagraph"/>
              <w:spacing w:beforeLines="60" w:before="144" w:afterLines="60" w:after="144"/>
              <w:ind w:left="57" w:right="57"/>
              <w:jc w:val="center"/>
              <w:cnfStyle w:val="000000100000" w:firstRow="0" w:lastRow="0" w:firstColumn="0" w:lastColumn="0" w:oddVBand="0" w:evenVBand="0" w:oddHBand="1" w:evenHBand="0" w:firstRowFirstColumn="0" w:firstRowLastColumn="0" w:lastRowFirstColumn="0" w:lastRowLastColumn="0"/>
            </w:pPr>
            <w:r w:rsidRPr="008A7DDF">
              <w:t>0.5</w:t>
            </w:r>
          </w:p>
        </w:tc>
        <w:tc>
          <w:tcPr>
            <w:tcW w:w="781" w:type="dxa"/>
            <w:shd w:val="clear" w:color="auto" w:fill="E9F5F2"/>
            <w:tcMar>
              <w:left w:w="105" w:type="dxa"/>
              <w:right w:w="105" w:type="dxa"/>
            </w:tcMar>
            <w:vAlign w:val="center"/>
          </w:tcPr>
          <w:p w14:paraId="5D60F366" w14:textId="32D2FE55" w:rsidR="005F27E1" w:rsidRPr="008A7DDF" w:rsidRDefault="005F27E1" w:rsidP="00E06D4C">
            <w:pPr>
              <w:pStyle w:val="TableParagraph"/>
              <w:spacing w:beforeLines="60" w:before="144" w:afterLines="60" w:after="144"/>
              <w:ind w:left="57" w:right="57"/>
              <w:jc w:val="center"/>
              <w:cnfStyle w:val="000000100000" w:firstRow="0" w:lastRow="0" w:firstColumn="0" w:lastColumn="0" w:oddVBand="0" w:evenVBand="0" w:oddHBand="1" w:evenHBand="0" w:firstRowFirstColumn="0" w:firstRowLastColumn="0" w:lastRowFirstColumn="0" w:lastRowLastColumn="0"/>
            </w:pPr>
            <w:r w:rsidRPr="008A7DDF">
              <w:t>0.4</w:t>
            </w:r>
          </w:p>
        </w:tc>
        <w:tc>
          <w:tcPr>
            <w:tcW w:w="782" w:type="dxa"/>
            <w:shd w:val="clear" w:color="auto" w:fill="E9F5F2"/>
            <w:tcMar>
              <w:left w:w="105" w:type="dxa"/>
              <w:right w:w="105" w:type="dxa"/>
            </w:tcMar>
            <w:vAlign w:val="center"/>
          </w:tcPr>
          <w:p w14:paraId="6B666B77" w14:textId="6373E482" w:rsidR="005F27E1" w:rsidRPr="008A7DDF" w:rsidRDefault="005F27E1" w:rsidP="00E06D4C">
            <w:pPr>
              <w:pStyle w:val="TableParagraph"/>
              <w:spacing w:beforeLines="60" w:before="144" w:afterLines="60" w:after="144"/>
              <w:ind w:left="57" w:right="57"/>
              <w:jc w:val="center"/>
              <w:cnfStyle w:val="000000100000" w:firstRow="0" w:lastRow="0" w:firstColumn="0" w:lastColumn="0" w:oddVBand="0" w:evenVBand="0" w:oddHBand="1" w:evenHBand="0" w:firstRowFirstColumn="0" w:firstRowLastColumn="0" w:lastRowFirstColumn="0" w:lastRowLastColumn="0"/>
            </w:pPr>
            <w:r w:rsidRPr="008A7DDF">
              <w:t>0.4</w:t>
            </w:r>
          </w:p>
        </w:tc>
        <w:tc>
          <w:tcPr>
            <w:tcW w:w="781" w:type="dxa"/>
            <w:shd w:val="clear" w:color="auto" w:fill="E9F5F2"/>
            <w:tcMar>
              <w:left w:w="105" w:type="dxa"/>
              <w:right w:w="105" w:type="dxa"/>
            </w:tcMar>
            <w:vAlign w:val="center"/>
          </w:tcPr>
          <w:p w14:paraId="5335A526" w14:textId="70124310" w:rsidR="005F27E1" w:rsidRPr="008A7DDF" w:rsidRDefault="005F27E1" w:rsidP="00E06D4C">
            <w:pPr>
              <w:pStyle w:val="TableParagraph"/>
              <w:spacing w:beforeLines="60" w:before="144" w:afterLines="60" w:after="144"/>
              <w:ind w:left="57" w:right="57"/>
              <w:jc w:val="center"/>
              <w:cnfStyle w:val="000000100000" w:firstRow="0" w:lastRow="0" w:firstColumn="0" w:lastColumn="0" w:oddVBand="0" w:evenVBand="0" w:oddHBand="1" w:evenHBand="0" w:firstRowFirstColumn="0" w:firstRowLastColumn="0" w:lastRowFirstColumn="0" w:lastRowLastColumn="0"/>
            </w:pPr>
            <w:r w:rsidRPr="008A7DDF">
              <w:t>0.4</w:t>
            </w:r>
          </w:p>
        </w:tc>
        <w:tc>
          <w:tcPr>
            <w:tcW w:w="781" w:type="dxa"/>
            <w:shd w:val="clear" w:color="auto" w:fill="E9F5F2"/>
            <w:tcMar>
              <w:left w:w="105" w:type="dxa"/>
              <w:right w:w="105" w:type="dxa"/>
            </w:tcMar>
            <w:vAlign w:val="center"/>
          </w:tcPr>
          <w:p w14:paraId="4C0D7274" w14:textId="07A3B5FA" w:rsidR="005F27E1" w:rsidRPr="008A7DDF" w:rsidRDefault="005F27E1" w:rsidP="00E06D4C">
            <w:pPr>
              <w:pStyle w:val="TableParagraph"/>
              <w:spacing w:beforeLines="60" w:before="144" w:afterLines="60" w:after="144"/>
              <w:ind w:left="57" w:right="57"/>
              <w:jc w:val="center"/>
              <w:cnfStyle w:val="000000100000" w:firstRow="0" w:lastRow="0" w:firstColumn="0" w:lastColumn="0" w:oddVBand="0" w:evenVBand="0" w:oddHBand="1" w:evenHBand="0" w:firstRowFirstColumn="0" w:firstRowLastColumn="0" w:lastRowFirstColumn="0" w:lastRowLastColumn="0"/>
            </w:pPr>
            <w:r w:rsidRPr="008A7DDF">
              <w:t>0.4</w:t>
            </w:r>
          </w:p>
        </w:tc>
        <w:tc>
          <w:tcPr>
            <w:tcW w:w="782" w:type="dxa"/>
            <w:tcBorders>
              <w:right w:val="single" w:sz="4" w:space="0" w:color="FFFFFF"/>
            </w:tcBorders>
            <w:shd w:val="clear" w:color="auto" w:fill="E9F5F2"/>
            <w:tcMar>
              <w:left w:w="105" w:type="dxa"/>
              <w:right w:w="105" w:type="dxa"/>
            </w:tcMar>
            <w:vAlign w:val="center"/>
          </w:tcPr>
          <w:p w14:paraId="3AECA934" w14:textId="2E88E05C" w:rsidR="005F27E1" w:rsidRPr="008A7DDF" w:rsidRDefault="005F27E1" w:rsidP="00E06D4C">
            <w:pPr>
              <w:pStyle w:val="TableParagraph"/>
              <w:spacing w:beforeLines="60" w:before="144" w:afterLines="60" w:after="144"/>
              <w:ind w:left="57" w:right="57"/>
              <w:jc w:val="center"/>
              <w:cnfStyle w:val="000000100000" w:firstRow="0" w:lastRow="0" w:firstColumn="0" w:lastColumn="0" w:oddVBand="0" w:evenVBand="0" w:oddHBand="1" w:evenHBand="0" w:firstRowFirstColumn="0" w:firstRowLastColumn="0" w:lastRowFirstColumn="0" w:lastRowLastColumn="0"/>
            </w:pPr>
            <w:r w:rsidRPr="008A7DDF">
              <w:t>0.6</w:t>
            </w:r>
          </w:p>
        </w:tc>
      </w:tr>
      <w:tr w:rsidR="00FE7BD7" w:rsidRPr="005F27E1" w14:paraId="2FEADA17" w14:textId="77777777" w:rsidTr="00434781">
        <w:trPr>
          <w:trHeight w:val="480"/>
        </w:trPr>
        <w:tc>
          <w:tcPr>
            <w:cnfStyle w:val="001000000000" w:firstRow="0" w:lastRow="0" w:firstColumn="1" w:lastColumn="0" w:oddVBand="0" w:evenVBand="0" w:oddHBand="0" w:evenHBand="0" w:firstRowFirstColumn="0" w:firstRowLastColumn="0" w:lastRowFirstColumn="0" w:lastRowLastColumn="0"/>
            <w:tcW w:w="1531" w:type="dxa"/>
            <w:tcBorders>
              <w:left w:val="single" w:sz="6" w:space="0" w:color="FFFFFF"/>
            </w:tcBorders>
            <w:shd w:val="clear" w:color="auto" w:fill="C1DCD5"/>
            <w:tcMar>
              <w:left w:w="105" w:type="dxa"/>
              <w:right w:w="105" w:type="dxa"/>
            </w:tcMar>
          </w:tcPr>
          <w:p w14:paraId="1345F740" w14:textId="77777777" w:rsidR="005F27E1" w:rsidRPr="00E06D4C" w:rsidRDefault="005F27E1" w:rsidP="00E06D4C">
            <w:pPr>
              <w:pStyle w:val="TableParagraph"/>
              <w:spacing w:beforeLines="60" w:before="144" w:afterLines="60" w:after="144"/>
              <w:ind w:left="57" w:right="57"/>
              <w:rPr>
                <w:color w:val="auto"/>
              </w:rPr>
            </w:pPr>
            <w:r w:rsidRPr="00E06D4C">
              <w:rPr>
                <w:color w:val="auto"/>
              </w:rPr>
              <w:t>Total technical adjustments</w:t>
            </w:r>
          </w:p>
        </w:tc>
        <w:tc>
          <w:tcPr>
            <w:tcW w:w="781" w:type="dxa"/>
            <w:shd w:val="clear" w:color="auto" w:fill="D4E8DE"/>
            <w:tcMar>
              <w:left w:w="105" w:type="dxa"/>
              <w:right w:w="105" w:type="dxa"/>
            </w:tcMar>
            <w:vAlign w:val="center"/>
          </w:tcPr>
          <w:p w14:paraId="7E2B0A38" w14:textId="77777777" w:rsidR="005F27E1" w:rsidRPr="008A7DDF" w:rsidRDefault="005F27E1" w:rsidP="00E06D4C">
            <w:pPr>
              <w:pStyle w:val="TableParagraph"/>
              <w:spacing w:beforeLines="60" w:before="144" w:afterLines="60" w:after="144"/>
              <w:ind w:left="57" w:right="57"/>
              <w:jc w:val="center"/>
              <w:cnfStyle w:val="000000000000" w:firstRow="0" w:lastRow="0" w:firstColumn="0" w:lastColumn="0" w:oddVBand="0" w:evenVBand="0" w:oddHBand="0" w:evenHBand="0" w:firstRowFirstColumn="0" w:firstRowLastColumn="0" w:lastRowFirstColumn="0" w:lastRowLastColumn="0"/>
            </w:pPr>
            <w:r w:rsidRPr="008A7DDF">
              <w:t>1.1</w:t>
            </w:r>
          </w:p>
        </w:tc>
        <w:tc>
          <w:tcPr>
            <w:tcW w:w="781" w:type="dxa"/>
            <w:shd w:val="clear" w:color="auto" w:fill="D4E8DE"/>
            <w:tcMar>
              <w:left w:w="105" w:type="dxa"/>
              <w:right w:w="105" w:type="dxa"/>
            </w:tcMar>
            <w:vAlign w:val="center"/>
          </w:tcPr>
          <w:p w14:paraId="5433FA7B" w14:textId="77777777" w:rsidR="005F27E1" w:rsidRPr="008A7DDF" w:rsidRDefault="005F27E1" w:rsidP="00E06D4C">
            <w:pPr>
              <w:pStyle w:val="TableParagraph"/>
              <w:spacing w:beforeLines="60" w:before="144" w:afterLines="60" w:after="144"/>
              <w:ind w:left="57" w:right="57"/>
              <w:jc w:val="center"/>
              <w:cnfStyle w:val="000000000000" w:firstRow="0" w:lastRow="0" w:firstColumn="0" w:lastColumn="0" w:oddVBand="0" w:evenVBand="0" w:oddHBand="0" w:evenHBand="0" w:firstRowFirstColumn="0" w:firstRowLastColumn="0" w:lastRowFirstColumn="0" w:lastRowLastColumn="0"/>
            </w:pPr>
            <w:r w:rsidRPr="008A7DDF">
              <w:t>1.2</w:t>
            </w:r>
          </w:p>
        </w:tc>
        <w:tc>
          <w:tcPr>
            <w:tcW w:w="781" w:type="dxa"/>
            <w:shd w:val="clear" w:color="auto" w:fill="D4E8DE"/>
            <w:tcMar>
              <w:left w:w="105" w:type="dxa"/>
              <w:right w:w="105" w:type="dxa"/>
            </w:tcMar>
            <w:vAlign w:val="center"/>
          </w:tcPr>
          <w:p w14:paraId="691D2F80" w14:textId="77777777" w:rsidR="005F27E1" w:rsidRPr="008A7DDF" w:rsidRDefault="005F27E1" w:rsidP="00E06D4C">
            <w:pPr>
              <w:pStyle w:val="TableParagraph"/>
              <w:spacing w:beforeLines="60" w:before="144" w:afterLines="60" w:after="144"/>
              <w:ind w:left="57" w:right="57"/>
              <w:jc w:val="center"/>
              <w:cnfStyle w:val="000000000000" w:firstRow="0" w:lastRow="0" w:firstColumn="0" w:lastColumn="0" w:oddVBand="0" w:evenVBand="0" w:oddHBand="0" w:evenHBand="0" w:firstRowFirstColumn="0" w:firstRowLastColumn="0" w:lastRowFirstColumn="0" w:lastRowLastColumn="0"/>
            </w:pPr>
            <w:r w:rsidRPr="008A7DDF">
              <w:t>1.0</w:t>
            </w:r>
          </w:p>
        </w:tc>
        <w:tc>
          <w:tcPr>
            <w:tcW w:w="782" w:type="dxa"/>
            <w:shd w:val="clear" w:color="auto" w:fill="D4E8DE"/>
            <w:tcMar>
              <w:left w:w="105" w:type="dxa"/>
              <w:right w:w="105" w:type="dxa"/>
            </w:tcMar>
            <w:vAlign w:val="center"/>
          </w:tcPr>
          <w:p w14:paraId="1FB43425" w14:textId="77777777" w:rsidR="005F27E1" w:rsidRPr="008A7DDF" w:rsidRDefault="005F27E1" w:rsidP="00E06D4C">
            <w:pPr>
              <w:pStyle w:val="TableParagraph"/>
              <w:spacing w:beforeLines="60" w:before="144" w:afterLines="60" w:after="144"/>
              <w:ind w:left="57" w:right="57"/>
              <w:jc w:val="center"/>
              <w:cnfStyle w:val="000000000000" w:firstRow="0" w:lastRow="0" w:firstColumn="0" w:lastColumn="0" w:oddVBand="0" w:evenVBand="0" w:oddHBand="0" w:evenHBand="0" w:firstRowFirstColumn="0" w:firstRowLastColumn="0" w:lastRowFirstColumn="0" w:lastRowLastColumn="0"/>
            </w:pPr>
            <w:r w:rsidRPr="008A7DDF">
              <w:t>0.9</w:t>
            </w:r>
          </w:p>
        </w:tc>
        <w:tc>
          <w:tcPr>
            <w:tcW w:w="781" w:type="dxa"/>
            <w:shd w:val="clear" w:color="auto" w:fill="D4E8DE"/>
            <w:tcMar>
              <w:left w:w="105" w:type="dxa"/>
              <w:right w:w="105" w:type="dxa"/>
            </w:tcMar>
            <w:vAlign w:val="center"/>
          </w:tcPr>
          <w:p w14:paraId="5F411F78" w14:textId="77777777" w:rsidR="005F27E1" w:rsidRPr="008A7DDF" w:rsidRDefault="005F27E1" w:rsidP="00E06D4C">
            <w:pPr>
              <w:pStyle w:val="TableParagraph"/>
              <w:spacing w:beforeLines="60" w:before="144" w:afterLines="60" w:after="144"/>
              <w:ind w:left="57" w:right="57"/>
              <w:jc w:val="center"/>
              <w:cnfStyle w:val="000000000000" w:firstRow="0" w:lastRow="0" w:firstColumn="0" w:lastColumn="0" w:oddVBand="0" w:evenVBand="0" w:oddHBand="0" w:evenHBand="0" w:firstRowFirstColumn="0" w:firstRowLastColumn="0" w:lastRowFirstColumn="0" w:lastRowLastColumn="0"/>
            </w:pPr>
            <w:r w:rsidRPr="008A7DDF">
              <w:t>0.7</w:t>
            </w:r>
          </w:p>
        </w:tc>
        <w:tc>
          <w:tcPr>
            <w:tcW w:w="781" w:type="dxa"/>
            <w:shd w:val="clear" w:color="auto" w:fill="D4E8DE"/>
            <w:tcMar>
              <w:left w:w="105" w:type="dxa"/>
              <w:right w:w="105" w:type="dxa"/>
            </w:tcMar>
            <w:vAlign w:val="center"/>
          </w:tcPr>
          <w:p w14:paraId="606128FE" w14:textId="77777777" w:rsidR="005F27E1" w:rsidRPr="008A7DDF" w:rsidRDefault="005F27E1" w:rsidP="00E06D4C">
            <w:pPr>
              <w:pStyle w:val="TableParagraph"/>
              <w:spacing w:beforeLines="60" w:before="144" w:afterLines="60" w:after="144"/>
              <w:ind w:left="57" w:right="57"/>
              <w:jc w:val="center"/>
              <w:cnfStyle w:val="000000000000" w:firstRow="0" w:lastRow="0" w:firstColumn="0" w:lastColumn="0" w:oddVBand="0" w:evenVBand="0" w:oddHBand="0" w:evenHBand="0" w:firstRowFirstColumn="0" w:firstRowLastColumn="0" w:lastRowFirstColumn="0" w:lastRowLastColumn="0"/>
            </w:pPr>
            <w:r w:rsidRPr="008A7DDF">
              <w:t>0.5</w:t>
            </w:r>
          </w:p>
        </w:tc>
        <w:tc>
          <w:tcPr>
            <w:tcW w:w="782" w:type="dxa"/>
            <w:shd w:val="clear" w:color="auto" w:fill="D4E8DE"/>
            <w:tcMar>
              <w:left w:w="105" w:type="dxa"/>
              <w:right w:w="105" w:type="dxa"/>
            </w:tcMar>
            <w:vAlign w:val="center"/>
          </w:tcPr>
          <w:p w14:paraId="0A6E6F6B" w14:textId="77777777" w:rsidR="005F27E1" w:rsidRPr="008A7DDF" w:rsidRDefault="005F27E1" w:rsidP="00E06D4C">
            <w:pPr>
              <w:pStyle w:val="TableParagraph"/>
              <w:spacing w:beforeLines="60" w:before="144" w:afterLines="60" w:after="144"/>
              <w:ind w:left="57" w:right="57"/>
              <w:jc w:val="center"/>
              <w:cnfStyle w:val="000000000000" w:firstRow="0" w:lastRow="0" w:firstColumn="0" w:lastColumn="0" w:oddVBand="0" w:evenVBand="0" w:oddHBand="0" w:evenHBand="0" w:firstRowFirstColumn="0" w:firstRowLastColumn="0" w:lastRowFirstColumn="0" w:lastRowLastColumn="0"/>
            </w:pPr>
            <w:r w:rsidRPr="008A7DDF">
              <w:t>0.5</w:t>
            </w:r>
          </w:p>
        </w:tc>
        <w:tc>
          <w:tcPr>
            <w:tcW w:w="781" w:type="dxa"/>
            <w:shd w:val="clear" w:color="auto" w:fill="D4E8DE"/>
            <w:tcMar>
              <w:left w:w="105" w:type="dxa"/>
              <w:right w:w="105" w:type="dxa"/>
            </w:tcMar>
            <w:vAlign w:val="center"/>
          </w:tcPr>
          <w:p w14:paraId="49B518DD" w14:textId="77777777" w:rsidR="005F27E1" w:rsidRPr="008A7DDF" w:rsidRDefault="005F27E1" w:rsidP="00E06D4C">
            <w:pPr>
              <w:pStyle w:val="TableParagraph"/>
              <w:spacing w:beforeLines="60" w:before="144" w:afterLines="60" w:after="144"/>
              <w:ind w:left="57" w:right="57"/>
              <w:jc w:val="center"/>
              <w:cnfStyle w:val="000000000000" w:firstRow="0" w:lastRow="0" w:firstColumn="0" w:lastColumn="0" w:oddVBand="0" w:evenVBand="0" w:oddHBand="0" w:evenHBand="0" w:firstRowFirstColumn="0" w:firstRowLastColumn="0" w:lastRowFirstColumn="0" w:lastRowLastColumn="0"/>
            </w:pPr>
            <w:r w:rsidRPr="008A7DDF">
              <w:t>0.5</w:t>
            </w:r>
          </w:p>
        </w:tc>
        <w:tc>
          <w:tcPr>
            <w:tcW w:w="781" w:type="dxa"/>
            <w:shd w:val="clear" w:color="auto" w:fill="D4E8DE"/>
            <w:tcMar>
              <w:left w:w="105" w:type="dxa"/>
              <w:right w:w="105" w:type="dxa"/>
            </w:tcMar>
            <w:vAlign w:val="center"/>
          </w:tcPr>
          <w:p w14:paraId="4387AA94" w14:textId="77777777" w:rsidR="005F27E1" w:rsidRPr="008A7DDF" w:rsidRDefault="005F27E1" w:rsidP="00E06D4C">
            <w:pPr>
              <w:pStyle w:val="TableParagraph"/>
              <w:spacing w:beforeLines="60" w:before="144" w:afterLines="60" w:after="144"/>
              <w:ind w:left="57" w:right="57"/>
              <w:jc w:val="center"/>
              <w:cnfStyle w:val="000000000000" w:firstRow="0" w:lastRow="0" w:firstColumn="0" w:lastColumn="0" w:oddVBand="0" w:evenVBand="0" w:oddHBand="0" w:evenHBand="0" w:firstRowFirstColumn="0" w:firstRowLastColumn="0" w:lastRowFirstColumn="0" w:lastRowLastColumn="0"/>
            </w:pPr>
            <w:r w:rsidRPr="008A7DDF">
              <w:t>0.5</w:t>
            </w:r>
          </w:p>
        </w:tc>
        <w:tc>
          <w:tcPr>
            <w:tcW w:w="782" w:type="dxa"/>
            <w:tcBorders>
              <w:right w:val="single" w:sz="4" w:space="0" w:color="FFFFFF"/>
            </w:tcBorders>
            <w:shd w:val="clear" w:color="auto" w:fill="D4E8DE"/>
            <w:tcMar>
              <w:left w:w="105" w:type="dxa"/>
              <w:right w:w="105" w:type="dxa"/>
            </w:tcMar>
            <w:vAlign w:val="center"/>
          </w:tcPr>
          <w:p w14:paraId="46A7D6DE" w14:textId="77777777" w:rsidR="005F27E1" w:rsidRPr="008A7DDF" w:rsidRDefault="005F27E1" w:rsidP="00E06D4C">
            <w:pPr>
              <w:pStyle w:val="TableParagraph"/>
              <w:spacing w:beforeLines="60" w:before="144" w:afterLines="60" w:after="144"/>
              <w:ind w:left="57" w:right="57"/>
              <w:jc w:val="center"/>
              <w:cnfStyle w:val="000000000000" w:firstRow="0" w:lastRow="0" w:firstColumn="0" w:lastColumn="0" w:oddVBand="0" w:evenVBand="0" w:oddHBand="0" w:evenHBand="0" w:firstRowFirstColumn="0" w:firstRowLastColumn="0" w:lastRowFirstColumn="0" w:lastRowLastColumn="0"/>
            </w:pPr>
            <w:r w:rsidRPr="008A7DDF">
              <w:t>0.7</w:t>
            </w:r>
          </w:p>
        </w:tc>
      </w:tr>
      <w:tr w:rsidR="00FE7BD7" w:rsidRPr="005F27E1" w14:paraId="31CF3533" w14:textId="77777777" w:rsidTr="00434781">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531" w:type="dxa"/>
            <w:tcBorders>
              <w:left w:val="single" w:sz="6" w:space="0" w:color="FFFFFF"/>
            </w:tcBorders>
            <w:shd w:val="clear" w:color="auto" w:fill="C1DCD5"/>
            <w:tcMar>
              <w:left w:w="105" w:type="dxa"/>
              <w:right w:w="105" w:type="dxa"/>
            </w:tcMar>
          </w:tcPr>
          <w:p w14:paraId="5FBD7D38" w14:textId="77777777" w:rsidR="005F27E1" w:rsidRPr="00E06D4C" w:rsidRDefault="005F27E1" w:rsidP="00E06D4C">
            <w:pPr>
              <w:pStyle w:val="TableParagraph"/>
              <w:spacing w:beforeLines="60" w:before="144" w:afterLines="60" w:after="144"/>
              <w:ind w:left="57" w:right="57"/>
              <w:rPr>
                <w:color w:val="auto"/>
              </w:rPr>
            </w:pPr>
            <w:r w:rsidRPr="00E06D4C">
              <w:rPr>
                <w:color w:val="auto"/>
              </w:rPr>
              <w:t>NZ ETS emissions cap aligned with unit volumes</w:t>
            </w:r>
          </w:p>
        </w:tc>
        <w:tc>
          <w:tcPr>
            <w:tcW w:w="781" w:type="dxa"/>
            <w:tcBorders>
              <w:bottom w:val="single" w:sz="4" w:space="0" w:color="FFFFFF"/>
            </w:tcBorders>
            <w:shd w:val="clear" w:color="auto" w:fill="E9F5F2"/>
            <w:tcMar>
              <w:left w:w="105" w:type="dxa"/>
              <w:right w:w="105" w:type="dxa"/>
            </w:tcMar>
            <w:vAlign w:val="center"/>
          </w:tcPr>
          <w:p w14:paraId="0379B785" w14:textId="5413E729" w:rsidR="005F27E1" w:rsidRPr="008A7DDF" w:rsidRDefault="005F27E1" w:rsidP="00E06D4C">
            <w:pPr>
              <w:pStyle w:val="TableParagraph"/>
              <w:spacing w:beforeLines="60" w:before="144" w:afterLines="60" w:after="144"/>
              <w:ind w:left="57" w:right="57"/>
              <w:jc w:val="center"/>
              <w:cnfStyle w:val="000000100000" w:firstRow="0" w:lastRow="0" w:firstColumn="0" w:lastColumn="0" w:oddVBand="0" w:evenVBand="0" w:oddHBand="1" w:evenHBand="0" w:firstRowFirstColumn="0" w:firstRowLastColumn="0" w:lastRowFirstColumn="0" w:lastRowLastColumn="0"/>
            </w:pPr>
            <w:r w:rsidRPr="008A7DDF">
              <w:t>20.8</w:t>
            </w:r>
          </w:p>
        </w:tc>
        <w:tc>
          <w:tcPr>
            <w:tcW w:w="781" w:type="dxa"/>
            <w:tcBorders>
              <w:bottom w:val="single" w:sz="4" w:space="0" w:color="FFFFFF"/>
            </w:tcBorders>
            <w:shd w:val="clear" w:color="auto" w:fill="E9F5F2"/>
            <w:tcMar>
              <w:left w:w="105" w:type="dxa"/>
              <w:right w:w="105" w:type="dxa"/>
            </w:tcMar>
            <w:vAlign w:val="center"/>
          </w:tcPr>
          <w:p w14:paraId="6F822B8D" w14:textId="1A980383" w:rsidR="005F27E1" w:rsidRPr="008A7DDF" w:rsidRDefault="005F27E1" w:rsidP="00E06D4C">
            <w:pPr>
              <w:pStyle w:val="TableParagraph"/>
              <w:spacing w:beforeLines="60" w:before="144" w:afterLines="60" w:after="144"/>
              <w:ind w:left="57" w:right="57"/>
              <w:jc w:val="center"/>
              <w:cnfStyle w:val="000000100000" w:firstRow="0" w:lastRow="0" w:firstColumn="0" w:lastColumn="0" w:oddVBand="0" w:evenVBand="0" w:oddHBand="1" w:evenHBand="0" w:firstRowFirstColumn="0" w:firstRowLastColumn="0" w:lastRowFirstColumn="0" w:lastRowLastColumn="0"/>
            </w:pPr>
            <w:r w:rsidRPr="008A7DDF">
              <w:t>18.1</w:t>
            </w:r>
          </w:p>
        </w:tc>
        <w:tc>
          <w:tcPr>
            <w:tcW w:w="781" w:type="dxa"/>
            <w:tcBorders>
              <w:bottom w:val="single" w:sz="4" w:space="0" w:color="FFFFFF"/>
            </w:tcBorders>
            <w:shd w:val="clear" w:color="auto" w:fill="E9F5F2"/>
            <w:tcMar>
              <w:left w:w="105" w:type="dxa"/>
              <w:right w:w="105" w:type="dxa"/>
            </w:tcMar>
            <w:vAlign w:val="center"/>
          </w:tcPr>
          <w:p w14:paraId="6FCDAFF0" w14:textId="54CB767B" w:rsidR="005F27E1" w:rsidRPr="008A7DDF" w:rsidRDefault="005F27E1" w:rsidP="00E06D4C">
            <w:pPr>
              <w:pStyle w:val="TableParagraph"/>
              <w:spacing w:beforeLines="60" w:before="144" w:afterLines="60" w:after="144"/>
              <w:ind w:left="57" w:right="57"/>
              <w:jc w:val="center"/>
              <w:cnfStyle w:val="000000100000" w:firstRow="0" w:lastRow="0" w:firstColumn="0" w:lastColumn="0" w:oddVBand="0" w:evenVBand="0" w:oddHBand="1" w:evenHBand="0" w:firstRowFirstColumn="0" w:firstRowLastColumn="0" w:lastRowFirstColumn="0" w:lastRowLastColumn="0"/>
            </w:pPr>
            <w:r w:rsidRPr="008A7DDF">
              <w:t>15.0</w:t>
            </w:r>
          </w:p>
        </w:tc>
        <w:tc>
          <w:tcPr>
            <w:tcW w:w="782" w:type="dxa"/>
            <w:tcBorders>
              <w:bottom w:val="single" w:sz="4" w:space="0" w:color="FFFFFF"/>
            </w:tcBorders>
            <w:shd w:val="clear" w:color="auto" w:fill="E9F5F2"/>
            <w:tcMar>
              <w:left w:w="105" w:type="dxa"/>
              <w:right w:w="105" w:type="dxa"/>
            </w:tcMar>
            <w:vAlign w:val="center"/>
          </w:tcPr>
          <w:p w14:paraId="40E383CC" w14:textId="1C8D27E0" w:rsidR="005F27E1" w:rsidRPr="008A7DDF" w:rsidRDefault="005F27E1" w:rsidP="00E06D4C">
            <w:pPr>
              <w:pStyle w:val="TableParagraph"/>
              <w:spacing w:beforeLines="60" w:before="144" w:afterLines="60" w:after="144"/>
              <w:ind w:left="57" w:right="57"/>
              <w:jc w:val="center"/>
              <w:cnfStyle w:val="000000100000" w:firstRow="0" w:lastRow="0" w:firstColumn="0" w:lastColumn="0" w:oddVBand="0" w:evenVBand="0" w:oddHBand="1" w:evenHBand="0" w:firstRowFirstColumn="0" w:firstRowLastColumn="0" w:lastRowFirstColumn="0" w:lastRowLastColumn="0"/>
            </w:pPr>
            <w:r w:rsidRPr="008A7DDF">
              <w:t>12.5</w:t>
            </w:r>
          </w:p>
        </w:tc>
        <w:tc>
          <w:tcPr>
            <w:tcW w:w="781" w:type="dxa"/>
            <w:tcBorders>
              <w:bottom w:val="single" w:sz="4" w:space="0" w:color="FFFFFF"/>
            </w:tcBorders>
            <w:shd w:val="clear" w:color="auto" w:fill="E9F5F2"/>
            <w:tcMar>
              <w:left w:w="105" w:type="dxa"/>
              <w:right w:w="105" w:type="dxa"/>
            </w:tcMar>
            <w:vAlign w:val="center"/>
          </w:tcPr>
          <w:p w14:paraId="7343FB74" w14:textId="6E3F7205" w:rsidR="005F27E1" w:rsidRPr="008A7DDF" w:rsidRDefault="005F27E1" w:rsidP="00E06D4C">
            <w:pPr>
              <w:pStyle w:val="TableParagraph"/>
              <w:spacing w:beforeLines="60" w:before="144" w:afterLines="60" w:after="144"/>
              <w:ind w:left="57" w:right="57"/>
              <w:jc w:val="center"/>
              <w:cnfStyle w:val="000000100000" w:firstRow="0" w:lastRow="0" w:firstColumn="0" w:lastColumn="0" w:oddVBand="0" w:evenVBand="0" w:oddHBand="1" w:evenHBand="0" w:firstRowFirstColumn="0" w:firstRowLastColumn="0" w:lastRowFirstColumn="0" w:lastRowLastColumn="0"/>
            </w:pPr>
            <w:r w:rsidRPr="008A7DDF">
              <w:t>10.5</w:t>
            </w:r>
          </w:p>
        </w:tc>
        <w:tc>
          <w:tcPr>
            <w:tcW w:w="781" w:type="dxa"/>
            <w:tcBorders>
              <w:bottom w:val="single" w:sz="4" w:space="0" w:color="FFFFFF"/>
            </w:tcBorders>
            <w:shd w:val="clear" w:color="auto" w:fill="E9F5F2"/>
            <w:tcMar>
              <w:left w:w="105" w:type="dxa"/>
              <w:right w:w="105" w:type="dxa"/>
            </w:tcMar>
            <w:vAlign w:val="center"/>
          </w:tcPr>
          <w:p w14:paraId="121282E3" w14:textId="13062C1F" w:rsidR="005F27E1" w:rsidRPr="008A7DDF" w:rsidRDefault="005F27E1" w:rsidP="00E06D4C">
            <w:pPr>
              <w:pStyle w:val="TableParagraph"/>
              <w:spacing w:beforeLines="60" w:before="144" w:afterLines="60" w:after="144"/>
              <w:ind w:left="57" w:right="57"/>
              <w:jc w:val="center"/>
              <w:cnfStyle w:val="000000100000" w:firstRow="0" w:lastRow="0" w:firstColumn="0" w:lastColumn="0" w:oddVBand="0" w:evenVBand="0" w:oddHBand="1" w:evenHBand="0" w:firstRowFirstColumn="0" w:firstRowLastColumn="0" w:lastRowFirstColumn="0" w:lastRowLastColumn="0"/>
            </w:pPr>
            <w:r w:rsidRPr="008A7DDF">
              <w:t>7.1</w:t>
            </w:r>
          </w:p>
        </w:tc>
        <w:tc>
          <w:tcPr>
            <w:tcW w:w="782" w:type="dxa"/>
            <w:tcBorders>
              <w:bottom w:val="single" w:sz="4" w:space="0" w:color="FFFFFF"/>
            </w:tcBorders>
            <w:shd w:val="clear" w:color="auto" w:fill="E9F5F2"/>
            <w:tcMar>
              <w:left w:w="105" w:type="dxa"/>
              <w:right w:w="105" w:type="dxa"/>
            </w:tcMar>
            <w:vAlign w:val="center"/>
          </w:tcPr>
          <w:p w14:paraId="6B33E7BF" w14:textId="6ED74FF1" w:rsidR="005F27E1" w:rsidRPr="008A7DDF" w:rsidRDefault="005F27E1" w:rsidP="00E06D4C">
            <w:pPr>
              <w:pStyle w:val="TableParagraph"/>
              <w:spacing w:beforeLines="60" w:before="144" w:afterLines="60" w:after="144"/>
              <w:ind w:left="57" w:right="57"/>
              <w:jc w:val="center"/>
              <w:cnfStyle w:val="000000100000" w:firstRow="0" w:lastRow="0" w:firstColumn="0" w:lastColumn="0" w:oddVBand="0" w:evenVBand="0" w:oddHBand="1" w:evenHBand="0" w:firstRowFirstColumn="0" w:firstRowLastColumn="0" w:lastRowFirstColumn="0" w:lastRowLastColumn="0"/>
            </w:pPr>
            <w:r w:rsidRPr="008A7DDF">
              <w:t>6.1</w:t>
            </w:r>
          </w:p>
        </w:tc>
        <w:tc>
          <w:tcPr>
            <w:tcW w:w="781" w:type="dxa"/>
            <w:tcBorders>
              <w:bottom w:val="single" w:sz="4" w:space="0" w:color="FFFFFF"/>
            </w:tcBorders>
            <w:shd w:val="clear" w:color="auto" w:fill="E9F5F2"/>
            <w:tcMar>
              <w:left w:w="105" w:type="dxa"/>
              <w:right w:w="105" w:type="dxa"/>
            </w:tcMar>
            <w:vAlign w:val="center"/>
          </w:tcPr>
          <w:p w14:paraId="414E8DD0" w14:textId="5522B09C" w:rsidR="005F27E1" w:rsidRPr="008A7DDF" w:rsidRDefault="005F27E1" w:rsidP="00E06D4C">
            <w:pPr>
              <w:pStyle w:val="TableParagraph"/>
              <w:spacing w:beforeLines="60" w:before="144" w:afterLines="60" w:after="144"/>
              <w:ind w:left="57" w:right="57"/>
              <w:jc w:val="center"/>
              <w:cnfStyle w:val="000000100000" w:firstRow="0" w:lastRow="0" w:firstColumn="0" w:lastColumn="0" w:oddVBand="0" w:evenVBand="0" w:oddHBand="1" w:evenHBand="0" w:firstRowFirstColumn="0" w:firstRowLastColumn="0" w:lastRowFirstColumn="0" w:lastRowLastColumn="0"/>
            </w:pPr>
            <w:r w:rsidRPr="008A7DDF">
              <w:t>5.3</w:t>
            </w:r>
          </w:p>
        </w:tc>
        <w:tc>
          <w:tcPr>
            <w:tcW w:w="781" w:type="dxa"/>
            <w:tcBorders>
              <w:bottom w:val="single" w:sz="4" w:space="0" w:color="FFFFFF"/>
            </w:tcBorders>
            <w:shd w:val="clear" w:color="auto" w:fill="E9F5F2"/>
            <w:tcMar>
              <w:left w:w="105" w:type="dxa"/>
              <w:right w:w="105" w:type="dxa"/>
            </w:tcMar>
            <w:vAlign w:val="center"/>
          </w:tcPr>
          <w:p w14:paraId="7DA32F1D" w14:textId="2EDE256B" w:rsidR="005F27E1" w:rsidRPr="008A7DDF" w:rsidRDefault="005F27E1" w:rsidP="00E06D4C">
            <w:pPr>
              <w:pStyle w:val="TableParagraph"/>
              <w:spacing w:beforeLines="60" w:before="144" w:afterLines="60" w:after="144"/>
              <w:ind w:left="57" w:right="57"/>
              <w:jc w:val="center"/>
              <w:cnfStyle w:val="000000100000" w:firstRow="0" w:lastRow="0" w:firstColumn="0" w:lastColumn="0" w:oddVBand="0" w:evenVBand="0" w:oddHBand="1" w:evenHBand="0" w:firstRowFirstColumn="0" w:firstRowLastColumn="0" w:lastRowFirstColumn="0" w:lastRowLastColumn="0"/>
            </w:pPr>
            <w:r w:rsidRPr="008A7DDF">
              <w:t>4.2</w:t>
            </w:r>
          </w:p>
        </w:tc>
        <w:tc>
          <w:tcPr>
            <w:tcW w:w="782" w:type="dxa"/>
            <w:tcBorders>
              <w:bottom w:val="single" w:sz="4" w:space="0" w:color="FFFFFF"/>
              <w:right w:val="single" w:sz="4" w:space="0" w:color="FFFFFF"/>
            </w:tcBorders>
            <w:shd w:val="clear" w:color="auto" w:fill="E9F5F2"/>
            <w:tcMar>
              <w:left w:w="105" w:type="dxa"/>
              <w:right w:w="105" w:type="dxa"/>
            </w:tcMar>
            <w:vAlign w:val="center"/>
          </w:tcPr>
          <w:p w14:paraId="78536178" w14:textId="6DE5BDAF" w:rsidR="005F27E1" w:rsidRPr="008A7DDF" w:rsidRDefault="005F27E1" w:rsidP="00E06D4C">
            <w:pPr>
              <w:pStyle w:val="TableParagraph"/>
              <w:spacing w:beforeLines="60" w:before="144" w:afterLines="60" w:after="144"/>
              <w:ind w:left="57" w:right="57"/>
              <w:jc w:val="center"/>
              <w:cnfStyle w:val="000000100000" w:firstRow="0" w:lastRow="0" w:firstColumn="0" w:lastColumn="0" w:oddVBand="0" w:evenVBand="0" w:oddHBand="1" w:evenHBand="0" w:firstRowFirstColumn="0" w:firstRowLastColumn="0" w:lastRowFirstColumn="0" w:lastRowLastColumn="0"/>
            </w:pPr>
            <w:r w:rsidRPr="008A7DDF">
              <w:t xml:space="preserve">3.4 </w:t>
            </w:r>
          </w:p>
        </w:tc>
      </w:tr>
    </w:tbl>
    <w:p w14:paraId="2EFB2A8A" w14:textId="2CAF7664" w:rsidR="00511D61" w:rsidRDefault="005F27E1" w:rsidP="005F27E1">
      <w:pPr>
        <w:pStyle w:val="Heading1nonumber"/>
      </w:pPr>
      <w:bookmarkStart w:id="29" w:name="_Toc227603117"/>
      <w:r>
        <w:t>Step 2: Account for industrial free allocation</w:t>
      </w:r>
      <w:bookmarkEnd w:id="29"/>
    </w:p>
    <w:p w14:paraId="1A041B7C" w14:textId="2DA874E4" w:rsidR="005E5560" w:rsidRDefault="005E5560" w:rsidP="005E5560">
      <w:pPr>
        <w:pStyle w:val="BodyText"/>
      </w:pPr>
      <w:r>
        <w:t xml:space="preserve">Step 2 involves forecasting industrial free allocation volumes provided by the Government to firms </w:t>
      </w:r>
      <w:r w:rsidR="00DB6377">
        <w:t xml:space="preserve">undertaking </w:t>
      </w:r>
      <w:r>
        <w:t>emissions-intensive and trade-exposed (EITE)</w:t>
      </w:r>
      <w:r w:rsidR="00DB6377">
        <w:t xml:space="preserve"> activities</w:t>
      </w:r>
      <w:r>
        <w:t xml:space="preserve">. Industrial free allocation uses up a portion of the units that would otherwise be available </w:t>
      </w:r>
      <w:r w:rsidR="009C7E3D">
        <w:t xml:space="preserve">from </w:t>
      </w:r>
      <w:r>
        <w:t>the NZ ETS emission</w:t>
      </w:r>
      <w:r w:rsidR="009C7E3D">
        <w:t>s</w:t>
      </w:r>
      <w:r>
        <w:t xml:space="preserve"> cap. It must therefore be subtracted from the cap when determining auction volumes. </w:t>
      </w:r>
    </w:p>
    <w:p w14:paraId="2A9F1EDE" w14:textId="08687C7A" w:rsidR="005E5560" w:rsidRDefault="005E5560" w:rsidP="005E5560">
      <w:pPr>
        <w:pStyle w:val="BodyText"/>
      </w:pPr>
      <w:r>
        <w:t>Our forecast of industrial allocation volumes has reduced compared to last year, from approximately 22.0 million units to 18.3 million</w:t>
      </w:r>
      <w:r w:rsidR="00ED1FEE">
        <w:t xml:space="preserve"> over 2027–2031</w:t>
      </w:r>
      <w:r>
        <w:t xml:space="preserve">. </w:t>
      </w:r>
    </w:p>
    <w:p w14:paraId="356FF4AE" w14:textId="3948A9BE" w:rsidR="005E5560" w:rsidRDefault="005E5560" w:rsidP="005E5560">
      <w:pPr>
        <w:pStyle w:val="BodyText"/>
      </w:pPr>
      <w:r>
        <w:t xml:space="preserve">The method for forecasting industrial allocation has remained largely the same over the four years the Commission has provided advice on NZ ETS settings. It is based on the following equation, with </w:t>
      </w:r>
      <w:r w:rsidR="000B5B50">
        <w:t xml:space="preserve">the </w:t>
      </w:r>
      <w:r w:rsidR="008B3DE5">
        <w:t xml:space="preserve">approach used for </w:t>
      </w:r>
      <w:r>
        <w:t xml:space="preserve">each term set </w:t>
      </w:r>
      <w:r w:rsidR="008B3DE5">
        <w:t xml:space="preserve">out </w:t>
      </w:r>
      <w:r>
        <w:t xml:space="preserve">below. </w:t>
      </w:r>
    </w:p>
    <w:p w14:paraId="230A7C5F" w14:textId="1B817E0A" w:rsidR="005E5560" w:rsidRPr="00E06D4C" w:rsidRDefault="005E5560" w:rsidP="005E5560">
      <w:pPr>
        <w:pStyle w:val="BodyText"/>
        <w:rPr>
          <w:i/>
        </w:rPr>
      </w:pPr>
      <w:r w:rsidRPr="00E06D4C">
        <w:rPr>
          <w:i/>
        </w:rPr>
        <w:t xml:space="preserve">Annual allocation = production volume × % </w:t>
      </w:r>
      <w:r w:rsidR="009C7E3D" w:rsidRPr="00E06D4C">
        <w:rPr>
          <w:i/>
        </w:rPr>
        <w:t xml:space="preserve">level of assistance </w:t>
      </w:r>
      <w:r w:rsidRPr="00E06D4C">
        <w:rPr>
          <w:i/>
        </w:rPr>
        <w:t>× allocative baseline</w:t>
      </w:r>
    </w:p>
    <w:p w14:paraId="64521516" w14:textId="1C7D71A1" w:rsidR="005E5560" w:rsidRDefault="005E5560" w:rsidP="00417375">
      <w:pPr>
        <w:pStyle w:val="Numberlist"/>
        <w:numPr>
          <w:ilvl w:val="0"/>
          <w:numId w:val="29"/>
        </w:numPr>
      </w:pPr>
      <w:r>
        <w:t>Production volume: Update for the most recent unit allocation data broken down by industrial activity and apply estimated growth of production volumes.</w:t>
      </w:r>
    </w:p>
    <w:p w14:paraId="3BFFDF42" w14:textId="114DC304" w:rsidR="005E5560" w:rsidRDefault="005E5560" w:rsidP="00417375">
      <w:pPr>
        <w:pStyle w:val="Numberlist"/>
      </w:pPr>
      <w:r>
        <w:t xml:space="preserve">% </w:t>
      </w:r>
      <w:r w:rsidR="00F90E7E">
        <w:t>level of assistance</w:t>
      </w:r>
      <w:r>
        <w:t xml:space="preserve">: Apply the annual industrial allocation </w:t>
      </w:r>
      <w:r w:rsidR="003207B2">
        <w:t xml:space="preserve">level of assistance </w:t>
      </w:r>
      <w:r>
        <w:t>and phase-down rates.</w:t>
      </w:r>
    </w:p>
    <w:p w14:paraId="3F00F0DD" w14:textId="33A4ABF3" w:rsidR="005F27E1" w:rsidRDefault="005E5560" w:rsidP="00417375">
      <w:pPr>
        <w:pStyle w:val="Numberlist"/>
      </w:pPr>
      <w:r>
        <w:t xml:space="preserve">Allocative baseline: Apply any additional information on estimated changes to production levels, or </w:t>
      </w:r>
      <w:r w:rsidR="00B44AC3">
        <w:t xml:space="preserve">on </w:t>
      </w:r>
      <w:r>
        <w:t>updates to the emissions intensity of production.</w:t>
      </w:r>
    </w:p>
    <w:p w14:paraId="0600F4BD" w14:textId="63711A5B" w:rsidR="001A01A2" w:rsidRDefault="001A01A2" w:rsidP="00E06D4C">
      <w:pPr>
        <w:pStyle w:val="Heading3"/>
        <w:tabs>
          <w:tab w:val="left" w:pos="6781"/>
        </w:tabs>
      </w:pPr>
      <w:bookmarkStart w:id="30" w:name="_Toc227603118"/>
      <w:r>
        <w:t>Changes in industrial allocation forecast</w:t>
      </w:r>
      <w:bookmarkEnd w:id="30"/>
      <w:r w:rsidR="003D32ED">
        <w:tab/>
      </w:r>
    </w:p>
    <w:p w14:paraId="0958A37D" w14:textId="012794F7" w:rsidR="005A62B4" w:rsidRDefault="005A62B4" w:rsidP="005A62B4">
      <w:pPr>
        <w:pStyle w:val="BodyText"/>
      </w:pPr>
      <w:r>
        <w:t xml:space="preserve">We have updated our forecast of industrial allocation to align with assumptions in the Ministry for the Environment’s latest </w:t>
      </w:r>
      <w:r w:rsidR="0069168C">
        <w:t xml:space="preserve">industrial allocation </w:t>
      </w:r>
      <w:r>
        <w:t xml:space="preserve">projections. </w:t>
      </w:r>
    </w:p>
    <w:p w14:paraId="2884B0D4" w14:textId="77777777" w:rsidR="005A62B4" w:rsidRDefault="005A62B4" w:rsidP="005A62B4">
      <w:pPr>
        <w:pStyle w:val="BodyText"/>
      </w:pPr>
      <w:r>
        <w:t xml:space="preserve">Since our previous forecast, the most significant causes of change have been: </w:t>
      </w:r>
    </w:p>
    <w:p w14:paraId="05807442" w14:textId="14C355C9" w:rsidR="005A62B4" w:rsidRDefault="005A62B4" w:rsidP="005A62B4">
      <w:pPr>
        <w:pStyle w:val="Bodybullets"/>
      </w:pPr>
      <w:r>
        <w:t>A reduction in the forecast of aluminium allocations</w:t>
      </w:r>
      <w:r w:rsidR="006936E6">
        <w:t>. This is</w:t>
      </w:r>
      <w:r>
        <w:t xml:space="preserve"> due to </w:t>
      </w:r>
      <w:r w:rsidR="006936E6">
        <w:t xml:space="preserve">incorporation of </w:t>
      </w:r>
      <w:r>
        <w:t xml:space="preserve">actual 2024 allocations data which accurately </w:t>
      </w:r>
      <w:r w:rsidR="00560A2A">
        <w:t xml:space="preserve">reflected </w:t>
      </w:r>
      <w:r>
        <w:t>changes to the Electricity Contracts Allocation Factor (ECAF)</w:t>
      </w:r>
      <w:r w:rsidR="00560A2A">
        <w:t xml:space="preserve">. In our 2025 </w:t>
      </w:r>
      <w:r w:rsidR="00875BA3">
        <w:t xml:space="preserve">forecast, we </w:t>
      </w:r>
      <w:r w:rsidR="00197FF0">
        <w:t xml:space="preserve">were only able </w:t>
      </w:r>
      <w:r w:rsidR="00875BA3">
        <w:t xml:space="preserve">to estimate the impact of the ECAF </w:t>
      </w:r>
      <w:r w:rsidR="00A217FB">
        <w:t>change</w:t>
      </w:r>
      <w:r>
        <w:t xml:space="preserve">. </w:t>
      </w:r>
    </w:p>
    <w:p w14:paraId="2BF8C725" w14:textId="72D0F43E" w:rsidR="005A62B4" w:rsidRDefault="005A62B4" w:rsidP="005A62B4">
      <w:pPr>
        <w:pStyle w:val="Bodybullets"/>
      </w:pPr>
      <w:r>
        <w:t>A reduction in iron and steel industrial allocations from 2026 onwards</w:t>
      </w:r>
      <w:r w:rsidR="00B63819">
        <w:t>. This is</w:t>
      </w:r>
      <w:r>
        <w:t xml:space="preserve"> based on an updated estimate of the allocative baseline </w:t>
      </w:r>
      <w:r w:rsidR="00F044F2">
        <w:t xml:space="preserve">which will be reduced </w:t>
      </w:r>
      <w:r>
        <w:t xml:space="preserve">due to the installation of an electric arc furnace at NZ Steel. </w:t>
      </w:r>
    </w:p>
    <w:p w14:paraId="01FC8EA4" w14:textId="14029188" w:rsidR="005A62B4" w:rsidRDefault="005A62B4" w:rsidP="005A62B4">
      <w:pPr>
        <w:pStyle w:val="Bodybullets"/>
      </w:pPr>
      <w:r>
        <w:t xml:space="preserve">Decreased allocation </w:t>
      </w:r>
      <w:r w:rsidR="00607B6C">
        <w:t>for m</w:t>
      </w:r>
      <w:r>
        <w:t>ethanol</w:t>
      </w:r>
      <w:r w:rsidR="007A083D">
        <w:t>. This</w:t>
      </w:r>
      <w:r>
        <w:t xml:space="preserve"> align</w:t>
      </w:r>
      <w:r w:rsidR="007A083D">
        <w:t>s</w:t>
      </w:r>
      <w:r>
        <w:t xml:space="preserve"> with </w:t>
      </w:r>
      <w:r w:rsidR="00607B6C">
        <w:t xml:space="preserve">the </w:t>
      </w:r>
      <w:r>
        <w:t xml:space="preserve">decreased </w:t>
      </w:r>
      <w:r w:rsidR="00607B6C">
        <w:t xml:space="preserve">methanol </w:t>
      </w:r>
      <w:r>
        <w:t>production levels assumed in the 2025 government emissions projections</w:t>
      </w:r>
      <w:r w:rsidR="007A083D">
        <w:t xml:space="preserve">, which </w:t>
      </w:r>
      <w:r>
        <w:t>assume production reduces to 80% of 2024 levels in 2026</w:t>
      </w:r>
      <w:r w:rsidR="00CC4208">
        <w:t xml:space="preserve"> and </w:t>
      </w:r>
      <w:r>
        <w:t xml:space="preserve">60% in 2027 </w:t>
      </w:r>
      <w:r w:rsidR="00CC4208">
        <w:t>before</w:t>
      </w:r>
      <w:r>
        <w:t xml:space="preserve"> </w:t>
      </w:r>
      <w:r w:rsidR="00CC4208">
        <w:t xml:space="preserve">ceasing </w:t>
      </w:r>
      <w:r>
        <w:t>entirely in 2028.</w:t>
      </w:r>
      <w:r w:rsidR="009C6061">
        <w:t xml:space="preserve"> </w:t>
      </w:r>
    </w:p>
    <w:p w14:paraId="50F8E5E5" w14:textId="23405EF7" w:rsidR="005A62B4" w:rsidRDefault="005A62B4" w:rsidP="005A62B4">
      <w:pPr>
        <w:pStyle w:val="Bodybullets"/>
      </w:pPr>
      <w:r>
        <w:t>An increase in pulp and paper allocation forecasts</w:t>
      </w:r>
      <w:r w:rsidR="001207D5">
        <w:t>. This is</w:t>
      </w:r>
      <w:r>
        <w:t xml:space="preserve"> due to an increase in the observed production levels from 2023 to 2024, likely based on many plants cutting 2023 production for repairs and maintenance. Forecast reductions in pulp and paper allocations continue to apply from 2025 onwards due to the closure of Winstone Pulp</w:t>
      </w:r>
      <w:r w:rsidR="008F50F3">
        <w:t>, of</w:t>
      </w:r>
      <w:r>
        <w:t xml:space="preserve"> Oji Fibre's Penrose </w:t>
      </w:r>
      <w:r w:rsidR="00BB5082">
        <w:t>mill</w:t>
      </w:r>
      <w:r>
        <w:t xml:space="preserve">, and </w:t>
      </w:r>
      <w:r w:rsidR="005E2F35">
        <w:t xml:space="preserve">ceasing </w:t>
      </w:r>
      <w:r w:rsidR="008F50F3">
        <w:t xml:space="preserve">of </w:t>
      </w:r>
      <w:r>
        <w:t xml:space="preserve">paper production at </w:t>
      </w:r>
      <w:r w:rsidR="002F6B99">
        <w:t xml:space="preserve">Oji Fibre’s </w:t>
      </w:r>
      <w:r>
        <w:t xml:space="preserve">Kinleith Mill. </w:t>
      </w:r>
      <w:r w:rsidR="009C6061">
        <w:t xml:space="preserve"> </w:t>
      </w:r>
    </w:p>
    <w:p w14:paraId="2B90FE6D" w14:textId="039771C1" w:rsidR="001A01A2" w:rsidRDefault="005A62B4" w:rsidP="005A62B4">
      <w:pPr>
        <w:pStyle w:val="BodyText"/>
      </w:pPr>
      <w:r>
        <w:t xml:space="preserve">Table </w:t>
      </w:r>
      <w:r w:rsidR="009C6061">
        <w:t>7</w:t>
      </w:r>
      <w:r>
        <w:t xml:space="preserve"> shows our updated industrial allocation forecast alongside our previous forecast used in </w:t>
      </w:r>
      <w:r w:rsidR="004E4439">
        <w:t xml:space="preserve">the </w:t>
      </w:r>
      <w:r>
        <w:t xml:space="preserve">2025 ETS settings advice. </w:t>
      </w:r>
      <w:r w:rsidR="00B00A1D">
        <w:t xml:space="preserve">Figures </w:t>
      </w:r>
      <w:r>
        <w:t>are shown up to 2035</w:t>
      </w:r>
      <w:r w:rsidR="00B00A1D">
        <w:t xml:space="preserve"> for </w:t>
      </w:r>
      <w:r>
        <w:t xml:space="preserve">visibility beyond the settings period </w:t>
      </w:r>
      <w:r w:rsidR="00B00A1D">
        <w:t>(</w:t>
      </w:r>
      <w:r>
        <w:t>2027–2031</w:t>
      </w:r>
      <w:r w:rsidR="00B00A1D">
        <w:t>)</w:t>
      </w:r>
      <w:r>
        <w:t>.</w:t>
      </w:r>
      <w:r w:rsidR="009C6061">
        <w:t xml:space="preserve"> </w:t>
      </w:r>
    </w:p>
    <w:p w14:paraId="0F95DF58" w14:textId="5B377D33" w:rsidR="00377F35" w:rsidRDefault="00377F35" w:rsidP="00377F35">
      <w:pPr>
        <w:pStyle w:val="FigureTabletitle"/>
      </w:pPr>
      <w:r>
        <w:t xml:space="preserve">Table </w:t>
      </w:r>
      <w:r w:rsidR="00B50217">
        <w:fldChar w:fldCharType="begin"/>
      </w:r>
      <w:r w:rsidR="00B50217">
        <w:instrText xml:space="preserve"> SEQ Table \* ARABIC </w:instrText>
      </w:r>
      <w:r w:rsidR="00B50217">
        <w:fldChar w:fldCharType="separate"/>
      </w:r>
      <w:r w:rsidR="00B50217">
        <w:rPr>
          <w:noProof/>
        </w:rPr>
        <w:t>7</w:t>
      </w:r>
      <w:r w:rsidR="00B50217">
        <w:rPr>
          <w:noProof/>
        </w:rPr>
        <w:fldChar w:fldCharType="end"/>
      </w:r>
      <w:r>
        <w:t xml:space="preserve">: </w:t>
      </w:r>
      <w:r w:rsidR="00BD4AF1">
        <w:t>Comparison of 2026 and 2025 i</w:t>
      </w:r>
      <w:r w:rsidRPr="005C47F5">
        <w:t>ndustrial free allocation forecast</w:t>
      </w:r>
      <w:r w:rsidR="00BD4AF1">
        <w:t>s</w:t>
      </w:r>
      <w:r w:rsidRPr="005C47F5">
        <w:t xml:space="preserve"> </w:t>
      </w:r>
    </w:p>
    <w:tbl>
      <w:tblPr>
        <w:tblStyle w:val="TableGrid9"/>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705"/>
        <w:gridCol w:w="763"/>
        <w:gridCol w:w="764"/>
        <w:gridCol w:w="764"/>
        <w:gridCol w:w="764"/>
        <w:gridCol w:w="764"/>
        <w:gridCol w:w="764"/>
        <w:gridCol w:w="764"/>
        <w:gridCol w:w="764"/>
        <w:gridCol w:w="764"/>
        <w:gridCol w:w="764"/>
      </w:tblGrid>
      <w:tr w:rsidR="00390A4E" w:rsidRPr="00390A4E" w14:paraId="61E0AF19" w14:textId="77777777" w:rsidTr="00E06D4C">
        <w:trPr>
          <w:trHeight w:val="300"/>
        </w:trPr>
        <w:tc>
          <w:tcPr>
            <w:tcW w:w="1705" w:type="dxa"/>
            <w:tcBorders>
              <w:top w:val="single" w:sz="6" w:space="0" w:color="FFFFFF"/>
              <w:left w:val="single" w:sz="6" w:space="0" w:color="FFFFFF"/>
              <w:bottom w:val="single" w:sz="6" w:space="0" w:color="FFFFFF"/>
              <w:right w:val="single" w:sz="6" w:space="0" w:color="FFFFFF"/>
            </w:tcBorders>
            <w:shd w:val="clear" w:color="auto" w:fill="002060"/>
            <w:tcMar>
              <w:left w:w="105" w:type="dxa"/>
              <w:right w:w="105" w:type="dxa"/>
            </w:tcMar>
            <w:vAlign w:val="bottom"/>
          </w:tcPr>
          <w:p w14:paraId="554554B0" w14:textId="77777777" w:rsidR="00390A4E" w:rsidRPr="00390A4E" w:rsidRDefault="00390A4E" w:rsidP="00E06D4C">
            <w:pPr>
              <w:pStyle w:val="Tableheading"/>
              <w:spacing w:before="60" w:after="60"/>
              <w:ind w:left="57" w:right="57"/>
            </w:pPr>
            <w:r w:rsidRPr="00390A4E">
              <w:t>NZUs (millions)</w:t>
            </w:r>
          </w:p>
        </w:tc>
        <w:tc>
          <w:tcPr>
            <w:tcW w:w="763" w:type="dxa"/>
            <w:tcBorders>
              <w:top w:val="single" w:sz="6" w:space="0" w:color="FFFFFF"/>
              <w:left w:val="single" w:sz="6" w:space="0" w:color="FFFFFF"/>
              <w:bottom w:val="single" w:sz="6" w:space="0" w:color="FFFFFF"/>
              <w:right w:val="single" w:sz="6" w:space="0" w:color="FFFFFF"/>
            </w:tcBorders>
            <w:shd w:val="clear" w:color="auto" w:fill="002060"/>
            <w:tcMar>
              <w:left w:w="105" w:type="dxa"/>
              <w:right w:w="105" w:type="dxa"/>
            </w:tcMar>
            <w:vAlign w:val="center"/>
          </w:tcPr>
          <w:p w14:paraId="5FCED0E2" w14:textId="77777777" w:rsidR="00390A4E" w:rsidRPr="00E06D4C" w:rsidRDefault="00390A4E" w:rsidP="00E06D4C">
            <w:pPr>
              <w:pStyle w:val="Tableheading"/>
              <w:spacing w:before="60" w:after="60"/>
              <w:ind w:left="57" w:right="57"/>
              <w:jc w:val="center"/>
              <w:rPr>
                <w:sz w:val="20"/>
                <w:szCs w:val="20"/>
              </w:rPr>
            </w:pPr>
            <w:r w:rsidRPr="00E06D4C">
              <w:rPr>
                <w:sz w:val="20"/>
                <w:szCs w:val="20"/>
              </w:rPr>
              <w:t>2026</w:t>
            </w:r>
          </w:p>
        </w:tc>
        <w:tc>
          <w:tcPr>
            <w:tcW w:w="764" w:type="dxa"/>
            <w:tcBorders>
              <w:top w:val="single" w:sz="6" w:space="0" w:color="FFFFFF"/>
              <w:left w:val="single" w:sz="6" w:space="0" w:color="FFFFFF"/>
              <w:bottom w:val="single" w:sz="6" w:space="0" w:color="FFFFFF"/>
              <w:right w:val="single" w:sz="6" w:space="0" w:color="FFFFFF"/>
            </w:tcBorders>
            <w:shd w:val="clear" w:color="auto" w:fill="002060"/>
            <w:tcMar>
              <w:left w:w="105" w:type="dxa"/>
              <w:right w:w="105" w:type="dxa"/>
            </w:tcMar>
            <w:vAlign w:val="center"/>
          </w:tcPr>
          <w:p w14:paraId="1C304BFD" w14:textId="77777777" w:rsidR="00390A4E" w:rsidRPr="00E06D4C" w:rsidRDefault="00390A4E" w:rsidP="00E06D4C">
            <w:pPr>
              <w:pStyle w:val="Tableheading"/>
              <w:spacing w:before="60" w:after="60"/>
              <w:ind w:left="57" w:right="57"/>
              <w:jc w:val="center"/>
              <w:rPr>
                <w:sz w:val="20"/>
                <w:szCs w:val="20"/>
              </w:rPr>
            </w:pPr>
            <w:r w:rsidRPr="00E06D4C">
              <w:rPr>
                <w:sz w:val="20"/>
                <w:szCs w:val="20"/>
              </w:rPr>
              <w:t>2027</w:t>
            </w:r>
          </w:p>
        </w:tc>
        <w:tc>
          <w:tcPr>
            <w:tcW w:w="764" w:type="dxa"/>
            <w:tcBorders>
              <w:top w:val="single" w:sz="6" w:space="0" w:color="FFFFFF"/>
              <w:left w:val="single" w:sz="6" w:space="0" w:color="FFFFFF"/>
              <w:bottom w:val="single" w:sz="6" w:space="0" w:color="FFFFFF"/>
              <w:right w:val="single" w:sz="6" w:space="0" w:color="FFFFFF"/>
            </w:tcBorders>
            <w:shd w:val="clear" w:color="auto" w:fill="002060"/>
            <w:tcMar>
              <w:left w:w="105" w:type="dxa"/>
              <w:right w:w="105" w:type="dxa"/>
            </w:tcMar>
            <w:vAlign w:val="center"/>
          </w:tcPr>
          <w:p w14:paraId="03DFF33E" w14:textId="77777777" w:rsidR="00390A4E" w:rsidRPr="00E06D4C" w:rsidRDefault="00390A4E" w:rsidP="00E06D4C">
            <w:pPr>
              <w:pStyle w:val="Tableheading"/>
              <w:spacing w:before="60" w:after="60"/>
              <w:ind w:left="57" w:right="57"/>
              <w:jc w:val="center"/>
              <w:rPr>
                <w:sz w:val="20"/>
                <w:szCs w:val="20"/>
              </w:rPr>
            </w:pPr>
            <w:r w:rsidRPr="00E06D4C">
              <w:rPr>
                <w:sz w:val="20"/>
                <w:szCs w:val="20"/>
              </w:rPr>
              <w:t>2028</w:t>
            </w:r>
          </w:p>
        </w:tc>
        <w:tc>
          <w:tcPr>
            <w:tcW w:w="764" w:type="dxa"/>
            <w:tcBorders>
              <w:top w:val="single" w:sz="6" w:space="0" w:color="FFFFFF"/>
              <w:left w:val="single" w:sz="6" w:space="0" w:color="FFFFFF"/>
              <w:bottom w:val="single" w:sz="6" w:space="0" w:color="FFFFFF"/>
              <w:right w:val="single" w:sz="6" w:space="0" w:color="FFFFFF"/>
            </w:tcBorders>
            <w:shd w:val="clear" w:color="auto" w:fill="002060"/>
            <w:tcMar>
              <w:left w:w="105" w:type="dxa"/>
              <w:right w:w="105" w:type="dxa"/>
            </w:tcMar>
            <w:vAlign w:val="center"/>
          </w:tcPr>
          <w:p w14:paraId="41834C31" w14:textId="77777777" w:rsidR="00390A4E" w:rsidRPr="00E06D4C" w:rsidRDefault="00390A4E" w:rsidP="00E06D4C">
            <w:pPr>
              <w:pStyle w:val="Tableheading"/>
              <w:spacing w:before="60" w:after="60"/>
              <w:ind w:left="57" w:right="57"/>
              <w:jc w:val="center"/>
              <w:rPr>
                <w:sz w:val="20"/>
                <w:szCs w:val="20"/>
              </w:rPr>
            </w:pPr>
            <w:r w:rsidRPr="00E06D4C">
              <w:rPr>
                <w:sz w:val="20"/>
                <w:szCs w:val="20"/>
              </w:rPr>
              <w:t>2029</w:t>
            </w:r>
          </w:p>
        </w:tc>
        <w:tc>
          <w:tcPr>
            <w:tcW w:w="764" w:type="dxa"/>
            <w:tcBorders>
              <w:top w:val="single" w:sz="6" w:space="0" w:color="FFFFFF"/>
              <w:left w:val="single" w:sz="6" w:space="0" w:color="FFFFFF"/>
              <w:bottom w:val="single" w:sz="6" w:space="0" w:color="FFFFFF"/>
              <w:right w:val="single" w:sz="6" w:space="0" w:color="FFFFFF"/>
            </w:tcBorders>
            <w:shd w:val="clear" w:color="auto" w:fill="002060"/>
            <w:tcMar>
              <w:left w:w="105" w:type="dxa"/>
              <w:right w:w="105" w:type="dxa"/>
            </w:tcMar>
            <w:vAlign w:val="center"/>
          </w:tcPr>
          <w:p w14:paraId="650ED641" w14:textId="77777777" w:rsidR="00390A4E" w:rsidRPr="00E06D4C" w:rsidRDefault="00390A4E" w:rsidP="00E06D4C">
            <w:pPr>
              <w:pStyle w:val="Tableheading"/>
              <w:spacing w:before="60" w:after="60"/>
              <w:ind w:left="57" w:right="57"/>
              <w:jc w:val="center"/>
              <w:rPr>
                <w:sz w:val="20"/>
                <w:szCs w:val="20"/>
              </w:rPr>
            </w:pPr>
            <w:r w:rsidRPr="00E06D4C">
              <w:rPr>
                <w:sz w:val="20"/>
                <w:szCs w:val="20"/>
              </w:rPr>
              <w:t>2030</w:t>
            </w:r>
          </w:p>
        </w:tc>
        <w:tc>
          <w:tcPr>
            <w:tcW w:w="764" w:type="dxa"/>
            <w:tcBorders>
              <w:top w:val="single" w:sz="6" w:space="0" w:color="FFFFFF"/>
              <w:left w:val="single" w:sz="6" w:space="0" w:color="FFFFFF"/>
              <w:bottom w:val="single" w:sz="6" w:space="0" w:color="FFFFFF"/>
              <w:right w:val="single" w:sz="6" w:space="0" w:color="FFFFFF"/>
            </w:tcBorders>
            <w:shd w:val="clear" w:color="auto" w:fill="002060"/>
            <w:tcMar>
              <w:left w:w="105" w:type="dxa"/>
              <w:right w:w="105" w:type="dxa"/>
            </w:tcMar>
            <w:vAlign w:val="center"/>
          </w:tcPr>
          <w:p w14:paraId="053E6F62" w14:textId="77777777" w:rsidR="00390A4E" w:rsidRPr="00E06D4C" w:rsidRDefault="00390A4E" w:rsidP="00E06D4C">
            <w:pPr>
              <w:pStyle w:val="Tableheading"/>
              <w:spacing w:before="60" w:after="60"/>
              <w:ind w:left="57" w:right="57"/>
              <w:jc w:val="center"/>
              <w:rPr>
                <w:sz w:val="20"/>
                <w:szCs w:val="20"/>
              </w:rPr>
            </w:pPr>
            <w:r w:rsidRPr="00E06D4C">
              <w:rPr>
                <w:sz w:val="20"/>
                <w:szCs w:val="20"/>
              </w:rPr>
              <w:t>2031</w:t>
            </w:r>
          </w:p>
        </w:tc>
        <w:tc>
          <w:tcPr>
            <w:tcW w:w="764" w:type="dxa"/>
            <w:tcBorders>
              <w:top w:val="single" w:sz="6" w:space="0" w:color="FFFFFF"/>
              <w:left w:val="single" w:sz="6" w:space="0" w:color="FFFFFF"/>
              <w:bottom w:val="single" w:sz="6" w:space="0" w:color="FFFFFF"/>
              <w:right w:val="single" w:sz="6" w:space="0" w:color="FFFFFF"/>
            </w:tcBorders>
            <w:shd w:val="clear" w:color="auto" w:fill="002060"/>
            <w:vAlign w:val="center"/>
          </w:tcPr>
          <w:p w14:paraId="4743A811" w14:textId="77777777" w:rsidR="00390A4E" w:rsidRPr="00E06D4C" w:rsidRDefault="00390A4E" w:rsidP="00E06D4C">
            <w:pPr>
              <w:pStyle w:val="Tableheading"/>
              <w:spacing w:before="60" w:after="60"/>
              <w:ind w:left="57" w:right="57"/>
              <w:jc w:val="center"/>
              <w:rPr>
                <w:sz w:val="20"/>
                <w:szCs w:val="20"/>
              </w:rPr>
            </w:pPr>
            <w:r w:rsidRPr="00E06D4C">
              <w:rPr>
                <w:sz w:val="20"/>
                <w:szCs w:val="20"/>
              </w:rPr>
              <w:t>2032</w:t>
            </w:r>
          </w:p>
        </w:tc>
        <w:tc>
          <w:tcPr>
            <w:tcW w:w="764" w:type="dxa"/>
            <w:tcBorders>
              <w:top w:val="single" w:sz="6" w:space="0" w:color="FFFFFF"/>
              <w:left w:val="single" w:sz="6" w:space="0" w:color="FFFFFF"/>
              <w:bottom w:val="single" w:sz="6" w:space="0" w:color="FFFFFF"/>
              <w:right w:val="single" w:sz="6" w:space="0" w:color="FFFFFF"/>
            </w:tcBorders>
            <w:shd w:val="clear" w:color="auto" w:fill="002060"/>
            <w:vAlign w:val="center"/>
          </w:tcPr>
          <w:p w14:paraId="09936720" w14:textId="77777777" w:rsidR="00390A4E" w:rsidRPr="00E06D4C" w:rsidRDefault="00390A4E" w:rsidP="00E06D4C">
            <w:pPr>
              <w:pStyle w:val="Tableheading"/>
              <w:spacing w:before="60" w:after="60"/>
              <w:ind w:left="57" w:right="57"/>
              <w:jc w:val="center"/>
              <w:rPr>
                <w:sz w:val="20"/>
                <w:szCs w:val="20"/>
              </w:rPr>
            </w:pPr>
            <w:r w:rsidRPr="00E06D4C">
              <w:rPr>
                <w:sz w:val="20"/>
                <w:szCs w:val="20"/>
              </w:rPr>
              <w:t>2033</w:t>
            </w:r>
          </w:p>
        </w:tc>
        <w:tc>
          <w:tcPr>
            <w:tcW w:w="764" w:type="dxa"/>
            <w:tcBorders>
              <w:top w:val="single" w:sz="6" w:space="0" w:color="FFFFFF"/>
              <w:left w:val="single" w:sz="6" w:space="0" w:color="FFFFFF"/>
              <w:bottom w:val="single" w:sz="6" w:space="0" w:color="FFFFFF"/>
              <w:right w:val="single" w:sz="6" w:space="0" w:color="FFFFFF"/>
            </w:tcBorders>
            <w:shd w:val="clear" w:color="auto" w:fill="002060"/>
            <w:vAlign w:val="center"/>
          </w:tcPr>
          <w:p w14:paraId="76E7ED05" w14:textId="77777777" w:rsidR="00390A4E" w:rsidRPr="00E06D4C" w:rsidRDefault="00390A4E" w:rsidP="00E06D4C">
            <w:pPr>
              <w:pStyle w:val="Tableheading"/>
              <w:spacing w:before="60" w:after="60"/>
              <w:ind w:left="57" w:right="57"/>
              <w:jc w:val="center"/>
              <w:rPr>
                <w:sz w:val="20"/>
                <w:szCs w:val="20"/>
              </w:rPr>
            </w:pPr>
            <w:r w:rsidRPr="00E06D4C">
              <w:rPr>
                <w:sz w:val="20"/>
                <w:szCs w:val="20"/>
              </w:rPr>
              <w:t>2034</w:t>
            </w:r>
          </w:p>
        </w:tc>
        <w:tc>
          <w:tcPr>
            <w:tcW w:w="764" w:type="dxa"/>
            <w:tcBorders>
              <w:top w:val="single" w:sz="6" w:space="0" w:color="FFFFFF"/>
              <w:left w:val="single" w:sz="6" w:space="0" w:color="FFFFFF"/>
              <w:bottom w:val="single" w:sz="6" w:space="0" w:color="FFFFFF"/>
              <w:right w:val="single" w:sz="6" w:space="0" w:color="FFFFFF"/>
            </w:tcBorders>
            <w:shd w:val="clear" w:color="auto" w:fill="002060"/>
            <w:vAlign w:val="center"/>
          </w:tcPr>
          <w:p w14:paraId="3A7CD413" w14:textId="77777777" w:rsidR="00390A4E" w:rsidRPr="00E06D4C" w:rsidRDefault="00390A4E" w:rsidP="00E06D4C">
            <w:pPr>
              <w:pStyle w:val="Tableheading"/>
              <w:spacing w:before="60" w:after="60"/>
              <w:ind w:left="57" w:right="57"/>
              <w:jc w:val="center"/>
              <w:rPr>
                <w:sz w:val="20"/>
                <w:szCs w:val="20"/>
              </w:rPr>
            </w:pPr>
            <w:r w:rsidRPr="00E06D4C">
              <w:rPr>
                <w:sz w:val="20"/>
                <w:szCs w:val="20"/>
              </w:rPr>
              <w:t>2035</w:t>
            </w:r>
          </w:p>
        </w:tc>
      </w:tr>
      <w:tr w:rsidR="00390A4E" w:rsidRPr="00390A4E" w14:paraId="56CB6FA8" w14:textId="77777777" w:rsidTr="00390A4E">
        <w:trPr>
          <w:trHeight w:val="300"/>
        </w:trPr>
        <w:tc>
          <w:tcPr>
            <w:tcW w:w="1705" w:type="dxa"/>
            <w:tcBorders>
              <w:top w:val="single" w:sz="6" w:space="0" w:color="FFFFFF"/>
              <w:left w:val="single" w:sz="6" w:space="0" w:color="FFFFFF"/>
              <w:bottom w:val="single" w:sz="6" w:space="0" w:color="FFFFFF"/>
              <w:right w:val="single" w:sz="6" w:space="0" w:color="FFFFFF"/>
            </w:tcBorders>
            <w:shd w:val="clear" w:color="auto" w:fill="C1DCD5"/>
            <w:tcMar>
              <w:left w:w="105" w:type="dxa"/>
              <w:right w:w="105" w:type="dxa"/>
            </w:tcMar>
            <w:vAlign w:val="bottom"/>
          </w:tcPr>
          <w:p w14:paraId="03AA35E4" w14:textId="5FCC8369" w:rsidR="00390A4E" w:rsidRPr="00E06D4C" w:rsidDel="0036712A" w:rsidRDefault="00390A4E" w:rsidP="00E06D4C">
            <w:pPr>
              <w:pStyle w:val="TableParagraph"/>
              <w:spacing w:before="60" w:after="60"/>
              <w:ind w:left="57" w:right="57"/>
              <w:rPr>
                <w:b/>
              </w:rPr>
            </w:pPr>
            <w:r w:rsidRPr="00E06D4C">
              <w:rPr>
                <w:b/>
              </w:rPr>
              <w:t xml:space="preserve">Updated </w:t>
            </w:r>
            <w:r w:rsidR="00895068" w:rsidRPr="00E06D4C">
              <w:rPr>
                <w:b/>
              </w:rPr>
              <w:t xml:space="preserve">2026 </w:t>
            </w:r>
            <w:r w:rsidRPr="00E06D4C">
              <w:rPr>
                <w:b/>
              </w:rPr>
              <w:t>forecast</w:t>
            </w:r>
          </w:p>
        </w:tc>
        <w:tc>
          <w:tcPr>
            <w:tcW w:w="763" w:type="dxa"/>
            <w:tcBorders>
              <w:top w:val="single" w:sz="6" w:space="0" w:color="FFFFFF"/>
              <w:left w:val="single" w:sz="6" w:space="0" w:color="FFFFFF"/>
              <w:bottom w:val="single" w:sz="6" w:space="0" w:color="FFFFFF"/>
              <w:right w:val="single" w:sz="6" w:space="0" w:color="FFFFFF"/>
            </w:tcBorders>
            <w:shd w:val="clear" w:color="auto" w:fill="E9F5F2"/>
            <w:tcMar>
              <w:left w:w="105" w:type="dxa"/>
              <w:right w:w="105" w:type="dxa"/>
            </w:tcMar>
            <w:vAlign w:val="center"/>
          </w:tcPr>
          <w:p w14:paraId="33E21D35" w14:textId="77777777" w:rsidR="00390A4E" w:rsidRPr="00390A4E" w:rsidRDefault="00390A4E" w:rsidP="00E06D4C">
            <w:pPr>
              <w:pStyle w:val="TableParagraph"/>
              <w:spacing w:before="60" w:after="60"/>
              <w:ind w:left="57" w:right="57"/>
            </w:pPr>
            <w:r w:rsidRPr="00390A4E">
              <w:t xml:space="preserve">4.1 </w:t>
            </w:r>
          </w:p>
        </w:tc>
        <w:tc>
          <w:tcPr>
            <w:tcW w:w="764" w:type="dxa"/>
            <w:tcBorders>
              <w:top w:val="single" w:sz="6" w:space="0" w:color="FFFFFF"/>
              <w:left w:val="single" w:sz="6" w:space="0" w:color="FFFFFF"/>
              <w:bottom w:val="single" w:sz="6" w:space="0" w:color="FFFFFF"/>
              <w:right w:val="single" w:sz="6" w:space="0" w:color="FFFFFF"/>
            </w:tcBorders>
            <w:shd w:val="clear" w:color="auto" w:fill="E9F5F2"/>
            <w:tcMar>
              <w:left w:w="105" w:type="dxa"/>
              <w:right w:w="105" w:type="dxa"/>
            </w:tcMar>
            <w:vAlign w:val="center"/>
          </w:tcPr>
          <w:p w14:paraId="048748A2" w14:textId="77777777" w:rsidR="00390A4E" w:rsidRPr="00390A4E" w:rsidRDefault="00390A4E" w:rsidP="00E06D4C">
            <w:pPr>
              <w:pStyle w:val="TableParagraph"/>
              <w:spacing w:before="60" w:after="60"/>
              <w:ind w:left="57" w:right="57"/>
            </w:pPr>
            <w:r w:rsidRPr="00390A4E">
              <w:t xml:space="preserve">4.0 </w:t>
            </w:r>
          </w:p>
        </w:tc>
        <w:tc>
          <w:tcPr>
            <w:tcW w:w="764" w:type="dxa"/>
            <w:tcBorders>
              <w:top w:val="single" w:sz="6" w:space="0" w:color="FFFFFF"/>
              <w:left w:val="single" w:sz="6" w:space="0" w:color="FFFFFF"/>
              <w:bottom w:val="single" w:sz="6" w:space="0" w:color="FFFFFF"/>
              <w:right w:val="single" w:sz="6" w:space="0" w:color="FFFFFF"/>
            </w:tcBorders>
            <w:shd w:val="clear" w:color="auto" w:fill="E9F5F2"/>
            <w:tcMar>
              <w:left w:w="105" w:type="dxa"/>
              <w:right w:w="105" w:type="dxa"/>
            </w:tcMar>
            <w:vAlign w:val="center"/>
          </w:tcPr>
          <w:p w14:paraId="54FA222D" w14:textId="77777777" w:rsidR="00390A4E" w:rsidRPr="00390A4E" w:rsidRDefault="00390A4E" w:rsidP="00E06D4C">
            <w:pPr>
              <w:pStyle w:val="TableParagraph"/>
              <w:spacing w:before="60" w:after="60"/>
              <w:ind w:left="57" w:right="57"/>
            </w:pPr>
            <w:r w:rsidRPr="00390A4E">
              <w:t xml:space="preserve">3.7 </w:t>
            </w:r>
          </w:p>
        </w:tc>
        <w:tc>
          <w:tcPr>
            <w:tcW w:w="764" w:type="dxa"/>
            <w:tcBorders>
              <w:top w:val="single" w:sz="6" w:space="0" w:color="FFFFFF"/>
              <w:left w:val="single" w:sz="6" w:space="0" w:color="FFFFFF"/>
              <w:bottom w:val="single" w:sz="6" w:space="0" w:color="FFFFFF"/>
              <w:right w:val="single" w:sz="6" w:space="0" w:color="FFFFFF"/>
            </w:tcBorders>
            <w:shd w:val="clear" w:color="auto" w:fill="E9F5F2"/>
            <w:tcMar>
              <w:left w:w="105" w:type="dxa"/>
              <w:right w:w="105" w:type="dxa"/>
            </w:tcMar>
            <w:vAlign w:val="center"/>
          </w:tcPr>
          <w:p w14:paraId="1AFE0273" w14:textId="77777777" w:rsidR="00390A4E" w:rsidRPr="00390A4E" w:rsidRDefault="00390A4E" w:rsidP="00E06D4C">
            <w:pPr>
              <w:pStyle w:val="TableParagraph"/>
              <w:spacing w:before="60" w:after="60"/>
              <w:ind w:left="57" w:right="57"/>
            </w:pPr>
            <w:r w:rsidRPr="00390A4E">
              <w:t xml:space="preserve">3.6 </w:t>
            </w:r>
          </w:p>
        </w:tc>
        <w:tc>
          <w:tcPr>
            <w:tcW w:w="764" w:type="dxa"/>
            <w:tcBorders>
              <w:top w:val="single" w:sz="6" w:space="0" w:color="FFFFFF"/>
              <w:left w:val="single" w:sz="6" w:space="0" w:color="FFFFFF"/>
              <w:bottom w:val="single" w:sz="6" w:space="0" w:color="FFFFFF"/>
              <w:right w:val="single" w:sz="6" w:space="0" w:color="FFFFFF"/>
            </w:tcBorders>
            <w:shd w:val="clear" w:color="auto" w:fill="E9F5F2"/>
            <w:tcMar>
              <w:left w:w="105" w:type="dxa"/>
              <w:right w:w="105" w:type="dxa"/>
            </w:tcMar>
            <w:vAlign w:val="center"/>
          </w:tcPr>
          <w:p w14:paraId="1DB0B10C" w14:textId="77777777" w:rsidR="00390A4E" w:rsidRPr="00390A4E" w:rsidRDefault="00390A4E" w:rsidP="00E06D4C">
            <w:pPr>
              <w:pStyle w:val="TableParagraph"/>
              <w:spacing w:before="60" w:after="60"/>
              <w:ind w:left="57" w:right="57"/>
            </w:pPr>
            <w:r w:rsidRPr="00390A4E">
              <w:t xml:space="preserve">3.6 </w:t>
            </w:r>
          </w:p>
        </w:tc>
        <w:tc>
          <w:tcPr>
            <w:tcW w:w="764" w:type="dxa"/>
            <w:tcBorders>
              <w:top w:val="single" w:sz="6" w:space="0" w:color="FFFFFF"/>
              <w:left w:val="single" w:sz="6" w:space="0" w:color="FFFFFF"/>
              <w:bottom w:val="single" w:sz="6" w:space="0" w:color="FFFFFF"/>
              <w:right w:val="single" w:sz="6" w:space="0" w:color="FFFFFF"/>
            </w:tcBorders>
            <w:shd w:val="clear" w:color="auto" w:fill="E9F5F2"/>
            <w:tcMar>
              <w:left w:w="105" w:type="dxa"/>
              <w:right w:w="105" w:type="dxa"/>
            </w:tcMar>
            <w:vAlign w:val="center"/>
          </w:tcPr>
          <w:p w14:paraId="1E84E6D6" w14:textId="77777777" w:rsidR="00390A4E" w:rsidRPr="00390A4E" w:rsidRDefault="00390A4E" w:rsidP="00E06D4C">
            <w:pPr>
              <w:pStyle w:val="TableParagraph"/>
              <w:spacing w:before="60" w:after="60"/>
              <w:ind w:left="57" w:right="57"/>
            </w:pPr>
            <w:r w:rsidRPr="00390A4E">
              <w:t xml:space="preserve">3.5 </w:t>
            </w:r>
          </w:p>
        </w:tc>
        <w:tc>
          <w:tcPr>
            <w:tcW w:w="764" w:type="dxa"/>
            <w:tcBorders>
              <w:top w:val="single" w:sz="6" w:space="0" w:color="FFFFFF"/>
              <w:left w:val="single" w:sz="6" w:space="0" w:color="FFFFFF"/>
              <w:bottom w:val="single" w:sz="6" w:space="0" w:color="FFFFFF"/>
              <w:right w:val="single" w:sz="6" w:space="0" w:color="FFFFFF"/>
            </w:tcBorders>
            <w:shd w:val="clear" w:color="auto" w:fill="E9F5F2"/>
            <w:vAlign w:val="center"/>
          </w:tcPr>
          <w:p w14:paraId="6B987289" w14:textId="77777777" w:rsidR="00390A4E" w:rsidRPr="00390A4E" w:rsidRDefault="00390A4E" w:rsidP="00E06D4C">
            <w:pPr>
              <w:pStyle w:val="TableParagraph"/>
              <w:spacing w:before="60" w:after="60"/>
              <w:ind w:left="57" w:right="57"/>
            </w:pPr>
            <w:r w:rsidRPr="00390A4E">
              <w:t xml:space="preserve">3.4 </w:t>
            </w:r>
          </w:p>
        </w:tc>
        <w:tc>
          <w:tcPr>
            <w:tcW w:w="764" w:type="dxa"/>
            <w:tcBorders>
              <w:top w:val="single" w:sz="6" w:space="0" w:color="FFFFFF"/>
              <w:left w:val="single" w:sz="6" w:space="0" w:color="FFFFFF"/>
              <w:bottom w:val="single" w:sz="6" w:space="0" w:color="FFFFFF"/>
              <w:right w:val="single" w:sz="6" w:space="0" w:color="FFFFFF"/>
            </w:tcBorders>
            <w:shd w:val="clear" w:color="auto" w:fill="E9F5F2"/>
            <w:vAlign w:val="center"/>
          </w:tcPr>
          <w:p w14:paraId="526EE6F5" w14:textId="77777777" w:rsidR="00390A4E" w:rsidRPr="00390A4E" w:rsidRDefault="00390A4E" w:rsidP="00E06D4C">
            <w:pPr>
              <w:pStyle w:val="TableParagraph"/>
              <w:spacing w:before="60" w:after="60"/>
              <w:ind w:left="57" w:right="57"/>
            </w:pPr>
            <w:r w:rsidRPr="00390A4E">
              <w:t xml:space="preserve">3.3 </w:t>
            </w:r>
          </w:p>
        </w:tc>
        <w:tc>
          <w:tcPr>
            <w:tcW w:w="764" w:type="dxa"/>
            <w:tcBorders>
              <w:top w:val="single" w:sz="6" w:space="0" w:color="FFFFFF"/>
              <w:left w:val="single" w:sz="6" w:space="0" w:color="FFFFFF"/>
              <w:bottom w:val="single" w:sz="6" w:space="0" w:color="FFFFFF"/>
              <w:right w:val="single" w:sz="6" w:space="0" w:color="FFFFFF"/>
            </w:tcBorders>
            <w:shd w:val="clear" w:color="auto" w:fill="E9F5F2"/>
            <w:vAlign w:val="center"/>
          </w:tcPr>
          <w:p w14:paraId="039F2225" w14:textId="77777777" w:rsidR="00390A4E" w:rsidRPr="00390A4E" w:rsidRDefault="00390A4E" w:rsidP="00E06D4C">
            <w:pPr>
              <w:pStyle w:val="TableParagraph"/>
              <w:spacing w:before="60" w:after="60"/>
              <w:ind w:left="57" w:right="57"/>
            </w:pPr>
            <w:r w:rsidRPr="00390A4E">
              <w:t xml:space="preserve">3.2 </w:t>
            </w:r>
          </w:p>
        </w:tc>
        <w:tc>
          <w:tcPr>
            <w:tcW w:w="764" w:type="dxa"/>
            <w:tcBorders>
              <w:top w:val="single" w:sz="6" w:space="0" w:color="FFFFFF"/>
              <w:left w:val="single" w:sz="6" w:space="0" w:color="FFFFFF"/>
              <w:bottom w:val="single" w:sz="6" w:space="0" w:color="FFFFFF"/>
              <w:right w:val="single" w:sz="6" w:space="0" w:color="FFFFFF"/>
            </w:tcBorders>
            <w:shd w:val="clear" w:color="auto" w:fill="E9F5F2"/>
            <w:vAlign w:val="center"/>
          </w:tcPr>
          <w:p w14:paraId="0AED9074" w14:textId="77777777" w:rsidR="00390A4E" w:rsidRPr="00390A4E" w:rsidRDefault="00390A4E" w:rsidP="00E06D4C">
            <w:pPr>
              <w:pStyle w:val="TableParagraph"/>
              <w:spacing w:before="60" w:after="60"/>
              <w:ind w:left="57" w:right="57"/>
            </w:pPr>
            <w:r w:rsidRPr="00390A4E">
              <w:t xml:space="preserve">3.1 </w:t>
            </w:r>
          </w:p>
        </w:tc>
      </w:tr>
      <w:tr w:rsidR="00390A4E" w:rsidRPr="00390A4E" w14:paraId="5D685334" w14:textId="77777777" w:rsidTr="00390A4E">
        <w:trPr>
          <w:trHeight w:val="300"/>
        </w:trPr>
        <w:tc>
          <w:tcPr>
            <w:tcW w:w="1705" w:type="dxa"/>
            <w:tcBorders>
              <w:top w:val="single" w:sz="6" w:space="0" w:color="FFFFFF"/>
              <w:left w:val="single" w:sz="6" w:space="0" w:color="FFFFFF"/>
              <w:bottom w:val="single" w:sz="6" w:space="0" w:color="FFFFFF"/>
              <w:right w:val="single" w:sz="6" w:space="0" w:color="FFFFFF"/>
            </w:tcBorders>
            <w:shd w:val="clear" w:color="auto" w:fill="C1DCD5"/>
            <w:tcMar>
              <w:left w:w="105" w:type="dxa"/>
              <w:right w:w="105" w:type="dxa"/>
            </w:tcMar>
            <w:vAlign w:val="bottom"/>
          </w:tcPr>
          <w:p w14:paraId="55875EBD" w14:textId="77777777" w:rsidR="00390A4E" w:rsidRPr="00E06D4C" w:rsidRDefault="00390A4E" w:rsidP="00E06D4C">
            <w:pPr>
              <w:pStyle w:val="TableParagraph"/>
              <w:spacing w:before="60" w:after="60"/>
              <w:ind w:left="57" w:right="57"/>
              <w:rPr>
                <w:b/>
              </w:rPr>
            </w:pPr>
            <w:r w:rsidRPr="00E06D4C">
              <w:rPr>
                <w:b/>
              </w:rPr>
              <w:t>Previous 2025 forecast</w:t>
            </w:r>
          </w:p>
        </w:tc>
        <w:tc>
          <w:tcPr>
            <w:tcW w:w="763" w:type="dxa"/>
            <w:tcBorders>
              <w:top w:val="single" w:sz="6" w:space="0" w:color="FFFFFF"/>
              <w:left w:val="single" w:sz="6" w:space="0" w:color="FFFFFF"/>
              <w:bottom w:val="single" w:sz="6" w:space="0" w:color="FFFFFF"/>
              <w:right w:val="single" w:sz="6" w:space="0" w:color="FFFFFF"/>
            </w:tcBorders>
            <w:shd w:val="clear" w:color="auto" w:fill="E9F5F2"/>
            <w:tcMar>
              <w:left w:w="105" w:type="dxa"/>
              <w:right w:w="105" w:type="dxa"/>
            </w:tcMar>
            <w:vAlign w:val="center"/>
          </w:tcPr>
          <w:p w14:paraId="454A6947" w14:textId="77777777" w:rsidR="00390A4E" w:rsidRPr="00390A4E" w:rsidRDefault="00390A4E" w:rsidP="00E06D4C">
            <w:pPr>
              <w:pStyle w:val="TableParagraph"/>
              <w:spacing w:before="60" w:after="60"/>
              <w:ind w:left="57" w:right="57"/>
            </w:pPr>
            <w:r w:rsidRPr="00390A4E">
              <w:t xml:space="preserve">5.1 </w:t>
            </w:r>
          </w:p>
        </w:tc>
        <w:tc>
          <w:tcPr>
            <w:tcW w:w="764" w:type="dxa"/>
            <w:tcBorders>
              <w:top w:val="single" w:sz="6" w:space="0" w:color="FFFFFF"/>
              <w:left w:val="single" w:sz="6" w:space="0" w:color="FFFFFF"/>
              <w:bottom w:val="single" w:sz="6" w:space="0" w:color="FFFFFF"/>
              <w:right w:val="single" w:sz="6" w:space="0" w:color="FFFFFF"/>
            </w:tcBorders>
            <w:shd w:val="clear" w:color="auto" w:fill="E9F5F2"/>
            <w:tcMar>
              <w:left w:w="105" w:type="dxa"/>
              <w:right w:w="105" w:type="dxa"/>
            </w:tcMar>
            <w:vAlign w:val="center"/>
          </w:tcPr>
          <w:p w14:paraId="52B5A2DB" w14:textId="77777777" w:rsidR="00390A4E" w:rsidRPr="00390A4E" w:rsidRDefault="00390A4E" w:rsidP="00E06D4C">
            <w:pPr>
              <w:pStyle w:val="TableParagraph"/>
              <w:spacing w:before="60" w:after="60"/>
              <w:ind w:left="57" w:right="57"/>
            </w:pPr>
            <w:r w:rsidRPr="00390A4E">
              <w:t xml:space="preserve">5.1 </w:t>
            </w:r>
          </w:p>
        </w:tc>
        <w:tc>
          <w:tcPr>
            <w:tcW w:w="764" w:type="dxa"/>
            <w:tcBorders>
              <w:top w:val="single" w:sz="6" w:space="0" w:color="FFFFFF"/>
              <w:left w:val="single" w:sz="6" w:space="0" w:color="FFFFFF"/>
              <w:bottom w:val="single" w:sz="6" w:space="0" w:color="FFFFFF"/>
              <w:right w:val="single" w:sz="6" w:space="0" w:color="FFFFFF"/>
            </w:tcBorders>
            <w:shd w:val="clear" w:color="auto" w:fill="E9F5F2"/>
            <w:tcMar>
              <w:left w:w="105" w:type="dxa"/>
              <w:right w:w="105" w:type="dxa"/>
            </w:tcMar>
            <w:vAlign w:val="center"/>
          </w:tcPr>
          <w:p w14:paraId="1D359223" w14:textId="77777777" w:rsidR="00390A4E" w:rsidRPr="00390A4E" w:rsidRDefault="00390A4E" w:rsidP="00E06D4C">
            <w:pPr>
              <w:pStyle w:val="TableParagraph"/>
              <w:spacing w:before="60" w:after="60"/>
              <w:ind w:left="57" w:right="57"/>
            </w:pPr>
            <w:r w:rsidRPr="00390A4E">
              <w:t xml:space="preserve">4.6 </w:t>
            </w:r>
          </w:p>
        </w:tc>
        <w:tc>
          <w:tcPr>
            <w:tcW w:w="764" w:type="dxa"/>
            <w:tcBorders>
              <w:top w:val="single" w:sz="6" w:space="0" w:color="FFFFFF"/>
              <w:left w:val="single" w:sz="6" w:space="0" w:color="FFFFFF"/>
              <w:bottom w:val="single" w:sz="6" w:space="0" w:color="FFFFFF"/>
              <w:right w:val="single" w:sz="6" w:space="0" w:color="FFFFFF"/>
            </w:tcBorders>
            <w:shd w:val="clear" w:color="auto" w:fill="E9F5F2"/>
            <w:tcMar>
              <w:left w:w="105" w:type="dxa"/>
              <w:right w:w="105" w:type="dxa"/>
            </w:tcMar>
            <w:vAlign w:val="center"/>
          </w:tcPr>
          <w:p w14:paraId="2B3415BE" w14:textId="77777777" w:rsidR="00390A4E" w:rsidRPr="00390A4E" w:rsidRDefault="00390A4E" w:rsidP="00E06D4C">
            <w:pPr>
              <w:pStyle w:val="TableParagraph"/>
              <w:spacing w:before="60" w:after="60"/>
              <w:ind w:left="57" w:right="57"/>
            </w:pPr>
            <w:r w:rsidRPr="00390A4E">
              <w:t xml:space="preserve">4.5 </w:t>
            </w:r>
          </w:p>
        </w:tc>
        <w:tc>
          <w:tcPr>
            <w:tcW w:w="764" w:type="dxa"/>
            <w:tcBorders>
              <w:top w:val="single" w:sz="6" w:space="0" w:color="FFFFFF"/>
              <w:left w:val="single" w:sz="6" w:space="0" w:color="FFFFFF"/>
              <w:bottom w:val="single" w:sz="6" w:space="0" w:color="FFFFFF"/>
              <w:right w:val="single" w:sz="6" w:space="0" w:color="FFFFFF"/>
            </w:tcBorders>
            <w:shd w:val="clear" w:color="auto" w:fill="E9F5F2"/>
            <w:tcMar>
              <w:left w:w="105" w:type="dxa"/>
              <w:right w:w="105" w:type="dxa"/>
            </w:tcMar>
            <w:vAlign w:val="center"/>
          </w:tcPr>
          <w:p w14:paraId="0832E960" w14:textId="77777777" w:rsidR="00390A4E" w:rsidRPr="00390A4E" w:rsidRDefault="00390A4E" w:rsidP="00E06D4C">
            <w:pPr>
              <w:pStyle w:val="TableParagraph"/>
              <w:spacing w:before="60" w:after="60"/>
              <w:ind w:left="57" w:right="57"/>
            </w:pPr>
            <w:r w:rsidRPr="00390A4E">
              <w:t xml:space="preserve">4.0 </w:t>
            </w:r>
          </w:p>
        </w:tc>
        <w:tc>
          <w:tcPr>
            <w:tcW w:w="764" w:type="dxa"/>
            <w:tcBorders>
              <w:top w:val="single" w:sz="6" w:space="0" w:color="FFFFFF"/>
              <w:left w:val="single" w:sz="6" w:space="0" w:color="FFFFFF"/>
              <w:bottom w:val="single" w:sz="6" w:space="0" w:color="FFFFFF"/>
              <w:right w:val="single" w:sz="6" w:space="0" w:color="FFFFFF"/>
            </w:tcBorders>
            <w:shd w:val="clear" w:color="auto" w:fill="E9F5F2"/>
            <w:tcMar>
              <w:left w:w="105" w:type="dxa"/>
              <w:right w:w="105" w:type="dxa"/>
            </w:tcMar>
            <w:vAlign w:val="center"/>
          </w:tcPr>
          <w:p w14:paraId="242FC911" w14:textId="77777777" w:rsidR="00390A4E" w:rsidRPr="00390A4E" w:rsidRDefault="00390A4E" w:rsidP="00E06D4C">
            <w:pPr>
              <w:pStyle w:val="TableParagraph"/>
              <w:spacing w:before="60" w:after="60"/>
              <w:ind w:left="57" w:right="57"/>
            </w:pPr>
            <w:r w:rsidRPr="00390A4E">
              <w:t xml:space="preserve">3.9 </w:t>
            </w:r>
          </w:p>
        </w:tc>
        <w:tc>
          <w:tcPr>
            <w:tcW w:w="764" w:type="dxa"/>
            <w:tcBorders>
              <w:top w:val="single" w:sz="6" w:space="0" w:color="FFFFFF"/>
              <w:left w:val="single" w:sz="6" w:space="0" w:color="FFFFFF"/>
              <w:bottom w:val="single" w:sz="6" w:space="0" w:color="FFFFFF"/>
              <w:right w:val="single" w:sz="6" w:space="0" w:color="FFFFFF"/>
            </w:tcBorders>
            <w:shd w:val="clear" w:color="auto" w:fill="E9F5F2"/>
            <w:vAlign w:val="center"/>
          </w:tcPr>
          <w:p w14:paraId="584145B3" w14:textId="77777777" w:rsidR="00390A4E" w:rsidRPr="00390A4E" w:rsidRDefault="00390A4E" w:rsidP="00E06D4C">
            <w:pPr>
              <w:pStyle w:val="TableParagraph"/>
              <w:spacing w:before="60" w:after="60"/>
              <w:ind w:left="57" w:right="57"/>
            </w:pPr>
            <w:r w:rsidRPr="00390A4E">
              <w:t xml:space="preserve">3.8 </w:t>
            </w:r>
          </w:p>
        </w:tc>
        <w:tc>
          <w:tcPr>
            <w:tcW w:w="764" w:type="dxa"/>
            <w:tcBorders>
              <w:top w:val="single" w:sz="6" w:space="0" w:color="FFFFFF"/>
              <w:left w:val="single" w:sz="6" w:space="0" w:color="FFFFFF"/>
              <w:bottom w:val="single" w:sz="6" w:space="0" w:color="FFFFFF"/>
              <w:right w:val="single" w:sz="6" w:space="0" w:color="FFFFFF"/>
            </w:tcBorders>
            <w:shd w:val="clear" w:color="auto" w:fill="E9F5F2"/>
            <w:vAlign w:val="center"/>
          </w:tcPr>
          <w:p w14:paraId="5B1BCA87" w14:textId="77777777" w:rsidR="00390A4E" w:rsidRPr="00390A4E" w:rsidRDefault="00390A4E" w:rsidP="00E06D4C">
            <w:pPr>
              <w:pStyle w:val="TableParagraph"/>
              <w:spacing w:before="60" w:after="60"/>
              <w:ind w:left="57" w:right="57"/>
            </w:pPr>
            <w:r w:rsidRPr="00390A4E">
              <w:t xml:space="preserve">3.6 </w:t>
            </w:r>
          </w:p>
        </w:tc>
        <w:tc>
          <w:tcPr>
            <w:tcW w:w="764" w:type="dxa"/>
            <w:tcBorders>
              <w:top w:val="single" w:sz="6" w:space="0" w:color="FFFFFF"/>
              <w:left w:val="single" w:sz="6" w:space="0" w:color="FFFFFF"/>
              <w:bottom w:val="single" w:sz="6" w:space="0" w:color="FFFFFF"/>
              <w:right w:val="single" w:sz="6" w:space="0" w:color="FFFFFF"/>
            </w:tcBorders>
            <w:shd w:val="clear" w:color="auto" w:fill="E9F5F2"/>
            <w:vAlign w:val="center"/>
          </w:tcPr>
          <w:p w14:paraId="54358977" w14:textId="77777777" w:rsidR="00390A4E" w:rsidRPr="00390A4E" w:rsidRDefault="00390A4E" w:rsidP="00E06D4C">
            <w:pPr>
              <w:pStyle w:val="TableParagraph"/>
              <w:spacing w:before="60" w:after="60"/>
              <w:ind w:left="57" w:right="57"/>
            </w:pPr>
            <w:r w:rsidRPr="00390A4E">
              <w:t xml:space="preserve">3.5 </w:t>
            </w:r>
          </w:p>
        </w:tc>
        <w:tc>
          <w:tcPr>
            <w:tcW w:w="764" w:type="dxa"/>
            <w:tcBorders>
              <w:top w:val="single" w:sz="6" w:space="0" w:color="FFFFFF"/>
              <w:left w:val="single" w:sz="6" w:space="0" w:color="FFFFFF"/>
              <w:bottom w:val="single" w:sz="6" w:space="0" w:color="FFFFFF"/>
              <w:right w:val="single" w:sz="6" w:space="0" w:color="FFFFFF"/>
            </w:tcBorders>
            <w:shd w:val="clear" w:color="auto" w:fill="E9F5F2"/>
            <w:vAlign w:val="center"/>
          </w:tcPr>
          <w:p w14:paraId="24E76DB4" w14:textId="77777777" w:rsidR="00390A4E" w:rsidRPr="00390A4E" w:rsidRDefault="00390A4E" w:rsidP="00E06D4C">
            <w:pPr>
              <w:pStyle w:val="TableParagraph"/>
              <w:spacing w:before="60" w:after="60"/>
              <w:ind w:left="57" w:right="57"/>
            </w:pPr>
            <w:r w:rsidRPr="00390A4E">
              <w:t xml:space="preserve">3.4 </w:t>
            </w:r>
          </w:p>
        </w:tc>
      </w:tr>
      <w:tr w:rsidR="00390A4E" w:rsidRPr="00390A4E" w14:paraId="19CBF69B" w14:textId="77777777" w:rsidTr="00390A4E">
        <w:trPr>
          <w:trHeight w:val="300"/>
        </w:trPr>
        <w:tc>
          <w:tcPr>
            <w:tcW w:w="1705" w:type="dxa"/>
            <w:tcBorders>
              <w:top w:val="single" w:sz="6" w:space="0" w:color="FFFFFF"/>
              <w:left w:val="single" w:sz="6" w:space="0" w:color="FFFFFF"/>
              <w:bottom w:val="single" w:sz="6" w:space="0" w:color="FFFFFF"/>
              <w:right w:val="single" w:sz="6" w:space="0" w:color="FFFFFF"/>
            </w:tcBorders>
            <w:shd w:val="clear" w:color="auto" w:fill="C1DCD5"/>
            <w:tcMar>
              <w:left w:w="105" w:type="dxa"/>
              <w:right w:w="105" w:type="dxa"/>
            </w:tcMar>
            <w:vAlign w:val="bottom"/>
          </w:tcPr>
          <w:p w14:paraId="064CD04E" w14:textId="77777777" w:rsidR="00390A4E" w:rsidRPr="00E06D4C" w:rsidRDefault="00390A4E" w:rsidP="00E06D4C">
            <w:pPr>
              <w:pStyle w:val="TableParagraph"/>
              <w:spacing w:before="60" w:after="60"/>
              <w:ind w:left="57" w:right="57"/>
              <w:rPr>
                <w:b/>
              </w:rPr>
            </w:pPr>
            <w:r w:rsidRPr="00E06D4C">
              <w:rPr>
                <w:b/>
              </w:rPr>
              <w:t>Difference</w:t>
            </w:r>
          </w:p>
        </w:tc>
        <w:tc>
          <w:tcPr>
            <w:tcW w:w="763" w:type="dxa"/>
            <w:tcBorders>
              <w:top w:val="single" w:sz="6" w:space="0" w:color="FFFFFF"/>
              <w:left w:val="single" w:sz="6" w:space="0" w:color="FFFFFF"/>
              <w:bottom w:val="single" w:sz="6" w:space="0" w:color="FFFFFF"/>
              <w:right w:val="single" w:sz="6" w:space="0" w:color="FFFFFF"/>
            </w:tcBorders>
            <w:shd w:val="clear" w:color="auto" w:fill="E9F5F2"/>
            <w:tcMar>
              <w:left w:w="105" w:type="dxa"/>
              <w:right w:w="105" w:type="dxa"/>
            </w:tcMar>
            <w:vAlign w:val="bottom"/>
          </w:tcPr>
          <w:p w14:paraId="4BDFEEB7" w14:textId="77777777" w:rsidR="00390A4E" w:rsidRPr="00390A4E" w:rsidRDefault="00390A4E" w:rsidP="00E06D4C">
            <w:pPr>
              <w:pStyle w:val="TableParagraph"/>
              <w:spacing w:before="60" w:after="60"/>
              <w:ind w:left="57" w:right="57"/>
            </w:pPr>
            <w:r w:rsidRPr="00390A4E">
              <w:t xml:space="preserve">-1.1 </w:t>
            </w:r>
          </w:p>
        </w:tc>
        <w:tc>
          <w:tcPr>
            <w:tcW w:w="764" w:type="dxa"/>
            <w:tcBorders>
              <w:top w:val="single" w:sz="6" w:space="0" w:color="FFFFFF"/>
              <w:left w:val="single" w:sz="6" w:space="0" w:color="FFFFFF"/>
              <w:bottom w:val="single" w:sz="6" w:space="0" w:color="FFFFFF"/>
              <w:right w:val="single" w:sz="6" w:space="0" w:color="FFFFFF"/>
            </w:tcBorders>
            <w:shd w:val="clear" w:color="auto" w:fill="E9F5F2"/>
            <w:tcMar>
              <w:left w:w="105" w:type="dxa"/>
              <w:right w:w="105" w:type="dxa"/>
            </w:tcMar>
            <w:vAlign w:val="bottom"/>
          </w:tcPr>
          <w:p w14:paraId="68D5CD07" w14:textId="77777777" w:rsidR="00390A4E" w:rsidRPr="00390A4E" w:rsidRDefault="00390A4E" w:rsidP="00E06D4C">
            <w:pPr>
              <w:pStyle w:val="TableParagraph"/>
              <w:spacing w:before="60" w:after="60"/>
              <w:ind w:left="57" w:right="57"/>
            </w:pPr>
            <w:r w:rsidRPr="00390A4E">
              <w:t xml:space="preserve">-1.1 </w:t>
            </w:r>
          </w:p>
        </w:tc>
        <w:tc>
          <w:tcPr>
            <w:tcW w:w="764" w:type="dxa"/>
            <w:tcBorders>
              <w:top w:val="single" w:sz="6" w:space="0" w:color="FFFFFF"/>
              <w:left w:val="single" w:sz="6" w:space="0" w:color="FFFFFF"/>
              <w:bottom w:val="single" w:sz="6" w:space="0" w:color="FFFFFF"/>
              <w:right w:val="single" w:sz="6" w:space="0" w:color="FFFFFF"/>
            </w:tcBorders>
            <w:shd w:val="clear" w:color="auto" w:fill="E9F5F2"/>
            <w:tcMar>
              <w:left w:w="105" w:type="dxa"/>
              <w:right w:w="105" w:type="dxa"/>
            </w:tcMar>
            <w:vAlign w:val="bottom"/>
          </w:tcPr>
          <w:p w14:paraId="6D276A9E" w14:textId="77777777" w:rsidR="00390A4E" w:rsidRPr="00390A4E" w:rsidRDefault="00390A4E" w:rsidP="00E06D4C">
            <w:pPr>
              <w:pStyle w:val="TableParagraph"/>
              <w:spacing w:before="60" w:after="60"/>
              <w:ind w:left="57" w:right="57"/>
            </w:pPr>
            <w:r w:rsidRPr="00390A4E">
              <w:t xml:space="preserve">-0.9 </w:t>
            </w:r>
          </w:p>
        </w:tc>
        <w:tc>
          <w:tcPr>
            <w:tcW w:w="764" w:type="dxa"/>
            <w:tcBorders>
              <w:top w:val="single" w:sz="6" w:space="0" w:color="FFFFFF"/>
              <w:left w:val="single" w:sz="6" w:space="0" w:color="FFFFFF"/>
              <w:bottom w:val="single" w:sz="6" w:space="0" w:color="FFFFFF"/>
              <w:right w:val="single" w:sz="6" w:space="0" w:color="FFFFFF"/>
            </w:tcBorders>
            <w:shd w:val="clear" w:color="auto" w:fill="E9F5F2"/>
            <w:tcMar>
              <w:left w:w="105" w:type="dxa"/>
              <w:right w:w="105" w:type="dxa"/>
            </w:tcMar>
            <w:vAlign w:val="bottom"/>
          </w:tcPr>
          <w:p w14:paraId="1C3230E1" w14:textId="77777777" w:rsidR="00390A4E" w:rsidRPr="00390A4E" w:rsidRDefault="00390A4E" w:rsidP="00E06D4C">
            <w:pPr>
              <w:pStyle w:val="TableParagraph"/>
              <w:spacing w:before="60" w:after="60"/>
              <w:ind w:left="57" w:right="57"/>
            </w:pPr>
            <w:r w:rsidRPr="00390A4E">
              <w:t xml:space="preserve">-0.9 </w:t>
            </w:r>
          </w:p>
        </w:tc>
        <w:tc>
          <w:tcPr>
            <w:tcW w:w="764" w:type="dxa"/>
            <w:tcBorders>
              <w:top w:val="single" w:sz="6" w:space="0" w:color="FFFFFF"/>
              <w:left w:val="single" w:sz="6" w:space="0" w:color="FFFFFF"/>
              <w:bottom w:val="single" w:sz="6" w:space="0" w:color="FFFFFF"/>
              <w:right w:val="single" w:sz="6" w:space="0" w:color="FFFFFF"/>
            </w:tcBorders>
            <w:shd w:val="clear" w:color="auto" w:fill="E9F5F2"/>
            <w:tcMar>
              <w:left w:w="105" w:type="dxa"/>
              <w:right w:w="105" w:type="dxa"/>
            </w:tcMar>
            <w:vAlign w:val="bottom"/>
          </w:tcPr>
          <w:p w14:paraId="4C89D66B" w14:textId="77777777" w:rsidR="00390A4E" w:rsidRPr="00390A4E" w:rsidRDefault="00390A4E" w:rsidP="00E06D4C">
            <w:pPr>
              <w:pStyle w:val="TableParagraph"/>
              <w:spacing w:before="60" w:after="60"/>
              <w:ind w:left="57" w:right="57"/>
            </w:pPr>
            <w:r w:rsidRPr="00390A4E">
              <w:t xml:space="preserve">-0.4 </w:t>
            </w:r>
          </w:p>
        </w:tc>
        <w:tc>
          <w:tcPr>
            <w:tcW w:w="764" w:type="dxa"/>
            <w:tcBorders>
              <w:top w:val="single" w:sz="6" w:space="0" w:color="FFFFFF"/>
              <w:left w:val="single" w:sz="6" w:space="0" w:color="FFFFFF"/>
              <w:bottom w:val="single" w:sz="6" w:space="0" w:color="FFFFFF"/>
              <w:right w:val="single" w:sz="6" w:space="0" w:color="FFFFFF"/>
            </w:tcBorders>
            <w:shd w:val="clear" w:color="auto" w:fill="E9F5F2"/>
            <w:tcMar>
              <w:left w:w="105" w:type="dxa"/>
              <w:right w:w="105" w:type="dxa"/>
            </w:tcMar>
            <w:vAlign w:val="bottom"/>
          </w:tcPr>
          <w:p w14:paraId="5EF3A6ED" w14:textId="77777777" w:rsidR="00390A4E" w:rsidRPr="00390A4E" w:rsidRDefault="00390A4E" w:rsidP="00E06D4C">
            <w:pPr>
              <w:pStyle w:val="TableParagraph"/>
              <w:spacing w:before="60" w:after="60"/>
              <w:ind w:left="57" w:right="57"/>
            </w:pPr>
            <w:r w:rsidRPr="00390A4E">
              <w:t xml:space="preserve">-0.4 </w:t>
            </w:r>
          </w:p>
        </w:tc>
        <w:tc>
          <w:tcPr>
            <w:tcW w:w="764" w:type="dxa"/>
            <w:tcBorders>
              <w:top w:val="single" w:sz="6" w:space="0" w:color="FFFFFF"/>
              <w:left w:val="single" w:sz="6" w:space="0" w:color="FFFFFF"/>
              <w:bottom w:val="single" w:sz="6" w:space="0" w:color="FFFFFF"/>
              <w:right w:val="single" w:sz="6" w:space="0" w:color="FFFFFF"/>
            </w:tcBorders>
            <w:shd w:val="clear" w:color="auto" w:fill="E9F5F2"/>
            <w:vAlign w:val="bottom"/>
          </w:tcPr>
          <w:p w14:paraId="4457CD0E" w14:textId="77777777" w:rsidR="00390A4E" w:rsidRPr="00390A4E" w:rsidRDefault="00390A4E" w:rsidP="00E06D4C">
            <w:pPr>
              <w:pStyle w:val="TableParagraph"/>
              <w:spacing w:before="60" w:after="60"/>
              <w:ind w:left="57" w:right="57"/>
            </w:pPr>
            <w:r w:rsidRPr="00390A4E">
              <w:t xml:space="preserve">-0.4 </w:t>
            </w:r>
          </w:p>
        </w:tc>
        <w:tc>
          <w:tcPr>
            <w:tcW w:w="764" w:type="dxa"/>
            <w:tcBorders>
              <w:top w:val="single" w:sz="6" w:space="0" w:color="FFFFFF"/>
              <w:left w:val="single" w:sz="6" w:space="0" w:color="FFFFFF"/>
              <w:bottom w:val="single" w:sz="6" w:space="0" w:color="FFFFFF"/>
              <w:right w:val="single" w:sz="6" w:space="0" w:color="FFFFFF"/>
            </w:tcBorders>
            <w:shd w:val="clear" w:color="auto" w:fill="E9F5F2"/>
            <w:vAlign w:val="bottom"/>
          </w:tcPr>
          <w:p w14:paraId="77626EB2" w14:textId="77777777" w:rsidR="00390A4E" w:rsidRPr="00390A4E" w:rsidRDefault="00390A4E" w:rsidP="00E06D4C">
            <w:pPr>
              <w:pStyle w:val="TableParagraph"/>
              <w:spacing w:before="60" w:after="60"/>
              <w:ind w:left="57" w:right="57"/>
            </w:pPr>
            <w:r w:rsidRPr="00390A4E">
              <w:t xml:space="preserve">-0.3 </w:t>
            </w:r>
          </w:p>
        </w:tc>
        <w:tc>
          <w:tcPr>
            <w:tcW w:w="764" w:type="dxa"/>
            <w:tcBorders>
              <w:top w:val="single" w:sz="6" w:space="0" w:color="FFFFFF"/>
              <w:left w:val="single" w:sz="6" w:space="0" w:color="FFFFFF"/>
              <w:bottom w:val="single" w:sz="6" w:space="0" w:color="FFFFFF"/>
              <w:right w:val="single" w:sz="6" w:space="0" w:color="FFFFFF"/>
            </w:tcBorders>
            <w:shd w:val="clear" w:color="auto" w:fill="E9F5F2"/>
            <w:vAlign w:val="bottom"/>
          </w:tcPr>
          <w:p w14:paraId="163D8FFD" w14:textId="77777777" w:rsidR="00390A4E" w:rsidRPr="00390A4E" w:rsidRDefault="00390A4E" w:rsidP="00E06D4C">
            <w:pPr>
              <w:pStyle w:val="TableParagraph"/>
              <w:spacing w:before="60" w:after="60"/>
              <w:ind w:left="57" w:right="57"/>
            </w:pPr>
            <w:r w:rsidRPr="00390A4E">
              <w:t xml:space="preserve">-0.3 </w:t>
            </w:r>
          </w:p>
        </w:tc>
        <w:tc>
          <w:tcPr>
            <w:tcW w:w="764" w:type="dxa"/>
            <w:tcBorders>
              <w:top w:val="single" w:sz="6" w:space="0" w:color="FFFFFF"/>
              <w:left w:val="single" w:sz="6" w:space="0" w:color="FFFFFF"/>
              <w:bottom w:val="single" w:sz="6" w:space="0" w:color="FFFFFF"/>
              <w:right w:val="single" w:sz="6" w:space="0" w:color="FFFFFF"/>
            </w:tcBorders>
            <w:shd w:val="clear" w:color="auto" w:fill="E9F5F2"/>
            <w:vAlign w:val="bottom"/>
          </w:tcPr>
          <w:p w14:paraId="52C990FC" w14:textId="4D65B8F4" w:rsidR="00390A4E" w:rsidRPr="00390A4E" w:rsidRDefault="00390A4E" w:rsidP="00E06D4C">
            <w:pPr>
              <w:pStyle w:val="TableParagraph"/>
              <w:spacing w:before="60" w:after="60"/>
              <w:ind w:left="57" w:right="57"/>
            </w:pPr>
            <w:r w:rsidRPr="00390A4E">
              <w:t xml:space="preserve">-0.3 </w:t>
            </w:r>
          </w:p>
        </w:tc>
      </w:tr>
    </w:tbl>
    <w:p w14:paraId="716BF258" w14:textId="5F9CC070" w:rsidR="00AB701C" w:rsidRDefault="00377F35" w:rsidP="00377F35">
      <w:pPr>
        <w:pStyle w:val="Heading1nonumber"/>
      </w:pPr>
      <w:bookmarkStart w:id="31" w:name="_Toc227603119"/>
      <w:r>
        <w:t>Step 3: Estimate surplus range</w:t>
      </w:r>
      <w:bookmarkEnd w:id="31"/>
    </w:p>
    <w:p w14:paraId="2672F4D7" w14:textId="77777777" w:rsidR="000521B5" w:rsidRDefault="000521B5" w:rsidP="000521B5">
      <w:pPr>
        <w:pStyle w:val="BodyText"/>
      </w:pPr>
      <w:r>
        <w:t xml:space="preserve">Step 3 involves estimating the volume of surplus units currently held in private accounts. We calculate a central estimate, as well as high and low estimates. This provides our estimated surplus range. </w:t>
      </w:r>
    </w:p>
    <w:p w14:paraId="2327AEC1" w14:textId="05E719CE" w:rsidR="000521B5" w:rsidRDefault="00655E04" w:rsidP="000521B5">
      <w:pPr>
        <w:pStyle w:val="BodyText"/>
      </w:pPr>
      <w:r>
        <w:t xml:space="preserve">We calculate the unit surplus </w:t>
      </w:r>
      <w:r w:rsidR="000521B5">
        <w:t xml:space="preserve">(the surplus) by taking the total units held in private accounts (the stockpile) and </w:t>
      </w:r>
      <w:r w:rsidR="00A029CE">
        <w:t xml:space="preserve">subtracting </w:t>
      </w:r>
      <w:r w:rsidR="000521B5">
        <w:t xml:space="preserve">our estimates of non-surplus unit categories. Non-surplus units are those we assess as unlikely to be available for use in the NZ ETS to enable emissions above emissions budgets. </w:t>
      </w:r>
    </w:p>
    <w:p w14:paraId="4467E300" w14:textId="77777777" w:rsidR="000521B5" w:rsidRDefault="000521B5" w:rsidP="000521B5">
      <w:pPr>
        <w:pStyle w:val="BodyText"/>
      </w:pPr>
      <w:r>
        <w:t>We base our surplus range and central estimate on four categories of non-surplus units:</w:t>
      </w:r>
    </w:p>
    <w:p w14:paraId="607C5C60" w14:textId="75F0C83D" w:rsidR="000521B5" w:rsidRDefault="000521B5" w:rsidP="000521B5">
      <w:pPr>
        <w:pStyle w:val="Bodybullets"/>
      </w:pPr>
      <w:r>
        <w:t xml:space="preserve">pre-1990 forest allocation units held long-term </w:t>
      </w:r>
    </w:p>
    <w:p w14:paraId="1DF0C5DD" w14:textId="35E594C4" w:rsidR="000521B5" w:rsidRDefault="000521B5" w:rsidP="000521B5">
      <w:pPr>
        <w:pStyle w:val="Bodybullets"/>
      </w:pPr>
      <w:r>
        <w:t xml:space="preserve">units held for post-1989 forest stock change harvest liabilities </w:t>
      </w:r>
    </w:p>
    <w:p w14:paraId="38E373D8" w14:textId="61A7C805" w:rsidR="000521B5" w:rsidRDefault="000521B5" w:rsidP="000521B5">
      <w:pPr>
        <w:pStyle w:val="Bodybullets"/>
      </w:pPr>
      <w:r>
        <w:t xml:space="preserve">units held for </w:t>
      </w:r>
      <w:r w:rsidR="00A155EC">
        <w:t xml:space="preserve">emitters’ forward </w:t>
      </w:r>
      <w:r>
        <w:t xml:space="preserve">hedging </w:t>
      </w:r>
    </w:p>
    <w:p w14:paraId="08E00707" w14:textId="7FCD6F8A" w:rsidR="000521B5" w:rsidRDefault="000521B5" w:rsidP="000521B5">
      <w:pPr>
        <w:pStyle w:val="Bodybullets"/>
      </w:pPr>
      <w:r>
        <w:t>units held by emitters for emissions that have already occurred (holding volume, or Y0 hedging).</w:t>
      </w:r>
    </w:p>
    <w:p w14:paraId="6AEB36DD" w14:textId="16AA5064" w:rsidR="00377F35" w:rsidRDefault="00E831BF" w:rsidP="000521B5">
      <w:pPr>
        <w:pStyle w:val="BodyText"/>
      </w:pPr>
      <w:r>
        <w:t xml:space="preserve">This year we </w:t>
      </w:r>
      <w:r w:rsidR="003E6D47">
        <w:t>have also included a forestry unit reconciliation term. This</w:t>
      </w:r>
      <w:r w:rsidR="000521B5" w:rsidDel="003E6D47">
        <w:t xml:space="preserve"> </w:t>
      </w:r>
      <w:r w:rsidR="000521B5">
        <w:t>adjustment reconcile</w:t>
      </w:r>
      <w:r w:rsidR="002E594A">
        <w:t>s</w:t>
      </w:r>
      <w:r w:rsidR="000521B5">
        <w:t xml:space="preserve"> the results from our forestry model (used to estimate post-1989 forest harvest liabilities) with actual forestry unit allocations and surrenders to date. </w:t>
      </w:r>
    </w:p>
    <w:p w14:paraId="7FE93B1A" w14:textId="5E7C5AB1" w:rsidR="000521B5" w:rsidRDefault="000521B5" w:rsidP="000521B5">
      <w:pPr>
        <w:pStyle w:val="Heading2nonumber"/>
      </w:pPr>
      <w:bookmarkStart w:id="32" w:name="_Toc227603120"/>
      <w:r>
        <w:t>Total unit holdings</w:t>
      </w:r>
      <w:bookmarkEnd w:id="32"/>
    </w:p>
    <w:p w14:paraId="7AF43FEE" w14:textId="3615FE00" w:rsidR="00195A0F" w:rsidRDefault="00195A0F" w:rsidP="00195A0F">
      <w:pPr>
        <w:pStyle w:val="BodyText"/>
      </w:pPr>
      <w:r>
        <w:t>Total unit holdings, sometimes referred to as ‘the stockpile’, refers to the total of all privately held units in the NZ ETS registry at a point in time. We have used Environmental Protection Authority (EPA) data as of 31 December 2025, which puts total privately held units at 135.9 million units.</w:t>
      </w:r>
      <w:r w:rsidR="00CA7D51">
        <w:fldChar w:fldCharType="begin"/>
      </w:r>
      <w:r w:rsidR="00673384">
        <w:instrText xml:space="preserve"> ADDIN EN.CITE &lt;EndNote&gt;&lt;Cite ExcludeYear="1"&gt;&lt;Author&gt;Environmental Protection Authority Te Mana Rauhī Taiao&lt;/Author&gt;&lt;RecNum&gt;1451&lt;/RecNum&gt;&lt;DisplayText&gt;&lt;style face="superscript"&gt;4&lt;/style&gt;&lt;/DisplayText&gt;&lt;record&gt;&lt;rec-number&gt;1451&lt;/rec-number&gt;&lt;foreign-keys&gt;&lt;key app="EN" db-id="fwvex5fabdwzs9e9rwa55p5bvws5v2dex2zs" timestamp="1774489827" guid="21a27d9f-106b-40c5-82a1-5b8a5e054281"&gt;1451&lt;/key&gt;&lt;/foreign-keys&gt;&lt;ref-type name="Web Page"&gt;12&lt;/ref-type&gt;&lt;contributors&gt;&lt;authors&gt;&lt;author&gt;Environmental Protection Authority Te Mana Rauhī Taiao,&lt;/author&gt;&lt;/authors&gt;&lt;/contributors&gt;&lt;titles&gt;&lt;title&gt;Privately held units&lt;/title&gt;&lt;/titles&gt;&lt;number&gt;26 March 2026&lt;/number&gt;&lt;keywords&gt;&lt;keyword&gt;ETS26&lt;/keyword&gt;&lt;/keywords&gt;&lt;dates&gt;&lt;/dates&gt;&lt;urls&gt;&lt;related-urls&gt;&lt;url&gt;https://www.epa.govt.nz/industry-areas/emissions-trading-scheme/market-information/privately-held-units/&lt;/url&gt;&lt;/related-urls&gt;&lt;/urls&gt;&lt;/record&gt;&lt;/Cite&gt;&lt;/EndNote&gt;</w:instrText>
      </w:r>
      <w:r w:rsidR="00CA7D51">
        <w:fldChar w:fldCharType="separate"/>
      </w:r>
      <w:r w:rsidR="00206010" w:rsidRPr="00206010">
        <w:rPr>
          <w:noProof/>
          <w:vertAlign w:val="superscript"/>
        </w:rPr>
        <w:t>4</w:t>
      </w:r>
      <w:r w:rsidR="00CA7D51">
        <w:fldChar w:fldCharType="end"/>
      </w:r>
      <w:r w:rsidR="00CA7D51">
        <w:t xml:space="preserve"> </w:t>
      </w:r>
      <w:r>
        <w:t xml:space="preserve">This is a reduction of </w:t>
      </w:r>
      <w:r w:rsidRPr="008B3985">
        <w:t>approximately 14.5 million</w:t>
      </w:r>
      <w:r>
        <w:t xml:space="preserve"> units from the stockpile as of 31 December 2024. </w:t>
      </w:r>
    </w:p>
    <w:p w14:paraId="77F09B80" w14:textId="6AA2CD9C" w:rsidR="000521B5" w:rsidRDefault="00195A0F" w:rsidP="00195A0F">
      <w:pPr>
        <w:pStyle w:val="BodyText"/>
      </w:pPr>
      <w:r>
        <w:t xml:space="preserve">We consider that, as far as possible, unit holdings data used for updated surplus estimates should be taken at a consistent date, </w:t>
      </w:r>
      <w:r w:rsidR="00E50A7F">
        <w:t xml:space="preserve">which </w:t>
      </w:r>
      <w:r>
        <w:t xml:space="preserve">should be 31 December of each year. Using December data enables the </w:t>
      </w:r>
      <w:proofErr w:type="gramStart"/>
      <w:r>
        <w:t>final results</w:t>
      </w:r>
      <w:proofErr w:type="gramEnd"/>
      <w:r>
        <w:t xml:space="preserve"> of that year’s auctions to be taken into account.</w:t>
      </w:r>
    </w:p>
    <w:p w14:paraId="114C1931" w14:textId="13F43909" w:rsidR="004D4888" w:rsidRDefault="004D4888" w:rsidP="004D4888">
      <w:pPr>
        <w:pStyle w:val="Heading2nonumber"/>
      </w:pPr>
      <w:bookmarkStart w:id="33" w:name="_Toc227603121"/>
      <w:r>
        <w:t>Pre-1990 units held long-term</w:t>
      </w:r>
      <w:bookmarkEnd w:id="33"/>
    </w:p>
    <w:p w14:paraId="4DB837A5" w14:textId="77777777" w:rsidR="00A934D6" w:rsidRDefault="00A934D6" w:rsidP="00A934D6">
      <w:pPr>
        <w:pStyle w:val="BodyText"/>
      </w:pPr>
      <w:r>
        <w:t xml:space="preserve">When the NZ ETS was first established, owners of forests planted before 1990 were allocated units (referred to as pre-1990 units) to partially compensate for the restriction the NZ ETS put on their future ability to change land use. Over 32 million units were originally allocated. </w:t>
      </w:r>
    </w:p>
    <w:p w14:paraId="18EA56F6" w14:textId="55B0C9F8" w:rsidR="00A934D6" w:rsidRDefault="00A934D6" w:rsidP="00A934D6">
      <w:pPr>
        <w:pStyle w:val="BodyText"/>
      </w:pPr>
      <w:proofErr w:type="gramStart"/>
      <w:r>
        <w:t>As long as</w:t>
      </w:r>
      <w:proofErr w:type="gramEnd"/>
      <w:r>
        <w:t xml:space="preserve"> the pre-1990 forests are not deforested, these units are not encumbered by surrender obligations</w:t>
      </w:r>
      <w:r w:rsidR="00E90827">
        <w:t>. T</w:t>
      </w:r>
      <w:r>
        <w:t>heoretically</w:t>
      </w:r>
      <w:r w:rsidR="002D1900">
        <w:t>, this would make them</w:t>
      </w:r>
      <w:r>
        <w:t xml:space="preserve"> available for purchase and use by other NZ ETS participants</w:t>
      </w:r>
      <w:r w:rsidR="002D1900">
        <w:t xml:space="preserve"> and </w:t>
      </w:r>
      <w:r>
        <w:t>part of the surplus.</w:t>
      </w:r>
      <w:r w:rsidR="002D1900">
        <w:t xml:space="preserve"> However, w</w:t>
      </w:r>
      <w:r>
        <w:t>e continue to assume, as per our previous advice, that a proportion of these pre-1990 units will remain held long-term by those who originally received them. That is, they are unlikely to be available for use by other NZ ETS participants before 2030 and so do not contribute to the surplus.</w:t>
      </w:r>
    </w:p>
    <w:p w14:paraId="7116ED09" w14:textId="6DFA3B90" w:rsidR="00A934D6" w:rsidRDefault="00A934D6" w:rsidP="00A934D6">
      <w:pPr>
        <w:pStyle w:val="BodyText"/>
      </w:pPr>
      <w:r>
        <w:t xml:space="preserve">This assumption is based on feedback from market participants. The reasons cited </w:t>
      </w:r>
      <w:r w:rsidR="00E71D49">
        <w:t xml:space="preserve">by those we have engaged with </w:t>
      </w:r>
      <w:r>
        <w:t>for why these units may be held long-term include:</w:t>
      </w:r>
    </w:p>
    <w:p w14:paraId="17907206" w14:textId="1681931B" w:rsidR="00A934D6" w:rsidRDefault="00EA632A" w:rsidP="00A934D6">
      <w:pPr>
        <w:pStyle w:val="Bodybullets"/>
      </w:pPr>
      <w:r>
        <w:t>to</w:t>
      </w:r>
      <w:r w:rsidR="00A934D6">
        <w:t xml:space="preserve"> keep open the option of future land use change, to enable use of land for another purpose (e.g. developed for pasture or for housing)</w:t>
      </w:r>
    </w:p>
    <w:p w14:paraId="1B731E7B" w14:textId="73A61171" w:rsidR="00A934D6" w:rsidRDefault="00EA632A" w:rsidP="00A934D6">
      <w:pPr>
        <w:pStyle w:val="Bodybullets"/>
      </w:pPr>
      <w:r>
        <w:t>as</w:t>
      </w:r>
      <w:r w:rsidR="00A934D6">
        <w:t xml:space="preserve"> insurance, in case requirements to replant post-harvest, or regenerate the land within the criteria and timeframes set by NZ ETS rules, are not met – particularly where the forest owner is asset-poor</w:t>
      </w:r>
    </w:p>
    <w:p w14:paraId="2A652768" w14:textId="45DAEEE0" w:rsidR="00A934D6" w:rsidRDefault="00EA632A" w:rsidP="00A934D6">
      <w:pPr>
        <w:pStyle w:val="Bodybullets"/>
      </w:pPr>
      <w:r>
        <w:t>some</w:t>
      </w:r>
      <w:r w:rsidR="00A934D6">
        <w:t xml:space="preserve"> iwi/Māori forest owners may wish to retain the units as an asset for future generations</w:t>
      </w:r>
    </w:p>
    <w:p w14:paraId="05A588A4" w14:textId="6D2ECDA5" w:rsidR="00A934D6" w:rsidRDefault="00EA632A" w:rsidP="00A934D6">
      <w:pPr>
        <w:pStyle w:val="Bodybullets"/>
      </w:pPr>
      <w:r>
        <w:t>slow</w:t>
      </w:r>
      <w:r w:rsidR="00A934D6">
        <w:t xml:space="preserve"> and deliberate decision-making about the sale of units, for example due to collective decision making within iwi/Māori entities </w:t>
      </w:r>
    </w:p>
    <w:p w14:paraId="3A77B679" w14:textId="49757B77" w:rsidR="00A934D6" w:rsidRDefault="00EA632A" w:rsidP="00A934D6">
      <w:pPr>
        <w:pStyle w:val="Bodybullets"/>
      </w:pPr>
      <w:r>
        <w:t>some</w:t>
      </w:r>
      <w:r w:rsidR="00A934D6">
        <w:t xml:space="preserve"> recipients of pre-1990 units may have low awareness of what the units are, how to sell them, or what the implications of selling them might be. </w:t>
      </w:r>
    </w:p>
    <w:p w14:paraId="1DA010F5" w14:textId="77777777" w:rsidR="00A934D6" w:rsidRDefault="00A934D6" w:rsidP="00A934D6">
      <w:pPr>
        <w:pStyle w:val="BodyText"/>
      </w:pPr>
      <w:r>
        <w:t xml:space="preserve">Estimating how many of these units may be retained is challenging, as to date no information specifically on the intentions or behaviour of the entities who received them has been collected. </w:t>
      </w:r>
    </w:p>
    <w:p w14:paraId="20B7480B" w14:textId="594C0400" w:rsidR="00A934D6" w:rsidRDefault="00A934D6" w:rsidP="00A934D6">
      <w:pPr>
        <w:pStyle w:val="BodyText"/>
      </w:pPr>
      <w:r>
        <w:t xml:space="preserve">The most relevant data that we have been able to source to inform our analysis is from the EPA about transfers of these pre-1990 units out of the accounts that originally received them. As of December 2025, there were approximately 10.5 million pre-1990 units held in the original accounts to which they were allocated. This is a reduction from </w:t>
      </w:r>
      <w:r w:rsidRPr="00EE3A80">
        <w:t>11.5 million</w:t>
      </w:r>
      <w:r>
        <w:t xml:space="preserve"> taken as our base point in the previous year.</w:t>
      </w:r>
    </w:p>
    <w:p w14:paraId="076850F7" w14:textId="3B0E717A" w:rsidR="004D4888" w:rsidRDefault="00A934D6" w:rsidP="00A934D6">
      <w:pPr>
        <w:pStyle w:val="BodyText"/>
      </w:pPr>
      <w:r>
        <w:t xml:space="preserve">Consistent with our 2025 advice we have used a methodology that is based on an assumed percentage of units transferred each quarter. We have reviewed the historical transfer rates to determine a credible range and made only minor adjustments </w:t>
      </w:r>
      <w:r w:rsidR="00F26054">
        <w:t xml:space="preserve">compared </w:t>
      </w:r>
      <w:r>
        <w:t xml:space="preserve">to our 2025 advice. These adjustments are due to us basing our assumptions on more recent data, from 2021 onwards, rather than the full series back to 2017. This is because there appears to have been a slight change in the trend from 2021 onwards. The assumed quarterly transfer rates between 2026–2030 are shown in Table </w:t>
      </w:r>
      <w:r w:rsidR="009C6061">
        <w:t>8</w:t>
      </w:r>
      <w:r>
        <w:t>.</w:t>
      </w:r>
    </w:p>
    <w:p w14:paraId="61694E78" w14:textId="6E69CC8C" w:rsidR="001A76AA" w:rsidRDefault="001A76AA" w:rsidP="001A76AA">
      <w:pPr>
        <w:pStyle w:val="FigureTabletitle"/>
      </w:pPr>
      <w:r>
        <w:t xml:space="preserve">Table </w:t>
      </w:r>
      <w:r w:rsidR="00B50217">
        <w:fldChar w:fldCharType="begin"/>
      </w:r>
      <w:r w:rsidR="00B50217">
        <w:instrText xml:space="preserve"> SEQ Table \* ARABIC </w:instrText>
      </w:r>
      <w:r w:rsidR="00B50217">
        <w:fldChar w:fldCharType="separate"/>
      </w:r>
      <w:r w:rsidR="00B50217">
        <w:rPr>
          <w:noProof/>
        </w:rPr>
        <w:t>8</w:t>
      </w:r>
      <w:r w:rsidR="00B50217">
        <w:rPr>
          <w:noProof/>
        </w:rPr>
        <w:fldChar w:fldCharType="end"/>
      </w:r>
      <w:r>
        <w:t xml:space="preserve">: </w:t>
      </w:r>
      <w:r w:rsidRPr="00682DC4">
        <w:t>Quarterly pre-1990 units transfer rate assumptions</w:t>
      </w:r>
    </w:p>
    <w:tbl>
      <w:tblPr>
        <w:tblStyle w:val="GridTable5Dark-Accent56"/>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430"/>
        <w:gridCol w:w="2160"/>
        <w:gridCol w:w="2160"/>
        <w:gridCol w:w="2160"/>
      </w:tblGrid>
      <w:tr w:rsidR="004F4EBB" w:rsidRPr="004F4EBB" w14:paraId="491CCFB2" w14:textId="77777777" w:rsidTr="004F4EBB">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430" w:type="dxa"/>
            <w:tcBorders>
              <w:top w:val="single" w:sz="6" w:space="0" w:color="FFFFFF"/>
              <w:left w:val="single" w:sz="6" w:space="0" w:color="FFFFFF"/>
              <w:bottom w:val="single" w:sz="6" w:space="0" w:color="FFFFFF"/>
              <w:right w:val="single" w:sz="6" w:space="0" w:color="FFFFFF"/>
            </w:tcBorders>
            <w:shd w:val="clear" w:color="auto" w:fill="002060"/>
            <w:tcMar>
              <w:right w:w="45" w:type="dxa"/>
            </w:tcMar>
            <w:vAlign w:val="bottom"/>
          </w:tcPr>
          <w:p w14:paraId="319F1A25" w14:textId="77777777" w:rsidR="004F4EBB" w:rsidRPr="00E06D4C" w:rsidRDefault="004F4EBB" w:rsidP="00E06D4C">
            <w:pPr>
              <w:pStyle w:val="Tableheading"/>
              <w:ind w:left="57" w:right="57"/>
            </w:pPr>
            <w:r w:rsidRPr="00E06D4C">
              <w:rPr>
                <w:b/>
                <w:bCs/>
              </w:rPr>
              <w:t>Quarterly transfer rates</w:t>
            </w:r>
          </w:p>
        </w:tc>
        <w:tc>
          <w:tcPr>
            <w:tcW w:w="2160" w:type="dxa"/>
            <w:tcBorders>
              <w:top w:val="single" w:sz="6" w:space="0" w:color="FFFFFF"/>
              <w:left w:val="single" w:sz="6" w:space="0" w:color="FFFFFF"/>
              <w:bottom w:val="single" w:sz="6" w:space="0" w:color="FFFFFF"/>
              <w:right w:val="single" w:sz="6" w:space="0" w:color="FFFFFF"/>
            </w:tcBorders>
            <w:shd w:val="clear" w:color="auto" w:fill="002060"/>
            <w:tcMar>
              <w:right w:w="45" w:type="dxa"/>
            </w:tcMar>
            <w:vAlign w:val="bottom"/>
          </w:tcPr>
          <w:p w14:paraId="3FBAC55F" w14:textId="77777777" w:rsidR="004F4EBB" w:rsidRPr="00F52C33" w:rsidRDefault="004F4EBB" w:rsidP="00E06D4C">
            <w:pPr>
              <w:pStyle w:val="Tableheading"/>
              <w:ind w:left="57" w:right="57"/>
              <w:cnfStyle w:val="100000000000" w:firstRow="1" w:lastRow="0" w:firstColumn="0" w:lastColumn="0" w:oddVBand="0" w:evenVBand="0" w:oddHBand="0" w:evenHBand="0" w:firstRowFirstColumn="0" w:firstRowLastColumn="0" w:lastRowFirstColumn="0" w:lastRowLastColumn="0"/>
            </w:pPr>
            <w:r w:rsidRPr="00E06D4C">
              <w:rPr>
                <w:b/>
                <w:bCs/>
              </w:rPr>
              <w:t>Fast transfer path</w:t>
            </w:r>
          </w:p>
        </w:tc>
        <w:tc>
          <w:tcPr>
            <w:tcW w:w="2160" w:type="dxa"/>
            <w:tcBorders>
              <w:top w:val="single" w:sz="6" w:space="0" w:color="FFFFFF"/>
              <w:left w:val="single" w:sz="6" w:space="0" w:color="FFFFFF"/>
              <w:bottom w:val="single" w:sz="6" w:space="0" w:color="FFFFFF"/>
              <w:right w:val="single" w:sz="6" w:space="0" w:color="FFFFFF"/>
            </w:tcBorders>
            <w:shd w:val="clear" w:color="auto" w:fill="002060"/>
            <w:tcMar>
              <w:right w:w="45" w:type="dxa"/>
            </w:tcMar>
            <w:vAlign w:val="bottom"/>
          </w:tcPr>
          <w:p w14:paraId="7B32B5BC" w14:textId="77777777" w:rsidR="004F4EBB" w:rsidRPr="00F52C33" w:rsidRDefault="004F4EBB" w:rsidP="00E06D4C">
            <w:pPr>
              <w:pStyle w:val="Tableheading"/>
              <w:ind w:left="57" w:right="57"/>
              <w:cnfStyle w:val="100000000000" w:firstRow="1" w:lastRow="0" w:firstColumn="0" w:lastColumn="0" w:oddVBand="0" w:evenVBand="0" w:oddHBand="0" w:evenHBand="0" w:firstRowFirstColumn="0" w:firstRowLastColumn="0" w:lastRowFirstColumn="0" w:lastRowLastColumn="0"/>
            </w:pPr>
            <w:r w:rsidRPr="00E06D4C">
              <w:rPr>
                <w:b/>
                <w:bCs/>
              </w:rPr>
              <w:t>Central transfer path</w:t>
            </w:r>
          </w:p>
        </w:tc>
        <w:tc>
          <w:tcPr>
            <w:tcW w:w="2160" w:type="dxa"/>
            <w:tcBorders>
              <w:top w:val="single" w:sz="6" w:space="0" w:color="FFFFFF"/>
              <w:left w:val="single" w:sz="6" w:space="0" w:color="FFFFFF"/>
              <w:bottom w:val="single" w:sz="6" w:space="0" w:color="FFFFFF"/>
              <w:right w:val="single" w:sz="6" w:space="0" w:color="FFFFFF"/>
            </w:tcBorders>
            <w:shd w:val="clear" w:color="auto" w:fill="002060"/>
            <w:tcMar>
              <w:right w:w="45" w:type="dxa"/>
            </w:tcMar>
            <w:vAlign w:val="bottom"/>
          </w:tcPr>
          <w:p w14:paraId="6372E089" w14:textId="77777777" w:rsidR="004F4EBB" w:rsidRPr="00F52C33" w:rsidRDefault="004F4EBB" w:rsidP="00E06D4C">
            <w:pPr>
              <w:pStyle w:val="Tableheading"/>
              <w:ind w:left="57" w:right="57"/>
              <w:cnfStyle w:val="100000000000" w:firstRow="1" w:lastRow="0" w:firstColumn="0" w:lastColumn="0" w:oddVBand="0" w:evenVBand="0" w:oddHBand="0" w:evenHBand="0" w:firstRowFirstColumn="0" w:firstRowLastColumn="0" w:lastRowFirstColumn="0" w:lastRowLastColumn="0"/>
            </w:pPr>
            <w:r w:rsidRPr="00E06D4C">
              <w:rPr>
                <w:b/>
                <w:bCs/>
              </w:rPr>
              <w:t>Slow transfer path</w:t>
            </w:r>
          </w:p>
        </w:tc>
      </w:tr>
      <w:tr w:rsidR="004F4EBB" w:rsidRPr="004F4EBB" w14:paraId="78942E98" w14:textId="77777777" w:rsidTr="004F4EBB">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2430" w:type="dxa"/>
            <w:tcBorders>
              <w:top w:val="single" w:sz="6" w:space="0" w:color="FFFFFF"/>
              <w:left w:val="single" w:sz="6" w:space="0" w:color="FFFFFF"/>
              <w:bottom w:val="single" w:sz="6" w:space="0" w:color="FFFFFF"/>
              <w:right w:val="single" w:sz="6" w:space="0" w:color="FFFFFF"/>
            </w:tcBorders>
            <w:shd w:val="clear" w:color="auto" w:fill="C1DCD5"/>
            <w:tcMar>
              <w:right w:w="45" w:type="dxa"/>
            </w:tcMar>
            <w:vAlign w:val="bottom"/>
          </w:tcPr>
          <w:p w14:paraId="7158B707" w14:textId="77777777" w:rsidR="004F4EBB" w:rsidRPr="004F4EBB" w:rsidRDefault="004F4EBB" w:rsidP="00E06D4C">
            <w:pPr>
              <w:pStyle w:val="TableParagraph"/>
              <w:ind w:left="57" w:right="57"/>
            </w:pPr>
            <w:r w:rsidRPr="00E06D4C">
              <w:rPr>
                <w:color w:val="auto"/>
              </w:rPr>
              <w:t>2026-2030</w:t>
            </w:r>
          </w:p>
        </w:tc>
        <w:tc>
          <w:tcPr>
            <w:tcW w:w="2160" w:type="dxa"/>
            <w:tcBorders>
              <w:top w:val="single" w:sz="6" w:space="0" w:color="FFFFFF"/>
              <w:left w:val="single" w:sz="6" w:space="0" w:color="FFFFFF"/>
              <w:bottom w:val="single" w:sz="6" w:space="0" w:color="FFFFFF"/>
              <w:right w:val="single" w:sz="6" w:space="0" w:color="FFFFFF"/>
            </w:tcBorders>
            <w:shd w:val="clear" w:color="auto" w:fill="D4E8DE"/>
            <w:tcMar>
              <w:right w:w="45" w:type="dxa"/>
            </w:tcMar>
            <w:vAlign w:val="center"/>
          </w:tcPr>
          <w:p w14:paraId="73727FCD" w14:textId="77777777" w:rsidR="004F4EBB" w:rsidRPr="004F4EBB" w:rsidRDefault="004F4EBB" w:rsidP="00E06D4C">
            <w:pPr>
              <w:pStyle w:val="TableParagraph"/>
              <w:ind w:left="57" w:right="57"/>
              <w:cnfStyle w:val="000000100000" w:firstRow="0" w:lastRow="0" w:firstColumn="0" w:lastColumn="0" w:oddVBand="0" w:evenVBand="0" w:oddHBand="1" w:evenHBand="0" w:firstRowFirstColumn="0" w:firstRowLastColumn="0" w:lastRowFirstColumn="0" w:lastRowLastColumn="0"/>
            </w:pPr>
            <w:r w:rsidRPr="004F4EBB">
              <w:t>4.0%</w:t>
            </w:r>
          </w:p>
        </w:tc>
        <w:tc>
          <w:tcPr>
            <w:tcW w:w="2160" w:type="dxa"/>
            <w:tcBorders>
              <w:top w:val="single" w:sz="6" w:space="0" w:color="FFFFFF"/>
              <w:left w:val="single" w:sz="6" w:space="0" w:color="FFFFFF"/>
              <w:bottom w:val="single" w:sz="6" w:space="0" w:color="FFFFFF"/>
              <w:right w:val="single" w:sz="6" w:space="0" w:color="FFFFFF"/>
            </w:tcBorders>
            <w:shd w:val="clear" w:color="auto" w:fill="D4E8DE"/>
            <w:tcMar>
              <w:right w:w="45" w:type="dxa"/>
            </w:tcMar>
            <w:vAlign w:val="center"/>
          </w:tcPr>
          <w:p w14:paraId="0A9DC9D8" w14:textId="77777777" w:rsidR="004F4EBB" w:rsidRPr="004F4EBB" w:rsidRDefault="004F4EBB" w:rsidP="00E06D4C">
            <w:pPr>
              <w:pStyle w:val="TableParagraph"/>
              <w:ind w:left="57" w:right="57"/>
              <w:cnfStyle w:val="000000100000" w:firstRow="0" w:lastRow="0" w:firstColumn="0" w:lastColumn="0" w:oddVBand="0" w:evenVBand="0" w:oddHBand="1" w:evenHBand="0" w:firstRowFirstColumn="0" w:firstRowLastColumn="0" w:lastRowFirstColumn="0" w:lastRowLastColumn="0"/>
            </w:pPr>
            <w:r w:rsidRPr="004F4EBB">
              <w:t>3.0%</w:t>
            </w:r>
          </w:p>
        </w:tc>
        <w:tc>
          <w:tcPr>
            <w:tcW w:w="2160" w:type="dxa"/>
            <w:tcBorders>
              <w:top w:val="single" w:sz="6" w:space="0" w:color="FFFFFF"/>
              <w:left w:val="single" w:sz="6" w:space="0" w:color="FFFFFF"/>
              <w:bottom w:val="single" w:sz="6" w:space="0" w:color="FFFFFF"/>
              <w:right w:val="single" w:sz="6" w:space="0" w:color="FFFFFF"/>
            </w:tcBorders>
            <w:shd w:val="clear" w:color="auto" w:fill="D4E8DE"/>
            <w:tcMar>
              <w:right w:w="45" w:type="dxa"/>
            </w:tcMar>
            <w:vAlign w:val="center"/>
          </w:tcPr>
          <w:p w14:paraId="62552C5F" w14:textId="65B92394" w:rsidR="004F4EBB" w:rsidRPr="004F4EBB" w:rsidRDefault="004F4EBB" w:rsidP="00E06D4C">
            <w:pPr>
              <w:pStyle w:val="TableParagraph"/>
              <w:ind w:left="57" w:right="57"/>
              <w:cnfStyle w:val="000000100000" w:firstRow="0" w:lastRow="0" w:firstColumn="0" w:lastColumn="0" w:oddVBand="0" w:evenVBand="0" w:oddHBand="1" w:evenHBand="0" w:firstRowFirstColumn="0" w:firstRowLastColumn="0" w:lastRowFirstColumn="0" w:lastRowLastColumn="0"/>
            </w:pPr>
            <w:r w:rsidRPr="004F4EBB">
              <w:t>2.0%</w:t>
            </w:r>
          </w:p>
        </w:tc>
      </w:tr>
    </w:tbl>
    <w:p w14:paraId="471DE6FF" w14:textId="242A49C2" w:rsidR="00CB45B7" w:rsidRDefault="00CB45B7" w:rsidP="00CB45B7">
      <w:pPr>
        <w:pStyle w:val="BodyText"/>
      </w:pPr>
      <w:r>
        <w:t>These transfer rates represent a minor adjustment from our 2025 advice, with the fast transfer path decrea</w:t>
      </w:r>
      <w:r w:rsidRPr="00B9013D">
        <w:t>sing from 5% to 4%, and the slow transfer path increasing from 1% to 2%. The central transfer rate of 3% is the same as in our 2025 advice.</w:t>
      </w:r>
    </w:p>
    <w:p w14:paraId="2BF74F3C" w14:textId="61339854" w:rsidR="00FB2B9B" w:rsidRDefault="00CB45B7" w:rsidP="00CB45B7">
      <w:pPr>
        <w:pStyle w:val="BodyText"/>
      </w:pPr>
      <w:r>
        <w:t>The updated calculations of pre-1990 units likely to remain in original accounts in 2030 results in a central estimate of 5.7 million, with a range of between 4.6 and 7.0 million – shown in Figure 5.</w:t>
      </w:r>
    </w:p>
    <w:p w14:paraId="00A6C3BE" w14:textId="207ABC04" w:rsidR="008B44FA" w:rsidRDefault="008B44FA" w:rsidP="008B44FA">
      <w:pPr>
        <w:pStyle w:val="FigureTabletitle"/>
      </w:pPr>
      <w:r>
        <w:t xml:space="preserve">Figure </w:t>
      </w:r>
      <w:r w:rsidR="00B12CA3">
        <w:fldChar w:fldCharType="begin"/>
      </w:r>
      <w:r w:rsidR="00B12CA3">
        <w:instrText xml:space="preserve"> SEQ Figure \* ARABIC </w:instrText>
      </w:r>
      <w:r w:rsidR="00B12CA3">
        <w:fldChar w:fldCharType="separate"/>
      </w:r>
      <w:r w:rsidR="00B12CA3">
        <w:rPr>
          <w:noProof/>
        </w:rPr>
        <w:t>5</w:t>
      </w:r>
      <w:r w:rsidR="00B12CA3">
        <w:rPr>
          <w:noProof/>
        </w:rPr>
        <w:fldChar w:fldCharType="end"/>
      </w:r>
      <w:r>
        <w:t xml:space="preserve">: </w:t>
      </w:r>
      <w:r w:rsidRPr="00137754">
        <w:t>Pre-1990 units remaining in original accounts (historic and projected)</w:t>
      </w:r>
    </w:p>
    <w:p w14:paraId="42B1D59F" w14:textId="13C8195B" w:rsidR="00CB45B7" w:rsidRDefault="00496C9C" w:rsidP="00CB45B7">
      <w:pPr>
        <w:pStyle w:val="BodyText"/>
        <w:rPr>
          <w:noProof/>
        </w:rPr>
      </w:pPr>
      <w:r>
        <w:rPr>
          <w:noProof/>
        </w:rPr>
        <w:drawing>
          <wp:inline distT="0" distB="0" distL="0" distR="0" wp14:anchorId="4FD7D7EE" wp14:editId="583C1395">
            <wp:extent cx="5736590" cy="3469005"/>
            <wp:effectExtent l="0" t="0" r="0" b="0"/>
            <wp:docPr id="21325732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6590" cy="3469005"/>
                    </a:xfrm>
                    <a:prstGeom prst="rect">
                      <a:avLst/>
                    </a:prstGeom>
                    <a:noFill/>
                  </pic:spPr>
                </pic:pic>
              </a:graphicData>
            </a:graphic>
          </wp:inline>
        </w:drawing>
      </w:r>
    </w:p>
    <w:p w14:paraId="1FFBE22E" w14:textId="486B3B87" w:rsidR="008B44FA" w:rsidRDefault="008B44FA" w:rsidP="008B44FA">
      <w:pPr>
        <w:tabs>
          <w:tab w:val="left" w:pos="3336"/>
        </w:tabs>
        <w:rPr>
          <w:sz w:val="20"/>
          <w:szCs w:val="20"/>
        </w:rPr>
      </w:pPr>
      <w:r w:rsidRPr="008B44FA">
        <w:rPr>
          <w:sz w:val="20"/>
          <w:szCs w:val="20"/>
        </w:rPr>
        <w:t>Source: Commission analysis</w:t>
      </w:r>
    </w:p>
    <w:p w14:paraId="67840356" w14:textId="77777777" w:rsidR="00A0058E" w:rsidRPr="00E06D4C" w:rsidRDefault="00A0058E" w:rsidP="00E06D4C"/>
    <w:p w14:paraId="6C49F6FE" w14:textId="6AB96FA5" w:rsidR="008B44FA" w:rsidRDefault="008B44FA" w:rsidP="008B44FA">
      <w:pPr>
        <w:pStyle w:val="Heading2nonumber"/>
      </w:pPr>
      <w:bookmarkStart w:id="34" w:name="_Toc227603122"/>
      <w:r>
        <w:t>Units held for surrender for past emissions (holding volume)</w:t>
      </w:r>
      <w:bookmarkEnd w:id="34"/>
    </w:p>
    <w:p w14:paraId="75935543" w14:textId="77777777" w:rsidR="00BC30FB" w:rsidRDefault="00BC30FB" w:rsidP="00BC30FB">
      <w:pPr>
        <w:pStyle w:val="BodyText"/>
      </w:pPr>
      <w:r>
        <w:t>In our 2025 advice, we introduced a new category of non-surplus units referred to as holding volume. These are units held for emissions that have already occurred, but for which emitters are yet to surrender NZUs.</w:t>
      </w:r>
    </w:p>
    <w:p w14:paraId="303AD909" w14:textId="1531DA74" w:rsidR="00BC30FB" w:rsidRDefault="00BC30FB" w:rsidP="00BC30FB">
      <w:pPr>
        <w:pStyle w:val="BodyText"/>
      </w:pPr>
      <w:r>
        <w:t>We use a single estimate of holding volume across our surplus range estimates, as there is a high degree of certainty about this value. This is based on the gross emissions forecast for NZ ETS sectors for 2025 (32.5 MtCO</w:t>
      </w:r>
      <w:r w:rsidRPr="00CC55E7">
        <w:rPr>
          <w:vertAlign w:val="subscript"/>
        </w:rPr>
        <w:t>2</w:t>
      </w:r>
      <w:r>
        <w:t>e) minus a technical adjustment to waste emissions of 0.3m units. This results in a holding volume of 32.2m units.</w:t>
      </w:r>
    </w:p>
    <w:p w14:paraId="0FBF53D5" w14:textId="588F82DF" w:rsidR="008B44FA" w:rsidRDefault="00BC30FB" w:rsidP="00BC30FB">
      <w:pPr>
        <w:pStyle w:val="BodyText"/>
      </w:pPr>
      <w:r>
        <w:t xml:space="preserve">We assess the surplus and unit stockpile at the end of the calendar year to account for the final auction results, and so also take the holding volume from the end of the year. We assume that emitters are accumulating units to match their emissions throughout the year, so by year-end 100% of emitters’ obligations from that year are </w:t>
      </w:r>
      <w:proofErr w:type="gramStart"/>
      <w:r>
        <w:t>held, and</w:t>
      </w:r>
      <w:proofErr w:type="gramEnd"/>
      <w:r>
        <w:t xml:space="preserve"> will be surrendered the following year.</w:t>
      </w:r>
      <w:r w:rsidR="00E87EFE">
        <w:rPr>
          <w:rStyle w:val="FootnoteReference"/>
        </w:rPr>
        <w:footnoteReference w:id="3"/>
      </w:r>
      <w:r w:rsidR="00E87EFE">
        <w:t xml:space="preserve"> </w:t>
      </w:r>
      <w:r>
        <w:t>Therefore, our holding volume is based on the estimate of emissions that occurred in 2025.</w:t>
      </w:r>
    </w:p>
    <w:p w14:paraId="60434D73" w14:textId="12E8BFF7" w:rsidR="006A7C5D" w:rsidRDefault="006A7C5D" w:rsidP="006A7C5D">
      <w:pPr>
        <w:pStyle w:val="Heading2nonumber"/>
      </w:pPr>
      <w:bookmarkStart w:id="35" w:name="_Toc227603123"/>
      <w:r>
        <w:t>Units held for forward hedging by emitters</w:t>
      </w:r>
      <w:bookmarkEnd w:id="35"/>
    </w:p>
    <w:p w14:paraId="2F223E92" w14:textId="77777777" w:rsidR="00747BC7" w:rsidRDefault="00747BC7" w:rsidP="00747BC7">
      <w:pPr>
        <w:pStyle w:val="BodyText"/>
      </w:pPr>
      <w:r>
        <w:t>It is common practice for participants in the NZ ETS to hold NZUs to cover a proportion of their emissions compliance obligations over a certain period in advance (‘hedging’). Hedging involves emitters pre-purchasing NZUs when they fix prices with customers or suppliers, to manage their exposure to NZU forward price risk.</w:t>
      </w:r>
    </w:p>
    <w:p w14:paraId="4FC72DFF" w14:textId="70A2D098" w:rsidR="00747BC7" w:rsidRDefault="00747BC7" w:rsidP="00747BC7">
      <w:pPr>
        <w:pStyle w:val="BodyText"/>
      </w:pPr>
      <w:r>
        <w:t xml:space="preserve">As in our previous advice, our methodology assumes a portion of units in the registry are held by (or for) emitters for forward hedging purposes. These units need to be present in the scheme for the proper functioning of the NZ ETS, and they are unlikely to be available for use to enable emissions above emissions budgets given emitters need to constantly hold and refill their hedges over time. </w:t>
      </w:r>
    </w:p>
    <w:p w14:paraId="0FD5097A" w14:textId="273C6A01" w:rsidR="006A7C5D" w:rsidRDefault="00747BC7" w:rsidP="00747BC7">
      <w:pPr>
        <w:pStyle w:val="BodyText"/>
      </w:pPr>
      <w:r>
        <w:t>Our central estimate of units held for forward hedging by emitters has reduced from 17.4 million units in our 2025 advice to 14.5 million units. This is due to a reduction in our hedging assumptions for the stationary energy and industrial process sectors. We adjusted our assumptions downward as feedback from engagement meetings as well as new public information relevant to the electricity sector indicated that our previous assumptions were overly generous.</w:t>
      </w:r>
    </w:p>
    <w:p w14:paraId="3C7598C0" w14:textId="0A3F321B" w:rsidR="00747BC7" w:rsidRDefault="00747BC7" w:rsidP="00747BC7">
      <w:pPr>
        <w:pStyle w:val="Heading3"/>
      </w:pPr>
      <w:bookmarkStart w:id="36" w:name="_Toc227603124"/>
      <w:r>
        <w:t>Hedging assumptions</w:t>
      </w:r>
      <w:bookmarkEnd w:id="36"/>
    </w:p>
    <w:p w14:paraId="4CF84985" w14:textId="77777777" w:rsidR="004B206D" w:rsidRDefault="004B206D" w:rsidP="004B206D">
      <w:pPr>
        <w:pStyle w:val="BodyText"/>
      </w:pPr>
      <w:r>
        <w:t xml:space="preserve">We estimate the portion of units held for hedging using the NZ ETS emissions cap volumes related to non-forestry sectors (resulting from step 1), </w:t>
      </w:r>
      <w:proofErr w:type="gramStart"/>
      <w:r>
        <w:t>taking into account</w:t>
      </w:r>
      <w:proofErr w:type="gramEnd"/>
      <w:r>
        <w:t xml:space="preserve"> that some emissions will be automatically hedged due to industrial free allocation (step 2).</w:t>
      </w:r>
    </w:p>
    <w:p w14:paraId="6C294C08" w14:textId="3C9F1BAB" w:rsidR="004B206D" w:rsidRDefault="004B206D" w:rsidP="004B206D">
      <w:pPr>
        <w:pStyle w:val="BodyText"/>
      </w:pPr>
      <w:r>
        <w:t xml:space="preserve">Our hedging estimates are shown in Table </w:t>
      </w:r>
      <w:r w:rsidR="009C6061">
        <w:t>9</w:t>
      </w:r>
      <w:r>
        <w:t>. The values represent the percentage of forecast emissions that are assumed be held or purchased by the sector in advance. Our central estimate is presented along with low and high hedging practice scenarios.</w:t>
      </w:r>
      <w:r w:rsidR="009C6061">
        <w:t xml:space="preserve">  </w:t>
      </w:r>
    </w:p>
    <w:p w14:paraId="6D2C5168" w14:textId="0756B69C" w:rsidR="00747BC7" w:rsidRDefault="004B206D" w:rsidP="004B206D">
      <w:pPr>
        <w:pStyle w:val="BodyText"/>
      </w:pPr>
      <w:r>
        <w:t>The hedging practices of emitters vary significantly, both across and within industry groups. Our hedging assumptions are intended to represent a reasonable volume of hedging on average, across all emitters.</w:t>
      </w:r>
    </w:p>
    <w:p w14:paraId="4BAFB2E0" w14:textId="74F4E026" w:rsidR="002043E8" w:rsidRDefault="002043E8" w:rsidP="002043E8">
      <w:pPr>
        <w:pStyle w:val="FigureTabletitle"/>
      </w:pPr>
      <w:r>
        <w:t xml:space="preserve">Table </w:t>
      </w:r>
      <w:r w:rsidR="00B50217">
        <w:fldChar w:fldCharType="begin"/>
      </w:r>
      <w:r w:rsidR="00B50217">
        <w:instrText xml:space="preserve"> SEQ Table \* ARABIC </w:instrText>
      </w:r>
      <w:r w:rsidR="00B50217">
        <w:fldChar w:fldCharType="separate"/>
      </w:r>
      <w:r w:rsidR="00B50217">
        <w:rPr>
          <w:noProof/>
        </w:rPr>
        <w:t>9</w:t>
      </w:r>
      <w:r w:rsidR="00B50217">
        <w:rPr>
          <w:noProof/>
        </w:rPr>
        <w:fldChar w:fldCharType="end"/>
      </w:r>
      <w:r>
        <w:t xml:space="preserve">: </w:t>
      </w:r>
      <w:r w:rsidRPr="00C66D8C">
        <w:t>Sector hedge profile assumptions (including low and high range)</w:t>
      </w:r>
    </w:p>
    <w:tbl>
      <w:tblPr>
        <w:tblStyle w:val="GridTable5Dark-Accent57"/>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400"/>
        <w:gridCol w:w="2160"/>
        <w:gridCol w:w="2160"/>
        <w:gridCol w:w="2160"/>
      </w:tblGrid>
      <w:tr w:rsidR="00935366" w:rsidRPr="00935366" w14:paraId="5E441801" w14:textId="77777777" w:rsidTr="00935366">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400" w:type="dxa"/>
            <w:tcBorders>
              <w:top w:val="single" w:sz="6" w:space="0" w:color="FFFFFF"/>
              <w:left w:val="single" w:sz="6" w:space="0" w:color="FFFFFF"/>
              <w:bottom w:val="single" w:sz="6" w:space="0" w:color="FFFFFF"/>
              <w:right w:val="single" w:sz="6" w:space="0" w:color="FFFFFF"/>
            </w:tcBorders>
            <w:shd w:val="clear" w:color="auto" w:fill="002060"/>
            <w:tcMar>
              <w:right w:w="45" w:type="dxa"/>
            </w:tcMar>
            <w:vAlign w:val="bottom"/>
          </w:tcPr>
          <w:p w14:paraId="4A26763F" w14:textId="77777777" w:rsidR="00935366" w:rsidRPr="00E06D4C" w:rsidRDefault="00935366" w:rsidP="00E06D4C">
            <w:pPr>
              <w:pStyle w:val="Tableheading"/>
              <w:spacing w:before="60" w:after="60"/>
              <w:ind w:left="57" w:right="57"/>
            </w:pPr>
            <w:r w:rsidRPr="00E06D4C">
              <w:rPr>
                <w:b/>
                <w:bCs/>
              </w:rPr>
              <w:t>Sector</w:t>
            </w:r>
          </w:p>
        </w:tc>
        <w:tc>
          <w:tcPr>
            <w:tcW w:w="2160" w:type="dxa"/>
            <w:tcBorders>
              <w:top w:val="single" w:sz="6" w:space="0" w:color="FFFFFF"/>
              <w:left w:val="single" w:sz="6" w:space="0" w:color="FFFFFF"/>
              <w:bottom w:val="single" w:sz="6" w:space="0" w:color="FFFFFF"/>
              <w:right w:val="single" w:sz="6" w:space="0" w:color="FFFFFF"/>
            </w:tcBorders>
            <w:shd w:val="clear" w:color="auto" w:fill="002060"/>
            <w:tcMar>
              <w:right w:w="45" w:type="dxa"/>
            </w:tcMar>
            <w:vAlign w:val="bottom"/>
          </w:tcPr>
          <w:p w14:paraId="40931D30" w14:textId="77777777" w:rsidR="00935366" w:rsidRPr="00F52C33" w:rsidRDefault="00935366" w:rsidP="00E06D4C">
            <w:pPr>
              <w:pStyle w:val="Tableheading"/>
              <w:spacing w:before="60" w:after="60"/>
              <w:ind w:left="57" w:right="57"/>
              <w:cnfStyle w:val="100000000000" w:firstRow="1" w:lastRow="0" w:firstColumn="0" w:lastColumn="0" w:oddVBand="0" w:evenVBand="0" w:oddHBand="0" w:evenHBand="0" w:firstRowFirstColumn="0" w:firstRowLastColumn="0" w:lastRowFirstColumn="0" w:lastRowLastColumn="0"/>
            </w:pPr>
            <w:r w:rsidRPr="00E06D4C">
              <w:rPr>
                <w:b/>
                <w:bCs/>
              </w:rPr>
              <w:t>Year 1 (Y1)</w:t>
            </w:r>
          </w:p>
        </w:tc>
        <w:tc>
          <w:tcPr>
            <w:tcW w:w="2160" w:type="dxa"/>
            <w:tcBorders>
              <w:top w:val="single" w:sz="6" w:space="0" w:color="FFFFFF"/>
              <w:left w:val="single" w:sz="6" w:space="0" w:color="FFFFFF"/>
              <w:bottom w:val="single" w:sz="6" w:space="0" w:color="FFFFFF"/>
              <w:right w:val="single" w:sz="6" w:space="0" w:color="FFFFFF"/>
            </w:tcBorders>
            <w:shd w:val="clear" w:color="auto" w:fill="002060"/>
            <w:tcMar>
              <w:right w:w="45" w:type="dxa"/>
            </w:tcMar>
            <w:vAlign w:val="bottom"/>
          </w:tcPr>
          <w:p w14:paraId="66D38D28" w14:textId="77777777" w:rsidR="00935366" w:rsidRPr="00F52C33" w:rsidRDefault="00935366" w:rsidP="00E06D4C">
            <w:pPr>
              <w:pStyle w:val="Tableheading"/>
              <w:spacing w:before="60" w:after="60"/>
              <w:ind w:left="57" w:right="57"/>
              <w:cnfStyle w:val="100000000000" w:firstRow="1" w:lastRow="0" w:firstColumn="0" w:lastColumn="0" w:oddVBand="0" w:evenVBand="0" w:oddHBand="0" w:evenHBand="0" w:firstRowFirstColumn="0" w:firstRowLastColumn="0" w:lastRowFirstColumn="0" w:lastRowLastColumn="0"/>
            </w:pPr>
            <w:r w:rsidRPr="00E06D4C">
              <w:rPr>
                <w:b/>
                <w:bCs/>
              </w:rPr>
              <w:t>Year 2 (Y2)</w:t>
            </w:r>
          </w:p>
        </w:tc>
        <w:tc>
          <w:tcPr>
            <w:tcW w:w="2160" w:type="dxa"/>
            <w:tcBorders>
              <w:top w:val="single" w:sz="6" w:space="0" w:color="FFFFFF"/>
              <w:left w:val="single" w:sz="6" w:space="0" w:color="FFFFFF"/>
              <w:bottom w:val="single" w:sz="6" w:space="0" w:color="FFFFFF"/>
              <w:right w:val="single" w:sz="6" w:space="0" w:color="FFFFFF"/>
            </w:tcBorders>
            <w:shd w:val="clear" w:color="auto" w:fill="002060"/>
            <w:tcMar>
              <w:right w:w="45" w:type="dxa"/>
            </w:tcMar>
            <w:vAlign w:val="bottom"/>
          </w:tcPr>
          <w:p w14:paraId="5CDB25C0" w14:textId="77777777" w:rsidR="00935366" w:rsidRPr="00F52C33" w:rsidRDefault="00935366" w:rsidP="00E06D4C">
            <w:pPr>
              <w:pStyle w:val="Tableheading"/>
              <w:spacing w:before="60" w:after="60"/>
              <w:ind w:left="57" w:right="57"/>
              <w:cnfStyle w:val="100000000000" w:firstRow="1" w:lastRow="0" w:firstColumn="0" w:lastColumn="0" w:oddVBand="0" w:evenVBand="0" w:oddHBand="0" w:evenHBand="0" w:firstRowFirstColumn="0" w:firstRowLastColumn="0" w:lastRowFirstColumn="0" w:lastRowLastColumn="0"/>
            </w:pPr>
            <w:r w:rsidRPr="00E06D4C">
              <w:rPr>
                <w:b/>
                <w:bCs/>
              </w:rPr>
              <w:t>Year 3 (Y3)</w:t>
            </w:r>
          </w:p>
        </w:tc>
      </w:tr>
      <w:tr w:rsidR="001B5A77" w:rsidRPr="00935366" w14:paraId="1E447960" w14:textId="77777777" w:rsidTr="00935366">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2400" w:type="dxa"/>
            <w:tcBorders>
              <w:top w:val="single" w:sz="6" w:space="0" w:color="FFFFFF"/>
              <w:left w:val="single" w:sz="6" w:space="0" w:color="FFFFFF"/>
              <w:bottom w:val="single" w:sz="6" w:space="0" w:color="FFFFFF"/>
              <w:right w:val="single" w:sz="6" w:space="0" w:color="FFFFFF"/>
            </w:tcBorders>
            <w:shd w:val="clear" w:color="auto" w:fill="C1DCD5"/>
            <w:tcMar>
              <w:right w:w="45" w:type="dxa"/>
            </w:tcMar>
            <w:vAlign w:val="center"/>
          </w:tcPr>
          <w:p w14:paraId="7559D5B9" w14:textId="77777777" w:rsidR="00935366" w:rsidRPr="00E06D4C" w:rsidRDefault="00935366" w:rsidP="00E06D4C">
            <w:pPr>
              <w:pStyle w:val="TableParagraph"/>
              <w:spacing w:before="60" w:after="60"/>
              <w:ind w:left="57" w:right="57"/>
              <w:rPr>
                <w:color w:val="auto"/>
              </w:rPr>
            </w:pPr>
            <w:r w:rsidRPr="00E06D4C">
              <w:rPr>
                <w:color w:val="auto"/>
              </w:rPr>
              <w:t>Liquid fossil fuels</w:t>
            </w:r>
          </w:p>
        </w:tc>
        <w:tc>
          <w:tcPr>
            <w:tcW w:w="2160" w:type="dxa"/>
            <w:tcBorders>
              <w:top w:val="single" w:sz="6" w:space="0" w:color="FFFFFF"/>
              <w:left w:val="single" w:sz="6" w:space="0" w:color="FFFFFF"/>
              <w:bottom w:val="single" w:sz="6" w:space="0" w:color="FFFFFF"/>
              <w:right w:val="single" w:sz="6" w:space="0" w:color="FFFFFF"/>
            </w:tcBorders>
            <w:shd w:val="clear" w:color="auto" w:fill="D4E8DE"/>
            <w:tcMar>
              <w:right w:w="45" w:type="dxa"/>
            </w:tcMar>
            <w:vAlign w:val="bottom"/>
          </w:tcPr>
          <w:p w14:paraId="1269019C" w14:textId="77777777" w:rsidR="00935366" w:rsidRPr="00935366" w:rsidRDefault="00935366" w:rsidP="00E06D4C">
            <w:pPr>
              <w:pStyle w:val="TableParagraph"/>
              <w:spacing w:before="60" w:after="60"/>
              <w:ind w:left="57" w:right="57"/>
              <w:cnfStyle w:val="000000100000" w:firstRow="0" w:lastRow="0" w:firstColumn="0" w:lastColumn="0" w:oddVBand="0" w:evenVBand="0" w:oddHBand="1" w:evenHBand="0" w:firstRowFirstColumn="0" w:firstRowLastColumn="0" w:lastRowFirstColumn="0" w:lastRowLastColumn="0"/>
              <w:rPr>
                <w:rFonts w:cs="Calibri"/>
              </w:rPr>
            </w:pPr>
            <w:r w:rsidRPr="00935366">
              <w:t>27%</w:t>
            </w:r>
          </w:p>
          <w:p w14:paraId="616F8A9F" w14:textId="7222EFDF" w:rsidR="00935366" w:rsidRPr="00935366" w:rsidRDefault="00935366" w:rsidP="00E06D4C">
            <w:pPr>
              <w:pStyle w:val="TableParagraph"/>
              <w:spacing w:before="60" w:after="60"/>
              <w:ind w:left="57" w:right="57"/>
              <w:cnfStyle w:val="000000100000" w:firstRow="0" w:lastRow="0" w:firstColumn="0" w:lastColumn="0" w:oddVBand="0" w:evenVBand="0" w:oddHBand="1" w:evenHBand="0" w:firstRowFirstColumn="0" w:firstRowLastColumn="0" w:lastRowFirstColumn="0" w:lastRowLastColumn="0"/>
            </w:pPr>
            <w:r w:rsidRPr="00935366">
              <w:t>(</w:t>
            </w:r>
            <w:r w:rsidR="00640CCE">
              <w:t>22</w:t>
            </w:r>
            <w:r w:rsidRPr="00935366">
              <w:t>%-</w:t>
            </w:r>
            <w:r w:rsidR="00640CCE">
              <w:t>31</w:t>
            </w:r>
            <w:r w:rsidRPr="00935366">
              <w:t>%)</w:t>
            </w:r>
          </w:p>
        </w:tc>
        <w:tc>
          <w:tcPr>
            <w:tcW w:w="2160" w:type="dxa"/>
            <w:tcBorders>
              <w:top w:val="single" w:sz="6" w:space="0" w:color="FFFFFF"/>
              <w:left w:val="single" w:sz="6" w:space="0" w:color="FFFFFF"/>
              <w:bottom w:val="single" w:sz="6" w:space="0" w:color="FFFFFF"/>
              <w:right w:val="single" w:sz="6" w:space="0" w:color="FFFFFF"/>
            </w:tcBorders>
            <w:shd w:val="clear" w:color="auto" w:fill="D4E8DE"/>
            <w:tcMar>
              <w:right w:w="45" w:type="dxa"/>
            </w:tcMar>
            <w:vAlign w:val="bottom"/>
          </w:tcPr>
          <w:p w14:paraId="0F25E482" w14:textId="77777777" w:rsidR="00935366" w:rsidRPr="00935366" w:rsidRDefault="00935366" w:rsidP="00E06D4C">
            <w:pPr>
              <w:pStyle w:val="TableParagraph"/>
              <w:spacing w:before="60" w:after="60"/>
              <w:ind w:left="57" w:right="57"/>
              <w:cnfStyle w:val="000000100000" w:firstRow="0" w:lastRow="0" w:firstColumn="0" w:lastColumn="0" w:oddVBand="0" w:evenVBand="0" w:oddHBand="1" w:evenHBand="0" w:firstRowFirstColumn="0" w:firstRowLastColumn="0" w:lastRowFirstColumn="0" w:lastRowLastColumn="0"/>
              <w:rPr>
                <w:rFonts w:cs="Calibri"/>
              </w:rPr>
            </w:pPr>
            <w:r w:rsidRPr="00935366">
              <w:t>5%</w:t>
            </w:r>
          </w:p>
          <w:p w14:paraId="3BBC1489" w14:textId="52D60B60" w:rsidR="00935366" w:rsidRPr="00935366" w:rsidRDefault="00935366" w:rsidP="00E06D4C">
            <w:pPr>
              <w:pStyle w:val="TableParagraph"/>
              <w:spacing w:before="60" w:after="60"/>
              <w:ind w:left="57" w:right="57"/>
              <w:cnfStyle w:val="000000100000" w:firstRow="0" w:lastRow="0" w:firstColumn="0" w:lastColumn="0" w:oddVBand="0" w:evenVBand="0" w:oddHBand="1" w:evenHBand="0" w:firstRowFirstColumn="0" w:firstRowLastColumn="0" w:lastRowFirstColumn="0" w:lastRowLastColumn="0"/>
            </w:pPr>
            <w:r w:rsidRPr="00935366">
              <w:t>(</w:t>
            </w:r>
            <w:r w:rsidR="00640CCE">
              <w:t>1</w:t>
            </w:r>
            <w:r w:rsidRPr="00935366">
              <w:t>%-</w:t>
            </w:r>
            <w:r w:rsidR="00640CCE">
              <w:t>8</w:t>
            </w:r>
            <w:r w:rsidRPr="00935366">
              <w:t>%)</w:t>
            </w:r>
          </w:p>
        </w:tc>
        <w:tc>
          <w:tcPr>
            <w:tcW w:w="2160" w:type="dxa"/>
            <w:tcBorders>
              <w:top w:val="single" w:sz="6" w:space="0" w:color="FFFFFF"/>
              <w:left w:val="single" w:sz="6" w:space="0" w:color="FFFFFF"/>
              <w:bottom w:val="single" w:sz="6" w:space="0" w:color="FFFFFF"/>
              <w:right w:val="single" w:sz="6" w:space="0" w:color="FFFFFF"/>
            </w:tcBorders>
            <w:shd w:val="clear" w:color="auto" w:fill="D4E8DE"/>
            <w:tcMar>
              <w:right w:w="45" w:type="dxa"/>
            </w:tcMar>
            <w:vAlign w:val="bottom"/>
          </w:tcPr>
          <w:p w14:paraId="396CA649" w14:textId="77777777" w:rsidR="00935366" w:rsidRPr="00935366" w:rsidRDefault="00935366" w:rsidP="00E06D4C">
            <w:pPr>
              <w:pStyle w:val="TableParagraph"/>
              <w:spacing w:before="60" w:after="60"/>
              <w:ind w:left="57" w:right="57"/>
              <w:cnfStyle w:val="000000100000" w:firstRow="0" w:lastRow="0" w:firstColumn="0" w:lastColumn="0" w:oddVBand="0" w:evenVBand="0" w:oddHBand="1" w:evenHBand="0" w:firstRowFirstColumn="0" w:firstRowLastColumn="0" w:lastRowFirstColumn="0" w:lastRowLastColumn="0"/>
              <w:rPr>
                <w:rFonts w:cs="Calibri"/>
              </w:rPr>
            </w:pPr>
            <w:r w:rsidRPr="00935366">
              <w:t>0%</w:t>
            </w:r>
          </w:p>
          <w:p w14:paraId="1834022F" w14:textId="1C593069" w:rsidR="00935366" w:rsidRPr="00935366" w:rsidRDefault="00935366" w:rsidP="00E06D4C">
            <w:pPr>
              <w:pStyle w:val="TableParagraph"/>
              <w:spacing w:before="60" w:after="60"/>
              <w:ind w:left="57" w:right="57"/>
              <w:cnfStyle w:val="000000100000" w:firstRow="0" w:lastRow="0" w:firstColumn="0" w:lastColumn="0" w:oddVBand="0" w:evenVBand="0" w:oddHBand="1" w:evenHBand="0" w:firstRowFirstColumn="0" w:firstRowLastColumn="0" w:lastRowFirstColumn="0" w:lastRowLastColumn="0"/>
            </w:pPr>
            <w:r w:rsidRPr="00935366">
              <w:t>(</w:t>
            </w:r>
            <w:r w:rsidR="00640CCE">
              <w:t>0</w:t>
            </w:r>
            <w:r w:rsidRPr="00935366">
              <w:t>%-</w:t>
            </w:r>
            <w:r w:rsidR="00640CCE">
              <w:t>1</w:t>
            </w:r>
            <w:r w:rsidRPr="00935366">
              <w:t>%)</w:t>
            </w:r>
          </w:p>
        </w:tc>
      </w:tr>
      <w:tr w:rsidR="001B5A77" w:rsidRPr="00935366" w14:paraId="44D46CE0" w14:textId="77777777" w:rsidTr="00935366">
        <w:trPr>
          <w:trHeight w:val="480"/>
        </w:trPr>
        <w:tc>
          <w:tcPr>
            <w:cnfStyle w:val="001000000000" w:firstRow="0" w:lastRow="0" w:firstColumn="1" w:lastColumn="0" w:oddVBand="0" w:evenVBand="0" w:oddHBand="0" w:evenHBand="0" w:firstRowFirstColumn="0" w:firstRowLastColumn="0" w:lastRowFirstColumn="0" w:lastRowLastColumn="0"/>
            <w:tcW w:w="2400" w:type="dxa"/>
            <w:tcBorders>
              <w:top w:val="single" w:sz="6" w:space="0" w:color="FFFFFF"/>
              <w:left w:val="single" w:sz="6" w:space="0" w:color="FFFFFF"/>
              <w:bottom w:val="single" w:sz="6" w:space="0" w:color="FFFFFF"/>
              <w:right w:val="single" w:sz="6" w:space="0" w:color="FFFFFF"/>
            </w:tcBorders>
            <w:shd w:val="clear" w:color="auto" w:fill="C1DCD5"/>
            <w:tcMar>
              <w:right w:w="45" w:type="dxa"/>
            </w:tcMar>
            <w:vAlign w:val="center"/>
          </w:tcPr>
          <w:p w14:paraId="43F12979" w14:textId="77777777" w:rsidR="00935366" w:rsidRPr="00E06D4C" w:rsidRDefault="00935366" w:rsidP="00E06D4C">
            <w:pPr>
              <w:pStyle w:val="TableParagraph"/>
              <w:spacing w:before="60" w:after="60"/>
              <w:ind w:left="57" w:right="57"/>
              <w:rPr>
                <w:color w:val="auto"/>
              </w:rPr>
            </w:pPr>
            <w:r w:rsidRPr="00E06D4C">
              <w:rPr>
                <w:color w:val="auto"/>
              </w:rPr>
              <w:t>Stationary energy &amp; industrial processes</w:t>
            </w:r>
          </w:p>
        </w:tc>
        <w:tc>
          <w:tcPr>
            <w:tcW w:w="2160" w:type="dxa"/>
            <w:tcBorders>
              <w:top w:val="single" w:sz="6" w:space="0" w:color="FFFFFF"/>
              <w:left w:val="single" w:sz="6" w:space="0" w:color="FFFFFF"/>
              <w:bottom w:val="single" w:sz="6" w:space="0" w:color="FFFFFF"/>
              <w:right w:val="single" w:sz="6" w:space="0" w:color="FFFFFF"/>
            </w:tcBorders>
            <w:shd w:val="clear" w:color="auto" w:fill="E9F5F2"/>
            <w:tcMar>
              <w:right w:w="45" w:type="dxa"/>
            </w:tcMar>
            <w:vAlign w:val="bottom"/>
          </w:tcPr>
          <w:p w14:paraId="15D0D962" w14:textId="77777777" w:rsidR="00935366" w:rsidRPr="00935366" w:rsidRDefault="00935366" w:rsidP="00E06D4C">
            <w:pPr>
              <w:pStyle w:val="TableParagraph"/>
              <w:spacing w:before="60" w:after="60"/>
              <w:ind w:left="57" w:right="57"/>
              <w:cnfStyle w:val="000000000000" w:firstRow="0" w:lastRow="0" w:firstColumn="0" w:lastColumn="0" w:oddVBand="0" w:evenVBand="0" w:oddHBand="0" w:evenHBand="0" w:firstRowFirstColumn="0" w:firstRowLastColumn="0" w:lastRowFirstColumn="0" w:lastRowLastColumn="0"/>
              <w:rPr>
                <w:rFonts w:cs="Calibri"/>
              </w:rPr>
            </w:pPr>
            <w:r w:rsidRPr="00935366">
              <w:t>75%</w:t>
            </w:r>
          </w:p>
          <w:p w14:paraId="08303097" w14:textId="69761F24" w:rsidR="00935366" w:rsidRPr="00935366" w:rsidRDefault="00935366" w:rsidP="00E06D4C">
            <w:pPr>
              <w:pStyle w:val="TableParagraph"/>
              <w:spacing w:before="60" w:after="60"/>
              <w:ind w:left="57" w:right="57"/>
              <w:cnfStyle w:val="000000000000" w:firstRow="0" w:lastRow="0" w:firstColumn="0" w:lastColumn="0" w:oddVBand="0" w:evenVBand="0" w:oddHBand="0" w:evenHBand="0" w:firstRowFirstColumn="0" w:firstRowLastColumn="0" w:lastRowFirstColumn="0" w:lastRowLastColumn="0"/>
            </w:pPr>
            <w:r w:rsidRPr="00935366">
              <w:t>(</w:t>
            </w:r>
            <w:r w:rsidR="00640CCE">
              <w:t>75</w:t>
            </w:r>
            <w:r w:rsidRPr="00935366">
              <w:t>%-</w:t>
            </w:r>
            <w:r w:rsidR="00640CCE">
              <w:t>100</w:t>
            </w:r>
            <w:r w:rsidRPr="00935366">
              <w:t>%)</w:t>
            </w:r>
          </w:p>
        </w:tc>
        <w:tc>
          <w:tcPr>
            <w:tcW w:w="2160" w:type="dxa"/>
            <w:tcBorders>
              <w:top w:val="single" w:sz="6" w:space="0" w:color="FFFFFF"/>
              <w:left w:val="single" w:sz="6" w:space="0" w:color="FFFFFF"/>
              <w:bottom w:val="single" w:sz="6" w:space="0" w:color="FFFFFF"/>
              <w:right w:val="single" w:sz="6" w:space="0" w:color="FFFFFF"/>
            </w:tcBorders>
            <w:shd w:val="clear" w:color="auto" w:fill="E9F5F2"/>
            <w:tcMar>
              <w:right w:w="45" w:type="dxa"/>
            </w:tcMar>
            <w:vAlign w:val="bottom"/>
          </w:tcPr>
          <w:p w14:paraId="3BC4B5DF" w14:textId="77777777" w:rsidR="00935366" w:rsidRPr="00935366" w:rsidRDefault="00935366" w:rsidP="00E06D4C">
            <w:pPr>
              <w:pStyle w:val="TableParagraph"/>
              <w:spacing w:before="60" w:after="60"/>
              <w:ind w:left="57" w:right="57"/>
              <w:cnfStyle w:val="000000000000" w:firstRow="0" w:lastRow="0" w:firstColumn="0" w:lastColumn="0" w:oddVBand="0" w:evenVBand="0" w:oddHBand="0" w:evenHBand="0" w:firstRowFirstColumn="0" w:firstRowLastColumn="0" w:lastRowFirstColumn="0" w:lastRowLastColumn="0"/>
              <w:rPr>
                <w:rFonts w:cs="Calibri"/>
              </w:rPr>
            </w:pPr>
            <w:r w:rsidRPr="00935366">
              <w:t>50%</w:t>
            </w:r>
          </w:p>
          <w:p w14:paraId="0481FB84" w14:textId="79ADDCEF" w:rsidR="00935366" w:rsidRPr="00935366" w:rsidRDefault="00935366" w:rsidP="00E06D4C">
            <w:pPr>
              <w:pStyle w:val="TableParagraph"/>
              <w:spacing w:before="60" w:after="60"/>
              <w:ind w:left="57" w:right="57"/>
              <w:cnfStyle w:val="000000000000" w:firstRow="0" w:lastRow="0" w:firstColumn="0" w:lastColumn="0" w:oddVBand="0" w:evenVBand="0" w:oddHBand="0" w:evenHBand="0" w:firstRowFirstColumn="0" w:firstRowLastColumn="0" w:lastRowFirstColumn="0" w:lastRowLastColumn="0"/>
            </w:pPr>
            <w:r w:rsidRPr="00935366">
              <w:t>(</w:t>
            </w:r>
            <w:r w:rsidR="00640CCE">
              <w:t>25</w:t>
            </w:r>
            <w:r w:rsidRPr="00935366">
              <w:t>%-</w:t>
            </w:r>
            <w:r w:rsidR="00640CCE">
              <w:t>67</w:t>
            </w:r>
            <w:r w:rsidRPr="00935366">
              <w:t>%)</w:t>
            </w:r>
          </w:p>
        </w:tc>
        <w:tc>
          <w:tcPr>
            <w:tcW w:w="2160" w:type="dxa"/>
            <w:tcBorders>
              <w:top w:val="single" w:sz="6" w:space="0" w:color="FFFFFF"/>
              <w:left w:val="single" w:sz="6" w:space="0" w:color="FFFFFF"/>
              <w:bottom w:val="single" w:sz="6" w:space="0" w:color="FFFFFF"/>
              <w:right w:val="single" w:sz="6" w:space="0" w:color="FFFFFF"/>
            </w:tcBorders>
            <w:shd w:val="clear" w:color="auto" w:fill="E9F5F2"/>
            <w:tcMar>
              <w:right w:w="45" w:type="dxa"/>
            </w:tcMar>
            <w:vAlign w:val="bottom"/>
          </w:tcPr>
          <w:p w14:paraId="099A9FB8" w14:textId="77777777" w:rsidR="00935366" w:rsidRPr="00935366" w:rsidRDefault="00935366" w:rsidP="00E06D4C">
            <w:pPr>
              <w:pStyle w:val="TableParagraph"/>
              <w:spacing w:before="60" w:after="60"/>
              <w:ind w:left="57" w:right="57"/>
              <w:cnfStyle w:val="000000000000" w:firstRow="0" w:lastRow="0" w:firstColumn="0" w:lastColumn="0" w:oddVBand="0" w:evenVBand="0" w:oddHBand="0" w:evenHBand="0" w:firstRowFirstColumn="0" w:firstRowLastColumn="0" w:lastRowFirstColumn="0" w:lastRowLastColumn="0"/>
              <w:rPr>
                <w:rFonts w:cs="Calibri"/>
              </w:rPr>
            </w:pPr>
            <w:r w:rsidRPr="00935366">
              <w:t>25%</w:t>
            </w:r>
          </w:p>
          <w:p w14:paraId="0BEE0221" w14:textId="02B9B867" w:rsidR="00935366" w:rsidRPr="00935366" w:rsidRDefault="00935366" w:rsidP="00E06D4C">
            <w:pPr>
              <w:pStyle w:val="TableParagraph"/>
              <w:spacing w:before="60" w:after="60"/>
              <w:ind w:left="57" w:right="57"/>
              <w:cnfStyle w:val="000000000000" w:firstRow="0" w:lastRow="0" w:firstColumn="0" w:lastColumn="0" w:oddVBand="0" w:evenVBand="0" w:oddHBand="0" w:evenHBand="0" w:firstRowFirstColumn="0" w:firstRowLastColumn="0" w:lastRowFirstColumn="0" w:lastRowLastColumn="0"/>
            </w:pPr>
            <w:r w:rsidRPr="00935366">
              <w:t>(</w:t>
            </w:r>
            <w:r w:rsidR="00640CCE">
              <w:t>0</w:t>
            </w:r>
            <w:r w:rsidRPr="00935366">
              <w:t>%-</w:t>
            </w:r>
            <w:r w:rsidR="00640CCE">
              <w:t>33</w:t>
            </w:r>
            <w:r w:rsidRPr="00935366">
              <w:t>%)</w:t>
            </w:r>
          </w:p>
        </w:tc>
      </w:tr>
      <w:tr w:rsidR="001B5A77" w:rsidRPr="00935366" w14:paraId="4576826D" w14:textId="77777777" w:rsidTr="00935366">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400" w:type="dxa"/>
            <w:tcBorders>
              <w:top w:val="single" w:sz="6" w:space="0" w:color="FFFFFF"/>
              <w:left w:val="single" w:sz="6" w:space="0" w:color="FFFFFF"/>
              <w:bottom w:val="single" w:sz="6" w:space="0" w:color="FFFFFF"/>
              <w:right w:val="single" w:sz="6" w:space="0" w:color="FFFFFF"/>
            </w:tcBorders>
            <w:shd w:val="clear" w:color="auto" w:fill="C1DCD5"/>
            <w:tcMar>
              <w:right w:w="45" w:type="dxa"/>
            </w:tcMar>
            <w:vAlign w:val="center"/>
          </w:tcPr>
          <w:p w14:paraId="2461B2C1" w14:textId="77777777" w:rsidR="00935366" w:rsidRPr="00E06D4C" w:rsidRDefault="00935366" w:rsidP="00E06D4C">
            <w:pPr>
              <w:pStyle w:val="TableParagraph"/>
              <w:spacing w:before="60" w:after="60"/>
              <w:ind w:left="57" w:right="57"/>
              <w:rPr>
                <w:color w:val="auto"/>
              </w:rPr>
            </w:pPr>
            <w:r w:rsidRPr="00E06D4C">
              <w:rPr>
                <w:color w:val="auto"/>
              </w:rPr>
              <w:t>Waste</w:t>
            </w:r>
          </w:p>
        </w:tc>
        <w:tc>
          <w:tcPr>
            <w:tcW w:w="2160" w:type="dxa"/>
            <w:tcBorders>
              <w:top w:val="single" w:sz="6" w:space="0" w:color="FFFFFF"/>
              <w:left w:val="single" w:sz="6" w:space="0" w:color="FFFFFF"/>
              <w:bottom w:val="single" w:sz="6" w:space="0" w:color="FFFFFF"/>
              <w:right w:val="single" w:sz="6" w:space="0" w:color="FFFFFF"/>
            </w:tcBorders>
            <w:shd w:val="clear" w:color="auto" w:fill="E9F5F2"/>
            <w:tcMar>
              <w:right w:w="45" w:type="dxa"/>
            </w:tcMar>
            <w:vAlign w:val="bottom"/>
          </w:tcPr>
          <w:p w14:paraId="531366BC" w14:textId="77777777" w:rsidR="00935366" w:rsidRPr="00935366" w:rsidRDefault="00935366" w:rsidP="00E06D4C">
            <w:pPr>
              <w:pStyle w:val="TableParagraph"/>
              <w:spacing w:before="60" w:after="60"/>
              <w:ind w:left="57" w:right="57"/>
              <w:cnfStyle w:val="000000100000" w:firstRow="0" w:lastRow="0" w:firstColumn="0" w:lastColumn="0" w:oddVBand="0" w:evenVBand="0" w:oddHBand="1" w:evenHBand="0" w:firstRowFirstColumn="0" w:firstRowLastColumn="0" w:lastRowFirstColumn="0" w:lastRowLastColumn="0"/>
            </w:pPr>
            <w:r w:rsidRPr="00935366">
              <w:t>100%</w:t>
            </w:r>
          </w:p>
        </w:tc>
        <w:tc>
          <w:tcPr>
            <w:tcW w:w="2160" w:type="dxa"/>
            <w:tcBorders>
              <w:top w:val="single" w:sz="6" w:space="0" w:color="FFFFFF"/>
              <w:left w:val="single" w:sz="6" w:space="0" w:color="FFFFFF"/>
              <w:bottom w:val="single" w:sz="6" w:space="0" w:color="FFFFFF"/>
              <w:right w:val="single" w:sz="6" w:space="0" w:color="FFFFFF"/>
            </w:tcBorders>
            <w:shd w:val="clear" w:color="auto" w:fill="E9F5F2"/>
            <w:tcMar>
              <w:right w:w="45" w:type="dxa"/>
            </w:tcMar>
            <w:vAlign w:val="bottom"/>
          </w:tcPr>
          <w:p w14:paraId="2A592539" w14:textId="77777777" w:rsidR="00935366" w:rsidRPr="00935366" w:rsidRDefault="00935366" w:rsidP="00E06D4C">
            <w:pPr>
              <w:pStyle w:val="TableParagraph"/>
              <w:spacing w:before="60" w:after="60"/>
              <w:ind w:left="57" w:right="57"/>
              <w:cnfStyle w:val="000000100000" w:firstRow="0" w:lastRow="0" w:firstColumn="0" w:lastColumn="0" w:oddVBand="0" w:evenVBand="0" w:oddHBand="1" w:evenHBand="0" w:firstRowFirstColumn="0" w:firstRowLastColumn="0" w:lastRowFirstColumn="0" w:lastRowLastColumn="0"/>
            </w:pPr>
            <w:r w:rsidRPr="00935366">
              <w:t>0%</w:t>
            </w:r>
          </w:p>
        </w:tc>
        <w:tc>
          <w:tcPr>
            <w:tcW w:w="2160" w:type="dxa"/>
            <w:tcBorders>
              <w:top w:val="single" w:sz="6" w:space="0" w:color="FFFFFF"/>
              <w:left w:val="single" w:sz="6" w:space="0" w:color="FFFFFF"/>
              <w:bottom w:val="single" w:sz="6" w:space="0" w:color="FFFFFF"/>
              <w:right w:val="single" w:sz="6" w:space="0" w:color="FFFFFF"/>
            </w:tcBorders>
            <w:shd w:val="clear" w:color="auto" w:fill="E9F5F2"/>
            <w:tcMar>
              <w:right w:w="45" w:type="dxa"/>
            </w:tcMar>
            <w:vAlign w:val="bottom"/>
          </w:tcPr>
          <w:p w14:paraId="38F5B6E7" w14:textId="492DCDA9" w:rsidR="00935366" w:rsidRPr="00935366" w:rsidRDefault="00935366" w:rsidP="00E06D4C">
            <w:pPr>
              <w:pStyle w:val="TableParagraph"/>
              <w:spacing w:before="60" w:after="60"/>
              <w:ind w:left="57" w:right="57"/>
              <w:cnfStyle w:val="000000100000" w:firstRow="0" w:lastRow="0" w:firstColumn="0" w:lastColumn="0" w:oddVBand="0" w:evenVBand="0" w:oddHBand="1" w:evenHBand="0" w:firstRowFirstColumn="0" w:firstRowLastColumn="0" w:lastRowFirstColumn="0" w:lastRowLastColumn="0"/>
            </w:pPr>
            <w:r w:rsidRPr="00935366">
              <w:t>0%</w:t>
            </w:r>
          </w:p>
        </w:tc>
      </w:tr>
    </w:tbl>
    <w:p w14:paraId="66F2ECD9" w14:textId="3C9F6B55" w:rsidR="004B206D" w:rsidRDefault="002043E8" w:rsidP="002043E8">
      <w:pPr>
        <w:pStyle w:val="Heading3"/>
      </w:pPr>
      <w:bookmarkStart w:id="37" w:name="_Toc227603125"/>
      <w:r>
        <w:t>Base year for hedging estimates</w:t>
      </w:r>
      <w:bookmarkEnd w:id="37"/>
    </w:p>
    <w:p w14:paraId="0A3E8275" w14:textId="5F6D8320" w:rsidR="007C0F42" w:rsidRDefault="007C0F42" w:rsidP="007C0F42">
      <w:pPr>
        <w:pStyle w:val="BodyText"/>
      </w:pPr>
      <w:r>
        <w:t xml:space="preserve">Consistent with our previous advice, we have estimated the hedging volume at 2030, the </w:t>
      </w:r>
      <w:r w:rsidR="003C3C3D">
        <w:t xml:space="preserve">Government’s </w:t>
      </w:r>
      <w:r>
        <w:t xml:space="preserve">target year </w:t>
      </w:r>
      <w:r w:rsidR="003C3C3D">
        <w:t xml:space="preserve">for eliminating </w:t>
      </w:r>
      <w:r>
        <w:t xml:space="preserve">the surplus. </w:t>
      </w:r>
    </w:p>
    <w:p w14:paraId="1B1F84F8" w14:textId="15FC23D6" w:rsidR="007C0F42" w:rsidRDefault="007C0F42" w:rsidP="007C0F42">
      <w:pPr>
        <w:pStyle w:val="BodyText"/>
      </w:pPr>
      <w:r>
        <w:t>Using 2030 as the base year accounts for the fact that</w:t>
      </w:r>
      <w:r w:rsidR="0062749A">
        <w:t>,</w:t>
      </w:r>
      <w:r>
        <w:t xml:space="preserve"> as emitters decarbonise, their need for forward hedging will reduce. Over time, some units they hold for hedging now will no longer be </w:t>
      </w:r>
      <w:proofErr w:type="gramStart"/>
      <w:r>
        <w:t>needed, and</w:t>
      </w:r>
      <w:proofErr w:type="gramEnd"/>
      <w:r>
        <w:t xml:space="preserve"> will instead contribute to the surplus. This matches our approach to estimating pre-1990 units we expect to remain unsold in 2030. </w:t>
      </w:r>
    </w:p>
    <w:p w14:paraId="608E5DC1" w14:textId="233CD5FE" w:rsidR="002043E8" w:rsidRDefault="007C0F42" w:rsidP="007C0F42">
      <w:pPr>
        <w:pStyle w:val="BodyText"/>
      </w:pPr>
      <w:r>
        <w:t xml:space="preserve">This means that even if the surplus units that have accumulated in the NZ ETS due to historical factors are eliminated by 2030, we will still need to account for a small </w:t>
      </w:r>
      <w:proofErr w:type="gramStart"/>
      <w:r>
        <w:t>amount</w:t>
      </w:r>
      <w:proofErr w:type="gramEnd"/>
      <w:r>
        <w:t xml:space="preserve"> of units that will free up each year as non-forestry participants’ hedging volumes decline.</w:t>
      </w:r>
    </w:p>
    <w:p w14:paraId="0F48B752" w14:textId="2AE027B0" w:rsidR="007C0F42" w:rsidRDefault="007C0F42" w:rsidP="007C0F42">
      <w:pPr>
        <w:pStyle w:val="Heading3"/>
      </w:pPr>
      <w:bookmarkStart w:id="38" w:name="_Toc227603126"/>
      <w:r>
        <w:t>Detailed assumptions relating to hedging</w:t>
      </w:r>
      <w:bookmarkEnd w:id="38"/>
    </w:p>
    <w:p w14:paraId="3363231E" w14:textId="55D44F81" w:rsidR="00D721C9" w:rsidRDefault="00D721C9" w:rsidP="00D721C9">
      <w:pPr>
        <w:pStyle w:val="BodyText"/>
      </w:pPr>
      <w:r>
        <w:t xml:space="preserve">The forecast volume of industrial allocation units is </w:t>
      </w:r>
      <w:r w:rsidR="0053173D">
        <w:t xml:space="preserve">subtracted </w:t>
      </w:r>
      <w:r>
        <w:t xml:space="preserve">from the estimated hedging volumes, as emitters that receive industrial allocation are effectively already hedging a portion of their emissions by the units they expect to receive. Not all industrial allocation units are allocated to participants with direct surrender obligations, therefore only a portion of the total industrial allocation forecast is </w:t>
      </w:r>
      <w:r w:rsidR="0053173D">
        <w:t>subtracted</w:t>
      </w:r>
      <w:r>
        <w:t xml:space="preserve">. Based on review of the sectors and participants receiving allocations, we estimate that all IPPU industrial allocations can be removed from hedging, and 70% of stationary energy allocations. </w:t>
      </w:r>
    </w:p>
    <w:p w14:paraId="0700E221" w14:textId="14DD7A34" w:rsidR="007C0F42" w:rsidRDefault="00A934AB" w:rsidP="00D721C9">
      <w:pPr>
        <w:pStyle w:val="BodyText"/>
      </w:pPr>
      <w:r>
        <w:t xml:space="preserve">The GHG </w:t>
      </w:r>
      <w:r w:rsidR="00813364">
        <w:t>Inventory</w:t>
      </w:r>
      <w:r>
        <w:t xml:space="preserve"> </w:t>
      </w:r>
      <w:r w:rsidR="003602CB">
        <w:t>non-transport e</w:t>
      </w:r>
      <w:r w:rsidR="0065135A">
        <w:t>nergy emissions category</w:t>
      </w:r>
      <w:r w:rsidR="00001FBE">
        <w:t xml:space="preserve"> </w:t>
      </w:r>
      <w:r>
        <w:t>includes liquid fossil fuel</w:t>
      </w:r>
      <w:r w:rsidR="00600BED">
        <w:t xml:space="preserve"> (LFF)</w:t>
      </w:r>
      <w:r>
        <w:t xml:space="preserve"> </w:t>
      </w:r>
      <w:r w:rsidR="003602CB">
        <w:t>and</w:t>
      </w:r>
      <w:r>
        <w:t xml:space="preserve"> </w:t>
      </w:r>
      <w:r w:rsidR="00581714">
        <w:t>stationary energy</w:t>
      </w:r>
      <w:r w:rsidR="003602CB">
        <w:t xml:space="preserve"> emissions</w:t>
      </w:r>
      <w:r w:rsidR="00581714">
        <w:t xml:space="preserve">. For the hedging assumptions we </w:t>
      </w:r>
      <w:r w:rsidR="00600BED">
        <w:t xml:space="preserve">need to separate these to align with the NZ ETS definitions of LFF and stationary energy. </w:t>
      </w:r>
      <w:r w:rsidR="00875B5F">
        <w:t>This split</w:t>
      </w:r>
      <w:r w:rsidR="00D721C9">
        <w:t xml:space="preserve"> is not specifically provided in the 2025 government emissions projections. We</w:t>
      </w:r>
      <w:r w:rsidR="00875B5F">
        <w:t xml:space="preserve"> have applied assumptions based on </w:t>
      </w:r>
      <w:r w:rsidR="00F8696D">
        <w:t xml:space="preserve">historic GHG </w:t>
      </w:r>
      <w:r w:rsidR="00813364">
        <w:t>Inventory</w:t>
      </w:r>
      <w:r w:rsidR="00F8696D">
        <w:t xml:space="preserve"> </w:t>
      </w:r>
      <w:r w:rsidR="00F4360E">
        <w:t>which provides a breakdown of emissions by fuel type</w:t>
      </w:r>
      <w:r w:rsidR="00F8696D">
        <w:t>.</w:t>
      </w:r>
      <w:r w:rsidR="00D721C9">
        <w:t xml:space="preserve"> </w:t>
      </w:r>
      <w:r w:rsidR="00C24EC3">
        <w:t xml:space="preserve">We </w:t>
      </w:r>
      <w:r w:rsidR="00D721C9">
        <w:t xml:space="preserve">assume that 39% of non-transport </w:t>
      </w:r>
      <w:r w:rsidR="003602CB">
        <w:t>energy</w:t>
      </w:r>
      <w:r w:rsidR="00D721C9">
        <w:t xml:space="preserve"> emissions relate to LFF in 2030. </w:t>
      </w:r>
      <w:r w:rsidR="003602CB">
        <w:t xml:space="preserve">We also assume 100% of transport energy emissions relate to LFF in 2030. </w:t>
      </w:r>
    </w:p>
    <w:p w14:paraId="0D8C4D62" w14:textId="402EFC15" w:rsidR="00D721C9" w:rsidRDefault="00D721C9" w:rsidP="00E06D4C">
      <w:pPr>
        <w:pStyle w:val="Heading2nonumber"/>
        <w:keepNext/>
      </w:pPr>
      <w:bookmarkStart w:id="39" w:name="_Toc227603127"/>
      <w:r>
        <w:t>Units held for post-1989 harvest liabilities</w:t>
      </w:r>
      <w:bookmarkEnd w:id="39"/>
    </w:p>
    <w:p w14:paraId="7A35F7BD" w14:textId="77777777" w:rsidR="00082E82" w:rsidRDefault="00082E82" w:rsidP="00082E82">
      <w:pPr>
        <w:pStyle w:val="BodyText"/>
      </w:pPr>
      <w:r>
        <w:t xml:space="preserve">Two accounting approaches are used to calculate the allocations and liabilities of post-1989 forests registered in the NZ ETS, which affect how forestry units contribute to the surplus. </w:t>
      </w:r>
    </w:p>
    <w:p w14:paraId="036DF6F0" w14:textId="6FEE1C66" w:rsidR="00082E82" w:rsidRDefault="00082E82" w:rsidP="00082E82">
      <w:pPr>
        <w:pStyle w:val="BodyText"/>
      </w:pPr>
      <w:r>
        <w:t>Since 2023, averaging accounting has been the required approach for newly registered forests, other than forests registered in the permanent category. Under averaging, forests earn units for carbon sequestered only until a fixed average age, but there are no liabilities when forests are harvested</w:t>
      </w:r>
      <w:r w:rsidR="007B0692">
        <w:t xml:space="preserve"> </w:t>
      </w:r>
      <w:proofErr w:type="gramStart"/>
      <w:r w:rsidR="007B0692">
        <w:t>as long as</w:t>
      </w:r>
      <w:proofErr w:type="gramEnd"/>
      <w:r w:rsidR="007B0692">
        <w:t xml:space="preserve"> the forests are </w:t>
      </w:r>
      <w:r>
        <w:t xml:space="preserve">replanted. </w:t>
      </w:r>
    </w:p>
    <w:p w14:paraId="2CA7109B" w14:textId="77777777" w:rsidR="00082E82" w:rsidRDefault="00082E82" w:rsidP="00082E82">
      <w:pPr>
        <w:pStyle w:val="BodyText"/>
      </w:pPr>
      <w:r>
        <w:t xml:space="preserve">However, most post-1989 forests in the NZ ETS are subject to stock change accounting. Under stock change, forestry participants earn units for the carbon sequestered by their forest while it is growing but must surrender a significant portion of this volume when the forest is harvested. These units are not considered part of the surplus, as they will not be available for use by other participants to allow emissions above emissions budget levels. In this section we estimate how many units earned by forests using stock change accounting are being held for harvest liabilities and should be considered non-surplus. </w:t>
      </w:r>
    </w:p>
    <w:p w14:paraId="2034E5B9" w14:textId="26463C55" w:rsidR="00082E82" w:rsidRDefault="00082E82" w:rsidP="00082E82">
      <w:pPr>
        <w:pStyle w:val="BodyText"/>
      </w:pPr>
      <w:r>
        <w:t xml:space="preserve">To determine our estimate of units held for harvest liabilities we use a forestry model that is based on data of total area and species of forests registered in the NZ ETS, the mandatory emissions reporting period (MERP) in which the forest was registered, and information on carbon stored by the forests (yield tables). A description of the forestry model and its primary functions and limitations can be found in </w:t>
      </w:r>
      <w:r w:rsidR="004F43A6">
        <w:t xml:space="preserve">the </w:t>
      </w:r>
      <w:r w:rsidR="004D6FF4" w:rsidRPr="00E06D4C">
        <w:rPr>
          <w:i/>
          <w:iCs/>
        </w:rPr>
        <w:t>Supporting material: NZ ETS Forestry Model description</w:t>
      </w:r>
      <w:r>
        <w:t xml:space="preserve">, published separately on our website. </w:t>
      </w:r>
    </w:p>
    <w:p w14:paraId="285DB4C3" w14:textId="77777777" w:rsidR="00082E82" w:rsidRDefault="00082E82" w:rsidP="00082E82">
      <w:pPr>
        <w:pStyle w:val="BodyText"/>
      </w:pPr>
      <w:r>
        <w:t xml:space="preserve">There are significant uncertainties to consider when estimating units held for harvest liabilities, such as: </w:t>
      </w:r>
    </w:p>
    <w:p w14:paraId="2DEC6C6A" w14:textId="247B909F" w:rsidR="00082E82" w:rsidRDefault="00082E82" w:rsidP="00082E82">
      <w:pPr>
        <w:pStyle w:val="Bodybullets"/>
      </w:pPr>
      <w:r>
        <w:t>the age at which forests are harvested</w:t>
      </w:r>
    </w:p>
    <w:p w14:paraId="6207F499" w14:textId="35FD5FB0" w:rsidR="00082E82" w:rsidRDefault="00082E82" w:rsidP="00082E82">
      <w:pPr>
        <w:pStyle w:val="Bodybullets"/>
      </w:pPr>
      <w:r>
        <w:t xml:space="preserve">the proportion of exotic forests managed as permanent </w:t>
      </w:r>
    </w:p>
    <w:p w14:paraId="663F8678" w14:textId="6F853E4D" w:rsidR="00082E82" w:rsidRDefault="00082E82" w:rsidP="00082E82">
      <w:pPr>
        <w:pStyle w:val="Bodybullets"/>
      </w:pPr>
      <w:r>
        <w:t>the proportion of ‘low-risk’ units available to forestry participants – the units that may never have to be repaid under stock change, based on mix of forest age, rotation and species. These are the units that are more likely to be available for use by other NZ ETS participants and therefore contribute to the surplus.</w:t>
      </w:r>
      <w:r w:rsidR="009C6061">
        <w:t xml:space="preserve">  </w:t>
      </w:r>
    </w:p>
    <w:p w14:paraId="6568526A" w14:textId="2E169139" w:rsidR="00D721C9" w:rsidRDefault="00082E82" w:rsidP="00082E82">
      <w:pPr>
        <w:pStyle w:val="BodyText"/>
      </w:pPr>
      <w:r>
        <w:t>We discuss each of these uncertainties in more detail below.</w:t>
      </w:r>
    </w:p>
    <w:p w14:paraId="58EA9B21" w14:textId="62CB73BC" w:rsidR="00082E82" w:rsidRDefault="00082E82" w:rsidP="00082E82">
      <w:pPr>
        <w:pStyle w:val="Heading3"/>
      </w:pPr>
      <w:bookmarkStart w:id="40" w:name="_Toc227603128"/>
      <w:r>
        <w:t>Harvest age data and assumptions</w:t>
      </w:r>
      <w:bookmarkEnd w:id="40"/>
    </w:p>
    <w:p w14:paraId="732EBF0E" w14:textId="77777777" w:rsidR="00FF0A7B" w:rsidRDefault="00FF0A7B" w:rsidP="00FF0A7B">
      <w:pPr>
        <w:pStyle w:val="BodyText"/>
      </w:pPr>
      <w:r>
        <w:t>The forestry model requires an input assumption of the average age at harvest of NZ ETS-registered forests. The assumed age of forests when harvested can have a significant impact on the estimated results of units held for harvest since it changes the expected timing of foresters’ surrender obligations. Therefore, varying average harvest age can vary the forecast year, and potentially the MERP, when the unit surrenders will occur.</w:t>
      </w:r>
    </w:p>
    <w:p w14:paraId="63646549" w14:textId="450BE07B" w:rsidR="00FF0A7B" w:rsidRDefault="00FF0A7B" w:rsidP="00FF0A7B">
      <w:pPr>
        <w:pStyle w:val="BodyText"/>
      </w:pPr>
      <w:r>
        <w:t>Only limited and incomplete information on the age of harvest for NZ ETS</w:t>
      </w:r>
      <w:r w:rsidR="00410701">
        <w:t>-</w:t>
      </w:r>
      <w:r>
        <w:t xml:space="preserve">registered forests is available. However, data is reported within the GHG </w:t>
      </w:r>
      <w:r w:rsidR="00813364">
        <w:t>Inventory</w:t>
      </w:r>
      <w:r>
        <w:t xml:space="preserve"> for the proportion of total destocking area (all harvesting and deforestation) by age across all planted forests. As in our 2025 advice, we have used this to inform a weighted average harvest age across five ages for pinus radiata. </w:t>
      </w:r>
    </w:p>
    <w:p w14:paraId="23A3DC54" w14:textId="34991196" w:rsidR="00082E82" w:rsidRDefault="001F2E2E" w:rsidP="00FF0A7B">
      <w:pPr>
        <w:pStyle w:val="BodyText"/>
      </w:pPr>
      <w:proofErr w:type="gramStart"/>
      <w:r>
        <w:t>Similar</w:t>
      </w:r>
      <w:r w:rsidR="00FF0A7B" w:rsidDel="001F2E2E">
        <w:t xml:space="preserve"> </w:t>
      </w:r>
      <w:r>
        <w:t>to</w:t>
      </w:r>
      <w:proofErr w:type="gramEnd"/>
      <w:r>
        <w:t xml:space="preserve"> </w:t>
      </w:r>
      <w:r w:rsidR="00FF0A7B">
        <w:t xml:space="preserve">our 2025 estimate, the range of </w:t>
      </w:r>
      <w:r w:rsidR="009201EE">
        <w:t xml:space="preserve">harvest </w:t>
      </w:r>
      <w:r w:rsidR="00FF0A7B">
        <w:t xml:space="preserve">ages for pinus radiata remains between 26 and 30. We have made minor adjustments to slightly reduce the weightings for harvest ages 26 and 27 and slightly increase the weightings for ages 29 and 30. The distribution is shown in Table </w:t>
      </w:r>
      <w:r w:rsidR="009C6061">
        <w:t>10</w:t>
      </w:r>
      <w:r w:rsidR="00FF0A7B">
        <w:t>. We have applied these updated assumptions consistently across our low, central and high estimates of units held for harvest.</w:t>
      </w:r>
    </w:p>
    <w:p w14:paraId="6E57297A" w14:textId="6F4474E4" w:rsidR="0003202F" w:rsidRDefault="0003202F" w:rsidP="0003202F">
      <w:pPr>
        <w:pStyle w:val="FigureTabletitle"/>
      </w:pPr>
      <w:r>
        <w:t xml:space="preserve">Table </w:t>
      </w:r>
      <w:r w:rsidR="00B50217">
        <w:fldChar w:fldCharType="begin"/>
      </w:r>
      <w:r w:rsidR="00B50217">
        <w:instrText xml:space="preserve"> SEQ Table \* ARABIC </w:instrText>
      </w:r>
      <w:r w:rsidR="00B50217">
        <w:fldChar w:fldCharType="separate"/>
      </w:r>
      <w:r w:rsidR="00B50217">
        <w:rPr>
          <w:noProof/>
        </w:rPr>
        <w:t>10</w:t>
      </w:r>
      <w:r w:rsidR="00B50217">
        <w:rPr>
          <w:noProof/>
        </w:rPr>
        <w:fldChar w:fldCharType="end"/>
      </w:r>
      <w:r>
        <w:t xml:space="preserve">: </w:t>
      </w:r>
      <w:r w:rsidRPr="00550B2C">
        <w:t xml:space="preserve">Weighted distribution of </w:t>
      </w:r>
      <w:r w:rsidR="00A775BF">
        <w:t>p</w:t>
      </w:r>
      <w:r w:rsidR="00A775BF" w:rsidRPr="00550B2C">
        <w:t xml:space="preserve">inus </w:t>
      </w:r>
      <w:r w:rsidRPr="00550B2C">
        <w:t>radiata average harvest age</w:t>
      </w:r>
    </w:p>
    <w:tbl>
      <w:tblPr>
        <w:tblStyle w:val="GridTable5Dark-Accent58"/>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827"/>
        <w:gridCol w:w="885"/>
        <w:gridCol w:w="885"/>
        <w:gridCol w:w="886"/>
        <w:gridCol w:w="885"/>
        <w:gridCol w:w="886"/>
        <w:gridCol w:w="1793"/>
      </w:tblGrid>
      <w:tr w:rsidR="001B5A77" w:rsidRPr="001B5A77" w14:paraId="32B00378" w14:textId="77777777" w:rsidTr="001B5A77">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827" w:type="dxa"/>
            <w:tcBorders>
              <w:top w:val="single" w:sz="6" w:space="0" w:color="FFFFFF"/>
              <w:left w:val="single" w:sz="6" w:space="0" w:color="FFFFFF"/>
              <w:bottom w:val="single" w:sz="6" w:space="0" w:color="FFFFFF"/>
              <w:right w:val="single" w:sz="6" w:space="0" w:color="FFFFFF"/>
            </w:tcBorders>
            <w:shd w:val="clear" w:color="auto" w:fill="002060"/>
            <w:tcMar>
              <w:right w:w="45" w:type="dxa"/>
            </w:tcMar>
            <w:vAlign w:val="center"/>
          </w:tcPr>
          <w:p w14:paraId="406C0B0D" w14:textId="77777777" w:rsidR="001B5A77" w:rsidRPr="00E06D4C" w:rsidRDefault="001B5A77" w:rsidP="00E06D4C">
            <w:pPr>
              <w:pStyle w:val="Tableheading"/>
              <w:spacing w:before="60" w:after="60"/>
              <w:ind w:left="57" w:right="57"/>
            </w:pPr>
            <w:r w:rsidRPr="00E06D4C">
              <w:rPr>
                <w:b/>
                <w:bCs/>
              </w:rPr>
              <w:t>Harvest age</w:t>
            </w:r>
          </w:p>
        </w:tc>
        <w:tc>
          <w:tcPr>
            <w:tcW w:w="885" w:type="dxa"/>
            <w:tcBorders>
              <w:top w:val="single" w:sz="6" w:space="0" w:color="FFFFFF"/>
              <w:left w:val="single" w:sz="6" w:space="0" w:color="FFFFFF"/>
              <w:bottom w:val="single" w:sz="6" w:space="0" w:color="FFFFFF"/>
              <w:right w:val="single" w:sz="6" w:space="0" w:color="FFFFFF"/>
            </w:tcBorders>
            <w:shd w:val="clear" w:color="auto" w:fill="002060"/>
            <w:tcMar>
              <w:right w:w="45" w:type="dxa"/>
            </w:tcMar>
            <w:vAlign w:val="center"/>
          </w:tcPr>
          <w:p w14:paraId="0BF0B935" w14:textId="77777777" w:rsidR="001B5A77" w:rsidRPr="00F52C33" w:rsidRDefault="001B5A77" w:rsidP="00E06D4C">
            <w:pPr>
              <w:pStyle w:val="Tableheading"/>
              <w:spacing w:before="60" w:after="60"/>
              <w:ind w:left="57" w:right="57"/>
              <w:cnfStyle w:val="100000000000" w:firstRow="1" w:lastRow="0" w:firstColumn="0" w:lastColumn="0" w:oddVBand="0" w:evenVBand="0" w:oddHBand="0" w:evenHBand="0" w:firstRowFirstColumn="0" w:firstRowLastColumn="0" w:lastRowFirstColumn="0" w:lastRowLastColumn="0"/>
            </w:pPr>
            <w:r w:rsidRPr="00E06D4C">
              <w:rPr>
                <w:b/>
                <w:bCs/>
              </w:rPr>
              <w:t>26</w:t>
            </w:r>
          </w:p>
        </w:tc>
        <w:tc>
          <w:tcPr>
            <w:tcW w:w="885" w:type="dxa"/>
            <w:tcBorders>
              <w:top w:val="single" w:sz="6" w:space="0" w:color="FFFFFF"/>
              <w:left w:val="single" w:sz="6" w:space="0" w:color="FFFFFF"/>
              <w:bottom w:val="single" w:sz="6" w:space="0" w:color="FFFFFF"/>
              <w:right w:val="single" w:sz="6" w:space="0" w:color="FFFFFF"/>
            </w:tcBorders>
            <w:shd w:val="clear" w:color="auto" w:fill="002060"/>
            <w:tcMar>
              <w:right w:w="45" w:type="dxa"/>
            </w:tcMar>
            <w:vAlign w:val="center"/>
          </w:tcPr>
          <w:p w14:paraId="2CFDE4AC" w14:textId="77777777" w:rsidR="001B5A77" w:rsidRPr="00F52C33" w:rsidRDefault="001B5A77" w:rsidP="00E06D4C">
            <w:pPr>
              <w:pStyle w:val="Tableheading"/>
              <w:spacing w:before="60" w:after="60"/>
              <w:ind w:left="57" w:right="57"/>
              <w:cnfStyle w:val="100000000000" w:firstRow="1" w:lastRow="0" w:firstColumn="0" w:lastColumn="0" w:oddVBand="0" w:evenVBand="0" w:oddHBand="0" w:evenHBand="0" w:firstRowFirstColumn="0" w:firstRowLastColumn="0" w:lastRowFirstColumn="0" w:lastRowLastColumn="0"/>
            </w:pPr>
            <w:r w:rsidRPr="00E06D4C">
              <w:rPr>
                <w:b/>
                <w:bCs/>
              </w:rPr>
              <w:t>27</w:t>
            </w:r>
          </w:p>
        </w:tc>
        <w:tc>
          <w:tcPr>
            <w:tcW w:w="886" w:type="dxa"/>
            <w:tcBorders>
              <w:top w:val="single" w:sz="6" w:space="0" w:color="FFFFFF"/>
              <w:left w:val="single" w:sz="6" w:space="0" w:color="FFFFFF"/>
              <w:bottom w:val="single" w:sz="6" w:space="0" w:color="FFFFFF"/>
              <w:right w:val="single" w:sz="6" w:space="0" w:color="FFFFFF"/>
            </w:tcBorders>
            <w:shd w:val="clear" w:color="auto" w:fill="002060"/>
            <w:tcMar>
              <w:right w:w="45" w:type="dxa"/>
            </w:tcMar>
            <w:vAlign w:val="center"/>
          </w:tcPr>
          <w:p w14:paraId="233A59BA" w14:textId="77777777" w:rsidR="001B5A77" w:rsidRPr="00F52C33" w:rsidRDefault="001B5A77" w:rsidP="00E06D4C">
            <w:pPr>
              <w:pStyle w:val="Tableheading"/>
              <w:spacing w:before="60" w:after="60"/>
              <w:ind w:left="57" w:right="57"/>
              <w:cnfStyle w:val="100000000000" w:firstRow="1" w:lastRow="0" w:firstColumn="0" w:lastColumn="0" w:oddVBand="0" w:evenVBand="0" w:oddHBand="0" w:evenHBand="0" w:firstRowFirstColumn="0" w:firstRowLastColumn="0" w:lastRowFirstColumn="0" w:lastRowLastColumn="0"/>
            </w:pPr>
            <w:r w:rsidRPr="00E06D4C">
              <w:rPr>
                <w:b/>
                <w:bCs/>
              </w:rPr>
              <w:t>28</w:t>
            </w:r>
          </w:p>
        </w:tc>
        <w:tc>
          <w:tcPr>
            <w:tcW w:w="885" w:type="dxa"/>
            <w:tcBorders>
              <w:top w:val="single" w:sz="6" w:space="0" w:color="FFFFFF"/>
              <w:left w:val="single" w:sz="6" w:space="0" w:color="FFFFFF"/>
              <w:bottom w:val="single" w:sz="6" w:space="0" w:color="FFFFFF"/>
              <w:right w:val="single" w:sz="6" w:space="0" w:color="FFFFFF"/>
            </w:tcBorders>
            <w:shd w:val="clear" w:color="auto" w:fill="002060"/>
            <w:tcMar>
              <w:right w:w="45" w:type="dxa"/>
            </w:tcMar>
            <w:vAlign w:val="center"/>
          </w:tcPr>
          <w:p w14:paraId="1090F3BD" w14:textId="77777777" w:rsidR="001B5A77" w:rsidRPr="00F52C33" w:rsidRDefault="001B5A77" w:rsidP="00E06D4C">
            <w:pPr>
              <w:pStyle w:val="Tableheading"/>
              <w:spacing w:before="60" w:after="60"/>
              <w:ind w:left="57" w:right="57"/>
              <w:cnfStyle w:val="100000000000" w:firstRow="1" w:lastRow="0" w:firstColumn="0" w:lastColumn="0" w:oddVBand="0" w:evenVBand="0" w:oddHBand="0" w:evenHBand="0" w:firstRowFirstColumn="0" w:firstRowLastColumn="0" w:lastRowFirstColumn="0" w:lastRowLastColumn="0"/>
            </w:pPr>
            <w:r w:rsidRPr="00E06D4C">
              <w:rPr>
                <w:b/>
                <w:bCs/>
              </w:rPr>
              <w:t>29</w:t>
            </w:r>
          </w:p>
        </w:tc>
        <w:tc>
          <w:tcPr>
            <w:tcW w:w="886" w:type="dxa"/>
            <w:tcBorders>
              <w:top w:val="single" w:sz="6" w:space="0" w:color="FFFFFF"/>
              <w:left w:val="single" w:sz="6" w:space="0" w:color="FFFFFF"/>
              <w:bottom w:val="single" w:sz="6" w:space="0" w:color="FFFFFF"/>
              <w:right w:val="single" w:sz="6" w:space="0" w:color="FFFFFF"/>
            </w:tcBorders>
            <w:shd w:val="clear" w:color="auto" w:fill="002060"/>
            <w:tcMar>
              <w:right w:w="45" w:type="dxa"/>
            </w:tcMar>
            <w:vAlign w:val="center"/>
          </w:tcPr>
          <w:p w14:paraId="23E351DC" w14:textId="77777777" w:rsidR="001B5A77" w:rsidRPr="00F52C33" w:rsidRDefault="001B5A77" w:rsidP="00E06D4C">
            <w:pPr>
              <w:pStyle w:val="Tableheading"/>
              <w:spacing w:before="60" w:after="60"/>
              <w:ind w:left="57" w:right="57"/>
              <w:cnfStyle w:val="100000000000" w:firstRow="1" w:lastRow="0" w:firstColumn="0" w:lastColumn="0" w:oddVBand="0" w:evenVBand="0" w:oddHBand="0" w:evenHBand="0" w:firstRowFirstColumn="0" w:firstRowLastColumn="0" w:lastRowFirstColumn="0" w:lastRowLastColumn="0"/>
            </w:pPr>
            <w:r w:rsidRPr="00E06D4C">
              <w:rPr>
                <w:b/>
                <w:bCs/>
              </w:rPr>
              <w:t>30</w:t>
            </w:r>
          </w:p>
        </w:tc>
        <w:tc>
          <w:tcPr>
            <w:tcW w:w="1793" w:type="dxa"/>
            <w:tcBorders>
              <w:top w:val="single" w:sz="6" w:space="0" w:color="FFFFFF"/>
              <w:left w:val="single" w:sz="6" w:space="0" w:color="FFFFFF"/>
              <w:bottom w:val="single" w:sz="6" w:space="0" w:color="FFFFFF"/>
              <w:right w:val="single" w:sz="6" w:space="0" w:color="FFFFFF"/>
            </w:tcBorders>
            <w:shd w:val="clear" w:color="auto" w:fill="002060"/>
            <w:tcMar>
              <w:right w:w="45" w:type="dxa"/>
            </w:tcMar>
            <w:vAlign w:val="center"/>
          </w:tcPr>
          <w:p w14:paraId="62C8213D" w14:textId="77777777" w:rsidR="001B5A77" w:rsidRPr="00F52C33" w:rsidRDefault="001B5A77" w:rsidP="00E06D4C">
            <w:pPr>
              <w:pStyle w:val="Tableheading"/>
              <w:spacing w:before="60" w:after="60"/>
              <w:ind w:left="57" w:right="57"/>
              <w:cnfStyle w:val="100000000000" w:firstRow="1" w:lastRow="0" w:firstColumn="0" w:lastColumn="0" w:oddVBand="0" w:evenVBand="0" w:oddHBand="0" w:evenHBand="0" w:firstRowFirstColumn="0" w:firstRowLastColumn="0" w:lastRowFirstColumn="0" w:lastRowLastColumn="0"/>
            </w:pPr>
            <w:r w:rsidRPr="00E06D4C">
              <w:rPr>
                <w:b/>
                <w:bCs/>
              </w:rPr>
              <w:t>Area weighted average age</w:t>
            </w:r>
          </w:p>
        </w:tc>
      </w:tr>
      <w:tr w:rsidR="001B5A77" w:rsidRPr="001B5A77" w14:paraId="47BD3583" w14:textId="77777777" w:rsidTr="001B5A77">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2827" w:type="dxa"/>
            <w:tcBorders>
              <w:top w:val="single" w:sz="6" w:space="0" w:color="FFFFFF"/>
              <w:left w:val="single" w:sz="6" w:space="0" w:color="FFFFFF"/>
              <w:bottom w:val="single" w:sz="6" w:space="0" w:color="FFFFFF"/>
              <w:right w:val="single" w:sz="6" w:space="0" w:color="FFFFFF"/>
            </w:tcBorders>
            <w:shd w:val="clear" w:color="auto" w:fill="C1DCD5"/>
            <w:tcMar>
              <w:right w:w="45" w:type="dxa"/>
            </w:tcMar>
            <w:vAlign w:val="center"/>
          </w:tcPr>
          <w:p w14:paraId="2581D20F" w14:textId="77777777" w:rsidR="001B5A77" w:rsidRPr="00E06D4C" w:rsidRDefault="001B5A77" w:rsidP="00E06D4C">
            <w:pPr>
              <w:pStyle w:val="TableParagraph"/>
              <w:spacing w:before="60" w:after="60"/>
              <w:ind w:left="57" w:right="57"/>
              <w:rPr>
                <w:color w:val="auto"/>
              </w:rPr>
            </w:pPr>
            <w:r w:rsidRPr="00E06D4C">
              <w:rPr>
                <w:color w:val="auto"/>
              </w:rPr>
              <w:t>2025 estimate of % of area distribution</w:t>
            </w:r>
          </w:p>
        </w:tc>
        <w:tc>
          <w:tcPr>
            <w:tcW w:w="885" w:type="dxa"/>
            <w:tcBorders>
              <w:top w:val="single" w:sz="6" w:space="0" w:color="FFFFFF"/>
              <w:left w:val="single" w:sz="6" w:space="0" w:color="FFFFFF"/>
              <w:bottom w:val="single" w:sz="6" w:space="0" w:color="FFFFFF"/>
              <w:right w:val="single" w:sz="6" w:space="0" w:color="FFFFFF"/>
            </w:tcBorders>
            <w:shd w:val="clear" w:color="auto" w:fill="D4E8DE"/>
            <w:tcMar>
              <w:right w:w="45" w:type="dxa"/>
            </w:tcMar>
            <w:vAlign w:val="center"/>
          </w:tcPr>
          <w:p w14:paraId="00645D86" w14:textId="77777777" w:rsidR="001B5A77" w:rsidRPr="001A3338" w:rsidRDefault="001B5A77" w:rsidP="00E06D4C">
            <w:pPr>
              <w:pStyle w:val="TableParagraph"/>
              <w:spacing w:before="60" w:after="60"/>
              <w:ind w:left="57" w:right="57"/>
              <w:cnfStyle w:val="000000100000" w:firstRow="0" w:lastRow="0" w:firstColumn="0" w:lastColumn="0" w:oddVBand="0" w:evenVBand="0" w:oddHBand="1" w:evenHBand="0" w:firstRowFirstColumn="0" w:firstRowLastColumn="0" w:lastRowFirstColumn="0" w:lastRowLastColumn="0"/>
            </w:pPr>
            <w:r w:rsidRPr="001A3338">
              <w:t>19%</w:t>
            </w:r>
          </w:p>
        </w:tc>
        <w:tc>
          <w:tcPr>
            <w:tcW w:w="885" w:type="dxa"/>
            <w:tcBorders>
              <w:top w:val="single" w:sz="6" w:space="0" w:color="FFFFFF"/>
              <w:left w:val="single" w:sz="6" w:space="0" w:color="FFFFFF"/>
              <w:bottom w:val="single" w:sz="6" w:space="0" w:color="FFFFFF"/>
              <w:right w:val="single" w:sz="6" w:space="0" w:color="FFFFFF"/>
            </w:tcBorders>
            <w:shd w:val="clear" w:color="auto" w:fill="D4E8DE"/>
            <w:tcMar>
              <w:right w:w="45" w:type="dxa"/>
            </w:tcMar>
            <w:vAlign w:val="center"/>
          </w:tcPr>
          <w:p w14:paraId="25648984" w14:textId="77777777" w:rsidR="001B5A77" w:rsidRPr="001A3338" w:rsidRDefault="001B5A77" w:rsidP="00E06D4C">
            <w:pPr>
              <w:pStyle w:val="TableParagraph"/>
              <w:spacing w:before="60" w:after="60"/>
              <w:ind w:left="57" w:right="57"/>
              <w:cnfStyle w:val="000000100000" w:firstRow="0" w:lastRow="0" w:firstColumn="0" w:lastColumn="0" w:oddVBand="0" w:evenVBand="0" w:oddHBand="1" w:evenHBand="0" w:firstRowFirstColumn="0" w:firstRowLastColumn="0" w:lastRowFirstColumn="0" w:lastRowLastColumn="0"/>
            </w:pPr>
            <w:r w:rsidRPr="001A3338">
              <w:t>23%</w:t>
            </w:r>
          </w:p>
        </w:tc>
        <w:tc>
          <w:tcPr>
            <w:tcW w:w="886" w:type="dxa"/>
            <w:tcBorders>
              <w:top w:val="single" w:sz="6" w:space="0" w:color="FFFFFF"/>
              <w:left w:val="single" w:sz="6" w:space="0" w:color="FFFFFF"/>
              <w:bottom w:val="single" w:sz="6" w:space="0" w:color="FFFFFF"/>
              <w:right w:val="single" w:sz="6" w:space="0" w:color="FFFFFF"/>
            </w:tcBorders>
            <w:shd w:val="clear" w:color="auto" w:fill="D4E8DE"/>
            <w:tcMar>
              <w:right w:w="45" w:type="dxa"/>
            </w:tcMar>
            <w:vAlign w:val="center"/>
          </w:tcPr>
          <w:p w14:paraId="1CFC4A66" w14:textId="77777777" w:rsidR="001B5A77" w:rsidRPr="001A3338" w:rsidRDefault="001B5A77" w:rsidP="00E06D4C">
            <w:pPr>
              <w:pStyle w:val="TableParagraph"/>
              <w:spacing w:before="60" w:after="60"/>
              <w:ind w:left="57" w:right="57"/>
              <w:cnfStyle w:val="000000100000" w:firstRow="0" w:lastRow="0" w:firstColumn="0" w:lastColumn="0" w:oddVBand="0" w:evenVBand="0" w:oddHBand="1" w:evenHBand="0" w:firstRowFirstColumn="0" w:firstRowLastColumn="0" w:lastRowFirstColumn="0" w:lastRowLastColumn="0"/>
            </w:pPr>
            <w:r w:rsidRPr="001A3338">
              <w:t>22%</w:t>
            </w:r>
          </w:p>
        </w:tc>
        <w:tc>
          <w:tcPr>
            <w:tcW w:w="885" w:type="dxa"/>
            <w:tcBorders>
              <w:top w:val="single" w:sz="6" w:space="0" w:color="FFFFFF"/>
              <w:left w:val="single" w:sz="6" w:space="0" w:color="FFFFFF"/>
              <w:bottom w:val="single" w:sz="6" w:space="0" w:color="FFFFFF"/>
              <w:right w:val="single" w:sz="6" w:space="0" w:color="FFFFFF"/>
            </w:tcBorders>
            <w:shd w:val="clear" w:color="auto" w:fill="D4E8DE"/>
            <w:tcMar>
              <w:right w:w="45" w:type="dxa"/>
            </w:tcMar>
            <w:vAlign w:val="center"/>
          </w:tcPr>
          <w:p w14:paraId="15BEEAD2" w14:textId="77777777" w:rsidR="001B5A77" w:rsidRPr="001A3338" w:rsidRDefault="001B5A77" w:rsidP="00E06D4C">
            <w:pPr>
              <w:pStyle w:val="TableParagraph"/>
              <w:spacing w:before="60" w:after="60"/>
              <w:ind w:left="57" w:right="57"/>
              <w:cnfStyle w:val="000000100000" w:firstRow="0" w:lastRow="0" w:firstColumn="0" w:lastColumn="0" w:oddVBand="0" w:evenVBand="0" w:oddHBand="1" w:evenHBand="0" w:firstRowFirstColumn="0" w:firstRowLastColumn="0" w:lastRowFirstColumn="0" w:lastRowLastColumn="0"/>
            </w:pPr>
            <w:r w:rsidRPr="001A3338">
              <w:t>20%</w:t>
            </w:r>
          </w:p>
        </w:tc>
        <w:tc>
          <w:tcPr>
            <w:tcW w:w="886" w:type="dxa"/>
            <w:tcBorders>
              <w:top w:val="single" w:sz="6" w:space="0" w:color="FFFFFF"/>
              <w:left w:val="single" w:sz="6" w:space="0" w:color="FFFFFF"/>
              <w:bottom w:val="single" w:sz="6" w:space="0" w:color="FFFFFF"/>
              <w:right w:val="single" w:sz="6" w:space="0" w:color="FFFFFF"/>
            </w:tcBorders>
            <w:shd w:val="clear" w:color="auto" w:fill="D4E8DE"/>
            <w:tcMar>
              <w:right w:w="45" w:type="dxa"/>
            </w:tcMar>
            <w:vAlign w:val="center"/>
          </w:tcPr>
          <w:p w14:paraId="584343DE" w14:textId="77777777" w:rsidR="001B5A77" w:rsidRPr="001A3338" w:rsidRDefault="001B5A77" w:rsidP="00E06D4C">
            <w:pPr>
              <w:pStyle w:val="TableParagraph"/>
              <w:spacing w:before="60" w:after="60"/>
              <w:ind w:left="57" w:right="57"/>
              <w:cnfStyle w:val="000000100000" w:firstRow="0" w:lastRow="0" w:firstColumn="0" w:lastColumn="0" w:oddVBand="0" w:evenVBand="0" w:oddHBand="1" w:evenHBand="0" w:firstRowFirstColumn="0" w:firstRowLastColumn="0" w:lastRowFirstColumn="0" w:lastRowLastColumn="0"/>
            </w:pPr>
            <w:r w:rsidRPr="001A3338">
              <w:t>17%</w:t>
            </w:r>
          </w:p>
        </w:tc>
        <w:tc>
          <w:tcPr>
            <w:tcW w:w="1793" w:type="dxa"/>
            <w:tcBorders>
              <w:top w:val="single" w:sz="6" w:space="0" w:color="FFFFFF"/>
              <w:left w:val="single" w:sz="6" w:space="0" w:color="FFFFFF"/>
              <w:bottom w:val="single" w:sz="6" w:space="0" w:color="FFFFFF"/>
              <w:right w:val="single" w:sz="6" w:space="0" w:color="FFFFFF"/>
            </w:tcBorders>
            <w:shd w:val="clear" w:color="auto" w:fill="D4E8DE"/>
            <w:tcMar>
              <w:right w:w="45" w:type="dxa"/>
            </w:tcMar>
            <w:vAlign w:val="center"/>
          </w:tcPr>
          <w:p w14:paraId="278F83BA" w14:textId="7844C7CC" w:rsidR="001B5A77" w:rsidRPr="001A3338" w:rsidRDefault="001B5A77" w:rsidP="00E06D4C">
            <w:pPr>
              <w:pStyle w:val="TableParagraph"/>
              <w:spacing w:before="60" w:after="60"/>
              <w:ind w:left="57" w:right="57"/>
              <w:cnfStyle w:val="000000100000" w:firstRow="0" w:lastRow="0" w:firstColumn="0" w:lastColumn="0" w:oddVBand="0" w:evenVBand="0" w:oddHBand="1" w:evenHBand="0" w:firstRowFirstColumn="0" w:firstRowLastColumn="0" w:lastRowFirstColumn="0" w:lastRowLastColumn="0"/>
            </w:pPr>
            <w:r w:rsidRPr="001A3338">
              <w:t>27.9</w:t>
            </w:r>
          </w:p>
        </w:tc>
      </w:tr>
      <w:tr w:rsidR="001B5A77" w:rsidRPr="001B5A77" w14:paraId="492DAD0A" w14:textId="77777777" w:rsidTr="001B5A77">
        <w:trPr>
          <w:trHeight w:val="480"/>
        </w:trPr>
        <w:tc>
          <w:tcPr>
            <w:cnfStyle w:val="001000000000" w:firstRow="0" w:lastRow="0" w:firstColumn="1" w:lastColumn="0" w:oddVBand="0" w:evenVBand="0" w:oddHBand="0" w:evenHBand="0" w:firstRowFirstColumn="0" w:firstRowLastColumn="0" w:lastRowFirstColumn="0" w:lastRowLastColumn="0"/>
            <w:tcW w:w="2827" w:type="dxa"/>
            <w:tcBorders>
              <w:top w:val="single" w:sz="6" w:space="0" w:color="FFFFFF"/>
              <w:left w:val="single" w:sz="6" w:space="0" w:color="FFFFFF"/>
              <w:bottom w:val="single" w:sz="6" w:space="0" w:color="FFFFFF"/>
              <w:right w:val="single" w:sz="6" w:space="0" w:color="FFFFFF"/>
            </w:tcBorders>
            <w:shd w:val="clear" w:color="auto" w:fill="C1DCD5"/>
            <w:tcMar>
              <w:right w:w="45" w:type="dxa"/>
            </w:tcMar>
            <w:vAlign w:val="center"/>
          </w:tcPr>
          <w:p w14:paraId="40BAAC3F" w14:textId="77777777" w:rsidR="001B5A77" w:rsidRPr="00E06D4C" w:rsidRDefault="001B5A77" w:rsidP="00E06D4C">
            <w:pPr>
              <w:pStyle w:val="TableParagraph"/>
              <w:spacing w:before="60" w:after="60"/>
              <w:ind w:left="57" w:right="57"/>
              <w:rPr>
                <w:color w:val="auto"/>
              </w:rPr>
            </w:pPr>
            <w:r w:rsidRPr="00E06D4C">
              <w:rPr>
                <w:color w:val="auto"/>
              </w:rPr>
              <w:t>Updated 2026 estimate of % of area distribution</w:t>
            </w:r>
          </w:p>
        </w:tc>
        <w:tc>
          <w:tcPr>
            <w:tcW w:w="885" w:type="dxa"/>
            <w:tcBorders>
              <w:top w:val="single" w:sz="6" w:space="0" w:color="FFFFFF"/>
              <w:left w:val="single" w:sz="6" w:space="0" w:color="FFFFFF"/>
              <w:bottom w:val="single" w:sz="6" w:space="0" w:color="FFFFFF"/>
              <w:right w:val="single" w:sz="6" w:space="0" w:color="FFFFFF"/>
            </w:tcBorders>
            <w:shd w:val="clear" w:color="auto" w:fill="E9F5F2"/>
            <w:tcMar>
              <w:right w:w="45" w:type="dxa"/>
            </w:tcMar>
            <w:vAlign w:val="center"/>
          </w:tcPr>
          <w:p w14:paraId="546EB591" w14:textId="77777777" w:rsidR="001B5A77" w:rsidRPr="001A3338" w:rsidRDefault="001B5A77" w:rsidP="00E06D4C">
            <w:pPr>
              <w:pStyle w:val="TableParagraph"/>
              <w:spacing w:before="60" w:after="60"/>
              <w:ind w:left="57" w:right="57"/>
              <w:cnfStyle w:val="000000000000" w:firstRow="0" w:lastRow="0" w:firstColumn="0" w:lastColumn="0" w:oddVBand="0" w:evenVBand="0" w:oddHBand="0" w:evenHBand="0" w:firstRowFirstColumn="0" w:firstRowLastColumn="0" w:lastRowFirstColumn="0" w:lastRowLastColumn="0"/>
            </w:pPr>
            <w:r w:rsidRPr="001A3338">
              <w:t>18%</w:t>
            </w:r>
          </w:p>
        </w:tc>
        <w:tc>
          <w:tcPr>
            <w:tcW w:w="885" w:type="dxa"/>
            <w:tcBorders>
              <w:top w:val="single" w:sz="6" w:space="0" w:color="FFFFFF"/>
              <w:left w:val="single" w:sz="6" w:space="0" w:color="FFFFFF"/>
              <w:bottom w:val="single" w:sz="6" w:space="0" w:color="FFFFFF"/>
              <w:right w:val="single" w:sz="6" w:space="0" w:color="FFFFFF"/>
            </w:tcBorders>
            <w:shd w:val="clear" w:color="auto" w:fill="E9F5F2"/>
            <w:tcMar>
              <w:right w:w="45" w:type="dxa"/>
            </w:tcMar>
            <w:vAlign w:val="center"/>
          </w:tcPr>
          <w:p w14:paraId="36385CDC" w14:textId="77777777" w:rsidR="001B5A77" w:rsidRPr="001A3338" w:rsidRDefault="001B5A77" w:rsidP="00E06D4C">
            <w:pPr>
              <w:pStyle w:val="TableParagraph"/>
              <w:spacing w:before="60" w:after="60"/>
              <w:ind w:left="57" w:right="57"/>
              <w:cnfStyle w:val="000000000000" w:firstRow="0" w:lastRow="0" w:firstColumn="0" w:lastColumn="0" w:oddVBand="0" w:evenVBand="0" w:oddHBand="0" w:evenHBand="0" w:firstRowFirstColumn="0" w:firstRowLastColumn="0" w:lastRowFirstColumn="0" w:lastRowLastColumn="0"/>
            </w:pPr>
            <w:r w:rsidRPr="001A3338">
              <w:t>21%</w:t>
            </w:r>
          </w:p>
        </w:tc>
        <w:tc>
          <w:tcPr>
            <w:tcW w:w="886" w:type="dxa"/>
            <w:tcBorders>
              <w:top w:val="single" w:sz="6" w:space="0" w:color="FFFFFF"/>
              <w:left w:val="single" w:sz="6" w:space="0" w:color="FFFFFF"/>
              <w:bottom w:val="single" w:sz="6" w:space="0" w:color="FFFFFF"/>
              <w:right w:val="single" w:sz="6" w:space="0" w:color="FFFFFF"/>
            </w:tcBorders>
            <w:shd w:val="clear" w:color="auto" w:fill="E9F5F2"/>
            <w:tcMar>
              <w:right w:w="45" w:type="dxa"/>
            </w:tcMar>
            <w:vAlign w:val="center"/>
          </w:tcPr>
          <w:p w14:paraId="2B4F2DF4" w14:textId="77777777" w:rsidR="001B5A77" w:rsidRPr="001A3338" w:rsidRDefault="001B5A77" w:rsidP="00E06D4C">
            <w:pPr>
              <w:pStyle w:val="TableParagraph"/>
              <w:spacing w:before="60" w:after="60"/>
              <w:ind w:left="57" w:right="57"/>
              <w:cnfStyle w:val="000000000000" w:firstRow="0" w:lastRow="0" w:firstColumn="0" w:lastColumn="0" w:oddVBand="0" w:evenVBand="0" w:oddHBand="0" w:evenHBand="0" w:firstRowFirstColumn="0" w:firstRowLastColumn="0" w:lastRowFirstColumn="0" w:lastRowLastColumn="0"/>
            </w:pPr>
            <w:r w:rsidRPr="001A3338">
              <w:t>22%</w:t>
            </w:r>
          </w:p>
        </w:tc>
        <w:tc>
          <w:tcPr>
            <w:tcW w:w="885" w:type="dxa"/>
            <w:tcBorders>
              <w:top w:val="single" w:sz="6" w:space="0" w:color="FFFFFF"/>
              <w:left w:val="single" w:sz="6" w:space="0" w:color="FFFFFF"/>
              <w:bottom w:val="single" w:sz="6" w:space="0" w:color="FFFFFF"/>
              <w:right w:val="single" w:sz="6" w:space="0" w:color="FFFFFF"/>
            </w:tcBorders>
            <w:shd w:val="clear" w:color="auto" w:fill="E9F5F2"/>
            <w:tcMar>
              <w:right w:w="45" w:type="dxa"/>
            </w:tcMar>
            <w:vAlign w:val="center"/>
          </w:tcPr>
          <w:p w14:paraId="17A2AECD" w14:textId="77777777" w:rsidR="001B5A77" w:rsidRPr="001A3338" w:rsidRDefault="001B5A77" w:rsidP="00E06D4C">
            <w:pPr>
              <w:pStyle w:val="TableParagraph"/>
              <w:spacing w:before="60" w:after="60"/>
              <w:ind w:left="57" w:right="57"/>
              <w:cnfStyle w:val="000000000000" w:firstRow="0" w:lastRow="0" w:firstColumn="0" w:lastColumn="0" w:oddVBand="0" w:evenVBand="0" w:oddHBand="0" w:evenHBand="0" w:firstRowFirstColumn="0" w:firstRowLastColumn="0" w:lastRowFirstColumn="0" w:lastRowLastColumn="0"/>
            </w:pPr>
            <w:r w:rsidRPr="001A3338">
              <w:t>21%</w:t>
            </w:r>
          </w:p>
        </w:tc>
        <w:tc>
          <w:tcPr>
            <w:tcW w:w="886" w:type="dxa"/>
            <w:tcBorders>
              <w:top w:val="single" w:sz="6" w:space="0" w:color="FFFFFF"/>
              <w:left w:val="single" w:sz="6" w:space="0" w:color="FFFFFF"/>
              <w:bottom w:val="single" w:sz="6" w:space="0" w:color="FFFFFF"/>
              <w:right w:val="single" w:sz="6" w:space="0" w:color="FFFFFF"/>
            </w:tcBorders>
            <w:shd w:val="clear" w:color="auto" w:fill="E9F5F2"/>
            <w:tcMar>
              <w:right w:w="45" w:type="dxa"/>
            </w:tcMar>
            <w:vAlign w:val="center"/>
          </w:tcPr>
          <w:p w14:paraId="5718BB0C" w14:textId="77777777" w:rsidR="001B5A77" w:rsidRPr="001A3338" w:rsidRDefault="001B5A77" w:rsidP="00E06D4C">
            <w:pPr>
              <w:pStyle w:val="TableParagraph"/>
              <w:spacing w:before="60" w:after="60"/>
              <w:ind w:left="57" w:right="57"/>
              <w:cnfStyle w:val="000000000000" w:firstRow="0" w:lastRow="0" w:firstColumn="0" w:lastColumn="0" w:oddVBand="0" w:evenVBand="0" w:oddHBand="0" w:evenHBand="0" w:firstRowFirstColumn="0" w:firstRowLastColumn="0" w:lastRowFirstColumn="0" w:lastRowLastColumn="0"/>
            </w:pPr>
            <w:r w:rsidRPr="001A3338">
              <w:t>18%</w:t>
            </w:r>
          </w:p>
        </w:tc>
        <w:tc>
          <w:tcPr>
            <w:tcW w:w="1793" w:type="dxa"/>
            <w:tcBorders>
              <w:top w:val="single" w:sz="6" w:space="0" w:color="FFFFFF"/>
              <w:left w:val="single" w:sz="6" w:space="0" w:color="FFFFFF"/>
              <w:bottom w:val="single" w:sz="6" w:space="0" w:color="FFFFFF"/>
              <w:right w:val="single" w:sz="6" w:space="0" w:color="FFFFFF"/>
            </w:tcBorders>
            <w:shd w:val="clear" w:color="auto" w:fill="E9F5F2"/>
            <w:tcMar>
              <w:right w:w="45" w:type="dxa"/>
            </w:tcMar>
            <w:vAlign w:val="center"/>
          </w:tcPr>
          <w:p w14:paraId="6ACCAD9F" w14:textId="59227B06" w:rsidR="001B5A77" w:rsidRPr="001A3338" w:rsidRDefault="001B5A77" w:rsidP="00E06D4C">
            <w:pPr>
              <w:pStyle w:val="TableParagraph"/>
              <w:spacing w:before="60" w:after="60"/>
              <w:ind w:left="57" w:right="57"/>
              <w:cnfStyle w:val="000000000000" w:firstRow="0" w:lastRow="0" w:firstColumn="0" w:lastColumn="0" w:oddVBand="0" w:evenVBand="0" w:oddHBand="0" w:evenHBand="0" w:firstRowFirstColumn="0" w:firstRowLastColumn="0" w:lastRowFirstColumn="0" w:lastRowLastColumn="0"/>
            </w:pPr>
            <w:r w:rsidRPr="001A3338">
              <w:t>28.0</w:t>
            </w:r>
          </w:p>
        </w:tc>
      </w:tr>
    </w:tbl>
    <w:p w14:paraId="62B688DD" w14:textId="1D886B59" w:rsidR="00FF0A7B" w:rsidRDefault="000F4C7A" w:rsidP="00FF0A7B">
      <w:pPr>
        <w:pStyle w:val="BodyText"/>
      </w:pPr>
      <w:r w:rsidRPr="000F4C7A">
        <w:t xml:space="preserve">We have only used a single harvest age across the remaining exotic species, Douglas </w:t>
      </w:r>
      <w:r w:rsidR="00A775BF">
        <w:t>f</w:t>
      </w:r>
      <w:r w:rsidR="00A775BF" w:rsidRPr="000F4C7A">
        <w:t xml:space="preserve">ir </w:t>
      </w:r>
      <w:r w:rsidRPr="000F4C7A">
        <w:t xml:space="preserve">(45 years), </w:t>
      </w:r>
      <w:r w:rsidR="00A775BF">
        <w:t>e</w:t>
      </w:r>
      <w:r w:rsidR="00A775BF" w:rsidRPr="000F4C7A">
        <w:t xml:space="preserve">xotic </w:t>
      </w:r>
      <w:r w:rsidR="00A775BF">
        <w:t>s</w:t>
      </w:r>
      <w:r w:rsidR="00A775BF" w:rsidRPr="000F4C7A">
        <w:t xml:space="preserve">oftwoods </w:t>
      </w:r>
      <w:r w:rsidRPr="000F4C7A">
        <w:t xml:space="preserve">(40 years) and </w:t>
      </w:r>
      <w:r w:rsidR="00A775BF">
        <w:t>e</w:t>
      </w:r>
      <w:r w:rsidR="00A775BF" w:rsidRPr="000F4C7A">
        <w:t xml:space="preserve">xotic </w:t>
      </w:r>
      <w:r w:rsidRPr="000F4C7A">
        <w:t xml:space="preserve">hardwoods (21 years). These species each make up a minor portion of total exotic forest </w:t>
      </w:r>
      <w:r w:rsidR="009201EE">
        <w:t xml:space="preserve">area </w:t>
      </w:r>
      <w:r w:rsidRPr="000F4C7A">
        <w:t xml:space="preserve">compared to pinus radiata, and including multiple weighted average harvest age across these species has a very minimal impact on results. Also, given the average harvest age for Douglas </w:t>
      </w:r>
      <w:r w:rsidR="00443460">
        <w:t>f</w:t>
      </w:r>
      <w:r w:rsidRPr="000F4C7A">
        <w:t xml:space="preserve">ir and </w:t>
      </w:r>
      <w:r w:rsidR="00443460">
        <w:t>e</w:t>
      </w:r>
      <w:r w:rsidRPr="000F4C7A">
        <w:t xml:space="preserve">xotic softwoods is significantly older, we do not </w:t>
      </w:r>
      <w:r w:rsidR="00827D19">
        <w:t xml:space="preserve">expect that </w:t>
      </w:r>
      <w:r w:rsidRPr="000F4C7A">
        <w:t>any of these species planted post-1989 will have been harvested yet.</w:t>
      </w:r>
      <w:r w:rsidR="009C6061">
        <w:t xml:space="preserve">  </w:t>
      </w:r>
    </w:p>
    <w:p w14:paraId="06089821" w14:textId="70E8153B" w:rsidR="000F4C7A" w:rsidRDefault="00827D19" w:rsidP="000F4C7A">
      <w:pPr>
        <w:pStyle w:val="Heading3"/>
      </w:pPr>
      <w:bookmarkStart w:id="41" w:name="_Toc227603129"/>
      <w:r>
        <w:t>E</w:t>
      </w:r>
      <w:r w:rsidR="000F4C7A">
        <w:t>xotic forests assumed to be managed as permanent</w:t>
      </w:r>
      <w:bookmarkEnd w:id="41"/>
    </w:p>
    <w:p w14:paraId="7F69DEC7" w14:textId="3E6368D7" w:rsidR="00421CD0" w:rsidRDefault="00A7392D" w:rsidP="00A7392D">
      <w:pPr>
        <w:pStyle w:val="BodyText"/>
      </w:pPr>
      <w:r>
        <w:t xml:space="preserve">Forests registered under stock change accounting are only required to surrender units if the forest is harvested. Unlike those using averaging accounting, there is no requirement that foresters using stock change accounting register a forest as ‘permanent’ to keep earning units past the average harvest age. Therefore, there is no formal breakdown of the area of production versus permanent forests registered in the NZ ETS under stock change. </w:t>
      </w:r>
    </w:p>
    <w:p w14:paraId="5DED6367" w14:textId="6E6E35C9" w:rsidR="00A7392D" w:rsidRDefault="00A7392D" w:rsidP="00A7392D">
      <w:pPr>
        <w:pStyle w:val="BodyText"/>
      </w:pPr>
      <w:r>
        <w:t xml:space="preserve">The </w:t>
      </w:r>
      <w:r w:rsidR="00E82869">
        <w:t xml:space="preserve">area of </w:t>
      </w:r>
      <w:r w:rsidR="00E83512">
        <w:t xml:space="preserve">stock change </w:t>
      </w:r>
      <w:r w:rsidR="00E82869">
        <w:t>exotic forest</w:t>
      </w:r>
      <w:r w:rsidR="00E83512">
        <w:t xml:space="preserve">s </w:t>
      </w:r>
      <w:r w:rsidR="00626A1C">
        <w:t xml:space="preserve">managed as permanent </w:t>
      </w:r>
      <w:r>
        <w:t>may change over time as many factors may influence whether a forest transitions from production to permanent (or vice versa). This includes economic conditions, such as log prices, harvesting</w:t>
      </w:r>
      <w:r w:rsidR="00D2369B">
        <w:t xml:space="preserve"> costs</w:t>
      </w:r>
      <w:r>
        <w:t xml:space="preserve">, international shipping costs, or the value of NZUs. The proportion of forest assumed to be managed as permanent has a significant impact on our estimate of units held for harvest. </w:t>
      </w:r>
    </w:p>
    <w:p w14:paraId="770B3F21" w14:textId="57D97464" w:rsidR="00A7392D" w:rsidRDefault="00A7392D" w:rsidP="00A7392D">
      <w:pPr>
        <w:pStyle w:val="BodyText"/>
      </w:pPr>
      <w:r>
        <w:t xml:space="preserve">In government emissions projections prior to 2025, forestry emissions and removals were calculated based on a flat-rate assumption </w:t>
      </w:r>
      <w:r w:rsidR="00F827AF">
        <w:t xml:space="preserve">of the proportion </w:t>
      </w:r>
      <w:r>
        <w:t xml:space="preserve">of permanent versus production exotic forests. </w:t>
      </w:r>
    </w:p>
    <w:p w14:paraId="0581D798" w14:textId="2E43149A" w:rsidR="00A7392D" w:rsidRDefault="00A7392D" w:rsidP="00A7392D">
      <w:pPr>
        <w:pStyle w:val="BodyText"/>
      </w:pPr>
      <w:r>
        <w:t xml:space="preserve">In the 2025 government emissions projections, </w:t>
      </w:r>
      <w:r w:rsidR="00942C2F">
        <w:t xml:space="preserve">MPI used </w:t>
      </w:r>
      <w:r>
        <w:t>more detailed data for the forestry emissions and removals projections, which included an estimated breakdown of permanent versus production exotic forest area by year of planting. We understand that MPI developed its permanent forest area estimates based on a combination of commissioned research into harvest, afforestation and deforestation intentions</w:t>
      </w:r>
      <w:r w:rsidR="003B474F">
        <w:t>,</w:t>
      </w:r>
      <w:r w:rsidR="00F74547">
        <w:fldChar w:fldCharType="begin"/>
      </w:r>
      <w:r w:rsidR="00673384">
        <w:instrText xml:space="preserve"> ADDIN EN.CITE &lt;EndNote&gt;&lt;Cite&gt;&lt;Author&gt;Manley&lt;/Author&gt;&lt;Year&gt;2024&lt;/Year&gt;&lt;RecNum&gt;1484&lt;/RecNum&gt;&lt;DisplayText&gt;&lt;style face="superscript"&gt;5&lt;/style&gt;&lt;/DisplayText&gt;&lt;record&gt;&lt;rec-number&gt;1484&lt;/rec-number&gt;&lt;foreign-keys&gt;&lt;key app="EN" db-id="fwvex5fabdwzs9e9rwa55p5bvws5v2dex2zs" timestamp="1775620783" guid="46abd077-91de-40d9-9b85-a9d86ebdb966"&gt;1484&lt;/key&gt;&lt;/foreign-keys&gt;&lt;ref-type name="Report"&gt;27&lt;/ref-type&gt;&lt;contributors&gt;&lt;authors&gt;&lt;author&gt;Manley, Bruce&lt;/author&gt;&lt;/authors&gt;&lt;/contributors&gt;&lt;titles&gt;&lt;title&gt;Post-1989 Deforestation and Permanent Forest&lt;/title&gt;&lt;/titles&gt;&lt;keywords&gt;&lt;keyword&gt;ETS26&lt;/keyword&gt;&lt;/keywords&gt;&lt;dates&gt;&lt;year&gt;2024&lt;/year&gt;&lt;/dates&gt;&lt;publisher&gt;Ministry for Primary Industries&lt;/publisher&gt;&lt;urls&gt;&lt;related-urls&gt;&lt;url&gt;https://www.mpi.govt.nz/dmsdocument/70373-Post-1989-Deforestation-and-Permanent-Forest&lt;/url&gt;&lt;/related-urls&gt;&lt;/urls&gt;&lt;/record&gt;&lt;/Cite&gt;&lt;/EndNote&gt;</w:instrText>
      </w:r>
      <w:r w:rsidR="00F74547">
        <w:fldChar w:fldCharType="separate"/>
      </w:r>
      <w:r w:rsidR="00F74547" w:rsidRPr="00F74547">
        <w:rPr>
          <w:noProof/>
          <w:vertAlign w:val="superscript"/>
        </w:rPr>
        <w:t>5</w:t>
      </w:r>
      <w:r w:rsidR="00F74547">
        <w:fldChar w:fldCharType="end"/>
      </w:r>
      <w:r w:rsidR="00F74547" w:rsidRPr="00F74547">
        <w:rPr>
          <w:vertAlign w:val="superscript"/>
        </w:rPr>
        <w:t>,</w:t>
      </w:r>
      <w:r w:rsidR="00F74547">
        <w:fldChar w:fldCharType="begin"/>
      </w:r>
      <w:r w:rsidR="00673384">
        <w:instrText xml:space="preserve"> ADDIN EN.CITE &lt;EndNote&gt;&lt;Cite ExcludeYear="1"&gt;&lt;Author&gt;Manley&lt;/Author&gt;&lt;RecNum&gt;1473&lt;/RecNum&gt;&lt;DisplayText&gt;&lt;style face="superscript"&gt;6&lt;/style&gt;&lt;/DisplayText&gt;&lt;record&gt;&lt;rec-number&gt;1473&lt;/rec-number&gt;&lt;foreign-keys&gt;&lt;key app="EN" db-id="fwvex5fabdwzs9e9rwa55p5bvws5v2dex2zs" timestamp="1774814559" guid="213dbd86-2449-4686-804a-bca3c31752cb"&gt;1473&lt;/key&gt;&lt;/foreign-keys&gt;&lt;ref-type name="Report"&gt;27&lt;/ref-type&gt;&lt;contributors&gt;&lt;authors&gt;&lt;author&gt;Manley, Bruce&lt;/author&gt;&lt;/authors&gt;&lt;/contributors&gt;&lt;titles&gt;&lt;title&gt;Afforestation and Deforestation Intentions Survey 2024&lt;/title&gt;&lt;/titles&gt;&lt;keywords&gt;&lt;keyword&gt;ETS26&lt;/keyword&gt;&lt;/keywords&gt;&lt;dates&gt;&lt;pub-dates&gt;&lt;date&gt;May 2025&lt;/date&gt;&lt;/pub-dates&gt;&lt;/dates&gt;&lt;urls&gt;&lt;related-urls&gt;&lt;url&gt;https://www.mpi.govt.nz/dmsdocument/70372-Afforestation-and-Deforestation-Intentions-Survey-2024&lt;/url&gt;&lt;/related-urls&gt;&lt;/urls&gt;&lt;/record&gt;&lt;/Cite&gt;&lt;/EndNote&gt;</w:instrText>
      </w:r>
      <w:r w:rsidR="00F74547">
        <w:fldChar w:fldCharType="separate"/>
      </w:r>
      <w:r w:rsidR="00F74547" w:rsidRPr="00F74547">
        <w:rPr>
          <w:noProof/>
          <w:vertAlign w:val="superscript"/>
        </w:rPr>
        <w:t>6</w:t>
      </w:r>
      <w:r w:rsidR="00F74547">
        <w:fldChar w:fldCharType="end"/>
      </w:r>
      <w:r>
        <w:t xml:space="preserve"> analysis of historical trends, and expert judgement.</w:t>
      </w:r>
    </w:p>
    <w:p w14:paraId="61388668" w14:textId="26578956" w:rsidR="00A7392D" w:rsidRDefault="00A7392D" w:rsidP="00A7392D">
      <w:pPr>
        <w:pStyle w:val="BodyText"/>
      </w:pPr>
      <w:r>
        <w:t xml:space="preserve">We have applied this more detailed data, which provides a central estimate of 17% of total area classified as permanent for forests planted between 1990–2024. This is slightly lower than our previous assumption, which was 20%. </w:t>
      </w:r>
    </w:p>
    <w:p w14:paraId="5DE7D4E1" w14:textId="206F89A6" w:rsidR="000F4C7A" w:rsidRDefault="00A7392D" w:rsidP="00A7392D">
      <w:pPr>
        <w:pStyle w:val="BodyText"/>
      </w:pPr>
      <w:r>
        <w:t>Figure 6 below shows MPI data on the proportion of forest area assumed to be managed as permanent by year of forest planting. It also shows the total exotic forest area planted in each year, illustrated on the graph by the grey shaded area</w:t>
      </w:r>
      <w:r w:rsidR="00EC2D0F">
        <w:t xml:space="preserve"> and the </w:t>
      </w:r>
      <w:r w:rsidR="00C768DE">
        <w:t>vertical axis to the right</w:t>
      </w:r>
      <w:r>
        <w:t>. There is a high degree of variation across the total area planted each year, meaning that the assumption of the proportion of area managed as permanent is much more consequential for some years than others. The overall central estimate of 17% is weighted based on the area planted in each year. This is shown by the dashed line on the graph.</w:t>
      </w:r>
    </w:p>
    <w:p w14:paraId="2FC7A5DE" w14:textId="546E8980" w:rsidR="00232DF6" w:rsidRDefault="00232DF6" w:rsidP="00232DF6">
      <w:pPr>
        <w:pStyle w:val="FigureTabletitle"/>
      </w:pPr>
      <w:r>
        <w:t xml:space="preserve">Figure </w:t>
      </w:r>
      <w:r w:rsidR="00B12CA3">
        <w:fldChar w:fldCharType="begin"/>
      </w:r>
      <w:r w:rsidR="00B12CA3">
        <w:instrText xml:space="preserve"> SEQ Figure \* ARABIC </w:instrText>
      </w:r>
      <w:r w:rsidR="00B12CA3">
        <w:fldChar w:fldCharType="separate"/>
      </w:r>
      <w:r w:rsidR="00B12CA3">
        <w:rPr>
          <w:noProof/>
        </w:rPr>
        <w:t>6</w:t>
      </w:r>
      <w:r w:rsidR="00B12CA3">
        <w:rPr>
          <w:noProof/>
        </w:rPr>
        <w:fldChar w:fldCharType="end"/>
      </w:r>
      <w:r>
        <w:t xml:space="preserve">: </w:t>
      </w:r>
      <w:r w:rsidRPr="00474D6C">
        <w:t xml:space="preserve">Total exotic forest area </w:t>
      </w:r>
      <w:proofErr w:type="gramStart"/>
      <w:r w:rsidRPr="00474D6C">
        <w:t>planted</w:t>
      </w:r>
      <w:proofErr w:type="gramEnd"/>
      <w:r w:rsidRPr="00474D6C">
        <w:t xml:space="preserve"> and proportion assumed to be managed as permanent by year</w:t>
      </w:r>
    </w:p>
    <w:p w14:paraId="46B20776" w14:textId="5820B770" w:rsidR="00A7392D" w:rsidRDefault="007875DF" w:rsidP="00A7392D">
      <w:pPr>
        <w:pStyle w:val="BodyText"/>
        <w:rPr>
          <w:noProof/>
        </w:rPr>
      </w:pPr>
      <w:r>
        <w:rPr>
          <w:noProof/>
        </w:rPr>
        <w:drawing>
          <wp:inline distT="0" distB="0" distL="0" distR="0" wp14:anchorId="6CAB67CA" wp14:editId="473F07F2">
            <wp:extent cx="6132830" cy="3670300"/>
            <wp:effectExtent l="0" t="0" r="1270" b="6350"/>
            <wp:docPr id="30941134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32830" cy="3670300"/>
                    </a:xfrm>
                    <a:prstGeom prst="rect">
                      <a:avLst/>
                    </a:prstGeom>
                    <a:noFill/>
                  </pic:spPr>
                </pic:pic>
              </a:graphicData>
            </a:graphic>
          </wp:inline>
        </w:drawing>
      </w:r>
    </w:p>
    <w:p w14:paraId="39F9D514" w14:textId="50FEC658" w:rsidR="00232DF6" w:rsidRPr="00232DF6" w:rsidRDefault="00232DF6" w:rsidP="00232DF6">
      <w:pPr>
        <w:tabs>
          <w:tab w:val="left" w:pos="2238"/>
        </w:tabs>
        <w:rPr>
          <w:sz w:val="20"/>
          <w:szCs w:val="20"/>
        </w:rPr>
      </w:pPr>
      <w:r w:rsidRPr="00232DF6">
        <w:rPr>
          <w:sz w:val="20"/>
          <w:szCs w:val="20"/>
        </w:rPr>
        <w:t>Source: Ministry for Primary Industries</w:t>
      </w:r>
    </w:p>
    <w:p w14:paraId="7C229DB6" w14:textId="38C783AB" w:rsidR="008A7E07" w:rsidRDefault="008A7E07" w:rsidP="008A7E07">
      <w:pPr>
        <w:tabs>
          <w:tab w:val="left" w:pos="2238"/>
        </w:tabs>
      </w:pPr>
      <w:r>
        <w:t xml:space="preserve">We have used high and low estimates of 12% and 22%. These are based on varying the data provided by MPI by +/-30%. This compares to our high and low assumptions in previous advice of 10% to 30%, which represented a variation on the central </w:t>
      </w:r>
      <w:r w:rsidR="00CF3536">
        <w:t xml:space="preserve">20% </w:t>
      </w:r>
      <w:r>
        <w:t>assumption of</w:t>
      </w:r>
      <w:r w:rsidR="003B04C9">
        <w:t xml:space="preserve"> </w:t>
      </w:r>
      <w:r>
        <w:t>+/</w:t>
      </w:r>
      <w:r w:rsidR="00CF3536">
        <w:t>-</w:t>
      </w:r>
      <w:r>
        <w:t xml:space="preserve">50%. We have applied </w:t>
      </w:r>
      <w:r w:rsidR="000129EF">
        <w:t xml:space="preserve">a </w:t>
      </w:r>
      <w:r w:rsidR="00565233">
        <w:t xml:space="preserve">narrower </w:t>
      </w:r>
      <w:r>
        <w:t xml:space="preserve">variation in these assumptions than in previous advice because </w:t>
      </w:r>
      <w:r w:rsidR="007C2AD7">
        <w:t xml:space="preserve">these assumptions are now based on more </w:t>
      </w:r>
      <w:r>
        <w:t>up to date information. In particular, a 2024 survey of deforestation and harvest intentions commissioned by MPI provided a more current view of the likely proportion of forests being managed as permanent.</w:t>
      </w:r>
      <w:r w:rsidR="001B1156">
        <w:fldChar w:fldCharType="begin"/>
      </w:r>
      <w:r w:rsidR="00673384">
        <w:instrText xml:space="preserve"> ADDIN EN.CITE &lt;EndNote&gt;&lt;Cite&gt;&lt;Author&gt;Manley&lt;/Author&gt;&lt;Year&gt;2024&lt;/Year&gt;&lt;RecNum&gt;1484&lt;/RecNum&gt;&lt;DisplayText&gt;&lt;style face="superscript"&gt;5&lt;/style&gt;&lt;/DisplayText&gt;&lt;record&gt;&lt;rec-number&gt;1484&lt;/rec-number&gt;&lt;foreign-keys&gt;&lt;key app="EN" db-id="fwvex5fabdwzs9e9rwa55p5bvws5v2dex2zs" timestamp="1775620783" guid="46abd077-91de-40d9-9b85-a9d86ebdb966"&gt;1484&lt;/key&gt;&lt;/foreign-keys&gt;&lt;ref-type name="Report"&gt;27&lt;/ref-type&gt;&lt;contributors&gt;&lt;authors&gt;&lt;author&gt;Manley, Bruce&lt;/author&gt;&lt;/authors&gt;&lt;/contributors&gt;&lt;titles&gt;&lt;title&gt;Post-1989 Deforestation and Permanent Forest&lt;/title&gt;&lt;/titles&gt;&lt;keywords&gt;&lt;keyword&gt;ETS26&lt;/keyword&gt;&lt;/keywords&gt;&lt;dates&gt;&lt;year&gt;2024&lt;/year&gt;&lt;/dates&gt;&lt;publisher&gt;Ministry for Primary Industries&lt;/publisher&gt;&lt;urls&gt;&lt;related-urls&gt;&lt;url&gt;https://www.mpi.govt.nz/dmsdocument/70373-Post-1989-Deforestation-and-Permanent-Forest&lt;/url&gt;&lt;/related-urls&gt;&lt;/urls&gt;&lt;/record&gt;&lt;/Cite&gt;&lt;/EndNote&gt;</w:instrText>
      </w:r>
      <w:r w:rsidR="001B1156">
        <w:fldChar w:fldCharType="separate"/>
      </w:r>
      <w:r w:rsidR="00F74547" w:rsidRPr="00F74547">
        <w:rPr>
          <w:noProof/>
          <w:vertAlign w:val="superscript"/>
        </w:rPr>
        <w:t>5</w:t>
      </w:r>
      <w:r w:rsidR="001B1156">
        <w:fldChar w:fldCharType="end"/>
      </w:r>
      <w:r>
        <w:t xml:space="preserve"> Prior to this, the most recent data available was from a survey </w:t>
      </w:r>
      <w:r w:rsidR="00897F16">
        <w:t xml:space="preserve">published </w:t>
      </w:r>
      <w:r>
        <w:t>in 2018.</w:t>
      </w:r>
      <w:r w:rsidR="005E451A">
        <w:fldChar w:fldCharType="begin"/>
      </w:r>
      <w:r w:rsidR="00673384">
        <w:instrText xml:space="preserve"> ADDIN EN.CITE &lt;EndNote&gt;&lt;Cite&gt;&lt;Author&gt;Manley&lt;/Author&gt;&lt;Year&gt;2018&lt;/Year&gt;&lt;RecNum&gt;1579&lt;/RecNum&gt;&lt;DisplayText&gt;&lt;style face="superscript"&gt;7&lt;/style&gt;&lt;/DisplayText&gt;&lt;record&gt;&lt;rec-number&gt;1579&lt;/rec-number&gt;&lt;foreign-keys&gt;&lt;key app="EN" db-id="fwvex5fabdwzs9e9rwa55p5bvws5v2dex2zs" timestamp="1776636052" guid="d8c73993-e7d2-4f0a-b210-61b890e62e1d"&gt;1579&lt;/key&gt;&lt;/foreign-keys&gt;&lt;ref-type name="Report"&gt;27&lt;/ref-type&gt;&lt;contributors&gt;&lt;authors&gt;&lt;author&gt;Manley, B.&lt;/author&gt;&lt;/authors&gt;&lt;/contributors&gt;&lt;titles&gt;&lt;title&gt;Intentions of forest owners following harvest of post-1989 forests&lt;/title&gt;&lt;/titles&gt;&lt;keywords&gt;&lt;keyword&gt;ETS26&lt;/keyword&gt;&lt;/keywords&gt;&lt;dates&gt;&lt;year&gt;2018&lt;/year&gt;&lt;/dates&gt;&lt;publisher&gt;Ministry for Primary Industries&lt;/publisher&gt;&lt;urls&gt;&lt;related-urls&gt;&lt;url&gt;https://www.mpi.govt.nz/dmsdocument/30687-intentions-of-forest-owners-following-harvest-of-post-1989-forests&lt;/url&gt;&lt;/related-urls&gt;&lt;/urls&gt;&lt;/record&gt;&lt;/Cite&gt;&lt;/EndNote&gt;</w:instrText>
      </w:r>
      <w:r w:rsidR="005E451A">
        <w:fldChar w:fldCharType="separate"/>
      </w:r>
      <w:r w:rsidR="005E451A" w:rsidRPr="005E451A">
        <w:rPr>
          <w:noProof/>
          <w:vertAlign w:val="superscript"/>
        </w:rPr>
        <w:t>7</w:t>
      </w:r>
      <w:r w:rsidR="005E451A">
        <w:fldChar w:fldCharType="end"/>
      </w:r>
      <w:r>
        <w:t xml:space="preserve"> </w:t>
      </w:r>
    </w:p>
    <w:p w14:paraId="21659480" w14:textId="57093EC2" w:rsidR="00232DF6" w:rsidRDefault="008A7E07" w:rsidP="008A7E07">
      <w:pPr>
        <w:tabs>
          <w:tab w:val="left" w:pos="2238"/>
        </w:tabs>
      </w:pPr>
      <w:r>
        <w:t>Figure 7 shows the low, central and high assumptions of the proportion of forest area managed as permanent.</w:t>
      </w:r>
    </w:p>
    <w:p w14:paraId="7998E35D" w14:textId="2F9FF252" w:rsidR="006C74C0" w:rsidRDefault="006C74C0" w:rsidP="006C74C0">
      <w:pPr>
        <w:pStyle w:val="FigureTabletitle"/>
      </w:pPr>
      <w:r>
        <w:t xml:space="preserve">Figure </w:t>
      </w:r>
      <w:r w:rsidR="00B12CA3">
        <w:fldChar w:fldCharType="begin"/>
      </w:r>
      <w:r w:rsidR="00B12CA3">
        <w:instrText xml:space="preserve"> SEQ Figure \* ARABIC </w:instrText>
      </w:r>
      <w:r w:rsidR="00B12CA3">
        <w:fldChar w:fldCharType="separate"/>
      </w:r>
      <w:r w:rsidR="00B12CA3">
        <w:rPr>
          <w:noProof/>
        </w:rPr>
        <w:t>7</w:t>
      </w:r>
      <w:r w:rsidR="00B12CA3">
        <w:rPr>
          <w:noProof/>
        </w:rPr>
        <w:fldChar w:fldCharType="end"/>
      </w:r>
      <w:r>
        <w:t xml:space="preserve">: </w:t>
      </w:r>
      <w:r w:rsidRPr="00D41A8E">
        <w:t>Central, high and low assumptions of the proportion of forest area assumed to be managed as permanent by year of forest planting</w:t>
      </w:r>
    </w:p>
    <w:p w14:paraId="51D2154E" w14:textId="70FC39D8" w:rsidR="008A7E07" w:rsidRDefault="006069F3" w:rsidP="008A7E07">
      <w:pPr>
        <w:tabs>
          <w:tab w:val="left" w:pos="2238"/>
        </w:tabs>
        <w:rPr>
          <w:noProof/>
        </w:rPr>
      </w:pPr>
      <w:r>
        <w:rPr>
          <w:noProof/>
        </w:rPr>
        <w:drawing>
          <wp:inline distT="0" distB="0" distL="0" distR="0" wp14:anchorId="71D20403" wp14:editId="298F13ED">
            <wp:extent cx="6132830" cy="3670300"/>
            <wp:effectExtent l="0" t="0" r="1270" b="6350"/>
            <wp:docPr id="81757290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32830" cy="3670300"/>
                    </a:xfrm>
                    <a:prstGeom prst="rect">
                      <a:avLst/>
                    </a:prstGeom>
                    <a:noFill/>
                  </pic:spPr>
                </pic:pic>
              </a:graphicData>
            </a:graphic>
          </wp:inline>
        </w:drawing>
      </w:r>
    </w:p>
    <w:p w14:paraId="1C092C80" w14:textId="7680ACFA" w:rsidR="006C74C0" w:rsidRDefault="006C74C0" w:rsidP="006C74C0">
      <w:pPr>
        <w:rPr>
          <w:sz w:val="20"/>
          <w:szCs w:val="20"/>
        </w:rPr>
      </w:pPr>
      <w:r w:rsidRPr="006C74C0">
        <w:rPr>
          <w:sz w:val="20"/>
          <w:szCs w:val="20"/>
        </w:rPr>
        <w:t>Source: Commission analysis</w:t>
      </w:r>
    </w:p>
    <w:p w14:paraId="55BA19D3" w14:textId="41879B59" w:rsidR="006C74C0" w:rsidRDefault="006C74C0" w:rsidP="006C74C0">
      <w:pPr>
        <w:pStyle w:val="Heading3"/>
      </w:pPr>
      <w:bookmarkStart w:id="42" w:name="_Toc227603130"/>
      <w:r>
        <w:t>Low-risk units</w:t>
      </w:r>
      <w:bookmarkEnd w:id="42"/>
    </w:p>
    <w:p w14:paraId="4DFBAD87" w14:textId="1D408E02" w:rsidR="00876947" w:rsidRDefault="00876947" w:rsidP="00876947">
      <w:pPr>
        <w:pStyle w:val="BodyText"/>
      </w:pPr>
      <w:r>
        <w:t>The carbon stock of forests does not return to zero immediately on harvest due to residual carbon stored in roots underground. Some units earned by production forests on their first rotation can be considered ‘low</w:t>
      </w:r>
      <w:r w:rsidR="007456DB">
        <w:t xml:space="preserve"> </w:t>
      </w:r>
      <w:r>
        <w:t>risk’, as they will never have to be surrendered if the forest is replanted. However, additional units may also be considered low</w:t>
      </w:r>
      <w:r w:rsidR="007456DB">
        <w:t xml:space="preserve"> </w:t>
      </w:r>
      <w:r>
        <w:t xml:space="preserve">risk if a forestry participant can manage liabilities across a portfolio of forests of different ages, as harvest liabilities can be met using units allocated for forests at a different stage in their rotation. </w:t>
      </w:r>
    </w:p>
    <w:p w14:paraId="4B3CE711" w14:textId="509496BA" w:rsidR="00876947" w:rsidRDefault="00876947" w:rsidP="00876947">
      <w:pPr>
        <w:pStyle w:val="BodyText"/>
      </w:pPr>
      <w:r>
        <w:t xml:space="preserve">We have analysed the range of possible levels for low-risk units available to owners of post-1989 forests registered in the NZ ETS under stock change. For each post-1989 forestry participant, the minimum level of low-risk units is the </w:t>
      </w:r>
      <w:proofErr w:type="gramStart"/>
      <w:r>
        <w:t>amount</w:t>
      </w:r>
      <w:proofErr w:type="gramEnd"/>
      <w:r>
        <w:t xml:space="preserve"> of low-risk units available for a single forest that is planted at one time. The maximum level of low-risk units is the theoretical low-risk units for a forest portfolio evenly split across all age classes (equal to the long</w:t>
      </w:r>
      <w:r w:rsidR="00114A75">
        <w:t>-</w:t>
      </w:r>
      <w:r>
        <w:t>term average carbon stock).</w:t>
      </w:r>
    </w:p>
    <w:p w14:paraId="0D17473A" w14:textId="7A794B8B" w:rsidR="006C74C0" w:rsidRDefault="00876947" w:rsidP="00876947">
      <w:pPr>
        <w:pStyle w:val="BodyText"/>
      </w:pPr>
      <w:r>
        <w:t xml:space="preserve">All NZ ETS forestry participants sit somewhere on a spectrum between these minimum and theoretical maximum levels of low-risk units. </w:t>
      </w:r>
      <w:r w:rsidRPr="00E06D4C">
        <w:t>Box 1</w:t>
      </w:r>
      <w:r>
        <w:t xml:space="preserve"> below illustrates how these levels work in practice.</w:t>
      </w:r>
    </w:p>
    <w:tbl>
      <w:tblPr>
        <w:tblStyle w:val="GridTable5Dark-Accent59"/>
        <w:tblW w:w="5003" w:type="pct"/>
        <w:tblInd w:w="-5" w:type="dxa"/>
        <w:tblCellMar>
          <w:left w:w="113" w:type="dxa"/>
          <w:right w:w="113" w:type="dxa"/>
        </w:tblCellMar>
        <w:tblLook w:val="04A0" w:firstRow="1" w:lastRow="0" w:firstColumn="1" w:lastColumn="0" w:noHBand="0" w:noVBand="1"/>
      </w:tblPr>
      <w:tblGrid>
        <w:gridCol w:w="9065"/>
      </w:tblGrid>
      <w:tr w:rsidR="00541D57" w:rsidRPr="00541D57" w14:paraId="6576EBFA" w14:textId="77777777">
        <w:trPr>
          <w:cnfStyle w:val="100000000000" w:firstRow="1" w:lastRow="0" w:firstColumn="0" w:lastColumn="0" w:oddVBand="0" w:evenVBand="0" w:oddHBand="0"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5000" w:type="pct"/>
            <w:shd w:val="clear" w:color="auto" w:fill="002060"/>
            <w:tcMar>
              <w:top w:w="28" w:type="dxa"/>
              <w:left w:w="198" w:type="dxa"/>
              <w:bottom w:w="28" w:type="dxa"/>
              <w:right w:w="198" w:type="dxa"/>
            </w:tcMar>
            <w:vAlign w:val="center"/>
          </w:tcPr>
          <w:p w14:paraId="5E510698" w14:textId="77777777" w:rsidR="00541D57" w:rsidRPr="00541D57" w:rsidRDefault="00541D57" w:rsidP="009A2C1B">
            <w:pPr>
              <w:autoSpaceDE w:val="0"/>
              <w:autoSpaceDN w:val="0"/>
              <w:adjustRightInd w:val="0"/>
              <w:spacing w:before="0" w:after="0" w:line="240" w:lineRule="auto"/>
              <w:rPr>
                <w:rFonts w:eastAsia="Calibri" w:cs="Calibri"/>
                <w:color w:val="000000"/>
                <w:sz w:val="23"/>
                <w:szCs w:val="23"/>
              </w:rPr>
            </w:pPr>
            <w:r w:rsidRPr="00541D57">
              <w:rPr>
                <w:rFonts w:eastAsia="Calibri" w:cs="Calibri"/>
                <w:sz w:val="23"/>
                <w:szCs w:val="23"/>
              </w:rPr>
              <w:t xml:space="preserve">Box 1. Forest owners can manage harvest liabilities to increase low-risk units </w:t>
            </w:r>
          </w:p>
        </w:tc>
      </w:tr>
      <w:tr w:rsidR="00541D57" w:rsidRPr="00541D57" w14:paraId="4EA3EC44" w14:textId="77777777">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5000" w:type="pct"/>
            <w:shd w:val="clear" w:color="auto" w:fill="D4E8DE"/>
            <w:tcMar>
              <w:top w:w="28" w:type="dxa"/>
              <w:left w:w="198" w:type="dxa"/>
              <w:bottom w:w="28" w:type="dxa"/>
              <w:right w:w="198" w:type="dxa"/>
            </w:tcMar>
            <w:vAlign w:val="center"/>
          </w:tcPr>
          <w:p w14:paraId="1E47D234" w14:textId="77777777" w:rsidR="00541D57" w:rsidRPr="009A2C1B" w:rsidRDefault="00541D57" w:rsidP="00541D57">
            <w:pPr>
              <w:spacing w:before="0" w:line="240" w:lineRule="auto"/>
              <w:rPr>
                <w:rFonts w:cs="Calibri"/>
                <w:b w:val="0"/>
                <w:bCs w:val="0"/>
                <w:color w:val="000000"/>
                <w:sz w:val="23"/>
                <w:szCs w:val="23"/>
              </w:rPr>
            </w:pPr>
            <w:r w:rsidRPr="009A2C1B">
              <w:rPr>
                <w:rFonts w:cs="Calibri"/>
                <w:b w:val="0"/>
                <w:bCs w:val="0"/>
                <w:color w:val="000000"/>
                <w:sz w:val="23"/>
                <w:szCs w:val="23"/>
              </w:rPr>
              <w:t xml:space="preserve">Imagine three different forestry </w:t>
            </w:r>
            <w:proofErr w:type="gramStart"/>
            <w:r w:rsidRPr="009A2C1B">
              <w:rPr>
                <w:rFonts w:cs="Calibri"/>
                <w:b w:val="0"/>
                <w:bCs w:val="0"/>
                <w:color w:val="000000"/>
                <w:sz w:val="23"/>
                <w:szCs w:val="23"/>
              </w:rPr>
              <w:t>participants</w:t>
            </w:r>
            <w:proofErr w:type="gramEnd"/>
            <w:r w:rsidRPr="009A2C1B">
              <w:rPr>
                <w:rFonts w:cs="Calibri"/>
                <w:b w:val="0"/>
                <w:bCs w:val="0"/>
                <w:color w:val="000000"/>
                <w:sz w:val="23"/>
                <w:szCs w:val="23"/>
              </w:rPr>
              <w:t xml:space="preserve"> each with 100,000 hectares of production forests registered in the NZ ETS in the year they were planted. The units each forest owner would earn and need to surrender at harvest per hectare would be the same over the long run but the timing of when they earn and surrender them will depend on their planting and harvest strategy. </w:t>
            </w:r>
          </w:p>
          <w:p w14:paraId="4457DC72" w14:textId="77777777" w:rsidR="00541D57" w:rsidRPr="009A2C1B" w:rsidRDefault="00541D57" w:rsidP="00541D57">
            <w:pPr>
              <w:spacing w:before="0" w:line="240" w:lineRule="auto"/>
              <w:rPr>
                <w:rFonts w:cs="Calibri"/>
                <w:b w:val="0"/>
                <w:bCs w:val="0"/>
                <w:color w:val="000000"/>
                <w:sz w:val="23"/>
                <w:szCs w:val="23"/>
              </w:rPr>
            </w:pPr>
            <w:r w:rsidRPr="009A2C1B">
              <w:rPr>
                <w:rFonts w:cs="Calibri"/>
                <w:b w:val="0"/>
                <w:bCs w:val="0"/>
                <w:color w:val="000000"/>
                <w:sz w:val="23"/>
                <w:szCs w:val="23"/>
              </w:rPr>
              <w:t xml:space="preserve">To take radiata pine forests as an example (based on a 28-year harvest cycle), the residual carbon remaining after each harvest cycle will differ for each forest owner as follows: </w:t>
            </w:r>
          </w:p>
          <w:p w14:paraId="79B0ED28" w14:textId="77777777" w:rsidR="00541D57" w:rsidRPr="009A2C1B" w:rsidRDefault="00541D57" w:rsidP="00541D57">
            <w:pPr>
              <w:widowControl w:val="0"/>
              <w:numPr>
                <w:ilvl w:val="0"/>
                <w:numId w:val="31"/>
              </w:numPr>
              <w:autoSpaceDE w:val="0"/>
              <w:autoSpaceDN w:val="0"/>
              <w:adjustRightInd w:val="0"/>
              <w:spacing w:before="0" w:after="0" w:line="240" w:lineRule="auto"/>
              <w:ind w:left="789"/>
              <w:rPr>
                <w:rFonts w:eastAsia="Calibri" w:cs="Calibri"/>
                <w:b w:val="0"/>
                <w:bCs w:val="0"/>
                <w:color w:val="000000"/>
                <w:sz w:val="23"/>
                <w:szCs w:val="23"/>
              </w:rPr>
            </w:pPr>
            <w:r w:rsidRPr="009A2C1B">
              <w:rPr>
                <w:rFonts w:eastAsia="Calibri" w:cs="Calibri"/>
                <w:b w:val="0"/>
                <w:bCs w:val="0"/>
                <w:color w:val="000000"/>
                <w:sz w:val="23"/>
                <w:szCs w:val="23"/>
              </w:rPr>
              <w:t xml:space="preserve">If Forest Owner A plants the full amount (and subsequently harvests) in a single year, they would not be liable for approximately 25% of units earned – minimum low-risk </w:t>
            </w:r>
            <w:proofErr w:type="gramStart"/>
            <w:r w:rsidRPr="009A2C1B">
              <w:rPr>
                <w:rFonts w:eastAsia="Calibri" w:cs="Calibri"/>
                <w:b w:val="0"/>
                <w:bCs w:val="0"/>
                <w:color w:val="000000"/>
                <w:sz w:val="23"/>
                <w:szCs w:val="23"/>
              </w:rPr>
              <w:t>units</w:t>
            </w:r>
            <w:proofErr w:type="gramEnd"/>
            <w:r w:rsidRPr="009A2C1B">
              <w:rPr>
                <w:rFonts w:eastAsia="Calibri" w:cs="Calibri"/>
                <w:b w:val="0"/>
                <w:bCs w:val="0"/>
                <w:color w:val="000000"/>
                <w:sz w:val="23"/>
                <w:szCs w:val="23"/>
              </w:rPr>
              <w:t xml:space="preserve"> scenario. </w:t>
            </w:r>
          </w:p>
          <w:p w14:paraId="13871F61" w14:textId="661BC4EF" w:rsidR="00541D57" w:rsidRPr="009A2C1B" w:rsidRDefault="00541D57" w:rsidP="00541D57">
            <w:pPr>
              <w:widowControl w:val="0"/>
              <w:numPr>
                <w:ilvl w:val="0"/>
                <w:numId w:val="31"/>
              </w:numPr>
              <w:autoSpaceDE w:val="0"/>
              <w:autoSpaceDN w:val="0"/>
              <w:adjustRightInd w:val="0"/>
              <w:spacing w:before="0" w:after="0" w:line="240" w:lineRule="auto"/>
              <w:ind w:left="789"/>
              <w:rPr>
                <w:rFonts w:eastAsia="Calibri" w:cs="Calibri"/>
                <w:b w:val="0"/>
                <w:bCs w:val="0"/>
                <w:color w:val="000000"/>
                <w:sz w:val="23"/>
                <w:szCs w:val="23"/>
              </w:rPr>
            </w:pPr>
            <w:r w:rsidRPr="009A2C1B">
              <w:rPr>
                <w:rFonts w:eastAsia="Calibri" w:cs="Calibri"/>
                <w:b w:val="0"/>
                <w:bCs w:val="0"/>
                <w:color w:val="000000"/>
                <w:sz w:val="23"/>
                <w:szCs w:val="23"/>
              </w:rPr>
              <w:t xml:space="preserve">If Forest Owner B plants at different times and correspondingly staggers harvests, for example around 25,000 hectares roughly every 7-8 years, they would not be liable for around 36% of units earned – central low-risk units scenario (the ‘Spread age classes’ in </w:t>
            </w:r>
            <w:r w:rsidR="00D85B91" w:rsidRPr="009A2C1B">
              <w:rPr>
                <w:rFonts w:eastAsia="Calibri" w:cs="Calibri"/>
                <w:color w:val="000000"/>
                <w:sz w:val="23"/>
                <w:szCs w:val="23"/>
              </w:rPr>
              <w:fldChar w:fldCharType="begin"/>
            </w:r>
            <w:r w:rsidR="00D85B91" w:rsidRPr="009A2C1B">
              <w:rPr>
                <w:rFonts w:eastAsia="Calibri" w:cs="Calibri"/>
                <w:b w:val="0"/>
                <w:bCs w:val="0"/>
                <w:color w:val="000000"/>
                <w:sz w:val="23"/>
                <w:szCs w:val="23"/>
              </w:rPr>
              <w:instrText xml:space="preserve"> REF _Ref194927416 \h  \* MERGEFORMAT </w:instrText>
            </w:r>
            <w:r w:rsidR="00D85B91" w:rsidRPr="009A2C1B">
              <w:rPr>
                <w:rFonts w:eastAsia="Calibri" w:cs="Calibri"/>
                <w:color w:val="000000"/>
                <w:sz w:val="23"/>
                <w:szCs w:val="23"/>
              </w:rPr>
            </w:r>
            <w:r w:rsidR="00D85B91" w:rsidRPr="009A2C1B">
              <w:rPr>
                <w:rFonts w:eastAsia="Calibri" w:cs="Calibri"/>
                <w:color w:val="000000"/>
                <w:sz w:val="23"/>
                <w:szCs w:val="23"/>
              </w:rPr>
              <w:fldChar w:fldCharType="separate"/>
            </w:r>
            <w:r w:rsidR="00D85B91" w:rsidRPr="009A2C1B" w:rsidDel="00123A63">
              <w:rPr>
                <w:rFonts w:eastAsia="Calibri" w:cs="Calibri"/>
                <w:b w:val="0"/>
                <w:bCs w:val="0"/>
                <w:color w:val="000000"/>
                <w:sz w:val="23"/>
                <w:szCs w:val="23"/>
              </w:rPr>
              <w:t xml:space="preserve">Figure </w:t>
            </w:r>
            <w:r w:rsidR="00D85B91">
              <w:rPr>
                <w:rFonts w:eastAsia="Calibri" w:cs="Calibri"/>
                <w:b w:val="0"/>
                <w:bCs w:val="0"/>
                <w:color w:val="000000"/>
                <w:sz w:val="23"/>
                <w:szCs w:val="23"/>
              </w:rPr>
              <w:t>8</w:t>
            </w:r>
            <w:r w:rsidR="00D85B91" w:rsidRPr="009A2C1B">
              <w:rPr>
                <w:rFonts w:eastAsia="Calibri" w:cs="Calibri"/>
                <w:color w:val="000000"/>
                <w:sz w:val="23"/>
                <w:szCs w:val="23"/>
              </w:rPr>
              <w:fldChar w:fldCharType="end"/>
            </w:r>
            <w:r w:rsidR="00D85B91" w:rsidRPr="009A2C1B">
              <w:rPr>
                <w:rFonts w:eastAsia="Calibri" w:cs="Calibri"/>
                <w:b w:val="0"/>
                <w:bCs w:val="0"/>
                <w:color w:val="000000"/>
                <w:sz w:val="23"/>
                <w:szCs w:val="23"/>
              </w:rPr>
              <w:t xml:space="preserve"> </w:t>
            </w:r>
            <w:r w:rsidRPr="009A2C1B">
              <w:rPr>
                <w:rFonts w:eastAsia="Calibri" w:cs="Calibri"/>
                <w:b w:val="0"/>
                <w:bCs w:val="0"/>
                <w:color w:val="000000"/>
                <w:sz w:val="23"/>
                <w:szCs w:val="23"/>
              </w:rPr>
              <w:t xml:space="preserve">below). </w:t>
            </w:r>
          </w:p>
          <w:p w14:paraId="41CB8BDA" w14:textId="77777777" w:rsidR="00541D57" w:rsidRPr="009A2C1B" w:rsidRDefault="00541D57" w:rsidP="00541D57">
            <w:pPr>
              <w:widowControl w:val="0"/>
              <w:numPr>
                <w:ilvl w:val="0"/>
                <w:numId w:val="31"/>
              </w:numPr>
              <w:autoSpaceDE w:val="0"/>
              <w:autoSpaceDN w:val="0"/>
              <w:adjustRightInd w:val="0"/>
              <w:spacing w:before="0" w:after="0" w:line="240" w:lineRule="auto"/>
              <w:ind w:left="789"/>
              <w:rPr>
                <w:rFonts w:eastAsia="Calibri" w:cs="Calibri"/>
                <w:b w:val="0"/>
                <w:bCs w:val="0"/>
                <w:color w:val="000000"/>
                <w:sz w:val="23"/>
                <w:szCs w:val="23"/>
              </w:rPr>
            </w:pPr>
            <w:r w:rsidRPr="009A2C1B">
              <w:rPr>
                <w:rFonts w:eastAsia="Calibri" w:cs="Calibri"/>
                <w:b w:val="0"/>
                <w:bCs w:val="0"/>
                <w:color w:val="000000"/>
                <w:sz w:val="23"/>
                <w:szCs w:val="23"/>
              </w:rPr>
              <w:t xml:space="preserve">If Forest Owner C plants and harvests a set amount each year, for example 3,570 hectares each year for 28 years to represent the full age class in a rotation, they would not be liable for around 50% of units earned – maximum low-risk units. </w:t>
            </w:r>
          </w:p>
          <w:p w14:paraId="38C10C34" w14:textId="525EFC09" w:rsidR="00541D57" w:rsidRPr="009A2C1B" w:rsidRDefault="00541D57" w:rsidP="00541D57">
            <w:pPr>
              <w:spacing w:before="0" w:line="240" w:lineRule="auto"/>
              <w:rPr>
                <w:rFonts w:cs="Calibri"/>
                <w:b w:val="0"/>
                <w:bCs w:val="0"/>
                <w:color w:val="000000"/>
                <w:sz w:val="23"/>
                <w:szCs w:val="23"/>
              </w:rPr>
            </w:pPr>
            <w:r w:rsidRPr="009A2C1B">
              <w:rPr>
                <w:rFonts w:cs="Calibri"/>
                <w:b w:val="0"/>
                <w:bCs w:val="0"/>
                <w:color w:val="000000"/>
                <w:sz w:val="23"/>
                <w:szCs w:val="23"/>
              </w:rPr>
              <w:t xml:space="preserve">Forest Owner </w:t>
            </w:r>
            <w:r w:rsidR="009A2C1B" w:rsidRPr="009A2C1B">
              <w:rPr>
                <w:rFonts w:cs="Calibri"/>
                <w:b w:val="0"/>
                <w:bCs w:val="0"/>
                <w:color w:val="000000"/>
                <w:sz w:val="23"/>
                <w:szCs w:val="23"/>
              </w:rPr>
              <w:t>C, with</w:t>
            </w:r>
            <w:r w:rsidRPr="009A2C1B">
              <w:rPr>
                <w:rFonts w:cs="Calibri"/>
                <w:b w:val="0"/>
                <w:bCs w:val="0"/>
                <w:color w:val="000000"/>
                <w:sz w:val="23"/>
                <w:szCs w:val="23"/>
              </w:rPr>
              <w:t xml:space="preserve"> a more diverse forest portfolio</w:t>
            </w:r>
            <w:r w:rsidR="008025F0">
              <w:rPr>
                <w:rFonts w:cs="Calibri"/>
                <w:b w:val="0"/>
                <w:bCs w:val="0"/>
                <w:color w:val="000000"/>
                <w:sz w:val="23"/>
                <w:szCs w:val="23"/>
              </w:rPr>
              <w:t>,</w:t>
            </w:r>
            <w:r w:rsidRPr="009A2C1B">
              <w:rPr>
                <w:rFonts w:cs="Calibri"/>
                <w:b w:val="0"/>
                <w:bCs w:val="0"/>
                <w:color w:val="000000"/>
                <w:sz w:val="23"/>
                <w:szCs w:val="23"/>
              </w:rPr>
              <w:t xml:space="preserve"> has maximised their low-risk carbon units compared with Forest Owner </w:t>
            </w:r>
            <w:r w:rsidR="009A2C1B" w:rsidRPr="009A2C1B">
              <w:rPr>
                <w:rFonts w:cs="Calibri"/>
                <w:b w:val="0"/>
                <w:bCs w:val="0"/>
                <w:color w:val="000000"/>
                <w:sz w:val="23"/>
                <w:szCs w:val="23"/>
              </w:rPr>
              <w:t>A and</w:t>
            </w:r>
            <w:r w:rsidRPr="009A2C1B">
              <w:rPr>
                <w:rFonts w:cs="Calibri"/>
                <w:b w:val="0"/>
                <w:bCs w:val="0"/>
                <w:color w:val="000000"/>
                <w:sz w:val="23"/>
                <w:szCs w:val="23"/>
              </w:rPr>
              <w:t xml:space="preserve"> is able to sell a higher proportion of the units earned. </w:t>
            </w:r>
            <w:r w:rsidRPr="009A2C1B">
              <w:rPr>
                <w:rFonts w:cs="Calibri"/>
                <w:color w:val="000000"/>
                <w:sz w:val="23"/>
                <w:szCs w:val="23"/>
              </w:rPr>
              <w:fldChar w:fldCharType="begin"/>
            </w:r>
            <w:r w:rsidRPr="009A2C1B">
              <w:rPr>
                <w:rFonts w:cs="Calibri"/>
                <w:b w:val="0"/>
                <w:bCs w:val="0"/>
                <w:color w:val="000000"/>
                <w:sz w:val="21"/>
                <w:szCs w:val="21"/>
              </w:rPr>
              <w:instrText xml:space="preserve"> REF _Ref194927416 \h  \* MERGEFORMAT </w:instrText>
            </w:r>
            <w:r w:rsidRPr="009A2C1B">
              <w:rPr>
                <w:rFonts w:cs="Calibri"/>
                <w:color w:val="000000"/>
                <w:sz w:val="23"/>
                <w:szCs w:val="23"/>
              </w:rPr>
            </w:r>
            <w:r w:rsidRPr="009A2C1B">
              <w:rPr>
                <w:rFonts w:cs="Calibri"/>
                <w:color w:val="000000"/>
                <w:sz w:val="23"/>
                <w:szCs w:val="23"/>
              </w:rPr>
              <w:fldChar w:fldCharType="separate"/>
            </w:r>
            <w:r w:rsidRPr="009A2C1B">
              <w:rPr>
                <w:rFonts w:cs="Calibri"/>
                <w:b w:val="0"/>
                <w:bCs w:val="0"/>
                <w:color w:val="000000"/>
                <w:sz w:val="23"/>
                <w:szCs w:val="23"/>
              </w:rPr>
              <w:t xml:space="preserve">Figure 8 </w:t>
            </w:r>
            <w:r w:rsidRPr="009A2C1B">
              <w:rPr>
                <w:rFonts w:cs="Calibri"/>
                <w:color w:val="000000"/>
                <w:sz w:val="23"/>
                <w:szCs w:val="23"/>
              </w:rPr>
              <w:fldChar w:fldCharType="end"/>
            </w:r>
            <w:r w:rsidRPr="009A2C1B">
              <w:rPr>
                <w:rFonts w:cs="Calibri"/>
                <w:b w:val="0"/>
                <w:bCs w:val="0"/>
                <w:color w:val="000000"/>
                <w:sz w:val="23"/>
                <w:szCs w:val="23"/>
              </w:rPr>
              <w:t xml:space="preserve"> provides an illustration of various low-risk carbon unit levels using radiata pine under the different hypothetical examples discussed above. </w:t>
            </w:r>
          </w:p>
          <w:p w14:paraId="60FDF0D8" w14:textId="58DFCFC8" w:rsidR="00541D57" w:rsidRPr="00541D57" w:rsidRDefault="00541D57" w:rsidP="00541D57">
            <w:pPr>
              <w:keepNext/>
              <w:spacing w:before="0"/>
              <w:ind w:right="556"/>
              <w:rPr>
                <w:rFonts w:cs="Calibri"/>
                <w:i/>
                <w:color w:val="1F3864"/>
                <w:szCs w:val="20"/>
              </w:rPr>
            </w:pPr>
            <w:r w:rsidRPr="00541D57">
              <w:rPr>
                <w:rFonts w:cs="Calibri"/>
                <w:i/>
                <w:color w:val="1F3864"/>
                <w:szCs w:val="20"/>
              </w:rPr>
              <w:t xml:space="preserve">Figure </w:t>
            </w:r>
            <w:r w:rsidRPr="00541D57">
              <w:rPr>
                <w:rFonts w:cs="Calibri"/>
                <w:i/>
                <w:color w:val="1F3864"/>
                <w:szCs w:val="20"/>
              </w:rPr>
              <w:fldChar w:fldCharType="begin"/>
            </w:r>
            <w:r w:rsidRPr="00541D57">
              <w:rPr>
                <w:rFonts w:cs="Calibri"/>
                <w:i/>
                <w:color w:val="1F3864"/>
                <w:szCs w:val="20"/>
              </w:rPr>
              <w:instrText xml:space="preserve"> SEQ Figure \* ARABIC </w:instrText>
            </w:r>
            <w:r w:rsidRPr="00541D57">
              <w:rPr>
                <w:rFonts w:cs="Calibri"/>
                <w:i/>
                <w:color w:val="1F3864"/>
                <w:szCs w:val="20"/>
              </w:rPr>
              <w:fldChar w:fldCharType="separate"/>
            </w:r>
            <w:r w:rsidR="00B12CA3">
              <w:rPr>
                <w:rFonts w:cs="Calibri"/>
                <w:i/>
                <w:noProof/>
                <w:color w:val="1F3864"/>
                <w:szCs w:val="20"/>
              </w:rPr>
              <w:t>8</w:t>
            </w:r>
            <w:r w:rsidRPr="00541D57">
              <w:rPr>
                <w:rFonts w:cs="Calibri"/>
                <w:i/>
                <w:color w:val="1F3864"/>
                <w:szCs w:val="20"/>
              </w:rPr>
              <w:fldChar w:fldCharType="end"/>
            </w:r>
            <w:r w:rsidRPr="00541D57">
              <w:rPr>
                <w:rFonts w:cs="Calibri"/>
                <w:i/>
                <w:color w:val="1F3864"/>
                <w:szCs w:val="20"/>
              </w:rPr>
              <w:t xml:space="preserve"> Net carbon stored from different illustrative forest planting portfolios</w:t>
            </w:r>
          </w:p>
          <w:p w14:paraId="090D7307" w14:textId="77777777" w:rsidR="00541D57" w:rsidRPr="00541D57" w:rsidRDefault="00541D57" w:rsidP="00541D57">
            <w:pPr>
              <w:keepNext/>
              <w:spacing w:before="0"/>
              <w:jc w:val="center"/>
              <w:rPr>
                <w:rFonts w:cs="Calibri"/>
                <w:i/>
                <w:color w:val="1F3864"/>
                <w:sz w:val="23"/>
                <w:szCs w:val="23"/>
              </w:rPr>
            </w:pPr>
            <w:r w:rsidRPr="00541D57">
              <w:rPr>
                <w:rFonts w:cs="Calibri"/>
                <w:i/>
                <w:noProof/>
                <w:color w:val="1F3864"/>
                <w:sz w:val="23"/>
                <w:szCs w:val="23"/>
              </w:rPr>
              <w:drawing>
                <wp:inline distT="0" distB="0" distL="0" distR="0" wp14:anchorId="01ABCA25" wp14:editId="383ECEC6">
                  <wp:extent cx="4915349" cy="2803585"/>
                  <wp:effectExtent l="0" t="0" r="0" b="0"/>
                  <wp:docPr id="457326203" name="Picture 5" descr="A graph of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326203" name="Picture 5" descr="A graph of different colored lines&#10;&#10;AI-generated content may be incorrec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945798" cy="2820952"/>
                          </a:xfrm>
                          <a:prstGeom prst="rect">
                            <a:avLst/>
                          </a:prstGeom>
                          <a:noFill/>
                        </pic:spPr>
                      </pic:pic>
                    </a:graphicData>
                  </a:graphic>
                </wp:inline>
              </w:drawing>
            </w:r>
          </w:p>
          <w:p w14:paraId="64027DE0" w14:textId="77777777" w:rsidR="00541D57" w:rsidRPr="00C60401" w:rsidRDefault="00541D57" w:rsidP="00541D57">
            <w:pPr>
              <w:spacing w:before="0" w:line="240" w:lineRule="auto"/>
              <w:ind w:firstLine="318"/>
              <w:rPr>
                <w:rFonts w:cs="Calibri"/>
                <w:b w:val="0"/>
                <w:bCs w:val="0"/>
                <w:sz w:val="20"/>
                <w:szCs w:val="20"/>
              </w:rPr>
            </w:pPr>
            <w:r w:rsidRPr="00C60401">
              <w:rPr>
                <w:rFonts w:cs="Calibri"/>
                <w:b w:val="0"/>
                <w:bCs w:val="0"/>
                <w:color w:val="auto"/>
                <w:sz w:val="20"/>
                <w:szCs w:val="20"/>
              </w:rPr>
              <w:t>Source: Commission analysis.</w:t>
            </w:r>
          </w:p>
        </w:tc>
      </w:tr>
    </w:tbl>
    <w:p w14:paraId="3D9C4241" w14:textId="20F7BEBC" w:rsidR="00876947" w:rsidRDefault="00242D2A" w:rsidP="00876947">
      <w:pPr>
        <w:pStyle w:val="BodyText"/>
      </w:pPr>
      <w:r w:rsidRPr="00242D2A">
        <w:t xml:space="preserve">To estimate the level of low-risk units likely to be achieved across all post-1989 forests on stock change in the NZ ETS, we have considered data on the breakdown of total forest area in the NZ ETS by forest estate size, shown in Table </w:t>
      </w:r>
      <w:r w:rsidR="00692180" w:rsidRPr="00242D2A">
        <w:t>1</w:t>
      </w:r>
      <w:r w:rsidR="00692180">
        <w:t>1</w:t>
      </w:r>
      <w:r w:rsidRPr="00242D2A">
        <w:t>. Owners of small forest areas are likely to have a low proportion of low-risk carbon due to the total area being more likely to be planted in a single year or across fewer age classes. Large forest estates are more likely to be made up of diverse portfolios of multiple age classes, allowing increased low-risk units. More than 50 percent of forest area in the NZ ETS is made up of forest estates of larger than 1,000 hectares.</w:t>
      </w:r>
    </w:p>
    <w:p w14:paraId="3212C320" w14:textId="0690DF68" w:rsidR="00005DBC" w:rsidRDefault="00005DBC" w:rsidP="00005DBC">
      <w:pPr>
        <w:pStyle w:val="FigureTabletitle"/>
      </w:pPr>
      <w:r>
        <w:t xml:space="preserve">Table </w:t>
      </w:r>
      <w:r w:rsidR="00B50217">
        <w:fldChar w:fldCharType="begin"/>
      </w:r>
      <w:r w:rsidR="00B50217">
        <w:instrText xml:space="preserve"> SEQ Table \* ARABIC </w:instrText>
      </w:r>
      <w:r w:rsidR="00B50217">
        <w:fldChar w:fldCharType="separate"/>
      </w:r>
      <w:r w:rsidR="00B50217">
        <w:rPr>
          <w:noProof/>
        </w:rPr>
        <w:t>11</w:t>
      </w:r>
      <w:r w:rsidR="00B50217">
        <w:rPr>
          <w:noProof/>
        </w:rPr>
        <w:fldChar w:fldCharType="end"/>
      </w:r>
      <w:r>
        <w:t xml:space="preserve">: </w:t>
      </w:r>
      <w:r w:rsidRPr="00237A57">
        <w:t xml:space="preserve">Breakdown of total </w:t>
      </w:r>
      <w:proofErr w:type="gramStart"/>
      <w:r w:rsidRPr="00237A57">
        <w:t>NZ ETS forest</w:t>
      </w:r>
      <w:proofErr w:type="gramEnd"/>
      <w:r w:rsidRPr="00237A57">
        <w:t xml:space="preserve"> area by forest estate size</w:t>
      </w:r>
    </w:p>
    <w:tbl>
      <w:tblPr>
        <w:tblStyle w:val="TableGrid10"/>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3823"/>
        <w:gridCol w:w="1275"/>
        <w:gridCol w:w="1276"/>
        <w:gridCol w:w="1276"/>
        <w:gridCol w:w="1276"/>
      </w:tblGrid>
      <w:tr w:rsidR="00AF18C7" w:rsidRPr="00AF18C7" w14:paraId="31FCBBBF" w14:textId="77777777" w:rsidTr="00AF18C7">
        <w:trPr>
          <w:trHeight w:val="300"/>
        </w:trPr>
        <w:tc>
          <w:tcPr>
            <w:tcW w:w="3823" w:type="dxa"/>
            <w:shd w:val="clear" w:color="auto" w:fill="002060"/>
            <w:noWrap/>
            <w:hideMark/>
          </w:tcPr>
          <w:p w14:paraId="3CBE9647" w14:textId="77777777" w:rsidR="00AF18C7" w:rsidRPr="00AF18C7" w:rsidRDefault="00AF18C7" w:rsidP="00E06D4C">
            <w:pPr>
              <w:pStyle w:val="Tableheading"/>
              <w:spacing w:before="60" w:after="60"/>
              <w:ind w:left="57" w:right="57"/>
            </w:pPr>
            <w:r w:rsidRPr="00AF18C7">
              <w:t>Forest estate size</w:t>
            </w:r>
          </w:p>
        </w:tc>
        <w:tc>
          <w:tcPr>
            <w:tcW w:w="1275" w:type="dxa"/>
            <w:shd w:val="clear" w:color="auto" w:fill="002060"/>
            <w:noWrap/>
            <w:hideMark/>
          </w:tcPr>
          <w:p w14:paraId="76980346" w14:textId="77777777" w:rsidR="00AF18C7" w:rsidRPr="00AF18C7" w:rsidRDefault="00AF18C7" w:rsidP="00E06D4C">
            <w:pPr>
              <w:pStyle w:val="Tableheading"/>
              <w:spacing w:before="60" w:after="60"/>
              <w:ind w:left="57" w:right="57"/>
            </w:pPr>
            <w:r w:rsidRPr="00AF18C7">
              <w:t>0-99 hectares</w:t>
            </w:r>
          </w:p>
        </w:tc>
        <w:tc>
          <w:tcPr>
            <w:tcW w:w="1276" w:type="dxa"/>
            <w:shd w:val="clear" w:color="auto" w:fill="002060"/>
            <w:noWrap/>
            <w:hideMark/>
          </w:tcPr>
          <w:p w14:paraId="40C27A55" w14:textId="77777777" w:rsidR="00AF18C7" w:rsidRPr="00AF18C7" w:rsidRDefault="00AF18C7" w:rsidP="00E06D4C">
            <w:pPr>
              <w:pStyle w:val="Tableheading"/>
              <w:spacing w:before="60" w:after="60"/>
              <w:ind w:left="57" w:right="57"/>
            </w:pPr>
            <w:r w:rsidRPr="00AF18C7">
              <w:t>100-499 hectares</w:t>
            </w:r>
          </w:p>
        </w:tc>
        <w:tc>
          <w:tcPr>
            <w:tcW w:w="1276" w:type="dxa"/>
            <w:shd w:val="clear" w:color="auto" w:fill="002060"/>
            <w:noWrap/>
            <w:hideMark/>
          </w:tcPr>
          <w:p w14:paraId="7FDBE9EA" w14:textId="77777777" w:rsidR="00AF18C7" w:rsidRPr="00AF18C7" w:rsidRDefault="00AF18C7" w:rsidP="00E06D4C">
            <w:pPr>
              <w:pStyle w:val="Tableheading"/>
              <w:spacing w:before="60" w:after="60"/>
              <w:ind w:left="57" w:right="57"/>
            </w:pPr>
            <w:r w:rsidRPr="00AF18C7">
              <w:t>500-999 hectares</w:t>
            </w:r>
          </w:p>
        </w:tc>
        <w:tc>
          <w:tcPr>
            <w:tcW w:w="1276" w:type="dxa"/>
            <w:shd w:val="clear" w:color="auto" w:fill="002060"/>
            <w:noWrap/>
            <w:hideMark/>
          </w:tcPr>
          <w:p w14:paraId="32A9AA73" w14:textId="77777777" w:rsidR="00AF18C7" w:rsidRPr="00AF18C7" w:rsidRDefault="00AF18C7" w:rsidP="00E06D4C">
            <w:pPr>
              <w:pStyle w:val="Tableheading"/>
              <w:spacing w:before="60" w:after="60"/>
              <w:ind w:left="57" w:right="57"/>
            </w:pPr>
            <w:r w:rsidRPr="00AF18C7">
              <w:t>1000+ hectares</w:t>
            </w:r>
          </w:p>
        </w:tc>
      </w:tr>
      <w:tr w:rsidR="00AF18C7" w:rsidRPr="00AF18C7" w14:paraId="0FA33D38" w14:textId="77777777" w:rsidTr="00AF18C7">
        <w:trPr>
          <w:trHeight w:val="300"/>
        </w:trPr>
        <w:tc>
          <w:tcPr>
            <w:tcW w:w="3823" w:type="dxa"/>
            <w:shd w:val="clear" w:color="auto" w:fill="C1DCD5"/>
            <w:noWrap/>
            <w:hideMark/>
          </w:tcPr>
          <w:p w14:paraId="47BB4A2E" w14:textId="77777777" w:rsidR="00AF18C7" w:rsidRPr="00C03FE4" w:rsidRDefault="00AF18C7" w:rsidP="00E06D4C">
            <w:pPr>
              <w:pStyle w:val="TableParagraph"/>
              <w:spacing w:before="60" w:after="60"/>
              <w:ind w:left="57" w:right="57"/>
              <w:rPr>
                <w:b/>
              </w:rPr>
            </w:pPr>
            <w:r w:rsidRPr="00C03FE4">
              <w:rPr>
                <w:b/>
              </w:rPr>
              <w:t xml:space="preserve">% of total NZ ETS exotic forest area </w:t>
            </w:r>
          </w:p>
        </w:tc>
        <w:tc>
          <w:tcPr>
            <w:tcW w:w="1275" w:type="dxa"/>
            <w:shd w:val="clear" w:color="auto" w:fill="D4E8DE"/>
            <w:noWrap/>
            <w:hideMark/>
          </w:tcPr>
          <w:p w14:paraId="77199E99" w14:textId="2AD5ED38" w:rsidR="00AF18C7" w:rsidRPr="00394A27" w:rsidRDefault="00AF18C7" w:rsidP="00E06D4C">
            <w:pPr>
              <w:pStyle w:val="TableParagraph"/>
              <w:spacing w:before="60" w:after="60"/>
              <w:ind w:left="57" w:right="57"/>
            </w:pPr>
            <w:r w:rsidRPr="00394A27">
              <w:t>1</w:t>
            </w:r>
            <w:r w:rsidR="00350C93">
              <w:t>7</w:t>
            </w:r>
            <w:r w:rsidRPr="00394A27">
              <w:t>%</w:t>
            </w:r>
          </w:p>
        </w:tc>
        <w:tc>
          <w:tcPr>
            <w:tcW w:w="1276" w:type="dxa"/>
            <w:shd w:val="clear" w:color="auto" w:fill="D4E8DE"/>
            <w:noWrap/>
            <w:hideMark/>
          </w:tcPr>
          <w:p w14:paraId="2CE65642" w14:textId="77777777" w:rsidR="00AF18C7" w:rsidRPr="00394A27" w:rsidRDefault="00AF18C7" w:rsidP="00E06D4C">
            <w:pPr>
              <w:pStyle w:val="TableParagraph"/>
              <w:spacing w:before="60" w:after="60"/>
              <w:ind w:left="57" w:right="57"/>
            </w:pPr>
            <w:r w:rsidRPr="00394A27">
              <w:t>22%</w:t>
            </w:r>
          </w:p>
        </w:tc>
        <w:tc>
          <w:tcPr>
            <w:tcW w:w="1276" w:type="dxa"/>
            <w:shd w:val="clear" w:color="auto" w:fill="D4E8DE"/>
            <w:noWrap/>
            <w:hideMark/>
          </w:tcPr>
          <w:p w14:paraId="1B87F36D" w14:textId="6BFA499E" w:rsidR="00AF18C7" w:rsidRPr="00394A27" w:rsidRDefault="00350C93" w:rsidP="00E06D4C">
            <w:pPr>
              <w:pStyle w:val="TableParagraph"/>
              <w:spacing w:before="60" w:after="60"/>
              <w:ind w:left="57" w:right="57"/>
            </w:pPr>
            <w:r>
              <w:t>10</w:t>
            </w:r>
            <w:r w:rsidR="00AF18C7" w:rsidRPr="00394A27">
              <w:t>%</w:t>
            </w:r>
          </w:p>
        </w:tc>
        <w:tc>
          <w:tcPr>
            <w:tcW w:w="1276" w:type="dxa"/>
            <w:shd w:val="clear" w:color="auto" w:fill="D4E8DE"/>
            <w:noWrap/>
            <w:hideMark/>
          </w:tcPr>
          <w:p w14:paraId="49926115" w14:textId="7BE72F27" w:rsidR="00AF18C7" w:rsidRPr="00394A27" w:rsidRDefault="00AF18C7" w:rsidP="00E06D4C">
            <w:pPr>
              <w:pStyle w:val="TableParagraph"/>
              <w:spacing w:before="60" w:after="60"/>
              <w:ind w:left="57" w:right="57"/>
            </w:pPr>
            <w:r w:rsidRPr="00394A27">
              <w:t>5</w:t>
            </w:r>
            <w:r w:rsidR="00350C93">
              <w:t>1</w:t>
            </w:r>
            <w:r w:rsidRPr="00394A27">
              <w:t>%</w:t>
            </w:r>
          </w:p>
        </w:tc>
      </w:tr>
    </w:tbl>
    <w:p w14:paraId="4A75E63F" w14:textId="1AF53468" w:rsidR="00242D2A" w:rsidRDefault="00080683" w:rsidP="00876947">
      <w:pPr>
        <w:pStyle w:val="BodyText"/>
      </w:pPr>
      <w:r w:rsidRPr="00080683">
        <w:t xml:space="preserve">These proportions are combined with assumptions about the additional low-risk units that can be achieved at different sizes of forest estate, shown in Table </w:t>
      </w:r>
      <w:r w:rsidR="00692180" w:rsidRPr="00080683">
        <w:t>1</w:t>
      </w:r>
      <w:r w:rsidR="00692180">
        <w:t>2</w:t>
      </w:r>
      <w:r w:rsidR="00692180" w:rsidRPr="00080683">
        <w:t xml:space="preserve"> </w:t>
      </w:r>
      <w:r w:rsidRPr="00080683">
        <w:t>below. Here ‘additional low-risk units’ refers to the proportion of low-risk units above the minimum, with 0% representing the minimum low-risk level, and 100% representing the maximum (i.e. the theoretical maximum low-risk units scenario discussed earlier). These are combined to produce a weighted average for the proportion of the additional low-risk units above the minimum level across the total area of post-1989 forests on stock change accounting in the NZ ETS.</w:t>
      </w:r>
      <w:r w:rsidR="009C6061">
        <w:t xml:space="preserve">  </w:t>
      </w:r>
    </w:p>
    <w:p w14:paraId="0A7FFBB9" w14:textId="1730F1FF" w:rsidR="0027396A" w:rsidRDefault="0027396A" w:rsidP="0027396A">
      <w:pPr>
        <w:pStyle w:val="FigureTabletitle"/>
      </w:pPr>
      <w:r>
        <w:t xml:space="preserve">Table </w:t>
      </w:r>
      <w:r w:rsidR="00B50217">
        <w:fldChar w:fldCharType="begin"/>
      </w:r>
      <w:r w:rsidR="00B50217">
        <w:instrText xml:space="preserve"> SEQ Table \* ARABIC </w:instrText>
      </w:r>
      <w:r w:rsidR="00B50217">
        <w:fldChar w:fldCharType="separate"/>
      </w:r>
      <w:r w:rsidR="00B50217">
        <w:rPr>
          <w:noProof/>
        </w:rPr>
        <w:t>12</w:t>
      </w:r>
      <w:r w:rsidR="00B50217">
        <w:rPr>
          <w:noProof/>
        </w:rPr>
        <w:fldChar w:fldCharType="end"/>
      </w:r>
      <w:r>
        <w:t xml:space="preserve">: </w:t>
      </w:r>
      <w:r w:rsidRPr="0087627B">
        <w:t>Assumed low-risk units achievable by different sizes of forest estate</w:t>
      </w:r>
    </w:p>
    <w:tbl>
      <w:tblPr>
        <w:tblStyle w:val="TableGrid11"/>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30"/>
        <w:gridCol w:w="1524"/>
        <w:gridCol w:w="1524"/>
        <w:gridCol w:w="1524"/>
        <w:gridCol w:w="1524"/>
      </w:tblGrid>
      <w:tr w:rsidR="000325EF" w:rsidRPr="000325EF" w14:paraId="4762322F" w14:textId="77777777" w:rsidTr="000325EF">
        <w:trPr>
          <w:trHeight w:val="300"/>
        </w:trPr>
        <w:tc>
          <w:tcPr>
            <w:tcW w:w="2830" w:type="dxa"/>
            <w:shd w:val="clear" w:color="auto" w:fill="002060"/>
            <w:noWrap/>
            <w:hideMark/>
          </w:tcPr>
          <w:p w14:paraId="7EA9F8EE" w14:textId="77777777" w:rsidR="000325EF" w:rsidRPr="000325EF" w:rsidRDefault="000325EF" w:rsidP="00E06D4C">
            <w:pPr>
              <w:pStyle w:val="Tableheading"/>
              <w:spacing w:before="60" w:after="60"/>
              <w:ind w:left="57" w:right="57"/>
            </w:pPr>
            <w:r w:rsidRPr="000325EF">
              <w:t>Forest estate size</w:t>
            </w:r>
          </w:p>
        </w:tc>
        <w:tc>
          <w:tcPr>
            <w:tcW w:w="1524" w:type="dxa"/>
            <w:shd w:val="clear" w:color="auto" w:fill="002060"/>
            <w:noWrap/>
            <w:hideMark/>
          </w:tcPr>
          <w:p w14:paraId="59BFCD14" w14:textId="77777777" w:rsidR="000325EF" w:rsidRPr="000325EF" w:rsidRDefault="000325EF" w:rsidP="00E06D4C">
            <w:pPr>
              <w:pStyle w:val="Tableheading"/>
              <w:spacing w:before="60" w:after="60"/>
              <w:ind w:left="57" w:right="57"/>
            </w:pPr>
            <w:r w:rsidRPr="000325EF">
              <w:t>0-99 hectares</w:t>
            </w:r>
          </w:p>
        </w:tc>
        <w:tc>
          <w:tcPr>
            <w:tcW w:w="1524" w:type="dxa"/>
            <w:shd w:val="clear" w:color="auto" w:fill="002060"/>
            <w:noWrap/>
            <w:hideMark/>
          </w:tcPr>
          <w:p w14:paraId="2E2B539B" w14:textId="77777777" w:rsidR="000325EF" w:rsidRPr="000325EF" w:rsidRDefault="000325EF" w:rsidP="00E06D4C">
            <w:pPr>
              <w:pStyle w:val="Tableheading"/>
              <w:spacing w:before="60" w:after="60"/>
              <w:ind w:left="57" w:right="57"/>
            </w:pPr>
            <w:r w:rsidRPr="000325EF">
              <w:t>100-499 hectares</w:t>
            </w:r>
          </w:p>
        </w:tc>
        <w:tc>
          <w:tcPr>
            <w:tcW w:w="1524" w:type="dxa"/>
            <w:shd w:val="clear" w:color="auto" w:fill="002060"/>
            <w:noWrap/>
            <w:hideMark/>
          </w:tcPr>
          <w:p w14:paraId="4F3324E5" w14:textId="77777777" w:rsidR="000325EF" w:rsidRPr="000325EF" w:rsidRDefault="000325EF" w:rsidP="00E06D4C">
            <w:pPr>
              <w:pStyle w:val="Tableheading"/>
              <w:spacing w:before="60" w:after="60"/>
              <w:ind w:left="57" w:right="57"/>
            </w:pPr>
            <w:r w:rsidRPr="000325EF">
              <w:t>500-999 hectares</w:t>
            </w:r>
          </w:p>
        </w:tc>
        <w:tc>
          <w:tcPr>
            <w:tcW w:w="1524" w:type="dxa"/>
            <w:shd w:val="clear" w:color="auto" w:fill="002060"/>
            <w:noWrap/>
            <w:hideMark/>
          </w:tcPr>
          <w:p w14:paraId="781B38E2" w14:textId="77777777" w:rsidR="000325EF" w:rsidRPr="000325EF" w:rsidRDefault="000325EF" w:rsidP="00E06D4C">
            <w:pPr>
              <w:pStyle w:val="Tableheading"/>
              <w:spacing w:before="60" w:after="60"/>
              <w:ind w:left="57" w:right="57"/>
            </w:pPr>
            <w:r w:rsidRPr="000325EF">
              <w:t>1000+ hectares</w:t>
            </w:r>
          </w:p>
        </w:tc>
      </w:tr>
      <w:tr w:rsidR="000325EF" w:rsidRPr="000325EF" w14:paraId="5D9A6D5E" w14:textId="77777777" w:rsidTr="000325EF">
        <w:trPr>
          <w:trHeight w:val="300"/>
        </w:trPr>
        <w:tc>
          <w:tcPr>
            <w:tcW w:w="2830" w:type="dxa"/>
            <w:shd w:val="clear" w:color="auto" w:fill="C1DCD5"/>
            <w:noWrap/>
          </w:tcPr>
          <w:p w14:paraId="1D2C0720" w14:textId="77777777" w:rsidR="000325EF" w:rsidRPr="00C03FE4" w:rsidRDefault="000325EF" w:rsidP="00E06D4C">
            <w:pPr>
              <w:pStyle w:val="TableParagraph"/>
              <w:spacing w:before="60" w:after="60"/>
              <w:ind w:left="57" w:right="57"/>
              <w:rPr>
                <w:b/>
              </w:rPr>
            </w:pPr>
            <w:r w:rsidRPr="00C03FE4">
              <w:rPr>
                <w:b/>
              </w:rPr>
              <w:t>Low surplus assumption</w:t>
            </w:r>
          </w:p>
        </w:tc>
        <w:tc>
          <w:tcPr>
            <w:tcW w:w="1524" w:type="dxa"/>
            <w:shd w:val="clear" w:color="auto" w:fill="D4E8DE"/>
            <w:noWrap/>
          </w:tcPr>
          <w:p w14:paraId="3D1A0621" w14:textId="77777777" w:rsidR="000325EF" w:rsidRPr="00C10320" w:rsidRDefault="000325EF" w:rsidP="00E06D4C">
            <w:pPr>
              <w:pStyle w:val="TableParagraph"/>
              <w:spacing w:before="60" w:after="60"/>
              <w:ind w:left="57" w:right="57"/>
            </w:pPr>
            <w:r w:rsidRPr="00C10320">
              <w:t>5%</w:t>
            </w:r>
          </w:p>
        </w:tc>
        <w:tc>
          <w:tcPr>
            <w:tcW w:w="1524" w:type="dxa"/>
            <w:shd w:val="clear" w:color="auto" w:fill="D4E8DE"/>
            <w:noWrap/>
          </w:tcPr>
          <w:p w14:paraId="2A69FFF9" w14:textId="77777777" w:rsidR="000325EF" w:rsidRPr="00C10320" w:rsidRDefault="000325EF" w:rsidP="00E06D4C">
            <w:pPr>
              <w:pStyle w:val="TableParagraph"/>
              <w:spacing w:before="60" w:after="60"/>
              <w:ind w:left="57" w:right="57"/>
            </w:pPr>
            <w:r w:rsidRPr="00C10320">
              <w:t>30%</w:t>
            </w:r>
          </w:p>
        </w:tc>
        <w:tc>
          <w:tcPr>
            <w:tcW w:w="1524" w:type="dxa"/>
            <w:shd w:val="clear" w:color="auto" w:fill="D4E8DE"/>
            <w:noWrap/>
          </w:tcPr>
          <w:p w14:paraId="3F8DC115" w14:textId="77777777" w:rsidR="000325EF" w:rsidRPr="00C10320" w:rsidRDefault="000325EF" w:rsidP="00E06D4C">
            <w:pPr>
              <w:pStyle w:val="TableParagraph"/>
              <w:spacing w:before="60" w:after="60"/>
              <w:ind w:left="57" w:right="57"/>
            </w:pPr>
            <w:r w:rsidRPr="00C10320">
              <w:t>55%</w:t>
            </w:r>
          </w:p>
        </w:tc>
        <w:tc>
          <w:tcPr>
            <w:tcW w:w="1524" w:type="dxa"/>
            <w:shd w:val="clear" w:color="auto" w:fill="D4E8DE"/>
            <w:noWrap/>
          </w:tcPr>
          <w:p w14:paraId="3C35235D" w14:textId="77777777" w:rsidR="000325EF" w:rsidRPr="00C10320" w:rsidRDefault="000325EF" w:rsidP="00E06D4C">
            <w:pPr>
              <w:pStyle w:val="TableParagraph"/>
              <w:spacing w:before="60" w:after="60"/>
              <w:ind w:left="57" w:right="57"/>
            </w:pPr>
            <w:r w:rsidRPr="00C10320">
              <w:t>80%</w:t>
            </w:r>
          </w:p>
        </w:tc>
      </w:tr>
      <w:tr w:rsidR="000325EF" w:rsidRPr="000325EF" w14:paraId="1BB6B041" w14:textId="77777777" w:rsidTr="000325EF">
        <w:trPr>
          <w:trHeight w:val="300"/>
        </w:trPr>
        <w:tc>
          <w:tcPr>
            <w:tcW w:w="2830" w:type="dxa"/>
            <w:shd w:val="clear" w:color="auto" w:fill="C1DCD5"/>
            <w:noWrap/>
          </w:tcPr>
          <w:p w14:paraId="08628D0A" w14:textId="77777777" w:rsidR="000325EF" w:rsidRPr="00C03FE4" w:rsidRDefault="000325EF" w:rsidP="00E06D4C">
            <w:pPr>
              <w:pStyle w:val="TableParagraph"/>
              <w:spacing w:before="60" w:after="60"/>
              <w:ind w:left="57" w:right="57"/>
              <w:rPr>
                <w:b/>
              </w:rPr>
            </w:pPr>
            <w:r w:rsidRPr="00C03FE4">
              <w:rPr>
                <w:b/>
              </w:rPr>
              <w:t>Central surplus assumption</w:t>
            </w:r>
          </w:p>
        </w:tc>
        <w:tc>
          <w:tcPr>
            <w:tcW w:w="1524" w:type="dxa"/>
            <w:shd w:val="clear" w:color="auto" w:fill="E9F5F2"/>
            <w:noWrap/>
          </w:tcPr>
          <w:p w14:paraId="47C95C99" w14:textId="77777777" w:rsidR="000325EF" w:rsidRPr="00233EF1" w:rsidRDefault="000325EF" w:rsidP="00E06D4C">
            <w:pPr>
              <w:pStyle w:val="TableParagraph"/>
              <w:spacing w:before="60" w:after="60"/>
              <w:ind w:left="57" w:right="57"/>
            </w:pPr>
            <w:r w:rsidRPr="00233EF1">
              <w:t>15%</w:t>
            </w:r>
          </w:p>
        </w:tc>
        <w:tc>
          <w:tcPr>
            <w:tcW w:w="1524" w:type="dxa"/>
            <w:shd w:val="clear" w:color="auto" w:fill="E9F5F2"/>
            <w:noWrap/>
          </w:tcPr>
          <w:p w14:paraId="12F23A9E" w14:textId="77777777" w:rsidR="000325EF" w:rsidRPr="00233EF1" w:rsidRDefault="000325EF" w:rsidP="00E06D4C">
            <w:pPr>
              <w:pStyle w:val="TableParagraph"/>
              <w:spacing w:before="60" w:after="60"/>
              <w:ind w:left="57" w:right="57"/>
            </w:pPr>
            <w:r w:rsidRPr="00233EF1">
              <w:t>40%</w:t>
            </w:r>
          </w:p>
        </w:tc>
        <w:tc>
          <w:tcPr>
            <w:tcW w:w="1524" w:type="dxa"/>
            <w:shd w:val="clear" w:color="auto" w:fill="E9F5F2"/>
            <w:noWrap/>
          </w:tcPr>
          <w:p w14:paraId="71BF7B7D" w14:textId="77777777" w:rsidR="000325EF" w:rsidRPr="00233EF1" w:rsidRDefault="000325EF" w:rsidP="00E06D4C">
            <w:pPr>
              <w:pStyle w:val="TableParagraph"/>
              <w:spacing w:before="60" w:after="60"/>
              <w:ind w:left="57" w:right="57"/>
            </w:pPr>
            <w:r w:rsidRPr="00233EF1">
              <w:t>65%</w:t>
            </w:r>
          </w:p>
        </w:tc>
        <w:tc>
          <w:tcPr>
            <w:tcW w:w="1524" w:type="dxa"/>
            <w:shd w:val="clear" w:color="auto" w:fill="E9F5F2"/>
            <w:noWrap/>
          </w:tcPr>
          <w:p w14:paraId="59F15E2C" w14:textId="77777777" w:rsidR="000325EF" w:rsidRPr="00233EF1" w:rsidRDefault="000325EF" w:rsidP="00E06D4C">
            <w:pPr>
              <w:pStyle w:val="TableParagraph"/>
              <w:spacing w:before="60" w:after="60"/>
              <w:ind w:left="57" w:right="57"/>
            </w:pPr>
            <w:r w:rsidRPr="00233EF1">
              <w:t>90%</w:t>
            </w:r>
          </w:p>
        </w:tc>
      </w:tr>
      <w:tr w:rsidR="000325EF" w:rsidRPr="000325EF" w14:paraId="7D0EFE33" w14:textId="77777777" w:rsidTr="000325EF">
        <w:trPr>
          <w:trHeight w:val="300"/>
        </w:trPr>
        <w:tc>
          <w:tcPr>
            <w:tcW w:w="2830" w:type="dxa"/>
            <w:shd w:val="clear" w:color="auto" w:fill="C1DCD5"/>
            <w:noWrap/>
            <w:hideMark/>
          </w:tcPr>
          <w:p w14:paraId="4A94612A" w14:textId="77777777" w:rsidR="000325EF" w:rsidRPr="00C03FE4" w:rsidRDefault="000325EF" w:rsidP="00E06D4C">
            <w:pPr>
              <w:pStyle w:val="TableParagraph"/>
              <w:spacing w:before="60" w:after="60"/>
              <w:ind w:left="57" w:right="57"/>
              <w:rPr>
                <w:b/>
              </w:rPr>
            </w:pPr>
            <w:r w:rsidRPr="00C03FE4">
              <w:rPr>
                <w:b/>
              </w:rPr>
              <w:t>High surplus assumption</w:t>
            </w:r>
          </w:p>
        </w:tc>
        <w:tc>
          <w:tcPr>
            <w:tcW w:w="1524" w:type="dxa"/>
            <w:shd w:val="clear" w:color="auto" w:fill="D4E8DE"/>
            <w:noWrap/>
          </w:tcPr>
          <w:p w14:paraId="396060E6" w14:textId="77777777" w:rsidR="000325EF" w:rsidRPr="00233EF1" w:rsidRDefault="000325EF" w:rsidP="00E06D4C">
            <w:pPr>
              <w:pStyle w:val="TableParagraph"/>
              <w:spacing w:before="60" w:after="60"/>
              <w:ind w:left="57" w:right="57"/>
            </w:pPr>
            <w:r w:rsidRPr="00233EF1">
              <w:t>20%</w:t>
            </w:r>
          </w:p>
        </w:tc>
        <w:tc>
          <w:tcPr>
            <w:tcW w:w="1524" w:type="dxa"/>
            <w:shd w:val="clear" w:color="auto" w:fill="D4E8DE"/>
            <w:noWrap/>
          </w:tcPr>
          <w:p w14:paraId="41722CD3" w14:textId="77777777" w:rsidR="000325EF" w:rsidRPr="00233EF1" w:rsidRDefault="000325EF" w:rsidP="00E06D4C">
            <w:pPr>
              <w:pStyle w:val="TableParagraph"/>
              <w:spacing w:before="60" w:after="60"/>
              <w:ind w:left="57" w:right="57"/>
            </w:pPr>
            <w:r w:rsidRPr="00233EF1">
              <w:t>50%</w:t>
            </w:r>
          </w:p>
        </w:tc>
        <w:tc>
          <w:tcPr>
            <w:tcW w:w="1524" w:type="dxa"/>
            <w:shd w:val="clear" w:color="auto" w:fill="D4E8DE"/>
            <w:noWrap/>
          </w:tcPr>
          <w:p w14:paraId="542E6940" w14:textId="77777777" w:rsidR="000325EF" w:rsidRPr="00233EF1" w:rsidRDefault="000325EF" w:rsidP="00E06D4C">
            <w:pPr>
              <w:pStyle w:val="TableParagraph"/>
              <w:spacing w:before="60" w:after="60"/>
              <w:ind w:left="57" w:right="57"/>
            </w:pPr>
            <w:r w:rsidRPr="00233EF1">
              <w:t>75%</w:t>
            </w:r>
          </w:p>
        </w:tc>
        <w:tc>
          <w:tcPr>
            <w:tcW w:w="1524" w:type="dxa"/>
            <w:shd w:val="clear" w:color="auto" w:fill="D4E8DE"/>
            <w:noWrap/>
          </w:tcPr>
          <w:p w14:paraId="1388AAD9" w14:textId="47BF9DFC" w:rsidR="000325EF" w:rsidRPr="00233EF1" w:rsidRDefault="000325EF" w:rsidP="00E06D4C">
            <w:pPr>
              <w:pStyle w:val="TableParagraph"/>
              <w:spacing w:before="60" w:after="60"/>
              <w:ind w:left="57" w:right="57"/>
            </w:pPr>
            <w:r w:rsidRPr="00233EF1">
              <w:t>100%</w:t>
            </w:r>
          </w:p>
        </w:tc>
      </w:tr>
    </w:tbl>
    <w:p w14:paraId="406408CC" w14:textId="7B72EA2B" w:rsidR="00B36FB7" w:rsidRDefault="009613F9" w:rsidP="00B36FB7">
      <w:pPr>
        <w:pStyle w:val="BodyText"/>
      </w:pPr>
      <w:r>
        <w:t xml:space="preserve">Based on the results of this calculation we have applied the following </w:t>
      </w:r>
      <w:r w:rsidR="00B36FB7">
        <w:t>assumptions for the proportion of additional low-risk carbon:</w:t>
      </w:r>
    </w:p>
    <w:p w14:paraId="58B24A5B" w14:textId="72C3EF17" w:rsidR="00B36FB7" w:rsidRDefault="00B36FB7" w:rsidP="00B36FB7">
      <w:pPr>
        <w:pStyle w:val="Bodybullets"/>
      </w:pPr>
      <w:r>
        <w:t xml:space="preserve">55% of additional low-risk units (low surplus estimate) </w:t>
      </w:r>
    </w:p>
    <w:p w14:paraId="4ADB7381" w14:textId="729F6FBB" w:rsidR="00B36FB7" w:rsidRDefault="00B36FB7" w:rsidP="00B36FB7">
      <w:pPr>
        <w:pStyle w:val="Bodybullets"/>
      </w:pPr>
      <w:r>
        <w:t>65% of additional low-risk units (central surplus estimate)</w:t>
      </w:r>
    </w:p>
    <w:p w14:paraId="7FF4800E" w14:textId="14B688C6" w:rsidR="00080683" w:rsidRDefault="00B36FB7" w:rsidP="00B36FB7">
      <w:pPr>
        <w:pStyle w:val="Bodybullets"/>
      </w:pPr>
      <w:r>
        <w:t>75% of additional low-risk units (high surplus estimate).</w:t>
      </w:r>
    </w:p>
    <w:p w14:paraId="62A78D31" w14:textId="7004B72F" w:rsidR="00080683" w:rsidRDefault="00080683" w:rsidP="00080683">
      <w:pPr>
        <w:pStyle w:val="Heading3"/>
      </w:pPr>
      <w:bookmarkStart w:id="43" w:name="_Toc227603131"/>
      <w:r>
        <w:t>Range of estimated units held for post-1989 harvest liabilities</w:t>
      </w:r>
      <w:bookmarkEnd w:id="43"/>
    </w:p>
    <w:p w14:paraId="01F29F9C" w14:textId="77777777" w:rsidR="00816DE9" w:rsidRDefault="00816DE9" w:rsidP="00816DE9">
      <w:pPr>
        <w:pStyle w:val="BodyText"/>
      </w:pPr>
      <w:r>
        <w:t xml:space="preserve">To reach the estimated range of post-1989 units held for harvest liabilities, we apply variations to the low-risk unit and permanent forest area assumptions. We do not vary the average harvest age, as the uncertainty is already captured by using a weighted average. The results and variable estimates used are summarised below. </w:t>
      </w:r>
    </w:p>
    <w:p w14:paraId="53E1DFFD" w14:textId="19D8F324" w:rsidR="00816DE9" w:rsidRDefault="00816DE9" w:rsidP="00816DE9">
      <w:pPr>
        <w:pStyle w:val="Bodybullets"/>
      </w:pPr>
      <w:r w:rsidRPr="00816DE9">
        <w:rPr>
          <w:b/>
          <w:bCs/>
        </w:rPr>
        <w:t>Central surplus estimate:</w:t>
      </w:r>
      <w:r>
        <w:t xml:space="preserve"> baseline permanent forest area and 65% additional low-risk units results in 40 million units held for harvest at the end of 2025.</w:t>
      </w:r>
    </w:p>
    <w:p w14:paraId="1B5ACF39" w14:textId="6658815B" w:rsidR="00816DE9" w:rsidRDefault="00816DE9" w:rsidP="00816DE9">
      <w:pPr>
        <w:pStyle w:val="Bodybullets"/>
      </w:pPr>
      <w:r w:rsidRPr="00816DE9">
        <w:rPr>
          <w:b/>
          <w:bCs/>
        </w:rPr>
        <w:t>High surplus estimate:</w:t>
      </w:r>
      <w:r>
        <w:t xml:space="preserve"> 30% higher permanent forest area and 75% additional low-risk units results in 34.3 million units held for harvest at the end of 2025.</w:t>
      </w:r>
    </w:p>
    <w:p w14:paraId="05CC6DD1" w14:textId="57A5338C" w:rsidR="00816DE9" w:rsidRDefault="00816DE9" w:rsidP="00816DE9">
      <w:pPr>
        <w:pStyle w:val="Bodybullets"/>
      </w:pPr>
      <w:r w:rsidRPr="00816DE9">
        <w:rPr>
          <w:b/>
          <w:bCs/>
        </w:rPr>
        <w:t>Low surplus estimate:</w:t>
      </w:r>
      <w:r>
        <w:t xml:space="preserve"> 30% lower permanent forest area and 55% additional low-risk carbon results in 46.2 million units held for harvest at the end of 2025. </w:t>
      </w:r>
    </w:p>
    <w:p w14:paraId="0E9D8F92" w14:textId="028E6810" w:rsidR="00816DE9" w:rsidRDefault="00816DE9" w:rsidP="00816DE9">
      <w:pPr>
        <w:pStyle w:val="BodyText"/>
      </w:pPr>
      <w:r>
        <w:t>When assessing the suitability of assumptions and potential range of uncertainties we have considered how changes to the input assumptions impact the model’s results in comparison to the actual data reported on net unit allocation and surrenders in the completed MERP3 period over 2018</w:t>
      </w:r>
      <w:r w:rsidR="00E81752">
        <w:t>–</w:t>
      </w:r>
      <w:r>
        <w:t>2022.</w:t>
      </w:r>
    </w:p>
    <w:p w14:paraId="43C82372" w14:textId="6F867651" w:rsidR="00080683" w:rsidRDefault="00816DE9" w:rsidP="00816DE9">
      <w:pPr>
        <w:pStyle w:val="BodyText"/>
      </w:pPr>
      <w:r>
        <w:t>Based on the assumptions used for our central surplus estimate, the forestry model results are closely aligned to the actual net unit allocations reported by MPI in MERP3. The forestry model estimates net unit allocations of 44.9 million units over this five-year period, with actual units reported b</w:t>
      </w:r>
      <w:r w:rsidRPr="00A40091">
        <w:t>y MPI of 45.</w:t>
      </w:r>
      <w:r w:rsidR="00855767">
        <w:t>9</w:t>
      </w:r>
      <w:r w:rsidRPr="00A40091">
        <w:t xml:space="preserve"> million</w:t>
      </w:r>
      <w:r w:rsidR="000A42AB">
        <w:t>.</w:t>
      </w:r>
      <w:r w:rsidR="00D716B4" w:rsidRPr="00A40091">
        <w:fldChar w:fldCharType="begin"/>
      </w:r>
      <w:r w:rsidR="00673384">
        <w:instrText xml:space="preserve"> ADDIN EN.CITE &lt;EndNote&gt;&lt;Cite ExcludeYear="1"&gt;&lt;Author&gt;Ministry for Primary Industries Manatu Ahu Matua&lt;/Author&gt;&lt;RecNum&gt;1572&lt;/RecNum&gt;&lt;DisplayText&gt;&lt;style face="superscript"&gt;8&lt;/style&gt;&lt;/DisplayText&gt;&lt;record&gt;&lt;rec-number&gt;1572&lt;/rec-number&gt;&lt;foreign-keys&gt;&lt;key app="EN" db-id="fwvex5fabdwzs9e9rwa55p5bvws5v2dex2zs" timestamp="1776556988" guid="490d0cea-5eae-4e4d-a916-c3c23069958f"&gt;1572&lt;/key&gt;&lt;/foreign-keys&gt;&lt;ref-type name="Web Page"&gt;12&lt;/ref-type&gt;&lt;contributors&gt;&lt;authors&gt;&lt;author&gt;Ministry for Primary Industries Manatu Ahu Matua,&lt;/author&gt;&lt;/authors&gt;&lt;/contributors&gt;&lt;titles&gt;&lt;title&gt;Application wait times and statistics for forestry in the ETS&lt;/title&gt;&lt;/titles&gt;&lt;number&gt;26 January 2026&lt;/number&gt;&lt;keywords&gt;&lt;keyword&gt;ETS26&lt;/keyword&gt;&lt;/keywords&gt;&lt;dates&gt;&lt;/dates&gt;&lt;urls&gt;&lt;related-urls&gt;&lt;url&gt;https://www.mpi.govt.nz/forestry/forestry-in-the-emissions-trading-scheme/news-and-changes-to-the-ets/application-wait-times-and-statistics-for-forestry-in-the-ets&lt;/url&gt;&lt;/related-urls&gt;&lt;/urls&gt;&lt;/record&gt;&lt;/Cite&gt;&lt;/EndNote&gt;</w:instrText>
      </w:r>
      <w:r w:rsidR="00D716B4" w:rsidRPr="00A40091">
        <w:fldChar w:fldCharType="separate"/>
      </w:r>
      <w:r w:rsidR="005E451A" w:rsidRPr="005E451A">
        <w:rPr>
          <w:noProof/>
          <w:vertAlign w:val="superscript"/>
        </w:rPr>
        <w:t>8</w:t>
      </w:r>
      <w:r w:rsidR="00D716B4" w:rsidRPr="00A40091">
        <w:fldChar w:fldCharType="end"/>
      </w:r>
      <w:r w:rsidRPr="00A40091">
        <w:t xml:space="preserve"> This is a difference of just </w:t>
      </w:r>
      <w:r w:rsidR="00855767">
        <w:t>1</w:t>
      </w:r>
      <w:r w:rsidR="002B4928" w:rsidRPr="00A40091">
        <w:t xml:space="preserve"> </w:t>
      </w:r>
      <w:r w:rsidRPr="00A40091">
        <w:t>million units, or 2</w:t>
      </w:r>
      <w:r w:rsidR="0002358F">
        <w:t>.2</w:t>
      </w:r>
      <w:r w:rsidRPr="00A40091">
        <w:t>%. Although factors may change in</w:t>
      </w:r>
      <w:r>
        <w:t xml:space="preserve"> future MERPs, comparing model results with actual volumes in this previous period helps provide assurance that the chosen assumptions reasonably represent what has occurred in the NZ ETS to date.</w:t>
      </w:r>
    </w:p>
    <w:p w14:paraId="68215996" w14:textId="58C927DF" w:rsidR="00B5650C" w:rsidRDefault="00B5650C" w:rsidP="00B5650C">
      <w:pPr>
        <w:pStyle w:val="Heading2nonumber"/>
      </w:pPr>
      <w:bookmarkStart w:id="44" w:name="_Toc227603132"/>
      <w:r>
        <w:t>Forestry unit reconciliation</w:t>
      </w:r>
      <w:bookmarkEnd w:id="44"/>
    </w:p>
    <w:p w14:paraId="6EF2ECA6" w14:textId="77777777" w:rsidR="00397AE8" w:rsidRDefault="00397AE8" w:rsidP="00397AE8">
      <w:pPr>
        <w:pStyle w:val="BodyText"/>
      </w:pPr>
      <w:r>
        <w:t xml:space="preserve">Some of the post-1989 forestry units earned over the fourth mandatory emissions reporting period (MERP4: 1 January 2023 to 31 December 2025) will only be allocated into the market after participants submit their end-of-MERP final emissions returns in the first half of 2026. Similarly, some surrenders for harvest or deforestation occurring over 2023–2025 will not be made until mid-2026. </w:t>
      </w:r>
    </w:p>
    <w:p w14:paraId="786DA1AD" w14:textId="7BEF00E0" w:rsidR="00397AE8" w:rsidRDefault="00397AE8" w:rsidP="00397AE8">
      <w:pPr>
        <w:pStyle w:val="BodyText"/>
      </w:pPr>
      <w:r>
        <w:t>This year, to account for this we have included a forestry unit reconciliation term to align results from our forestry model</w:t>
      </w:r>
      <w:r w:rsidR="009B79B4">
        <w:t>.</w:t>
      </w:r>
      <w:r>
        <w:t xml:space="preserve"> The model estimates forestry unit allocations and surrenders year-by-year as removals and emissions occur, while actual forestry unit allocations and surrenders to date may follow different timing. In conjunction with the forestry technical adjustment described in step 1 and the units held for post-1989 forest harvest liabilities </w:t>
      </w:r>
      <w:r w:rsidR="004474A3">
        <w:t xml:space="preserve">set out </w:t>
      </w:r>
      <w:r>
        <w:t xml:space="preserve">immediately above, it replaces the MERP4 additional surplus units included in our 2025 ETS settings advice. </w:t>
      </w:r>
    </w:p>
    <w:p w14:paraId="20E04FFA" w14:textId="77777777" w:rsidR="00397AE8" w:rsidRDefault="00397AE8" w:rsidP="00397AE8">
      <w:pPr>
        <w:pStyle w:val="BodyText"/>
      </w:pPr>
      <w:r>
        <w:t xml:space="preserve">This does not represent a substantive change in methodology, rather a simpler calculation method. The new approach will be easier to repeat over time. This year, we have modelled the units held for harvest as at the end of MERP4 (2023–2025) and then worked back from that, making an adjustment through the forestry unit reconciliation term to reflect actual data on surrenders and allocations to date. In contrast, in our 2025 NZ ETS settings advice we estimated the units held for harvest at the end of MERP3 and applied an adjustment to roll forward to the end of MERP4 to account for units not yet allocated or surrendered. The changed approach is mathematically equivalent and is why this year the forestry unit reconciliation term is subtracted while last year we added a volume of units. </w:t>
      </w:r>
    </w:p>
    <w:p w14:paraId="5868F379" w14:textId="17F29EB0" w:rsidR="00397AE8" w:rsidRDefault="00397AE8" w:rsidP="00397AE8">
      <w:pPr>
        <w:pStyle w:val="BodyText"/>
      </w:pPr>
      <w:r>
        <w:t xml:space="preserve">This term is calculated by taking the difference between net allocations (total allocations less surrenders) produced by the forestry model and the NZ ETS post-1989 forestry net unit allocations to date. This gives the net </w:t>
      </w:r>
      <w:proofErr w:type="gramStart"/>
      <w:r>
        <w:t>amount</w:t>
      </w:r>
      <w:proofErr w:type="gramEnd"/>
      <w:r>
        <w:t xml:space="preserve"> of units we expect to be removed from the market when all MERP4 final emissions returns have been processed. This reflects that</w:t>
      </w:r>
      <w:r w:rsidR="00FF4B27">
        <w:t>,</w:t>
      </w:r>
      <w:r>
        <w:t xml:space="preserve"> for MERP4, our analysis indicates that a significant </w:t>
      </w:r>
      <w:proofErr w:type="gramStart"/>
      <w:r>
        <w:t>amount</w:t>
      </w:r>
      <w:proofErr w:type="gramEnd"/>
      <w:r>
        <w:t xml:space="preserve"> of surrenders have not yet happened and can be expected to come through in the final emissions returns submitted in 2026 (final data will only be available on this in the second half of 2026).</w:t>
      </w:r>
    </w:p>
    <w:p w14:paraId="4D515800" w14:textId="3566A065" w:rsidR="00397AE8" w:rsidRDefault="00397AE8" w:rsidP="00397AE8">
      <w:pPr>
        <w:pStyle w:val="BodyText"/>
      </w:pPr>
      <w:r>
        <w:t>We have calculated a central estimate of 13.7 million units for the forestry unit reconciliation.</w:t>
      </w:r>
    </w:p>
    <w:p w14:paraId="799F8B16" w14:textId="217640C0" w:rsidR="00B5650C" w:rsidRDefault="00397AE8" w:rsidP="00397AE8">
      <w:pPr>
        <w:pStyle w:val="BodyText"/>
      </w:pPr>
      <w:r>
        <w:t xml:space="preserve">As in our estimate of post-1989 units held for harvest, we have developed an estimated range based on increasing and decreasing the baseline permanent versus production forests </w:t>
      </w:r>
      <w:r w:rsidR="00505694">
        <w:t xml:space="preserve">by </w:t>
      </w:r>
      <w:r>
        <w:t>30%. Reducing the area of forest assumed to be permanent by 30% results in a higher estimate of future unit surrenders of 15.9 million, and increasing by 30% results in lower estimated unit surrenders of 11.6 million units. This variable is not impacted by estimates of additional low-risk carbon units.</w:t>
      </w:r>
    </w:p>
    <w:p w14:paraId="1BD5F24D" w14:textId="6663EA84" w:rsidR="00397AE8" w:rsidRDefault="00397AE8" w:rsidP="00397AE8">
      <w:pPr>
        <w:pStyle w:val="Heading2nonumber"/>
      </w:pPr>
      <w:bookmarkStart w:id="45" w:name="_Toc227603133"/>
      <w:r>
        <w:t>Forestry technical adjustment</w:t>
      </w:r>
      <w:bookmarkEnd w:id="45"/>
    </w:p>
    <w:p w14:paraId="18337906" w14:textId="77777777" w:rsidR="00C233A1" w:rsidRDefault="00C233A1" w:rsidP="00C233A1">
      <w:pPr>
        <w:pStyle w:val="BodyText"/>
      </w:pPr>
      <w:r>
        <w:t xml:space="preserve">As discussed in Step 1, in this advice we have implemented a forestry technical adjustment based on differences between the NZ ETS and target accounting. </w:t>
      </w:r>
    </w:p>
    <w:p w14:paraId="09B6ABBB" w14:textId="6B741373" w:rsidR="00C233A1" w:rsidRDefault="00C233A1" w:rsidP="00C233A1">
      <w:pPr>
        <w:pStyle w:val="BodyText"/>
      </w:pPr>
      <w:r>
        <w:t xml:space="preserve">The estimate of the forestry technical adjustment used forestry model input assumptions consistent with those used in the central surplus estimate. To be consistent within our estimated surplus range, we have incorporated the impact on the forestry technical adjustment of varying the forestry model input assumptions in line with our high and low surplus estimates. </w:t>
      </w:r>
    </w:p>
    <w:p w14:paraId="0DE3C01E" w14:textId="5F1B11AB" w:rsidR="00397AE8" w:rsidRDefault="00C233A1" w:rsidP="00C233A1">
      <w:pPr>
        <w:pStyle w:val="BodyText"/>
      </w:pPr>
      <w:r>
        <w:t>This is relevant because if we have overestimated the technical adjustment, additional units may need to be used from the surplus to meet demand. If we have underestimated the adjustment, fewer units will be used from the surplus.</w:t>
      </w:r>
      <w:r w:rsidR="009C6061">
        <w:t xml:space="preserve">  </w:t>
      </w:r>
    </w:p>
    <w:p w14:paraId="4BF95992" w14:textId="19F3429F" w:rsidR="00C233A1" w:rsidRDefault="00C233A1" w:rsidP="00C233A1">
      <w:pPr>
        <w:pStyle w:val="Heading2nonumber"/>
      </w:pPr>
      <w:bookmarkStart w:id="46" w:name="_Toc227603134"/>
      <w:r>
        <w:t>Surplus range estimate</w:t>
      </w:r>
      <w:bookmarkEnd w:id="46"/>
    </w:p>
    <w:p w14:paraId="189998C9" w14:textId="09B1C635" w:rsidR="00C233A1" w:rsidRDefault="000D1557" w:rsidP="00C233A1">
      <w:pPr>
        <w:pStyle w:val="BodyText"/>
      </w:pPr>
      <w:r w:rsidRPr="000D1557">
        <w:t xml:space="preserve">The calculation of our surplus estimate range, based on all the estimates made as part of step 3, is set out in Table </w:t>
      </w:r>
      <w:r w:rsidR="00692180" w:rsidRPr="000D1557">
        <w:t>1</w:t>
      </w:r>
      <w:r w:rsidR="00692180">
        <w:t>3</w:t>
      </w:r>
      <w:r w:rsidRPr="000D1557">
        <w:t>. For each category of units, we have presented a range of low, central and high values, except for total units and holding volumes which use the same estimate across the range. These two terms are not varied as they have a high degree of certainty.</w:t>
      </w:r>
    </w:p>
    <w:p w14:paraId="23AF42F5" w14:textId="77777777" w:rsidR="00307A41" w:rsidRDefault="00307A41">
      <w:pPr>
        <w:spacing w:before="0" w:after="0" w:line="240" w:lineRule="auto"/>
        <w:rPr>
          <w:rFonts w:asciiTheme="minorHAnsi" w:hAnsiTheme="minorHAnsi"/>
          <w:b/>
          <w:bCs/>
          <w:i/>
          <w:color w:val="0F385A"/>
        </w:rPr>
      </w:pPr>
      <w:r>
        <w:br w:type="page"/>
      </w:r>
    </w:p>
    <w:p w14:paraId="485DF972" w14:textId="4D04BF5A" w:rsidR="007A61BE" w:rsidRDefault="007A61BE" w:rsidP="007A61BE">
      <w:pPr>
        <w:pStyle w:val="FigureTabletitle"/>
      </w:pPr>
      <w:r>
        <w:t xml:space="preserve">Table </w:t>
      </w:r>
      <w:r w:rsidR="00B50217">
        <w:fldChar w:fldCharType="begin"/>
      </w:r>
      <w:r w:rsidR="00B50217">
        <w:instrText xml:space="preserve"> SEQ Table \* ARABIC </w:instrText>
      </w:r>
      <w:r w:rsidR="00B50217">
        <w:fldChar w:fldCharType="separate"/>
      </w:r>
      <w:r w:rsidR="00B50217">
        <w:rPr>
          <w:noProof/>
        </w:rPr>
        <w:t>13</w:t>
      </w:r>
      <w:r w:rsidR="00B50217">
        <w:rPr>
          <w:noProof/>
        </w:rPr>
        <w:fldChar w:fldCharType="end"/>
      </w:r>
      <w:r>
        <w:t xml:space="preserve">: </w:t>
      </w:r>
      <w:r w:rsidRPr="00E10286">
        <w:t>Components of surplus estimates and their contributions to the surplus range</w:t>
      </w:r>
    </w:p>
    <w:tbl>
      <w:tblPr>
        <w:tblStyle w:val="GridTable5Dark-Accent510"/>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678"/>
        <w:gridCol w:w="1319"/>
        <w:gridCol w:w="1319"/>
        <w:gridCol w:w="1319"/>
        <w:gridCol w:w="1320"/>
      </w:tblGrid>
      <w:tr w:rsidR="00B944C8" w:rsidRPr="00B944C8" w14:paraId="59031FEA" w14:textId="77777777" w:rsidTr="00B944C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3678" w:type="dxa"/>
            <w:tcBorders>
              <w:top w:val="single" w:sz="6" w:space="0" w:color="FFFFFF"/>
              <w:left w:val="single" w:sz="6" w:space="0" w:color="FFFFFF"/>
              <w:bottom w:val="single" w:sz="6" w:space="0" w:color="FFFFFF"/>
              <w:right w:val="single" w:sz="6" w:space="0" w:color="FFFFFF"/>
            </w:tcBorders>
            <w:shd w:val="clear" w:color="auto" w:fill="002060"/>
            <w:tcMar>
              <w:right w:w="45" w:type="dxa"/>
            </w:tcMar>
            <w:vAlign w:val="center"/>
          </w:tcPr>
          <w:p w14:paraId="61B7B36C" w14:textId="77777777" w:rsidR="00B944C8" w:rsidRPr="00E06D4C" w:rsidRDefault="00B944C8" w:rsidP="00E06D4C">
            <w:pPr>
              <w:pStyle w:val="Tableheading"/>
              <w:spacing w:beforeLines="60" w:before="144" w:afterLines="60" w:after="144"/>
              <w:ind w:left="57" w:right="57"/>
            </w:pPr>
            <w:r w:rsidRPr="00E06D4C">
              <w:rPr>
                <w:b/>
                <w:bCs/>
              </w:rPr>
              <w:t>Surplus estimate (million NZUs)</w:t>
            </w:r>
          </w:p>
        </w:tc>
        <w:tc>
          <w:tcPr>
            <w:tcW w:w="1319" w:type="dxa"/>
            <w:tcBorders>
              <w:top w:val="single" w:sz="6" w:space="0" w:color="FFFFFF"/>
              <w:left w:val="single" w:sz="6" w:space="0" w:color="FFFFFF"/>
              <w:bottom w:val="single" w:sz="6" w:space="0" w:color="FFFFFF"/>
              <w:right w:val="single" w:sz="6" w:space="0" w:color="FFFFFF"/>
            </w:tcBorders>
            <w:shd w:val="clear" w:color="auto" w:fill="002060"/>
            <w:tcMar>
              <w:right w:w="45" w:type="dxa"/>
            </w:tcMar>
            <w:vAlign w:val="center"/>
          </w:tcPr>
          <w:p w14:paraId="5F6B19F6" w14:textId="01A4AC60" w:rsidR="00B944C8" w:rsidRPr="00F52C33" w:rsidRDefault="00B944C8" w:rsidP="00E06D4C">
            <w:pPr>
              <w:pStyle w:val="Tableheading"/>
              <w:spacing w:beforeLines="60" w:before="144" w:afterLines="60" w:after="144"/>
              <w:ind w:left="57" w:right="57"/>
              <w:jc w:val="center"/>
              <w:cnfStyle w:val="100000000000" w:firstRow="1" w:lastRow="0" w:firstColumn="0" w:lastColumn="0" w:oddVBand="0" w:evenVBand="0" w:oddHBand="0" w:evenHBand="0" w:firstRowFirstColumn="0" w:firstRowLastColumn="0" w:lastRowFirstColumn="0" w:lastRowLastColumn="0"/>
            </w:pPr>
            <w:r w:rsidRPr="00E06D4C">
              <w:rPr>
                <w:b/>
                <w:bCs/>
              </w:rPr>
              <w:t>Low</w:t>
            </w:r>
          </w:p>
        </w:tc>
        <w:tc>
          <w:tcPr>
            <w:tcW w:w="1319" w:type="dxa"/>
            <w:tcBorders>
              <w:top w:val="single" w:sz="6" w:space="0" w:color="FFFFFF"/>
              <w:left w:val="single" w:sz="6" w:space="0" w:color="FFFFFF"/>
              <w:bottom w:val="single" w:sz="6" w:space="0" w:color="FFFFFF"/>
              <w:right w:val="single" w:sz="6" w:space="0" w:color="FFFFFF"/>
            </w:tcBorders>
            <w:shd w:val="clear" w:color="auto" w:fill="002060"/>
            <w:tcMar>
              <w:right w:w="45" w:type="dxa"/>
            </w:tcMar>
            <w:vAlign w:val="center"/>
          </w:tcPr>
          <w:p w14:paraId="2ACFE981" w14:textId="25759C18" w:rsidR="00B944C8" w:rsidRPr="00F52C33" w:rsidRDefault="00B944C8" w:rsidP="00E06D4C">
            <w:pPr>
              <w:pStyle w:val="Tableheading"/>
              <w:spacing w:beforeLines="60" w:before="144" w:afterLines="60" w:after="144"/>
              <w:ind w:left="57" w:right="57"/>
              <w:jc w:val="center"/>
              <w:cnfStyle w:val="100000000000" w:firstRow="1" w:lastRow="0" w:firstColumn="0" w:lastColumn="0" w:oddVBand="0" w:evenVBand="0" w:oddHBand="0" w:evenHBand="0" w:firstRowFirstColumn="0" w:firstRowLastColumn="0" w:lastRowFirstColumn="0" w:lastRowLastColumn="0"/>
            </w:pPr>
            <w:r w:rsidRPr="00E06D4C">
              <w:rPr>
                <w:b/>
                <w:bCs/>
              </w:rPr>
              <w:t>Central</w:t>
            </w:r>
          </w:p>
        </w:tc>
        <w:tc>
          <w:tcPr>
            <w:tcW w:w="1319" w:type="dxa"/>
            <w:tcBorders>
              <w:top w:val="single" w:sz="6" w:space="0" w:color="FFFFFF"/>
              <w:left w:val="single" w:sz="6" w:space="0" w:color="FFFFFF"/>
              <w:bottom w:val="single" w:sz="6" w:space="0" w:color="FFFFFF"/>
              <w:right w:val="single" w:sz="6" w:space="0" w:color="FFFFFF"/>
            </w:tcBorders>
            <w:shd w:val="clear" w:color="auto" w:fill="002060"/>
            <w:tcMar>
              <w:right w:w="45" w:type="dxa"/>
            </w:tcMar>
            <w:vAlign w:val="center"/>
          </w:tcPr>
          <w:p w14:paraId="053DCC5D" w14:textId="2BF2078F" w:rsidR="00B944C8" w:rsidRPr="00F52C33" w:rsidRDefault="00B944C8" w:rsidP="00E06D4C">
            <w:pPr>
              <w:pStyle w:val="Tableheading"/>
              <w:spacing w:beforeLines="60" w:before="144" w:afterLines="60" w:after="144"/>
              <w:ind w:left="57" w:right="57"/>
              <w:jc w:val="center"/>
              <w:cnfStyle w:val="100000000000" w:firstRow="1" w:lastRow="0" w:firstColumn="0" w:lastColumn="0" w:oddVBand="0" w:evenVBand="0" w:oddHBand="0" w:evenHBand="0" w:firstRowFirstColumn="0" w:firstRowLastColumn="0" w:lastRowFirstColumn="0" w:lastRowLastColumn="0"/>
            </w:pPr>
            <w:r w:rsidRPr="00E06D4C">
              <w:rPr>
                <w:b/>
                <w:bCs/>
              </w:rPr>
              <w:t>High</w:t>
            </w:r>
          </w:p>
        </w:tc>
        <w:tc>
          <w:tcPr>
            <w:tcW w:w="1320" w:type="dxa"/>
            <w:tcBorders>
              <w:top w:val="single" w:sz="6" w:space="0" w:color="FFFFFF"/>
              <w:left w:val="single" w:sz="6" w:space="0" w:color="FFFFFF"/>
              <w:bottom w:val="single" w:sz="6" w:space="0" w:color="FFFFFF"/>
              <w:right w:val="single" w:sz="6" w:space="0" w:color="FFFFFF"/>
            </w:tcBorders>
            <w:shd w:val="clear" w:color="auto" w:fill="002060"/>
            <w:tcMar>
              <w:right w:w="45" w:type="dxa"/>
            </w:tcMar>
            <w:vAlign w:val="center"/>
          </w:tcPr>
          <w:p w14:paraId="2ED5BEBD" w14:textId="77777777" w:rsidR="00B944C8" w:rsidRPr="00F52C33" w:rsidRDefault="00B944C8" w:rsidP="00E06D4C">
            <w:pPr>
              <w:pStyle w:val="Tableheading"/>
              <w:spacing w:beforeLines="60" w:before="144" w:afterLines="60" w:after="144"/>
              <w:ind w:left="57" w:right="57"/>
              <w:jc w:val="center"/>
              <w:cnfStyle w:val="100000000000" w:firstRow="1" w:lastRow="0" w:firstColumn="0" w:lastColumn="0" w:oddVBand="0" w:evenVBand="0" w:oddHBand="0" w:evenHBand="0" w:firstRowFirstColumn="0" w:firstRowLastColumn="0" w:lastRowFirstColumn="0" w:lastRowLastColumn="0"/>
            </w:pPr>
            <w:r w:rsidRPr="00E06D4C">
              <w:rPr>
                <w:b/>
                <w:bCs/>
              </w:rPr>
              <w:t>Range</w:t>
            </w:r>
          </w:p>
        </w:tc>
      </w:tr>
      <w:tr w:rsidR="00B944C8" w:rsidRPr="00B944C8" w14:paraId="397165B0" w14:textId="77777777" w:rsidTr="00B944C8">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3678" w:type="dxa"/>
            <w:tcBorders>
              <w:top w:val="single" w:sz="6" w:space="0" w:color="FFFFFF"/>
              <w:left w:val="single" w:sz="6" w:space="0" w:color="FFFFFF"/>
              <w:bottom w:val="single" w:sz="6" w:space="0" w:color="FFFFFF"/>
              <w:right w:val="single" w:sz="6" w:space="0" w:color="FFFFFF"/>
            </w:tcBorders>
            <w:shd w:val="clear" w:color="auto" w:fill="C1DCD5"/>
            <w:tcMar>
              <w:right w:w="45" w:type="dxa"/>
            </w:tcMar>
            <w:vAlign w:val="center"/>
          </w:tcPr>
          <w:p w14:paraId="67EC4A3E" w14:textId="77777777" w:rsidR="00B944C8" w:rsidRPr="00E06D4C" w:rsidRDefault="00B944C8" w:rsidP="00E06D4C">
            <w:pPr>
              <w:pStyle w:val="TableParagraph"/>
              <w:spacing w:beforeLines="60" w:before="144" w:afterLines="60" w:after="144"/>
              <w:ind w:left="57" w:right="57"/>
              <w:rPr>
                <w:color w:val="auto"/>
              </w:rPr>
            </w:pPr>
            <w:r w:rsidRPr="00E06D4C">
              <w:rPr>
                <w:color w:val="auto"/>
              </w:rPr>
              <w:t>Total privately held units – the stockpile (31 December 2025)</w:t>
            </w:r>
          </w:p>
        </w:tc>
        <w:tc>
          <w:tcPr>
            <w:tcW w:w="3957" w:type="dxa"/>
            <w:gridSpan w:val="3"/>
            <w:tcBorders>
              <w:top w:val="single" w:sz="6" w:space="0" w:color="FFFFFF"/>
              <w:left w:val="single" w:sz="6" w:space="0" w:color="FFFFFF"/>
              <w:bottom w:val="single" w:sz="6" w:space="0" w:color="FFFFFF"/>
              <w:right w:val="single" w:sz="6" w:space="0" w:color="FFFFFF"/>
            </w:tcBorders>
            <w:shd w:val="clear" w:color="auto" w:fill="E9F5F2"/>
            <w:tcMar>
              <w:right w:w="45" w:type="dxa"/>
            </w:tcMar>
            <w:vAlign w:val="center"/>
          </w:tcPr>
          <w:p w14:paraId="6EE91E7D" w14:textId="77777777" w:rsidR="00B944C8" w:rsidRPr="001A3338" w:rsidRDefault="00B944C8" w:rsidP="00E06D4C">
            <w:pPr>
              <w:pStyle w:val="TableParagraph"/>
              <w:spacing w:beforeLines="60" w:before="144" w:afterLines="60" w:after="144"/>
              <w:ind w:left="57" w:right="57"/>
              <w:jc w:val="center"/>
              <w:cnfStyle w:val="000000100000" w:firstRow="0" w:lastRow="0" w:firstColumn="0" w:lastColumn="0" w:oddVBand="0" w:evenVBand="0" w:oddHBand="1" w:evenHBand="0" w:firstRowFirstColumn="0" w:firstRowLastColumn="0" w:lastRowFirstColumn="0" w:lastRowLastColumn="0"/>
            </w:pPr>
            <w:r w:rsidRPr="001A3338">
              <w:t>135.9</w:t>
            </w:r>
          </w:p>
        </w:tc>
        <w:tc>
          <w:tcPr>
            <w:tcW w:w="1320" w:type="dxa"/>
            <w:tcBorders>
              <w:top w:val="single" w:sz="6" w:space="0" w:color="FFFFFF"/>
              <w:left w:val="single" w:sz="6" w:space="0" w:color="FFFFFF"/>
              <w:bottom w:val="single" w:sz="6" w:space="0" w:color="FFFFFF"/>
              <w:right w:val="single" w:sz="6" w:space="0" w:color="FFFFFF"/>
            </w:tcBorders>
            <w:shd w:val="clear" w:color="auto" w:fill="E9F5F2"/>
            <w:tcMar>
              <w:right w:w="45" w:type="dxa"/>
            </w:tcMar>
            <w:vAlign w:val="center"/>
          </w:tcPr>
          <w:p w14:paraId="004385D1" w14:textId="77777777" w:rsidR="00B944C8" w:rsidRPr="001A3338" w:rsidRDefault="00B944C8" w:rsidP="00E06D4C">
            <w:pPr>
              <w:pStyle w:val="TableParagraph"/>
              <w:spacing w:beforeLines="60" w:before="144" w:afterLines="60" w:after="144"/>
              <w:ind w:left="57" w:right="57"/>
              <w:jc w:val="center"/>
              <w:cnfStyle w:val="000000100000" w:firstRow="0" w:lastRow="0" w:firstColumn="0" w:lastColumn="0" w:oddVBand="0" w:evenVBand="0" w:oddHBand="1" w:evenHBand="0" w:firstRowFirstColumn="0" w:firstRowLastColumn="0" w:lastRowFirstColumn="0" w:lastRowLastColumn="0"/>
            </w:pPr>
            <w:r w:rsidRPr="001A3338">
              <w:t>0.0</w:t>
            </w:r>
          </w:p>
        </w:tc>
      </w:tr>
      <w:tr w:rsidR="00B944C8" w:rsidRPr="00B944C8" w14:paraId="62C5CEA9" w14:textId="77777777" w:rsidTr="00B944C8">
        <w:trPr>
          <w:trHeight w:val="465"/>
        </w:trPr>
        <w:tc>
          <w:tcPr>
            <w:cnfStyle w:val="001000000000" w:firstRow="0" w:lastRow="0" w:firstColumn="1" w:lastColumn="0" w:oddVBand="0" w:evenVBand="0" w:oddHBand="0" w:evenHBand="0" w:firstRowFirstColumn="0" w:firstRowLastColumn="0" w:lastRowFirstColumn="0" w:lastRowLastColumn="0"/>
            <w:tcW w:w="3678" w:type="dxa"/>
            <w:tcBorders>
              <w:top w:val="single" w:sz="6" w:space="0" w:color="FFFFFF"/>
              <w:left w:val="single" w:sz="6" w:space="0" w:color="FFFFFF"/>
              <w:bottom w:val="single" w:sz="6" w:space="0" w:color="FFFFFF"/>
              <w:right w:val="single" w:sz="6" w:space="0" w:color="FFFFFF"/>
            </w:tcBorders>
            <w:shd w:val="clear" w:color="auto" w:fill="C1DCD5"/>
            <w:tcMar>
              <w:right w:w="45" w:type="dxa"/>
            </w:tcMar>
            <w:vAlign w:val="bottom"/>
          </w:tcPr>
          <w:p w14:paraId="4E56E4B5" w14:textId="77777777" w:rsidR="00B944C8" w:rsidRPr="00E06D4C" w:rsidRDefault="00B944C8" w:rsidP="00E06D4C">
            <w:pPr>
              <w:pStyle w:val="TableParagraph"/>
              <w:spacing w:beforeLines="60" w:before="144" w:afterLines="60" w:after="144"/>
              <w:ind w:left="57" w:right="57"/>
              <w:rPr>
                <w:color w:val="auto"/>
              </w:rPr>
            </w:pPr>
            <w:r w:rsidRPr="00E06D4C">
              <w:rPr>
                <w:color w:val="auto"/>
              </w:rPr>
              <w:t>Pre-1990 units held long-term</w:t>
            </w:r>
          </w:p>
        </w:tc>
        <w:tc>
          <w:tcPr>
            <w:tcW w:w="1319" w:type="dxa"/>
            <w:tcBorders>
              <w:top w:val="single" w:sz="6" w:space="0" w:color="FFFFFF"/>
              <w:left w:val="single" w:sz="6" w:space="0" w:color="FFFFFF"/>
              <w:bottom w:val="single" w:sz="6" w:space="0" w:color="FFFFFF"/>
              <w:right w:val="single" w:sz="6" w:space="0" w:color="FFFFFF"/>
            </w:tcBorders>
            <w:shd w:val="clear" w:color="auto" w:fill="D4E8DE"/>
            <w:tcMar>
              <w:right w:w="45" w:type="dxa"/>
            </w:tcMar>
            <w:vAlign w:val="center"/>
          </w:tcPr>
          <w:p w14:paraId="7690DED3" w14:textId="77777777" w:rsidR="00B944C8" w:rsidRPr="001A3338" w:rsidRDefault="00B944C8" w:rsidP="00E06D4C">
            <w:pPr>
              <w:pStyle w:val="TableParagraph"/>
              <w:spacing w:beforeLines="60" w:before="144" w:afterLines="60" w:after="144"/>
              <w:ind w:left="57" w:right="57"/>
              <w:jc w:val="center"/>
              <w:cnfStyle w:val="000000000000" w:firstRow="0" w:lastRow="0" w:firstColumn="0" w:lastColumn="0" w:oddVBand="0" w:evenVBand="0" w:oddHBand="0" w:evenHBand="0" w:firstRowFirstColumn="0" w:firstRowLastColumn="0" w:lastRowFirstColumn="0" w:lastRowLastColumn="0"/>
            </w:pPr>
            <w:r w:rsidRPr="001A3338">
              <w:t>7.0</w:t>
            </w:r>
          </w:p>
        </w:tc>
        <w:tc>
          <w:tcPr>
            <w:tcW w:w="1319" w:type="dxa"/>
            <w:tcBorders>
              <w:top w:val="single" w:sz="6" w:space="0" w:color="FFFFFF"/>
              <w:left w:val="single" w:sz="6" w:space="0" w:color="FFFFFF"/>
              <w:bottom w:val="single" w:sz="6" w:space="0" w:color="FFFFFF"/>
              <w:right w:val="single" w:sz="6" w:space="0" w:color="FFFFFF"/>
            </w:tcBorders>
            <w:shd w:val="clear" w:color="auto" w:fill="D4E8DE"/>
            <w:tcMar>
              <w:right w:w="45" w:type="dxa"/>
            </w:tcMar>
            <w:vAlign w:val="center"/>
          </w:tcPr>
          <w:p w14:paraId="2EC13426" w14:textId="77777777" w:rsidR="00B944C8" w:rsidRPr="001A3338" w:rsidRDefault="00B944C8" w:rsidP="00E06D4C">
            <w:pPr>
              <w:pStyle w:val="TableParagraph"/>
              <w:spacing w:beforeLines="60" w:before="144" w:afterLines="60" w:after="144"/>
              <w:ind w:left="57" w:right="57"/>
              <w:jc w:val="center"/>
              <w:cnfStyle w:val="000000000000" w:firstRow="0" w:lastRow="0" w:firstColumn="0" w:lastColumn="0" w:oddVBand="0" w:evenVBand="0" w:oddHBand="0" w:evenHBand="0" w:firstRowFirstColumn="0" w:firstRowLastColumn="0" w:lastRowFirstColumn="0" w:lastRowLastColumn="0"/>
            </w:pPr>
            <w:r w:rsidRPr="001A3338">
              <w:t>5.7</w:t>
            </w:r>
          </w:p>
        </w:tc>
        <w:tc>
          <w:tcPr>
            <w:tcW w:w="1319" w:type="dxa"/>
            <w:tcBorders>
              <w:top w:val="single" w:sz="6" w:space="0" w:color="FFFFFF"/>
              <w:left w:val="single" w:sz="6" w:space="0" w:color="FFFFFF"/>
              <w:bottom w:val="single" w:sz="6" w:space="0" w:color="FFFFFF"/>
              <w:right w:val="single" w:sz="6" w:space="0" w:color="FFFFFF"/>
            </w:tcBorders>
            <w:shd w:val="clear" w:color="auto" w:fill="D4E8DE"/>
            <w:tcMar>
              <w:right w:w="45" w:type="dxa"/>
            </w:tcMar>
            <w:vAlign w:val="center"/>
          </w:tcPr>
          <w:p w14:paraId="44FA5412" w14:textId="77777777" w:rsidR="00B944C8" w:rsidRPr="001A3338" w:rsidRDefault="00B944C8" w:rsidP="00E06D4C">
            <w:pPr>
              <w:pStyle w:val="TableParagraph"/>
              <w:spacing w:beforeLines="60" w:before="144" w:afterLines="60" w:after="144"/>
              <w:ind w:left="57" w:right="57"/>
              <w:jc w:val="center"/>
              <w:cnfStyle w:val="000000000000" w:firstRow="0" w:lastRow="0" w:firstColumn="0" w:lastColumn="0" w:oddVBand="0" w:evenVBand="0" w:oddHBand="0" w:evenHBand="0" w:firstRowFirstColumn="0" w:firstRowLastColumn="0" w:lastRowFirstColumn="0" w:lastRowLastColumn="0"/>
            </w:pPr>
            <w:r w:rsidRPr="001A3338">
              <w:t>4.6</w:t>
            </w:r>
          </w:p>
        </w:tc>
        <w:tc>
          <w:tcPr>
            <w:tcW w:w="1320" w:type="dxa"/>
            <w:tcBorders>
              <w:top w:val="single" w:sz="6" w:space="0" w:color="FFFFFF"/>
              <w:left w:val="single" w:sz="6" w:space="0" w:color="FFFFFF"/>
              <w:bottom w:val="single" w:sz="6" w:space="0" w:color="FFFFFF"/>
              <w:right w:val="single" w:sz="6" w:space="0" w:color="FFFFFF"/>
            </w:tcBorders>
            <w:shd w:val="clear" w:color="auto" w:fill="D4E8DE"/>
            <w:tcMar>
              <w:right w:w="45" w:type="dxa"/>
            </w:tcMar>
            <w:vAlign w:val="center"/>
          </w:tcPr>
          <w:p w14:paraId="52780E34" w14:textId="77777777" w:rsidR="00B944C8" w:rsidRPr="001A3338" w:rsidRDefault="00B944C8" w:rsidP="00E06D4C">
            <w:pPr>
              <w:pStyle w:val="TableParagraph"/>
              <w:spacing w:beforeLines="60" w:before="144" w:afterLines="60" w:after="144"/>
              <w:ind w:left="57" w:right="57"/>
              <w:jc w:val="center"/>
              <w:cnfStyle w:val="000000000000" w:firstRow="0" w:lastRow="0" w:firstColumn="0" w:lastColumn="0" w:oddVBand="0" w:evenVBand="0" w:oddHBand="0" w:evenHBand="0" w:firstRowFirstColumn="0" w:firstRowLastColumn="0" w:lastRowFirstColumn="0" w:lastRowLastColumn="0"/>
            </w:pPr>
            <w:r w:rsidRPr="001A3338">
              <w:t>2.4</w:t>
            </w:r>
          </w:p>
        </w:tc>
      </w:tr>
      <w:tr w:rsidR="00B944C8" w:rsidRPr="00B944C8" w14:paraId="71E2C6AA" w14:textId="77777777" w:rsidTr="009858D0">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3678" w:type="dxa"/>
            <w:tcBorders>
              <w:top w:val="single" w:sz="6" w:space="0" w:color="FFFFFF"/>
              <w:left w:val="single" w:sz="6" w:space="0" w:color="FFFFFF"/>
              <w:bottom w:val="single" w:sz="6" w:space="0" w:color="FFFFFF"/>
              <w:right w:val="single" w:sz="6" w:space="0" w:color="FFFFFF"/>
            </w:tcBorders>
            <w:shd w:val="clear" w:color="auto" w:fill="C1DCD5"/>
            <w:tcMar>
              <w:right w:w="45" w:type="dxa"/>
            </w:tcMar>
            <w:vAlign w:val="bottom"/>
          </w:tcPr>
          <w:p w14:paraId="59960734" w14:textId="77777777" w:rsidR="00B944C8" w:rsidRPr="00E06D4C" w:rsidRDefault="00B944C8" w:rsidP="00E06D4C">
            <w:pPr>
              <w:pStyle w:val="TableParagraph"/>
              <w:spacing w:beforeLines="60" w:before="144" w:afterLines="60" w:after="144"/>
              <w:ind w:left="57" w:right="57"/>
              <w:rPr>
                <w:color w:val="auto"/>
              </w:rPr>
            </w:pPr>
            <w:r w:rsidRPr="00E06D4C">
              <w:rPr>
                <w:color w:val="auto"/>
              </w:rPr>
              <w:t>2025 holding volumes</w:t>
            </w:r>
          </w:p>
        </w:tc>
        <w:tc>
          <w:tcPr>
            <w:tcW w:w="3957" w:type="dxa"/>
            <w:gridSpan w:val="3"/>
            <w:tcBorders>
              <w:top w:val="single" w:sz="6" w:space="0" w:color="FFFFFF"/>
              <w:left w:val="single" w:sz="6" w:space="0" w:color="FFFFFF"/>
              <w:bottom w:val="single" w:sz="6" w:space="0" w:color="FFFFFF"/>
              <w:right w:val="single" w:sz="6" w:space="0" w:color="FFFFFF"/>
            </w:tcBorders>
            <w:shd w:val="clear" w:color="auto" w:fill="E9F5F2"/>
            <w:tcMar>
              <w:right w:w="45" w:type="dxa"/>
            </w:tcMar>
            <w:vAlign w:val="center"/>
          </w:tcPr>
          <w:p w14:paraId="6B9F3F9D" w14:textId="77777777" w:rsidR="00B944C8" w:rsidRPr="00B944C8" w:rsidRDefault="00B944C8" w:rsidP="00E06D4C">
            <w:pPr>
              <w:pStyle w:val="TableParagraph"/>
              <w:spacing w:beforeLines="60" w:before="144" w:afterLines="60" w:after="144"/>
              <w:ind w:left="57" w:right="57"/>
              <w:jc w:val="center"/>
              <w:cnfStyle w:val="000000100000" w:firstRow="0" w:lastRow="0" w:firstColumn="0" w:lastColumn="0" w:oddVBand="0" w:evenVBand="0" w:oddHBand="1" w:evenHBand="0" w:firstRowFirstColumn="0" w:firstRowLastColumn="0" w:lastRowFirstColumn="0" w:lastRowLastColumn="0"/>
              <w:rPr>
                <w:rFonts w:cs="Calibri"/>
              </w:rPr>
            </w:pPr>
            <w:r w:rsidRPr="001A3338">
              <w:t>32.2</w:t>
            </w:r>
          </w:p>
        </w:tc>
        <w:tc>
          <w:tcPr>
            <w:tcW w:w="1320" w:type="dxa"/>
            <w:tcBorders>
              <w:top w:val="single" w:sz="6" w:space="0" w:color="FFFFFF"/>
              <w:left w:val="single" w:sz="6" w:space="0" w:color="FFFFFF"/>
              <w:bottom w:val="single" w:sz="6" w:space="0" w:color="FFFFFF"/>
              <w:right w:val="single" w:sz="6" w:space="0" w:color="FFFFFF"/>
            </w:tcBorders>
            <w:shd w:val="clear" w:color="auto" w:fill="E9F5F2"/>
            <w:tcMar>
              <w:right w:w="45" w:type="dxa"/>
            </w:tcMar>
            <w:vAlign w:val="center"/>
          </w:tcPr>
          <w:p w14:paraId="57584F30" w14:textId="77777777" w:rsidR="00B944C8" w:rsidRPr="001A3338" w:rsidRDefault="00B944C8" w:rsidP="00E06D4C">
            <w:pPr>
              <w:pStyle w:val="TableParagraph"/>
              <w:spacing w:beforeLines="60" w:before="144" w:afterLines="60" w:after="144"/>
              <w:ind w:left="57" w:right="57"/>
              <w:jc w:val="center"/>
              <w:cnfStyle w:val="000000100000" w:firstRow="0" w:lastRow="0" w:firstColumn="0" w:lastColumn="0" w:oddVBand="0" w:evenVBand="0" w:oddHBand="1" w:evenHBand="0" w:firstRowFirstColumn="0" w:firstRowLastColumn="0" w:lastRowFirstColumn="0" w:lastRowLastColumn="0"/>
            </w:pPr>
            <w:r w:rsidRPr="001A3338">
              <w:t>0.0</w:t>
            </w:r>
          </w:p>
        </w:tc>
      </w:tr>
      <w:tr w:rsidR="00B944C8" w:rsidRPr="00B944C8" w14:paraId="5ACA0D37" w14:textId="77777777" w:rsidTr="009858D0">
        <w:trPr>
          <w:trHeight w:val="480"/>
        </w:trPr>
        <w:tc>
          <w:tcPr>
            <w:cnfStyle w:val="001000000000" w:firstRow="0" w:lastRow="0" w:firstColumn="1" w:lastColumn="0" w:oddVBand="0" w:evenVBand="0" w:oddHBand="0" w:evenHBand="0" w:firstRowFirstColumn="0" w:firstRowLastColumn="0" w:lastRowFirstColumn="0" w:lastRowLastColumn="0"/>
            <w:tcW w:w="3678" w:type="dxa"/>
            <w:tcBorders>
              <w:top w:val="single" w:sz="6" w:space="0" w:color="FFFFFF"/>
              <w:left w:val="single" w:sz="6" w:space="0" w:color="FFFFFF"/>
              <w:bottom w:val="single" w:sz="6" w:space="0" w:color="FFFFFF"/>
              <w:right w:val="single" w:sz="6" w:space="0" w:color="FFFFFF"/>
            </w:tcBorders>
            <w:shd w:val="clear" w:color="auto" w:fill="C1DCD5"/>
            <w:tcMar>
              <w:right w:w="45" w:type="dxa"/>
            </w:tcMar>
            <w:vAlign w:val="bottom"/>
          </w:tcPr>
          <w:p w14:paraId="23EC6CFB" w14:textId="77777777" w:rsidR="00B944C8" w:rsidRPr="00E06D4C" w:rsidRDefault="00B944C8" w:rsidP="00E06D4C">
            <w:pPr>
              <w:pStyle w:val="TableParagraph"/>
              <w:spacing w:beforeLines="60" w:before="144" w:afterLines="60" w:after="144"/>
              <w:ind w:left="57" w:right="57"/>
              <w:rPr>
                <w:color w:val="auto"/>
              </w:rPr>
            </w:pPr>
            <w:r w:rsidRPr="00E06D4C">
              <w:rPr>
                <w:color w:val="auto"/>
              </w:rPr>
              <w:t>Hedging in 2030</w:t>
            </w:r>
          </w:p>
        </w:tc>
        <w:tc>
          <w:tcPr>
            <w:tcW w:w="1319" w:type="dxa"/>
            <w:tcBorders>
              <w:top w:val="single" w:sz="6" w:space="0" w:color="FFFFFF"/>
              <w:left w:val="single" w:sz="6" w:space="0" w:color="FFFFFF"/>
              <w:bottom w:val="single" w:sz="6" w:space="0" w:color="FFFFFF"/>
              <w:right w:val="single" w:sz="6" w:space="0" w:color="FFFFFF"/>
            </w:tcBorders>
            <w:shd w:val="clear" w:color="auto" w:fill="D4E8DE"/>
            <w:tcMar>
              <w:right w:w="45" w:type="dxa"/>
            </w:tcMar>
            <w:vAlign w:val="center"/>
          </w:tcPr>
          <w:p w14:paraId="401DB186" w14:textId="77777777" w:rsidR="00B944C8" w:rsidRPr="001A3338" w:rsidRDefault="00B944C8" w:rsidP="00E06D4C">
            <w:pPr>
              <w:pStyle w:val="TableParagraph"/>
              <w:spacing w:beforeLines="60" w:before="144" w:afterLines="60" w:after="144"/>
              <w:ind w:left="57" w:right="57"/>
              <w:jc w:val="center"/>
              <w:cnfStyle w:val="000000000000" w:firstRow="0" w:lastRow="0" w:firstColumn="0" w:lastColumn="0" w:oddVBand="0" w:evenVBand="0" w:oddHBand="0" w:evenHBand="0" w:firstRowFirstColumn="0" w:firstRowLastColumn="0" w:lastRowFirstColumn="0" w:lastRowLastColumn="0"/>
            </w:pPr>
            <w:r w:rsidRPr="001A3338">
              <w:t>18.8</w:t>
            </w:r>
          </w:p>
        </w:tc>
        <w:tc>
          <w:tcPr>
            <w:tcW w:w="1319" w:type="dxa"/>
            <w:tcBorders>
              <w:top w:val="single" w:sz="6" w:space="0" w:color="FFFFFF"/>
              <w:left w:val="single" w:sz="6" w:space="0" w:color="FFFFFF"/>
              <w:bottom w:val="single" w:sz="6" w:space="0" w:color="FFFFFF"/>
              <w:right w:val="single" w:sz="6" w:space="0" w:color="FFFFFF"/>
            </w:tcBorders>
            <w:shd w:val="clear" w:color="auto" w:fill="D4E8DE"/>
            <w:tcMar>
              <w:right w:w="45" w:type="dxa"/>
            </w:tcMar>
            <w:vAlign w:val="center"/>
          </w:tcPr>
          <w:p w14:paraId="4E304170" w14:textId="77777777" w:rsidR="00B944C8" w:rsidRPr="001A3338" w:rsidRDefault="00B944C8" w:rsidP="00E06D4C">
            <w:pPr>
              <w:pStyle w:val="TableParagraph"/>
              <w:spacing w:beforeLines="60" w:before="144" w:afterLines="60" w:after="144"/>
              <w:ind w:left="57" w:right="57"/>
              <w:jc w:val="center"/>
              <w:cnfStyle w:val="000000000000" w:firstRow="0" w:lastRow="0" w:firstColumn="0" w:lastColumn="0" w:oddVBand="0" w:evenVBand="0" w:oddHBand="0" w:evenHBand="0" w:firstRowFirstColumn="0" w:firstRowLastColumn="0" w:lastRowFirstColumn="0" w:lastRowLastColumn="0"/>
            </w:pPr>
            <w:r w:rsidRPr="001A3338">
              <w:t>14.5</w:t>
            </w:r>
          </w:p>
        </w:tc>
        <w:tc>
          <w:tcPr>
            <w:tcW w:w="1319" w:type="dxa"/>
            <w:tcBorders>
              <w:top w:val="single" w:sz="6" w:space="0" w:color="FFFFFF"/>
              <w:left w:val="single" w:sz="6" w:space="0" w:color="FFFFFF"/>
              <w:bottom w:val="single" w:sz="6" w:space="0" w:color="FFFFFF"/>
              <w:right w:val="single" w:sz="6" w:space="0" w:color="FFFFFF"/>
            </w:tcBorders>
            <w:shd w:val="clear" w:color="auto" w:fill="D4E8DE"/>
            <w:tcMar>
              <w:right w:w="45" w:type="dxa"/>
            </w:tcMar>
            <w:vAlign w:val="center"/>
          </w:tcPr>
          <w:p w14:paraId="2C4B44C6" w14:textId="77777777" w:rsidR="00B944C8" w:rsidRPr="001A3338" w:rsidRDefault="00B944C8" w:rsidP="00E06D4C">
            <w:pPr>
              <w:pStyle w:val="TableParagraph"/>
              <w:spacing w:beforeLines="60" w:before="144" w:afterLines="60" w:after="144"/>
              <w:ind w:left="57" w:right="57"/>
              <w:jc w:val="center"/>
              <w:cnfStyle w:val="000000000000" w:firstRow="0" w:lastRow="0" w:firstColumn="0" w:lastColumn="0" w:oddVBand="0" w:evenVBand="0" w:oddHBand="0" w:evenHBand="0" w:firstRowFirstColumn="0" w:firstRowLastColumn="0" w:lastRowFirstColumn="0" w:lastRowLastColumn="0"/>
            </w:pPr>
            <w:r w:rsidRPr="001A3338">
              <w:t>10.3</w:t>
            </w:r>
          </w:p>
        </w:tc>
        <w:tc>
          <w:tcPr>
            <w:tcW w:w="1320" w:type="dxa"/>
            <w:tcBorders>
              <w:top w:val="single" w:sz="6" w:space="0" w:color="FFFFFF"/>
              <w:left w:val="single" w:sz="6" w:space="0" w:color="FFFFFF"/>
              <w:bottom w:val="single" w:sz="6" w:space="0" w:color="FFFFFF"/>
              <w:right w:val="single" w:sz="6" w:space="0" w:color="FFFFFF"/>
            </w:tcBorders>
            <w:shd w:val="clear" w:color="auto" w:fill="D4E8DE"/>
            <w:tcMar>
              <w:right w:w="45" w:type="dxa"/>
            </w:tcMar>
            <w:vAlign w:val="center"/>
          </w:tcPr>
          <w:p w14:paraId="5E9A26A9" w14:textId="77777777" w:rsidR="00B944C8" w:rsidRPr="001A3338" w:rsidRDefault="00B944C8" w:rsidP="00E06D4C">
            <w:pPr>
              <w:pStyle w:val="TableParagraph"/>
              <w:spacing w:beforeLines="60" w:before="144" w:afterLines="60" w:after="144"/>
              <w:ind w:left="57" w:right="57"/>
              <w:jc w:val="center"/>
              <w:cnfStyle w:val="000000000000" w:firstRow="0" w:lastRow="0" w:firstColumn="0" w:lastColumn="0" w:oddVBand="0" w:evenVBand="0" w:oddHBand="0" w:evenHBand="0" w:firstRowFirstColumn="0" w:firstRowLastColumn="0" w:lastRowFirstColumn="0" w:lastRowLastColumn="0"/>
            </w:pPr>
            <w:r w:rsidRPr="001A3338">
              <w:t>8.5</w:t>
            </w:r>
          </w:p>
        </w:tc>
      </w:tr>
      <w:tr w:rsidR="00B944C8" w:rsidRPr="00B944C8" w14:paraId="5F4D762C" w14:textId="77777777" w:rsidTr="009858D0">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3678" w:type="dxa"/>
            <w:tcBorders>
              <w:top w:val="single" w:sz="6" w:space="0" w:color="FFFFFF"/>
              <w:left w:val="single" w:sz="6" w:space="0" w:color="FFFFFF"/>
              <w:bottom w:val="single" w:sz="6" w:space="0" w:color="FFFFFF"/>
              <w:right w:val="single" w:sz="6" w:space="0" w:color="FFFFFF"/>
            </w:tcBorders>
            <w:shd w:val="clear" w:color="auto" w:fill="C1DCD5"/>
            <w:tcMar>
              <w:right w:w="45" w:type="dxa"/>
            </w:tcMar>
            <w:vAlign w:val="bottom"/>
          </w:tcPr>
          <w:p w14:paraId="1469DF6F" w14:textId="77777777" w:rsidR="00B944C8" w:rsidRPr="00E06D4C" w:rsidRDefault="00B944C8" w:rsidP="00E06D4C">
            <w:pPr>
              <w:pStyle w:val="TableParagraph"/>
              <w:spacing w:beforeLines="60" w:before="144" w:afterLines="60" w:after="144"/>
              <w:ind w:left="57" w:right="57"/>
              <w:rPr>
                <w:color w:val="auto"/>
              </w:rPr>
            </w:pPr>
            <w:r w:rsidRPr="00E06D4C">
              <w:rPr>
                <w:color w:val="auto"/>
              </w:rPr>
              <w:t>Post-1989 forest harvest liabilities</w:t>
            </w:r>
          </w:p>
        </w:tc>
        <w:tc>
          <w:tcPr>
            <w:tcW w:w="1319" w:type="dxa"/>
            <w:tcBorders>
              <w:top w:val="single" w:sz="6" w:space="0" w:color="FFFFFF"/>
              <w:left w:val="single" w:sz="6" w:space="0" w:color="FFFFFF"/>
              <w:bottom w:val="single" w:sz="6" w:space="0" w:color="FFFFFF"/>
              <w:right w:val="single" w:sz="6" w:space="0" w:color="FFFFFF"/>
            </w:tcBorders>
            <w:shd w:val="clear" w:color="auto" w:fill="E9F5F2"/>
            <w:tcMar>
              <w:right w:w="45" w:type="dxa"/>
            </w:tcMar>
            <w:vAlign w:val="center"/>
          </w:tcPr>
          <w:p w14:paraId="3CAD60BE" w14:textId="77777777" w:rsidR="00B944C8" w:rsidRPr="001A3338" w:rsidRDefault="00B944C8" w:rsidP="00E06D4C">
            <w:pPr>
              <w:pStyle w:val="TableParagraph"/>
              <w:spacing w:beforeLines="60" w:before="144" w:afterLines="60" w:after="144"/>
              <w:ind w:left="57" w:right="57"/>
              <w:jc w:val="center"/>
              <w:cnfStyle w:val="000000100000" w:firstRow="0" w:lastRow="0" w:firstColumn="0" w:lastColumn="0" w:oddVBand="0" w:evenVBand="0" w:oddHBand="1" w:evenHBand="0" w:firstRowFirstColumn="0" w:firstRowLastColumn="0" w:lastRowFirstColumn="0" w:lastRowLastColumn="0"/>
            </w:pPr>
            <w:r w:rsidRPr="001A3338">
              <w:t>46.2</w:t>
            </w:r>
          </w:p>
        </w:tc>
        <w:tc>
          <w:tcPr>
            <w:tcW w:w="1319" w:type="dxa"/>
            <w:tcBorders>
              <w:top w:val="single" w:sz="6" w:space="0" w:color="FFFFFF"/>
              <w:left w:val="single" w:sz="6" w:space="0" w:color="FFFFFF"/>
              <w:bottom w:val="single" w:sz="6" w:space="0" w:color="FFFFFF"/>
              <w:right w:val="single" w:sz="6" w:space="0" w:color="FFFFFF"/>
            </w:tcBorders>
            <w:shd w:val="clear" w:color="auto" w:fill="E9F5F2"/>
            <w:tcMar>
              <w:right w:w="45" w:type="dxa"/>
            </w:tcMar>
            <w:vAlign w:val="center"/>
          </w:tcPr>
          <w:p w14:paraId="6265346F" w14:textId="77777777" w:rsidR="00B944C8" w:rsidRPr="001A3338" w:rsidRDefault="00B944C8" w:rsidP="00E06D4C">
            <w:pPr>
              <w:pStyle w:val="TableParagraph"/>
              <w:spacing w:beforeLines="60" w:before="144" w:afterLines="60" w:after="144"/>
              <w:ind w:left="57" w:right="57"/>
              <w:jc w:val="center"/>
              <w:cnfStyle w:val="000000100000" w:firstRow="0" w:lastRow="0" w:firstColumn="0" w:lastColumn="0" w:oddVBand="0" w:evenVBand="0" w:oddHBand="1" w:evenHBand="0" w:firstRowFirstColumn="0" w:firstRowLastColumn="0" w:lastRowFirstColumn="0" w:lastRowLastColumn="0"/>
            </w:pPr>
            <w:r w:rsidRPr="001A3338">
              <w:t>40.0</w:t>
            </w:r>
          </w:p>
        </w:tc>
        <w:tc>
          <w:tcPr>
            <w:tcW w:w="1319" w:type="dxa"/>
            <w:tcBorders>
              <w:top w:val="single" w:sz="6" w:space="0" w:color="FFFFFF"/>
              <w:left w:val="single" w:sz="6" w:space="0" w:color="FFFFFF"/>
              <w:bottom w:val="single" w:sz="6" w:space="0" w:color="FFFFFF"/>
              <w:right w:val="single" w:sz="6" w:space="0" w:color="FFFFFF"/>
            </w:tcBorders>
            <w:shd w:val="clear" w:color="auto" w:fill="E9F5F2"/>
            <w:tcMar>
              <w:right w:w="45" w:type="dxa"/>
            </w:tcMar>
            <w:vAlign w:val="center"/>
          </w:tcPr>
          <w:p w14:paraId="5F99773D" w14:textId="77777777" w:rsidR="00B944C8" w:rsidRPr="001A3338" w:rsidRDefault="00B944C8" w:rsidP="00E06D4C">
            <w:pPr>
              <w:pStyle w:val="TableParagraph"/>
              <w:spacing w:beforeLines="60" w:before="144" w:afterLines="60" w:after="144"/>
              <w:ind w:left="57" w:right="57"/>
              <w:jc w:val="center"/>
              <w:cnfStyle w:val="000000100000" w:firstRow="0" w:lastRow="0" w:firstColumn="0" w:lastColumn="0" w:oddVBand="0" w:evenVBand="0" w:oddHBand="1" w:evenHBand="0" w:firstRowFirstColumn="0" w:firstRowLastColumn="0" w:lastRowFirstColumn="0" w:lastRowLastColumn="0"/>
            </w:pPr>
            <w:r w:rsidRPr="001A3338">
              <w:t>34.3</w:t>
            </w:r>
          </w:p>
        </w:tc>
        <w:tc>
          <w:tcPr>
            <w:tcW w:w="1320" w:type="dxa"/>
            <w:tcBorders>
              <w:top w:val="single" w:sz="6" w:space="0" w:color="FFFFFF"/>
              <w:left w:val="single" w:sz="6" w:space="0" w:color="FFFFFF"/>
              <w:bottom w:val="single" w:sz="6" w:space="0" w:color="FFFFFF"/>
              <w:right w:val="single" w:sz="6" w:space="0" w:color="FFFFFF"/>
            </w:tcBorders>
            <w:shd w:val="clear" w:color="auto" w:fill="E9F5F2"/>
            <w:tcMar>
              <w:right w:w="45" w:type="dxa"/>
            </w:tcMar>
            <w:vAlign w:val="center"/>
          </w:tcPr>
          <w:p w14:paraId="1D80551A" w14:textId="77777777" w:rsidR="00B944C8" w:rsidRPr="001A3338" w:rsidRDefault="00B944C8" w:rsidP="00E06D4C">
            <w:pPr>
              <w:pStyle w:val="TableParagraph"/>
              <w:spacing w:beforeLines="60" w:before="144" w:afterLines="60" w:after="144"/>
              <w:ind w:left="57" w:right="57"/>
              <w:jc w:val="center"/>
              <w:cnfStyle w:val="000000100000" w:firstRow="0" w:lastRow="0" w:firstColumn="0" w:lastColumn="0" w:oddVBand="0" w:evenVBand="0" w:oddHBand="1" w:evenHBand="0" w:firstRowFirstColumn="0" w:firstRowLastColumn="0" w:lastRowFirstColumn="0" w:lastRowLastColumn="0"/>
            </w:pPr>
            <w:r w:rsidRPr="001A3338">
              <w:t>11.9</w:t>
            </w:r>
          </w:p>
        </w:tc>
      </w:tr>
      <w:tr w:rsidR="00B944C8" w:rsidRPr="00B944C8" w14:paraId="4B022892" w14:textId="77777777" w:rsidTr="009858D0">
        <w:trPr>
          <w:trHeight w:val="480"/>
        </w:trPr>
        <w:tc>
          <w:tcPr>
            <w:cnfStyle w:val="001000000000" w:firstRow="0" w:lastRow="0" w:firstColumn="1" w:lastColumn="0" w:oddVBand="0" w:evenVBand="0" w:oddHBand="0" w:evenHBand="0" w:firstRowFirstColumn="0" w:firstRowLastColumn="0" w:lastRowFirstColumn="0" w:lastRowLastColumn="0"/>
            <w:tcW w:w="3678" w:type="dxa"/>
            <w:tcBorders>
              <w:top w:val="single" w:sz="6" w:space="0" w:color="FFFFFF"/>
              <w:left w:val="single" w:sz="6" w:space="0" w:color="FFFFFF"/>
              <w:bottom w:val="single" w:sz="6" w:space="0" w:color="FFFFFF"/>
              <w:right w:val="single" w:sz="6" w:space="0" w:color="FFFFFF"/>
            </w:tcBorders>
            <w:shd w:val="clear" w:color="auto" w:fill="C1DCD5"/>
            <w:tcMar>
              <w:right w:w="45" w:type="dxa"/>
            </w:tcMar>
            <w:vAlign w:val="bottom"/>
          </w:tcPr>
          <w:p w14:paraId="39BB6AE0" w14:textId="3667F360" w:rsidR="00B944C8" w:rsidRPr="00E06D4C" w:rsidRDefault="00D773F1" w:rsidP="00E06D4C">
            <w:pPr>
              <w:pStyle w:val="TableParagraph"/>
              <w:spacing w:beforeLines="60" w:before="144" w:afterLines="60" w:after="144"/>
              <w:ind w:left="57" w:right="57"/>
              <w:rPr>
                <w:color w:val="auto"/>
              </w:rPr>
            </w:pPr>
            <w:r w:rsidRPr="00E06D4C">
              <w:rPr>
                <w:color w:val="auto"/>
              </w:rPr>
              <w:t>Forestry unit reconciliation</w:t>
            </w:r>
          </w:p>
        </w:tc>
        <w:tc>
          <w:tcPr>
            <w:tcW w:w="1319" w:type="dxa"/>
            <w:tcBorders>
              <w:top w:val="single" w:sz="6" w:space="0" w:color="FFFFFF"/>
              <w:left w:val="single" w:sz="6" w:space="0" w:color="FFFFFF"/>
              <w:bottom w:val="single" w:sz="6" w:space="0" w:color="FFFFFF"/>
              <w:right w:val="single" w:sz="6" w:space="0" w:color="FFFFFF"/>
            </w:tcBorders>
            <w:shd w:val="clear" w:color="auto" w:fill="D4E8DE"/>
            <w:tcMar>
              <w:right w:w="45" w:type="dxa"/>
            </w:tcMar>
            <w:vAlign w:val="center"/>
          </w:tcPr>
          <w:p w14:paraId="65FFD4A3" w14:textId="77777777" w:rsidR="00B944C8" w:rsidRPr="001A3338" w:rsidRDefault="00B944C8" w:rsidP="00E06D4C">
            <w:pPr>
              <w:pStyle w:val="TableParagraph"/>
              <w:spacing w:beforeLines="60" w:before="144" w:afterLines="60" w:after="144"/>
              <w:ind w:left="57" w:right="57"/>
              <w:jc w:val="center"/>
              <w:cnfStyle w:val="000000000000" w:firstRow="0" w:lastRow="0" w:firstColumn="0" w:lastColumn="0" w:oddVBand="0" w:evenVBand="0" w:oddHBand="0" w:evenHBand="0" w:firstRowFirstColumn="0" w:firstRowLastColumn="0" w:lastRowFirstColumn="0" w:lastRowLastColumn="0"/>
            </w:pPr>
            <w:r w:rsidRPr="001A3338">
              <w:t>15.9</w:t>
            </w:r>
          </w:p>
        </w:tc>
        <w:tc>
          <w:tcPr>
            <w:tcW w:w="1319" w:type="dxa"/>
            <w:tcBorders>
              <w:top w:val="single" w:sz="6" w:space="0" w:color="FFFFFF"/>
              <w:left w:val="single" w:sz="6" w:space="0" w:color="FFFFFF"/>
              <w:bottom w:val="single" w:sz="6" w:space="0" w:color="FFFFFF"/>
              <w:right w:val="single" w:sz="6" w:space="0" w:color="FFFFFF"/>
            </w:tcBorders>
            <w:shd w:val="clear" w:color="auto" w:fill="D4E8DE"/>
            <w:tcMar>
              <w:right w:w="45" w:type="dxa"/>
            </w:tcMar>
            <w:vAlign w:val="center"/>
          </w:tcPr>
          <w:p w14:paraId="228D5313" w14:textId="77777777" w:rsidR="00B944C8" w:rsidRPr="001A3338" w:rsidRDefault="00B944C8" w:rsidP="00E06D4C">
            <w:pPr>
              <w:pStyle w:val="TableParagraph"/>
              <w:spacing w:beforeLines="60" w:before="144" w:afterLines="60" w:after="144"/>
              <w:ind w:left="57" w:right="57"/>
              <w:jc w:val="center"/>
              <w:cnfStyle w:val="000000000000" w:firstRow="0" w:lastRow="0" w:firstColumn="0" w:lastColumn="0" w:oddVBand="0" w:evenVBand="0" w:oddHBand="0" w:evenHBand="0" w:firstRowFirstColumn="0" w:firstRowLastColumn="0" w:lastRowFirstColumn="0" w:lastRowLastColumn="0"/>
            </w:pPr>
            <w:r w:rsidRPr="001A3338">
              <w:t>13.7</w:t>
            </w:r>
          </w:p>
        </w:tc>
        <w:tc>
          <w:tcPr>
            <w:tcW w:w="1319" w:type="dxa"/>
            <w:tcBorders>
              <w:top w:val="single" w:sz="6" w:space="0" w:color="FFFFFF"/>
              <w:left w:val="single" w:sz="6" w:space="0" w:color="FFFFFF"/>
              <w:bottom w:val="single" w:sz="6" w:space="0" w:color="FFFFFF"/>
              <w:right w:val="single" w:sz="6" w:space="0" w:color="FFFFFF"/>
            </w:tcBorders>
            <w:shd w:val="clear" w:color="auto" w:fill="D4E8DE"/>
            <w:tcMar>
              <w:right w:w="45" w:type="dxa"/>
            </w:tcMar>
            <w:vAlign w:val="center"/>
          </w:tcPr>
          <w:p w14:paraId="22B8BBEC" w14:textId="77777777" w:rsidR="00B944C8" w:rsidRPr="001A3338" w:rsidRDefault="00B944C8" w:rsidP="00E06D4C">
            <w:pPr>
              <w:pStyle w:val="TableParagraph"/>
              <w:spacing w:beforeLines="60" w:before="144" w:afterLines="60" w:after="144"/>
              <w:ind w:left="57" w:right="57"/>
              <w:jc w:val="center"/>
              <w:cnfStyle w:val="000000000000" w:firstRow="0" w:lastRow="0" w:firstColumn="0" w:lastColumn="0" w:oddVBand="0" w:evenVBand="0" w:oddHBand="0" w:evenHBand="0" w:firstRowFirstColumn="0" w:firstRowLastColumn="0" w:lastRowFirstColumn="0" w:lastRowLastColumn="0"/>
            </w:pPr>
            <w:r w:rsidRPr="001A3338">
              <w:t>11.6</w:t>
            </w:r>
          </w:p>
        </w:tc>
        <w:tc>
          <w:tcPr>
            <w:tcW w:w="1320" w:type="dxa"/>
            <w:tcBorders>
              <w:top w:val="single" w:sz="6" w:space="0" w:color="FFFFFF"/>
              <w:left w:val="single" w:sz="6" w:space="0" w:color="FFFFFF"/>
              <w:bottom w:val="single" w:sz="6" w:space="0" w:color="FFFFFF"/>
              <w:right w:val="single" w:sz="6" w:space="0" w:color="FFFFFF"/>
            </w:tcBorders>
            <w:shd w:val="clear" w:color="auto" w:fill="D4E8DE"/>
            <w:tcMar>
              <w:right w:w="45" w:type="dxa"/>
            </w:tcMar>
            <w:vAlign w:val="center"/>
          </w:tcPr>
          <w:p w14:paraId="240E132B" w14:textId="77777777" w:rsidR="00B944C8" w:rsidRPr="001A3338" w:rsidRDefault="00B944C8" w:rsidP="00E06D4C">
            <w:pPr>
              <w:pStyle w:val="TableParagraph"/>
              <w:spacing w:beforeLines="60" w:before="144" w:afterLines="60" w:after="144"/>
              <w:ind w:left="57" w:right="57"/>
              <w:jc w:val="center"/>
              <w:cnfStyle w:val="000000000000" w:firstRow="0" w:lastRow="0" w:firstColumn="0" w:lastColumn="0" w:oddVBand="0" w:evenVBand="0" w:oddHBand="0" w:evenHBand="0" w:firstRowFirstColumn="0" w:firstRowLastColumn="0" w:lastRowFirstColumn="0" w:lastRowLastColumn="0"/>
            </w:pPr>
            <w:r w:rsidRPr="001A3338">
              <w:t>4.3</w:t>
            </w:r>
          </w:p>
        </w:tc>
      </w:tr>
      <w:tr w:rsidR="00B944C8" w:rsidRPr="00B944C8" w14:paraId="10A7A154" w14:textId="77777777" w:rsidTr="009858D0">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3678" w:type="dxa"/>
            <w:tcBorders>
              <w:top w:val="single" w:sz="6" w:space="0" w:color="FFFFFF"/>
              <w:left w:val="single" w:sz="6" w:space="0" w:color="FFFFFF"/>
              <w:bottom w:val="single" w:sz="6" w:space="0" w:color="FFFFFF"/>
              <w:right w:val="single" w:sz="6" w:space="0" w:color="FFFFFF"/>
            </w:tcBorders>
            <w:shd w:val="clear" w:color="auto" w:fill="C1DCD5"/>
            <w:tcMar>
              <w:right w:w="45" w:type="dxa"/>
            </w:tcMar>
            <w:vAlign w:val="bottom"/>
          </w:tcPr>
          <w:p w14:paraId="2CDB3B9D" w14:textId="77777777" w:rsidR="00B944C8" w:rsidRPr="00E06D4C" w:rsidRDefault="00B944C8" w:rsidP="00E06D4C">
            <w:pPr>
              <w:pStyle w:val="TableParagraph"/>
              <w:spacing w:beforeLines="60" w:before="144" w:afterLines="60" w:after="144"/>
              <w:ind w:left="57" w:right="57"/>
              <w:rPr>
                <w:color w:val="auto"/>
              </w:rPr>
            </w:pPr>
            <w:r w:rsidRPr="00E06D4C">
              <w:rPr>
                <w:color w:val="auto"/>
              </w:rPr>
              <w:t>Forestry accounting technical adjustment range</w:t>
            </w:r>
            <w:r w:rsidRPr="00E06D4C">
              <w:rPr>
                <w:rFonts w:eastAsia="Calibri"/>
                <w:color w:val="auto"/>
                <w:vertAlign w:val="superscript"/>
              </w:rPr>
              <w:footnoteReference w:id="4"/>
            </w:r>
          </w:p>
        </w:tc>
        <w:tc>
          <w:tcPr>
            <w:tcW w:w="1319" w:type="dxa"/>
            <w:tcBorders>
              <w:top w:val="single" w:sz="6" w:space="0" w:color="FFFFFF"/>
              <w:left w:val="single" w:sz="6" w:space="0" w:color="FFFFFF"/>
              <w:bottom w:val="single" w:sz="6" w:space="0" w:color="FFFFFF"/>
              <w:right w:val="single" w:sz="6" w:space="0" w:color="FFFFFF"/>
            </w:tcBorders>
            <w:shd w:val="clear" w:color="auto" w:fill="E9F5F2"/>
            <w:tcMar>
              <w:right w:w="45" w:type="dxa"/>
            </w:tcMar>
            <w:vAlign w:val="center"/>
          </w:tcPr>
          <w:p w14:paraId="718AAFF4" w14:textId="77777777" w:rsidR="00B944C8" w:rsidRPr="001A3338" w:rsidRDefault="00B944C8" w:rsidP="00E06D4C">
            <w:pPr>
              <w:pStyle w:val="TableParagraph"/>
              <w:spacing w:beforeLines="60" w:before="144" w:afterLines="60" w:after="144"/>
              <w:ind w:left="57" w:right="57"/>
              <w:jc w:val="center"/>
              <w:cnfStyle w:val="000000100000" w:firstRow="0" w:lastRow="0" w:firstColumn="0" w:lastColumn="0" w:oddVBand="0" w:evenVBand="0" w:oddHBand="1" w:evenHBand="0" w:firstRowFirstColumn="0" w:firstRowLastColumn="0" w:lastRowFirstColumn="0" w:lastRowLastColumn="0"/>
            </w:pPr>
            <w:r w:rsidRPr="001A3338">
              <w:t>-1.3</w:t>
            </w:r>
          </w:p>
        </w:tc>
        <w:tc>
          <w:tcPr>
            <w:tcW w:w="1319" w:type="dxa"/>
            <w:tcBorders>
              <w:top w:val="single" w:sz="6" w:space="0" w:color="FFFFFF"/>
              <w:left w:val="single" w:sz="6" w:space="0" w:color="FFFFFF"/>
              <w:bottom w:val="single" w:sz="6" w:space="0" w:color="FFFFFF"/>
              <w:right w:val="single" w:sz="6" w:space="0" w:color="FFFFFF"/>
            </w:tcBorders>
            <w:shd w:val="clear" w:color="auto" w:fill="E9F5F2"/>
            <w:tcMar>
              <w:right w:w="45" w:type="dxa"/>
            </w:tcMar>
            <w:vAlign w:val="center"/>
          </w:tcPr>
          <w:p w14:paraId="708D0D23" w14:textId="77777777" w:rsidR="00B944C8" w:rsidRPr="001A3338" w:rsidRDefault="00B944C8" w:rsidP="00E06D4C">
            <w:pPr>
              <w:pStyle w:val="TableParagraph"/>
              <w:spacing w:beforeLines="60" w:before="144" w:afterLines="60" w:after="144"/>
              <w:ind w:left="57" w:right="57"/>
              <w:jc w:val="center"/>
              <w:cnfStyle w:val="000000100000" w:firstRow="0" w:lastRow="0" w:firstColumn="0" w:lastColumn="0" w:oddVBand="0" w:evenVBand="0" w:oddHBand="1" w:evenHBand="0" w:firstRowFirstColumn="0" w:firstRowLastColumn="0" w:lastRowFirstColumn="0" w:lastRowLastColumn="0"/>
            </w:pPr>
            <w:r w:rsidRPr="001A3338">
              <w:t>0.0</w:t>
            </w:r>
          </w:p>
        </w:tc>
        <w:tc>
          <w:tcPr>
            <w:tcW w:w="1319" w:type="dxa"/>
            <w:tcBorders>
              <w:top w:val="single" w:sz="6" w:space="0" w:color="FFFFFF"/>
              <w:left w:val="single" w:sz="6" w:space="0" w:color="FFFFFF"/>
              <w:bottom w:val="single" w:sz="6" w:space="0" w:color="FFFFFF"/>
              <w:right w:val="single" w:sz="6" w:space="0" w:color="FFFFFF"/>
            </w:tcBorders>
            <w:shd w:val="clear" w:color="auto" w:fill="E9F5F2"/>
            <w:tcMar>
              <w:right w:w="45" w:type="dxa"/>
            </w:tcMar>
            <w:vAlign w:val="center"/>
          </w:tcPr>
          <w:p w14:paraId="6E3DEE53" w14:textId="77777777" w:rsidR="00B944C8" w:rsidRPr="001A3338" w:rsidRDefault="00B944C8" w:rsidP="00E06D4C">
            <w:pPr>
              <w:pStyle w:val="TableParagraph"/>
              <w:spacing w:beforeLines="60" w:before="144" w:afterLines="60" w:after="144"/>
              <w:ind w:left="57" w:right="57"/>
              <w:jc w:val="center"/>
              <w:cnfStyle w:val="000000100000" w:firstRow="0" w:lastRow="0" w:firstColumn="0" w:lastColumn="0" w:oddVBand="0" w:evenVBand="0" w:oddHBand="1" w:evenHBand="0" w:firstRowFirstColumn="0" w:firstRowLastColumn="0" w:lastRowFirstColumn="0" w:lastRowLastColumn="0"/>
            </w:pPr>
            <w:r w:rsidRPr="001A3338">
              <w:t>1.2</w:t>
            </w:r>
          </w:p>
        </w:tc>
        <w:tc>
          <w:tcPr>
            <w:tcW w:w="1320" w:type="dxa"/>
            <w:tcBorders>
              <w:top w:val="single" w:sz="6" w:space="0" w:color="FFFFFF"/>
              <w:left w:val="single" w:sz="6" w:space="0" w:color="FFFFFF"/>
              <w:bottom w:val="single" w:sz="6" w:space="0" w:color="FFFFFF"/>
              <w:right w:val="single" w:sz="6" w:space="0" w:color="FFFFFF"/>
            </w:tcBorders>
            <w:shd w:val="clear" w:color="auto" w:fill="E9F5F2"/>
            <w:tcMar>
              <w:right w:w="45" w:type="dxa"/>
            </w:tcMar>
            <w:vAlign w:val="center"/>
          </w:tcPr>
          <w:p w14:paraId="58ECD4AC" w14:textId="77777777" w:rsidR="00B944C8" w:rsidRPr="001A3338" w:rsidRDefault="00B944C8" w:rsidP="00E06D4C">
            <w:pPr>
              <w:pStyle w:val="TableParagraph"/>
              <w:spacing w:beforeLines="60" w:before="144" w:afterLines="60" w:after="144"/>
              <w:ind w:left="57" w:right="57"/>
              <w:jc w:val="center"/>
              <w:cnfStyle w:val="000000100000" w:firstRow="0" w:lastRow="0" w:firstColumn="0" w:lastColumn="0" w:oddVBand="0" w:evenVBand="0" w:oddHBand="1" w:evenHBand="0" w:firstRowFirstColumn="0" w:firstRowLastColumn="0" w:lastRowFirstColumn="0" w:lastRowLastColumn="0"/>
            </w:pPr>
            <w:r w:rsidRPr="001A3338">
              <w:t>2.5</w:t>
            </w:r>
          </w:p>
        </w:tc>
      </w:tr>
      <w:tr w:rsidR="00B944C8" w:rsidRPr="00B944C8" w14:paraId="49995E0B" w14:textId="77777777" w:rsidTr="009858D0">
        <w:trPr>
          <w:trHeight w:val="480"/>
        </w:trPr>
        <w:tc>
          <w:tcPr>
            <w:cnfStyle w:val="001000000000" w:firstRow="0" w:lastRow="0" w:firstColumn="1" w:lastColumn="0" w:oddVBand="0" w:evenVBand="0" w:oddHBand="0" w:evenHBand="0" w:firstRowFirstColumn="0" w:firstRowLastColumn="0" w:lastRowFirstColumn="0" w:lastRowLastColumn="0"/>
            <w:tcW w:w="3678" w:type="dxa"/>
            <w:tcBorders>
              <w:top w:val="single" w:sz="6" w:space="0" w:color="FFFFFF"/>
              <w:left w:val="single" w:sz="6" w:space="0" w:color="FFFFFF"/>
              <w:bottom w:val="single" w:sz="6" w:space="0" w:color="FFFFFF"/>
              <w:right w:val="single" w:sz="6" w:space="0" w:color="FFFFFF"/>
            </w:tcBorders>
            <w:shd w:val="clear" w:color="auto" w:fill="C1DCD5"/>
            <w:tcMar>
              <w:right w:w="45" w:type="dxa"/>
            </w:tcMar>
            <w:vAlign w:val="bottom"/>
          </w:tcPr>
          <w:p w14:paraId="09E4DB00" w14:textId="77777777" w:rsidR="00B944C8" w:rsidRPr="00E06D4C" w:rsidRDefault="00B944C8" w:rsidP="00E06D4C">
            <w:pPr>
              <w:pStyle w:val="TableParagraph"/>
              <w:spacing w:beforeLines="60" w:before="144" w:afterLines="60" w:after="144"/>
              <w:ind w:left="57" w:right="57"/>
              <w:rPr>
                <w:color w:val="auto"/>
              </w:rPr>
            </w:pPr>
            <w:r w:rsidRPr="00E06D4C">
              <w:rPr>
                <w:color w:val="auto"/>
              </w:rPr>
              <w:t>Total surplus estimate</w:t>
            </w:r>
          </w:p>
        </w:tc>
        <w:tc>
          <w:tcPr>
            <w:tcW w:w="1319" w:type="dxa"/>
            <w:tcBorders>
              <w:top w:val="single" w:sz="6" w:space="0" w:color="FFFFFF"/>
              <w:left w:val="single" w:sz="6" w:space="0" w:color="FFFFFF"/>
              <w:bottom w:val="single" w:sz="6" w:space="0" w:color="FFFFFF"/>
              <w:right w:val="single" w:sz="6" w:space="0" w:color="FFFFFF"/>
            </w:tcBorders>
            <w:shd w:val="clear" w:color="auto" w:fill="D4E8DE"/>
            <w:tcMar>
              <w:right w:w="45" w:type="dxa"/>
            </w:tcMar>
            <w:vAlign w:val="center"/>
          </w:tcPr>
          <w:p w14:paraId="2BB24D6B" w14:textId="77777777" w:rsidR="00B944C8" w:rsidRPr="001A3338" w:rsidRDefault="00B944C8" w:rsidP="00E06D4C">
            <w:pPr>
              <w:pStyle w:val="TableParagraph"/>
              <w:spacing w:beforeLines="60" w:before="144" w:afterLines="60" w:after="144"/>
              <w:ind w:left="57" w:right="57"/>
              <w:jc w:val="center"/>
              <w:cnfStyle w:val="000000000000" w:firstRow="0" w:lastRow="0" w:firstColumn="0" w:lastColumn="0" w:oddVBand="0" w:evenVBand="0" w:oddHBand="0" w:evenHBand="0" w:firstRowFirstColumn="0" w:firstRowLastColumn="0" w:lastRowFirstColumn="0" w:lastRowLastColumn="0"/>
            </w:pPr>
            <w:r w:rsidRPr="001A3338">
              <w:t>17.1</w:t>
            </w:r>
          </w:p>
        </w:tc>
        <w:tc>
          <w:tcPr>
            <w:tcW w:w="1319" w:type="dxa"/>
            <w:tcBorders>
              <w:top w:val="single" w:sz="6" w:space="0" w:color="FFFFFF"/>
              <w:left w:val="single" w:sz="6" w:space="0" w:color="FFFFFF"/>
              <w:bottom w:val="single" w:sz="6" w:space="0" w:color="FFFFFF"/>
              <w:right w:val="single" w:sz="6" w:space="0" w:color="FFFFFF"/>
            </w:tcBorders>
            <w:shd w:val="clear" w:color="auto" w:fill="D4E8DE"/>
            <w:tcMar>
              <w:right w:w="45" w:type="dxa"/>
            </w:tcMar>
            <w:vAlign w:val="center"/>
          </w:tcPr>
          <w:p w14:paraId="7250C11C" w14:textId="77777777" w:rsidR="00B944C8" w:rsidRPr="001A3338" w:rsidRDefault="00B944C8" w:rsidP="00E06D4C">
            <w:pPr>
              <w:pStyle w:val="TableParagraph"/>
              <w:spacing w:beforeLines="60" w:before="144" w:afterLines="60" w:after="144"/>
              <w:ind w:left="57" w:right="57"/>
              <w:jc w:val="center"/>
              <w:cnfStyle w:val="000000000000" w:firstRow="0" w:lastRow="0" w:firstColumn="0" w:lastColumn="0" w:oddVBand="0" w:evenVBand="0" w:oddHBand="0" w:evenHBand="0" w:firstRowFirstColumn="0" w:firstRowLastColumn="0" w:lastRowFirstColumn="0" w:lastRowLastColumn="0"/>
            </w:pPr>
            <w:r w:rsidRPr="001A3338">
              <w:t>29.7</w:t>
            </w:r>
          </w:p>
        </w:tc>
        <w:tc>
          <w:tcPr>
            <w:tcW w:w="1319" w:type="dxa"/>
            <w:tcBorders>
              <w:top w:val="single" w:sz="6" w:space="0" w:color="FFFFFF"/>
              <w:left w:val="single" w:sz="6" w:space="0" w:color="FFFFFF"/>
              <w:bottom w:val="single" w:sz="6" w:space="0" w:color="FFFFFF"/>
              <w:right w:val="single" w:sz="6" w:space="0" w:color="FFFFFF"/>
            </w:tcBorders>
            <w:shd w:val="clear" w:color="auto" w:fill="D4E8DE"/>
            <w:tcMar>
              <w:right w:w="45" w:type="dxa"/>
            </w:tcMar>
            <w:vAlign w:val="center"/>
          </w:tcPr>
          <w:p w14:paraId="1F0D34B4" w14:textId="77777777" w:rsidR="00B944C8" w:rsidRPr="001A3338" w:rsidRDefault="00B944C8" w:rsidP="00E06D4C">
            <w:pPr>
              <w:pStyle w:val="TableParagraph"/>
              <w:spacing w:beforeLines="60" w:before="144" w:afterLines="60" w:after="144"/>
              <w:ind w:left="57" w:right="57"/>
              <w:jc w:val="center"/>
              <w:cnfStyle w:val="000000000000" w:firstRow="0" w:lastRow="0" w:firstColumn="0" w:lastColumn="0" w:oddVBand="0" w:evenVBand="0" w:oddHBand="0" w:evenHBand="0" w:firstRowFirstColumn="0" w:firstRowLastColumn="0" w:lastRowFirstColumn="0" w:lastRowLastColumn="0"/>
            </w:pPr>
            <w:r w:rsidRPr="001A3338">
              <w:t>41.7</w:t>
            </w:r>
          </w:p>
        </w:tc>
        <w:tc>
          <w:tcPr>
            <w:tcW w:w="1320" w:type="dxa"/>
            <w:tcBorders>
              <w:top w:val="single" w:sz="6" w:space="0" w:color="FFFFFF"/>
              <w:left w:val="single" w:sz="6" w:space="0" w:color="FFFFFF"/>
              <w:bottom w:val="single" w:sz="6" w:space="0" w:color="FFFFFF"/>
              <w:right w:val="single" w:sz="6" w:space="0" w:color="FFFFFF"/>
            </w:tcBorders>
            <w:shd w:val="clear" w:color="auto" w:fill="D4E8DE"/>
            <w:tcMar>
              <w:right w:w="45" w:type="dxa"/>
            </w:tcMar>
            <w:vAlign w:val="center"/>
          </w:tcPr>
          <w:p w14:paraId="58AB95A9" w14:textId="3D24072D" w:rsidR="00B944C8" w:rsidRPr="001A3338" w:rsidRDefault="00B944C8" w:rsidP="00E06D4C">
            <w:pPr>
              <w:pStyle w:val="TableParagraph"/>
              <w:spacing w:beforeLines="60" w:before="144" w:afterLines="60" w:after="144"/>
              <w:ind w:left="57" w:right="57"/>
              <w:jc w:val="center"/>
              <w:cnfStyle w:val="000000000000" w:firstRow="0" w:lastRow="0" w:firstColumn="0" w:lastColumn="0" w:oddVBand="0" w:evenVBand="0" w:oddHBand="0" w:evenHBand="0" w:firstRowFirstColumn="0" w:firstRowLastColumn="0" w:lastRowFirstColumn="0" w:lastRowLastColumn="0"/>
            </w:pPr>
            <w:r w:rsidRPr="001A3338">
              <w:t>24.6</w:t>
            </w:r>
          </w:p>
        </w:tc>
      </w:tr>
    </w:tbl>
    <w:p w14:paraId="0175EC95" w14:textId="63D568D5" w:rsidR="009858D0" w:rsidRDefault="009858D0" w:rsidP="009858D0">
      <w:pPr>
        <w:pStyle w:val="BodyText"/>
      </w:pPr>
      <w:r>
        <w:t xml:space="preserve">Our uncertainty range around the central surplus estimate has decreased since last year, from approximately 39 million to 25 million units. The most significant cause of the reduced range is the reduction in </w:t>
      </w:r>
      <w:r w:rsidRPr="0052127F">
        <w:t>range of our estimate of post-1989 units held for harvest</w:t>
      </w:r>
      <w:r w:rsidR="0052127F">
        <w:t xml:space="preserve">. </w:t>
      </w:r>
      <w:r w:rsidR="007B62E2" w:rsidRPr="0052127F">
        <w:t xml:space="preserve">This is </w:t>
      </w:r>
      <w:r w:rsidR="007B62E2">
        <w:t xml:space="preserve">largely because we have applied a </w:t>
      </w:r>
      <w:r w:rsidR="00CA7877">
        <w:t xml:space="preserve">narrower </w:t>
      </w:r>
      <w:r w:rsidR="007B62E2">
        <w:t xml:space="preserve">variation in the proportion of forest area assumed to be managed as permanent, reflecting </w:t>
      </w:r>
      <w:r w:rsidR="007B62E2" w:rsidRPr="0052127F">
        <w:t>more up to date infor</w:t>
      </w:r>
      <w:r w:rsidR="007B62E2">
        <w:t>mation on this being available.</w:t>
      </w:r>
    </w:p>
    <w:p w14:paraId="4C9B0A64" w14:textId="064627E6" w:rsidR="000D1557" w:rsidRDefault="009858D0" w:rsidP="009858D0">
      <w:pPr>
        <w:pStyle w:val="BodyText"/>
      </w:pPr>
      <w:r>
        <w:t>Figure 9 compares the range of surplus estimates from our 2024 advice, 2025 advice and updated 2026 estimate. The 2024 estimate has been adjusted down by 33.3 million units to reflect the surplus reduction volumes in 2024 &amp; 2025 (20</w:t>
      </w:r>
      <w:r w:rsidR="00E47D9B">
        <w:t>.2</w:t>
      </w:r>
      <w:r>
        <w:t xml:space="preserve"> million units) and units that went unsold in auctions in 2024 and 2025 auctions (13</w:t>
      </w:r>
      <w:r w:rsidR="00ED1FCD">
        <w:t>.1</w:t>
      </w:r>
      <w:r>
        <w:t xml:space="preserve"> million). The 2025 estimate has been revised down by the 2025 surplus reduction volume (12.5 million) and units that went unsold in the 2025 auctions (6 million). The figures remaining after the adjustments enable comparisons of the size and range of the surplus based just on updates to estimates and methodology.</w:t>
      </w:r>
      <w:r w:rsidR="009C6061">
        <w:t xml:space="preserve">  </w:t>
      </w:r>
    </w:p>
    <w:p w14:paraId="733F95A2" w14:textId="0B5F8BD7" w:rsidR="00B12CA3" w:rsidRDefault="00B12CA3" w:rsidP="00B12CA3">
      <w:pPr>
        <w:pStyle w:val="FigureTabletitle"/>
      </w:pPr>
      <w:r>
        <w:t xml:space="preserve">Figure </w:t>
      </w:r>
      <w:r>
        <w:fldChar w:fldCharType="begin"/>
      </w:r>
      <w:r>
        <w:instrText xml:space="preserve"> SEQ Figure \* ARABIC </w:instrText>
      </w:r>
      <w:r>
        <w:fldChar w:fldCharType="separate"/>
      </w:r>
      <w:r>
        <w:rPr>
          <w:noProof/>
        </w:rPr>
        <w:t>9</w:t>
      </w:r>
      <w:r>
        <w:rPr>
          <w:noProof/>
        </w:rPr>
        <w:fldChar w:fldCharType="end"/>
      </w:r>
      <w:r>
        <w:t xml:space="preserve">: </w:t>
      </w:r>
      <w:r w:rsidRPr="00C32116">
        <w:t>Comparisons of unit surplus estimate ranges</w:t>
      </w:r>
    </w:p>
    <w:p w14:paraId="3AEFF832" w14:textId="1C3EB826" w:rsidR="009858D0" w:rsidRDefault="00866BFD" w:rsidP="009858D0">
      <w:pPr>
        <w:pStyle w:val="BodyText"/>
        <w:rPr>
          <w:noProof/>
        </w:rPr>
      </w:pPr>
      <w:r>
        <w:rPr>
          <w:noProof/>
        </w:rPr>
        <w:drawing>
          <wp:inline distT="0" distB="0" distL="0" distR="0" wp14:anchorId="4C57AC3F" wp14:editId="25C89D13">
            <wp:extent cx="5590540" cy="3450590"/>
            <wp:effectExtent l="0" t="0" r="0" b="0"/>
            <wp:docPr id="9770002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590540" cy="3450590"/>
                    </a:xfrm>
                    <a:prstGeom prst="rect">
                      <a:avLst/>
                    </a:prstGeom>
                    <a:noFill/>
                  </pic:spPr>
                </pic:pic>
              </a:graphicData>
            </a:graphic>
          </wp:inline>
        </w:drawing>
      </w:r>
    </w:p>
    <w:p w14:paraId="2F9C2253" w14:textId="20586E06" w:rsidR="00B12CA3" w:rsidRDefault="00B12CA3" w:rsidP="00E06D4C">
      <w:pPr>
        <w:pStyle w:val="Sourceline"/>
        <w:rPr>
          <w:szCs w:val="20"/>
        </w:rPr>
      </w:pPr>
      <w:r w:rsidRPr="00B12CA3">
        <w:t xml:space="preserve">Source: Commission </w:t>
      </w:r>
      <w:r w:rsidRPr="00B12CA3">
        <w:rPr>
          <w:szCs w:val="20"/>
        </w:rPr>
        <w:t>analysis</w:t>
      </w:r>
    </w:p>
    <w:p w14:paraId="350C2AB8" w14:textId="564C8F81" w:rsidR="00B12CA3" w:rsidRDefault="00B12CA3" w:rsidP="00B12CA3">
      <w:pPr>
        <w:pStyle w:val="Heading1nonumber"/>
      </w:pPr>
      <w:bookmarkStart w:id="47" w:name="_Toc227603135"/>
      <w:r>
        <w:t>Step 5: Range of possible auction volumes</w:t>
      </w:r>
      <w:bookmarkEnd w:id="47"/>
    </w:p>
    <w:p w14:paraId="352DCA22" w14:textId="42C65EF9" w:rsidR="00B12CA3" w:rsidRDefault="00F61FC3" w:rsidP="00B12CA3">
      <w:pPr>
        <w:pStyle w:val="BodyText"/>
      </w:pPr>
      <w:r w:rsidRPr="00F61FC3">
        <w:t>Step 5 takes the NZ ETS emissions cap and subtracts estimates from the following four steps to identify the range of potential auction volumes. For the period 2027–2030, this produces a range of auction volumes reflecting the surplus range estimated in step 4. By 2031 the surplus is expected to be fully drawn down. This means that the auction volumes for 2031 can be determined in a more straightforward way from the outcome of the unit limit steps for that year.</w:t>
      </w:r>
    </w:p>
    <w:p w14:paraId="737DE438" w14:textId="5CA88A99" w:rsidR="00F61FC3" w:rsidRDefault="00F61FC3" w:rsidP="00F61FC3">
      <w:pPr>
        <w:pStyle w:val="Heading2nonumber"/>
      </w:pPr>
      <w:bookmarkStart w:id="48" w:name="_Toc227603136"/>
      <w:r>
        <w:t>Range of auction volumes for 2027</w:t>
      </w:r>
      <w:r w:rsidR="00FB23F2">
        <w:t>–</w:t>
      </w:r>
      <w:r>
        <w:t>2030</w:t>
      </w:r>
      <w:bookmarkEnd w:id="48"/>
    </w:p>
    <w:p w14:paraId="7148F046" w14:textId="35725763" w:rsidR="0003354D" w:rsidRDefault="0003354D" w:rsidP="0003354D">
      <w:pPr>
        <w:pStyle w:val="BodyText"/>
      </w:pPr>
      <w:r>
        <w:t>We have calculated auction volumes that could be consistent with fully drawing down the surplus by 2030 based on the full surplus uncertainty range. As discussed in the advice report, we have considered</w:t>
      </w:r>
      <w:r w:rsidR="006326F7">
        <w:t xml:space="preserve"> </w:t>
      </w:r>
      <w:r w:rsidR="00A26D4A">
        <w:t>options to update</w:t>
      </w:r>
      <w:r>
        <w:t xml:space="preserve"> auction volumes from 2028 onwards.</w:t>
      </w:r>
      <w:r w:rsidR="009C6061">
        <w:t xml:space="preserve">  </w:t>
      </w:r>
    </w:p>
    <w:p w14:paraId="21D3AFB6" w14:textId="33328AE4" w:rsidR="00112CD4" w:rsidRDefault="0003354D" w:rsidP="0003354D">
      <w:pPr>
        <w:pStyle w:val="BodyText"/>
      </w:pPr>
      <w:r>
        <w:t xml:space="preserve">Table </w:t>
      </w:r>
      <w:r w:rsidR="00FB23F2">
        <w:t>14</w:t>
      </w:r>
      <w:r>
        <w:t xml:space="preserve"> shows the results from each of the unit supply steps and lays out the </w:t>
      </w:r>
      <w:r w:rsidR="00A26D4A">
        <w:t xml:space="preserve">corresponding </w:t>
      </w:r>
      <w:r>
        <w:t>auction volume results. The table shows results for all three surplus estimate scenarios, as well as the option of retaining the status quo settings in regulations for 2027–2030, which is equivalent to drawing down a surplus of 41.2 million units by 2030. We call this the “implied” surplus.</w:t>
      </w:r>
      <w:r w:rsidR="003B5E5D">
        <w:rPr>
          <w:rStyle w:val="FootnoteReference"/>
        </w:rPr>
        <w:footnoteReference w:id="5"/>
      </w:r>
      <w:r w:rsidR="009C6061">
        <w:t xml:space="preserve">  </w:t>
      </w:r>
    </w:p>
    <w:p w14:paraId="7AD2A27D" w14:textId="03A919AF" w:rsidR="000D765F" w:rsidRDefault="000D765F" w:rsidP="000D765F">
      <w:pPr>
        <w:pStyle w:val="FigureTabletitle"/>
      </w:pPr>
      <w:r>
        <w:t xml:space="preserve">Table </w:t>
      </w:r>
      <w:r w:rsidR="00B50217">
        <w:fldChar w:fldCharType="begin"/>
      </w:r>
      <w:r w:rsidR="00B50217">
        <w:instrText xml:space="preserve"> SEQ Table \* ARABIC </w:instrText>
      </w:r>
      <w:r w:rsidR="00B50217">
        <w:fldChar w:fldCharType="separate"/>
      </w:r>
      <w:r w:rsidR="00B50217">
        <w:rPr>
          <w:noProof/>
        </w:rPr>
        <w:t>14</w:t>
      </w:r>
      <w:r w:rsidR="00B50217">
        <w:rPr>
          <w:noProof/>
        </w:rPr>
        <w:fldChar w:fldCharType="end"/>
      </w:r>
      <w:r>
        <w:t xml:space="preserve">: </w:t>
      </w:r>
      <w:r w:rsidRPr="004C17F9">
        <w:t>Unit supply steps and auction volume options over 2026</w:t>
      </w:r>
      <w:r w:rsidR="00AD3D7D">
        <w:t>–</w:t>
      </w:r>
      <w:r w:rsidRPr="004C17F9">
        <w:t>2030</w:t>
      </w:r>
    </w:p>
    <w:tbl>
      <w:tblPr>
        <w:tblW w:w="934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961"/>
        <w:gridCol w:w="764"/>
        <w:gridCol w:w="768"/>
        <w:gridCol w:w="768"/>
        <w:gridCol w:w="856"/>
        <w:gridCol w:w="813"/>
        <w:gridCol w:w="1418"/>
      </w:tblGrid>
      <w:tr w:rsidR="001976A4" w:rsidRPr="001976A4" w14:paraId="3B148298" w14:textId="77777777" w:rsidTr="00E06D4C">
        <w:trPr>
          <w:trHeight w:val="480"/>
        </w:trPr>
        <w:tc>
          <w:tcPr>
            <w:tcW w:w="3961" w:type="dxa"/>
            <w:tcBorders>
              <w:top w:val="single" w:sz="6" w:space="0" w:color="FFFFFF"/>
              <w:left w:val="single" w:sz="6" w:space="0" w:color="FFFFFF"/>
              <w:bottom w:val="single" w:sz="6" w:space="0" w:color="FFFFFF"/>
              <w:right w:val="single" w:sz="6" w:space="0" w:color="FFFFFF"/>
            </w:tcBorders>
            <w:shd w:val="clear" w:color="auto" w:fill="002060"/>
            <w:vAlign w:val="center"/>
          </w:tcPr>
          <w:p w14:paraId="201449DF" w14:textId="77777777" w:rsidR="00112CD4" w:rsidRPr="00E06D4C" w:rsidRDefault="00112CD4" w:rsidP="00E06D4C">
            <w:pPr>
              <w:pStyle w:val="Tableheading"/>
              <w:ind w:left="57" w:right="57"/>
              <w:rPr>
                <w:sz w:val="20"/>
                <w:szCs w:val="20"/>
              </w:rPr>
            </w:pPr>
          </w:p>
        </w:tc>
        <w:tc>
          <w:tcPr>
            <w:tcW w:w="1532" w:type="dxa"/>
            <w:gridSpan w:val="2"/>
            <w:tcBorders>
              <w:top w:val="single" w:sz="6" w:space="0" w:color="FFFFFF"/>
              <w:left w:val="single" w:sz="6" w:space="0" w:color="FFFFFF"/>
              <w:bottom w:val="single" w:sz="6" w:space="0" w:color="FFFFFF"/>
              <w:right w:val="single" w:sz="6" w:space="0" w:color="FFFFFF"/>
            </w:tcBorders>
            <w:shd w:val="clear" w:color="auto" w:fill="5B9BD5"/>
            <w:vAlign w:val="center"/>
          </w:tcPr>
          <w:p w14:paraId="4562AE5A" w14:textId="77777777" w:rsidR="00112CD4" w:rsidRPr="00E06D4C" w:rsidRDefault="00112CD4" w:rsidP="00E06D4C">
            <w:pPr>
              <w:pStyle w:val="Tableheading"/>
              <w:ind w:left="57" w:right="57"/>
              <w:rPr>
                <w:sz w:val="20"/>
                <w:szCs w:val="20"/>
              </w:rPr>
            </w:pPr>
            <w:r w:rsidRPr="00E06D4C">
              <w:rPr>
                <w:sz w:val="20"/>
                <w:szCs w:val="20"/>
              </w:rPr>
              <w:t>No change to auction volumes (but updates to the cap and steps 1 &amp; 2)</w:t>
            </w:r>
          </w:p>
        </w:tc>
        <w:tc>
          <w:tcPr>
            <w:tcW w:w="2437" w:type="dxa"/>
            <w:gridSpan w:val="3"/>
            <w:tcBorders>
              <w:top w:val="single" w:sz="6" w:space="0" w:color="FFFFFF"/>
              <w:left w:val="single" w:sz="6" w:space="0" w:color="FFFFFF"/>
              <w:bottom w:val="single" w:sz="6" w:space="0" w:color="FFFFFF"/>
              <w:right w:val="single" w:sz="6" w:space="0" w:color="FFFFFF"/>
            </w:tcBorders>
            <w:shd w:val="clear" w:color="auto" w:fill="002060"/>
            <w:vAlign w:val="center"/>
          </w:tcPr>
          <w:p w14:paraId="75C79154" w14:textId="77777777" w:rsidR="00112CD4" w:rsidRPr="00E06D4C" w:rsidRDefault="00112CD4" w:rsidP="00E06D4C">
            <w:pPr>
              <w:pStyle w:val="Tableheading"/>
              <w:ind w:left="57" w:right="57"/>
              <w:rPr>
                <w:sz w:val="20"/>
                <w:szCs w:val="20"/>
              </w:rPr>
            </w:pPr>
            <w:r w:rsidRPr="00E06D4C">
              <w:rPr>
                <w:sz w:val="20"/>
                <w:szCs w:val="20"/>
              </w:rPr>
              <w:t>Options to update auction volumes</w:t>
            </w:r>
          </w:p>
        </w:tc>
        <w:tc>
          <w:tcPr>
            <w:tcW w:w="1418" w:type="dxa"/>
            <w:tcBorders>
              <w:top w:val="single" w:sz="6" w:space="0" w:color="FFFFFF"/>
              <w:left w:val="single" w:sz="6" w:space="0" w:color="FFFFFF"/>
              <w:bottom w:val="single" w:sz="6" w:space="0" w:color="FFFFFF"/>
              <w:right w:val="single" w:sz="6" w:space="0" w:color="FFFFFF"/>
            </w:tcBorders>
            <w:shd w:val="clear" w:color="auto" w:fill="002060"/>
            <w:vAlign w:val="center"/>
          </w:tcPr>
          <w:p w14:paraId="041F2D2B" w14:textId="77777777" w:rsidR="00112CD4" w:rsidRPr="00E06D4C" w:rsidRDefault="00112CD4" w:rsidP="00E06D4C">
            <w:pPr>
              <w:pStyle w:val="Tableheading"/>
              <w:ind w:left="57" w:right="57"/>
              <w:rPr>
                <w:sz w:val="20"/>
                <w:szCs w:val="20"/>
              </w:rPr>
            </w:pPr>
            <w:r w:rsidRPr="00E06D4C">
              <w:rPr>
                <w:sz w:val="20"/>
                <w:szCs w:val="20"/>
              </w:rPr>
              <w:t>SUM Emissions budget 2</w:t>
            </w:r>
          </w:p>
        </w:tc>
      </w:tr>
      <w:tr w:rsidR="00F27168" w:rsidRPr="00F27168" w14:paraId="2855AB69" w14:textId="77777777" w:rsidTr="00E06D4C">
        <w:trPr>
          <w:trHeight w:val="480"/>
        </w:trPr>
        <w:tc>
          <w:tcPr>
            <w:tcW w:w="3961" w:type="dxa"/>
            <w:tcBorders>
              <w:top w:val="single" w:sz="6" w:space="0" w:color="FFFFFF"/>
              <w:left w:val="single" w:sz="6" w:space="0" w:color="FFFFFF"/>
              <w:bottom w:val="single" w:sz="6" w:space="0" w:color="FFFFFF"/>
              <w:right w:val="single" w:sz="6" w:space="0" w:color="FFFFFF"/>
            </w:tcBorders>
            <w:shd w:val="clear" w:color="auto" w:fill="002060"/>
            <w:vAlign w:val="center"/>
          </w:tcPr>
          <w:p w14:paraId="442BD4F1" w14:textId="00AF2979" w:rsidR="00112CD4" w:rsidRPr="00E06D4C" w:rsidRDefault="00112CD4" w:rsidP="00515AD1">
            <w:pPr>
              <w:pStyle w:val="TableParagraph"/>
              <w:ind w:left="57" w:right="57"/>
              <w:rPr>
                <w:sz w:val="20"/>
                <w:szCs w:val="20"/>
              </w:rPr>
            </w:pPr>
            <w:r w:rsidRPr="00E06D4C">
              <w:rPr>
                <w:sz w:val="20"/>
                <w:szCs w:val="20"/>
              </w:rPr>
              <w:t>Million Units</w:t>
            </w:r>
          </w:p>
        </w:tc>
        <w:tc>
          <w:tcPr>
            <w:tcW w:w="764" w:type="dxa"/>
            <w:tcBorders>
              <w:top w:val="single" w:sz="6" w:space="0" w:color="FFFFFF"/>
              <w:left w:val="single" w:sz="6" w:space="0" w:color="FFFFFF"/>
              <w:bottom w:val="single" w:sz="6" w:space="0" w:color="FFFFFF"/>
              <w:right w:val="single" w:sz="6" w:space="0" w:color="FFFFFF"/>
            </w:tcBorders>
            <w:shd w:val="clear" w:color="auto" w:fill="5B9BD5"/>
            <w:vAlign w:val="center"/>
          </w:tcPr>
          <w:p w14:paraId="60950641" w14:textId="41E8F17D" w:rsidR="00112CD4" w:rsidRPr="00E06D4C" w:rsidRDefault="00112CD4" w:rsidP="00515AD1">
            <w:pPr>
              <w:pStyle w:val="TableParagraph"/>
              <w:ind w:left="57" w:right="57"/>
              <w:rPr>
                <w:sz w:val="20"/>
                <w:szCs w:val="20"/>
              </w:rPr>
            </w:pPr>
            <w:r w:rsidRPr="00E06D4C">
              <w:rPr>
                <w:sz w:val="20"/>
                <w:szCs w:val="20"/>
              </w:rPr>
              <w:t>2026</w:t>
            </w:r>
          </w:p>
        </w:tc>
        <w:tc>
          <w:tcPr>
            <w:tcW w:w="768" w:type="dxa"/>
            <w:tcBorders>
              <w:top w:val="single" w:sz="6" w:space="0" w:color="FFFFFF"/>
              <w:left w:val="single" w:sz="6" w:space="0" w:color="FFFFFF"/>
              <w:bottom w:val="single" w:sz="6" w:space="0" w:color="FFFFFF"/>
              <w:right w:val="single" w:sz="6" w:space="0" w:color="FFFFFF"/>
            </w:tcBorders>
            <w:shd w:val="clear" w:color="auto" w:fill="5B9BD5"/>
            <w:vAlign w:val="center"/>
          </w:tcPr>
          <w:p w14:paraId="501DCA3F" w14:textId="13FA82FC" w:rsidR="00112CD4" w:rsidRPr="00E06D4C" w:rsidRDefault="00112CD4" w:rsidP="00515AD1">
            <w:pPr>
              <w:pStyle w:val="TableParagraph"/>
              <w:ind w:left="57" w:right="57"/>
              <w:rPr>
                <w:sz w:val="20"/>
                <w:szCs w:val="20"/>
              </w:rPr>
            </w:pPr>
            <w:r w:rsidRPr="00E06D4C">
              <w:rPr>
                <w:sz w:val="20"/>
                <w:szCs w:val="20"/>
              </w:rPr>
              <w:t>2027</w:t>
            </w:r>
          </w:p>
        </w:tc>
        <w:tc>
          <w:tcPr>
            <w:tcW w:w="768" w:type="dxa"/>
            <w:tcBorders>
              <w:top w:val="single" w:sz="6" w:space="0" w:color="FFFFFF"/>
              <w:left w:val="single" w:sz="6" w:space="0" w:color="FFFFFF"/>
              <w:bottom w:val="single" w:sz="6" w:space="0" w:color="FFFFFF"/>
              <w:right w:val="single" w:sz="6" w:space="0" w:color="FFFFFF"/>
            </w:tcBorders>
            <w:shd w:val="clear" w:color="auto" w:fill="002060"/>
            <w:vAlign w:val="center"/>
          </w:tcPr>
          <w:p w14:paraId="21E4BC8A" w14:textId="06BFD8A7" w:rsidR="00112CD4" w:rsidRPr="00E06D4C" w:rsidRDefault="00112CD4" w:rsidP="00515AD1">
            <w:pPr>
              <w:pStyle w:val="TableParagraph"/>
              <w:ind w:left="57" w:right="57"/>
              <w:rPr>
                <w:sz w:val="20"/>
                <w:szCs w:val="20"/>
              </w:rPr>
            </w:pPr>
            <w:r w:rsidRPr="00E06D4C">
              <w:rPr>
                <w:sz w:val="20"/>
                <w:szCs w:val="20"/>
              </w:rPr>
              <w:t>2028</w:t>
            </w:r>
          </w:p>
        </w:tc>
        <w:tc>
          <w:tcPr>
            <w:tcW w:w="856" w:type="dxa"/>
            <w:tcBorders>
              <w:top w:val="single" w:sz="6" w:space="0" w:color="FFFFFF"/>
              <w:left w:val="single" w:sz="6" w:space="0" w:color="FFFFFF"/>
              <w:bottom w:val="single" w:sz="6" w:space="0" w:color="FFFFFF"/>
              <w:right w:val="single" w:sz="6" w:space="0" w:color="FFFFFF"/>
            </w:tcBorders>
            <w:shd w:val="clear" w:color="auto" w:fill="002060"/>
            <w:vAlign w:val="center"/>
          </w:tcPr>
          <w:p w14:paraId="5F21B1F4" w14:textId="3507149C" w:rsidR="00112CD4" w:rsidRPr="00E06D4C" w:rsidRDefault="00112CD4" w:rsidP="00515AD1">
            <w:pPr>
              <w:pStyle w:val="TableParagraph"/>
              <w:ind w:left="57" w:right="57"/>
              <w:rPr>
                <w:sz w:val="20"/>
                <w:szCs w:val="20"/>
              </w:rPr>
            </w:pPr>
            <w:r w:rsidRPr="00E06D4C">
              <w:rPr>
                <w:sz w:val="20"/>
                <w:szCs w:val="20"/>
              </w:rPr>
              <w:t xml:space="preserve"> </w:t>
            </w:r>
            <w:r w:rsidR="00F27168">
              <w:rPr>
                <w:sz w:val="20"/>
                <w:szCs w:val="20"/>
              </w:rPr>
              <w:t>2</w:t>
            </w:r>
            <w:r w:rsidRPr="00E06D4C">
              <w:rPr>
                <w:sz w:val="20"/>
                <w:szCs w:val="20"/>
              </w:rPr>
              <w:t>029</w:t>
            </w:r>
          </w:p>
        </w:tc>
        <w:tc>
          <w:tcPr>
            <w:tcW w:w="813" w:type="dxa"/>
            <w:tcBorders>
              <w:top w:val="single" w:sz="6" w:space="0" w:color="FFFFFF"/>
              <w:left w:val="single" w:sz="6" w:space="0" w:color="FFFFFF"/>
              <w:bottom w:val="single" w:sz="6" w:space="0" w:color="FFFFFF"/>
              <w:right w:val="single" w:sz="6" w:space="0" w:color="FFFFFF"/>
            </w:tcBorders>
            <w:shd w:val="clear" w:color="auto" w:fill="002060"/>
            <w:vAlign w:val="center"/>
          </w:tcPr>
          <w:p w14:paraId="2AB4C3D8" w14:textId="03B03798" w:rsidR="00112CD4" w:rsidRPr="00E06D4C" w:rsidRDefault="00112CD4" w:rsidP="00515AD1">
            <w:pPr>
              <w:pStyle w:val="TableParagraph"/>
              <w:ind w:left="57" w:right="57"/>
              <w:rPr>
                <w:sz w:val="20"/>
                <w:szCs w:val="20"/>
              </w:rPr>
            </w:pPr>
            <w:r w:rsidRPr="00E06D4C">
              <w:rPr>
                <w:sz w:val="20"/>
                <w:szCs w:val="20"/>
              </w:rPr>
              <w:t>2030</w:t>
            </w:r>
          </w:p>
        </w:tc>
        <w:tc>
          <w:tcPr>
            <w:tcW w:w="1418" w:type="dxa"/>
            <w:tcBorders>
              <w:top w:val="single" w:sz="6" w:space="0" w:color="FFFFFF"/>
              <w:left w:val="single" w:sz="6" w:space="0" w:color="FFFFFF"/>
              <w:bottom w:val="single" w:sz="6" w:space="0" w:color="FFFFFF"/>
              <w:right w:val="single" w:sz="6" w:space="0" w:color="FFFFFF"/>
            </w:tcBorders>
            <w:shd w:val="clear" w:color="auto" w:fill="002060"/>
            <w:vAlign w:val="center"/>
          </w:tcPr>
          <w:p w14:paraId="73CA0604" w14:textId="5DF1BF28" w:rsidR="00112CD4" w:rsidRPr="00E06D4C" w:rsidRDefault="00112CD4" w:rsidP="00515AD1">
            <w:pPr>
              <w:pStyle w:val="TableParagraph"/>
              <w:ind w:left="57" w:right="57"/>
              <w:rPr>
                <w:sz w:val="20"/>
                <w:szCs w:val="20"/>
              </w:rPr>
            </w:pPr>
            <w:r w:rsidRPr="00E06D4C">
              <w:rPr>
                <w:sz w:val="20"/>
                <w:szCs w:val="20"/>
              </w:rPr>
              <w:t>2026</w:t>
            </w:r>
            <w:r w:rsidR="00927513" w:rsidRPr="00E06D4C">
              <w:rPr>
                <w:sz w:val="20"/>
                <w:szCs w:val="20"/>
              </w:rPr>
              <w:t>–</w:t>
            </w:r>
            <w:r w:rsidRPr="00E06D4C">
              <w:rPr>
                <w:sz w:val="20"/>
                <w:szCs w:val="20"/>
              </w:rPr>
              <w:t>2030</w:t>
            </w:r>
          </w:p>
        </w:tc>
      </w:tr>
      <w:tr w:rsidR="00F27168" w:rsidRPr="00F27168" w14:paraId="33F88AF6" w14:textId="77777777" w:rsidTr="00E06D4C">
        <w:trPr>
          <w:trHeight w:val="450"/>
        </w:trPr>
        <w:tc>
          <w:tcPr>
            <w:tcW w:w="3961" w:type="dxa"/>
            <w:tcBorders>
              <w:top w:val="single" w:sz="6" w:space="0" w:color="FFFFFF"/>
              <w:left w:val="single" w:sz="6" w:space="0" w:color="FFFFFF"/>
              <w:bottom w:val="single" w:sz="6" w:space="0" w:color="FFFFFF"/>
              <w:right w:val="single" w:sz="6" w:space="0" w:color="FFFFFF"/>
            </w:tcBorders>
            <w:shd w:val="clear" w:color="auto" w:fill="C1DCD5"/>
            <w:vAlign w:val="bottom"/>
          </w:tcPr>
          <w:p w14:paraId="799D9A9B" w14:textId="6BAE7EF5" w:rsidR="00112CD4" w:rsidRPr="00E06D4C" w:rsidRDefault="00112CD4" w:rsidP="00E06D4C">
            <w:pPr>
              <w:pStyle w:val="TableParagraph"/>
              <w:spacing w:before="60" w:after="60"/>
              <w:ind w:left="57" w:right="57"/>
              <w:rPr>
                <w:b/>
                <w:sz w:val="20"/>
                <w:szCs w:val="20"/>
              </w:rPr>
            </w:pPr>
            <w:r w:rsidRPr="00E06D4C">
              <w:rPr>
                <w:b/>
                <w:sz w:val="20"/>
                <w:szCs w:val="20"/>
              </w:rPr>
              <w:t xml:space="preserve">NZ ETS emissions cap </w:t>
            </w:r>
            <w:r w:rsidR="00813364" w:rsidRPr="00E06D4C">
              <w:rPr>
                <w:b/>
                <w:sz w:val="20"/>
                <w:szCs w:val="20"/>
              </w:rPr>
              <w:br/>
            </w:r>
            <w:r w:rsidRPr="00E06D4C">
              <w:rPr>
                <w:b/>
                <w:sz w:val="20"/>
                <w:szCs w:val="20"/>
              </w:rPr>
              <w:t>(MtCO</w:t>
            </w:r>
            <w:r w:rsidRPr="00E06D4C">
              <w:rPr>
                <w:b/>
                <w:sz w:val="20"/>
                <w:szCs w:val="20"/>
                <w:vertAlign w:val="subscript"/>
              </w:rPr>
              <w:t>2</w:t>
            </w:r>
            <w:r w:rsidRPr="00E06D4C">
              <w:rPr>
                <w:b/>
                <w:sz w:val="20"/>
                <w:szCs w:val="20"/>
              </w:rPr>
              <w:t>e)</w:t>
            </w:r>
          </w:p>
        </w:tc>
        <w:tc>
          <w:tcPr>
            <w:tcW w:w="764" w:type="dxa"/>
            <w:tcBorders>
              <w:top w:val="single" w:sz="6" w:space="0" w:color="FFFFFF"/>
              <w:left w:val="single" w:sz="6" w:space="0" w:color="FFFFFF"/>
              <w:bottom w:val="single" w:sz="6" w:space="0" w:color="FFFFFF"/>
              <w:right w:val="single" w:sz="6" w:space="0" w:color="FFFFFF"/>
            </w:tcBorders>
            <w:shd w:val="clear" w:color="auto" w:fill="D4E8DE"/>
            <w:vAlign w:val="bottom"/>
          </w:tcPr>
          <w:p w14:paraId="2E4126BE" w14:textId="77777777" w:rsidR="00112CD4" w:rsidRPr="00E06D4C" w:rsidRDefault="00112CD4" w:rsidP="00E06D4C">
            <w:pPr>
              <w:pStyle w:val="TableParagraph"/>
              <w:spacing w:before="60" w:after="60"/>
              <w:ind w:left="57" w:right="57"/>
              <w:rPr>
                <w:sz w:val="20"/>
                <w:szCs w:val="20"/>
              </w:rPr>
            </w:pPr>
            <w:r w:rsidRPr="00E06D4C">
              <w:rPr>
                <w:color w:val="000000"/>
                <w:sz w:val="20"/>
                <w:szCs w:val="20"/>
              </w:rPr>
              <w:t xml:space="preserve">21.9 </w:t>
            </w:r>
          </w:p>
        </w:tc>
        <w:tc>
          <w:tcPr>
            <w:tcW w:w="768" w:type="dxa"/>
            <w:tcBorders>
              <w:top w:val="single" w:sz="6" w:space="0" w:color="FFFFFF"/>
              <w:left w:val="single" w:sz="6" w:space="0" w:color="FFFFFF"/>
              <w:bottom w:val="single" w:sz="6" w:space="0" w:color="FFFFFF"/>
              <w:right w:val="single" w:sz="6" w:space="0" w:color="FFFFFF"/>
            </w:tcBorders>
            <w:shd w:val="clear" w:color="auto" w:fill="D4E8DE"/>
            <w:vAlign w:val="bottom"/>
          </w:tcPr>
          <w:p w14:paraId="1478195F" w14:textId="77777777" w:rsidR="00112CD4" w:rsidRPr="00E06D4C" w:rsidRDefault="00112CD4" w:rsidP="00E06D4C">
            <w:pPr>
              <w:pStyle w:val="TableParagraph"/>
              <w:spacing w:before="60" w:after="60"/>
              <w:ind w:left="57" w:right="57"/>
              <w:rPr>
                <w:sz w:val="20"/>
                <w:szCs w:val="20"/>
              </w:rPr>
            </w:pPr>
            <w:r w:rsidRPr="00E06D4C">
              <w:rPr>
                <w:color w:val="000000"/>
                <w:sz w:val="20"/>
                <w:szCs w:val="20"/>
              </w:rPr>
              <w:t xml:space="preserve">19.3 </w:t>
            </w:r>
          </w:p>
        </w:tc>
        <w:tc>
          <w:tcPr>
            <w:tcW w:w="768" w:type="dxa"/>
            <w:tcBorders>
              <w:top w:val="single" w:sz="6" w:space="0" w:color="FFFFFF"/>
              <w:left w:val="single" w:sz="6" w:space="0" w:color="FFFFFF"/>
              <w:bottom w:val="single" w:sz="6" w:space="0" w:color="FFFFFF"/>
              <w:right w:val="single" w:sz="6" w:space="0" w:color="FFFFFF"/>
            </w:tcBorders>
            <w:shd w:val="clear" w:color="auto" w:fill="D4E8DE"/>
            <w:vAlign w:val="bottom"/>
          </w:tcPr>
          <w:p w14:paraId="5E721CE3" w14:textId="77777777" w:rsidR="00112CD4" w:rsidRPr="00E06D4C" w:rsidRDefault="00112CD4" w:rsidP="00E06D4C">
            <w:pPr>
              <w:pStyle w:val="TableParagraph"/>
              <w:spacing w:before="60" w:after="60"/>
              <w:ind w:left="57" w:right="57"/>
              <w:rPr>
                <w:sz w:val="20"/>
                <w:szCs w:val="20"/>
              </w:rPr>
            </w:pPr>
            <w:r w:rsidRPr="00E06D4C">
              <w:rPr>
                <w:color w:val="000000"/>
                <w:sz w:val="20"/>
                <w:szCs w:val="20"/>
              </w:rPr>
              <w:t xml:space="preserve">16.0 </w:t>
            </w:r>
          </w:p>
        </w:tc>
        <w:tc>
          <w:tcPr>
            <w:tcW w:w="856" w:type="dxa"/>
            <w:tcBorders>
              <w:top w:val="single" w:sz="6" w:space="0" w:color="FFFFFF"/>
              <w:left w:val="single" w:sz="6" w:space="0" w:color="FFFFFF"/>
              <w:bottom w:val="single" w:sz="6" w:space="0" w:color="FFFFFF"/>
              <w:right w:val="single" w:sz="6" w:space="0" w:color="FFFFFF"/>
            </w:tcBorders>
            <w:shd w:val="clear" w:color="auto" w:fill="D4E8DE"/>
            <w:vAlign w:val="bottom"/>
          </w:tcPr>
          <w:p w14:paraId="5ACB2653" w14:textId="77777777" w:rsidR="00112CD4" w:rsidRPr="00E06D4C" w:rsidRDefault="00112CD4" w:rsidP="00E06D4C">
            <w:pPr>
              <w:pStyle w:val="TableParagraph"/>
              <w:spacing w:before="60" w:after="60"/>
              <w:ind w:left="57" w:right="57"/>
              <w:rPr>
                <w:sz w:val="20"/>
                <w:szCs w:val="20"/>
              </w:rPr>
            </w:pPr>
            <w:r w:rsidRPr="00E06D4C">
              <w:rPr>
                <w:color w:val="000000"/>
                <w:sz w:val="20"/>
                <w:szCs w:val="20"/>
              </w:rPr>
              <w:t xml:space="preserve">13.4 </w:t>
            </w:r>
          </w:p>
        </w:tc>
        <w:tc>
          <w:tcPr>
            <w:tcW w:w="813" w:type="dxa"/>
            <w:tcBorders>
              <w:top w:val="single" w:sz="6" w:space="0" w:color="FFFFFF"/>
              <w:left w:val="single" w:sz="6" w:space="0" w:color="FFFFFF"/>
              <w:bottom w:val="single" w:sz="6" w:space="0" w:color="FFFFFF"/>
              <w:right w:val="single" w:sz="6" w:space="0" w:color="FFFFFF"/>
            </w:tcBorders>
            <w:shd w:val="clear" w:color="auto" w:fill="D4E8DE"/>
            <w:vAlign w:val="bottom"/>
          </w:tcPr>
          <w:p w14:paraId="3E8A33A4" w14:textId="77777777" w:rsidR="00112CD4" w:rsidRPr="00E06D4C" w:rsidRDefault="00112CD4" w:rsidP="00E06D4C">
            <w:pPr>
              <w:pStyle w:val="TableParagraph"/>
              <w:spacing w:before="60" w:after="60"/>
              <w:ind w:left="57" w:right="57"/>
              <w:rPr>
                <w:sz w:val="20"/>
                <w:szCs w:val="20"/>
              </w:rPr>
            </w:pPr>
            <w:r w:rsidRPr="00E06D4C">
              <w:rPr>
                <w:color w:val="000000"/>
                <w:sz w:val="20"/>
                <w:szCs w:val="20"/>
              </w:rPr>
              <w:t xml:space="preserve">11.2 </w:t>
            </w:r>
          </w:p>
        </w:tc>
        <w:tc>
          <w:tcPr>
            <w:tcW w:w="1418" w:type="dxa"/>
            <w:tcBorders>
              <w:top w:val="single" w:sz="6" w:space="0" w:color="FFFFFF"/>
              <w:left w:val="single" w:sz="6" w:space="0" w:color="FFFFFF"/>
              <w:bottom w:val="single" w:sz="6" w:space="0" w:color="FFFFFF"/>
              <w:right w:val="single" w:sz="6" w:space="0" w:color="FFFFFF"/>
            </w:tcBorders>
            <w:shd w:val="clear" w:color="auto" w:fill="D4E8DE"/>
            <w:vAlign w:val="bottom"/>
          </w:tcPr>
          <w:p w14:paraId="56EBED39" w14:textId="77777777" w:rsidR="00112CD4" w:rsidRPr="00E06D4C" w:rsidRDefault="00112CD4" w:rsidP="00E06D4C">
            <w:pPr>
              <w:pStyle w:val="TableParagraph"/>
              <w:spacing w:before="60" w:after="60"/>
              <w:ind w:left="57" w:right="57"/>
              <w:rPr>
                <w:sz w:val="20"/>
                <w:szCs w:val="20"/>
              </w:rPr>
            </w:pPr>
            <w:r w:rsidRPr="00E06D4C">
              <w:rPr>
                <w:color w:val="000000"/>
                <w:sz w:val="20"/>
                <w:szCs w:val="20"/>
              </w:rPr>
              <w:t xml:space="preserve">81.9 </w:t>
            </w:r>
          </w:p>
        </w:tc>
      </w:tr>
      <w:tr w:rsidR="00F27168" w:rsidRPr="00F27168" w14:paraId="69E0875B" w14:textId="77777777" w:rsidTr="00E06D4C">
        <w:trPr>
          <w:trHeight w:val="480"/>
        </w:trPr>
        <w:tc>
          <w:tcPr>
            <w:tcW w:w="3961" w:type="dxa"/>
            <w:tcBorders>
              <w:top w:val="single" w:sz="6" w:space="0" w:color="FFFFFF"/>
              <w:left w:val="single" w:sz="6" w:space="0" w:color="FFFFFF"/>
              <w:bottom w:val="single" w:sz="6" w:space="0" w:color="FFFFFF"/>
              <w:right w:val="single" w:sz="6" w:space="0" w:color="FFFFFF"/>
            </w:tcBorders>
            <w:shd w:val="clear" w:color="auto" w:fill="C1DCD5"/>
            <w:vAlign w:val="bottom"/>
          </w:tcPr>
          <w:p w14:paraId="60F7BE61" w14:textId="77777777" w:rsidR="00112CD4" w:rsidRPr="00E06D4C" w:rsidRDefault="00112CD4" w:rsidP="00E06D4C">
            <w:pPr>
              <w:pStyle w:val="TableParagraph"/>
              <w:spacing w:before="60" w:after="60"/>
              <w:ind w:left="57" w:right="57"/>
              <w:rPr>
                <w:b/>
                <w:sz w:val="20"/>
                <w:szCs w:val="20"/>
              </w:rPr>
            </w:pPr>
            <w:r w:rsidRPr="00E06D4C">
              <w:rPr>
                <w:b/>
                <w:sz w:val="20"/>
                <w:szCs w:val="20"/>
              </w:rPr>
              <w:t>1. Convert and align emissions and units (technical adjustment)</w:t>
            </w:r>
          </w:p>
        </w:tc>
        <w:tc>
          <w:tcPr>
            <w:tcW w:w="764" w:type="dxa"/>
            <w:tcBorders>
              <w:top w:val="single" w:sz="6" w:space="0" w:color="FFFFFF"/>
              <w:left w:val="single" w:sz="6" w:space="0" w:color="FFFFFF"/>
              <w:bottom w:val="single" w:sz="6" w:space="0" w:color="FFFFFF"/>
              <w:right w:val="single" w:sz="6" w:space="0" w:color="FFFFFF"/>
            </w:tcBorders>
            <w:shd w:val="clear" w:color="auto" w:fill="E9F5F2"/>
            <w:vAlign w:val="bottom"/>
          </w:tcPr>
          <w:p w14:paraId="1B4F863A" w14:textId="77777777" w:rsidR="00112CD4" w:rsidRPr="00E06D4C" w:rsidRDefault="00112CD4" w:rsidP="00E06D4C">
            <w:pPr>
              <w:pStyle w:val="TableParagraph"/>
              <w:spacing w:before="60" w:after="60"/>
              <w:ind w:left="57" w:right="57"/>
              <w:rPr>
                <w:sz w:val="20"/>
                <w:szCs w:val="20"/>
              </w:rPr>
            </w:pPr>
            <w:r w:rsidRPr="00E06D4C">
              <w:rPr>
                <w:color w:val="000000"/>
                <w:sz w:val="20"/>
                <w:szCs w:val="20"/>
              </w:rPr>
              <w:t xml:space="preserve">1.1 </w:t>
            </w:r>
          </w:p>
        </w:tc>
        <w:tc>
          <w:tcPr>
            <w:tcW w:w="768" w:type="dxa"/>
            <w:tcBorders>
              <w:top w:val="single" w:sz="6" w:space="0" w:color="FFFFFF"/>
              <w:left w:val="single" w:sz="6" w:space="0" w:color="FFFFFF"/>
              <w:bottom w:val="single" w:sz="6" w:space="0" w:color="FFFFFF"/>
              <w:right w:val="single" w:sz="6" w:space="0" w:color="FFFFFF"/>
            </w:tcBorders>
            <w:shd w:val="clear" w:color="auto" w:fill="E9F5F2"/>
            <w:vAlign w:val="bottom"/>
          </w:tcPr>
          <w:p w14:paraId="54DD23A1" w14:textId="77777777" w:rsidR="00112CD4" w:rsidRPr="00E06D4C" w:rsidRDefault="00112CD4" w:rsidP="00E06D4C">
            <w:pPr>
              <w:pStyle w:val="TableParagraph"/>
              <w:spacing w:before="60" w:after="60"/>
              <w:ind w:left="57" w:right="57"/>
              <w:rPr>
                <w:sz w:val="20"/>
                <w:szCs w:val="20"/>
              </w:rPr>
            </w:pPr>
            <w:r w:rsidRPr="00E06D4C">
              <w:rPr>
                <w:color w:val="000000"/>
                <w:sz w:val="20"/>
                <w:szCs w:val="20"/>
              </w:rPr>
              <w:t xml:space="preserve">1.2 </w:t>
            </w:r>
          </w:p>
        </w:tc>
        <w:tc>
          <w:tcPr>
            <w:tcW w:w="768" w:type="dxa"/>
            <w:tcBorders>
              <w:top w:val="single" w:sz="6" w:space="0" w:color="FFFFFF"/>
              <w:left w:val="single" w:sz="6" w:space="0" w:color="FFFFFF"/>
              <w:bottom w:val="single" w:sz="6" w:space="0" w:color="FFFFFF"/>
              <w:right w:val="single" w:sz="6" w:space="0" w:color="FFFFFF"/>
            </w:tcBorders>
            <w:shd w:val="clear" w:color="auto" w:fill="E9F5F2"/>
            <w:vAlign w:val="bottom"/>
          </w:tcPr>
          <w:p w14:paraId="42ACB90C" w14:textId="77777777" w:rsidR="00112CD4" w:rsidRPr="00E06D4C" w:rsidRDefault="00112CD4" w:rsidP="00E06D4C">
            <w:pPr>
              <w:pStyle w:val="TableParagraph"/>
              <w:spacing w:before="60" w:after="60"/>
              <w:ind w:left="57" w:right="57"/>
              <w:rPr>
                <w:sz w:val="20"/>
                <w:szCs w:val="20"/>
              </w:rPr>
            </w:pPr>
            <w:r w:rsidRPr="00E06D4C">
              <w:rPr>
                <w:color w:val="000000"/>
                <w:sz w:val="20"/>
                <w:szCs w:val="20"/>
              </w:rPr>
              <w:t xml:space="preserve">1.0 </w:t>
            </w:r>
          </w:p>
        </w:tc>
        <w:tc>
          <w:tcPr>
            <w:tcW w:w="856" w:type="dxa"/>
            <w:tcBorders>
              <w:top w:val="single" w:sz="6" w:space="0" w:color="FFFFFF"/>
              <w:left w:val="single" w:sz="6" w:space="0" w:color="FFFFFF"/>
              <w:bottom w:val="single" w:sz="6" w:space="0" w:color="FFFFFF"/>
              <w:right w:val="single" w:sz="6" w:space="0" w:color="FFFFFF"/>
            </w:tcBorders>
            <w:shd w:val="clear" w:color="auto" w:fill="E9F5F2"/>
            <w:vAlign w:val="bottom"/>
          </w:tcPr>
          <w:p w14:paraId="7743C7DD" w14:textId="77777777" w:rsidR="00112CD4" w:rsidRPr="00E06D4C" w:rsidRDefault="00112CD4" w:rsidP="00E06D4C">
            <w:pPr>
              <w:pStyle w:val="TableParagraph"/>
              <w:spacing w:before="60" w:after="60"/>
              <w:ind w:left="57" w:right="57"/>
              <w:rPr>
                <w:sz w:val="20"/>
                <w:szCs w:val="20"/>
              </w:rPr>
            </w:pPr>
            <w:r w:rsidRPr="00E06D4C">
              <w:rPr>
                <w:color w:val="000000"/>
                <w:sz w:val="20"/>
                <w:szCs w:val="20"/>
              </w:rPr>
              <w:t xml:space="preserve">0.9 </w:t>
            </w:r>
          </w:p>
        </w:tc>
        <w:tc>
          <w:tcPr>
            <w:tcW w:w="813" w:type="dxa"/>
            <w:tcBorders>
              <w:top w:val="single" w:sz="6" w:space="0" w:color="FFFFFF"/>
              <w:left w:val="single" w:sz="6" w:space="0" w:color="FFFFFF"/>
              <w:bottom w:val="single" w:sz="6" w:space="0" w:color="FFFFFF"/>
              <w:right w:val="single" w:sz="6" w:space="0" w:color="FFFFFF"/>
            </w:tcBorders>
            <w:shd w:val="clear" w:color="auto" w:fill="E9F5F2"/>
            <w:vAlign w:val="bottom"/>
          </w:tcPr>
          <w:p w14:paraId="7E576690" w14:textId="77777777" w:rsidR="00112CD4" w:rsidRPr="00E06D4C" w:rsidRDefault="00112CD4" w:rsidP="00E06D4C">
            <w:pPr>
              <w:pStyle w:val="TableParagraph"/>
              <w:spacing w:before="60" w:after="60"/>
              <w:ind w:left="57" w:right="57"/>
              <w:rPr>
                <w:sz w:val="20"/>
                <w:szCs w:val="20"/>
              </w:rPr>
            </w:pPr>
            <w:r w:rsidRPr="00E06D4C">
              <w:rPr>
                <w:color w:val="000000"/>
                <w:sz w:val="20"/>
                <w:szCs w:val="20"/>
              </w:rPr>
              <w:t xml:space="preserve">0.7 </w:t>
            </w:r>
          </w:p>
        </w:tc>
        <w:tc>
          <w:tcPr>
            <w:tcW w:w="1418" w:type="dxa"/>
            <w:tcBorders>
              <w:top w:val="single" w:sz="6" w:space="0" w:color="FFFFFF"/>
              <w:left w:val="single" w:sz="6" w:space="0" w:color="FFFFFF"/>
              <w:bottom w:val="single" w:sz="6" w:space="0" w:color="FFFFFF"/>
              <w:right w:val="single" w:sz="6" w:space="0" w:color="FFFFFF"/>
            </w:tcBorders>
            <w:shd w:val="clear" w:color="auto" w:fill="E9F5F2"/>
            <w:vAlign w:val="bottom"/>
          </w:tcPr>
          <w:p w14:paraId="7A06971F" w14:textId="77777777" w:rsidR="00112CD4" w:rsidRPr="00E06D4C" w:rsidRDefault="00112CD4" w:rsidP="00E06D4C">
            <w:pPr>
              <w:pStyle w:val="TableParagraph"/>
              <w:spacing w:before="60" w:after="60"/>
              <w:ind w:left="57" w:right="57"/>
              <w:rPr>
                <w:sz w:val="20"/>
                <w:szCs w:val="20"/>
              </w:rPr>
            </w:pPr>
            <w:r w:rsidRPr="00E06D4C">
              <w:rPr>
                <w:color w:val="000000"/>
                <w:sz w:val="20"/>
                <w:szCs w:val="20"/>
              </w:rPr>
              <w:t xml:space="preserve">4.9 </w:t>
            </w:r>
          </w:p>
        </w:tc>
      </w:tr>
      <w:tr w:rsidR="00F27168" w:rsidRPr="00F27168" w14:paraId="03F567D7" w14:textId="77777777" w:rsidTr="00E06D4C">
        <w:trPr>
          <w:trHeight w:val="480"/>
        </w:trPr>
        <w:tc>
          <w:tcPr>
            <w:tcW w:w="3961" w:type="dxa"/>
            <w:tcBorders>
              <w:top w:val="single" w:sz="6" w:space="0" w:color="FFFFFF"/>
              <w:left w:val="single" w:sz="6" w:space="0" w:color="FFFFFF"/>
              <w:bottom w:val="single" w:sz="6" w:space="0" w:color="FFFFFF"/>
              <w:right w:val="single" w:sz="6" w:space="0" w:color="FFFFFF"/>
            </w:tcBorders>
            <w:shd w:val="clear" w:color="auto" w:fill="C1DCD5"/>
            <w:vAlign w:val="bottom"/>
          </w:tcPr>
          <w:p w14:paraId="65B59B14" w14:textId="77777777" w:rsidR="00112CD4" w:rsidRPr="00E06D4C" w:rsidRDefault="00112CD4" w:rsidP="00E06D4C">
            <w:pPr>
              <w:pStyle w:val="TableParagraph"/>
              <w:spacing w:before="60" w:after="60"/>
              <w:ind w:left="57" w:right="57"/>
              <w:rPr>
                <w:b/>
                <w:sz w:val="20"/>
                <w:szCs w:val="20"/>
              </w:rPr>
            </w:pPr>
            <w:r w:rsidRPr="00E06D4C">
              <w:rPr>
                <w:b/>
                <w:sz w:val="20"/>
                <w:szCs w:val="20"/>
              </w:rPr>
              <w:t>2. Industrial free allocation</w:t>
            </w:r>
          </w:p>
        </w:tc>
        <w:tc>
          <w:tcPr>
            <w:tcW w:w="764" w:type="dxa"/>
            <w:tcBorders>
              <w:top w:val="single" w:sz="6" w:space="0" w:color="FFFFFF"/>
              <w:left w:val="single" w:sz="6" w:space="0" w:color="FFFFFF"/>
              <w:bottom w:val="single" w:sz="6" w:space="0" w:color="FFFFFF"/>
              <w:right w:val="single" w:sz="6" w:space="0" w:color="FFFFFF"/>
            </w:tcBorders>
            <w:shd w:val="clear" w:color="auto" w:fill="D4E8DE"/>
            <w:vAlign w:val="bottom"/>
          </w:tcPr>
          <w:p w14:paraId="030B3320" w14:textId="77777777" w:rsidR="00112CD4" w:rsidRPr="00E06D4C" w:rsidRDefault="00112CD4" w:rsidP="00E06D4C">
            <w:pPr>
              <w:pStyle w:val="TableParagraph"/>
              <w:spacing w:before="60" w:after="60"/>
              <w:ind w:left="57" w:right="57"/>
              <w:rPr>
                <w:sz w:val="20"/>
                <w:szCs w:val="20"/>
              </w:rPr>
            </w:pPr>
            <w:r w:rsidRPr="00E06D4C">
              <w:rPr>
                <w:color w:val="000000"/>
                <w:sz w:val="20"/>
                <w:szCs w:val="20"/>
              </w:rPr>
              <w:t xml:space="preserve">4.1 </w:t>
            </w:r>
          </w:p>
        </w:tc>
        <w:tc>
          <w:tcPr>
            <w:tcW w:w="768" w:type="dxa"/>
            <w:tcBorders>
              <w:top w:val="single" w:sz="6" w:space="0" w:color="FFFFFF"/>
              <w:left w:val="single" w:sz="6" w:space="0" w:color="FFFFFF"/>
              <w:bottom w:val="single" w:sz="6" w:space="0" w:color="FFFFFF"/>
              <w:right w:val="single" w:sz="6" w:space="0" w:color="FFFFFF"/>
            </w:tcBorders>
            <w:shd w:val="clear" w:color="auto" w:fill="D4E8DE"/>
            <w:vAlign w:val="bottom"/>
          </w:tcPr>
          <w:p w14:paraId="5FB4F278" w14:textId="77777777" w:rsidR="00112CD4" w:rsidRPr="00E06D4C" w:rsidRDefault="00112CD4" w:rsidP="00E06D4C">
            <w:pPr>
              <w:pStyle w:val="TableParagraph"/>
              <w:spacing w:before="60" w:after="60"/>
              <w:ind w:left="57" w:right="57"/>
              <w:rPr>
                <w:sz w:val="20"/>
                <w:szCs w:val="20"/>
              </w:rPr>
            </w:pPr>
            <w:r w:rsidRPr="00E06D4C">
              <w:rPr>
                <w:color w:val="000000"/>
                <w:sz w:val="20"/>
                <w:szCs w:val="20"/>
              </w:rPr>
              <w:t xml:space="preserve">4.0 </w:t>
            </w:r>
          </w:p>
        </w:tc>
        <w:tc>
          <w:tcPr>
            <w:tcW w:w="768" w:type="dxa"/>
            <w:tcBorders>
              <w:top w:val="single" w:sz="6" w:space="0" w:color="FFFFFF"/>
              <w:left w:val="single" w:sz="6" w:space="0" w:color="FFFFFF"/>
              <w:bottom w:val="single" w:sz="6" w:space="0" w:color="FFFFFF"/>
              <w:right w:val="single" w:sz="6" w:space="0" w:color="FFFFFF"/>
            </w:tcBorders>
            <w:shd w:val="clear" w:color="auto" w:fill="D4E8DE"/>
            <w:vAlign w:val="bottom"/>
          </w:tcPr>
          <w:p w14:paraId="3BC6C701" w14:textId="77777777" w:rsidR="00112CD4" w:rsidRPr="00E06D4C" w:rsidRDefault="00112CD4" w:rsidP="00E06D4C">
            <w:pPr>
              <w:pStyle w:val="TableParagraph"/>
              <w:spacing w:before="60" w:after="60"/>
              <w:ind w:left="57" w:right="57"/>
              <w:rPr>
                <w:sz w:val="20"/>
                <w:szCs w:val="20"/>
              </w:rPr>
            </w:pPr>
            <w:r w:rsidRPr="00E06D4C">
              <w:rPr>
                <w:color w:val="000000"/>
                <w:sz w:val="20"/>
                <w:szCs w:val="20"/>
              </w:rPr>
              <w:t xml:space="preserve">3.7 </w:t>
            </w:r>
          </w:p>
        </w:tc>
        <w:tc>
          <w:tcPr>
            <w:tcW w:w="856" w:type="dxa"/>
            <w:tcBorders>
              <w:top w:val="single" w:sz="6" w:space="0" w:color="FFFFFF"/>
              <w:left w:val="single" w:sz="6" w:space="0" w:color="FFFFFF"/>
              <w:bottom w:val="single" w:sz="6" w:space="0" w:color="FFFFFF"/>
              <w:right w:val="single" w:sz="6" w:space="0" w:color="FFFFFF"/>
            </w:tcBorders>
            <w:shd w:val="clear" w:color="auto" w:fill="D4E8DE"/>
            <w:vAlign w:val="bottom"/>
          </w:tcPr>
          <w:p w14:paraId="53CD40F0" w14:textId="77777777" w:rsidR="00112CD4" w:rsidRPr="00E06D4C" w:rsidRDefault="00112CD4" w:rsidP="00E06D4C">
            <w:pPr>
              <w:pStyle w:val="TableParagraph"/>
              <w:spacing w:before="60" w:after="60"/>
              <w:ind w:left="57" w:right="57"/>
              <w:rPr>
                <w:sz w:val="20"/>
                <w:szCs w:val="20"/>
              </w:rPr>
            </w:pPr>
            <w:r w:rsidRPr="00E06D4C">
              <w:rPr>
                <w:color w:val="000000"/>
                <w:sz w:val="20"/>
                <w:szCs w:val="20"/>
              </w:rPr>
              <w:t xml:space="preserve">3.6 </w:t>
            </w:r>
          </w:p>
        </w:tc>
        <w:tc>
          <w:tcPr>
            <w:tcW w:w="813" w:type="dxa"/>
            <w:tcBorders>
              <w:top w:val="single" w:sz="6" w:space="0" w:color="FFFFFF"/>
              <w:left w:val="single" w:sz="6" w:space="0" w:color="FFFFFF"/>
              <w:bottom w:val="single" w:sz="6" w:space="0" w:color="FFFFFF"/>
              <w:right w:val="single" w:sz="6" w:space="0" w:color="FFFFFF"/>
            </w:tcBorders>
            <w:shd w:val="clear" w:color="auto" w:fill="D4E8DE"/>
            <w:vAlign w:val="bottom"/>
          </w:tcPr>
          <w:p w14:paraId="04410D49" w14:textId="77777777" w:rsidR="00112CD4" w:rsidRPr="00E06D4C" w:rsidRDefault="00112CD4" w:rsidP="00E06D4C">
            <w:pPr>
              <w:pStyle w:val="TableParagraph"/>
              <w:spacing w:before="60" w:after="60"/>
              <w:ind w:left="57" w:right="57"/>
              <w:rPr>
                <w:sz w:val="20"/>
                <w:szCs w:val="20"/>
              </w:rPr>
            </w:pPr>
            <w:r w:rsidRPr="00E06D4C">
              <w:rPr>
                <w:color w:val="000000"/>
                <w:sz w:val="20"/>
                <w:szCs w:val="20"/>
              </w:rPr>
              <w:t xml:space="preserve">3.6 </w:t>
            </w:r>
          </w:p>
        </w:tc>
        <w:tc>
          <w:tcPr>
            <w:tcW w:w="1418" w:type="dxa"/>
            <w:tcBorders>
              <w:top w:val="single" w:sz="6" w:space="0" w:color="FFFFFF"/>
              <w:left w:val="single" w:sz="6" w:space="0" w:color="FFFFFF"/>
              <w:bottom w:val="single" w:sz="6" w:space="0" w:color="FFFFFF"/>
              <w:right w:val="single" w:sz="6" w:space="0" w:color="FFFFFF"/>
            </w:tcBorders>
            <w:shd w:val="clear" w:color="auto" w:fill="D4E8DE"/>
            <w:vAlign w:val="bottom"/>
          </w:tcPr>
          <w:p w14:paraId="4EA751AE" w14:textId="77777777" w:rsidR="00112CD4" w:rsidRPr="00E06D4C" w:rsidRDefault="00112CD4" w:rsidP="00E06D4C">
            <w:pPr>
              <w:pStyle w:val="TableParagraph"/>
              <w:spacing w:before="60" w:after="60"/>
              <w:ind w:left="57" w:right="57"/>
              <w:rPr>
                <w:sz w:val="20"/>
                <w:szCs w:val="20"/>
              </w:rPr>
            </w:pPr>
            <w:r w:rsidRPr="00E06D4C">
              <w:rPr>
                <w:color w:val="000000"/>
                <w:sz w:val="20"/>
                <w:szCs w:val="20"/>
              </w:rPr>
              <w:t xml:space="preserve">18.9 </w:t>
            </w:r>
          </w:p>
        </w:tc>
      </w:tr>
      <w:tr w:rsidR="001976A4" w:rsidRPr="001976A4" w14:paraId="4AFBEB09" w14:textId="77777777" w:rsidTr="00E06D4C">
        <w:trPr>
          <w:trHeight w:val="480"/>
        </w:trPr>
        <w:tc>
          <w:tcPr>
            <w:tcW w:w="9348" w:type="dxa"/>
            <w:gridSpan w:val="7"/>
            <w:tcBorders>
              <w:top w:val="single" w:sz="6" w:space="0" w:color="FFFFFF"/>
              <w:left w:val="single" w:sz="6" w:space="0" w:color="FFFFFF"/>
              <w:bottom w:val="single" w:sz="6" w:space="0" w:color="FFFFFF"/>
              <w:right w:val="single" w:sz="6" w:space="0" w:color="FFFFFF"/>
            </w:tcBorders>
            <w:shd w:val="clear" w:color="auto" w:fill="C1DCD5"/>
            <w:vAlign w:val="bottom"/>
          </w:tcPr>
          <w:p w14:paraId="6E6F9D8C" w14:textId="6B44F201" w:rsidR="008C6597" w:rsidRPr="00E06D4C" w:rsidRDefault="008C6597" w:rsidP="00E06D4C">
            <w:pPr>
              <w:pStyle w:val="TableParagraph"/>
              <w:spacing w:before="60" w:after="60"/>
              <w:ind w:left="57" w:right="57"/>
              <w:rPr>
                <w:b/>
                <w:color w:val="000000"/>
                <w:sz w:val="20"/>
                <w:szCs w:val="20"/>
              </w:rPr>
            </w:pPr>
            <w:r w:rsidRPr="00E06D4C">
              <w:rPr>
                <w:b/>
                <w:sz w:val="20"/>
                <w:szCs w:val="20"/>
              </w:rPr>
              <w:t>3. Surplus reduction options</w:t>
            </w:r>
          </w:p>
        </w:tc>
      </w:tr>
      <w:tr w:rsidR="00F27168" w:rsidRPr="00F27168" w14:paraId="1C03CC4F" w14:textId="77777777" w:rsidTr="00E06D4C">
        <w:trPr>
          <w:trHeight w:val="480"/>
        </w:trPr>
        <w:tc>
          <w:tcPr>
            <w:tcW w:w="3961" w:type="dxa"/>
            <w:tcBorders>
              <w:top w:val="single" w:sz="6" w:space="0" w:color="FFFFFF"/>
              <w:left w:val="single" w:sz="6" w:space="0" w:color="FFFFFF"/>
              <w:bottom w:val="single" w:sz="6" w:space="0" w:color="FFFFFF"/>
              <w:right w:val="single" w:sz="6" w:space="0" w:color="FFFFFF"/>
            </w:tcBorders>
            <w:shd w:val="clear" w:color="auto" w:fill="C1DCD5"/>
            <w:vAlign w:val="bottom"/>
          </w:tcPr>
          <w:p w14:paraId="789D5E98" w14:textId="41A591F1" w:rsidR="00112CD4" w:rsidRPr="00E06D4C" w:rsidRDefault="00112CD4" w:rsidP="00E06D4C">
            <w:pPr>
              <w:pStyle w:val="TableParagraph"/>
              <w:spacing w:before="60" w:after="60"/>
              <w:ind w:left="57" w:right="57"/>
              <w:rPr>
                <w:sz w:val="20"/>
                <w:szCs w:val="20"/>
              </w:rPr>
            </w:pPr>
            <w:r w:rsidRPr="00E06D4C">
              <w:rPr>
                <w:sz w:val="20"/>
                <w:szCs w:val="20"/>
              </w:rPr>
              <w:t xml:space="preserve">3a. </w:t>
            </w:r>
            <w:r w:rsidR="00B8155D" w:rsidRPr="00E06D4C">
              <w:rPr>
                <w:sz w:val="20"/>
                <w:szCs w:val="20"/>
              </w:rPr>
              <w:t>S</w:t>
            </w:r>
            <w:r w:rsidRPr="00E06D4C">
              <w:rPr>
                <w:sz w:val="20"/>
                <w:szCs w:val="20"/>
              </w:rPr>
              <w:t>urplus</w:t>
            </w:r>
            <w:r w:rsidR="00B8155D" w:rsidRPr="00E06D4C">
              <w:rPr>
                <w:sz w:val="20"/>
                <w:szCs w:val="20"/>
              </w:rPr>
              <w:t xml:space="preserve"> implied by </w:t>
            </w:r>
            <w:r w:rsidRPr="00E06D4C">
              <w:rPr>
                <w:sz w:val="20"/>
                <w:szCs w:val="20"/>
              </w:rPr>
              <w:t>status quo auction volumes</w:t>
            </w:r>
          </w:p>
        </w:tc>
        <w:tc>
          <w:tcPr>
            <w:tcW w:w="764" w:type="dxa"/>
            <w:tcBorders>
              <w:top w:val="single" w:sz="6" w:space="0" w:color="FFFFFF"/>
              <w:left w:val="single" w:sz="6" w:space="0" w:color="FFFFFF"/>
              <w:bottom w:val="single" w:sz="6" w:space="0" w:color="FFFFFF"/>
              <w:right w:val="single" w:sz="6" w:space="0" w:color="FFFFFF"/>
            </w:tcBorders>
            <w:shd w:val="clear" w:color="auto" w:fill="E9F5F2"/>
            <w:vAlign w:val="bottom"/>
          </w:tcPr>
          <w:p w14:paraId="4842F5F6" w14:textId="77777777" w:rsidR="00112CD4" w:rsidRPr="00E06D4C" w:rsidRDefault="00112CD4" w:rsidP="00E06D4C">
            <w:pPr>
              <w:pStyle w:val="TableParagraph"/>
              <w:spacing w:before="60" w:after="60"/>
              <w:ind w:left="57" w:right="57"/>
              <w:rPr>
                <w:sz w:val="20"/>
                <w:szCs w:val="20"/>
              </w:rPr>
            </w:pPr>
            <w:r w:rsidRPr="00E06D4C">
              <w:rPr>
                <w:color w:val="000000"/>
                <w:sz w:val="20"/>
                <w:szCs w:val="20"/>
              </w:rPr>
              <w:t xml:space="preserve">11.5 </w:t>
            </w:r>
          </w:p>
        </w:tc>
        <w:tc>
          <w:tcPr>
            <w:tcW w:w="768" w:type="dxa"/>
            <w:tcBorders>
              <w:top w:val="single" w:sz="6" w:space="0" w:color="FFFFFF"/>
              <w:left w:val="single" w:sz="6" w:space="0" w:color="FFFFFF"/>
              <w:bottom w:val="single" w:sz="6" w:space="0" w:color="FFFFFF"/>
              <w:right w:val="single" w:sz="6" w:space="0" w:color="FFFFFF"/>
            </w:tcBorders>
            <w:shd w:val="clear" w:color="auto" w:fill="E9F5F2"/>
            <w:vAlign w:val="bottom"/>
          </w:tcPr>
          <w:p w14:paraId="4BE2CB3D" w14:textId="77777777" w:rsidR="00112CD4" w:rsidRPr="00E06D4C" w:rsidRDefault="00112CD4" w:rsidP="00E06D4C">
            <w:pPr>
              <w:pStyle w:val="TableParagraph"/>
              <w:spacing w:before="60" w:after="60"/>
              <w:ind w:left="57" w:right="57"/>
              <w:rPr>
                <w:sz w:val="20"/>
                <w:szCs w:val="20"/>
              </w:rPr>
            </w:pPr>
            <w:r w:rsidRPr="00E06D4C">
              <w:rPr>
                <w:color w:val="000000"/>
                <w:sz w:val="20"/>
                <w:szCs w:val="20"/>
              </w:rPr>
              <w:t xml:space="preserve">9.8 </w:t>
            </w:r>
          </w:p>
        </w:tc>
        <w:tc>
          <w:tcPr>
            <w:tcW w:w="768" w:type="dxa"/>
            <w:tcBorders>
              <w:top w:val="single" w:sz="6" w:space="0" w:color="FFFFFF"/>
              <w:left w:val="single" w:sz="6" w:space="0" w:color="FFFFFF"/>
              <w:bottom w:val="single" w:sz="6" w:space="0" w:color="FFFFFF"/>
              <w:right w:val="single" w:sz="6" w:space="0" w:color="FFFFFF"/>
            </w:tcBorders>
            <w:shd w:val="clear" w:color="auto" w:fill="E9F5F2"/>
            <w:vAlign w:val="bottom"/>
          </w:tcPr>
          <w:p w14:paraId="569BBA13" w14:textId="77777777" w:rsidR="00112CD4" w:rsidRPr="00E06D4C" w:rsidRDefault="00112CD4" w:rsidP="00E06D4C">
            <w:pPr>
              <w:pStyle w:val="TableParagraph"/>
              <w:spacing w:before="60" w:after="60"/>
              <w:ind w:left="57" w:right="57"/>
              <w:rPr>
                <w:sz w:val="20"/>
                <w:szCs w:val="20"/>
              </w:rPr>
            </w:pPr>
            <w:r w:rsidRPr="00E06D4C">
              <w:rPr>
                <w:color w:val="000000"/>
                <w:sz w:val="20"/>
                <w:szCs w:val="20"/>
              </w:rPr>
              <w:t xml:space="preserve">3.3 </w:t>
            </w:r>
          </w:p>
        </w:tc>
        <w:tc>
          <w:tcPr>
            <w:tcW w:w="856" w:type="dxa"/>
            <w:tcBorders>
              <w:top w:val="single" w:sz="6" w:space="0" w:color="FFFFFF"/>
              <w:left w:val="single" w:sz="6" w:space="0" w:color="FFFFFF"/>
              <w:bottom w:val="single" w:sz="6" w:space="0" w:color="FFFFFF"/>
              <w:right w:val="single" w:sz="6" w:space="0" w:color="FFFFFF"/>
            </w:tcBorders>
            <w:shd w:val="clear" w:color="auto" w:fill="E9F5F2"/>
            <w:vAlign w:val="bottom"/>
          </w:tcPr>
          <w:p w14:paraId="2F3E5FB8" w14:textId="77777777" w:rsidR="00112CD4" w:rsidRPr="00E06D4C" w:rsidRDefault="00112CD4" w:rsidP="00E06D4C">
            <w:pPr>
              <w:pStyle w:val="TableParagraph"/>
              <w:spacing w:before="60" w:after="60"/>
              <w:ind w:left="57" w:right="57"/>
              <w:rPr>
                <w:sz w:val="20"/>
                <w:szCs w:val="20"/>
              </w:rPr>
            </w:pPr>
            <w:r w:rsidRPr="00E06D4C">
              <w:rPr>
                <w:color w:val="000000"/>
                <w:sz w:val="20"/>
                <w:szCs w:val="20"/>
              </w:rPr>
              <w:t xml:space="preserve">2.8 </w:t>
            </w:r>
          </w:p>
        </w:tc>
        <w:tc>
          <w:tcPr>
            <w:tcW w:w="813" w:type="dxa"/>
            <w:tcBorders>
              <w:top w:val="single" w:sz="6" w:space="0" w:color="FFFFFF"/>
              <w:left w:val="single" w:sz="6" w:space="0" w:color="FFFFFF"/>
              <w:bottom w:val="single" w:sz="6" w:space="0" w:color="FFFFFF"/>
              <w:right w:val="single" w:sz="6" w:space="0" w:color="FFFFFF"/>
            </w:tcBorders>
            <w:shd w:val="clear" w:color="auto" w:fill="E9F5F2"/>
            <w:vAlign w:val="bottom"/>
          </w:tcPr>
          <w:p w14:paraId="06EAD024" w14:textId="77777777" w:rsidR="00112CD4" w:rsidRPr="00E06D4C" w:rsidRDefault="00112CD4" w:rsidP="00E06D4C">
            <w:pPr>
              <w:pStyle w:val="TableParagraph"/>
              <w:spacing w:before="60" w:after="60"/>
              <w:ind w:left="57" w:right="57"/>
              <w:rPr>
                <w:sz w:val="20"/>
                <w:szCs w:val="20"/>
              </w:rPr>
            </w:pPr>
            <w:r w:rsidRPr="00E06D4C">
              <w:rPr>
                <w:color w:val="000000"/>
                <w:sz w:val="20"/>
                <w:szCs w:val="20"/>
              </w:rPr>
              <w:t xml:space="preserve">2.3 </w:t>
            </w:r>
          </w:p>
        </w:tc>
        <w:tc>
          <w:tcPr>
            <w:tcW w:w="1418" w:type="dxa"/>
            <w:tcBorders>
              <w:top w:val="single" w:sz="6" w:space="0" w:color="FFFFFF"/>
              <w:left w:val="single" w:sz="6" w:space="0" w:color="FFFFFF"/>
              <w:bottom w:val="single" w:sz="6" w:space="0" w:color="FFFFFF"/>
              <w:right w:val="single" w:sz="6" w:space="0" w:color="FFFFFF"/>
            </w:tcBorders>
            <w:shd w:val="clear" w:color="auto" w:fill="E9F5F2"/>
            <w:vAlign w:val="bottom"/>
          </w:tcPr>
          <w:p w14:paraId="793FB4B0" w14:textId="77777777" w:rsidR="00112CD4" w:rsidRPr="00E06D4C" w:rsidRDefault="00112CD4" w:rsidP="00E06D4C">
            <w:pPr>
              <w:pStyle w:val="TableParagraph"/>
              <w:spacing w:before="60" w:after="60"/>
              <w:ind w:left="57" w:right="57"/>
              <w:rPr>
                <w:sz w:val="20"/>
                <w:szCs w:val="20"/>
              </w:rPr>
            </w:pPr>
            <w:r w:rsidRPr="00E06D4C">
              <w:rPr>
                <w:color w:val="000000"/>
                <w:sz w:val="20"/>
                <w:szCs w:val="20"/>
              </w:rPr>
              <w:t xml:space="preserve">29.7 </w:t>
            </w:r>
          </w:p>
        </w:tc>
      </w:tr>
      <w:tr w:rsidR="00F27168" w:rsidRPr="00F27168" w14:paraId="25F9571B" w14:textId="77777777" w:rsidTr="00E06D4C">
        <w:trPr>
          <w:trHeight w:val="480"/>
        </w:trPr>
        <w:tc>
          <w:tcPr>
            <w:tcW w:w="3961" w:type="dxa"/>
            <w:tcBorders>
              <w:top w:val="single" w:sz="6" w:space="0" w:color="FFFFFF"/>
              <w:left w:val="single" w:sz="6" w:space="0" w:color="FFFFFF"/>
              <w:bottom w:val="single" w:sz="6" w:space="0" w:color="FFFFFF"/>
              <w:right w:val="single" w:sz="6" w:space="0" w:color="FFFFFF"/>
            </w:tcBorders>
            <w:shd w:val="clear" w:color="auto" w:fill="C1DCD5"/>
            <w:vAlign w:val="bottom"/>
          </w:tcPr>
          <w:p w14:paraId="58C1BCA7" w14:textId="0C55B981" w:rsidR="00112CD4" w:rsidRPr="00E06D4C" w:rsidRDefault="00112CD4" w:rsidP="00E06D4C">
            <w:pPr>
              <w:pStyle w:val="TableParagraph"/>
              <w:spacing w:before="60" w:after="60"/>
              <w:ind w:left="57" w:right="57"/>
              <w:rPr>
                <w:sz w:val="20"/>
                <w:szCs w:val="20"/>
              </w:rPr>
            </w:pPr>
            <w:r w:rsidRPr="00E06D4C">
              <w:rPr>
                <w:sz w:val="20"/>
                <w:szCs w:val="20"/>
              </w:rPr>
              <w:t xml:space="preserve">3b. Surplus reduction volume </w:t>
            </w:r>
            <w:r w:rsidR="007600C7" w:rsidRPr="00E06D4C">
              <w:rPr>
                <w:sz w:val="20"/>
                <w:szCs w:val="20"/>
              </w:rPr>
              <w:t xml:space="preserve">– low </w:t>
            </w:r>
          </w:p>
        </w:tc>
        <w:tc>
          <w:tcPr>
            <w:tcW w:w="764" w:type="dxa"/>
            <w:tcBorders>
              <w:top w:val="single" w:sz="6" w:space="0" w:color="FFFFFF"/>
              <w:left w:val="single" w:sz="6" w:space="0" w:color="FFFFFF"/>
              <w:bottom w:val="single" w:sz="6" w:space="0" w:color="FFFFFF"/>
              <w:right w:val="single" w:sz="6" w:space="0" w:color="FFFFFF"/>
            </w:tcBorders>
            <w:shd w:val="clear" w:color="auto" w:fill="D4E8DE"/>
            <w:vAlign w:val="bottom"/>
          </w:tcPr>
          <w:p w14:paraId="1B6F3739" w14:textId="77777777" w:rsidR="00112CD4" w:rsidRPr="00E06D4C" w:rsidRDefault="00112CD4" w:rsidP="00E06D4C">
            <w:pPr>
              <w:pStyle w:val="TableParagraph"/>
              <w:spacing w:before="60" w:after="60"/>
              <w:ind w:left="57" w:right="57"/>
              <w:rPr>
                <w:sz w:val="20"/>
                <w:szCs w:val="20"/>
              </w:rPr>
            </w:pPr>
            <w:r w:rsidRPr="00E06D4C">
              <w:rPr>
                <w:color w:val="000000"/>
                <w:sz w:val="20"/>
                <w:szCs w:val="20"/>
              </w:rPr>
              <w:t xml:space="preserve">11.5 </w:t>
            </w:r>
          </w:p>
        </w:tc>
        <w:tc>
          <w:tcPr>
            <w:tcW w:w="768" w:type="dxa"/>
            <w:tcBorders>
              <w:top w:val="single" w:sz="6" w:space="0" w:color="FFFFFF"/>
              <w:left w:val="single" w:sz="6" w:space="0" w:color="FFFFFF"/>
              <w:bottom w:val="single" w:sz="6" w:space="0" w:color="FFFFFF"/>
              <w:right w:val="single" w:sz="6" w:space="0" w:color="FFFFFF"/>
            </w:tcBorders>
            <w:shd w:val="clear" w:color="auto" w:fill="D4E8DE"/>
            <w:vAlign w:val="bottom"/>
          </w:tcPr>
          <w:p w14:paraId="14A65668" w14:textId="77777777" w:rsidR="00112CD4" w:rsidRPr="00E06D4C" w:rsidRDefault="00112CD4" w:rsidP="00E06D4C">
            <w:pPr>
              <w:pStyle w:val="TableParagraph"/>
              <w:spacing w:before="60" w:after="60"/>
              <w:ind w:left="57" w:right="57"/>
              <w:rPr>
                <w:sz w:val="20"/>
                <w:szCs w:val="20"/>
              </w:rPr>
            </w:pPr>
            <w:r w:rsidRPr="00E06D4C">
              <w:rPr>
                <w:color w:val="000000"/>
                <w:sz w:val="20"/>
                <w:szCs w:val="20"/>
              </w:rPr>
              <w:t xml:space="preserve">9.8 </w:t>
            </w:r>
          </w:p>
        </w:tc>
        <w:tc>
          <w:tcPr>
            <w:tcW w:w="768" w:type="dxa"/>
            <w:tcBorders>
              <w:top w:val="single" w:sz="6" w:space="0" w:color="FFFFFF"/>
              <w:left w:val="single" w:sz="6" w:space="0" w:color="FFFFFF"/>
              <w:bottom w:val="single" w:sz="6" w:space="0" w:color="FFFFFF"/>
              <w:right w:val="single" w:sz="6" w:space="0" w:color="FFFFFF"/>
            </w:tcBorders>
            <w:shd w:val="clear" w:color="auto" w:fill="D4E8DE"/>
            <w:vAlign w:val="bottom"/>
          </w:tcPr>
          <w:p w14:paraId="4C4D9F4F" w14:textId="77777777" w:rsidR="00112CD4" w:rsidRPr="00E06D4C" w:rsidRDefault="00112CD4" w:rsidP="00E06D4C">
            <w:pPr>
              <w:pStyle w:val="TableParagraph"/>
              <w:spacing w:before="60" w:after="60"/>
              <w:ind w:left="57" w:right="57"/>
              <w:rPr>
                <w:sz w:val="20"/>
                <w:szCs w:val="20"/>
              </w:rPr>
            </w:pPr>
            <w:r w:rsidRPr="00E06D4C">
              <w:rPr>
                <w:sz w:val="20"/>
                <w:szCs w:val="20"/>
              </w:rPr>
              <w:t xml:space="preserve">-1.7 </w:t>
            </w:r>
          </w:p>
        </w:tc>
        <w:tc>
          <w:tcPr>
            <w:tcW w:w="856" w:type="dxa"/>
            <w:tcBorders>
              <w:top w:val="single" w:sz="6" w:space="0" w:color="FFFFFF"/>
              <w:left w:val="single" w:sz="6" w:space="0" w:color="FFFFFF"/>
              <w:bottom w:val="single" w:sz="6" w:space="0" w:color="FFFFFF"/>
              <w:right w:val="single" w:sz="6" w:space="0" w:color="FFFFFF"/>
            </w:tcBorders>
            <w:shd w:val="clear" w:color="auto" w:fill="D4E8DE"/>
            <w:vAlign w:val="bottom"/>
          </w:tcPr>
          <w:p w14:paraId="58E57722" w14:textId="77777777" w:rsidR="00112CD4" w:rsidRPr="00E06D4C" w:rsidRDefault="00112CD4" w:rsidP="00E06D4C">
            <w:pPr>
              <w:pStyle w:val="TableParagraph"/>
              <w:spacing w:before="60" w:after="60"/>
              <w:ind w:left="57" w:right="57"/>
              <w:rPr>
                <w:sz w:val="20"/>
                <w:szCs w:val="20"/>
              </w:rPr>
            </w:pPr>
            <w:r w:rsidRPr="00E06D4C">
              <w:rPr>
                <w:sz w:val="20"/>
                <w:szCs w:val="20"/>
              </w:rPr>
              <w:t xml:space="preserve">-1.4 </w:t>
            </w:r>
          </w:p>
        </w:tc>
        <w:tc>
          <w:tcPr>
            <w:tcW w:w="813" w:type="dxa"/>
            <w:tcBorders>
              <w:top w:val="single" w:sz="6" w:space="0" w:color="FFFFFF"/>
              <w:left w:val="single" w:sz="6" w:space="0" w:color="FFFFFF"/>
              <w:bottom w:val="single" w:sz="6" w:space="0" w:color="FFFFFF"/>
              <w:right w:val="single" w:sz="6" w:space="0" w:color="FFFFFF"/>
            </w:tcBorders>
            <w:shd w:val="clear" w:color="auto" w:fill="D4E8DE"/>
            <w:vAlign w:val="bottom"/>
          </w:tcPr>
          <w:p w14:paraId="76184098" w14:textId="77777777" w:rsidR="00112CD4" w:rsidRPr="00E06D4C" w:rsidRDefault="00112CD4" w:rsidP="00E06D4C">
            <w:pPr>
              <w:pStyle w:val="TableParagraph"/>
              <w:spacing w:before="60" w:after="60"/>
              <w:ind w:left="57" w:right="57"/>
              <w:rPr>
                <w:sz w:val="20"/>
                <w:szCs w:val="20"/>
              </w:rPr>
            </w:pPr>
            <w:r w:rsidRPr="00E06D4C">
              <w:rPr>
                <w:sz w:val="20"/>
                <w:szCs w:val="20"/>
              </w:rPr>
              <w:t xml:space="preserve">-1.2 </w:t>
            </w:r>
          </w:p>
        </w:tc>
        <w:tc>
          <w:tcPr>
            <w:tcW w:w="1418" w:type="dxa"/>
            <w:tcBorders>
              <w:top w:val="single" w:sz="6" w:space="0" w:color="FFFFFF"/>
              <w:left w:val="single" w:sz="6" w:space="0" w:color="FFFFFF"/>
              <w:bottom w:val="single" w:sz="6" w:space="0" w:color="FFFFFF"/>
              <w:right w:val="single" w:sz="6" w:space="0" w:color="FFFFFF"/>
            </w:tcBorders>
            <w:shd w:val="clear" w:color="auto" w:fill="D4E8DE"/>
            <w:vAlign w:val="bottom"/>
          </w:tcPr>
          <w:p w14:paraId="1B7300FB" w14:textId="1540A6E7" w:rsidR="00112CD4" w:rsidRPr="00E06D4C" w:rsidRDefault="00112CD4" w:rsidP="00E06D4C">
            <w:pPr>
              <w:pStyle w:val="TableParagraph"/>
              <w:spacing w:before="60" w:after="60"/>
              <w:ind w:left="57" w:right="57"/>
              <w:rPr>
                <w:sz w:val="20"/>
                <w:szCs w:val="20"/>
              </w:rPr>
            </w:pPr>
            <w:r w:rsidRPr="00E06D4C">
              <w:rPr>
                <w:color w:val="000000"/>
                <w:sz w:val="20"/>
                <w:szCs w:val="20"/>
              </w:rPr>
              <w:t xml:space="preserve">17.1 </w:t>
            </w:r>
          </w:p>
        </w:tc>
      </w:tr>
      <w:tr w:rsidR="00F27168" w:rsidRPr="00F27168" w14:paraId="5CDB4952" w14:textId="77777777" w:rsidTr="00E06D4C">
        <w:trPr>
          <w:trHeight w:val="480"/>
        </w:trPr>
        <w:tc>
          <w:tcPr>
            <w:tcW w:w="3961" w:type="dxa"/>
            <w:tcBorders>
              <w:top w:val="single" w:sz="6" w:space="0" w:color="FFFFFF"/>
              <w:left w:val="single" w:sz="6" w:space="0" w:color="FFFFFF"/>
              <w:bottom w:val="single" w:sz="6" w:space="0" w:color="FFFFFF"/>
              <w:right w:val="single" w:sz="6" w:space="0" w:color="FFFFFF"/>
            </w:tcBorders>
            <w:shd w:val="clear" w:color="auto" w:fill="C1DCD5"/>
            <w:vAlign w:val="bottom"/>
          </w:tcPr>
          <w:p w14:paraId="698F69F1" w14:textId="00083420" w:rsidR="00112CD4" w:rsidRPr="00E06D4C" w:rsidRDefault="00112CD4" w:rsidP="00E06D4C">
            <w:pPr>
              <w:pStyle w:val="TableParagraph"/>
              <w:spacing w:before="60" w:after="60"/>
              <w:ind w:left="57" w:right="57"/>
              <w:rPr>
                <w:sz w:val="20"/>
                <w:szCs w:val="20"/>
              </w:rPr>
            </w:pPr>
            <w:r w:rsidRPr="00E06D4C">
              <w:rPr>
                <w:sz w:val="20"/>
                <w:szCs w:val="20"/>
              </w:rPr>
              <w:t xml:space="preserve">3c. Surplus reduction volume </w:t>
            </w:r>
            <w:r w:rsidR="007600C7" w:rsidRPr="00E06D4C">
              <w:rPr>
                <w:sz w:val="20"/>
                <w:szCs w:val="20"/>
              </w:rPr>
              <w:t xml:space="preserve">– central </w:t>
            </w:r>
          </w:p>
        </w:tc>
        <w:tc>
          <w:tcPr>
            <w:tcW w:w="764" w:type="dxa"/>
            <w:tcBorders>
              <w:top w:val="single" w:sz="6" w:space="0" w:color="FFFFFF"/>
              <w:left w:val="single" w:sz="6" w:space="0" w:color="FFFFFF"/>
              <w:bottom w:val="single" w:sz="6" w:space="0" w:color="FFFFFF"/>
              <w:right w:val="single" w:sz="6" w:space="0" w:color="FFFFFF"/>
            </w:tcBorders>
            <w:shd w:val="clear" w:color="auto" w:fill="E9F5F2"/>
            <w:vAlign w:val="bottom"/>
          </w:tcPr>
          <w:p w14:paraId="3DE0392A" w14:textId="77777777" w:rsidR="00112CD4" w:rsidRPr="00E06D4C" w:rsidRDefault="00112CD4" w:rsidP="00E06D4C">
            <w:pPr>
              <w:pStyle w:val="TableParagraph"/>
              <w:spacing w:before="60" w:after="60"/>
              <w:ind w:left="57" w:right="57"/>
              <w:rPr>
                <w:sz w:val="20"/>
                <w:szCs w:val="20"/>
              </w:rPr>
            </w:pPr>
            <w:r w:rsidRPr="00E06D4C">
              <w:rPr>
                <w:color w:val="000000"/>
                <w:sz w:val="20"/>
                <w:szCs w:val="20"/>
              </w:rPr>
              <w:t xml:space="preserve">11.5 </w:t>
            </w:r>
          </w:p>
        </w:tc>
        <w:tc>
          <w:tcPr>
            <w:tcW w:w="768" w:type="dxa"/>
            <w:tcBorders>
              <w:top w:val="single" w:sz="6" w:space="0" w:color="FFFFFF"/>
              <w:left w:val="single" w:sz="6" w:space="0" w:color="FFFFFF"/>
              <w:bottom w:val="single" w:sz="6" w:space="0" w:color="FFFFFF"/>
              <w:right w:val="single" w:sz="6" w:space="0" w:color="FFFFFF"/>
            </w:tcBorders>
            <w:shd w:val="clear" w:color="auto" w:fill="E9F5F2"/>
            <w:vAlign w:val="bottom"/>
          </w:tcPr>
          <w:p w14:paraId="5DFDC856" w14:textId="77777777" w:rsidR="00112CD4" w:rsidRPr="00E06D4C" w:rsidRDefault="00112CD4" w:rsidP="00E06D4C">
            <w:pPr>
              <w:pStyle w:val="TableParagraph"/>
              <w:spacing w:before="60" w:after="60"/>
              <w:ind w:left="57" w:right="57"/>
              <w:rPr>
                <w:sz w:val="20"/>
                <w:szCs w:val="20"/>
              </w:rPr>
            </w:pPr>
            <w:r w:rsidRPr="00E06D4C">
              <w:rPr>
                <w:color w:val="000000"/>
                <w:sz w:val="20"/>
                <w:szCs w:val="20"/>
              </w:rPr>
              <w:t xml:space="preserve">9.8 </w:t>
            </w:r>
          </w:p>
        </w:tc>
        <w:tc>
          <w:tcPr>
            <w:tcW w:w="768" w:type="dxa"/>
            <w:tcBorders>
              <w:top w:val="single" w:sz="6" w:space="0" w:color="FFFFFF"/>
              <w:left w:val="single" w:sz="6" w:space="0" w:color="FFFFFF"/>
              <w:bottom w:val="single" w:sz="6" w:space="0" w:color="FFFFFF"/>
              <w:right w:val="single" w:sz="6" w:space="0" w:color="FFFFFF"/>
            </w:tcBorders>
            <w:shd w:val="clear" w:color="auto" w:fill="E9F5F2"/>
            <w:vAlign w:val="bottom"/>
          </w:tcPr>
          <w:p w14:paraId="6BFB8167" w14:textId="77777777" w:rsidR="00112CD4" w:rsidRPr="00E06D4C" w:rsidRDefault="00112CD4" w:rsidP="00E06D4C">
            <w:pPr>
              <w:pStyle w:val="TableParagraph"/>
              <w:spacing w:before="60" w:after="60"/>
              <w:ind w:left="57" w:right="57"/>
              <w:rPr>
                <w:sz w:val="20"/>
                <w:szCs w:val="20"/>
              </w:rPr>
            </w:pPr>
            <w:r w:rsidRPr="00E06D4C">
              <w:rPr>
                <w:color w:val="000000"/>
                <w:sz w:val="20"/>
                <w:szCs w:val="20"/>
              </w:rPr>
              <w:t xml:space="preserve">3.3 </w:t>
            </w:r>
          </w:p>
        </w:tc>
        <w:tc>
          <w:tcPr>
            <w:tcW w:w="856" w:type="dxa"/>
            <w:tcBorders>
              <w:top w:val="single" w:sz="6" w:space="0" w:color="FFFFFF"/>
              <w:left w:val="single" w:sz="6" w:space="0" w:color="FFFFFF"/>
              <w:bottom w:val="single" w:sz="6" w:space="0" w:color="FFFFFF"/>
              <w:right w:val="single" w:sz="6" w:space="0" w:color="FFFFFF"/>
            </w:tcBorders>
            <w:shd w:val="clear" w:color="auto" w:fill="E9F5F2"/>
            <w:vAlign w:val="bottom"/>
          </w:tcPr>
          <w:p w14:paraId="2AA0376B" w14:textId="77777777" w:rsidR="00112CD4" w:rsidRPr="00E06D4C" w:rsidRDefault="00112CD4" w:rsidP="00E06D4C">
            <w:pPr>
              <w:pStyle w:val="TableParagraph"/>
              <w:spacing w:before="60" w:after="60"/>
              <w:ind w:left="57" w:right="57"/>
              <w:rPr>
                <w:sz w:val="20"/>
                <w:szCs w:val="20"/>
              </w:rPr>
            </w:pPr>
            <w:r w:rsidRPr="00E06D4C">
              <w:rPr>
                <w:color w:val="000000"/>
                <w:sz w:val="20"/>
                <w:szCs w:val="20"/>
              </w:rPr>
              <w:t xml:space="preserve">2.8 </w:t>
            </w:r>
          </w:p>
        </w:tc>
        <w:tc>
          <w:tcPr>
            <w:tcW w:w="813" w:type="dxa"/>
            <w:tcBorders>
              <w:top w:val="single" w:sz="6" w:space="0" w:color="FFFFFF"/>
              <w:left w:val="single" w:sz="6" w:space="0" w:color="FFFFFF"/>
              <w:bottom w:val="single" w:sz="6" w:space="0" w:color="FFFFFF"/>
              <w:right w:val="single" w:sz="6" w:space="0" w:color="FFFFFF"/>
            </w:tcBorders>
            <w:shd w:val="clear" w:color="auto" w:fill="E9F5F2"/>
            <w:vAlign w:val="bottom"/>
          </w:tcPr>
          <w:p w14:paraId="5F7AC608" w14:textId="77777777" w:rsidR="00112CD4" w:rsidRPr="00E06D4C" w:rsidRDefault="00112CD4" w:rsidP="00E06D4C">
            <w:pPr>
              <w:pStyle w:val="TableParagraph"/>
              <w:spacing w:before="60" w:after="60"/>
              <w:ind w:left="57" w:right="57"/>
              <w:rPr>
                <w:sz w:val="20"/>
                <w:szCs w:val="20"/>
              </w:rPr>
            </w:pPr>
            <w:r w:rsidRPr="00E06D4C">
              <w:rPr>
                <w:color w:val="000000"/>
                <w:sz w:val="20"/>
                <w:szCs w:val="20"/>
              </w:rPr>
              <w:t xml:space="preserve">2.3 </w:t>
            </w:r>
          </w:p>
        </w:tc>
        <w:tc>
          <w:tcPr>
            <w:tcW w:w="1418" w:type="dxa"/>
            <w:tcBorders>
              <w:top w:val="single" w:sz="6" w:space="0" w:color="FFFFFF"/>
              <w:left w:val="single" w:sz="6" w:space="0" w:color="FFFFFF"/>
              <w:bottom w:val="single" w:sz="6" w:space="0" w:color="FFFFFF"/>
              <w:right w:val="single" w:sz="6" w:space="0" w:color="FFFFFF"/>
            </w:tcBorders>
            <w:shd w:val="clear" w:color="auto" w:fill="E9F5F2"/>
            <w:vAlign w:val="bottom"/>
          </w:tcPr>
          <w:p w14:paraId="040C09A9" w14:textId="77777777" w:rsidR="00112CD4" w:rsidRPr="00E06D4C" w:rsidRDefault="00112CD4" w:rsidP="00E06D4C">
            <w:pPr>
              <w:pStyle w:val="TableParagraph"/>
              <w:spacing w:before="60" w:after="60"/>
              <w:ind w:left="57" w:right="57"/>
              <w:rPr>
                <w:sz w:val="20"/>
                <w:szCs w:val="20"/>
              </w:rPr>
            </w:pPr>
            <w:r w:rsidRPr="00E06D4C">
              <w:rPr>
                <w:color w:val="000000"/>
                <w:sz w:val="20"/>
                <w:szCs w:val="20"/>
              </w:rPr>
              <w:t xml:space="preserve">29.7 </w:t>
            </w:r>
          </w:p>
        </w:tc>
      </w:tr>
      <w:tr w:rsidR="00F27168" w:rsidRPr="00F27168" w14:paraId="0E6EAD28" w14:textId="77777777" w:rsidTr="00E06D4C">
        <w:trPr>
          <w:trHeight w:val="480"/>
        </w:trPr>
        <w:tc>
          <w:tcPr>
            <w:tcW w:w="3961" w:type="dxa"/>
            <w:tcBorders>
              <w:top w:val="single" w:sz="6" w:space="0" w:color="FFFFFF"/>
              <w:left w:val="single" w:sz="6" w:space="0" w:color="FFFFFF"/>
              <w:bottom w:val="single" w:sz="6" w:space="0" w:color="FFFFFF"/>
              <w:right w:val="single" w:sz="6" w:space="0" w:color="FFFFFF"/>
            </w:tcBorders>
            <w:shd w:val="clear" w:color="auto" w:fill="C1DCD5"/>
            <w:vAlign w:val="bottom"/>
          </w:tcPr>
          <w:p w14:paraId="6398C014" w14:textId="229B7BC9" w:rsidR="00112CD4" w:rsidRPr="00E06D4C" w:rsidRDefault="00112CD4" w:rsidP="00E06D4C">
            <w:pPr>
              <w:pStyle w:val="TableParagraph"/>
              <w:spacing w:before="60" w:after="60"/>
              <w:ind w:left="57" w:right="57"/>
              <w:rPr>
                <w:sz w:val="20"/>
                <w:szCs w:val="20"/>
              </w:rPr>
            </w:pPr>
            <w:r w:rsidRPr="00E06D4C">
              <w:rPr>
                <w:sz w:val="20"/>
                <w:szCs w:val="20"/>
              </w:rPr>
              <w:t>3d. Surplus reduction volume</w:t>
            </w:r>
            <w:r w:rsidR="0073388F" w:rsidRPr="00E06D4C">
              <w:rPr>
                <w:sz w:val="20"/>
                <w:szCs w:val="20"/>
              </w:rPr>
              <w:t xml:space="preserve"> -</w:t>
            </w:r>
            <w:r w:rsidRPr="00E06D4C">
              <w:rPr>
                <w:sz w:val="20"/>
                <w:szCs w:val="20"/>
              </w:rPr>
              <w:t xml:space="preserve"> high</w:t>
            </w:r>
          </w:p>
        </w:tc>
        <w:tc>
          <w:tcPr>
            <w:tcW w:w="764" w:type="dxa"/>
            <w:tcBorders>
              <w:top w:val="single" w:sz="6" w:space="0" w:color="FFFFFF"/>
              <w:left w:val="single" w:sz="6" w:space="0" w:color="FFFFFF"/>
              <w:bottom w:val="single" w:sz="6" w:space="0" w:color="FFFFFF"/>
              <w:right w:val="single" w:sz="6" w:space="0" w:color="FFFFFF"/>
            </w:tcBorders>
            <w:shd w:val="clear" w:color="auto" w:fill="D4E8DE"/>
            <w:vAlign w:val="bottom"/>
          </w:tcPr>
          <w:p w14:paraId="760DB1AE" w14:textId="77777777" w:rsidR="00112CD4" w:rsidRPr="00E06D4C" w:rsidRDefault="00112CD4" w:rsidP="00E06D4C">
            <w:pPr>
              <w:pStyle w:val="TableParagraph"/>
              <w:spacing w:before="60" w:after="60"/>
              <w:ind w:left="57" w:right="57"/>
              <w:rPr>
                <w:sz w:val="20"/>
                <w:szCs w:val="20"/>
              </w:rPr>
            </w:pPr>
            <w:r w:rsidRPr="00E06D4C">
              <w:rPr>
                <w:color w:val="000000"/>
                <w:sz w:val="20"/>
                <w:szCs w:val="20"/>
              </w:rPr>
              <w:t xml:space="preserve">11.5 </w:t>
            </w:r>
          </w:p>
        </w:tc>
        <w:tc>
          <w:tcPr>
            <w:tcW w:w="768" w:type="dxa"/>
            <w:tcBorders>
              <w:top w:val="single" w:sz="6" w:space="0" w:color="FFFFFF"/>
              <w:left w:val="single" w:sz="6" w:space="0" w:color="FFFFFF"/>
              <w:bottom w:val="single" w:sz="6" w:space="0" w:color="FFFFFF"/>
              <w:right w:val="single" w:sz="6" w:space="0" w:color="FFFFFF"/>
            </w:tcBorders>
            <w:shd w:val="clear" w:color="auto" w:fill="D4E8DE"/>
            <w:vAlign w:val="bottom"/>
          </w:tcPr>
          <w:p w14:paraId="06664811" w14:textId="77777777" w:rsidR="00112CD4" w:rsidRPr="00E06D4C" w:rsidRDefault="00112CD4" w:rsidP="00E06D4C">
            <w:pPr>
              <w:pStyle w:val="TableParagraph"/>
              <w:spacing w:before="60" w:after="60"/>
              <w:ind w:left="57" w:right="57"/>
              <w:rPr>
                <w:sz w:val="20"/>
                <w:szCs w:val="20"/>
              </w:rPr>
            </w:pPr>
            <w:r w:rsidRPr="00E06D4C">
              <w:rPr>
                <w:color w:val="000000"/>
                <w:sz w:val="20"/>
                <w:szCs w:val="20"/>
              </w:rPr>
              <w:t xml:space="preserve">9.8 </w:t>
            </w:r>
          </w:p>
        </w:tc>
        <w:tc>
          <w:tcPr>
            <w:tcW w:w="768" w:type="dxa"/>
            <w:tcBorders>
              <w:top w:val="single" w:sz="6" w:space="0" w:color="FFFFFF"/>
              <w:left w:val="single" w:sz="6" w:space="0" w:color="FFFFFF"/>
              <w:bottom w:val="single" w:sz="6" w:space="0" w:color="FFFFFF"/>
              <w:right w:val="single" w:sz="6" w:space="0" w:color="FFFFFF"/>
            </w:tcBorders>
            <w:shd w:val="clear" w:color="auto" w:fill="D4E8DE"/>
            <w:vAlign w:val="bottom"/>
          </w:tcPr>
          <w:p w14:paraId="1CE75E5D" w14:textId="77777777" w:rsidR="00112CD4" w:rsidRPr="00E06D4C" w:rsidRDefault="00112CD4" w:rsidP="00E06D4C">
            <w:pPr>
              <w:pStyle w:val="TableParagraph"/>
              <w:spacing w:before="60" w:after="60"/>
              <w:ind w:left="57" w:right="57"/>
              <w:rPr>
                <w:sz w:val="20"/>
                <w:szCs w:val="20"/>
              </w:rPr>
            </w:pPr>
            <w:r w:rsidRPr="00E06D4C">
              <w:rPr>
                <w:color w:val="000000"/>
                <w:sz w:val="20"/>
                <w:szCs w:val="20"/>
              </w:rPr>
              <w:t xml:space="preserve">8.0 </w:t>
            </w:r>
          </w:p>
        </w:tc>
        <w:tc>
          <w:tcPr>
            <w:tcW w:w="856" w:type="dxa"/>
            <w:tcBorders>
              <w:top w:val="single" w:sz="6" w:space="0" w:color="FFFFFF"/>
              <w:left w:val="single" w:sz="6" w:space="0" w:color="FFFFFF"/>
              <w:bottom w:val="single" w:sz="6" w:space="0" w:color="FFFFFF"/>
              <w:right w:val="single" w:sz="6" w:space="0" w:color="FFFFFF"/>
            </w:tcBorders>
            <w:shd w:val="clear" w:color="auto" w:fill="D4E8DE"/>
            <w:vAlign w:val="bottom"/>
          </w:tcPr>
          <w:p w14:paraId="731BD360" w14:textId="77777777" w:rsidR="00112CD4" w:rsidRPr="00E06D4C" w:rsidRDefault="00112CD4" w:rsidP="00E06D4C">
            <w:pPr>
              <w:pStyle w:val="TableParagraph"/>
              <w:spacing w:before="60" w:after="60"/>
              <w:ind w:left="57" w:right="57"/>
              <w:rPr>
                <w:sz w:val="20"/>
                <w:szCs w:val="20"/>
              </w:rPr>
            </w:pPr>
            <w:r w:rsidRPr="00E06D4C">
              <w:rPr>
                <w:color w:val="000000"/>
                <w:sz w:val="20"/>
                <w:szCs w:val="20"/>
              </w:rPr>
              <w:t xml:space="preserve">6.7 </w:t>
            </w:r>
          </w:p>
        </w:tc>
        <w:tc>
          <w:tcPr>
            <w:tcW w:w="813" w:type="dxa"/>
            <w:tcBorders>
              <w:top w:val="single" w:sz="6" w:space="0" w:color="FFFFFF"/>
              <w:left w:val="single" w:sz="6" w:space="0" w:color="FFFFFF"/>
              <w:bottom w:val="single" w:sz="6" w:space="0" w:color="FFFFFF"/>
              <w:right w:val="single" w:sz="6" w:space="0" w:color="FFFFFF"/>
            </w:tcBorders>
            <w:shd w:val="clear" w:color="auto" w:fill="D4E8DE"/>
            <w:vAlign w:val="bottom"/>
          </w:tcPr>
          <w:p w14:paraId="0D88EF8E" w14:textId="77777777" w:rsidR="00112CD4" w:rsidRPr="00E06D4C" w:rsidRDefault="00112CD4" w:rsidP="00E06D4C">
            <w:pPr>
              <w:pStyle w:val="TableParagraph"/>
              <w:spacing w:before="60" w:after="60"/>
              <w:ind w:left="57" w:right="57"/>
              <w:rPr>
                <w:sz w:val="20"/>
                <w:szCs w:val="20"/>
              </w:rPr>
            </w:pPr>
            <w:r w:rsidRPr="00E06D4C">
              <w:rPr>
                <w:color w:val="000000"/>
                <w:sz w:val="20"/>
                <w:szCs w:val="20"/>
              </w:rPr>
              <w:t xml:space="preserve">5.6 </w:t>
            </w:r>
          </w:p>
        </w:tc>
        <w:tc>
          <w:tcPr>
            <w:tcW w:w="1418" w:type="dxa"/>
            <w:tcBorders>
              <w:top w:val="single" w:sz="6" w:space="0" w:color="FFFFFF"/>
              <w:left w:val="single" w:sz="6" w:space="0" w:color="FFFFFF"/>
              <w:bottom w:val="single" w:sz="6" w:space="0" w:color="FFFFFF"/>
              <w:right w:val="single" w:sz="6" w:space="0" w:color="FFFFFF"/>
            </w:tcBorders>
            <w:shd w:val="clear" w:color="auto" w:fill="D4E8DE"/>
            <w:vAlign w:val="bottom"/>
          </w:tcPr>
          <w:p w14:paraId="595AE0CB" w14:textId="77777777" w:rsidR="00112CD4" w:rsidRPr="00E06D4C" w:rsidRDefault="00112CD4" w:rsidP="00E06D4C">
            <w:pPr>
              <w:pStyle w:val="TableParagraph"/>
              <w:spacing w:before="60" w:after="60"/>
              <w:ind w:left="57" w:right="57"/>
              <w:rPr>
                <w:sz w:val="20"/>
                <w:szCs w:val="20"/>
              </w:rPr>
            </w:pPr>
            <w:r w:rsidRPr="00E06D4C">
              <w:rPr>
                <w:color w:val="000000"/>
                <w:sz w:val="20"/>
                <w:szCs w:val="20"/>
              </w:rPr>
              <w:t xml:space="preserve">41.7 </w:t>
            </w:r>
          </w:p>
        </w:tc>
      </w:tr>
      <w:tr w:rsidR="00F27168" w:rsidRPr="00F27168" w14:paraId="35242158" w14:textId="77777777" w:rsidTr="00E06D4C">
        <w:trPr>
          <w:trHeight w:val="480"/>
        </w:trPr>
        <w:tc>
          <w:tcPr>
            <w:tcW w:w="3961" w:type="dxa"/>
            <w:tcBorders>
              <w:top w:val="single" w:sz="6" w:space="0" w:color="FFFFFF"/>
              <w:left w:val="single" w:sz="6" w:space="0" w:color="FFFFFF"/>
              <w:bottom w:val="single" w:sz="6" w:space="0" w:color="FFFFFF"/>
              <w:right w:val="single" w:sz="6" w:space="0" w:color="FFFFFF"/>
            </w:tcBorders>
            <w:shd w:val="clear" w:color="auto" w:fill="C1DCD5"/>
            <w:vAlign w:val="bottom"/>
          </w:tcPr>
          <w:p w14:paraId="46F5901A" w14:textId="5F0965B5" w:rsidR="00112CD4" w:rsidRPr="00E06D4C" w:rsidRDefault="00112CD4" w:rsidP="00E06D4C">
            <w:pPr>
              <w:pStyle w:val="TableParagraph"/>
              <w:spacing w:before="60" w:after="60"/>
              <w:ind w:left="57" w:right="57"/>
              <w:rPr>
                <w:b/>
                <w:sz w:val="20"/>
                <w:szCs w:val="20"/>
              </w:rPr>
            </w:pPr>
            <w:r w:rsidRPr="00E06D4C">
              <w:rPr>
                <w:b/>
                <w:sz w:val="20"/>
                <w:szCs w:val="20"/>
              </w:rPr>
              <w:t xml:space="preserve">4. </w:t>
            </w:r>
            <w:r w:rsidR="0073388F" w:rsidRPr="00E06D4C">
              <w:rPr>
                <w:b/>
                <w:sz w:val="20"/>
                <w:szCs w:val="20"/>
              </w:rPr>
              <w:t xml:space="preserve">Approved overseas </w:t>
            </w:r>
            <w:r w:rsidRPr="00E06D4C">
              <w:rPr>
                <w:b/>
                <w:sz w:val="20"/>
                <w:szCs w:val="20"/>
              </w:rPr>
              <w:t>units</w:t>
            </w:r>
          </w:p>
        </w:tc>
        <w:tc>
          <w:tcPr>
            <w:tcW w:w="764" w:type="dxa"/>
            <w:tcBorders>
              <w:top w:val="single" w:sz="6" w:space="0" w:color="FFFFFF"/>
              <w:left w:val="single" w:sz="6" w:space="0" w:color="FFFFFF"/>
              <w:bottom w:val="single" w:sz="6" w:space="0" w:color="FFFFFF"/>
              <w:right w:val="single" w:sz="6" w:space="0" w:color="FFFFFF"/>
            </w:tcBorders>
            <w:shd w:val="clear" w:color="auto" w:fill="E9F5F2"/>
            <w:vAlign w:val="bottom"/>
          </w:tcPr>
          <w:p w14:paraId="55A6149A" w14:textId="77777777" w:rsidR="00112CD4" w:rsidRPr="00E06D4C" w:rsidRDefault="00112CD4" w:rsidP="00E06D4C">
            <w:pPr>
              <w:pStyle w:val="TableParagraph"/>
              <w:spacing w:before="60" w:after="60"/>
              <w:ind w:left="57" w:right="57"/>
              <w:rPr>
                <w:b/>
                <w:sz w:val="20"/>
                <w:szCs w:val="20"/>
              </w:rPr>
            </w:pPr>
            <w:r w:rsidRPr="00E06D4C">
              <w:rPr>
                <w:b/>
                <w:color w:val="000000"/>
                <w:sz w:val="20"/>
                <w:szCs w:val="20"/>
              </w:rPr>
              <w:t xml:space="preserve">0.0 </w:t>
            </w:r>
          </w:p>
        </w:tc>
        <w:tc>
          <w:tcPr>
            <w:tcW w:w="768" w:type="dxa"/>
            <w:tcBorders>
              <w:top w:val="single" w:sz="6" w:space="0" w:color="FFFFFF"/>
              <w:left w:val="single" w:sz="6" w:space="0" w:color="FFFFFF"/>
              <w:bottom w:val="single" w:sz="6" w:space="0" w:color="FFFFFF"/>
              <w:right w:val="single" w:sz="6" w:space="0" w:color="FFFFFF"/>
            </w:tcBorders>
            <w:shd w:val="clear" w:color="auto" w:fill="E9F5F2"/>
            <w:vAlign w:val="bottom"/>
          </w:tcPr>
          <w:p w14:paraId="5F714C02" w14:textId="77777777" w:rsidR="00112CD4" w:rsidRPr="00E06D4C" w:rsidRDefault="00112CD4" w:rsidP="00E06D4C">
            <w:pPr>
              <w:pStyle w:val="TableParagraph"/>
              <w:spacing w:before="60" w:after="60"/>
              <w:ind w:left="57" w:right="57"/>
              <w:rPr>
                <w:b/>
                <w:sz w:val="20"/>
                <w:szCs w:val="20"/>
              </w:rPr>
            </w:pPr>
            <w:r w:rsidRPr="00E06D4C">
              <w:rPr>
                <w:b/>
                <w:color w:val="000000"/>
                <w:sz w:val="20"/>
                <w:szCs w:val="20"/>
              </w:rPr>
              <w:t xml:space="preserve">0.0 </w:t>
            </w:r>
          </w:p>
        </w:tc>
        <w:tc>
          <w:tcPr>
            <w:tcW w:w="768" w:type="dxa"/>
            <w:tcBorders>
              <w:top w:val="single" w:sz="6" w:space="0" w:color="FFFFFF"/>
              <w:left w:val="single" w:sz="6" w:space="0" w:color="FFFFFF"/>
              <w:bottom w:val="single" w:sz="6" w:space="0" w:color="FFFFFF"/>
              <w:right w:val="single" w:sz="6" w:space="0" w:color="FFFFFF"/>
            </w:tcBorders>
            <w:shd w:val="clear" w:color="auto" w:fill="E9F5F2"/>
            <w:vAlign w:val="bottom"/>
          </w:tcPr>
          <w:p w14:paraId="187DD06E" w14:textId="77777777" w:rsidR="00112CD4" w:rsidRPr="00E06D4C" w:rsidRDefault="00112CD4" w:rsidP="00E06D4C">
            <w:pPr>
              <w:pStyle w:val="TableParagraph"/>
              <w:spacing w:before="60" w:after="60"/>
              <w:ind w:left="57" w:right="57"/>
              <w:rPr>
                <w:b/>
                <w:sz w:val="20"/>
                <w:szCs w:val="20"/>
              </w:rPr>
            </w:pPr>
            <w:r w:rsidRPr="00E06D4C">
              <w:rPr>
                <w:b/>
                <w:color w:val="000000"/>
                <w:sz w:val="20"/>
                <w:szCs w:val="20"/>
              </w:rPr>
              <w:t xml:space="preserve">0.0 </w:t>
            </w:r>
          </w:p>
        </w:tc>
        <w:tc>
          <w:tcPr>
            <w:tcW w:w="856" w:type="dxa"/>
            <w:tcBorders>
              <w:top w:val="single" w:sz="6" w:space="0" w:color="FFFFFF"/>
              <w:left w:val="single" w:sz="6" w:space="0" w:color="FFFFFF"/>
              <w:bottom w:val="single" w:sz="6" w:space="0" w:color="FFFFFF"/>
              <w:right w:val="single" w:sz="6" w:space="0" w:color="FFFFFF"/>
            </w:tcBorders>
            <w:shd w:val="clear" w:color="auto" w:fill="E9F5F2"/>
            <w:vAlign w:val="bottom"/>
          </w:tcPr>
          <w:p w14:paraId="2DB1CE6C" w14:textId="77777777" w:rsidR="00112CD4" w:rsidRPr="00E06D4C" w:rsidRDefault="00112CD4" w:rsidP="00E06D4C">
            <w:pPr>
              <w:pStyle w:val="TableParagraph"/>
              <w:spacing w:before="60" w:after="60"/>
              <w:ind w:left="57" w:right="57"/>
              <w:rPr>
                <w:b/>
                <w:sz w:val="20"/>
                <w:szCs w:val="20"/>
              </w:rPr>
            </w:pPr>
            <w:r w:rsidRPr="00E06D4C">
              <w:rPr>
                <w:b/>
                <w:color w:val="000000"/>
                <w:sz w:val="20"/>
                <w:szCs w:val="20"/>
              </w:rPr>
              <w:t xml:space="preserve">0.0 </w:t>
            </w:r>
          </w:p>
        </w:tc>
        <w:tc>
          <w:tcPr>
            <w:tcW w:w="813" w:type="dxa"/>
            <w:tcBorders>
              <w:top w:val="single" w:sz="6" w:space="0" w:color="FFFFFF"/>
              <w:left w:val="single" w:sz="6" w:space="0" w:color="FFFFFF"/>
              <w:bottom w:val="single" w:sz="6" w:space="0" w:color="FFFFFF"/>
              <w:right w:val="single" w:sz="6" w:space="0" w:color="FFFFFF"/>
            </w:tcBorders>
            <w:shd w:val="clear" w:color="auto" w:fill="E9F5F2"/>
            <w:vAlign w:val="bottom"/>
          </w:tcPr>
          <w:p w14:paraId="1948E37F" w14:textId="77777777" w:rsidR="00112CD4" w:rsidRPr="00E06D4C" w:rsidRDefault="00112CD4" w:rsidP="00E06D4C">
            <w:pPr>
              <w:pStyle w:val="TableParagraph"/>
              <w:spacing w:before="60" w:after="60"/>
              <w:ind w:left="57" w:right="57"/>
              <w:rPr>
                <w:b/>
                <w:sz w:val="20"/>
                <w:szCs w:val="20"/>
              </w:rPr>
            </w:pPr>
            <w:r w:rsidRPr="00E06D4C">
              <w:rPr>
                <w:b/>
                <w:color w:val="000000"/>
                <w:sz w:val="20"/>
                <w:szCs w:val="20"/>
              </w:rPr>
              <w:t xml:space="preserve">0.0 </w:t>
            </w:r>
          </w:p>
        </w:tc>
        <w:tc>
          <w:tcPr>
            <w:tcW w:w="1418" w:type="dxa"/>
            <w:tcBorders>
              <w:top w:val="single" w:sz="6" w:space="0" w:color="FFFFFF"/>
              <w:left w:val="single" w:sz="6" w:space="0" w:color="FFFFFF"/>
              <w:bottom w:val="single" w:sz="6" w:space="0" w:color="FFFFFF"/>
              <w:right w:val="single" w:sz="6" w:space="0" w:color="FFFFFF"/>
            </w:tcBorders>
            <w:shd w:val="clear" w:color="auto" w:fill="E9F5F2"/>
            <w:vAlign w:val="bottom"/>
          </w:tcPr>
          <w:p w14:paraId="1C4C45F2" w14:textId="77777777" w:rsidR="00112CD4" w:rsidRPr="00E06D4C" w:rsidRDefault="00112CD4" w:rsidP="00E06D4C">
            <w:pPr>
              <w:pStyle w:val="TableParagraph"/>
              <w:spacing w:before="60" w:after="60"/>
              <w:ind w:left="57" w:right="57"/>
              <w:rPr>
                <w:b/>
                <w:sz w:val="20"/>
                <w:szCs w:val="20"/>
              </w:rPr>
            </w:pPr>
            <w:r w:rsidRPr="00E06D4C">
              <w:rPr>
                <w:b/>
                <w:color w:val="000000"/>
                <w:sz w:val="20"/>
                <w:szCs w:val="20"/>
              </w:rPr>
              <w:t xml:space="preserve">0.0 </w:t>
            </w:r>
          </w:p>
        </w:tc>
      </w:tr>
      <w:tr w:rsidR="001976A4" w:rsidRPr="001976A4" w14:paraId="412831B2" w14:textId="77777777" w:rsidTr="00E06D4C">
        <w:trPr>
          <w:trHeight w:val="480"/>
        </w:trPr>
        <w:tc>
          <w:tcPr>
            <w:tcW w:w="9348" w:type="dxa"/>
            <w:gridSpan w:val="7"/>
            <w:tcBorders>
              <w:top w:val="single" w:sz="6" w:space="0" w:color="FFFFFF"/>
              <w:left w:val="single" w:sz="6" w:space="0" w:color="FFFFFF"/>
              <w:bottom w:val="single" w:sz="6" w:space="0" w:color="FFFFFF"/>
              <w:right w:val="single" w:sz="6" w:space="0" w:color="FFFFFF"/>
            </w:tcBorders>
            <w:shd w:val="clear" w:color="auto" w:fill="C1DCD5"/>
            <w:vAlign w:val="bottom"/>
          </w:tcPr>
          <w:p w14:paraId="7F783222" w14:textId="1A2AD269" w:rsidR="008C6597" w:rsidRPr="00E06D4C" w:rsidRDefault="008C6597" w:rsidP="00E06D4C">
            <w:pPr>
              <w:pStyle w:val="TableParagraph"/>
              <w:spacing w:before="60" w:after="60"/>
              <w:ind w:left="57" w:right="57"/>
              <w:rPr>
                <w:b/>
                <w:color w:val="000000"/>
                <w:sz w:val="20"/>
                <w:szCs w:val="20"/>
              </w:rPr>
            </w:pPr>
            <w:r w:rsidRPr="00E06D4C">
              <w:rPr>
                <w:b/>
                <w:sz w:val="20"/>
                <w:szCs w:val="20"/>
              </w:rPr>
              <w:t>5. Auction volume options</w:t>
            </w:r>
          </w:p>
        </w:tc>
      </w:tr>
      <w:tr w:rsidR="00F27168" w:rsidRPr="00F27168" w14:paraId="786355FD" w14:textId="77777777" w:rsidTr="00E06D4C">
        <w:trPr>
          <w:trHeight w:val="480"/>
        </w:trPr>
        <w:tc>
          <w:tcPr>
            <w:tcW w:w="3961" w:type="dxa"/>
            <w:tcBorders>
              <w:top w:val="single" w:sz="6" w:space="0" w:color="FFFFFF"/>
              <w:left w:val="single" w:sz="6" w:space="0" w:color="FFFFFF"/>
              <w:bottom w:val="single" w:sz="6" w:space="0" w:color="FFFFFF"/>
              <w:right w:val="single" w:sz="6" w:space="0" w:color="FFFFFF"/>
            </w:tcBorders>
            <w:shd w:val="clear" w:color="auto" w:fill="C1DCD5"/>
            <w:vAlign w:val="bottom"/>
          </w:tcPr>
          <w:p w14:paraId="461FEAEF" w14:textId="5B393ACA" w:rsidR="00112CD4" w:rsidRPr="00E06D4C" w:rsidRDefault="00112CD4" w:rsidP="00E06D4C">
            <w:pPr>
              <w:pStyle w:val="TableParagraph"/>
              <w:spacing w:before="60" w:after="60"/>
              <w:ind w:left="57" w:right="57"/>
              <w:rPr>
                <w:sz w:val="20"/>
                <w:szCs w:val="20"/>
              </w:rPr>
            </w:pPr>
            <w:r w:rsidRPr="00E06D4C">
              <w:rPr>
                <w:sz w:val="20"/>
                <w:szCs w:val="20"/>
              </w:rPr>
              <w:t xml:space="preserve">5a. </w:t>
            </w:r>
            <w:r w:rsidR="004E3589" w:rsidRPr="00E06D4C">
              <w:rPr>
                <w:sz w:val="20"/>
                <w:szCs w:val="20"/>
              </w:rPr>
              <w:t>S</w:t>
            </w:r>
            <w:r w:rsidRPr="00E06D4C">
              <w:rPr>
                <w:sz w:val="20"/>
                <w:szCs w:val="20"/>
              </w:rPr>
              <w:t>tatus quo</w:t>
            </w:r>
          </w:p>
        </w:tc>
        <w:tc>
          <w:tcPr>
            <w:tcW w:w="764" w:type="dxa"/>
            <w:tcBorders>
              <w:top w:val="single" w:sz="6" w:space="0" w:color="FFFFFF"/>
              <w:left w:val="single" w:sz="6" w:space="0" w:color="FFFFFF"/>
              <w:bottom w:val="single" w:sz="6" w:space="0" w:color="FFFFFF"/>
              <w:right w:val="single" w:sz="6" w:space="0" w:color="FFFFFF"/>
            </w:tcBorders>
            <w:shd w:val="clear" w:color="auto" w:fill="D4E8DE"/>
            <w:vAlign w:val="bottom"/>
          </w:tcPr>
          <w:p w14:paraId="5184B4FB" w14:textId="77777777" w:rsidR="00112CD4" w:rsidRPr="00E06D4C" w:rsidRDefault="00112CD4" w:rsidP="00E06D4C">
            <w:pPr>
              <w:pStyle w:val="TableParagraph"/>
              <w:spacing w:before="60" w:after="60"/>
              <w:ind w:left="57" w:right="57"/>
              <w:rPr>
                <w:sz w:val="20"/>
                <w:szCs w:val="20"/>
              </w:rPr>
            </w:pPr>
            <w:r w:rsidRPr="00E06D4C">
              <w:rPr>
                <w:color w:val="000000"/>
                <w:sz w:val="20"/>
                <w:szCs w:val="20"/>
              </w:rPr>
              <w:t xml:space="preserve">5.2 </w:t>
            </w:r>
          </w:p>
        </w:tc>
        <w:tc>
          <w:tcPr>
            <w:tcW w:w="768" w:type="dxa"/>
            <w:tcBorders>
              <w:top w:val="single" w:sz="6" w:space="0" w:color="FFFFFF"/>
              <w:left w:val="single" w:sz="6" w:space="0" w:color="FFFFFF"/>
              <w:bottom w:val="single" w:sz="6" w:space="0" w:color="FFFFFF"/>
              <w:right w:val="single" w:sz="6" w:space="0" w:color="FFFFFF"/>
            </w:tcBorders>
            <w:shd w:val="clear" w:color="auto" w:fill="D4E8DE"/>
            <w:vAlign w:val="bottom"/>
          </w:tcPr>
          <w:p w14:paraId="6B1FD912" w14:textId="77777777" w:rsidR="00112CD4" w:rsidRPr="00E06D4C" w:rsidRDefault="00112CD4" w:rsidP="00E06D4C">
            <w:pPr>
              <w:pStyle w:val="TableParagraph"/>
              <w:spacing w:before="60" w:after="60"/>
              <w:ind w:left="57" w:right="57"/>
              <w:rPr>
                <w:sz w:val="20"/>
                <w:szCs w:val="20"/>
              </w:rPr>
            </w:pPr>
            <w:r w:rsidRPr="00E06D4C">
              <w:rPr>
                <w:color w:val="000000"/>
                <w:sz w:val="20"/>
                <w:szCs w:val="20"/>
              </w:rPr>
              <w:t xml:space="preserve">4.3 </w:t>
            </w:r>
          </w:p>
        </w:tc>
        <w:tc>
          <w:tcPr>
            <w:tcW w:w="768" w:type="dxa"/>
            <w:tcBorders>
              <w:top w:val="single" w:sz="6" w:space="0" w:color="FFFFFF"/>
              <w:left w:val="single" w:sz="6" w:space="0" w:color="FFFFFF"/>
              <w:bottom w:val="single" w:sz="6" w:space="0" w:color="FFFFFF"/>
              <w:right w:val="single" w:sz="6" w:space="0" w:color="FFFFFF"/>
            </w:tcBorders>
            <w:shd w:val="clear" w:color="auto" w:fill="D4E8DE"/>
            <w:vAlign w:val="bottom"/>
          </w:tcPr>
          <w:p w14:paraId="3FD78A37" w14:textId="77777777" w:rsidR="00112CD4" w:rsidRPr="00E06D4C" w:rsidRDefault="00112CD4" w:rsidP="00E06D4C">
            <w:pPr>
              <w:pStyle w:val="TableParagraph"/>
              <w:spacing w:before="60" w:after="60"/>
              <w:ind w:left="57" w:right="57"/>
              <w:rPr>
                <w:sz w:val="20"/>
                <w:szCs w:val="20"/>
              </w:rPr>
            </w:pPr>
            <w:r w:rsidRPr="00E06D4C">
              <w:rPr>
                <w:color w:val="000000"/>
                <w:sz w:val="20"/>
                <w:szCs w:val="20"/>
              </w:rPr>
              <w:t xml:space="preserve">8.1 </w:t>
            </w:r>
          </w:p>
        </w:tc>
        <w:tc>
          <w:tcPr>
            <w:tcW w:w="856" w:type="dxa"/>
            <w:tcBorders>
              <w:top w:val="single" w:sz="6" w:space="0" w:color="FFFFFF"/>
              <w:left w:val="single" w:sz="6" w:space="0" w:color="FFFFFF"/>
              <w:bottom w:val="single" w:sz="6" w:space="0" w:color="FFFFFF"/>
              <w:right w:val="single" w:sz="6" w:space="0" w:color="FFFFFF"/>
            </w:tcBorders>
            <w:shd w:val="clear" w:color="auto" w:fill="D4E8DE"/>
            <w:vAlign w:val="bottom"/>
          </w:tcPr>
          <w:p w14:paraId="4ADE316D" w14:textId="77777777" w:rsidR="00112CD4" w:rsidRPr="00E06D4C" w:rsidRDefault="00112CD4" w:rsidP="00E06D4C">
            <w:pPr>
              <w:pStyle w:val="TableParagraph"/>
              <w:spacing w:before="60" w:after="60"/>
              <w:ind w:left="57" w:right="57"/>
              <w:rPr>
                <w:sz w:val="20"/>
                <w:szCs w:val="20"/>
              </w:rPr>
            </w:pPr>
            <w:r w:rsidRPr="00E06D4C">
              <w:rPr>
                <w:color w:val="000000"/>
                <w:sz w:val="20"/>
                <w:szCs w:val="20"/>
              </w:rPr>
              <w:t xml:space="preserve">6.2 </w:t>
            </w:r>
          </w:p>
        </w:tc>
        <w:tc>
          <w:tcPr>
            <w:tcW w:w="813" w:type="dxa"/>
            <w:tcBorders>
              <w:top w:val="single" w:sz="6" w:space="0" w:color="FFFFFF"/>
              <w:left w:val="single" w:sz="6" w:space="0" w:color="FFFFFF"/>
              <w:bottom w:val="single" w:sz="6" w:space="0" w:color="FFFFFF"/>
              <w:right w:val="single" w:sz="6" w:space="0" w:color="FFFFFF"/>
            </w:tcBorders>
            <w:shd w:val="clear" w:color="auto" w:fill="D4E8DE"/>
            <w:vAlign w:val="bottom"/>
          </w:tcPr>
          <w:p w14:paraId="491B0D72" w14:textId="77777777" w:rsidR="00112CD4" w:rsidRPr="00E06D4C" w:rsidRDefault="00112CD4" w:rsidP="00E06D4C">
            <w:pPr>
              <w:pStyle w:val="TableParagraph"/>
              <w:spacing w:before="60" w:after="60"/>
              <w:ind w:left="57" w:right="57"/>
              <w:rPr>
                <w:sz w:val="20"/>
                <w:szCs w:val="20"/>
              </w:rPr>
            </w:pPr>
            <w:r w:rsidRPr="00E06D4C">
              <w:rPr>
                <w:color w:val="000000"/>
                <w:sz w:val="20"/>
                <w:szCs w:val="20"/>
              </w:rPr>
              <w:t xml:space="preserve">4.7 </w:t>
            </w:r>
          </w:p>
        </w:tc>
        <w:tc>
          <w:tcPr>
            <w:tcW w:w="1418" w:type="dxa"/>
            <w:tcBorders>
              <w:top w:val="single" w:sz="6" w:space="0" w:color="FFFFFF"/>
              <w:left w:val="single" w:sz="6" w:space="0" w:color="FFFFFF"/>
              <w:bottom w:val="single" w:sz="6" w:space="0" w:color="FFFFFF"/>
              <w:right w:val="single" w:sz="6" w:space="0" w:color="FFFFFF"/>
            </w:tcBorders>
            <w:shd w:val="clear" w:color="auto" w:fill="D4E8DE"/>
            <w:vAlign w:val="bottom"/>
          </w:tcPr>
          <w:p w14:paraId="2DDFA901" w14:textId="77777777" w:rsidR="00112CD4" w:rsidRPr="00E06D4C" w:rsidRDefault="00112CD4" w:rsidP="00E06D4C">
            <w:pPr>
              <w:pStyle w:val="TableParagraph"/>
              <w:spacing w:before="60" w:after="60"/>
              <w:ind w:left="57" w:right="57"/>
              <w:rPr>
                <w:sz w:val="20"/>
                <w:szCs w:val="20"/>
              </w:rPr>
            </w:pPr>
            <w:r w:rsidRPr="00E06D4C">
              <w:rPr>
                <w:color w:val="000000"/>
                <w:sz w:val="20"/>
                <w:szCs w:val="20"/>
              </w:rPr>
              <w:t xml:space="preserve">28.4 </w:t>
            </w:r>
          </w:p>
        </w:tc>
      </w:tr>
      <w:tr w:rsidR="00F27168" w:rsidRPr="00F27168" w14:paraId="266FD153" w14:textId="77777777" w:rsidTr="00E06D4C">
        <w:trPr>
          <w:trHeight w:val="480"/>
        </w:trPr>
        <w:tc>
          <w:tcPr>
            <w:tcW w:w="3961" w:type="dxa"/>
            <w:tcBorders>
              <w:top w:val="single" w:sz="6" w:space="0" w:color="FFFFFF"/>
              <w:left w:val="single" w:sz="6" w:space="0" w:color="FFFFFF"/>
              <w:bottom w:val="single" w:sz="6" w:space="0" w:color="FFFFFF"/>
              <w:right w:val="single" w:sz="6" w:space="0" w:color="FFFFFF"/>
            </w:tcBorders>
            <w:shd w:val="clear" w:color="auto" w:fill="C1DCD5"/>
            <w:vAlign w:val="bottom"/>
          </w:tcPr>
          <w:p w14:paraId="15E6C7D2" w14:textId="7E80C314" w:rsidR="00112CD4" w:rsidRPr="00E06D4C" w:rsidRDefault="00112CD4" w:rsidP="00E06D4C">
            <w:pPr>
              <w:pStyle w:val="TableParagraph"/>
              <w:spacing w:before="60" w:after="60"/>
              <w:ind w:left="57" w:right="57"/>
              <w:rPr>
                <w:sz w:val="20"/>
                <w:szCs w:val="20"/>
              </w:rPr>
            </w:pPr>
            <w:r w:rsidRPr="00E06D4C">
              <w:rPr>
                <w:sz w:val="20"/>
                <w:szCs w:val="20"/>
              </w:rPr>
              <w:t xml:space="preserve">5b. </w:t>
            </w:r>
            <w:r w:rsidR="004E3589" w:rsidRPr="00E06D4C">
              <w:rPr>
                <w:sz w:val="20"/>
                <w:szCs w:val="20"/>
              </w:rPr>
              <w:t xml:space="preserve">Based on </w:t>
            </w:r>
            <w:r w:rsidR="007600C7" w:rsidRPr="00E06D4C">
              <w:rPr>
                <w:sz w:val="20"/>
                <w:szCs w:val="20"/>
              </w:rPr>
              <w:t xml:space="preserve">low </w:t>
            </w:r>
            <w:r w:rsidRPr="00E06D4C">
              <w:rPr>
                <w:sz w:val="20"/>
                <w:szCs w:val="20"/>
              </w:rPr>
              <w:t>surplus</w:t>
            </w:r>
            <w:r w:rsidR="004E3589" w:rsidRPr="00E06D4C">
              <w:rPr>
                <w:sz w:val="20"/>
                <w:szCs w:val="20"/>
              </w:rPr>
              <w:t xml:space="preserve"> estimate</w:t>
            </w:r>
          </w:p>
        </w:tc>
        <w:tc>
          <w:tcPr>
            <w:tcW w:w="764" w:type="dxa"/>
            <w:tcBorders>
              <w:top w:val="single" w:sz="6" w:space="0" w:color="FFFFFF"/>
              <w:left w:val="single" w:sz="6" w:space="0" w:color="FFFFFF"/>
              <w:bottom w:val="single" w:sz="6" w:space="0" w:color="FFFFFF"/>
              <w:right w:val="single" w:sz="6" w:space="0" w:color="FFFFFF"/>
            </w:tcBorders>
            <w:shd w:val="clear" w:color="auto" w:fill="E9F5F2"/>
            <w:vAlign w:val="bottom"/>
          </w:tcPr>
          <w:p w14:paraId="518C6EF9" w14:textId="77777777" w:rsidR="00112CD4" w:rsidRPr="00E06D4C" w:rsidRDefault="00112CD4" w:rsidP="00E06D4C">
            <w:pPr>
              <w:pStyle w:val="TableParagraph"/>
              <w:spacing w:before="60" w:after="60"/>
              <w:ind w:left="57" w:right="57"/>
              <w:rPr>
                <w:sz w:val="20"/>
                <w:szCs w:val="20"/>
              </w:rPr>
            </w:pPr>
            <w:r w:rsidRPr="00E06D4C">
              <w:rPr>
                <w:color w:val="000000"/>
                <w:sz w:val="20"/>
                <w:szCs w:val="20"/>
              </w:rPr>
              <w:t xml:space="preserve">5.2 </w:t>
            </w:r>
          </w:p>
        </w:tc>
        <w:tc>
          <w:tcPr>
            <w:tcW w:w="768" w:type="dxa"/>
            <w:tcBorders>
              <w:top w:val="single" w:sz="6" w:space="0" w:color="FFFFFF"/>
              <w:left w:val="single" w:sz="6" w:space="0" w:color="FFFFFF"/>
              <w:bottom w:val="single" w:sz="6" w:space="0" w:color="FFFFFF"/>
              <w:right w:val="single" w:sz="6" w:space="0" w:color="FFFFFF"/>
            </w:tcBorders>
            <w:shd w:val="clear" w:color="auto" w:fill="E9F5F2"/>
            <w:vAlign w:val="bottom"/>
          </w:tcPr>
          <w:p w14:paraId="138A1C54" w14:textId="77777777" w:rsidR="00112CD4" w:rsidRPr="00E06D4C" w:rsidRDefault="00112CD4" w:rsidP="00E06D4C">
            <w:pPr>
              <w:pStyle w:val="TableParagraph"/>
              <w:spacing w:before="60" w:after="60"/>
              <w:ind w:left="57" w:right="57"/>
              <w:rPr>
                <w:sz w:val="20"/>
                <w:szCs w:val="20"/>
              </w:rPr>
            </w:pPr>
            <w:r w:rsidRPr="00E06D4C">
              <w:rPr>
                <w:color w:val="000000"/>
                <w:sz w:val="20"/>
                <w:szCs w:val="20"/>
              </w:rPr>
              <w:t xml:space="preserve">4.3 </w:t>
            </w:r>
          </w:p>
        </w:tc>
        <w:tc>
          <w:tcPr>
            <w:tcW w:w="768" w:type="dxa"/>
            <w:tcBorders>
              <w:top w:val="single" w:sz="6" w:space="0" w:color="FFFFFF"/>
              <w:left w:val="single" w:sz="6" w:space="0" w:color="FFFFFF"/>
              <w:bottom w:val="single" w:sz="6" w:space="0" w:color="FFFFFF"/>
              <w:right w:val="single" w:sz="6" w:space="0" w:color="FFFFFF"/>
            </w:tcBorders>
            <w:shd w:val="clear" w:color="auto" w:fill="E9F5F2"/>
            <w:vAlign w:val="bottom"/>
          </w:tcPr>
          <w:p w14:paraId="346D7C23" w14:textId="77777777" w:rsidR="00112CD4" w:rsidRPr="00E06D4C" w:rsidRDefault="00112CD4" w:rsidP="00E06D4C">
            <w:pPr>
              <w:pStyle w:val="TableParagraph"/>
              <w:spacing w:before="60" w:after="60"/>
              <w:ind w:left="57" w:right="57"/>
              <w:rPr>
                <w:sz w:val="20"/>
                <w:szCs w:val="20"/>
              </w:rPr>
            </w:pPr>
            <w:r w:rsidRPr="00E06D4C">
              <w:rPr>
                <w:color w:val="000000"/>
                <w:sz w:val="20"/>
                <w:szCs w:val="20"/>
              </w:rPr>
              <w:t xml:space="preserve">13.1 </w:t>
            </w:r>
          </w:p>
        </w:tc>
        <w:tc>
          <w:tcPr>
            <w:tcW w:w="856" w:type="dxa"/>
            <w:tcBorders>
              <w:top w:val="single" w:sz="6" w:space="0" w:color="FFFFFF"/>
              <w:left w:val="single" w:sz="6" w:space="0" w:color="FFFFFF"/>
              <w:bottom w:val="single" w:sz="6" w:space="0" w:color="FFFFFF"/>
              <w:right w:val="single" w:sz="6" w:space="0" w:color="FFFFFF"/>
            </w:tcBorders>
            <w:shd w:val="clear" w:color="auto" w:fill="E9F5F2"/>
            <w:vAlign w:val="bottom"/>
          </w:tcPr>
          <w:p w14:paraId="67401857" w14:textId="77777777" w:rsidR="00112CD4" w:rsidRPr="00E06D4C" w:rsidRDefault="00112CD4" w:rsidP="00E06D4C">
            <w:pPr>
              <w:pStyle w:val="TableParagraph"/>
              <w:spacing w:before="60" w:after="60"/>
              <w:ind w:left="57" w:right="57"/>
              <w:rPr>
                <w:sz w:val="20"/>
                <w:szCs w:val="20"/>
              </w:rPr>
            </w:pPr>
            <w:r w:rsidRPr="00E06D4C">
              <w:rPr>
                <w:color w:val="000000"/>
                <w:sz w:val="20"/>
                <w:szCs w:val="20"/>
              </w:rPr>
              <w:t xml:space="preserve">10.3 </w:t>
            </w:r>
          </w:p>
        </w:tc>
        <w:tc>
          <w:tcPr>
            <w:tcW w:w="813" w:type="dxa"/>
            <w:tcBorders>
              <w:top w:val="single" w:sz="6" w:space="0" w:color="FFFFFF"/>
              <w:left w:val="single" w:sz="6" w:space="0" w:color="FFFFFF"/>
              <w:bottom w:val="single" w:sz="6" w:space="0" w:color="FFFFFF"/>
              <w:right w:val="single" w:sz="6" w:space="0" w:color="FFFFFF"/>
            </w:tcBorders>
            <w:shd w:val="clear" w:color="auto" w:fill="E9F5F2"/>
            <w:vAlign w:val="bottom"/>
          </w:tcPr>
          <w:p w14:paraId="20F2A257" w14:textId="77777777" w:rsidR="00112CD4" w:rsidRPr="00E06D4C" w:rsidRDefault="00112CD4" w:rsidP="00E06D4C">
            <w:pPr>
              <w:pStyle w:val="TableParagraph"/>
              <w:spacing w:before="60" w:after="60"/>
              <w:ind w:left="57" w:right="57"/>
              <w:rPr>
                <w:sz w:val="20"/>
                <w:szCs w:val="20"/>
              </w:rPr>
            </w:pPr>
            <w:r w:rsidRPr="00E06D4C">
              <w:rPr>
                <w:color w:val="000000"/>
                <w:sz w:val="20"/>
                <w:szCs w:val="20"/>
              </w:rPr>
              <w:t xml:space="preserve">8.2 </w:t>
            </w:r>
          </w:p>
        </w:tc>
        <w:tc>
          <w:tcPr>
            <w:tcW w:w="1418" w:type="dxa"/>
            <w:tcBorders>
              <w:top w:val="single" w:sz="6" w:space="0" w:color="FFFFFF"/>
              <w:left w:val="single" w:sz="6" w:space="0" w:color="FFFFFF"/>
              <w:bottom w:val="single" w:sz="6" w:space="0" w:color="FFFFFF"/>
              <w:right w:val="single" w:sz="6" w:space="0" w:color="FFFFFF"/>
            </w:tcBorders>
            <w:shd w:val="clear" w:color="auto" w:fill="E9F5F2"/>
            <w:vAlign w:val="bottom"/>
          </w:tcPr>
          <w:p w14:paraId="174AAA31" w14:textId="77777777" w:rsidR="00112CD4" w:rsidRPr="00E06D4C" w:rsidRDefault="00112CD4" w:rsidP="00E06D4C">
            <w:pPr>
              <w:pStyle w:val="TableParagraph"/>
              <w:spacing w:before="60" w:after="60"/>
              <w:ind w:left="57" w:right="57"/>
              <w:rPr>
                <w:sz w:val="20"/>
                <w:szCs w:val="20"/>
              </w:rPr>
            </w:pPr>
            <w:r w:rsidRPr="00E06D4C">
              <w:rPr>
                <w:color w:val="000000"/>
                <w:sz w:val="20"/>
                <w:szCs w:val="20"/>
              </w:rPr>
              <w:t xml:space="preserve">41.0 </w:t>
            </w:r>
          </w:p>
        </w:tc>
      </w:tr>
      <w:tr w:rsidR="00F27168" w:rsidRPr="00F27168" w14:paraId="09D63F50" w14:textId="77777777" w:rsidTr="00E06D4C">
        <w:trPr>
          <w:trHeight w:val="480"/>
        </w:trPr>
        <w:tc>
          <w:tcPr>
            <w:tcW w:w="3961" w:type="dxa"/>
            <w:tcBorders>
              <w:top w:val="single" w:sz="6" w:space="0" w:color="FFFFFF"/>
              <w:left w:val="single" w:sz="6" w:space="0" w:color="FFFFFF"/>
              <w:bottom w:val="single" w:sz="6" w:space="0" w:color="FFFFFF"/>
              <w:right w:val="single" w:sz="6" w:space="0" w:color="FFFFFF"/>
            </w:tcBorders>
            <w:shd w:val="clear" w:color="auto" w:fill="C1DCD5"/>
            <w:vAlign w:val="bottom"/>
          </w:tcPr>
          <w:p w14:paraId="2ABE277C" w14:textId="19C8AD7B" w:rsidR="00112CD4" w:rsidRPr="00E06D4C" w:rsidRDefault="00112CD4" w:rsidP="00E06D4C">
            <w:pPr>
              <w:pStyle w:val="TableParagraph"/>
              <w:spacing w:before="60" w:after="60"/>
              <w:ind w:left="57" w:right="57"/>
              <w:rPr>
                <w:sz w:val="20"/>
                <w:szCs w:val="20"/>
              </w:rPr>
            </w:pPr>
            <w:r w:rsidRPr="00E06D4C">
              <w:rPr>
                <w:sz w:val="20"/>
                <w:szCs w:val="20"/>
              </w:rPr>
              <w:t xml:space="preserve">5c. </w:t>
            </w:r>
            <w:r w:rsidR="004E3589" w:rsidRPr="00E06D4C">
              <w:rPr>
                <w:sz w:val="20"/>
                <w:szCs w:val="20"/>
              </w:rPr>
              <w:t xml:space="preserve">Based on </w:t>
            </w:r>
            <w:r w:rsidR="007600C7" w:rsidRPr="00E06D4C">
              <w:rPr>
                <w:sz w:val="20"/>
                <w:szCs w:val="20"/>
              </w:rPr>
              <w:t xml:space="preserve">central </w:t>
            </w:r>
            <w:r w:rsidRPr="00E06D4C">
              <w:rPr>
                <w:sz w:val="20"/>
                <w:szCs w:val="20"/>
              </w:rPr>
              <w:t>surplus</w:t>
            </w:r>
            <w:r w:rsidR="004E3589" w:rsidRPr="00E06D4C">
              <w:rPr>
                <w:sz w:val="20"/>
                <w:szCs w:val="20"/>
              </w:rPr>
              <w:t xml:space="preserve"> estimate</w:t>
            </w:r>
          </w:p>
        </w:tc>
        <w:tc>
          <w:tcPr>
            <w:tcW w:w="764" w:type="dxa"/>
            <w:tcBorders>
              <w:top w:val="single" w:sz="6" w:space="0" w:color="FFFFFF"/>
              <w:left w:val="single" w:sz="6" w:space="0" w:color="FFFFFF"/>
              <w:bottom w:val="single" w:sz="6" w:space="0" w:color="FFFFFF"/>
              <w:right w:val="single" w:sz="6" w:space="0" w:color="FFFFFF"/>
            </w:tcBorders>
            <w:shd w:val="clear" w:color="auto" w:fill="D4E8DE"/>
            <w:vAlign w:val="bottom"/>
          </w:tcPr>
          <w:p w14:paraId="5BFD7AB7" w14:textId="77777777" w:rsidR="00112CD4" w:rsidRPr="00E06D4C" w:rsidRDefault="00112CD4" w:rsidP="00E06D4C">
            <w:pPr>
              <w:pStyle w:val="TableParagraph"/>
              <w:spacing w:before="60" w:after="60"/>
              <w:ind w:left="57" w:right="57"/>
              <w:rPr>
                <w:sz w:val="20"/>
                <w:szCs w:val="20"/>
              </w:rPr>
            </w:pPr>
            <w:r w:rsidRPr="00E06D4C">
              <w:rPr>
                <w:color w:val="000000"/>
                <w:sz w:val="20"/>
                <w:szCs w:val="20"/>
              </w:rPr>
              <w:t xml:space="preserve">5.2 </w:t>
            </w:r>
          </w:p>
        </w:tc>
        <w:tc>
          <w:tcPr>
            <w:tcW w:w="768" w:type="dxa"/>
            <w:tcBorders>
              <w:top w:val="single" w:sz="6" w:space="0" w:color="FFFFFF"/>
              <w:left w:val="single" w:sz="6" w:space="0" w:color="FFFFFF"/>
              <w:bottom w:val="single" w:sz="6" w:space="0" w:color="FFFFFF"/>
              <w:right w:val="single" w:sz="6" w:space="0" w:color="FFFFFF"/>
            </w:tcBorders>
            <w:shd w:val="clear" w:color="auto" w:fill="D4E8DE"/>
            <w:vAlign w:val="bottom"/>
          </w:tcPr>
          <w:p w14:paraId="2659A0F0" w14:textId="77777777" w:rsidR="00112CD4" w:rsidRPr="00E06D4C" w:rsidRDefault="00112CD4" w:rsidP="00E06D4C">
            <w:pPr>
              <w:pStyle w:val="TableParagraph"/>
              <w:spacing w:before="60" w:after="60"/>
              <w:ind w:left="57" w:right="57"/>
              <w:rPr>
                <w:sz w:val="20"/>
                <w:szCs w:val="20"/>
              </w:rPr>
            </w:pPr>
            <w:r w:rsidRPr="00E06D4C">
              <w:rPr>
                <w:color w:val="000000"/>
                <w:sz w:val="20"/>
                <w:szCs w:val="20"/>
              </w:rPr>
              <w:t xml:space="preserve">4.3 </w:t>
            </w:r>
          </w:p>
        </w:tc>
        <w:tc>
          <w:tcPr>
            <w:tcW w:w="768" w:type="dxa"/>
            <w:tcBorders>
              <w:top w:val="single" w:sz="6" w:space="0" w:color="FFFFFF"/>
              <w:left w:val="single" w:sz="6" w:space="0" w:color="FFFFFF"/>
              <w:bottom w:val="single" w:sz="6" w:space="0" w:color="FFFFFF"/>
              <w:right w:val="single" w:sz="6" w:space="0" w:color="FFFFFF"/>
            </w:tcBorders>
            <w:shd w:val="clear" w:color="auto" w:fill="D4E8DE"/>
            <w:vAlign w:val="bottom"/>
          </w:tcPr>
          <w:p w14:paraId="577FE496" w14:textId="77777777" w:rsidR="00112CD4" w:rsidRPr="00E06D4C" w:rsidRDefault="00112CD4" w:rsidP="00E06D4C">
            <w:pPr>
              <w:pStyle w:val="TableParagraph"/>
              <w:spacing w:before="60" w:after="60"/>
              <w:ind w:left="57" w:right="57"/>
              <w:rPr>
                <w:sz w:val="20"/>
                <w:szCs w:val="20"/>
              </w:rPr>
            </w:pPr>
            <w:r w:rsidRPr="00E06D4C">
              <w:rPr>
                <w:color w:val="000000"/>
                <w:sz w:val="20"/>
                <w:szCs w:val="20"/>
              </w:rPr>
              <w:t xml:space="preserve">8.1 </w:t>
            </w:r>
          </w:p>
        </w:tc>
        <w:tc>
          <w:tcPr>
            <w:tcW w:w="856" w:type="dxa"/>
            <w:tcBorders>
              <w:top w:val="single" w:sz="6" w:space="0" w:color="FFFFFF"/>
              <w:left w:val="single" w:sz="6" w:space="0" w:color="FFFFFF"/>
              <w:bottom w:val="single" w:sz="6" w:space="0" w:color="FFFFFF"/>
              <w:right w:val="single" w:sz="6" w:space="0" w:color="FFFFFF"/>
            </w:tcBorders>
            <w:shd w:val="clear" w:color="auto" w:fill="D4E8DE"/>
            <w:vAlign w:val="bottom"/>
          </w:tcPr>
          <w:p w14:paraId="607140AE" w14:textId="77777777" w:rsidR="00112CD4" w:rsidRPr="00E06D4C" w:rsidRDefault="00112CD4" w:rsidP="00E06D4C">
            <w:pPr>
              <w:pStyle w:val="TableParagraph"/>
              <w:spacing w:before="60" w:after="60"/>
              <w:ind w:left="57" w:right="57"/>
              <w:rPr>
                <w:sz w:val="20"/>
                <w:szCs w:val="20"/>
              </w:rPr>
            </w:pPr>
            <w:r w:rsidRPr="00E06D4C">
              <w:rPr>
                <w:color w:val="000000"/>
                <w:sz w:val="20"/>
                <w:szCs w:val="20"/>
              </w:rPr>
              <w:t xml:space="preserve">6.2 </w:t>
            </w:r>
          </w:p>
        </w:tc>
        <w:tc>
          <w:tcPr>
            <w:tcW w:w="813" w:type="dxa"/>
            <w:tcBorders>
              <w:top w:val="single" w:sz="6" w:space="0" w:color="FFFFFF"/>
              <w:left w:val="single" w:sz="6" w:space="0" w:color="FFFFFF"/>
              <w:bottom w:val="single" w:sz="6" w:space="0" w:color="FFFFFF"/>
              <w:right w:val="single" w:sz="6" w:space="0" w:color="FFFFFF"/>
            </w:tcBorders>
            <w:shd w:val="clear" w:color="auto" w:fill="D4E8DE"/>
            <w:vAlign w:val="bottom"/>
          </w:tcPr>
          <w:p w14:paraId="73CB4C84" w14:textId="77777777" w:rsidR="00112CD4" w:rsidRPr="00E06D4C" w:rsidRDefault="00112CD4" w:rsidP="00E06D4C">
            <w:pPr>
              <w:pStyle w:val="TableParagraph"/>
              <w:spacing w:before="60" w:after="60"/>
              <w:ind w:left="57" w:right="57"/>
              <w:rPr>
                <w:sz w:val="20"/>
                <w:szCs w:val="20"/>
              </w:rPr>
            </w:pPr>
            <w:r w:rsidRPr="00E06D4C">
              <w:rPr>
                <w:color w:val="000000"/>
                <w:sz w:val="20"/>
                <w:szCs w:val="20"/>
              </w:rPr>
              <w:t xml:space="preserve">4.7 </w:t>
            </w:r>
          </w:p>
        </w:tc>
        <w:tc>
          <w:tcPr>
            <w:tcW w:w="1418" w:type="dxa"/>
            <w:tcBorders>
              <w:top w:val="single" w:sz="6" w:space="0" w:color="FFFFFF"/>
              <w:left w:val="single" w:sz="6" w:space="0" w:color="FFFFFF"/>
              <w:bottom w:val="single" w:sz="6" w:space="0" w:color="FFFFFF"/>
              <w:right w:val="single" w:sz="6" w:space="0" w:color="FFFFFF"/>
            </w:tcBorders>
            <w:shd w:val="clear" w:color="auto" w:fill="D4E8DE"/>
            <w:vAlign w:val="bottom"/>
          </w:tcPr>
          <w:p w14:paraId="59436714" w14:textId="77777777" w:rsidR="00112CD4" w:rsidRPr="00E06D4C" w:rsidRDefault="00112CD4" w:rsidP="00E06D4C">
            <w:pPr>
              <w:pStyle w:val="TableParagraph"/>
              <w:spacing w:before="60" w:after="60"/>
              <w:ind w:left="57" w:right="57"/>
              <w:rPr>
                <w:sz w:val="20"/>
                <w:szCs w:val="20"/>
              </w:rPr>
            </w:pPr>
            <w:r w:rsidRPr="00E06D4C">
              <w:rPr>
                <w:color w:val="000000"/>
                <w:sz w:val="20"/>
                <w:szCs w:val="20"/>
              </w:rPr>
              <w:t xml:space="preserve">28.4 </w:t>
            </w:r>
          </w:p>
        </w:tc>
      </w:tr>
      <w:tr w:rsidR="00F27168" w:rsidRPr="00F27168" w14:paraId="0AD23141" w14:textId="77777777" w:rsidTr="00E06D4C">
        <w:trPr>
          <w:trHeight w:val="480"/>
        </w:trPr>
        <w:tc>
          <w:tcPr>
            <w:tcW w:w="3961" w:type="dxa"/>
            <w:tcBorders>
              <w:top w:val="single" w:sz="6" w:space="0" w:color="FFFFFF"/>
              <w:left w:val="single" w:sz="6" w:space="0" w:color="FFFFFF"/>
              <w:bottom w:val="single" w:sz="6" w:space="0" w:color="FFFFFF"/>
              <w:right w:val="single" w:sz="6" w:space="0" w:color="FFFFFF"/>
            </w:tcBorders>
            <w:shd w:val="clear" w:color="auto" w:fill="C1DCD5"/>
            <w:vAlign w:val="bottom"/>
          </w:tcPr>
          <w:p w14:paraId="7B4799C1" w14:textId="376F5ED6" w:rsidR="00112CD4" w:rsidRPr="00E06D4C" w:rsidRDefault="00112CD4" w:rsidP="00E06D4C">
            <w:pPr>
              <w:pStyle w:val="TableParagraph"/>
              <w:spacing w:before="60" w:after="60"/>
              <w:ind w:left="57" w:right="57"/>
              <w:rPr>
                <w:sz w:val="20"/>
                <w:szCs w:val="20"/>
              </w:rPr>
            </w:pPr>
            <w:r w:rsidRPr="00E06D4C">
              <w:rPr>
                <w:sz w:val="20"/>
                <w:szCs w:val="20"/>
              </w:rPr>
              <w:t xml:space="preserve">5d. </w:t>
            </w:r>
            <w:r w:rsidR="004E3589" w:rsidRPr="00E06D4C">
              <w:rPr>
                <w:sz w:val="20"/>
                <w:szCs w:val="20"/>
              </w:rPr>
              <w:t>Based on</w:t>
            </w:r>
            <w:r w:rsidRPr="00E06D4C">
              <w:rPr>
                <w:sz w:val="20"/>
                <w:szCs w:val="20"/>
              </w:rPr>
              <w:t xml:space="preserve"> high surplus</w:t>
            </w:r>
            <w:r w:rsidR="004E3589" w:rsidRPr="00E06D4C">
              <w:rPr>
                <w:sz w:val="20"/>
                <w:szCs w:val="20"/>
              </w:rPr>
              <w:t xml:space="preserve"> estimate</w:t>
            </w:r>
          </w:p>
        </w:tc>
        <w:tc>
          <w:tcPr>
            <w:tcW w:w="764" w:type="dxa"/>
            <w:tcBorders>
              <w:top w:val="single" w:sz="6" w:space="0" w:color="FFFFFF"/>
              <w:left w:val="single" w:sz="6" w:space="0" w:color="FFFFFF"/>
              <w:bottom w:val="single" w:sz="6" w:space="0" w:color="FFFFFF"/>
              <w:right w:val="single" w:sz="6" w:space="0" w:color="FFFFFF"/>
            </w:tcBorders>
            <w:shd w:val="clear" w:color="auto" w:fill="E9F5F2"/>
            <w:vAlign w:val="bottom"/>
          </w:tcPr>
          <w:p w14:paraId="04E27C13" w14:textId="77777777" w:rsidR="00112CD4" w:rsidRPr="00E06D4C" w:rsidRDefault="00112CD4" w:rsidP="00E06D4C">
            <w:pPr>
              <w:pStyle w:val="TableParagraph"/>
              <w:spacing w:before="60" w:after="60"/>
              <w:ind w:left="57" w:right="57"/>
              <w:rPr>
                <w:sz w:val="20"/>
                <w:szCs w:val="20"/>
              </w:rPr>
            </w:pPr>
            <w:r w:rsidRPr="00E06D4C">
              <w:rPr>
                <w:color w:val="000000"/>
                <w:sz w:val="20"/>
                <w:szCs w:val="20"/>
              </w:rPr>
              <w:t xml:space="preserve">5.2 </w:t>
            </w:r>
          </w:p>
        </w:tc>
        <w:tc>
          <w:tcPr>
            <w:tcW w:w="768" w:type="dxa"/>
            <w:tcBorders>
              <w:top w:val="single" w:sz="6" w:space="0" w:color="FFFFFF"/>
              <w:left w:val="single" w:sz="6" w:space="0" w:color="FFFFFF"/>
              <w:bottom w:val="single" w:sz="6" w:space="0" w:color="FFFFFF"/>
              <w:right w:val="single" w:sz="6" w:space="0" w:color="FFFFFF"/>
            </w:tcBorders>
            <w:shd w:val="clear" w:color="auto" w:fill="E9F5F2"/>
            <w:vAlign w:val="bottom"/>
          </w:tcPr>
          <w:p w14:paraId="7FBE9B39" w14:textId="77777777" w:rsidR="00112CD4" w:rsidRPr="00E06D4C" w:rsidRDefault="00112CD4" w:rsidP="00E06D4C">
            <w:pPr>
              <w:pStyle w:val="TableParagraph"/>
              <w:spacing w:before="60" w:after="60"/>
              <w:ind w:left="57" w:right="57"/>
              <w:rPr>
                <w:sz w:val="20"/>
                <w:szCs w:val="20"/>
              </w:rPr>
            </w:pPr>
            <w:r w:rsidRPr="00E06D4C">
              <w:rPr>
                <w:color w:val="000000"/>
                <w:sz w:val="20"/>
                <w:szCs w:val="20"/>
              </w:rPr>
              <w:t xml:space="preserve">4.3 </w:t>
            </w:r>
          </w:p>
        </w:tc>
        <w:tc>
          <w:tcPr>
            <w:tcW w:w="768" w:type="dxa"/>
            <w:tcBorders>
              <w:top w:val="single" w:sz="6" w:space="0" w:color="FFFFFF"/>
              <w:left w:val="single" w:sz="6" w:space="0" w:color="FFFFFF"/>
              <w:bottom w:val="single" w:sz="6" w:space="0" w:color="FFFFFF"/>
              <w:right w:val="single" w:sz="6" w:space="0" w:color="FFFFFF"/>
            </w:tcBorders>
            <w:shd w:val="clear" w:color="auto" w:fill="E9F5F2"/>
            <w:vAlign w:val="bottom"/>
          </w:tcPr>
          <w:p w14:paraId="4E55CDFF" w14:textId="77777777" w:rsidR="00112CD4" w:rsidRPr="00E06D4C" w:rsidRDefault="00112CD4" w:rsidP="00E06D4C">
            <w:pPr>
              <w:pStyle w:val="TableParagraph"/>
              <w:spacing w:before="60" w:after="60"/>
              <w:ind w:left="57" w:right="57"/>
              <w:rPr>
                <w:sz w:val="20"/>
                <w:szCs w:val="20"/>
              </w:rPr>
            </w:pPr>
            <w:r w:rsidRPr="00E06D4C">
              <w:rPr>
                <w:color w:val="000000"/>
                <w:sz w:val="20"/>
                <w:szCs w:val="20"/>
              </w:rPr>
              <w:t xml:space="preserve">3.4 </w:t>
            </w:r>
          </w:p>
        </w:tc>
        <w:tc>
          <w:tcPr>
            <w:tcW w:w="856" w:type="dxa"/>
            <w:tcBorders>
              <w:top w:val="single" w:sz="6" w:space="0" w:color="FFFFFF"/>
              <w:left w:val="single" w:sz="6" w:space="0" w:color="FFFFFF"/>
              <w:bottom w:val="single" w:sz="6" w:space="0" w:color="FFFFFF"/>
              <w:right w:val="single" w:sz="6" w:space="0" w:color="FFFFFF"/>
            </w:tcBorders>
            <w:shd w:val="clear" w:color="auto" w:fill="E9F5F2"/>
            <w:vAlign w:val="bottom"/>
          </w:tcPr>
          <w:p w14:paraId="4CCC85E1" w14:textId="77777777" w:rsidR="00112CD4" w:rsidRPr="00E06D4C" w:rsidRDefault="00112CD4" w:rsidP="00E06D4C">
            <w:pPr>
              <w:pStyle w:val="TableParagraph"/>
              <w:spacing w:before="60" w:after="60"/>
              <w:ind w:left="57" w:right="57"/>
              <w:rPr>
                <w:sz w:val="20"/>
                <w:szCs w:val="20"/>
              </w:rPr>
            </w:pPr>
            <w:r w:rsidRPr="00E06D4C">
              <w:rPr>
                <w:color w:val="000000"/>
                <w:sz w:val="20"/>
                <w:szCs w:val="20"/>
              </w:rPr>
              <w:t xml:space="preserve">2.2 </w:t>
            </w:r>
          </w:p>
        </w:tc>
        <w:tc>
          <w:tcPr>
            <w:tcW w:w="813" w:type="dxa"/>
            <w:tcBorders>
              <w:top w:val="single" w:sz="6" w:space="0" w:color="FFFFFF"/>
              <w:left w:val="single" w:sz="6" w:space="0" w:color="FFFFFF"/>
              <w:bottom w:val="single" w:sz="6" w:space="0" w:color="FFFFFF"/>
              <w:right w:val="single" w:sz="6" w:space="0" w:color="FFFFFF"/>
            </w:tcBorders>
            <w:shd w:val="clear" w:color="auto" w:fill="E9F5F2"/>
            <w:vAlign w:val="bottom"/>
          </w:tcPr>
          <w:p w14:paraId="5D38E533" w14:textId="77777777" w:rsidR="00112CD4" w:rsidRPr="00E06D4C" w:rsidRDefault="00112CD4" w:rsidP="00E06D4C">
            <w:pPr>
              <w:pStyle w:val="TableParagraph"/>
              <w:spacing w:before="60" w:after="60"/>
              <w:ind w:left="57" w:right="57"/>
              <w:rPr>
                <w:sz w:val="20"/>
                <w:szCs w:val="20"/>
              </w:rPr>
            </w:pPr>
            <w:r w:rsidRPr="00E06D4C">
              <w:rPr>
                <w:color w:val="000000"/>
                <w:sz w:val="20"/>
                <w:szCs w:val="20"/>
              </w:rPr>
              <w:t xml:space="preserve">1.4 </w:t>
            </w:r>
          </w:p>
        </w:tc>
        <w:tc>
          <w:tcPr>
            <w:tcW w:w="1418" w:type="dxa"/>
            <w:tcBorders>
              <w:top w:val="single" w:sz="6" w:space="0" w:color="FFFFFF"/>
              <w:left w:val="single" w:sz="6" w:space="0" w:color="FFFFFF"/>
              <w:bottom w:val="single" w:sz="6" w:space="0" w:color="FFFFFF"/>
              <w:right w:val="single" w:sz="6" w:space="0" w:color="FFFFFF"/>
            </w:tcBorders>
            <w:shd w:val="clear" w:color="auto" w:fill="E9F5F2"/>
            <w:vAlign w:val="bottom"/>
          </w:tcPr>
          <w:p w14:paraId="6ABDB4E9" w14:textId="07D2CC50" w:rsidR="00112CD4" w:rsidRPr="00E06D4C" w:rsidRDefault="00112CD4" w:rsidP="00E06D4C">
            <w:pPr>
              <w:pStyle w:val="TableParagraph"/>
              <w:spacing w:before="60" w:after="60"/>
              <w:ind w:left="57" w:right="57"/>
              <w:rPr>
                <w:sz w:val="20"/>
                <w:szCs w:val="20"/>
              </w:rPr>
            </w:pPr>
            <w:r w:rsidRPr="00E06D4C">
              <w:rPr>
                <w:color w:val="000000"/>
                <w:sz w:val="20"/>
                <w:szCs w:val="20"/>
              </w:rPr>
              <w:t xml:space="preserve">16.4 </w:t>
            </w:r>
          </w:p>
        </w:tc>
      </w:tr>
    </w:tbl>
    <w:p w14:paraId="5239DB8B" w14:textId="3FB20B56" w:rsidR="00112CD4" w:rsidRDefault="000D765F" w:rsidP="00E06D4C">
      <w:pPr>
        <w:pStyle w:val="Heading2nonumber"/>
        <w:keepNext/>
      </w:pPr>
      <w:bookmarkStart w:id="49" w:name="_Toc227603137"/>
      <w:r>
        <w:t>Auction volumes for 2031</w:t>
      </w:r>
      <w:bookmarkEnd w:id="49"/>
    </w:p>
    <w:p w14:paraId="6C50869B" w14:textId="469CFC04" w:rsidR="000D765F" w:rsidRDefault="00526C8B" w:rsidP="000D765F">
      <w:pPr>
        <w:pStyle w:val="BodyText"/>
      </w:pPr>
      <w:r w:rsidRPr="00526C8B">
        <w:t>This advice is the first time the settings period has covered a portion of the third emissions budget, which runs from 2031 to 2035. The surplus is expected to be fully drawn down by the end of 2030, however minor ongoing surplus reduction volumes are needed post 2030 to reflect reductions in hedging requirements and ongoing sale of pre-1990 units.</w:t>
      </w:r>
    </w:p>
    <w:p w14:paraId="4CB181C9" w14:textId="36E1ED6A" w:rsidR="00526C8B" w:rsidRDefault="00526C8B" w:rsidP="00526C8B">
      <w:pPr>
        <w:pStyle w:val="Heading3"/>
      </w:pPr>
      <w:bookmarkStart w:id="50" w:name="_Toc227603138"/>
      <w:r>
        <w:t>Surplus reduction volumes post 2030</w:t>
      </w:r>
      <w:bookmarkEnd w:id="50"/>
    </w:p>
    <w:p w14:paraId="3CD629D1" w14:textId="77777777" w:rsidR="00CE3725" w:rsidRDefault="00CE3725" w:rsidP="00CE3725">
      <w:pPr>
        <w:pStyle w:val="BodyText"/>
      </w:pPr>
      <w:r>
        <w:t xml:space="preserve">Following drawdown of the base surplus by 2030, we apply an annual ongoing surplus reduction volume. An ongoing reduction volume recognises the risk of generating new surplus units from reduced hedging requirements (due to reducing emissions) and continued selling of pre-1990 allocation units. </w:t>
      </w:r>
    </w:p>
    <w:p w14:paraId="7F0F0DEA" w14:textId="5C3A84F3" w:rsidR="00CE3725" w:rsidRDefault="00CE3725" w:rsidP="00CE3725">
      <w:pPr>
        <w:pStyle w:val="BodyText"/>
      </w:pPr>
      <w:r>
        <w:t xml:space="preserve">We have based the ongoing hedging reductions on the hedging assumptions used in our central surplus estimate. </w:t>
      </w:r>
    </w:p>
    <w:p w14:paraId="7F95C5C9" w14:textId="265DBC21" w:rsidR="00CE3725" w:rsidRDefault="00CE3725" w:rsidP="00CE3725">
      <w:pPr>
        <w:pStyle w:val="BodyText"/>
      </w:pPr>
      <w:r>
        <w:t xml:space="preserve">Our assumed quarterly transfer rate of pre-1990 units after 2030 is 1.5%. This is a slower rate than the 3% transfer rate assumed in our central surplus estimate over 2026–2030. This is because we expect that the transfer rate is likely to decrease over time, as those units which are least likely to be sold make up a greater proportion of the remaining pre-1990 units. </w:t>
      </w:r>
    </w:p>
    <w:p w14:paraId="7004FB09" w14:textId="1230CB56" w:rsidR="00526C8B" w:rsidRDefault="00CE3725" w:rsidP="00CE3725">
      <w:pPr>
        <w:pStyle w:val="BodyText"/>
      </w:pPr>
      <w:r>
        <w:t xml:space="preserve">To determine the annual surplus reduction </w:t>
      </w:r>
      <w:proofErr w:type="gramStart"/>
      <w:r>
        <w:t>volume</w:t>
      </w:r>
      <w:proofErr w:type="gramEnd"/>
      <w:r>
        <w:t xml:space="preserve"> we have taken the sum of the units we forecast to become surplus over the 2031–2035 </w:t>
      </w:r>
      <w:r w:rsidRPr="006C0AF5">
        <w:t>period (2.3</w:t>
      </w:r>
      <w:r w:rsidR="00F95FC4">
        <w:t xml:space="preserve"> </w:t>
      </w:r>
      <w:r w:rsidRPr="006C0AF5">
        <w:t>m</w:t>
      </w:r>
      <w:r w:rsidR="00F95FC4">
        <w:t>illion</w:t>
      </w:r>
      <w:r w:rsidRPr="006C0AF5">
        <w:t>),</w:t>
      </w:r>
      <w:r>
        <w:t xml:space="preserve"> and distributed the reduction annually in proportion with the emissions cap over the period.</w:t>
      </w:r>
    </w:p>
    <w:p w14:paraId="1A3E01ED" w14:textId="2E5A813E" w:rsidR="00CE3725" w:rsidRDefault="00CE3725" w:rsidP="00CE3725">
      <w:pPr>
        <w:pStyle w:val="Heading3"/>
      </w:pPr>
      <w:bookmarkStart w:id="51" w:name="_Toc227603139"/>
      <w:r>
        <w:t>Auction volumes</w:t>
      </w:r>
      <w:bookmarkEnd w:id="51"/>
    </w:p>
    <w:p w14:paraId="4F31E04C" w14:textId="4C0B5557" w:rsidR="00CE3725" w:rsidRDefault="006B4A34" w:rsidP="00CE3725">
      <w:pPr>
        <w:pStyle w:val="BodyText"/>
      </w:pPr>
      <w:r w:rsidRPr="006B4A34">
        <w:t xml:space="preserve">Table </w:t>
      </w:r>
      <w:r w:rsidR="00A5719C" w:rsidRPr="006B4A34">
        <w:t>1</w:t>
      </w:r>
      <w:r w:rsidR="00A5719C">
        <w:t>5</w:t>
      </w:r>
      <w:r w:rsidR="00A5719C" w:rsidRPr="006B4A34">
        <w:t xml:space="preserve"> </w:t>
      </w:r>
      <w:r w:rsidRPr="006B4A34">
        <w:t>shows the unit limit steps 1–5 applied to the third emissions budget period.</w:t>
      </w:r>
    </w:p>
    <w:p w14:paraId="2516C661" w14:textId="1C19E7B4" w:rsidR="00A642BA" w:rsidRDefault="00A642BA" w:rsidP="00A642BA">
      <w:pPr>
        <w:pStyle w:val="FigureTabletitle"/>
      </w:pPr>
      <w:r>
        <w:t xml:space="preserve">Table </w:t>
      </w:r>
      <w:r w:rsidR="00B50217">
        <w:fldChar w:fldCharType="begin"/>
      </w:r>
      <w:r w:rsidR="00B50217">
        <w:instrText xml:space="preserve"> SEQ Table \* ARABIC </w:instrText>
      </w:r>
      <w:r w:rsidR="00B50217">
        <w:fldChar w:fldCharType="separate"/>
      </w:r>
      <w:r w:rsidR="00B50217">
        <w:rPr>
          <w:noProof/>
        </w:rPr>
        <w:t>15</w:t>
      </w:r>
      <w:r w:rsidR="00B50217">
        <w:rPr>
          <w:noProof/>
        </w:rPr>
        <w:fldChar w:fldCharType="end"/>
      </w:r>
      <w:r>
        <w:t xml:space="preserve">: </w:t>
      </w:r>
      <w:r w:rsidRPr="00AD5325">
        <w:t>Auction volumes over emissions budget three, 2031</w:t>
      </w:r>
      <w:r w:rsidR="00AD3D7D">
        <w:t>–</w:t>
      </w:r>
      <w:r w:rsidRPr="00AD5325">
        <w:t>2035</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854"/>
        <w:gridCol w:w="1264"/>
        <w:gridCol w:w="1042"/>
        <w:gridCol w:w="808"/>
        <w:gridCol w:w="808"/>
        <w:gridCol w:w="808"/>
        <w:gridCol w:w="1470"/>
      </w:tblGrid>
      <w:tr w:rsidR="003D5723" w:rsidRPr="003D5723" w14:paraId="28769189" w14:textId="77777777" w:rsidTr="00D4135B">
        <w:trPr>
          <w:trHeight w:val="480"/>
        </w:trPr>
        <w:tc>
          <w:tcPr>
            <w:tcW w:w="2854" w:type="dxa"/>
            <w:tcBorders>
              <w:top w:val="single" w:sz="6" w:space="0" w:color="FFFFFF"/>
              <w:left w:val="single" w:sz="6" w:space="0" w:color="FFFFFF"/>
              <w:bottom w:val="single" w:sz="6" w:space="0" w:color="FFFFFF"/>
              <w:right w:val="single" w:sz="6" w:space="0" w:color="FFFFFF"/>
            </w:tcBorders>
            <w:shd w:val="clear" w:color="auto" w:fill="002060"/>
            <w:vAlign w:val="center"/>
          </w:tcPr>
          <w:p w14:paraId="18F0EB04" w14:textId="77777777" w:rsidR="003D5723" w:rsidRPr="003D5723" w:rsidRDefault="003D5723" w:rsidP="00E06D4C">
            <w:pPr>
              <w:pStyle w:val="Tableheading"/>
              <w:spacing w:before="0" w:after="0" w:line="264" w:lineRule="auto"/>
              <w:ind w:left="57" w:right="57"/>
            </w:pPr>
          </w:p>
        </w:tc>
        <w:tc>
          <w:tcPr>
            <w:tcW w:w="1264" w:type="dxa"/>
            <w:tcBorders>
              <w:top w:val="single" w:sz="6" w:space="0" w:color="FFFFFF"/>
              <w:left w:val="single" w:sz="6" w:space="0" w:color="FFFFFF"/>
              <w:bottom w:val="single" w:sz="6" w:space="0" w:color="FFFFFF"/>
              <w:right w:val="single" w:sz="6" w:space="0" w:color="FFFFFF"/>
            </w:tcBorders>
            <w:shd w:val="clear" w:color="auto" w:fill="002060"/>
            <w:vAlign w:val="center"/>
          </w:tcPr>
          <w:p w14:paraId="6D74AFD3" w14:textId="77777777" w:rsidR="003D5723" w:rsidRPr="003D5723" w:rsidRDefault="003D5723" w:rsidP="00E06D4C">
            <w:pPr>
              <w:pStyle w:val="Tableheading"/>
              <w:spacing w:before="0" w:after="0" w:line="264" w:lineRule="auto"/>
              <w:ind w:left="57" w:right="57"/>
            </w:pPr>
            <w:r w:rsidRPr="003D5723">
              <w:t>New</w:t>
            </w:r>
          </w:p>
        </w:tc>
        <w:tc>
          <w:tcPr>
            <w:tcW w:w="3466" w:type="dxa"/>
            <w:gridSpan w:val="4"/>
            <w:tcBorders>
              <w:top w:val="single" w:sz="6" w:space="0" w:color="FFFFFF"/>
              <w:left w:val="single" w:sz="6" w:space="0" w:color="FFFFFF"/>
              <w:bottom w:val="single" w:sz="6" w:space="0" w:color="FFFFFF"/>
              <w:right w:val="single" w:sz="6" w:space="0" w:color="FFFFFF"/>
            </w:tcBorders>
            <w:shd w:val="clear" w:color="auto" w:fill="003A5D"/>
            <w:vAlign w:val="center"/>
          </w:tcPr>
          <w:p w14:paraId="308A1469" w14:textId="77777777" w:rsidR="003D5723" w:rsidRPr="003D5723" w:rsidRDefault="003D5723" w:rsidP="00E06D4C">
            <w:pPr>
              <w:pStyle w:val="Tableheading"/>
              <w:spacing w:before="0" w:after="0" w:line="264" w:lineRule="auto"/>
              <w:ind w:left="57" w:right="57"/>
              <w:rPr>
                <w:color w:val="FFFFFF"/>
              </w:rPr>
            </w:pPr>
            <w:r w:rsidRPr="003D5723">
              <w:rPr>
                <w:color w:val="FFFFFF"/>
              </w:rPr>
              <w:t>For visibility</w:t>
            </w:r>
          </w:p>
        </w:tc>
        <w:tc>
          <w:tcPr>
            <w:tcW w:w="1470" w:type="dxa"/>
            <w:tcBorders>
              <w:top w:val="single" w:sz="6" w:space="0" w:color="FFFFFF"/>
              <w:left w:val="single" w:sz="6" w:space="0" w:color="FFFFFF"/>
              <w:bottom w:val="single" w:sz="6" w:space="0" w:color="FFFFFF"/>
              <w:right w:val="single" w:sz="6" w:space="0" w:color="FFFFFF"/>
            </w:tcBorders>
            <w:shd w:val="clear" w:color="auto" w:fill="002060"/>
            <w:vAlign w:val="center"/>
          </w:tcPr>
          <w:p w14:paraId="3C3DC335" w14:textId="77777777" w:rsidR="003D5723" w:rsidRPr="003D5723" w:rsidRDefault="003D5723" w:rsidP="00E06D4C">
            <w:pPr>
              <w:pStyle w:val="Tableheading"/>
              <w:spacing w:before="0" w:after="0" w:line="264" w:lineRule="auto"/>
              <w:ind w:left="57" w:right="57"/>
            </w:pPr>
            <w:r w:rsidRPr="003D5723">
              <w:t>Sum</w:t>
            </w:r>
          </w:p>
        </w:tc>
      </w:tr>
      <w:tr w:rsidR="003D5723" w:rsidRPr="003D5723" w14:paraId="33909433" w14:textId="77777777" w:rsidTr="00D4135B">
        <w:trPr>
          <w:trHeight w:val="480"/>
        </w:trPr>
        <w:tc>
          <w:tcPr>
            <w:tcW w:w="2854" w:type="dxa"/>
            <w:tcBorders>
              <w:top w:val="single" w:sz="6" w:space="0" w:color="FFFFFF"/>
              <w:left w:val="single" w:sz="6" w:space="0" w:color="FFFFFF"/>
              <w:bottom w:val="single" w:sz="6" w:space="0" w:color="FFFFFF"/>
              <w:right w:val="single" w:sz="6" w:space="0" w:color="FFFFFF"/>
            </w:tcBorders>
            <w:shd w:val="clear" w:color="auto" w:fill="002060"/>
            <w:vAlign w:val="center"/>
          </w:tcPr>
          <w:p w14:paraId="67BA00F8" w14:textId="77777777" w:rsidR="003D5723" w:rsidRPr="003D5723" w:rsidRDefault="003D5723" w:rsidP="00E06D4C">
            <w:pPr>
              <w:pStyle w:val="TableParagraph"/>
              <w:spacing w:before="0" w:after="0" w:line="264" w:lineRule="auto"/>
              <w:ind w:left="57" w:right="57"/>
            </w:pPr>
            <w:r w:rsidRPr="003D5723">
              <w:t>Million units</w:t>
            </w:r>
          </w:p>
        </w:tc>
        <w:tc>
          <w:tcPr>
            <w:tcW w:w="1264" w:type="dxa"/>
            <w:tcBorders>
              <w:top w:val="single" w:sz="6" w:space="0" w:color="FFFFFF"/>
              <w:left w:val="single" w:sz="6" w:space="0" w:color="FFFFFF"/>
              <w:bottom w:val="single" w:sz="6" w:space="0" w:color="FFFFFF"/>
              <w:right w:val="single" w:sz="6" w:space="0" w:color="FFFFFF"/>
            </w:tcBorders>
            <w:shd w:val="clear" w:color="auto" w:fill="002060"/>
            <w:vAlign w:val="center"/>
          </w:tcPr>
          <w:p w14:paraId="65C41FE1" w14:textId="77777777" w:rsidR="003D5723" w:rsidRPr="003D5723" w:rsidRDefault="003D5723" w:rsidP="00E06D4C">
            <w:pPr>
              <w:pStyle w:val="TableParagraph"/>
              <w:spacing w:before="0" w:after="0" w:line="264" w:lineRule="auto"/>
              <w:ind w:left="57" w:right="57"/>
            </w:pPr>
            <w:r w:rsidRPr="003D5723">
              <w:t>2031</w:t>
            </w:r>
          </w:p>
        </w:tc>
        <w:tc>
          <w:tcPr>
            <w:tcW w:w="1042" w:type="dxa"/>
            <w:tcBorders>
              <w:top w:val="single" w:sz="6" w:space="0" w:color="FFFFFF"/>
              <w:left w:val="single" w:sz="6" w:space="0" w:color="FFFFFF"/>
              <w:bottom w:val="single" w:sz="6" w:space="0" w:color="FFFFFF"/>
              <w:right w:val="single" w:sz="6" w:space="0" w:color="FFFFFF"/>
            </w:tcBorders>
            <w:shd w:val="clear" w:color="auto" w:fill="003A5D"/>
            <w:vAlign w:val="center"/>
          </w:tcPr>
          <w:p w14:paraId="3007E942" w14:textId="77777777" w:rsidR="003D5723" w:rsidRPr="003D5723" w:rsidRDefault="003D5723" w:rsidP="00E06D4C">
            <w:pPr>
              <w:pStyle w:val="TableParagraph"/>
              <w:spacing w:before="0" w:after="0" w:line="264" w:lineRule="auto"/>
              <w:ind w:left="57" w:right="57"/>
              <w:rPr>
                <w:color w:val="FFFFFF"/>
              </w:rPr>
            </w:pPr>
            <w:r w:rsidRPr="003D5723">
              <w:rPr>
                <w:color w:val="FFFFFF"/>
              </w:rPr>
              <w:t>2032</w:t>
            </w:r>
          </w:p>
        </w:tc>
        <w:tc>
          <w:tcPr>
            <w:tcW w:w="808" w:type="dxa"/>
            <w:tcBorders>
              <w:top w:val="single" w:sz="6" w:space="0" w:color="FFFFFF"/>
              <w:left w:val="single" w:sz="6" w:space="0" w:color="FFFFFF"/>
              <w:bottom w:val="single" w:sz="6" w:space="0" w:color="FFFFFF"/>
              <w:right w:val="single" w:sz="6" w:space="0" w:color="FFFFFF"/>
            </w:tcBorders>
            <w:shd w:val="clear" w:color="auto" w:fill="003A5D"/>
            <w:vAlign w:val="center"/>
          </w:tcPr>
          <w:p w14:paraId="3A8C5FBF" w14:textId="77777777" w:rsidR="003D5723" w:rsidRPr="003D5723" w:rsidRDefault="003D5723" w:rsidP="00E06D4C">
            <w:pPr>
              <w:pStyle w:val="TableParagraph"/>
              <w:spacing w:before="0" w:after="0" w:line="264" w:lineRule="auto"/>
              <w:ind w:left="57" w:right="57"/>
              <w:rPr>
                <w:color w:val="FFFFFF"/>
              </w:rPr>
            </w:pPr>
            <w:r w:rsidRPr="003D5723">
              <w:rPr>
                <w:color w:val="FFFFFF"/>
              </w:rPr>
              <w:t>2033</w:t>
            </w:r>
          </w:p>
        </w:tc>
        <w:tc>
          <w:tcPr>
            <w:tcW w:w="808" w:type="dxa"/>
            <w:tcBorders>
              <w:top w:val="single" w:sz="6" w:space="0" w:color="FFFFFF"/>
              <w:left w:val="single" w:sz="6" w:space="0" w:color="FFFFFF"/>
              <w:bottom w:val="single" w:sz="6" w:space="0" w:color="FFFFFF"/>
              <w:right w:val="single" w:sz="6" w:space="0" w:color="FFFFFF"/>
            </w:tcBorders>
            <w:shd w:val="clear" w:color="auto" w:fill="003A5D"/>
            <w:vAlign w:val="center"/>
          </w:tcPr>
          <w:p w14:paraId="3641E2E7" w14:textId="77777777" w:rsidR="003D5723" w:rsidRPr="003D5723" w:rsidRDefault="003D5723" w:rsidP="00E06D4C">
            <w:pPr>
              <w:pStyle w:val="TableParagraph"/>
              <w:spacing w:before="0" w:after="0" w:line="264" w:lineRule="auto"/>
              <w:ind w:left="57" w:right="57"/>
              <w:rPr>
                <w:color w:val="FFFFFF"/>
              </w:rPr>
            </w:pPr>
            <w:r w:rsidRPr="003D5723">
              <w:rPr>
                <w:color w:val="FFFFFF"/>
              </w:rPr>
              <w:t>2034</w:t>
            </w:r>
          </w:p>
        </w:tc>
        <w:tc>
          <w:tcPr>
            <w:tcW w:w="808" w:type="dxa"/>
            <w:tcBorders>
              <w:top w:val="single" w:sz="6" w:space="0" w:color="FFFFFF"/>
              <w:left w:val="single" w:sz="6" w:space="0" w:color="FFFFFF"/>
              <w:bottom w:val="single" w:sz="6" w:space="0" w:color="FFFFFF"/>
              <w:right w:val="single" w:sz="6" w:space="0" w:color="FFFFFF"/>
            </w:tcBorders>
            <w:shd w:val="clear" w:color="auto" w:fill="003A5D"/>
            <w:vAlign w:val="center"/>
          </w:tcPr>
          <w:p w14:paraId="18AA7A75" w14:textId="77777777" w:rsidR="003D5723" w:rsidRPr="003D5723" w:rsidRDefault="003D5723" w:rsidP="00E06D4C">
            <w:pPr>
              <w:pStyle w:val="TableParagraph"/>
              <w:spacing w:before="0" w:after="0" w:line="264" w:lineRule="auto"/>
              <w:ind w:left="57" w:right="57"/>
              <w:rPr>
                <w:color w:val="FFFFFF"/>
              </w:rPr>
            </w:pPr>
            <w:r w:rsidRPr="003D5723">
              <w:rPr>
                <w:color w:val="FFFFFF"/>
              </w:rPr>
              <w:t>2035</w:t>
            </w:r>
          </w:p>
        </w:tc>
        <w:tc>
          <w:tcPr>
            <w:tcW w:w="1470" w:type="dxa"/>
            <w:tcBorders>
              <w:top w:val="single" w:sz="6" w:space="0" w:color="FFFFFF"/>
              <w:left w:val="single" w:sz="6" w:space="0" w:color="FFFFFF"/>
              <w:bottom w:val="single" w:sz="6" w:space="0" w:color="FFFFFF"/>
              <w:right w:val="single" w:sz="6" w:space="0" w:color="FFFFFF"/>
            </w:tcBorders>
            <w:shd w:val="clear" w:color="auto" w:fill="002060"/>
            <w:vAlign w:val="center"/>
          </w:tcPr>
          <w:p w14:paraId="5F28995E" w14:textId="711A685D" w:rsidR="003D5723" w:rsidRPr="003D5723" w:rsidRDefault="003D5723" w:rsidP="00E06D4C">
            <w:pPr>
              <w:pStyle w:val="TableParagraph"/>
              <w:spacing w:before="0" w:after="0" w:line="264" w:lineRule="auto"/>
              <w:ind w:left="57" w:right="57"/>
            </w:pPr>
            <w:r w:rsidRPr="003D5723">
              <w:t>2031</w:t>
            </w:r>
            <w:r w:rsidR="009404DC">
              <w:t>–</w:t>
            </w:r>
            <w:r w:rsidRPr="003D5723">
              <w:t>2035</w:t>
            </w:r>
          </w:p>
        </w:tc>
      </w:tr>
      <w:tr w:rsidR="006D52EB" w:rsidRPr="003D5723" w14:paraId="6B098263" w14:textId="77777777" w:rsidTr="00D4135B">
        <w:trPr>
          <w:trHeight w:val="450"/>
        </w:trPr>
        <w:tc>
          <w:tcPr>
            <w:tcW w:w="2854" w:type="dxa"/>
            <w:tcBorders>
              <w:top w:val="single" w:sz="6" w:space="0" w:color="FFFFFF"/>
              <w:left w:val="single" w:sz="6" w:space="0" w:color="FFFFFF"/>
              <w:bottom w:val="single" w:sz="6" w:space="0" w:color="FFFFFF"/>
              <w:right w:val="single" w:sz="6" w:space="0" w:color="FFFFFF"/>
            </w:tcBorders>
            <w:shd w:val="clear" w:color="auto" w:fill="C1DCD5"/>
            <w:vAlign w:val="center"/>
          </w:tcPr>
          <w:p w14:paraId="4C923554" w14:textId="69D5B622" w:rsidR="003D5723" w:rsidRPr="003D5723" w:rsidRDefault="003D5723" w:rsidP="00E06D4C">
            <w:pPr>
              <w:pStyle w:val="TableParagraph"/>
              <w:spacing w:before="0" w:after="0" w:line="264" w:lineRule="auto"/>
              <w:ind w:left="57" w:right="57"/>
            </w:pPr>
            <w:r w:rsidRPr="003D5723">
              <w:t xml:space="preserve">NZ ETS emissions cap </w:t>
            </w:r>
            <w:r w:rsidR="00813364">
              <w:br/>
            </w:r>
            <w:r w:rsidRPr="003D5723">
              <w:t>(MtCO</w:t>
            </w:r>
            <w:r w:rsidRPr="003D5723">
              <w:rPr>
                <w:vertAlign w:val="subscript"/>
              </w:rPr>
              <w:t>2</w:t>
            </w:r>
            <w:r w:rsidRPr="003D5723">
              <w:t>e)</w:t>
            </w:r>
          </w:p>
        </w:tc>
        <w:tc>
          <w:tcPr>
            <w:tcW w:w="1264" w:type="dxa"/>
            <w:tcBorders>
              <w:top w:val="single" w:sz="6" w:space="0" w:color="FFFFFF"/>
              <w:left w:val="single" w:sz="6" w:space="0" w:color="FFFFFF"/>
              <w:bottom w:val="single" w:sz="6" w:space="0" w:color="FFFFFF"/>
              <w:right w:val="single" w:sz="6" w:space="0" w:color="FFFFFF"/>
            </w:tcBorders>
            <w:shd w:val="clear" w:color="auto" w:fill="D4E8DE"/>
            <w:vAlign w:val="center"/>
          </w:tcPr>
          <w:p w14:paraId="2014B853" w14:textId="064D3220" w:rsidR="003D5723" w:rsidRPr="00235918" w:rsidRDefault="003D5723" w:rsidP="00E06D4C">
            <w:pPr>
              <w:pStyle w:val="TableParagraph"/>
              <w:spacing w:before="0" w:after="0" w:line="264" w:lineRule="auto"/>
              <w:ind w:left="57" w:right="57"/>
              <w:rPr>
                <w:highlight w:val="yellow"/>
              </w:rPr>
            </w:pPr>
            <w:r>
              <w:rPr>
                <w:color w:val="000000"/>
              </w:rPr>
              <w:t>7.</w:t>
            </w:r>
            <w:r w:rsidR="00D4135B">
              <w:rPr>
                <w:color w:val="000000"/>
              </w:rPr>
              <w:t xml:space="preserve">6 </w:t>
            </w:r>
          </w:p>
        </w:tc>
        <w:tc>
          <w:tcPr>
            <w:tcW w:w="1042" w:type="dxa"/>
            <w:tcBorders>
              <w:top w:val="single" w:sz="6" w:space="0" w:color="FFFFFF"/>
              <w:left w:val="single" w:sz="6" w:space="0" w:color="FFFFFF"/>
              <w:bottom w:val="single" w:sz="6" w:space="0" w:color="FFFFFF"/>
              <w:right w:val="single" w:sz="6" w:space="0" w:color="FFFFFF"/>
            </w:tcBorders>
            <w:shd w:val="clear" w:color="auto" w:fill="D4E8DE"/>
            <w:vAlign w:val="center"/>
          </w:tcPr>
          <w:p w14:paraId="55F015B4" w14:textId="21E26C6D" w:rsidR="003D5723" w:rsidRPr="00235918" w:rsidRDefault="003D5723" w:rsidP="00E06D4C">
            <w:pPr>
              <w:pStyle w:val="TableParagraph"/>
              <w:spacing w:before="0" w:after="0" w:line="264" w:lineRule="auto"/>
              <w:ind w:left="57" w:right="57"/>
              <w:rPr>
                <w:highlight w:val="yellow"/>
              </w:rPr>
            </w:pPr>
            <w:r>
              <w:rPr>
                <w:color w:val="000000"/>
              </w:rPr>
              <w:t>6.</w:t>
            </w:r>
            <w:r w:rsidR="00D4135B">
              <w:rPr>
                <w:color w:val="000000"/>
              </w:rPr>
              <w:t xml:space="preserve">7 </w:t>
            </w:r>
          </w:p>
        </w:tc>
        <w:tc>
          <w:tcPr>
            <w:tcW w:w="808" w:type="dxa"/>
            <w:tcBorders>
              <w:top w:val="single" w:sz="6" w:space="0" w:color="FFFFFF"/>
              <w:left w:val="single" w:sz="6" w:space="0" w:color="FFFFFF"/>
              <w:bottom w:val="single" w:sz="6" w:space="0" w:color="FFFFFF"/>
              <w:right w:val="single" w:sz="6" w:space="0" w:color="FFFFFF"/>
            </w:tcBorders>
            <w:shd w:val="clear" w:color="auto" w:fill="D4E8DE"/>
            <w:vAlign w:val="center"/>
          </w:tcPr>
          <w:p w14:paraId="767D7427" w14:textId="393D329B" w:rsidR="003D5723" w:rsidRPr="00235918" w:rsidRDefault="003D5723" w:rsidP="00E06D4C">
            <w:pPr>
              <w:pStyle w:val="TableParagraph"/>
              <w:spacing w:before="0" w:after="0" w:line="264" w:lineRule="auto"/>
              <w:ind w:left="57" w:right="57"/>
              <w:rPr>
                <w:highlight w:val="yellow"/>
              </w:rPr>
            </w:pPr>
            <w:r>
              <w:rPr>
                <w:color w:val="000000"/>
              </w:rPr>
              <w:t>5.</w:t>
            </w:r>
            <w:r w:rsidR="00D4135B">
              <w:rPr>
                <w:color w:val="000000"/>
              </w:rPr>
              <w:t xml:space="preserve">8 </w:t>
            </w:r>
          </w:p>
        </w:tc>
        <w:tc>
          <w:tcPr>
            <w:tcW w:w="808" w:type="dxa"/>
            <w:tcBorders>
              <w:top w:val="single" w:sz="6" w:space="0" w:color="FFFFFF"/>
              <w:left w:val="single" w:sz="6" w:space="0" w:color="FFFFFF"/>
              <w:bottom w:val="single" w:sz="6" w:space="0" w:color="FFFFFF"/>
              <w:right w:val="single" w:sz="6" w:space="0" w:color="FFFFFF"/>
            </w:tcBorders>
            <w:shd w:val="clear" w:color="auto" w:fill="D4E8DE"/>
            <w:vAlign w:val="center"/>
          </w:tcPr>
          <w:p w14:paraId="45DDED3C" w14:textId="2D52E5B6" w:rsidR="003D5723" w:rsidRPr="00235918" w:rsidRDefault="003D5723" w:rsidP="00E06D4C">
            <w:pPr>
              <w:pStyle w:val="TableParagraph"/>
              <w:spacing w:before="0" w:after="0" w:line="264" w:lineRule="auto"/>
              <w:ind w:left="57" w:right="57"/>
              <w:rPr>
                <w:highlight w:val="yellow"/>
              </w:rPr>
            </w:pPr>
            <w:r>
              <w:rPr>
                <w:color w:val="000000"/>
              </w:rPr>
              <w:t>4.</w:t>
            </w:r>
            <w:r w:rsidR="00D4135B">
              <w:rPr>
                <w:color w:val="000000"/>
              </w:rPr>
              <w:t xml:space="preserve">7 </w:t>
            </w:r>
          </w:p>
        </w:tc>
        <w:tc>
          <w:tcPr>
            <w:tcW w:w="808" w:type="dxa"/>
            <w:tcBorders>
              <w:top w:val="single" w:sz="6" w:space="0" w:color="FFFFFF"/>
              <w:left w:val="single" w:sz="6" w:space="0" w:color="FFFFFF"/>
              <w:bottom w:val="single" w:sz="6" w:space="0" w:color="FFFFFF"/>
              <w:right w:val="single" w:sz="6" w:space="0" w:color="FFFFFF"/>
            </w:tcBorders>
            <w:shd w:val="clear" w:color="auto" w:fill="D4E8DE"/>
            <w:vAlign w:val="center"/>
          </w:tcPr>
          <w:p w14:paraId="6DE2F461" w14:textId="4690D0BF" w:rsidR="003D5723" w:rsidRPr="00235918" w:rsidRDefault="00D4135B" w:rsidP="00E06D4C">
            <w:pPr>
              <w:pStyle w:val="TableParagraph"/>
              <w:spacing w:before="0" w:after="0" w:line="264" w:lineRule="auto"/>
              <w:ind w:left="57" w:right="57"/>
              <w:rPr>
                <w:highlight w:val="yellow"/>
              </w:rPr>
            </w:pPr>
            <w:r>
              <w:rPr>
                <w:color w:val="000000"/>
              </w:rPr>
              <w:t xml:space="preserve">4.1 </w:t>
            </w:r>
          </w:p>
        </w:tc>
        <w:tc>
          <w:tcPr>
            <w:tcW w:w="1470" w:type="dxa"/>
            <w:tcBorders>
              <w:top w:val="single" w:sz="6" w:space="0" w:color="FFFFFF"/>
              <w:left w:val="single" w:sz="6" w:space="0" w:color="FFFFFF"/>
              <w:bottom w:val="single" w:sz="6" w:space="0" w:color="FFFFFF"/>
              <w:right w:val="single" w:sz="6" w:space="0" w:color="FFFFFF"/>
            </w:tcBorders>
            <w:shd w:val="clear" w:color="auto" w:fill="D4E8DE"/>
            <w:vAlign w:val="center"/>
          </w:tcPr>
          <w:p w14:paraId="36C6286C" w14:textId="3D275BC6" w:rsidR="003D5723" w:rsidRPr="00235918" w:rsidRDefault="003D5723" w:rsidP="00E06D4C">
            <w:pPr>
              <w:pStyle w:val="TableParagraph"/>
              <w:spacing w:before="0" w:after="0" w:line="264" w:lineRule="auto"/>
              <w:ind w:left="57" w:right="57"/>
              <w:rPr>
                <w:highlight w:val="yellow"/>
              </w:rPr>
            </w:pPr>
            <w:r w:rsidRPr="00E50921">
              <w:t>28.9</w:t>
            </w:r>
          </w:p>
        </w:tc>
      </w:tr>
      <w:tr w:rsidR="003D5723" w:rsidRPr="003D5723" w14:paraId="5D1BB04F" w14:textId="77777777" w:rsidTr="00E06D4C">
        <w:trPr>
          <w:trHeight w:val="480"/>
        </w:trPr>
        <w:tc>
          <w:tcPr>
            <w:tcW w:w="2854" w:type="dxa"/>
            <w:tcBorders>
              <w:top w:val="single" w:sz="6" w:space="0" w:color="FFFFFF"/>
              <w:left w:val="single" w:sz="6" w:space="0" w:color="FFFFFF"/>
              <w:bottom w:val="single" w:sz="6" w:space="0" w:color="FFFFFF"/>
              <w:right w:val="single" w:sz="6" w:space="0" w:color="FFFFFF"/>
            </w:tcBorders>
            <w:shd w:val="clear" w:color="auto" w:fill="C1DCD5"/>
            <w:vAlign w:val="center"/>
          </w:tcPr>
          <w:p w14:paraId="66DBF0EC" w14:textId="77777777" w:rsidR="003D5723" w:rsidRPr="003D5723" w:rsidRDefault="003D5723" w:rsidP="00E06D4C">
            <w:pPr>
              <w:pStyle w:val="TableParagraph"/>
              <w:spacing w:before="0" w:after="0" w:line="264" w:lineRule="auto"/>
              <w:ind w:left="57" w:right="57"/>
              <w:rPr>
                <w:highlight w:val="yellow"/>
              </w:rPr>
            </w:pPr>
            <w:r w:rsidRPr="003D5723">
              <w:t>1. Convert and align emissions and units (technical adjustment)</w:t>
            </w:r>
          </w:p>
        </w:tc>
        <w:tc>
          <w:tcPr>
            <w:tcW w:w="1264" w:type="dxa"/>
            <w:tcBorders>
              <w:top w:val="single" w:sz="6" w:space="0" w:color="FFFFFF"/>
              <w:left w:val="single" w:sz="6" w:space="0" w:color="FFFFFF"/>
              <w:bottom w:val="single" w:sz="6" w:space="0" w:color="FFFFFF"/>
              <w:right w:val="single" w:sz="6" w:space="0" w:color="FFFFFF"/>
            </w:tcBorders>
            <w:shd w:val="clear" w:color="auto" w:fill="E9F5F2"/>
            <w:vAlign w:val="center"/>
          </w:tcPr>
          <w:p w14:paraId="1EB66960" w14:textId="77777777" w:rsidR="003D5723" w:rsidRPr="003D5723" w:rsidRDefault="003D5723" w:rsidP="00E06D4C">
            <w:pPr>
              <w:pStyle w:val="TableParagraph"/>
              <w:spacing w:before="0" w:after="0" w:line="264" w:lineRule="auto"/>
              <w:ind w:left="57" w:right="57"/>
            </w:pPr>
            <w:r w:rsidRPr="003D5723">
              <w:t>0.5</w:t>
            </w:r>
          </w:p>
        </w:tc>
        <w:tc>
          <w:tcPr>
            <w:tcW w:w="1042" w:type="dxa"/>
            <w:tcBorders>
              <w:top w:val="single" w:sz="6" w:space="0" w:color="FFFFFF"/>
              <w:left w:val="single" w:sz="6" w:space="0" w:color="FFFFFF"/>
              <w:bottom w:val="single" w:sz="6" w:space="0" w:color="FFFFFF"/>
              <w:right w:val="single" w:sz="6" w:space="0" w:color="FFFFFF"/>
            </w:tcBorders>
            <w:shd w:val="clear" w:color="auto" w:fill="E9F5F2"/>
            <w:vAlign w:val="center"/>
          </w:tcPr>
          <w:p w14:paraId="56F540F8" w14:textId="77777777" w:rsidR="003D5723" w:rsidRPr="003D5723" w:rsidRDefault="003D5723" w:rsidP="00E06D4C">
            <w:pPr>
              <w:pStyle w:val="TableParagraph"/>
              <w:spacing w:before="0" w:after="0" w:line="264" w:lineRule="auto"/>
              <w:ind w:left="57" w:right="57"/>
            </w:pPr>
            <w:r w:rsidRPr="003D5723">
              <w:t>0.5</w:t>
            </w:r>
          </w:p>
        </w:tc>
        <w:tc>
          <w:tcPr>
            <w:tcW w:w="808" w:type="dxa"/>
            <w:tcBorders>
              <w:top w:val="single" w:sz="6" w:space="0" w:color="FFFFFF"/>
              <w:left w:val="single" w:sz="6" w:space="0" w:color="FFFFFF"/>
              <w:bottom w:val="single" w:sz="6" w:space="0" w:color="FFFFFF"/>
              <w:right w:val="single" w:sz="6" w:space="0" w:color="FFFFFF"/>
            </w:tcBorders>
            <w:shd w:val="clear" w:color="auto" w:fill="E9F5F2"/>
            <w:vAlign w:val="center"/>
          </w:tcPr>
          <w:p w14:paraId="19CA53AC" w14:textId="77777777" w:rsidR="003D5723" w:rsidRPr="003D5723" w:rsidRDefault="003D5723" w:rsidP="00E06D4C">
            <w:pPr>
              <w:pStyle w:val="TableParagraph"/>
              <w:spacing w:before="0" w:after="0" w:line="264" w:lineRule="auto"/>
              <w:ind w:left="57" w:right="57"/>
            </w:pPr>
            <w:r w:rsidRPr="003D5723">
              <w:t>0.5</w:t>
            </w:r>
          </w:p>
        </w:tc>
        <w:tc>
          <w:tcPr>
            <w:tcW w:w="808" w:type="dxa"/>
            <w:tcBorders>
              <w:top w:val="single" w:sz="6" w:space="0" w:color="FFFFFF"/>
              <w:left w:val="single" w:sz="6" w:space="0" w:color="FFFFFF"/>
              <w:bottom w:val="single" w:sz="6" w:space="0" w:color="FFFFFF"/>
              <w:right w:val="single" w:sz="6" w:space="0" w:color="FFFFFF"/>
            </w:tcBorders>
            <w:shd w:val="clear" w:color="auto" w:fill="E9F5F2"/>
            <w:vAlign w:val="center"/>
          </w:tcPr>
          <w:p w14:paraId="01F89E57" w14:textId="77777777" w:rsidR="003D5723" w:rsidRPr="003D5723" w:rsidRDefault="003D5723" w:rsidP="00E06D4C">
            <w:pPr>
              <w:pStyle w:val="TableParagraph"/>
              <w:spacing w:before="0" w:after="0" w:line="264" w:lineRule="auto"/>
              <w:ind w:left="57" w:right="57"/>
            </w:pPr>
            <w:r w:rsidRPr="003D5723">
              <w:t>0.5</w:t>
            </w:r>
          </w:p>
        </w:tc>
        <w:tc>
          <w:tcPr>
            <w:tcW w:w="808" w:type="dxa"/>
            <w:tcBorders>
              <w:top w:val="single" w:sz="6" w:space="0" w:color="FFFFFF"/>
              <w:left w:val="single" w:sz="6" w:space="0" w:color="FFFFFF"/>
              <w:bottom w:val="single" w:sz="6" w:space="0" w:color="FFFFFF"/>
              <w:right w:val="single" w:sz="6" w:space="0" w:color="FFFFFF"/>
            </w:tcBorders>
            <w:shd w:val="clear" w:color="auto" w:fill="E9F5F2"/>
            <w:vAlign w:val="center"/>
          </w:tcPr>
          <w:p w14:paraId="39DF3391" w14:textId="77777777" w:rsidR="003D5723" w:rsidRPr="003D5723" w:rsidRDefault="003D5723" w:rsidP="00E06D4C">
            <w:pPr>
              <w:pStyle w:val="TableParagraph"/>
              <w:spacing w:before="0" w:after="0" w:line="264" w:lineRule="auto"/>
              <w:ind w:left="57" w:right="57"/>
            </w:pPr>
            <w:r w:rsidRPr="003D5723">
              <w:t>0.7</w:t>
            </w:r>
          </w:p>
        </w:tc>
        <w:tc>
          <w:tcPr>
            <w:tcW w:w="1470" w:type="dxa"/>
            <w:tcBorders>
              <w:top w:val="single" w:sz="6" w:space="0" w:color="FFFFFF"/>
              <w:left w:val="single" w:sz="6" w:space="0" w:color="FFFFFF"/>
              <w:bottom w:val="single" w:sz="6" w:space="0" w:color="FFFFFF"/>
              <w:right w:val="single" w:sz="6" w:space="0" w:color="FFFFFF"/>
            </w:tcBorders>
            <w:shd w:val="clear" w:color="auto" w:fill="E9F5F2"/>
            <w:vAlign w:val="center"/>
          </w:tcPr>
          <w:p w14:paraId="42CA11DA" w14:textId="77777777" w:rsidR="003D5723" w:rsidRPr="003D5723" w:rsidRDefault="003D5723" w:rsidP="00E06D4C">
            <w:pPr>
              <w:pStyle w:val="TableParagraph"/>
              <w:spacing w:before="0" w:after="0" w:line="264" w:lineRule="auto"/>
              <w:ind w:left="57" w:right="57"/>
            </w:pPr>
            <w:r w:rsidRPr="003D5723">
              <w:t>2.8</w:t>
            </w:r>
          </w:p>
        </w:tc>
      </w:tr>
      <w:tr w:rsidR="003D5723" w:rsidRPr="003D5723" w14:paraId="2D16861B" w14:textId="77777777" w:rsidTr="00E06D4C">
        <w:trPr>
          <w:trHeight w:val="480"/>
        </w:trPr>
        <w:tc>
          <w:tcPr>
            <w:tcW w:w="2854" w:type="dxa"/>
            <w:tcBorders>
              <w:top w:val="single" w:sz="6" w:space="0" w:color="FFFFFF"/>
              <w:left w:val="single" w:sz="6" w:space="0" w:color="FFFFFF"/>
              <w:bottom w:val="single" w:sz="6" w:space="0" w:color="FFFFFF"/>
              <w:right w:val="single" w:sz="6" w:space="0" w:color="FFFFFF"/>
            </w:tcBorders>
            <w:shd w:val="clear" w:color="auto" w:fill="C1DCD5"/>
            <w:vAlign w:val="center"/>
          </w:tcPr>
          <w:p w14:paraId="0A47B7EB" w14:textId="77777777" w:rsidR="003D5723" w:rsidRPr="003D5723" w:rsidRDefault="003D5723" w:rsidP="00E06D4C">
            <w:pPr>
              <w:pStyle w:val="TableParagraph"/>
              <w:spacing w:before="0" w:after="0" w:line="264" w:lineRule="auto"/>
              <w:ind w:left="57" w:right="57"/>
            </w:pPr>
            <w:r w:rsidRPr="003D5723">
              <w:t>2. Industrial free allocation</w:t>
            </w:r>
          </w:p>
        </w:tc>
        <w:tc>
          <w:tcPr>
            <w:tcW w:w="1264" w:type="dxa"/>
            <w:tcBorders>
              <w:top w:val="single" w:sz="6" w:space="0" w:color="FFFFFF"/>
              <w:left w:val="single" w:sz="6" w:space="0" w:color="FFFFFF"/>
              <w:bottom w:val="single" w:sz="6" w:space="0" w:color="FFFFFF"/>
              <w:right w:val="single" w:sz="6" w:space="0" w:color="FFFFFF"/>
            </w:tcBorders>
            <w:shd w:val="clear" w:color="auto" w:fill="D4E8DE"/>
            <w:vAlign w:val="center"/>
          </w:tcPr>
          <w:p w14:paraId="7C677774" w14:textId="77777777" w:rsidR="003D5723" w:rsidRPr="003D5723" w:rsidRDefault="003D5723" w:rsidP="00E06D4C">
            <w:pPr>
              <w:pStyle w:val="TableParagraph"/>
              <w:spacing w:before="0" w:after="0" w:line="264" w:lineRule="auto"/>
              <w:ind w:left="57" w:right="57"/>
            </w:pPr>
            <w:r w:rsidRPr="003D5723">
              <w:t>3.5</w:t>
            </w:r>
          </w:p>
        </w:tc>
        <w:tc>
          <w:tcPr>
            <w:tcW w:w="1042" w:type="dxa"/>
            <w:tcBorders>
              <w:top w:val="single" w:sz="6" w:space="0" w:color="FFFFFF"/>
              <w:left w:val="single" w:sz="6" w:space="0" w:color="FFFFFF"/>
              <w:bottom w:val="single" w:sz="6" w:space="0" w:color="FFFFFF"/>
              <w:right w:val="single" w:sz="6" w:space="0" w:color="FFFFFF"/>
            </w:tcBorders>
            <w:shd w:val="clear" w:color="auto" w:fill="D4E8DE"/>
            <w:vAlign w:val="center"/>
          </w:tcPr>
          <w:p w14:paraId="285E891D" w14:textId="77777777" w:rsidR="003D5723" w:rsidRPr="003D5723" w:rsidRDefault="003D5723" w:rsidP="00E06D4C">
            <w:pPr>
              <w:pStyle w:val="TableParagraph"/>
              <w:spacing w:before="0" w:after="0" w:line="264" w:lineRule="auto"/>
              <w:ind w:left="57" w:right="57"/>
            </w:pPr>
            <w:r w:rsidRPr="003D5723">
              <w:t>3.4</w:t>
            </w:r>
          </w:p>
        </w:tc>
        <w:tc>
          <w:tcPr>
            <w:tcW w:w="808" w:type="dxa"/>
            <w:tcBorders>
              <w:top w:val="single" w:sz="6" w:space="0" w:color="FFFFFF"/>
              <w:left w:val="single" w:sz="6" w:space="0" w:color="FFFFFF"/>
              <w:bottom w:val="single" w:sz="6" w:space="0" w:color="FFFFFF"/>
              <w:right w:val="single" w:sz="6" w:space="0" w:color="FFFFFF"/>
            </w:tcBorders>
            <w:shd w:val="clear" w:color="auto" w:fill="D4E8DE"/>
            <w:vAlign w:val="center"/>
          </w:tcPr>
          <w:p w14:paraId="4DBEEDA2" w14:textId="77777777" w:rsidR="003D5723" w:rsidRPr="003D5723" w:rsidRDefault="003D5723" w:rsidP="00E06D4C">
            <w:pPr>
              <w:pStyle w:val="TableParagraph"/>
              <w:spacing w:before="0" w:after="0" w:line="264" w:lineRule="auto"/>
              <w:ind w:left="57" w:right="57"/>
            </w:pPr>
            <w:r w:rsidRPr="003D5723">
              <w:t>3.3</w:t>
            </w:r>
          </w:p>
        </w:tc>
        <w:tc>
          <w:tcPr>
            <w:tcW w:w="808" w:type="dxa"/>
            <w:tcBorders>
              <w:top w:val="single" w:sz="6" w:space="0" w:color="FFFFFF"/>
              <w:left w:val="single" w:sz="6" w:space="0" w:color="FFFFFF"/>
              <w:bottom w:val="single" w:sz="6" w:space="0" w:color="FFFFFF"/>
              <w:right w:val="single" w:sz="6" w:space="0" w:color="FFFFFF"/>
            </w:tcBorders>
            <w:shd w:val="clear" w:color="auto" w:fill="D4E8DE"/>
            <w:vAlign w:val="center"/>
          </w:tcPr>
          <w:p w14:paraId="30AF405C" w14:textId="77777777" w:rsidR="003D5723" w:rsidRPr="003D5723" w:rsidRDefault="003D5723" w:rsidP="00E06D4C">
            <w:pPr>
              <w:pStyle w:val="TableParagraph"/>
              <w:spacing w:before="0" w:after="0" w:line="264" w:lineRule="auto"/>
              <w:ind w:left="57" w:right="57"/>
            </w:pPr>
            <w:r w:rsidRPr="003D5723">
              <w:t>3.2</w:t>
            </w:r>
          </w:p>
        </w:tc>
        <w:tc>
          <w:tcPr>
            <w:tcW w:w="808" w:type="dxa"/>
            <w:tcBorders>
              <w:top w:val="single" w:sz="6" w:space="0" w:color="FFFFFF"/>
              <w:left w:val="single" w:sz="6" w:space="0" w:color="FFFFFF"/>
              <w:bottom w:val="single" w:sz="6" w:space="0" w:color="FFFFFF"/>
              <w:right w:val="single" w:sz="6" w:space="0" w:color="FFFFFF"/>
            </w:tcBorders>
            <w:shd w:val="clear" w:color="auto" w:fill="D4E8DE"/>
            <w:vAlign w:val="center"/>
          </w:tcPr>
          <w:p w14:paraId="4E44E176" w14:textId="77777777" w:rsidR="003D5723" w:rsidRPr="003D5723" w:rsidRDefault="003D5723" w:rsidP="00E06D4C">
            <w:pPr>
              <w:pStyle w:val="TableParagraph"/>
              <w:spacing w:before="0" w:after="0" w:line="264" w:lineRule="auto"/>
              <w:ind w:left="57" w:right="57"/>
            </w:pPr>
            <w:r w:rsidRPr="003D5723">
              <w:t>3.1</w:t>
            </w:r>
          </w:p>
        </w:tc>
        <w:tc>
          <w:tcPr>
            <w:tcW w:w="1470" w:type="dxa"/>
            <w:tcBorders>
              <w:top w:val="single" w:sz="6" w:space="0" w:color="FFFFFF"/>
              <w:left w:val="single" w:sz="6" w:space="0" w:color="FFFFFF"/>
              <w:bottom w:val="single" w:sz="6" w:space="0" w:color="FFFFFF"/>
              <w:right w:val="single" w:sz="6" w:space="0" w:color="FFFFFF"/>
            </w:tcBorders>
            <w:shd w:val="clear" w:color="auto" w:fill="D4E8DE"/>
            <w:vAlign w:val="center"/>
          </w:tcPr>
          <w:p w14:paraId="438A561E" w14:textId="77777777" w:rsidR="003D5723" w:rsidRPr="003D5723" w:rsidRDefault="003D5723" w:rsidP="00E06D4C">
            <w:pPr>
              <w:pStyle w:val="TableParagraph"/>
              <w:spacing w:before="0" w:after="0" w:line="264" w:lineRule="auto"/>
              <w:ind w:left="57" w:right="57"/>
            </w:pPr>
            <w:r w:rsidRPr="003D5723">
              <w:t>16.4</w:t>
            </w:r>
          </w:p>
        </w:tc>
      </w:tr>
      <w:tr w:rsidR="003D5723" w:rsidRPr="003D5723" w14:paraId="0FD670E9" w14:textId="77777777" w:rsidTr="00E06D4C">
        <w:trPr>
          <w:trHeight w:val="480"/>
        </w:trPr>
        <w:tc>
          <w:tcPr>
            <w:tcW w:w="2854" w:type="dxa"/>
            <w:tcBorders>
              <w:top w:val="single" w:sz="6" w:space="0" w:color="FFFFFF"/>
              <w:left w:val="single" w:sz="6" w:space="0" w:color="FFFFFF"/>
              <w:bottom w:val="single" w:sz="6" w:space="0" w:color="FFFFFF"/>
              <w:right w:val="single" w:sz="6" w:space="0" w:color="FFFFFF"/>
            </w:tcBorders>
            <w:shd w:val="clear" w:color="auto" w:fill="C1DCD5"/>
            <w:vAlign w:val="center"/>
          </w:tcPr>
          <w:p w14:paraId="54237F0B" w14:textId="77777777" w:rsidR="003D5723" w:rsidRPr="003D5723" w:rsidRDefault="003D5723" w:rsidP="00E06D4C">
            <w:pPr>
              <w:pStyle w:val="TableParagraph"/>
              <w:spacing w:before="0" w:after="0" w:line="264" w:lineRule="auto"/>
              <w:ind w:left="57" w:right="57"/>
            </w:pPr>
            <w:r w:rsidRPr="003D5723">
              <w:t>3. Ongoing surplus reduction</w:t>
            </w:r>
          </w:p>
        </w:tc>
        <w:tc>
          <w:tcPr>
            <w:tcW w:w="1264" w:type="dxa"/>
            <w:tcBorders>
              <w:top w:val="single" w:sz="6" w:space="0" w:color="FFFFFF"/>
              <w:left w:val="single" w:sz="6" w:space="0" w:color="FFFFFF"/>
              <w:bottom w:val="single" w:sz="6" w:space="0" w:color="FFFFFF"/>
              <w:right w:val="single" w:sz="6" w:space="0" w:color="FFFFFF"/>
            </w:tcBorders>
            <w:shd w:val="clear" w:color="auto" w:fill="E9F5F2"/>
            <w:vAlign w:val="center"/>
          </w:tcPr>
          <w:p w14:paraId="70CD9C8A" w14:textId="77777777" w:rsidR="003D5723" w:rsidRPr="003D5723" w:rsidRDefault="003D5723" w:rsidP="00E06D4C">
            <w:pPr>
              <w:pStyle w:val="TableParagraph"/>
              <w:spacing w:before="0" w:after="0" w:line="264" w:lineRule="auto"/>
              <w:ind w:left="57" w:right="57"/>
            </w:pPr>
            <w:r w:rsidRPr="003D5723">
              <w:t>0.6</w:t>
            </w:r>
          </w:p>
        </w:tc>
        <w:tc>
          <w:tcPr>
            <w:tcW w:w="1042" w:type="dxa"/>
            <w:tcBorders>
              <w:top w:val="single" w:sz="6" w:space="0" w:color="FFFFFF"/>
              <w:left w:val="single" w:sz="6" w:space="0" w:color="FFFFFF"/>
              <w:bottom w:val="single" w:sz="6" w:space="0" w:color="FFFFFF"/>
              <w:right w:val="single" w:sz="6" w:space="0" w:color="FFFFFF"/>
            </w:tcBorders>
            <w:shd w:val="clear" w:color="auto" w:fill="E9F5F2"/>
            <w:vAlign w:val="center"/>
          </w:tcPr>
          <w:p w14:paraId="1AFB4848" w14:textId="77777777" w:rsidR="003D5723" w:rsidRPr="003D5723" w:rsidRDefault="003D5723" w:rsidP="00E06D4C">
            <w:pPr>
              <w:pStyle w:val="TableParagraph"/>
              <w:spacing w:before="0" w:after="0" w:line="264" w:lineRule="auto"/>
              <w:ind w:left="57" w:right="57"/>
            </w:pPr>
            <w:r w:rsidRPr="003D5723">
              <w:t>0.5</w:t>
            </w:r>
          </w:p>
        </w:tc>
        <w:tc>
          <w:tcPr>
            <w:tcW w:w="808" w:type="dxa"/>
            <w:tcBorders>
              <w:top w:val="single" w:sz="6" w:space="0" w:color="FFFFFF"/>
              <w:left w:val="single" w:sz="6" w:space="0" w:color="FFFFFF"/>
              <w:bottom w:val="single" w:sz="6" w:space="0" w:color="FFFFFF"/>
              <w:right w:val="single" w:sz="6" w:space="0" w:color="FFFFFF"/>
            </w:tcBorders>
            <w:shd w:val="clear" w:color="auto" w:fill="E9F5F2"/>
            <w:vAlign w:val="center"/>
          </w:tcPr>
          <w:p w14:paraId="3510A63B" w14:textId="77777777" w:rsidR="003D5723" w:rsidRPr="003D5723" w:rsidRDefault="003D5723" w:rsidP="00E06D4C">
            <w:pPr>
              <w:pStyle w:val="TableParagraph"/>
              <w:spacing w:before="0" w:after="0" w:line="264" w:lineRule="auto"/>
              <w:ind w:left="57" w:right="57"/>
            </w:pPr>
            <w:r w:rsidRPr="003D5723">
              <w:t>0.5</w:t>
            </w:r>
          </w:p>
        </w:tc>
        <w:tc>
          <w:tcPr>
            <w:tcW w:w="808" w:type="dxa"/>
            <w:tcBorders>
              <w:top w:val="single" w:sz="6" w:space="0" w:color="FFFFFF"/>
              <w:left w:val="single" w:sz="6" w:space="0" w:color="FFFFFF"/>
              <w:bottom w:val="single" w:sz="6" w:space="0" w:color="FFFFFF"/>
              <w:right w:val="single" w:sz="6" w:space="0" w:color="FFFFFF"/>
            </w:tcBorders>
            <w:shd w:val="clear" w:color="auto" w:fill="E9F5F2"/>
            <w:vAlign w:val="center"/>
          </w:tcPr>
          <w:p w14:paraId="5AC6087D" w14:textId="77777777" w:rsidR="003D5723" w:rsidRPr="003D5723" w:rsidRDefault="003D5723" w:rsidP="00E06D4C">
            <w:pPr>
              <w:pStyle w:val="TableParagraph"/>
              <w:spacing w:before="0" w:after="0" w:line="264" w:lineRule="auto"/>
              <w:ind w:left="57" w:right="57"/>
            </w:pPr>
            <w:r w:rsidRPr="003D5723">
              <w:t>0.4</w:t>
            </w:r>
          </w:p>
        </w:tc>
        <w:tc>
          <w:tcPr>
            <w:tcW w:w="808" w:type="dxa"/>
            <w:tcBorders>
              <w:top w:val="single" w:sz="6" w:space="0" w:color="FFFFFF"/>
              <w:left w:val="single" w:sz="6" w:space="0" w:color="FFFFFF"/>
              <w:bottom w:val="single" w:sz="6" w:space="0" w:color="FFFFFF"/>
              <w:right w:val="single" w:sz="6" w:space="0" w:color="FFFFFF"/>
            </w:tcBorders>
            <w:shd w:val="clear" w:color="auto" w:fill="E9F5F2"/>
            <w:vAlign w:val="center"/>
          </w:tcPr>
          <w:p w14:paraId="7A408231" w14:textId="77777777" w:rsidR="003D5723" w:rsidRPr="003D5723" w:rsidRDefault="003D5723" w:rsidP="00E06D4C">
            <w:pPr>
              <w:pStyle w:val="TableParagraph"/>
              <w:spacing w:before="0" w:after="0" w:line="264" w:lineRule="auto"/>
              <w:ind w:left="57" w:right="57"/>
            </w:pPr>
            <w:r w:rsidRPr="003D5723">
              <w:t>0.3</w:t>
            </w:r>
          </w:p>
        </w:tc>
        <w:tc>
          <w:tcPr>
            <w:tcW w:w="1470" w:type="dxa"/>
            <w:tcBorders>
              <w:top w:val="single" w:sz="6" w:space="0" w:color="FFFFFF"/>
              <w:left w:val="single" w:sz="6" w:space="0" w:color="FFFFFF"/>
              <w:bottom w:val="single" w:sz="6" w:space="0" w:color="FFFFFF"/>
              <w:right w:val="single" w:sz="6" w:space="0" w:color="FFFFFF"/>
            </w:tcBorders>
            <w:shd w:val="clear" w:color="auto" w:fill="E9F5F2"/>
            <w:vAlign w:val="center"/>
          </w:tcPr>
          <w:p w14:paraId="17CF8964" w14:textId="77777777" w:rsidR="003D5723" w:rsidRPr="003D5723" w:rsidRDefault="003D5723" w:rsidP="00E06D4C">
            <w:pPr>
              <w:pStyle w:val="TableParagraph"/>
              <w:spacing w:before="0" w:after="0" w:line="264" w:lineRule="auto"/>
              <w:ind w:left="57" w:right="57"/>
            </w:pPr>
            <w:r w:rsidRPr="003D5723">
              <w:t>2.3</w:t>
            </w:r>
          </w:p>
        </w:tc>
      </w:tr>
      <w:tr w:rsidR="003D5723" w:rsidRPr="003D5723" w14:paraId="7483C3B2" w14:textId="77777777" w:rsidTr="00E06D4C">
        <w:trPr>
          <w:trHeight w:val="480"/>
        </w:trPr>
        <w:tc>
          <w:tcPr>
            <w:tcW w:w="2854" w:type="dxa"/>
            <w:tcBorders>
              <w:top w:val="single" w:sz="6" w:space="0" w:color="FFFFFF"/>
              <w:left w:val="single" w:sz="6" w:space="0" w:color="FFFFFF"/>
              <w:bottom w:val="single" w:sz="6" w:space="0" w:color="FFFFFF"/>
              <w:right w:val="single" w:sz="6" w:space="0" w:color="FFFFFF"/>
            </w:tcBorders>
            <w:shd w:val="clear" w:color="auto" w:fill="C1DCD5"/>
            <w:vAlign w:val="center"/>
          </w:tcPr>
          <w:p w14:paraId="30B65B3C" w14:textId="77777777" w:rsidR="003D5723" w:rsidRPr="003D5723" w:rsidRDefault="003D5723" w:rsidP="00E06D4C">
            <w:pPr>
              <w:pStyle w:val="TableParagraph"/>
              <w:spacing w:before="0" w:after="0" w:line="264" w:lineRule="auto"/>
              <w:ind w:left="57" w:right="57"/>
            </w:pPr>
            <w:r w:rsidRPr="003D5723">
              <w:t>4. International units</w:t>
            </w:r>
          </w:p>
        </w:tc>
        <w:tc>
          <w:tcPr>
            <w:tcW w:w="1264" w:type="dxa"/>
            <w:tcBorders>
              <w:top w:val="single" w:sz="6" w:space="0" w:color="FFFFFF"/>
              <w:left w:val="single" w:sz="6" w:space="0" w:color="FFFFFF"/>
              <w:bottom w:val="single" w:sz="6" w:space="0" w:color="FFFFFF"/>
              <w:right w:val="single" w:sz="6" w:space="0" w:color="FFFFFF"/>
            </w:tcBorders>
            <w:shd w:val="clear" w:color="auto" w:fill="D4E8DE"/>
            <w:vAlign w:val="center"/>
          </w:tcPr>
          <w:p w14:paraId="5ED6D64D" w14:textId="77777777" w:rsidR="003D5723" w:rsidRPr="003D5723" w:rsidRDefault="003D5723" w:rsidP="00E06D4C">
            <w:pPr>
              <w:pStyle w:val="TableParagraph"/>
              <w:spacing w:before="0" w:after="0" w:line="264" w:lineRule="auto"/>
              <w:ind w:left="57" w:right="57"/>
            </w:pPr>
            <w:r w:rsidRPr="003D5723">
              <w:t>0</w:t>
            </w:r>
          </w:p>
        </w:tc>
        <w:tc>
          <w:tcPr>
            <w:tcW w:w="1042" w:type="dxa"/>
            <w:tcBorders>
              <w:top w:val="single" w:sz="6" w:space="0" w:color="FFFFFF"/>
              <w:left w:val="single" w:sz="6" w:space="0" w:color="FFFFFF"/>
              <w:bottom w:val="single" w:sz="6" w:space="0" w:color="FFFFFF"/>
              <w:right w:val="single" w:sz="6" w:space="0" w:color="FFFFFF"/>
            </w:tcBorders>
            <w:shd w:val="clear" w:color="auto" w:fill="D4E8DE"/>
            <w:vAlign w:val="center"/>
          </w:tcPr>
          <w:p w14:paraId="72E82914" w14:textId="77777777" w:rsidR="003D5723" w:rsidRPr="003D5723" w:rsidRDefault="003D5723" w:rsidP="00E06D4C">
            <w:pPr>
              <w:pStyle w:val="TableParagraph"/>
              <w:spacing w:before="0" w:after="0" w:line="264" w:lineRule="auto"/>
              <w:ind w:left="57" w:right="57"/>
            </w:pPr>
            <w:r w:rsidRPr="003D5723">
              <w:t>0</w:t>
            </w:r>
          </w:p>
        </w:tc>
        <w:tc>
          <w:tcPr>
            <w:tcW w:w="808" w:type="dxa"/>
            <w:tcBorders>
              <w:top w:val="single" w:sz="6" w:space="0" w:color="FFFFFF"/>
              <w:left w:val="single" w:sz="6" w:space="0" w:color="FFFFFF"/>
              <w:bottom w:val="single" w:sz="6" w:space="0" w:color="FFFFFF"/>
              <w:right w:val="single" w:sz="6" w:space="0" w:color="FFFFFF"/>
            </w:tcBorders>
            <w:shd w:val="clear" w:color="auto" w:fill="D4E8DE"/>
            <w:vAlign w:val="center"/>
          </w:tcPr>
          <w:p w14:paraId="4F7CCDB0" w14:textId="77777777" w:rsidR="003D5723" w:rsidRPr="003D5723" w:rsidRDefault="003D5723" w:rsidP="00E06D4C">
            <w:pPr>
              <w:pStyle w:val="TableParagraph"/>
              <w:spacing w:before="0" w:after="0" w:line="264" w:lineRule="auto"/>
              <w:ind w:left="57" w:right="57"/>
            </w:pPr>
            <w:r w:rsidRPr="003D5723">
              <w:t>0</w:t>
            </w:r>
          </w:p>
        </w:tc>
        <w:tc>
          <w:tcPr>
            <w:tcW w:w="808" w:type="dxa"/>
            <w:tcBorders>
              <w:top w:val="single" w:sz="6" w:space="0" w:color="FFFFFF"/>
              <w:left w:val="single" w:sz="6" w:space="0" w:color="FFFFFF"/>
              <w:bottom w:val="single" w:sz="6" w:space="0" w:color="FFFFFF"/>
              <w:right w:val="single" w:sz="6" w:space="0" w:color="FFFFFF"/>
            </w:tcBorders>
            <w:shd w:val="clear" w:color="auto" w:fill="D4E8DE"/>
            <w:vAlign w:val="center"/>
          </w:tcPr>
          <w:p w14:paraId="01EBC8A9" w14:textId="77777777" w:rsidR="003D5723" w:rsidRPr="003D5723" w:rsidRDefault="003D5723" w:rsidP="00E06D4C">
            <w:pPr>
              <w:pStyle w:val="TableParagraph"/>
              <w:spacing w:before="0" w:after="0" w:line="264" w:lineRule="auto"/>
              <w:ind w:left="57" w:right="57"/>
            </w:pPr>
            <w:r w:rsidRPr="003D5723">
              <w:t>0</w:t>
            </w:r>
          </w:p>
        </w:tc>
        <w:tc>
          <w:tcPr>
            <w:tcW w:w="808" w:type="dxa"/>
            <w:tcBorders>
              <w:top w:val="single" w:sz="6" w:space="0" w:color="FFFFFF"/>
              <w:left w:val="single" w:sz="6" w:space="0" w:color="FFFFFF"/>
              <w:bottom w:val="single" w:sz="6" w:space="0" w:color="FFFFFF"/>
              <w:right w:val="single" w:sz="6" w:space="0" w:color="FFFFFF"/>
            </w:tcBorders>
            <w:shd w:val="clear" w:color="auto" w:fill="D4E8DE"/>
            <w:vAlign w:val="center"/>
          </w:tcPr>
          <w:p w14:paraId="4D7DA833" w14:textId="77777777" w:rsidR="003D5723" w:rsidRPr="003D5723" w:rsidRDefault="003D5723" w:rsidP="00E06D4C">
            <w:pPr>
              <w:pStyle w:val="TableParagraph"/>
              <w:spacing w:before="0" w:after="0" w:line="264" w:lineRule="auto"/>
              <w:ind w:left="57" w:right="57"/>
            </w:pPr>
            <w:r w:rsidRPr="003D5723">
              <w:t>0</w:t>
            </w:r>
          </w:p>
        </w:tc>
        <w:tc>
          <w:tcPr>
            <w:tcW w:w="1470" w:type="dxa"/>
            <w:tcBorders>
              <w:top w:val="single" w:sz="6" w:space="0" w:color="FFFFFF"/>
              <w:left w:val="single" w:sz="6" w:space="0" w:color="FFFFFF"/>
              <w:bottom w:val="single" w:sz="6" w:space="0" w:color="FFFFFF"/>
              <w:right w:val="single" w:sz="6" w:space="0" w:color="FFFFFF"/>
            </w:tcBorders>
            <w:shd w:val="clear" w:color="auto" w:fill="D4E8DE"/>
            <w:vAlign w:val="center"/>
          </w:tcPr>
          <w:p w14:paraId="68AA9E32" w14:textId="77777777" w:rsidR="003D5723" w:rsidRPr="003D5723" w:rsidRDefault="003D5723" w:rsidP="00E06D4C">
            <w:pPr>
              <w:pStyle w:val="TableParagraph"/>
              <w:spacing w:before="0" w:after="0" w:line="264" w:lineRule="auto"/>
              <w:ind w:left="57" w:right="57"/>
            </w:pPr>
            <w:r w:rsidRPr="003D5723">
              <w:t>0</w:t>
            </w:r>
          </w:p>
        </w:tc>
      </w:tr>
      <w:tr w:rsidR="003D5723" w:rsidRPr="003D5723" w14:paraId="72F980CB" w14:textId="77777777" w:rsidTr="00E06D4C">
        <w:trPr>
          <w:trHeight w:val="480"/>
        </w:trPr>
        <w:tc>
          <w:tcPr>
            <w:tcW w:w="2854" w:type="dxa"/>
            <w:tcBorders>
              <w:top w:val="single" w:sz="6" w:space="0" w:color="FFFFFF"/>
              <w:left w:val="single" w:sz="6" w:space="0" w:color="FFFFFF"/>
              <w:bottom w:val="single" w:sz="6" w:space="0" w:color="FFFFFF"/>
              <w:right w:val="single" w:sz="6" w:space="0" w:color="FFFFFF"/>
            </w:tcBorders>
            <w:shd w:val="clear" w:color="auto" w:fill="C1DCD5"/>
            <w:vAlign w:val="center"/>
          </w:tcPr>
          <w:p w14:paraId="7DF77434" w14:textId="77777777" w:rsidR="003D5723" w:rsidRPr="003D5723" w:rsidRDefault="003D5723" w:rsidP="00E06D4C">
            <w:pPr>
              <w:pStyle w:val="TableParagraph"/>
              <w:spacing w:before="0" w:after="0" w:line="264" w:lineRule="auto"/>
              <w:ind w:left="57" w:right="57"/>
            </w:pPr>
            <w:r w:rsidRPr="003D5723">
              <w:t xml:space="preserve">5. Auction volume </w:t>
            </w:r>
          </w:p>
        </w:tc>
        <w:tc>
          <w:tcPr>
            <w:tcW w:w="1264" w:type="dxa"/>
            <w:tcBorders>
              <w:top w:val="single" w:sz="6" w:space="0" w:color="FFFFFF"/>
              <w:left w:val="single" w:sz="6" w:space="0" w:color="FFFFFF"/>
              <w:bottom w:val="single" w:sz="6" w:space="0" w:color="FFFFFF"/>
              <w:right w:val="single" w:sz="6" w:space="0" w:color="FFFFFF"/>
            </w:tcBorders>
            <w:shd w:val="clear" w:color="auto" w:fill="E9F5F2"/>
            <w:vAlign w:val="center"/>
          </w:tcPr>
          <w:p w14:paraId="1931E880" w14:textId="77777777" w:rsidR="003D5723" w:rsidRPr="003D5723" w:rsidRDefault="003D5723" w:rsidP="00E06D4C">
            <w:pPr>
              <w:pStyle w:val="TableParagraph"/>
              <w:spacing w:before="0" w:after="0" w:line="264" w:lineRule="auto"/>
              <w:ind w:left="57" w:right="57"/>
            </w:pPr>
            <w:r w:rsidRPr="003D5723">
              <w:t>3.0</w:t>
            </w:r>
          </w:p>
        </w:tc>
        <w:tc>
          <w:tcPr>
            <w:tcW w:w="1042" w:type="dxa"/>
            <w:tcBorders>
              <w:top w:val="single" w:sz="6" w:space="0" w:color="FFFFFF"/>
              <w:left w:val="single" w:sz="6" w:space="0" w:color="FFFFFF"/>
              <w:bottom w:val="single" w:sz="6" w:space="0" w:color="FFFFFF"/>
              <w:right w:val="single" w:sz="6" w:space="0" w:color="FFFFFF"/>
            </w:tcBorders>
            <w:shd w:val="clear" w:color="auto" w:fill="E9F5F2"/>
            <w:vAlign w:val="center"/>
          </w:tcPr>
          <w:p w14:paraId="2AB148D9" w14:textId="77777777" w:rsidR="003D5723" w:rsidRPr="003D5723" w:rsidRDefault="003D5723" w:rsidP="00E06D4C">
            <w:pPr>
              <w:pStyle w:val="TableParagraph"/>
              <w:spacing w:before="0" w:after="0" w:line="264" w:lineRule="auto"/>
              <w:ind w:left="57" w:right="57"/>
            </w:pPr>
            <w:r w:rsidRPr="003D5723">
              <w:t>2.2</w:t>
            </w:r>
          </w:p>
        </w:tc>
        <w:tc>
          <w:tcPr>
            <w:tcW w:w="808" w:type="dxa"/>
            <w:tcBorders>
              <w:top w:val="single" w:sz="6" w:space="0" w:color="FFFFFF"/>
              <w:left w:val="single" w:sz="6" w:space="0" w:color="FFFFFF"/>
              <w:bottom w:val="single" w:sz="6" w:space="0" w:color="FFFFFF"/>
              <w:right w:val="single" w:sz="6" w:space="0" w:color="FFFFFF"/>
            </w:tcBorders>
            <w:shd w:val="clear" w:color="auto" w:fill="E9F5F2"/>
            <w:vAlign w:val="center"/>
          </w:tcPr>
          <w:p w14:paraId="6E447835" w14:textId="77777777" w:rsidR="003D5723" w:rsidRPr="003D5723" w:rsidRDefault="003D5723" w:rsidP="00E06D4C">
            <w:pPr>
              <w:pStyle w:val="TableParagraph"/>
              <w:spacing w:before="0" w:after="0" w:line="264" w:lineRule="auto"/>
              <w:ind w:left="57" w:right="57"/>
            </w:pPr>
            <w:r w:rsidRPr="003D5723">
              <w:t>1.5</w:t>
            </w:r>
          </w:p>
        </w:tc>
        <w:tc>
          <w:tcPr>
            <w:tcW w:w="808" w:type="dxa"/>
            <w:tcBorders>
              <w:top w:val="single" w:sz="6" w:space="0" w:color="FFFFFF"/>
              <w:left w:val="single" w:sz="6" w:space="0" w:color="FFFFFF"/>
              <w:bottom w:val="single" w:sz="6" w:space="0" w:color="FFFFFF"/>
              <w:right w:val="single" w:sz="6" w:space="0" w:color="FFFFFF"/>
            </w:tcBorders>
            <w:shd w:val="clear" w:color="auto" w:fill="E9F5F2"/>
            <w:vAlign w:val="center"/>
          </w:tcPr>
          <w:p w14:paraId="53C47F1D" w14:textId="77777777" w:rsidR="003D5723" w:rsidRPr="003D5723" w:rsidRDefault="003D5723" w:rsidP="00E06D4C">
            <w:pPr>
              <w:pStyle w:val="TableParagraph"/>
              <w:spacing w:before="0" w:after="0" w:line="264" w:lineRule="auto"/>
              <w:ind w:left="57" w:right="57"/>
            </w:pPr>
            <w:r w:rsidRPr="003D5723">
              <w:t>0.7</w:t>
            </w:r>
          </w:p>
        </w:tc>
        <w:tc>
          <w:tcPr>
            <w:tcW w:w="808" w:type="dxa"/>
            <w:tcBorders>
              <w:top w:val="single" w:sz="6" w:space="0" w:color="FFFFFF"/>
              <w:left w:val="single" w:sz="6" w:space="0" w:color="FFFFFF"/>
              <w:bottom w:val="single" w:sz="6" w:space="0" w:color="FFFFFF"/>
              <w:right w:val="single" w:sz="6" w:space="0" w:color="FFFFFF"/>
            </w:tcBorders>
            <w:shd w:val="clear" w:color="auto" w:fill="E9F5F2"/>
            <w:vAlign w:val="center"/>
          </w:tcPr>
          <w:p w14:paraId="344D7119" w14:textId="77777777" w:rsidR="003D5723" w:rsidRPr="003D5723" w:rsidRDefault="003D5723" w:rsidP="00E06D4C">
            <w:pPr>
              <w:pStyle w:val="TableParagraph"/>
              <w:spacing w:before="0" w:after="0" w:line="264" w:lineRule="auto"/>
              <w:ind w:left="57" w:right="57"/>
            </w:pPr>
            <w:r w:rsidRPr="003D5723">
              <w:t>0.0</w:t>
            </w:r>
          </w:p>
        </w:tc>
        <w:tc>
          <w:tcPr>
            <w:tcW w:w="1470" w:type="dxa"/>
            <w:tcBorders>
              <w:top w:val="single" w:sz="6" w:space="0" w:color="FFFFFF"/>
              <w:left w:val="single" w:sz="6" w:space="0" w:color="FFFFFF"/>
              <w:bottom w:val="single" w:sz="6" w:space="0" w:color="FFFFFF"/>
              <w:right w:val="single" w:sz="6" w:space="0" w:color="FFFFFF"/>
            </w:tcBorders>
            <w:shd w:val="clear" w:color="auto" w:fill="E9F5F2"/>
            <w:vAlign w:val="center"/>
          </w:tcPr>
          <w:p w14:paraId="19F8A5B3" w14:textId="1DA3270E" w:rsidR="003D5723" w:rsidRPr="003D5723" w:rsidRDefault="003D5723" w:rsidP="00E06D4C">
            <w:pPr>
              <w:pStyle w:val="TableParagraph"/>
              <w:spacing w:before="0" w:after="0" w:line="264" w:lineRule="auto"/>
              <w:ind w:left="57" w:right="57"/>
            </w:pPr>
            <w:r w:rsidRPr="003D5723">
              <w:t>7.5</w:t>
            </w:r>
          </w:p>
        </w:tc>
      </w:tr>
    </w:tbl>
    <w:p w14:paraId="78B37770" w14:textId="13BD3B99" w:rsidR="006B4A34" w:rsidRDefault="00A642BA" w:rsidP="00A642BA">
      <w:pPr>
        <w:pStyle w:val="Heading2nonumber"/>
      </w:pPr>
      <w:bookmarkStart w:id="52" w:name="_Toc227603140"/>
      <w:r>
        <w:t>Proposed auction volumes over settings period</w:t>
      </w:r>
      <w:bookmarkEnd w:id="52"/>
    </w:p>
    <w:p w14:paraId="7A259FD3" w14:textId="7847324D" w:rsidR="00A642BA" w:rsidRDefault="00232C57" w:rsidP="00A642BA">
      <w:pPr>
        <w:pStyle w:val="BodyText"/>
      </w:pPr>
      <w:r w:rsidRPr="00232C57">
        <w:t xml:space="preserve">Our final proposed auction volumes over the settings period are a combination of status quo auction volumes over 2027–2030 and a newly proposed auction volume for 2031. These volumes are shown combined in Table </w:t>
      </w:r>
      <w:r w:rsidR="00891B1C" w:rsidRPr="00232C57">
        <w:t>1</w:t>
      </w:r>
      <w:r w:rsidR="00891B1C">
        <w:t>6</w:t>
      </w:r>
      <w:r w:rsidRPr="00232C57">
        <w:t>.</w:t>
      </w:r>
    </w:p>
    <w:p w14:paraId="426ECA34" w14:textId="23C55F48" w:rsidR="00B50217" w:rsidRDefault="00B50217" w:rsidP="00B50217">
      <w:pPr>
        <w:pStyle w:val="FigureTabletitle"/>
      </w:pPr>
      <w:r>
        <w:t xml:space="preserve">Table </w:t>
      </w:r>
      <w:r>
        <w:fldChar w:fldCharType="begin"/>
      </w:r>
      <w:r>
        <w:instrText xml:space="preserve"> SEQ Table \* ARABIC </w:instrText>
      </w:r>
      <w:r>
        <w:fldChar w:fldCharType="separate"/>
      </w:r>
      <w:r>
        <w:rPr>
          <w:noProof/>
        </w:rPr>
        <w:t>16</w:t>
      </w:r>
      <w:r>
        <w:rPr>
          <w:noProof/>
        </w:rPr>
        <w:fldChar w:fldCharType="end"/>
      </w:r>
      <w:r>
        <w:t xml:space="preserve">: </w:t>
      </w:r>
      <w:r w:rsidRPr="00E40590">
        <w:t>Proposed auction volumes over settings period</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994"/>
        <w:gridCol w:w="962"/>
        <w:gridCol w:w="962"/>
        <w:gridCol w:w="962"/>
        <w:gridCol w:w="962"/>
        <w:gridCol w:w="962"/>
        <w:gridCol w:w="1250"/>
      </w:tblGrid>
      <w:tr w:rsidR="00AA0B14" w:rsidRPr="00AA0B14" w14:paraId="3916D283" w14:textId="77777777" w:rsidTr="00AA0B14">
        <w:trPr>
          <w:trHeight w:val="480"/>
        </w:trPr>
        <w:tc>
          <w:tcPr>
            <w:tcW w:w="3120" w:type="dxa"/>
            <w:tcBorders>
              <w:top w:val="single" w:sz="6" w:space="0" w:color="FFFFFF"/>
              <w:left w:val="single" w:sz="6" w:space="0" w:color="FFFFFF"/>
              <w:bottom w:val="single" w:sz="6" w:space="0" w:color="FFFFFF"/>
              <w:right w:val="single" w:sz="6" w:space="0" w:color="FFFFFF"/>
            </w:tcBorders>
            <w:shd w:val="clear" w:color="auto" w:fill="002060"/>
            <w:vAlign w:val="center"/>
          </w:tcPr>
          <w:p w14:paraId="1F1F5A23" w14:textId="77777777" w:rsidR="00AA0B14" w:rsidRPr="00AA0B14" w:rsidRDefault="00AA0B14" w:rsidP="00E06D4C">
            <w:pPr>
              <w:pStyle w:val="Tableheading"/>
              <w:ind w:left="57" w:right="57"/>
            </w:pPr>
          </w:p>
        </w:tc>
        <w:tc>
          <w:tcPr>
            <w:tcW w:w="3900" w:type="dxa"/>
            <w:gridSpan w:val="4"/>
            <w:tcBorders>
              <w:top w:val="single" w:sz="6" w:space="0" w:color="FFFFFF"/>
              <w:left w:val="single" w:sz="6" w:space="0" w:color="FFFFFF"/>
              <w:bottom w:val="single" w:sz="6" w:space="0" w:color="FFFFFF"/>
              <w:right w:val="single" w:sz="6" w:space="0" w:color="FFFFFF"/>
            </w:tcBorders>
            <w:shd w:val="clear" w:color="auto" w:fill="002060"/>
            <w:vAlign w:val="center"/>
          </w:tcPr>
          <w:p w14:paraId="10D1ADC9" w14:textId="77777777" w:rsidR="00AA0B14" w:rsidRPr="00AA0B14" w:rsidRDefault="00AA0B14" w:rsidP="00E06D4C">
            <w:pPr>
              <w:pStyle w:val="Tableheading"/>
              <w:ind w:left="57" w:right="57"/>
            </w:pPr>
            <w:r w:rsidRPr="00AA0B14">
              <w:t>Status quo</w:t>
            </w:r>
          </w:p>
        </w:tc>
        <w:tc>
          <w:tcPr>
            <w:tcW w:w="975" w:type="dxa"/>
            <w:tcBorders>
              <w:top w:val="single" w:sz="6" w:space="0" w:color="FFFFFF"/>
              <w:left w:val="single" w:sz="6" w:space="0" w:color="FFFFFF"/>
              <w:bottom w:val="single" w:sz="6" w:space="0" w:color="FFFFFF"/>
              <w:right w:val="single" w:sz="6" w:space="0" w:color="FFFFFF"/>
            </w:tcBorders>
            <w:shd w:val="clear" w:color="auto" w:fill="002060"/>
            <w:vAlign w:val="center"/>
          </w:tcPr>
          <w:p w14:paraId="5704ACEB" w14:textId="77777777" w:rsidR="00AA0B14" w:rsidRPr="00AA0B14" w:rsidRDefault="00AA0B14" w:rsidP="00E06D4C">
            <w:pPr>
              <w:pStyle w:val="Tableheading"/>
              <w:ind w:left="57" w:right="57"/>
            </w:pPr>
            <w:r w:rsidRPr="00AA0B14">
              <w:t>New</w:t>
            </w:r>
          </w:p>
        </w:tc>
        <w:tc>
          <w:tcPr>
            <w:tcW w:w="1275" w:type="dxa"/>
            <w:tcBorders>
              <w:top w:val="single" w:sz="6" w:space="0" w:color="FFFFFF"/>
              <w:left w:val="single" w:sz="6" w:space="0" w:color="FFFFFF"/>
              <w:bottom w:val="single" w:sz="6" w:space="0" w:color="FFFFFF"/>
              <w:right w:val="single" w:sz="6" w:space="0" w:color="FFFFFF"/>
            </w:tcBorders>
            <w:shd w:val="clear" w:color="auto" w:fill="002060"/>
            <w:vAlign w:val="center"/>
          </w:tcPr>
          <w:p w14:paraId="696A9659" w14:textId="77777777" w:rsidR="00AA0B14" w:rsidRPr="00AA0B14" w:rsidRDefault="00AA0B14" w:rsidP="00E06D4C">
            <w:pPr>
              <w:pStyle w:val="Tableheading"/>
              <w:ind w:left="57" w:right="57"/>
            </w:pPr>
            <w:r w:rsidRPr="00AA0B14">
              <w:t>Sum</w:t>
            </w:r>
          </w:p>
        </w:tc>
      </w:tr>
      <w:tr w:rsidR="00AA0B14" w:rsidRPr="00AA0B14" w14:paraId="018ECA0C" w14:textId="77777777" w:rsidTr="00AA0B14">
        <w:trPr>
          <w:trHeight w:val="480"/>
        </w:trPr>
        <w:tc>
          <w:tcPr>
            <w:tcW w:w="3120" w:type="dxa"/>
            <w:tcBorders>
              <w:top w:val="single" w:sz="6" w:space="0" w:color="FFFFFF"/>
              <w:left w:val="single" w:sz="6" w:space="0" w:color="FFFFFF"/>
              <w:bottom w:val="single" w:sz="6" w:space="0" w:color="FFFFFF"/>
              <w:right w:val="single" w:sz="6" w:space="0" w:color="FFFFFF"/>
            </w:tcBorders>
            <w:shd w:val="clear" w:color="auto" w:fill="002060"/>
            <w:vAlign w:val="center"/>
          </w:tcPr>
          <w:p w14:paraId="3B96C0EF" w14:textId="77777777" w:rsidR="00AA0B14" w:rsidRPr="00AA0B14" w:rsidRDefault="00AA0B14" w:rsidP="00E06D4C">
            <w:pPr>
              <w:pStyle w:val="TableParagraph"/>
              <w:ind w:left="57" w:right="57"/>
              <w:rPr>
                <w:b/>
              </w:rPr>
            </w:pPr>
            <w:r w:rsidRPr="00AA0B14">
              <w:t>Million units</w:t>
            </w:r>
          </w:p>
        </w:tc>
        <w:tc>
          <w:tcPr>
            <w:tcW w:w="975" w:type="dxa"/>
            <w:tcBorders>
              <w:top w:val="single" w:sz="6" w:space="0" w:color="FFFFFF"/>
              <w:left w:val="single" w:sz="6" w:space="0" w:color="FFFFFF"/>
              <w:bottom w:val="single" w:sz="6" w:space="0" w:color="FFFFFF"/>
              <w:right w:val="single" w:sz="6" w:space="0" w:color="FFFFFF"/>
            </w:tcBorders>
            <w:shd w:val="clear" w:color="auto" w:fill="002060"/>
            <w:vAlign w:val="center"/>
          </w:tcPr>
          <w:p w14:paraId="21746665" w14:textId="77777777" w:rsidR="00AA0B14" w:rsidRPr="00AA0B14" w:rsidRDefault="00AA0B14" w:rsidP="00E06D4C">
            <w:pPr>
              <w:pStyle w:val="TableParagraph"/>
              <w:ind w:left="57" w:right="57"/>
            </w:pPr>
            <w:r w:rsidRPr="00AA0B14">
              <w:t>2027</w:t>
            </w:r>
          </w:p>
        </w:tc>
        <w:tc>
          <w:tcPr>
            <w:tcW w:w="975" w:type="dxa"/>
            <w:tcBorders>
              <w:top w:val="single" w:sz="6" w:space="0" w:color="FFFFFF"/>
              <w:left w:val="single" w:sz="6" w:space="0" w:color="FFFFFF"/>
              <w:bottom w:val="single" w:sz="6" w:space="0" w:color="FFFFFF"/>
              <w:right w:val="single" w:sz="6" w:space="0" w:color="FFFFFF"/>
            </w:tcBorders>
            <w:shd w:val="clear" w:color="auto" w:fill="002060"/>
            <w:vAlign w:val="center"/>
          </w:tcPr>
          <w:p w14:paraId="0988F4CE" w14:textId="77777777" w:rsidR="00AA0B14" w:rsidRPr="00AA0B14" w:rsidRDefault="00AA0B14" w:rsidP="00E06D4C">
            <w:pPr>
              <w:pStyle w:val="TableParagraph"/>
              <w:ind w:left="57" w:right="57"/>
            </w:pPr>
            <w:r w:rsidRPr="00AA0B14">
              <w:t>2028</w:t>
            </w:r>
          </w:p>
        </w:tc>
        <w:tc>
          <w:tcPr>
            <w:tcW w:w="975" w:type="dxa"/>
            <w:tcBorders>
              <w:top w:val="single" w:sz="6" w:space="0" w:color="FFFFFF"/>
              <w:left w:val="single" w:sz="6" w:space="0" w:color="FFFFFF"/>
              <w:bottom w:val="single" w:sz="6" w:space="0" w:color="FFFFFF"/>
              <w:right w:val="single" w:sz="6" w:space="0" w:color="FFFFFF"/>
            </w:tcBorders>
            <w:shd w:val="clear" w:color="auto" w:fill="002060"/>
            <w:vAlign w:val="center"/>
          </w:tcPr>
          <w:p w14:paraId="66243A95" w14:textId="77777777" w:rsidR="00AA0B14" w:rsidRPr="00AA0B14" w:rsidRDefault="00AA0B14" w:rsidP="00E06D4C">
            <w:pPr>
              <w:pStyle w:val="TableParagraph"/>
              <w:ind w:left="57" w:right="57"/>
            </w:pPr>
            <w:r w:rsidRPr="00AA0B14">
              <w:t>2029</w:t>
            </w:r>
          </w:p>
        </w:tc>
        <w:tc>
          <w:tcPr>
            <w:tcW w:w="975" w:type="dxa"/>
            <w:tcBorders>
              <w:top w:val="single" w:sz="6" w:space="0" w:color="FFFFFF"/>
              <w:left w:val="single" w:sz="6" w:space="0" w:color="FFFFFF"/>
              <w:bottom w:val="single" w:sz="6" w:space="0" w:color="FFFFFF"/>
              <w:right w:val="single" w:sz="6" w:space="0" w:color="FFFFFF"/>
            </w:tcBorders>
            <w:shd w:val="clear" w:color="auto" w:fill="002060"/>
            <w:vAlign w:val="center"/>
          </w:tcPr>
          <w:p w14:paraId="16E8455E" w14:textId="77777777" w:rsidR="00AA0B14" w:rsidRPr="00AA0B14" w:rsidRDefault="00AA0B14" w:rsidP="00E06D4C">
            <w:pPr>
              <w:pStyle w:val="TableParagraph"/>
              <w:ind w:left="57" w:right="57"/>
            </w:pPr>
            <w:r w:rsidRPr="00AA0B14">
              <w:t>2030</w:t>
            </w:r>
          </w:p>
        </w:tc>
        <w:tc>
          <w:tcPr>
            <w:tcW w:w="975" w:type="dxa"/>
            <w:tcBorders>
              <w:top w:val="single" w:sz="6" w:space="0" w:color="FFFFFF"/>
              <w:left w:val="single" w:sz="6" w:space="0" w:color="FFFFFF"/>
              <w:bottom w:val="single" w:sz="6" w:space="0" w:color="FFFFFF"/>
              <w:right w:val="single" w:sz="6" w:space="0" w:color="FFFFFF"/>
            </w:tcBorders>
            <w:shd w:val="clear" w:color="auto" w:fill="002060"/>
            <w:vAlign w:val="center"/>
          </w:tcPr>
          <w:p w14:paraId="67B9D574" w14:textId="77777777" w:rsidR="00AA0B14" w:rsidRPr="00AA0B14" w:rsidRDefault="00AA0B14" w:rsidP="00E06D4C">
            <w:pPr>
              <w:pStyle w:val="TableParagraph"/>
              <w:ind w:left="57" w:right="57"/>
            </w:pPr>
            <w:r w:rsidRPr="00AA0B14">
              <w:t>2031</w:t>
            </w:r>
          </w:p>
        </w:tc>
        <w:tc>
          <w:tcPr>
            <w:tcW w:w="1275" w:type="dxa"/>
            <w:tcBorders>
              <w:top w:val="single" w:sz="6" w:space="0" w:color="FFFFFF"/>
              <w:left w:val="single" w:sz="6" w:space="0" w:color="FFFFFF"/>
              <w:bottom w:val="single" w:sz="6" w:space="0" w:color="FFFFFF"/>
              <w:right w:val="single" w:sz="6" w:space="0" w:color="FFFFFF"/>
            </w:tcBorders>
            <w:shd w:val="clear" w:color="auto" w:fill="002060"/>
            <w:vAlign w:val="center"/>
          </w:tcPr>
          <w:p w14:paraId="5F3EA6B8" w14:textId="7600B1AC" w:rsidR="00AA0B14" w:rsidRPr="00AA0B14" w:rsidRDefault="00AA0B14" w:rsidP="00E06D4C">
            <w:pPr>
              <w:pStyle w:val="TableParagraph"/>
              <w:ind w:left="57" w:right="57"/>
            </w:pPr>
            <w:r w:rsidRPr="00AA0B14">
              <w:t>2027</w:t>
            </w:r>
            <w:r w:rsidR="009404DC">
              <w:t>–</w:t>
            </w:r>
            <w:r w:rsidRPr="00AA0B14">
              <w:t>2031</w:t>
            </w:r>
          </w:p>
        </w:tc>
      </w:tr>
      <w:tr w:rsidR="00AA0B14" w:rsidRPr="00AA0B14" w14:paraId="42EC8476" w14:textId="77777777" w:rsidTr="00AA0B14">
        <w:trPr>
          <w:trHeight w:val="450"/>
        </w:trPr>
        <w:tc>
          <w:tcPr>
            <w:tcW w:w="3120" w:type="dxa"/>
            <w:tcBorders>
              <w:top w:val="single" w:sz="6" w:space="0" w:color="FFFFFF"/>
              <w:left w:val="single" w:sz="6" w:space="0" w:color="FFFFFF"/>
              <w:bottom w:val="single" w:sz="6" w:space="0" w:color="FFFFFF"/>
              <w:right w:val="single" w:sz="6" w:space="0" w:color="FFFFFF"/>
            </w:tcBorders>
            <w:shd w:val="clear" w:color="auto" w:fill="C1DCD5"/>
            <w:vAlign w:val="center"/>
          </w:tcPr>
          <w:p w14:paraId="5DE9E2BC" w14:textId="77777777" w:rsidR="00AA0B14" w:rsidRPr="00AA0B14" w:rsidRDefault="00AA0B14" w:rsidP="00E06D4C">
            <w:pPr>
              <w:pStyle w:val="TableParagraph"/>
              <w:ind w:left="57" w:right="57"/>
            </w:pPr>
            <w:r w:rsidRPr="00AA0B14">
              <w:t>Proposed auction volumes</w:t>
            </w:r>
          </w:p>
        </w:tc>
        <w:tc>
          <w:tcPr>
            <w:tcW w:w="975" w:type="dxa"/>
            <w:tcBorders>
              <w:top w:val="single" w:sz="6" w:space="0" w:color="FFFFFF"/>
              <w:left w:val="single" w:sz="6" w:space="0" w:color="FFFFFF"/>
              <w:bottom w:val="single" w:sz="6" w:space="0" w:color="FFFFFF"/>
              <w:right w:val="single" w:sz="6" w:space="0" w:color="FFFFFF"/>
            </w:tcBorders>
            <w:shd w:val="clear" w:color="auto" w:fill="D4E8DE"/>
            <w:vAlign w:val="center"/>
          </w:tcPr>
          <w:p w14:paraId="70AC1EDC" w14:textId="77777777" w:rsidR="00AA0B14" w:rsidRPr="00AA0B14" w:rsidRDefault="00AA0B14" w:rsidP="00E06D4C">
            <w:pPr>
              <w:pStyle w:val="TableParagraph"/>
              <w:ind w:left="57" w:right="57"/>
            </w:pPr>
            <w:r w:rsidRPr="00AA0B14">
              <w:t>4.3</w:t>
            </w:r>
          </w:p>
        </w:tc>
        <w:tc>
          <w:tcPr>
            <w:tcW w:w="975" w:type="dxa"/>
            <w:tcBorders>
              <w:top w:val="single" w:sz="6" w:space="0" w:color="FFFFFF"/>
              <w:left w:val="single" w:sz="6" w:space="0" w:color="FFFFFF"/>
              <w:bottom w:val="single" w:sz="6" w:space="0" w:color="FFFFFF"/>
              <w:right w:val="single" w:sz="6" w:space="0" w:color="FFFFFF"/>
            </w:tcBorders>
            <w:shd w:val="clear" w:color="auto" w:fill="D4E8DE"/>
            <w:vAlign w:val="center"/>
          </w:tcPr>
          <w:p w14:paraId="1628DE0D" w14:textId="77777777" w:rsidR="00AA0B14" w:rsidRPr="00AA0B14" w:rsidRDefault="00AA0B14" w:rsidP="00E06D4C">
            <w:pPr>
              <w:pStyle w:val="TableParagraph"/>
              <w:ind w:left="57" w:right="57"/>
            </w:pPr>
            <w:r w:rsidRPr="00AA0B14">
              <w:t>3.3</w:t>
            </w:r>
          </w:p>
        </w:tc>
        <w:tc>
          <w:tcPr>
            <w:tcW w:w="975" w:type="dxa"/>
            <w:tcBorders>
              <w:top w:val="single" w:sz="6" w:space="0" w:color="FFFFFF"/>
              <w:left w:val="single" w:sz="6" w:space="0" w:color="FFFFFF"/>
              <w:bottom w:val="single" w:sz="6" w:space="0" w:color="FFFFFF"/>
              <w:right w:val="single" w:sz="6" w:space="0" w:color="FFFFFF"/>
            </w:tcBorders>
            <w:shd w:val="clear" w:color="auto" w:fill="D4E8DE"/>
            <w:vAlign w:val="center"/>
          </w:tcPr>
          <w:p w14:paraId="38DB6394" w14:textId="77777777" w:rsidR="00AA0B14" w:rsidRPr="00AA0B14" w:rsidRDefault="00AA0B14" w:rsidP="00E06D4C">
            <w:pPr>
              <w:pStyle w:val="TableParagraph"/>
              <w:ind w:left="57" w:right="57"/>
            </w:pPr>
            <w:r w:rsidRPr="00AA0B14">
              <w:t>2.4</w:t>
            </w:r>
          </w:p>
        </w:tc>
        <w:tc>
          <w:tcPr>
            <w:tcW w:w="975" w:type="dxa"/>
            <w:tcBorders>
              <w:top w:val="single" w:sz="6" w:space="0" w:color="FFFFFF"/>
              <w:left w:val="single" w:sz="6" w:space="0" w:color="FFFFFF"/>
              <w:bottom w:val="single" w:sz="6" w:space="0" w:color="FFFFFF"/>
              <w:right w:val="single" w:sz="6" w:space="0" w:color="FFFFFF"/>
            </w:tcBorders>
            <w:shd w:val="clear" w:color="auto" w:fill="D4E8DE"/>
            <w:vAlign w:val="center"/>
          </w:tcPr>
          <w:p w14:paraId="5387E9D9" w14:textId="77777777" w:rsidR="00AA0B14" w:rsidRPr="00AA0B14" w:rsidRDefault="00AA0B14" w:rsidP="00E06D4C">
            <w:pPr>
              <w:pStyle w:val="TableParagraph"/>
              <w:ind w:left="57" w:right="57"/>
            </w:pPr>
            <w:r w:rsidRPr="00AA0B14">
              <w:t>1.7</w:t>
            </w:r>
          </w:p>
        </w:tc>
        <w:tc>
          <w:tcPr>
            <w:tcW w:w="975" w:type="dxa"/>
            <w:tcBorders>
              <w:top w:val="single" w:sz="6" w:space="0" w:color="FFFFFF"/>
              <w:left w:val="single" w:sz="6" w:space="0" w:color="FFFFFF"/>
              <w:bottom w:val="single" w:sz="6" w:space="0" w:color="FFFFFF"/>
              <w:right w:val="single" w:sz="6" w:space="0" w:color="FFFFFF"/>
            </w:tcBorders>
            <w:shd w:val="clear" w:color="auto" w:fill="D4E8DE"/>
            <w:vAlign w:val="center"/>
          </w:tcPr>
          <w:p w14:paraId="202315CE" w14:textId="77777777" w:rsidR="00AA0B14" w:rsidRPr="00AA0B14" w:rsidRDefault="00AA0B14" w:rsidP="00E06D4C">
            <w:pPr>
              <w:pStyle w:val="TableParagraph"/>
              <w:ind w:left="57" w:right="57"/>
            </w:pPr>
            <w:r w:rsidRPr="00AA0B14">
              <w:t>3.0</w:t>
            </w:r>
          </w:p>
        </w:tc>
        <w:tc>
          <w:tcPr>
            <w:tcW w:w="1275" w:type="dxa"/>
            <w:tcBorders>
              <w:top w:val="single" w:sz="6" w:space="0" w:color="FFFFFF"/>
              <w:left w:val="single" w:sz="6" w:space="0" w:color="FFFFFF"/>
              <w:bottom w:val="single" w:sz="6" w:space="0" w:color="FFFFFF"/>
              <w:right w:val="single" w:sz="6" w:space="0" w:color="FFFFFF"/>
            </w:tcBorders>
            <w:shd w:val="clear" w:color="auto" w:fill="D4E8DE"/>
            <w:vAlign w:val="center"/>
          </w:tcPr>
          <w:p w14:paraId="7D084FDB" w14:textId="77777777" w:rsidR="00AA0B14" w:rsidRPr="00AA0B14" w:rsidRDefault="00AA0B14" w:rsidP="00E06D4C">
            <w:pPr>
              <w:pStyle w:val="TableParagraph"/>
              <w:ind w:left="57" w:right="57"/>
            </w:pPr>
            <w:r w:rsidRPr="00AA0B14">
              <w:t>14.7</w:t>
            </w:r>
          </w:p>
        </w:tc>
      </w:tr>
    </w:tbl>
    <w:p w14:paraId="0EF4E2D7" w14:textId="77777777" w:rsidR="00580013" w:rsidRDefault="00580013">
      <w:pPr>
        <w:spacing w:before="0" w:after="0" w:line="240" w:lineRule="auto"/>
        <w:rPr>
          <w:rFonts w:eastAsiaTheme="majorEastAsia"/>
          <w:b/>
          <w:color w:val="1F3864" w:themeColor="accent1" w:themeShade="80"/>
          <w:sz w:val="44"/>
          <w:szCs w:val="44"/>
        </w:rPr>
      </w:pPr>
      <w:r>
        <w:br w:type="page"/>
      </w:r>
    </w:p>
    <w:p w14:paraId="4F331134" w14:textId="32DACCF0" w:rsidR="00232C57" w:rsidRDefault="00B50217" w:rsidP="00B50217">
      <w:pPr>
        <w:pStyle w:val="Heading1nonumber"/>
      </w:pPr>
      <w:bookmarkStart w:id="53" w:name="_Toc227603141"/>
      <w:r>
        <w:t>References</w:t>
      </w:r>
      <w:bookmarkEnd w:id="53"/>
    </w:p>
    <w:p w14:paraId="03A9270C" w14:textId="432DB3EF" w:rsidR="00673384" w:rsidRPr="00673384" w:rsidRDefault="00CA7D51" w:rsidP="00673384">
      <w:pPr>
        <w:pStyle w:val="EndNoteBibliography"/>
        <w:spacing w:after="0"/>
      </w:pPr>
      <w:r>
        <w:fldChar w:fldCharType="begin"/>
      </w:r>
      <w:r>
        <w:instrText xml:space="preserve"> ADDIN EN.REFLIST </w:instrText>
      </w:r>
      <w:r>
        <w:fldChar w:fldCharType="separate"/>
      </w:r>
      <w:r w:rsidR="00673384" w:rsidRPr="00673384">
        <w:t>1.</w:t>
      </w:r>
      <w:r w:rsidR="00673384" w:rsidRPr="00673384">
        <w:tab/>
        <w:t xml:space="preserve">Ministry for the Environment Manatū Mō Te Taiao. </w:t>
      </w:r>
      <w:r w:rsidR="00673384" w:rsidRPr="00673384">
        <w:rPr>
          <w:i/>
        </w:rPr>
        <w:t>NZ ETS Settings decisions for 2026-2030 package</w:t>
      </w:r>
      <w:r w:rsidR="00673384" w:rsidRPr="00673384">
        <w:t xml:space="preserve">. 2025. 12 September 2025. </w:t>
      </w:r>
      <w:hyperlink r:id="rId25" w:history="1">
        <w:r w:rsidR="00673384" w:rsidRPr="00673384">
          <w:rPr>
            <w:rStyle w:val="Hyperlink"/>
          </w:rPr>
          <w:t>https://environment.govt.nz/assets/publications/Cabinet-papers-briefings-and-minutes/2025-update-to-New-Zealand-Emissions-Trading-Scheme-settings-and-regulations.pdf</w:t>
        </w:r>
      </w:hyperlink>
    </w:p>
    <w:p w14:paraId="7372280E" w14:textId="77777777" w:rsidR="00673384" w:rsidRPr="00673384" w:rsidRDefault="00673384" w:rsidP="00673384">
      <w:pPr>
        <w:pStyle w:val="EndNoteBibliography"/>
        <w:spacing w:after="0"/>
      </w:pPr>
      <w:r w:rsidRPr="00673384">
        <w:t>2.</w:t>
      </w:r>
      <w:r w:rsidRPr="00673384">
        <w:tab/>
        <w:t>Request for Information Overview Document: Partnering to plant trees on Crown-owned land (2025).</w:t>
      </w:r>
    </w:p>
    <w:p w14:paraId="6F2BDFCE" w14:textId="77777777" w:rsidR="00673384" w:rsidRPr="00673384" w:rsidRDefault="00673384" w:rsidP="00673384">
      <w:pPr>
        <w:pStyle w:val="EndNoteBibliography"/>
        <w:spacing w:after="0"/>
      </w:pPr>
      <w:r w:rsidRPr="00673384">
        <w:t>3.</w:t>
      </w:r>
      <w:r w:rsidRPr="00673384">
        <w:tab/>
        <w:t>Proposed changes to the New Zealand Emissions Trading Scheme regulations 2025 (2025).</w:t>
      </w:r>
    </w:p>
    <w:p w14:paraId="1BE243F9" w14:textId="66FCF69B" w:rsidR="00673384" w:rsidRPr="00673384" w:rsidRDefault="00673384" w:rsidP="00673384">
      <w:pPr>
        <w:pStyle w:val="EndNoteBibliography"/>
        <w:spacing w:after="0"/>
      </w:pPr>
      <w:r w:rsidRPr="00673384">
        <w:t>4.</w:t>
      </w:r>
      <w:r w:rsidRPr="00673384">
        <w:tab/>
        <w:t xml:space="preserve">Environmental Protection Authority Te Mana Rauhī Taiao. Privately held units. Accessed 26 March 2026, </w:t>
      </w:r>
      <w:hyperlink r:id="rId26" w:history="1">
        <w:r w:rsidRPr="00673384">
          <w:rPr>
            <w:rStyle w:val="Hyperlink"/>
          </w:rPr>
          <w:t>https://www.epa.govt.nz/industry-areas/emissions-trading-scheme/market-information/privately-held-units/</w:t>
        </w:r>
      </w:hyperlink>
    </w:p>
    <w:p w14:paraId="7757B78A" w14:textId="567A8848" w:rsidR="00673384" w:rsidRPr="00673384" w:rsidRDefault="00673384" w:rsidP="00673384">
      <w:pPr>
        <w:pStyle w:val="EndNoteBibliography"/>
        <w:spacing w:after="0"/>
      </w:pPr>
      <w:r w:rsidRPr="00673384">
        <w:t>5.</w:t>
      </w:r>
      <w:r w:rsidRPr="00673384">
        <w:tab/>
        <w:t xml:space="preserve">Manley B. </w:t>
      </w:r>
      <w:r w:rsidRPr="00673384">
        <w:rPr>
          <w:i/>
        </w:rPr>
        <w:t>Post-1989 Deforestation and Permanent Forest</w:t>
      </w:r>
      <w:r w:rsidRPr="00673384">
        <w:t xml:space="preserve">. 2024. </w:t>
      </w:r>
      <w:hyperlink r:id="rId27" w:history="1">
        <w:r w:rsidRPr="00673384">
          <w:rPr>
            <w:rStyle w:val="Hyperlink"/>
          </w:rPr>
          <w:t>https://www.mpi.govt.nz/dmsdocument/70373-Post-1989-Deforestation-and-Permanent-Forest</w:t>
        </w:r>
      </w:hyperlink>
    </w:p>
    <w:p w14:paraId="002084A6" w14:textId="7AF3B6F7" w:rsidR="00673384" w:rsidRPr="00673384" w:rsidRDefault="00673384" w:rsidP="00673384">
      <w:pPr>
        <w:pStyle w:val="EndNoteBibliography"/>
        <w:spacing w:after="0"/>
      </w:pPr>
      <w:r w:rsidRPr="00673384">
        <w:t>6.</w:t>
      </w:r>
      <w:r w:rsidRPr="00673384">
        <w:tab/>
        <w:t xml:space="preserve">Manley B. </w:t>
      </w:r>
      <w:r w:rsidRPr="00673384">
        <w:rPr>
          <w:i/>
        </w:rPr>
        <w:t>Afforestation and Deforestation Intentions Survey 2024</w:t>
      </w:r>
      <w:r w:rsidRPr="00673384">
        <w:t xml:space="preserve">. May 2025. </w:t>
      </w:r>
      <w:hyperlink r:id="rId28" w:history="1">
        <w:r w:rsidRPr="00673384">
          <w:rPr>
            <w:rStyle w:val="Hyperlink"/>
          </w:rPr>
          <w:t>https://www.mpi.govt.nz/dmsdocument/70372-Afforestation-and-Deforestation-Intentions-Survey-2024</w:t>
        </w:r>
      </w:hyperlink>
    </w:p>
    <w:p w14:paraId="2384CAFC" w14:textId="20B50C83" w:rsidR="00673384" w:rsidRPr="00673384" w:rsidRDefault="00673384" w:rsidP="00673384">
      <w:pPr>
        <w:pStyle w:val="EndNoteBibliography"/>
        <w:spacing w:after="0"/>
      </w:pPr>
      <w:r w:rsidRPr="00673384">
        <w:t>7.</w:t>
      </w:r>
      <w:r w:rsidRPr="00673384">
        <w:tab/>
        <w:t xml:space="preserve">Manley B. </w:t>
      </w:r>
      <w:r w:rsidRPr="00673384">
        <w:rPr>
          <w:i/>
        </w:rPr>
        <w:t>Intentions of forest owners following harvest of post-1989 forests</w:t>
      </w:r>
      <w:r w:rsidRPr="00673384">
        <w:t xml:space="preserve">. 2018. </w:t>
      </w:r>
      <w:hyperlink r:id="rId29" w:history="1">
        <w:r w:rsidRPr="00673384">
          <w:rPr>
            <w:rStyle w:val="Hyperlink"/>
          </w:rPr>
          <w:t>https://www.mpi.govt.nz/dmsdocument/30687-intentions-of-forest-owners-following-harvest-of-post-1989-forests</w:t>
        </w:r>
      </w:hyperlink>
    </w:p>
    <w:p w14:paraId="03945983" w14:textId="1E3028FE" w:rsidR="00673384" w:rsidRPr="00673384" w:rsidRDefault="00673384" w:rsidP="00673384">
      <w:pPr>
        <w:pStyle w:val="EndNoteBibliography"/>
      </w:pPr>
      <w:r w:rsidRPr="00673384">
        <w:t>8.</w:t>
      </w:r>
      <w:r w:rsidRPr="00673384">
        <w:tab/>
        <w:t xml:space="preserve">Ministry for Primary Industries Manatu Ahu Matua. Application wait times and statistics for forestry in the ETS. Accessed 26 January 2026, </w:t>
      </w:r>
      <w:hyperlink r:id="rId30" w:history="1">
        <w:r w:rsidRPr="00673384">
          <w:rPr>
            <w:rStyle w:val="Hyperlink"/>
          </w:rPr>
          <w:t>https://www.mpi.govt.nz/forestry/forestry-in-the-emissions-trading-scheme/news-and-changes-to-the-ets/application-wait-times-and-statistics-for-forestry-in-the-ets</w:t>
        </w:r>
      </w:hyperlink>
    </w:p>
    <w:p w14:paraId="1C537819" w14:textId="20DE19E6" w:rsidR="00B50217" w:rsidRPr="00A642BA" w:rsidRDefault="00CA7D51" w:rsidP="00E06D4C">
      <w:r>
        <w:fldChar w:fldCharType="end"/>
      </w:r>
    </w:p>
    <w:sectPr w:rsidR="00B50217" w:rsidRPr="00A642BA" w:rsidSect="00FB06BB">
      <w:footerReference w:type="first" r:id="rId31"/>
      <w:pgSz w:w="11906" w:h="16838"/>
      <w:pgMar w:top="1418" w:right="1418" w:bottom="1134" w:left="1418" w:header="709" w:footer="62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ED2B3" w14:textId="77777777" w:rsidR="00652723" w:rsidRDefault="00652723" w:rsidP="006F0BB5">
      <w:r>
        <w:separator/>
      </w:r>
    </w:p>
  </w:endnote>
  <w:endnote w:type="continuationSeparator" w:id="0">
    <w:p w14:paraId="07F93308" w14:textId="77777777" w:rsidR="00652723" w:rsidRDefault="00652723" w:rsidP="006F0BB5">
      <w:r>
        <w:continuationSeparator/>
      </w:r>
    </w:p>
  </w:endnote>
  <w:endnote w:type="continuationNotice" w:id="1">
    <w:p w14:paraId="491D9FF7" w14:textId="77777777" w:rsidR="00652723" w:rsidRDefault="0065272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Mincho">
    <w:altName w:val="Yu Gothic"/>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Ligh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Poppins Light">
    <w:charset w:val="00"/>
    <w:family w:val="auto"/>
    <w:pitch w:val="variable"/>
    <w:sig w:usb0="00008007" w:usb1="00000000" w:usb2="00000000" w:usb3="00000000" w:csb0="00000093" w:csb1="00000000"/>
  </w:font>
  <w:font w:name="Minion Pro">
    <w:altName w:val="Cambria"/>
    <w:panose1 w:val="00000000000000000000"/>
    <w:charset w:val="00"/>
    <w:family w:val="roman"/>
    <w:notTrueType/>
    <w:pitch w:val="variable"/>
    <w:sig w:usb0="60000287" w:usb1="00000001" w:usb2="00000000" w:usb3="00000000" w:csb0="0000019F" w:csb1="00000000"/>
  </w:font>
  <w:font w:name="Montserrat">
    <w:charset w:val="00"/>
    <w:family w:val="auto"/>
    <w:pitch w:val="variable"/>
    <w:sig w:usb0="2000020F" w:usb1="00000003" w:usb2="00000000" w:usb3="00000000" w:csb0="00000197" w:csb1="00000000"/>
  </w:font>
  <w:font w:name="Ebony">
    <w:altName w:val="Cambria"/>
    <w:panose1 w:val="00000000000000000000"/>
    <w:charset w:val="4D"/>
    <w:family w:val="auto"/>
    <w:notTrueType/>
    <w:pitch w:val="variable"/>
    <w:sig w:usb0="A00000AF" w:usb1="5000205B" w:usb2="00000000" w:usb3="00000000" w:csb0="00000093" w:csb1="00000000"/>
  </w:font>
  <w:font w:name="Ebony Lt">
    <w:altName w:val="Calibri"/>
    <w:panose1 w:val="00000000000000000000"/>
    <w:charset w:val="4D"/>
    <w:family w:val="auto"/>
    <w:notTrueType/>
    <w:pitch w:val="variable"/>
    <w:sig w:usb0="A00000AF" w:usb1="5000205B" w:usb2="00000000" w:usb3="00000000" w:csb0="00000093" w:csb1="00000000"/>
  </w:font>
  <w:font w:name="Calibri-Light">
    <w:altName w:val="Calibri"/>
    <w:charset w:val="00"/>
    <w:family w:val="swiss"/>
    <w:pitch w:val="variable"/>
  </w:font>
  <w:font w:name="Arial (Body CS)">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6190987"/>
      <w:docPartObj>
        <w:docPartGallery w:val="Page Numbers (Bottom of Page)"/>
        <w:docPartUnique/>
      </w:docPartObj>
    </w:sdtPr>
    <w:sdtContent>
      <w:p w14:paraId="5EE1D924" w14:textId="0DE4D319" w:rsidR="00311C5C" w:rsidRPr="009F2752" w:rsidRDefault="00311C5C" w:rsidP="009F38CA">
        <w:pPr>
          <w:pStyle w:val="FootnoteText"/>
          <w:jc w:val="right"/>
        </w:pPr>
        <w:r w:rsidRPr="00E06D4C">
          <w:rPr>
            <w:b/>
          </w:rPr>
          <w:t xml:space="preserve">He Pou a Rangi Climate Change Commission | </w:t>
        </w:r>
        <w:r w:rsidRPr="00311C5C">
          <w:t>NZ ETS settings 2027</w:t>
        </w:r>
        <w:r w:rsidR="00160B1B">
          <w:t>–</w:t>
        </w:r>
        <w:r w:rsidRPr="00311C5C">
          <w:t xml:space="preserve">2031: Technical annex </w:t>
        </w:r>
        <w:r w:rsidR="00673384">
          <w:t>1</w:t>
        </w:r>
        <w:r w:rsidRPr="00311C5C">
          <w:t xml:space="preserve">   </w:t>
        </w:r>
        <w:r w:rsidRPr="003D4844">
          <w:fldChar w:fldCharType="begin"/>
        </w:r>
        <w:r w:rsidRPr="003D4844">
          <w:instrText xml:space="preserve"> PAGE   \* MERGEFORMAT </w:instrText>
        </w:r>
        <w:r w:rsidRPr="003D4844">
          <w:fldChar w:fldCharType="separate"/>
        </w:r>
        <w:r w:rsidRPr="003D4844">
          <w:t>0</w:t>
        </w:r>
        <w:r w:rsidRPr="003D4844">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7100663"/>
      <w:docPartObj>
        <w:docPartGallery w:val="Page Numbers (Bottom of Page)"/>
        <w:docPartUnique/>
      </w:docPartObj>
    </w:sdtPr>
    <w:sdtContent>
      <w:p w14:paraId="71E86D85" w14:textId="77777777" w:rsidR="00E20415" w:rsidRDefault="00F63AF0" w:rsidP="00E06D4C">
        <w:pPr>
          <w:pStyle w:val="FootnoteText"/>
          <w:jc w:val="right"/>
        </w:pPr>
        <w:r w:rsidRPr="00E06D4C">
          <w:rPr>
            <w:b/>
            <w:bCs/>
          </w:rPr>
          <w:t>He Pou a Rangi Climate Change Commission |</w:t>
        </w:r>
        <w:r w:rsidRPr="00311C5C">
          <w:t xml:space="preserve"> NZ ETS settings 2027-2031: Technical annex </w:t>
        </w:r>
        <w:r w:rsidRPr="009F2752">
          <w:t>2</w:t>
        </w:r>
        <w:r w:rsidRPr="00311C5C">
          <w:t xml:space="preserve">   </w:t>
        </w:r>
        <w:r w:rsidRPr="003D4844">
          <w:fldChar w:fldCharType="begin"/>
        </w:r>
        <w:r w:rsidRPr="003D4844">
          <w:instrText xml:space="preserve"> PAGE   \* MERGEFORMAT </w:instrText>
        </w:r>
        <w:r w:rsidRPr="003D4844">
          <w:fldChar w:fldCharType="separate"/>
        </w:r>
        <w:r>
          <w:t>1</w:t>
        </w:r>
        <w:r w:rsidRPr="003D4844">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0D540" w14:textId="77777777" w:rsidR="00652723" w:rsidRDefault="00652723" w:rsidP="006F0BB5">
      <w:r>
        <w:separator/>
      </w:r>
    </w:p>
  </w:footnote>
  <w:footnote w:type="continuationSeparator" w:id="0">
    <w:p w14:paraId="489E18D5" w14:textId="77777777" w:rsidR="00652723" w:rsidRDefault="00652723" w:rsidP="006F0BB5">
      <w:r>
        <w:continuationSeparator/>
      </w:r>
    </w:p>
  </w:footnote>
  <w:footnote w:type="continuationNotice" w:id="1">
    <w:p w14:paraId="4691B1F0" w14:textId="77777777" w:rsidR="00652723" w:rsidRDefault="00652723">
      <w:pPr>
        <w:spacing w:before="0" w:after="0" w:line="240" w:lineRule="auto"/>
      </w:pPr>
    </w:p>
  </w:footnote>
  <w:footnote w:id="2">
    <w:p w14:paraId="6D4B38D3" w14:textId="2BAA9D6F" w:rsidR="00FC4B95" w:rsidRPr="00492495" w:rsidRDefault="00FC4B95" w:rsidP="00FC4B95">
      <w:pPr>
        <w:pStyle w:val="FootnoteText"/>
      </w:pPr>
      <w:r w:rsidRPr="00492495">
        <w:rPr>
          <w:rStyle w:val="FootnoteReference"/>
        </w:rPr>
        <w:footnoteRef/>
      </w:r>
      <w:r w:rsidRPr="00492495">
        <w:t xml:space="preserve"> This figure is 1.8</w:t>
      </w:r>
      <w:r w:rsidR="00D106B3">
        <w:t xml:space="preserve"> </w:t>
      </w:r>
      <w:r w:rsidRPr="00492495">
        <w:t>MtCO</w:t>
      </w:r>
      <w:r w:rsidRPr="00492495">
        <w:rPr>
          <w:vertAlign w:val="subscript"/>
        </w:rPr>
        <w:t>2</w:t>
      </w:r>
      <w:r w:rsidRPr="00492495">
        <w:t>e lower than the NZ ETS emissions released by MfE along with the emissions projections. MfE’s NZ ETS projections do not have a breakdown of the types of emissions, but we believe this</w:t>
      </w:r>
      <w:r w:rsidRPr="00492495" w:rsidDel="00265D98">
        <w:t xml:space="preserve"> </w:t>
      </w:r>
      <w:r w:rsidR="007B29EA">
        <w:t xml:space="preserve">difference </w:t>
      </w:r>
      <w:r w:rsidR="00265D98">
        <w:t xml:space="preserve">is </w:t>
      </w:r>
      <w:r w:rsidRPr="00492495">
        <w:t>primarily a result of our</w:t>
      </w:r>
      <w:r w:rsidR="00A248AD">
        <w:t xml:space="preserve"> more granular</w:t>
      </w:r>
      <w:r w:rsidRPr="00492495">
        <w:t xml:space="preserve"> estimate</w:t>
      </w:r>
      <w:r w:rsidR="00A248AD">
        <w:t>s</w:t>
      </w:r>
      <w:r w:rsidRPr="00492495">
        <w:t xml:space="preserve"> of non-NZ ETS emissions, such as in</w:t>
      </w:r>
      <w:r w:rsidRPr="00492495" w:rsidDel="0046213B">
        <w:t xml:space="preserve"> </w:t>
      </w:r>
      <w:r w:rsidRPr="00492495">
        <w:t>F-gases and non-NZ ETS registered forestry.</w:t>
      </w:r>
    </w:p>
  </w:footnote>
  <w:footnote w:id="3">
    <w:p w14:paraId="149C8A9E" w14:textId="2BE52F25" w:rsidR="00E87EFE" w:rsidRDefault="00E87EFE">
      <w:pPr>
        <w:pStyle w:val="FootnoteText"/>
      </w:pPr>
      <w:r>
        <w:rPr>
          <w:rStyle w:val="FootnoteReference"/>
        </w:rPr>
        <w:footnoteRef/>
      </w:r>
      <w:r>
        <w:t xml:space="preserve"> </w:t>
      </w:r>
      <w:r w:rsidRPr="00E87EFE">
        <w:t>More specifically, we assume that the units to be surrendered exist in the stockpile by the end of the calendar year. Whether they are held by emitters directly, indirectly via third parties, or are yet to be purchased does not affect the overall calculation of the surplus so long as the units are in the registry.</w:t>
      </w:r>
    </w:p>
  </w:footnote>
  <w:footnote w:id="4">
    <w:p w14:paraId="2ACE97D0" w14:textId="77777777" w:rsidR="00B944C8" w:rsidRPr="00492495" w:rsidRDefault="00B944C8" w:rsidP="00B944C8">
      <w:pPr>
        <w:pStyle w:val="FootnoteText"/>
      </w:pPr>
      <w:r w:rsidRPr="00492495">
        <w:rPr>
          <w:rStyle w:val="FootnoteReference"/>
        </w:rPr>
        <w:footnoteRef/>
      </w:r>
      <w:r w:rsidRPr="00492495">
        <w:t xml:space="preserve"> Note, the central surplus estimate is based on our incorporation of a forestry technical adjustment</w:t>
      </w:r>
      <w:r w:rsidRPr="00B00E10">
        <w:t xml:space="preserve">. </w:t>
      </w:r>
      <w:r w:rsidRPr="00492495">
        <w:t>The low surplus estimate represents that based on 30% less permanent exotic forests and 55% low-risk carbon, we estimate the required technical adjustment would be 1.3m units less than our central assumption. Based on 30% more permanent forests and 75% additional low-risk carbon the required technical adjustment would be 1.2m units more than based on the central assumptions.  </w:t>
      </w:r>
    </w:p>
  </w:footnote>
  <w:footnote w:id="5">
    <w:p w14:paraId="38EA129F" w14:textId="1DC79849" w:rsidR="003B5E5D" w:rsidRDefault="003B5E5D">
      <w:pPr>
        <w:pStyle w:val="FootnoteText"/>
      </w:pPr>
      <w:r>
        <w:rPr>
          <w:rStyle w:val="FootnoteReference"/>
        </w:rPr>
        <w:footnoteRef/>
      </w:r>
      <w:r>
        <w:t xml:space="preserve"> </w:t>
      </w:r>
      <w:r w:rsidRPr="003B5E5D">
        <w:t>Even though 2026 is not part of the settings period, it has been included in this table because the results from the updated steps have an impact on the calculated surplus reduction volumes in the following years.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A1C8"/>
    <w:multiLevelType w:val="hybridMultilevel"/>
    <w:tmpl w:val="F89AB192"/>
    <w:lvl w:ilvl="0" w:tplc="DC40FCD2">
      <w:start w:val="1"/>
      <w:numFmt w:val="bullet"/>
      <w:lvlText w:val="•"/>
      <w:lvlJc w:val="left"/>
      <w:pPr>
        <w:ind w:left="890" w:hanging="360"/>
      </w:pPr>
      <w:rPr>
        <w:rFonts w:ascii="Yu Mincho" w:hAnsi="Yu Mincho" w:hint="default"/>
      </w:rPr>
    </w:lvl>
    <w:lvl w:ilvl="1" w:tplc="B86E0D0E">
      <w:start w:val="1"/>
      <w:numFmt w:val="bullet"/>
      <w:lvlText w:val="o"/>
      <w:lvlJc w:val="left"/>
      <w:pPr>
        <w:ind w:left="1440" w:hanging="360"/>
      </w:pPr>
      <w:rPr>
        <w:rFonts w:ascii="Courier New" w:hAnsi="Courier New" w:hint="default"/>
      </w:rPr>
    </w:lvl>
    <w:lvl w:ilvl="2" w:tplc="3CA86274">
      <w:start w:val="1"/>
      <w:numFmt w:val="bullet"/>
      <w:lvlText w:val=""/>
      <w:lvlJc w:val="left"/>
      <w:pPr>
        <w:ind w:left="2160" w:hanging="360"/>
      </w:pPr>
      <w:rPr>
        <w:rFonts w:ascii="Wingdings" w:hAnsi="Wingdings" w:hint="default"/>
      </w:rPr>
    </w:lvl>
    <w:lvl w:ilvl="3" w:tplc="95E039AA">
      <w:start w:val="1"/>
      <w:numFmt w:val="bullet"/>
      <w:lvlText w:val=""/>
      <w:lvlJc w:val="left"/>
      <w:pPr>
        <w:ind w:left="2880" w:hanging="360"/>
      </w:pPr>
      <w:rPr>
        <w:rFonts w:ascii="Symbol" w:hAnsi="Symbol" w:hint="default"/>
      </w:rPr>
    </w:lvl>
    <w:lvl w:ilvl="4" w:tplc="8E885DFE">
      <w:start w:val="1"/>
      <w:numFmt w:val="bullet"/>
      <w:lvlText w:val="o"/>
      <w:lvlJc w:val="left"/>
      <w:pPr>
        <w:ind w:left="3600" w:hanging="360"/>
      </w:pPr>
      <w:rPr>
        <w:rFonts w:ascii="Courier New" w:hAnsi="Courier New" w:hint="default"/>
      </w:rPr>
    </w:lvl>
    <w:lvl w:ilvl="5" w:tplc="6A84E2AC">
      <w:start w:val="1"/>
      <w:numFmt w:val="bullet"/>
      <w:lvlText w:val=""/>
      <w:lvlJc w:val="left"/>
      <w:pPr>
        <w:ind w:left="4320" w:hanging="360"/>
      </w:pPr>
      <w:rPr>
        <w:rFonts w:ascii="Wingdings" w:hAnsi="Wingdings" w:hint="default"/>
      </w:rPr>
    </w:lvl>
    <w:lvl w:ilvl="6" w:tplc="A148DD72">
      <w:start w:val="1"/>
      <w:numFmt w:val="bullet"/>
      <w:lvlText w:val=""/>
      <w:lvlJc w:val="left"/>
      <w:pPr>
        <w:ind w:left="5040" w:hanging="360"/>
      </w:pPr>
      <w:rPr>
        <w:rFonts w:ascii="Symbol" w:hAnsi="Symbol" w:hint="default"/>
      </w:rPr>
    </w:lvl>
    <w:lvl w:ilvl="7" w:tplc="060AEBC4">
      <w:start w:val="1"/>
      <w:numFmt w:val="bullet"/>
      <w:lvlText w:val="o"/>
      <w:lvlJc w:val="left"/>
      <w:pPr>
        <w:ind w:left="5760" w:hanging="360"/>
      </w:pPr>
      <w:rPr>
        <w:rFonts w:ascii="Courier New" w:hAnsi="Courier New" w:hint="default"/>
      </w:rPr>
    </w:lvl>
    <w:lvl w:ilvl="8" w:tplc="4A364B1E">
      <w:start w:val="1"/>
      <w:numFmt w:val="bullet"/>
      <w:lvlText w:val=""/>
      <w:lvlJc w:val="left"/>
      <w:pPr>
        <w:ind w:left="6480" w:hanging="360"/>
      </w:pPr>
      <w:rPr>
        <w:rFonts w:ascii="Wingdings" w:hAnsi="Wingdings" w:hint="default"/>
      </w:rPr>
    </w:lvl>
  </w:abstractNum>
  <w:abstractNum w:abstractNumId="1" w15:restartNumberingAfterBreak="0">
    <w:nsid w:val="01F695BC"/>
    <w:multiLevelType w:val="hybridMultilevel"/>
    <w:tmpl w:val="FD76546A"/>
    <w:lvl w:ilvl="0" w:tplc="C56409C8">
      <w:start w:val="1"/>
      <w:numFmt w:val="bullet"/>
      <w:lvlText w:val=""/>
      <w:lvlJc w:val="left"/>
      <w:pPr>
        <w:ind w:left="720" w:hanging="360"/>
      </w:pPr>
      <w:rPr>
        <w:rFonts w:ascii="Symbol" w:hAnsi="Symbol" w:hint="default"/>
      </w:rPr>
    </w:lvl>
    <w:lvl w:ilvl="1" w:tplc="8D6E3D56">
      <w:start w:val="1"/>
      <w:numFmt w:val="bullet"/>
      <w:lvlText w:val=""/>
      <w:lvlJc w:val="left"/>
      <w:pPr>
        <w:ind w:left="1440" w:hanging="360"/>
      </w:pPr>
      <w:rPr>
        <w:rFonts w:ascii="Symbol" w:hAnsi="Symbol" w:hint="default"/>
      </w:rPr>
    </w:lvl>
    <w:lvl w:ilvl="2" w:tplc="86BA0FD6">
      <w:start w:val="1"/>
      <w:numFmt w:val="bullet"/>
      <w:lvlText w:val=""/>
      <w:lvlJc w:val="left"/>
      <w:pPr>
        <w:ind w:left="2160" w:hanging="360"/>
      </w:pPr>
      <w:rPr>
        <w:rFonts w:ascii="Wingdings" w:hAnsi="Wingdings" w:hint="default"/>
      </w:rPr>
    </w:lvl>
    <w:lvl w:ilvl="3" w:tplc="F5544F8E">
      <w:start w:val="1"/>
      <w:numFmt w:val="bullet"/>
      <w:lvlText w:val=""/>
      <w:lvlJc w:val="left"/>
      <w:pPr>
        <w:ind w:left="2880" w:hanging="360"/>
      </w:pPr>
      <w:rPr>
        <w:rFonts w:ascii="Symbol" w:hAnsi="Symbol" w:hint="default"/>
      </w:rPr>
    </w:lvl>
    <w:lvl w:ilvl="4" w:tplc="880EF220">
      <w:start w:val="1"/>
      <w:numFmt w:val="bullet"/>
      <w:lvlText w:val="o"/>
      <w:lvlJc w:val="left"/>
      <w:pPr>
        <w:ind w:left="3600" w:hanging="360"/>
      </w:pPr>
      <w:rPr>
        <w:rFonts w:ascii="Courier New" w:hAnsi="Courier New" w:hint="default"/>
      </w:rPr>
    </w:lvl>
    <w:lvl w:ilvl="5" w:tplc="5D5E5088">
      <w:start w:val="1"/>
      <w:numFmt w:val="bullet"/>
      <w:lvlText w:val=""/>
      <w:lvlJc w:val="left"/>
      <w:pPr>
        <w:ind w:left="4320" w:hanging="360"/>
      </w:pPr>
      <w:rPr>
        <w:rFonts w:ascii="Wingdings" w:hAnsi="Wingdings" w:hint="default"/>
      </w:rPr>
    </w:lvl>
    <w:lvl w:ilvl="6" w:tplc="DD549FAC">
      <w:start w:val="1"/>
      <w:numFmt w:val="bullet"/>
      <w:lvlText w:val=""/>
      <w:lvlJc w:val="left"/>
      <w:pPr>
        <w:ind w:left="5040" w:hanging="360"/>
      </w:pPr>
      <w:rPr>
        <w:rFonts w:ascii="Symbol" w:hAnsi="Symbol" w:hint="default"/>
      </w:rPr>
    </w:lvl>
    <w:lvl w:ilvl="7" w:tplc="0C56B480">
      <w:start w:val="1"/>
      <w:numFmt w:val="bullet"/>
      <w:lvlText w:val="o"/>
      <w:lvlJc w:val="left"/>
      <w:pPr>
        <w:ind w:left="5760" w:hanging="360"/>
      </w:pPr>
      <w:rPr>
        <w:rFonts w:ascii="Courier New" w:hAnsi="Courier New" w:hint="default"/>
      </w:rPr>
    </w:lvl>
    <w:lvl w:ilvl="8" w:tplc="3CC0224A">
      <w:start w:val="1"/>
      <w:numFmt w:val="bullet"/>
      <w:lvlText w:val=""/>
      <w:lvlJc w:val="left"/>
      <w:pPr>
        <w:ind w:left="6480" w:hanging="360"/>
      </w:pPr>
      <w:rPr>
        <w:rFonts w:ascii="Wingdings" w:hAnsi="Wingdings" w:hint="default"/>
      </w:rPr>
    </w:lvl>
  </w:abstractNum>
  <w:abstractNum w:abstractNumId="2" w15:restartNumberingAfterBreak="0">
    <w:nsid w:val="06BD4396"/>
    <w:multiLevelType w:val="hybridMultilevel"/>
    <w:tmpl w:val="D34EE5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A690AB1"/>
    <w:multiLevelType w:val="multilevel"/>
    <w:tmpl w:val="6FCA227A"/>
    <w:lvl w:ilvl="0">
      <w:start w:val="1"/>
      <w:numFmt w:val="decimal"/>
      <w:pStyle w:val="Heading1nonumber"/>
      <w:lvlText w:val="%1"/>
      <w:lvlJc w:val="left"/>
      <w:pPr>
        <w:ind w:left="432" w:hanging="432"/>
      </w:pPr>
    </w:lvl>
    <w:lvl w:ilvl="1">
      <w:start w:val="1"/>
      <w:numFmt w:val="decimal"/>
      <w:pStyle w:val="Heading2nonumber"/>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0972646"/>
    <w:multiLevelType w:val="multilevel"/>
    <w:tmpl w:val="A24E2A86"/>
    <w:styleLink w:val="CurrentList1"/>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18A0EF5"/>
    <w:multiLevelType w:val="hybridMultilevel"/>
    <w:tmpl w:val="E3F0E9AC"/>
    <w:lvl w:ilvl="0" w:tplc="14090001">
      <w:start w:val="1"/>
      <w:numFmt w:val="bullet"/>
      <w:lvlText w:val=""/>
      <w:lvlJc w:val="left"/>
      <w:pPr>
        <w:ind w:left="890" w:hanging="360"/>
      </w:pPr>
      <w:rPr>
        <w:rFonts w:ascii="Symbol" w:hAnsi="Symbol" w:hint="default"/>
      </w:rPr>
    </w:lvl>
    <w:lvl w:ilvl="1" w:tplc="14090003" w:tentative="1">
      <w:start w:val="1"/>
      <w:numFmt w:val="bullet"/>
      <w:lvlText w:val="o"/>
      <w:lvlJc w:val="left"/>
      <w:pPr>
        <w:ind w:left="1610" w:hanging="360"/>
      </w:pPr>
      <w:rPr>
        <w:rFonts w:ascii="Courier New" w:hAnsi="Courier New" w:cs="Courier New" w:hint="default"/>
      </w:rPr>
    </w:lvl>
    <w:lvl w:ilvl="2" w:tplc="14090005" w:tentative="1">
      <w:start w:val="1"/>
      <w:numFmt w:val="bullet"/>
      <w:lvlText w:val=""/>
      <w:lvlJc w:val="left"/>
      <w:pPr>
        <w:ind w:left="2330" w:hanging="360"/>
      </w:pPr>
      <w:rPr>
        <w:rFonts w:ascii="Wingdings" w:hAnsi="Wingdings" w:hint="default"/>
      </w:rPr>
    </w:lvl>
    <w:lvl w:ilvl="3" w:tplc="14090001" w:tentative="1">
      <w:start w:val="1"/>
      <w:numFmt w:val="bullet"/>
      <w:lvlText w:val=""/>
      <w:lvlJc w:val="left"/>
      <w:pPr>
        <w:ind w:left="3050" w:hanging="360"/>
      </w:pPr>
      <w:rPr>
        <w:rFonts w:ascii="Symbol" w:hAnsi="Symbol" w:hint="default"/>
      </w:rPr>
    </w:lvl>
    <w:lvl w:ilvl="4" w:tplc="14090003" w:tentative="1">
      <w:start w:val="1"/>
      <w:numFmt w:val="bullet"/>
      <w:lvlText w:val="o"/>
      <w:lvlJc w:val="left"/>
      <w:pPr>
        <w:ind w:left="3770" w:hanging="360"/>
      </w:pPr>
      <w:rPr>
        <w:rFonts w:ascii="Courier New" w:hAnsi="Courier New" w:cs="Courier New" w:hint="default"/>
      </w:rPr>
    </w:lvl>
    <w:lvl w:ilvl="5" w:tplc="14090005" w:tentative="1">
      <w:start w:val="1"/>
      <w:numFmt w:val="bullet"/>
      <w:lvlText w:val=""/>
      <w:lvlJc w:val="left"/>
      <w:pPr>
        <w:ind w:left="4490" w:hanging="360"/>
      </w:pPr>
      <w:rPr>
        <w:rFonts w:ascii="Wingdings" w:hAnsi="Wingdings" w:hint="default"/>
      </w:rPr>
    </w:lvl>
    <w:lvl w:ilvl="6" w:tplc="14090001" w:tentative="1">
      <w:start w:val="1"/>
      <w:numFmt w:val="bullet"/>
      <w:lvlText w:val=""/>
      <w:lvlJc w:val="left"/>
      <w:pPr>
        <w:ind w:left="5210" w:hanging="360"/>
      </w:pPr>
      <w:rPr>
        <w:rFonts w:ascii="Symbol" w:hAnsi="Symbol" w:hint="default"/>
      </w:rPr>
    </w:lvl>
    <w:lvl w:ilvl="7" w:tplc="14090003" w:tentative="1">
      <w:start w:val="1"/>
      <w:numFmt w:val="bullet"/>
      <w:lvlText w:val="o"/>
      <w:lvlJc w:val="left"/>
      <w:pPr>
        <w:ind w:left="5930" w:hanging="360"/>
      </w:pPr>
      <w:rPr>
        <w:rFonts w:ascii="Courier New" w:hAnsi="Courier New" w:cs="Courier New" w:hint="default"/>
      </w:rPr>
    </w:lvl>
    <w:lvl w:ilvl="8" w:tplc="14090005" w:tentative="1">
      <w:start w:val="1"/>
      <w:numFmt w:val="bullet"/>
      <w:lvlText w:val=""/>
      <w:lvlJc w:val="left"/>
      <w:pPr>
        <w:ind w:left="6650" w:hanging="360"/>
      </w:pPr>
      <w:rPr>
        <w:rFonts w:ascii="Wingdings" w:hAnsi="Wingdings" w:hint="default"/>
      </w:rPr>
    </w:lvl>
  </w:abstractNum>
  <w:abstractNum w:abstractNumId="6" w15:restartNumberingAfterBreak="0">
    <w:nsid w:val="121F5D58"/>
    <w:multiLevelType w:val="hybridMultilevel"/>
    <w:tmpl w:val="8F8A2084"/>
    <w:lvl w:ilvl="0" w:tplc="ECDA23DE">
      <w:start w:val="1"/>
      <w:numFmt w:val="bullet"/>
      <w:pStyle w:val="Bodybullet-sub-list"/>
      <w:lvlText w:val="-"/>
      <w:lvlJc w:val="left"/>
      <w:pPr>
        <w:ind w:left="1080" w:hanging="360"/>
      </w:pPr>
      <w:rPr>
        <w:rFonts w:ascii="Courier New" w:hAnsi="Courier New"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7" w15:restartNumberingAfterBreak="0">
    <w:nsid w:val="13CCBC17"/>
    <w:multiLevelType w:val="hybridMultilevel"/>
    <w:tmpl w:val="AD8E9236"/>
    <w:lvl w:ilvl="0" w:tplc="A3FCA6B2">
      <w:start w:val="1"/>
      <w:numFmt w:val="bullet"/>
      <w:lvlText w:val="•"/>
      <w:lvlJc w:val="left"/>
      <w:pPr>
        <w:ind w:left="890" w:hanging="360"/>
      </w:pPr>
      <w:rPr>
        <w:rFonts w:ascii="Yu Mincho" w:hAnsi="Yu Mincho" w:hint="default"/>
      </w:rPr>
    </w:lvl>
    <w:lvl w:ilvl="1" w:tplc="9D64921E">
      <w:start w:val="1"/>
      <w:numFmt w:val="bullet"/>
      <w:lvlText w:val="o"/>
      <w:lvlJc w:val="left"/>
      <w:pPr>
        <w:ind w:left="1440" w:hanging="360"/>
      </w:pPr>
      <w:rPr>
        <w:rFonts w:ascii="Courier New" w:hAnsi="Courier New" w:hint="default"/>
      </w:rPr>
    </w:lvl>
    <w:lvl w:ilvl="2" w:tplc="FC48DFE4">
      <w:start w:val="1"/>
      <w:numFmt w:val="bullet"/>
      <w:lvlText w:val=""/>
      <w:lvlJc w:val="left"/>
      <w:pPr>
        <w:ind w:left="2160" w:hanging="360"/>
      </w:pPr>
      <w:rPr>
        <w:rFonts w:ascii="Wingdings" w:hAnsi="Wingdings" w:hint="default"/>
      </w:rPr>
    </w:lvl>
    <w:lvl w:ilvl="3" w:tplc="BC16227E">
      <w:start w:val="1"/>
      <w:numFmt w:val="bullet"/>
      <w:lvlText w:val=""/>
      <w:lvlJc w:val="left"/>
      <w:pPr>
        <w:ind w:left="2880" w:hanging="360"/>
      </w:pPr>
      <w:rPr>
        <w:rFonts w:ascii="Symbol" w:hAnsi="Symbol" w:hint="default"/>
      </w:rPr>
    </w:lvl>
    <w:lvl w:ilvl="4" w:tplc="8B7232DC">
      <w:start w:val="1"/>
      <w:numFmt w:val="bullet"/>
      <w:lvlText w:val="o"/>
      <w:lvlJc w:val="left"/>
      <w:pPr>
        <w:ind w:left="3600" w:hanging="360"/>
      </w:pPr>
      <w:rPr>
        <w:rFonts w:ascii="Courier New" w:hAnsi="Courier New" w:hint="default"/>
      </w:rPr>
    </w:lvl>
    <w:lvl w:ilvl="5" w:tplc="A18059C6">
      <w:start w:val="1"/>
      <w:numFmt w:val="bullet"/>
      <w:lvlText w:val=""/>
      <w:lvlJc w:val="left"/>
      <w:pPr>
        <w:ind w:left="4320" w:hanging="360"/>
      </w:pPr>
      <w:rPr>
        <w:rFonts w:ascii="Wingdings" w:hAnsi="Wingdings" w:hint="default"/>
      </w:rPr>
    </w:lvl>
    <w:lvl w:ilvl="6" w:tplc="611CFDF8">
      <w:start w:val="1"/>
      <w:numFmt w:val="bullet"/>
      <w:lvlText w:val=""/>
      <w:lvlJc w:val="left"/>
      <w:pPr>
        <w:ind w:left="5040" w:hanging="360"/>
      </w:pPr>
      <w:rPr>
        <w:rFonts w:ascii="Symbol" w:hAnsi="Symbol" w:hint="default"/>
      </w:rPr>
    </w:lvl>
    <w:lvl w:ilvl="7" w:tplc="D1E03F96">
      <w:start w:val="1"/>
      <w:numFmt w:val="bullet"/>
      <w:lvlText w:val="o"/>
      <w:lvlJc w:val="left"/>
      <w:pPr>
        <w:ind w:left="5760" w:hanging="360"/>
      </w:pPr>
      <w:rPr>
        <w:rFonts w:ascii="Courier New" w:hAnsi="Courier New" w:hint="default"/>
      </w:rPr>
    </w:lvl>
    <w:lvl w:ilvl="8" w:tplc="AC38621A">
      <w:start w:val="1"/>
      <w:numFmt w:val="bullet"/>
      <w:lvlText w:val=""/>
      <w:lvlJc w:val="left"/>
      <w:pPr>
        <w:ind w:left="6480" w:hanging="360"/>
      </w:pPr>
      <w:rPr>
        <w:rFonts w:ascii="Wingdings" w:hAnsi="Wingdings" w:hint="default"/>
      </w:rPr>
    </w:lvl>
  </w:abstractNum>
  <w:abstractNum w:abstractNumId="8" w15:restartNumberingAfterBreak="0">
    <w:nsid w:val="15D41DAA"/>
    <w:multiLevelType w:val="multilevel"/>
    <w:tmpl w:val="B198BF9C"/>
    <w:styleLink w:val="CurrentList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BED07F2"/>
    <w:multiLevelType w:val="multilevel"/>
    <w:tmpl w:val="B538D98E"/>
    <w:styleLink w:val="CurrentList7"/>
    <w:lvl w:ilvl="0">
      <w:start w:val="1"/>
      <w:numFmt w:val="decimal"/>
      <w:lvlText w:val="%1."/>
      <w:lvlJc w:val="left"/>
      <w:pPr>
        <w:ind w:left="-491" w:hanging="360"/>
      </w:pPr>
      <w:rPr>
        <w:rFonts w:hint="default"/>
      </w:rPr>
    </w:lvl>
    <w:lvl w:ilvl="1">
      <w:start w:val="1"/>
      <w:numFmt w:val="decimal"/>
      <w:lvlText w:val="%1.%2."/>
      <w:lvlJc w:val="left"/>
      <w:pPr>
        <w:ind w:left="-59" w:hanging="432"/>
      </w:pPr>
      <w:rPr>
        <w:rFonts w:hint="default"/>
      </w:rPr>
    </w:lvl>
    <w:lvl w:ilvl="2">
      <w:start w:val="1"/>
      <w:numFmt w:val="decimal"/>
      <w:lvlText w:val="%1.%2.%3."/>
      <w:lvlJc w:val="left"/>
      <w:pPr>
        <w:ind w:left="373" w:hanging="504"/>
      </w:pPr>
      <w:rPr>
        <w:rFonts w:hint="default"/>
      </w:rPr>
    </w:lvl>
    <w:lvl w:ilvl="3">
      <w:start w:val="1"/>
      <w:numFmt w:val="decimal"/>
      <w:lvlText w:val="%1.%2.%3.%4."/>
      <w:lvlJc w:val="left"/>
      <w:pPr>
        <w:ind w:left="877" w:hanging="648"/>
      </w:pPr>
      <w:rPr>
        <w:rFonts w:hint="default"/>
      </w:rPr>
    </w:lvl>
    <w:lvl w:ilvl="4">
      <w:start w:val="1"/>
      <w:numFmt w:val="decimal"/>
      <w:lvlText w:val="%1.%2.%3.%4.%5."/>
      <w:lvlJc w:val="left"/>
      <w:pPr>
        <w:ind w:left="1381" w:hanging="792"/>
      </w:pPr>
      <w:rPr>
        <w:rFonts w:hint="default"/>
      </w:rPr>
    </w:lvl>
    <w:lvl w:ilvl="5">
      <w:start w:val="1"/>
      <w:numFmt w:val="decimal"/>
      <w:lvlText w:val="%1.%2.%3.%4.%5.%6."/>
      <w:lvlJc w:val="left"/>
      <w:pPr>
        <w:ind w:left="1885" w:hanging="936"/>
      </w:pPr>
      <w:rPr>
        <w:rFonts w:hint="default"/>
      </w:rPr>
    </w:lvl>
    <w:lvl w:ilvl="6">
      <w:start w:val="1"/>
      <w:numFmt w:val="decimal"/>
      <w:lvlText w:val="%1.%2.%3.%4.%5.%6.%7."/>
      <w:lvlJc w:val="left"/>
      <w:pPr>
        <w:ind w:left="2389" w:hanging="1080"/>
      </w:pPr>
      <w:rPr>
        <w:rFonts w:hint="default"/>
      </w:rPr>
    </w:lvl>
    <w:lvl w:ilvl="7">
      <w:start w:val="1"/>
      <w:numFmt w:val="decimal"/>
      <w:lvlText w:val="%1.%2.%3.%4.%5.%6.%7.%8."/>
      <w:lvlJc w:val="left"/>
      <w:pPr>
        <w:ind w:left="2893" w:hanging="1224"/>
      </w:pPr>
      <w:rPr>
        <w:rFonts w:hint="default"/>
      </w:rPr>
    </w:lvl>
    <w:lvl w:ilvl="8">
      <w:start w:val="1"/>
      <w:numFmt w:val="decimal"/>
      <w:lvlText w:val="%1.%2.%3.%4.%5.%6.%7.%8.%9."/>
      <w:lvlJc w:val="left"/>
      <w:pPr>
        <w:ind w:left="3469" w:hanging="1440"/>
      </w:pPr>
      <w:rPr>
        <w:rFonts w:hint="default"/>
      </w:rPr>
    </w:lvl>
  </w:abstractNum>
  <w:abstractNum w:abstractNumId="10" w15:restartNumberingAfterBreak="0">
    <w:nsid w:val="1F7E6E76"/>
    <w:multiLevelType w:val="hybridMultilevel"/>
    <w:tmpl w:val="CB30A982"/>
    <w:lvl w:ilvl="0" w:tplc="14090001">
      <w:start w:val="1"/>
      <w:numFmt w:val="bullet"/>
      <w:lvlText w:val=""/>
      <w:lvlJc w:val="left"/>
      <w:pPr>
        <w:ind w:left="890" w:hanging="360"/>
      </w:pPr>
      <w:rPr>
        <w:rFonts w:ascii="Symbol" w:hAnsi="Symbol" w:hint="default"/>
      </w:rPr>
    </w:lvl>
    <w:lvl w:ilvl="1" w:tplc="14090003" w:tentative="1">
      <w:start w:val="1"/>
      <w:numFmt w:val="bullet"/>
      <w:lvlText w:val="o"/>
      <w:lvlJc w:val="left"/>
      <w:pPr>
        <w:ind w:left="1610" w:hanging="360"/>
      </w:pPr>
      <w:rPr>
        <w:rFonts w:ascii="Courier New" w:hAnsi="Courier New" w:cs="Courier New" w:hint="default"/>
      </w:rPr>
    </w:lvl>
    <w:lvl w:ilvl="2" w:tplc="14090005" w:tentative="1">
      <w:start w:val="1"/>
      <w:numFmt w:val="bullet"/>
      <w:lvlText w:val=""/>
      <w:lvlJc w:val="left"/>
      <w:pPr>
        <w:ind w:left="2330" w:hanging="360"/>
      </w:pPr>
      <w:rPr>
        <w:rFonts w:ascii="Wingdings" w:hAnsi="Wingdings" w:hint="default"/>
      </w:rPr>
    </w:lvl>
    <w:lvl w:ilvl="3" w:tplc="14090001" w:tentative="1">
      <w:start w:val="1"/>
      <w:numFmt w:val="bullet"/>
      <w:lvlText w:val=""/>
      <w:lvlJc w:val="left"/>
      <w:pPr>
        <w:ind w:left="3050" w:hanging="360"/>
      </w:pPr>
      <w:rPr>
        <w:rFonts w:ascii="Symbol" w:hAnsi="Symbol" w:hint="default"/>
      </w:rPr>
    </w:lvl>
    <w:lvl w:ilvl="4" w:tplc="14090003" w:tentative="1">
      <w:start w:val="1"/>
      <w:numFmt w:val="bullet"/>
      <w:lvlText w:val="o"/>
      <w:lvlJc w:val="left"/>
      <w:pPr>
        <w:ind w:left="3770" w:hanging="360"/>
      </w:pPr>
      <w:rPr>
        <w:rFonts w:ascii="Courier New" w:hAnsi="Courier New" w:cs="Courier New" w:hint="default"/>
      </w:rPr>
    </w:lvl>
    <w:lvl w:ilvl="5" w:tplc="14090005" w:tentative="1">
      <w:start w:val="1"/>
      <w:numFmt w:val="bullet"/>
      <w:lvlText w:val=""/>
      <w:lvlJc w:val="left"/>
      <w:pPr>
        <w:ind w:left="4490" w:hanging="360"/>
      </w:pPr>
      <w:rPr>
        <w:rFonts w:ascii="Wingdings" w:hAnsi="Wingdings" w:hint="default"/>
      </w:rPr>
    </w:lvl>
    <w:lvl w:ilvl="6" w:tplc="14090001" w:tentative="1">
      <w:start w:val="1"/>
      <w:numFmt w:val="bullet"/>
      <w:lvlText w:val=""/>
      <w:lvlJc w:val="left"/>
      <w:pPr>
        <w:ind w:left="5210" w:hanging="360"/>
      </w:pPr>
      <w:rPr>
        <w:rFonts w:ascii="Symbol" w:hAnsi="Symbol" w:hint="default"/>
      </w:rPr>
    </w:lvl>
    <w:lvl w:ilvl="7" w:tplc="14090003" w:tentative="1">
      <w:start w:val="1"/>
      <w:numFmt w:val="bullet"/>
      <w:lvlText w:val="o"/>
      <w:lvlJc w:val="left"/>
      <w:pPr>
        <w:ind w:left="5930" w:hanging="360"/>
      </w:pPr>
      <w:rPr>
        <w:rFonts w:ascii="Courier New" w:hAnsi="Courier New" w:cs="Courier New" w:hint="default"/>
      </w:rPr>
    </w:lvl>
    <w:lvl w:ilvl="8" w:tplc="14090005" w:tentative="1">
      <w:start w:val="1"/>
      <w:numFmt w:val="bullet"/>
      <w:lvlText w:val=""/>
      <w:lvlJc w:val="left"/>
      <w:pPr>
        <w:ind w:left="6650" w:hanging="360"/>
      </w:pPr>
      <w:rPr>
        <w:rFonts w:ascii="Wingdings" w:hAnsi="Wingdings" w:hint="default"/>
      </w:rPr>
    </w:lvl>
  </w:abstractNum>
  <w:abstractNum w:abstractNumId="11" w15:restartNumberingAfterBreak="0">
    <w:nsid w:val="1FF351E8"/>
    <w:multiLevelType w:val="hybridMultilevel"/>
    <w:tmpl w:val="D5BC406C"/>
    <w:lvl w:ilvl="0" w:tplc="62D0570C">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2" w15:restartNumberingAfterBreak="0">
    <w:nsid w:val="222A68E5"/>
    <w:multiLevelType w:val="hybridMultilevel"/>
    <w:tmpl w:val="C55CE1A0"/>
    <w:lvl w:ilvl="0" w:tplc="4D2041E0">
      <w:start w:val="1"/>
      <w:numFmt w:val="bullet"/>
      <w:lvlText w:val="•"/>
      <w:lvlJc w:val="left"/>
      <w:pPr>
        <w:ind w:left="890" w:hanging="360"/>
      </w:pPr>
      <w:rPr>
        <w:rFonts w:ascii="Yu Mincho" w:hAnsi="Yu Mincho" w:hint="default"/>
      </w:rPr>
    </w:lvl>
    <w:lvl w:ilvl="1" w:tplc="14090003" w:tentative="1">
      <w:start w:val="1"/>
      <w:numFmt w:val="bullet"/>
      <w:lvlText w:val="o"/>
      <w:lvlJc w:val="left"/>
      <w:pPr>
        <w:ind w:left="1610" w:hanging="360"/>
      </w:pPr>
      <w:rPr>
        <w:rFonts w:ascii="Courier New" w:hAnsi="Courier New" w:cs="Courier New" w:hint="default"/>
      </w:rPr>
    </w:lvl>
    <w:lvl w:ilvl="2" w:tplc="14090005" w:tentative="1">
      <w:start w:val="1"/>
      <w:numFmt w:val="bullet"/>
      <w:lvlText w:val=""/>
      <w:lvlJc w:val="left"/>
      <w:pPr>
        <w:ind w:left="2330" w:hanging="360"/>
      </w:pPr>
      <w:rPr>
        <w:rFonts w:ascii="Wingdings" w:hAnsi="Wingdings" w:hint="default"/>
      </w:rPr>
    </w:lvl>
    <w:lvl w:ilvl="3" w:tplc="14090001" w:tentative="1">
      <w:start w:val="1"/>
      <w:numFmt w:val="bullet"/>
      <w:lvlText w:val=""/>
      <w:lvlJc w:val="left"/>
      <w:pPr>
        <w:ind w:left="3050" w:hanging="360"/>
      </w:pPr>
      <w:rPr>
        <w:rFonts w:ascii="Symbol" w:hAnsi="Symbol" w:hint="default"/>
      </w:rPr>
    </w:lvl>
    <w:lvl w:ilvl="4" w:tplc="14090003" w:tentative="1">
      <w:start w:val="1"/>
      <w:numFmt w:val="bullet"/>
      <w:lvlText w:val="o"/>
      <w:lvlJc w:val="left"/>
      <w:pPr>
        <w:ind w:left="3770" w:hanging="360"/>
      </w:pPr>
      <w:rPr>
        <w:rFonts w:ascii="Courier New" w:hAnsi="Courier New" w:cs="Courier New" w:hint="default"/>
      </w:rPr>
    </w:lvl>
    <w:lvl w:ilvl="5" w:tplc="14090005" w:tentative="1">
      <w:start w:val="1"/>
      <w:numFmt w:val="bullet"/>
      <w:lvlText w:val=""/>
      <w:lvlJc w:val="left"/>
      <w:pPr>
        <w:ind w:left="4490" w:hanging="360"/>
      </w:pPr>
      <w:rPr>
        <w:rFonts w:ascii="Wingdings" w:hAnsi="Wingdings" w:hint="default"/>
      </w:rPr>
    </w:lvl>
    <w:lvl w:ilvl="6" w:tplc="14090001" w:tentative="1">
      <w:start w:val="1"/>
      <w:numFmt w:val="bullet"/>
      <w:lvlText w:val=""/>
      <w:lvlJc w:val="left"/>
      <w:pPr>
        <w:ind w:left="5210" w:hanging="360"/>
      </w:pPr>
      <w:rPr>
        <w:rFonts w:ascii="Symbol" w:hAnsi="Symbol" w:hint="default"/>
      </w:rPr>
    </w:lvl>
    <w:lvl w:ilvl="7" w:tplc="14090003" w:tentative="1">
      <w:start w:val="1"/>
      <w:numFmt w:val="bullet"/>
      <w:lvlText w:val="o"/>
      <w:lvlJc w:val="left"/>
      <w:pPr>
        <w:ind w:left="5930" w:hanging="360"/>
      </w:pPr>
      <w:rPr>
        <w:rFonts w:ascii="Courier New" w:hAnsi="Courier New" w:cs="Courier New" w:hint="default"/>
      </w:rPr>
    </w:lvl>
    <w:lvl w:ilvl="8" w:tplc="14090005" w:tentative="1">
      <w:start w:val="1"/>
      <w:numFmt w:val="bullet"/>
      <w:lvlText w:val=""/>
      <w:lvlJc w:val="left"/>
      <w:pPr>
        <w:ind w:left="6650" w:hanging="360"/>
      </w:pPr>
      <w:rPr>
        <w:rFonts w:ascii="Wingdings" w:hAnsi="Wingdings" w:hint="default"/>
      </w:rPr>
    </w:lvl>
  </w:abstractNum>
  <w:abstractNum w:abstractNumId="13" w15:restartNumberingAfterBreak="0">
    <w:nsid w:val="24645A50"/>
    <w:multiLevelType w:val="hybridMultilevel"/>
    <w:tmpl w:val="D0B42C5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4" w15:restartNumberingAfterBreak="0">
    <w:nsid w:val="279822F1"/>
    <w:multiLevelType w:val="multilevel"/>
    <w:tmpl w:val="1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33E64EB2"/>
    <w:multiLevelType w:val="hybridMultilevel"/>
    <w:tmpl w:val="7AA486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88E59A9"/>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9BC28B2"/>
    <w:multiLevelType w:val="multilevel"/>
    <w:tmpl w:val="82B60DE6"/>
    <w:styleLink w:val="CurrentList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ABD13B8"/>
    <w:multiLevelType w:val="hybridMultilevel"/>
    <w:tmpl w:val="78606E1E"/>
    <w:lvl w:ilvl="0" w:tplc="4D2041E0">
      <w:start w:val="1"/>
      <w:numFmt w:val="bullet"/>
      <w:lvlText w:val="•"/>
      <w:lvlJc w:val="left"/>
      <w:pPr>
        <w:ind w:left="890" w:hanging="360"/>
      </w:pPr>
      <w:rPr>
        <w:rFonts w:ascii="Yu Mincho" w:hAnsi="Yu Mincho" w:hint="default"/>
      </w:rPr>
    </w:lvl>
    <w:lvl w:ilvl="1" w:tplc="14090003" w:tentative="1">
      <w:start w:val="1"/>
      <w:numFmt w:val="bullet"/>
      <w:lvlText w:val="o"/>
      <w:lvlJc w:val="left"/>
      <w:pPr>
        <w:ind w:left="1610" w:hanging="360"/>
      </w:pPr>
      <w:rPr>
        <w:rFonts w:ascii="Courier New" w:hAnsi="Courier New" w:cs="Courier New" w:hint="default"/>
      </w:rPr>
    </w:lvl>
    <w:lvl w:ilvl="2" w:tplc="14090005" w:tentative="1">
      <w:start w:val="1"/>
      <w:numFmt w:val="bullet"/>
      <w:lvlText w:val=""/>
      <w:lvlJc w:val="left"/>
      <w:pPr>
        <w:ind w:left="2330" w:hanging="360"/>
      </w:pPr>
      <w:rPr>
        <w:rFonts w:ascii="Wingdings" w:hAnsi="Wingdings" w:hint="default"/>
      </w:rPr>
    </w:lvl>
    <w:lvl w:ilvl="3" w:tplc="14090001" w:tentative="1">
      <w:start w:val="1"/>
      <w:numFmt w:val="bullet"/>
      <w:lvlText w:val=""/>
      <w:lvlJc w:val="left"/>
      <w:pPr>
        <w:ind w:left="3050" w:hanging="360"/>
      </w:pPr>
      <w:rPr>
        <w:rFonts w:ascii="Symbol" w:hAnsi="Symbol" w:hint="default"/>
      </w:rPr>
    </w:lvl>
    <w:lvl w:ilvl="4" w:tplc="14090003" w:tentative="1">
      <w:start w:val="1"/>
      <w:numFmt w:val="bullet"/>
      <w:lvlText w:val="o"/>
      <w:lvlJc w:val="left"/>
      <w:pPr>
        <w:ind w:left="3770" w:hanging="360"/>
      </w:pPr>
      <w:rPr>
        <w:rFonts w:ascii="Courier New" w:hAnsi="Courier New" w:cs="Courier New" w:hint="default"/>
      </w:rPr>
    </w:lvl>
    <w:lvl w:ilvl="5" w:tplc="14090005" w:tentative="1">
      <w:start w:val="1"/>
      <w:numFmt w:val="bullet"/>
      <w:lvlText w:val=""/>
      <w:lvlJc w:val="left"/>
      <w:pPr>
        <w:ind w:left="4490" w:hanging="360"/>
      </w:pPr>
      <w:rPr>
        <w:rFonts w:ascii="Wingdings" w:hAnsi="Wingdings" w:hint="default"/>
      </w:rPr>
    </w:lvl>
    <w:lvl w:ilvl="6" w:tplc="14090001" w:tentative="1">
      <w:start w:val="1"/>
      <w:numFmt w:val="bullet"/>
      <w:lvlText w:val=""/>
      <w:lvlJc w:val="left"/>
      <w:pPr>
        <w:ind w:left="5210" w:hanging="360"/>
      </w:pPr>
      <w:rPr>
        <w:rFonts w:ascii="Symbol" w:hAnsi="Symbol" w:hint="default"/>
      </w:rPr>
    </w:lvl>
    <w:lvl w:ilvl="7" w:tplc="14090003" w:tentative="1">
      <w:start w:val="1"/>
      <w:numFmt w:val="bullet"/>
      <w:lvlText w:val="o"/>
      <w:lvlJc w:val="left"/>
      <w:pPr>
        <w:ind w:left="5930" w:hanging="360"/>
      </w:pPr>
      <w:rPr>
        <w:rFonts w:ascii="Courier New" w:hAnsi="Courier New" w:cs="Courier New" w:hint="default"/>
      </w:rPr>
    </w:lvl>
    <w:lvl w:ilvl="8" w:tplc="14090005" w:tentative="1">
      <w:start w:val="1"/>
      <w:numFmt w:val="bullet"/>
      <w:lvlText w:val=""/>
      <w:lvlJc w:val="left"/>
      <w:pPr>
        <w:ind w:left="6650" w:hanging="360"/>
      </w:pPr>
      <w:rPr>
        <w:rFonts w:ascii="Wingdings" w:hAnsi="Wingdings" w:hint="default"/>
      </w:rPr>
    </w:lvl>
  </w:abstractNum>
  <w:abstractNum w:abstractNumId="19" w15:restartNumberingAfterBreak="0">
    <w:nsid w:val="3ACD7D0E"/>
    <w:multiLevelType w:val="hybridMultilevel"/>
    <w:tmpl w:val="74B0063C"/>
    <w:lvl w:ilvl="0" w:tplc="559A8AAC">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3CA66B9B"/>
    <w:multiLevelType w:val="hybridMultilevel"/>
    <w:tmpl w:val="204C758A"/>
    <w:lvl w:ilvl="0" w:tplc="BEA8A6D0">
      <w:start w:val="1"/>
      <w:numFmt w:val="bullet"/>
      <w:pStyle w:val="Bodybullets"/>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1DE1E00"/>
    <w:multiLevelType w:val="multilevel"/>
    <w:tmpl w:val="B198BF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4023F5B"/>
    <w:multiLevelType w:val="hybridMultilevel"/>
    <w:tmpl w:val="222EB72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51600E15"/>
    <w:multiLevelType w:val="hybridMultilevel"/>
    <w:tmpl w:val="2EDC2732"/>
    <w:lvl w:ilvl="0" w:tplc="FFFFFFFF">
      <w:start w:val="1"/>
      <w:numFmt w:val="lowerLetter"/>
      <w:lvlText w:val="(%1)"/>
      <w:lvlJc w:val="left"/>
      <w:pPr>
        <w:ind w:left="1080" w:hanging="360"/>
      </w:pPr>
      <w:rPr>
        <w:rFonts w:hint="default"/>
      </w:rPr>
    </w:lvl>
    <w:lvl w:ilvl="1" w:tplc="1409001B">
      <w:start w:val="1"/>
      <w:numFmt w:val="lowerRoman"/>
      <w:lvlText w:val="%2."/>
      <w:lvlJc w:val="right"/>
      <w:pPr>
        <w:ind w:left="1792"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571F902B"/>
    <w:multiLevelType w:val="hybridMultilevel"/>
    <w:tmpl w:val="2F48386C"/>
    <w:lvl w:ilvl="0" w:tplc="D9C046E8">
      <w:start w:val="1"/>
      <w:numFmt w:val="bullet"/>
      <w:lvlText w:val="•"/>
      <w:lvlJc w:val="left"/>
      <w:pPr>
        <w:ind w:left="720" w:hanging="360"/>
      </w:pPr>
      <w:rPr>
        <w:rFonts w:ascii="Yu Mincho" w:hAnsi="Yu Mincho" w:hint="default"/>
      </w:rPr>
    </w:lvl>
    <w:lvl w:ilvl="1" w:tplc="A2DAEDB8">
      <w:start w:val="1"/>
      <w:numFmt w:val="bullet"/>
      <w:lvlText w:val="o"/>
      <w:lvlJc w:val="left"/>
      <w:pPr>
        <w:ind w:left="1440" w:hanging="360"/>
      </w:pPr>
      <w:rPr>
        <w:rFonts w:ascii="Courier New" w:hAnsi="Courier New" w:hint="default"/>
      </w:rPr>
    </w:lvl>
    <w:lvl w:ilvl="2" w:tplc="389AD8DE">
      <w:start w:val="1"/>
      <w:numFmt w:val="bullet"/>
      <w:lvlText w:val=""/>
      <w:lvlJc w:val="left"/>
      <w:pPr>
        <w:ind w:left="2160" w:hanging="360"/>
      </w:pPr>
      <w:rPr>
        <w:rFonts w:ascii="Wingdings" w:hAnsi="Wingdings" w:hint="default"/>
      </w:rPr>
    </w:lvl>
    <w:lvl w:ilvl="3" w:tplc="5D5E6DE0">
      <w:start w:val="1"/>
      <w:numFmt w:val="bullet"/>
      <w:lvlText w:val=""/>
      <w:lvlJc w:val="left"/>
      <w:pPr>
        <w:ind w:left="2880" w:hanging="360"/>
      </w:pPr>
      <w:rPr>
        <w:rFonts w:ascii="Symbol" w:hAnsi="Symbol" w:hint="default"/>
      </w:rPr>
    </w:lvl>
    <w:lvl w:ilvl="4" w:tplc="A09C2840">
      <w:start w:val="1"/>
      <w:numFmt w:val="bullet"/>
      <w:lvlText w:val="o"/>
      <w:lvlJc w:val="left"/>
      <w:pPr>
        <w:ind w:left="3600" w:hanging="360"/>
      </w:pPr>
      <w:rPr>
        <w:rFonts w:ascii="Courier New" w:hAnsi="Courier New" w:hint="default"/>
      </w:rPr>
    </w:lvl>
    <w:lvl w:ilvl="5" w:tplc="A1420FC6">
      <w:start w:val="1"/>
      <w:numFmt w:val="bullet"/>
      <w:lvlText w:val=""/>
      <w:lvlJc w:val="left"/>
      <w:pPr>
        <w:ind w:left="4320" w:hanging="360"/>
      </w:pPr>
      <w:rPr>
        <w:rFonts w:ascii="Wingdings" w:hAnsi="Wingdings" w:hint="default"/>
      </w:rPr>
    </w:lvl>
    <w:lvl w:ilvl="6" w:tplc="7B8E93D4">
      <w:start w:val="1"/>
      <w:numFmt w:val="bullet"/>
      <w:lvlText w:val=""/>
      <w:lvlJc w:val="left"/>
      <w:pPr>
        <w:ind w:left="5040" w:hanging="360"/>
      </w:pPr>
      <w:rPr>
        <w:rFonts w:ascii="Symbol" w:hAnsi="Symbol" w:hint="default"/>
      </w:rPr>
    </w:lvl>
    <w:lvl w:ilvl="7" w:tplc="D7D82C2E">
      <w:start w:val="1"/>
      <w:numFmt w:val="bullet"/>
      <w:lvlText w:val="o"/>
      <w:lvlJc w:val="left"/>
      <w:pPr>
        <w:ind w:left="5760" w:hanging="360"/>
      </w:pPr>
      <w:rPr>
        <w:rFonts w:ascii="Courier New" w:hAnsi="Courier New" w:hint="default"/>
      </w:rPr>
    </w:lvl>
    <w:lvl w:ilvl="8" w:tplc="498AAA30">
      <w:start w:val="1"/>
      <w:numFmt w:val="bullet"/>
      <w:lvlText w:val=""/>
      <w:lvlJc w:val="left"/>
      <w:pPr>
        <w:ind w:left="6480" w:hanging="360"/>
      </w:pPr>
      <w:rPr>
        <w:rFonts w:ascii="Wingdings" w:hAnsi="Wingdings" w:hint="default"/>
      </w:rPr>
    </w:lvl>
  </w:abstractNum>
  <w:abstractNum w:abstractNumId="25" w15:restartNumberingAfterBreak="0">
    <w:nsid w:val="57DF5984"/>
    <w:multiLevelType w:val="hybridMultilevel"/>
    <w:tmpl w:val="EFB234D0"/>
    <w:lvl w:ilvl="0" w:tplc="1C58CC64">
      <w:start w:val="1"/>
      <w:numFmt w:val="decimal"/>
      <w:pStyle w:val="Numberlist"/>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595A10D5"/>
    <w:multiLevelType w:val="multilevel"/>
    <w:tmpl w:val="D304EC96"/>
    <w:styleLink w:val="CurrentList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B8A7490"/>
    <w:multiLevelType w:val="multilevel"/>
    <w:tmpl w:val="6ACEF114"/>
    <w:lvl w:ilvl="0">
      <w:start w:val="1"/>
      <w:numFmt w:val="decimal"/>
      <w:lvlText w:val="%1."/>
      <w:lvlJc w:val="left"/>
      <w:pPr>
        <w:ind w:left="-491" w:hanging="360"/>
      </w:pPr>
      <w:rPr>
        <w:rFonts w:hint="default"/>
      </w:rPr>
    </w:lvl>
    <w:lvl w:ilvl="1">
      <w:start w:val="1"/>
      <w:numFmt w:val="decimal"/>
      <w:lvlText w:val="%1.%2."/>
      <w:lvlJc w:val="left"/>
      <w:pPr>
        <w:ind w:left="-59" w:hanging="432"/>
      </w:pPr>
      <w:rPr>
        <w:rFonts w:hint="default"/>
      </w:rPr>
    </w:lvl>
    <w:lvl w:ilvl="2">
      <w:start w:val="1"/>
      <w:numFmt w:val="decimal"/>
      <w:lvlText w:val="%1.%2.%3."/>
      <w:lvlJc w:val="left"/>
      <w:pPr>
        <w:ind w:left="373" w:hanging="504"/>
      </w:pPr>
      <w:rPr>
        <w:rFonts w:hint="default"/>
      </w:rPr>
    </w:lvl>
    <w:lvl w:ilvl="3">
      <w:start w:val="1"/>
      <w:numFmt w:val="decimal"/>
      <w:lvlText w:val="%1.%2.%3.%4."/>
      <w:lvlJc w:val="left"/>
      <w:pPr>
        <w:ind w:left="877" w:hanging="648"/>
      </w:pPr>
      <w:rPr>
        <w:rFonts w:hint="default"/>
      </w:rPr>
    </w:lvl>
    <w:lvl w:ilvl="4">
      <w:start w:val="1"/>
      <w:numFmt w:val="decimal"/>
      <w:lvlText w:val="%1.%2.%3.%4.%5."/>
      <w:lvlJc w:val="left"/>
      <w:pPr>
        <w:ind w:left="1381" w:hanging="792"/>
      </w:pPr>
      <w:rPr>
        <w:rFonts w:hint="default"/>
      </w:rPr>
    </w:lvl>
    <w:lvl w:ilvl="5">
      <w:start w:val="1"/>
      <w:numFmt w:val="decimal"/>
      <w:lvlText w:val="%1.%2.%3.%4.%5.%6."/>
      <w:lvlJc w:val="left"/>
      <w:pPr>
        <w:ind w:left="1885" w:hanging="936"/>
      </w:pPr>
      <w:rPr>
        <w:rFonts w:hint="default"/>
      </w:rPr>
    </w:lvl>
    <w:lvl w:ilvl="6">
      <w:start w:val="1"/>
      <w:numFmt w:val="decimal"/>
      <w:lvlText w:val="%1.%2.%3.%4.%5.%6.%7."/>
      <w:lvlJc w:val="left"/>
      <w:pPr>
        <w:ind w:left="2389" w:hanging="1080"/>
      </w:pPr>
      <w:rPr>
        <w:rFonts w:hint="default"/>
      </w:rPr>
    </w:lvl>
    <w:lvl w:ilvl="7">
      <w:start w:val="1"/>
      <w:numFmt w:val="decimal"/>
      <w:lvlText w:val="%1.%2.%3.%4.%5.%6.%7.%8."/>
      <w:lvlJc w:val="left"/>
      <w:pPr>
        <w:ind w:left="2893" w:hanging="1224"/>
      </w:pPr>
      <w:rPr>
        <w:rFonts w:hint="default"/>
      </w:rPr>
    </w:lvl>
    <w:lvl w:ilvl="8">
      <w:start w:val="1"/>
      <w:numFmt w:val="decimal"/>
      <w:lvlText w:val="%1.%2.%3.%4.%5.%6.%7.%8.%9."/>
      <w:lvlJc w:val="left"/>
      <w:pPr>
        <w:ind w:left="3469" w:hanging="1440"/>
      </w:pPr>
      <w:rPr>
        <w:rFonts w:hint="default"/>
      </w:rPr>
    </w:lvl>
  </w:abstractNum>
  <w:abstractNum w:abstractNumId="28" w15:restartNumberingAfterBreak="0">
    <w:nsid w:val="5CD175EB"/>
    <w:multiLevelType w:val="multilevel"/>
    <w:tmpl w:val="14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5DCE601B"/>
    <w:multiLevelType w:val="hybridMultilevel"/>
    <w:tmpl w:val="49500ACE"/>
    <w:lvl w:ilvl="0" w:tplc="D9C046E8">
      <w:start w:val="1"/>
      <w:numFmt w:val="bullet"/>
      <w:lvlText w:val="•"/>
      <w:lvlJc w:val="left"/>
      <w:pPr>
        <w:ind w:left="890" w:hanging="360"/>
      </w:pPr>
      <w:rPr>
        <w:rFonts w:ascii="Yu Mincho" w:hAnsi="Yu Mincho" w:hint="default"/>
      </w:rPr>
    </w:lvl>
    <w:lvl w:ilvl="1" w:tplc="14090003" w:tentative="1">
      <w:start w:val="1"/>
      <w:numFmt w:val="bullet"/>
      <w:lvlText w:val="o"/>
      <w:lvlJc w:val="left"/>
      <w:pPr>
        <w:ind w:left="1610" w:hanging="360"/>
      </w:pPr>
      <w:rPr>
        <w:rFonts w:ascii="Courier New" w:hAnsi="Courier New" w:cs="Courier New" w:hint="default"/>
      </w:rPr>
    </w:lvl>
    <w:lvl w:ilvl="2" w:tplc="14090005" w:tentative="1">
      <w:start w:val="1"/>
      <w:numFmt w:val="bullet"/>
      <w:lvlText w:val=""/>
      <w:lvlJc w:val="left"/>
      <w:pPr>
        <w:ind w:left="2330" w:hanging="360"/>
      </w:pPr>
      <w:rPr>
        <w:rFonts w:ascii="Wingdings" w:hAnsi="Wingdings" w:hint="default"/>
      </w:rPr>
    </w:lvl>
    <w:lvl w:ilvl="3" w:tplc="14090001" w:tentative="1">
      <w:start w:val="1"/>
      <w:numFmt w:val="bullet"/>
      <w:lvlText w:val=""/>
      <w:lvlJc w:val="left"/>
      <w:pPr>
        <w:ind w:left="3050" w:hanging="360"/>
      </w:pPr>
      <w:rPr>
        <w:rFonts w:ascii="Symbol" w:hAnsi="Symbol" w:hint="default"/>
      </w:rPr>
    </w:lvl>
    <w:lvl w:ilvl="4" w:tplc="14090003" w:tentative="1">
      <w:start w:val="1"/>
      <w:numFmt w:val="bullet"/>
      <w:lvlText w:val="o"/>
      <w:lvlJc w:val="left"/>
      <w:pPr>
        <w:ind w:left="3770" w:hanging="360"/>
      </w:pPr>
      <w:rPr>
        <w:rFonts w:ascii="Courier New" w:hAnsi="Courier New" w:cs="Courier New" w:hint="default"/>
      </w:rPr>
    </w:lvl>
    <w:lvl w:ilvl="5" w:tplc="14090005" w:tentative="1">
      <w:start w:val="1"/>
      <w:numFmt w:val="bullet"/>
      <w:lvlText w:val=""/>
      <w:lvlJc w:val="left"/>
      <w:pPr>
        <w:ind w:left="4490" w:hanging="360"/>
      </w:pPr>
      <w:rPr>
        <w:rFonts w:ascii="Wingdings" w:hAnsi="Wingdings" w:hint="default"/>
      </w:rPr>
    </w:lvl>
    <w:lvl w:ilvl="6" w:tplc="14090001" w:tentative="1">
      <w:start w:val="1"/>
      <w:numFmt w:val="bullet"/>
      <w:lvlText w:val=""/>
      <w:lvlJc w:val="left"/>
      <w:pPr>
        <w:ind w:left="5210" w:hanging="360"/>
      </w:pPr>
      <w:rPr>
        <w:rFonts w:ascii="Symbol" w:hAnsi="Symbol" w:hint="default"/>
      </w:rPr>
    </w:lvl>
    <w:lvl w:ilvl="7" w:tplc="14090003" w:tentative="1">
      <w:start w:val="1"/>
      <w:numFmt w:val="bullet"/>
      <w:lvlText w:val="o"/>
      <w:lvlJc w:val="left"/>
      <w:pPr>
        <w:ind w:left="5930" w:hanging="360"/>
      </w:pPr>
      <w:rPr>
        <w:rFonts w:ascii="Courier New" w:hAnsi="Courier New" w:cs="Courier New" w:hint="default"/>
      </w:rPr>
    </w:lvl>
    <w:lvl w:ilvl="8" w:tplc="14090005" w:tentative="1">
      <w:start w:val="1"/>
      <w:numFmt w:val="bullet"/>
      <w:lvlText w:val=""/>
      <w:lvlJc w:val="left"/>
      <w:pPr>
        <w:ind w:left="6650" w:hanging="360"/>
      </w:pPr>
      <w:rPr>
        <w:rFonts w:ascii="Wingdings" w:hAnsi="Wingdings" w:hint="default"/>
      </w:rPr>
    </w:lvl>
  </w:abstractNum>
  <w:abstractNum w:abstractNumId="30" w15:restartNumberingAfterBreak="0">
    <w:nsid w:val="69900142"/>
    <w:multiLevelType w:val="hybridMultilevel"/>
    <w:tmpl w:val="F1144F96"/>
    <w:lvl w:ilvl="0" w:tplc="14090001">
      <w:start w:val="1"/>
      <w:numFmt w:val="bullet"/>
      <w:lvlText w:val=""/>
      <w:lvlJc w:val="left"/>
      <w:pPr>
        <w:ind w:left="890" w:hanging="360"/>
      </w:pPr>
      <w:rPr>
        <w:rFonts w:ascii="Symbol" w:hAnsi="Symbol" w:hint="default"/>
      </w:rPr>
    </w:lvl>
    <w:lvl w:ilvl="1" w:tplc="14090003" w:tentative="1">
      <w:start w:val="1"/>
      <w:numFmt w:val="bullet"/>
      <w:lvlText w:val="o"/>
      <w:lvlJc w:val="left"/>
      <w:pPr>
        <w:ind w:left="1610" w:hanging="360"/>
      </w:pPr>
      <w:rPr>
        <w:rFonts w:ascii="Courier New" w:hAnsi="Courier New" w:cs="Courier New" w:hint="default"/>
      </w:rPr>
    </w:lvl>
    <w:lvl w:ilvl="2" w:tplc="14090005" w:tentative="1">
      <w:start w:val="1"/>
      <w:numFmt w:val="bullet"/>
      <w:lvlText w:val=""/>
      <w:lvlJc w:val="left"/>
      <w:pPr>
        <w:ind w:left="2330" w:hanging="360"/>
      </w:pPr>
      <w:rPr>
        <w:rFonts w:ascii="Wingdings" w:hAnsi="Wingdings" w:hint="default"/>
      </w:rPr>
    </w:lvl>
    <w:lvl w:ilvl="3" w:tplc="14090001" w:tentative="1">
      <w:start w:val="1"/>
      <w:numFmt w:val="bullet"/>
      <w:lvlText w:val=""/>
      <w:lvlJc w:val="left"/>
      <w:pPr>
        <w:ind w:left="3050" w:hanging="360"/>
      </w:pPr>
      <w:rPr>
        <w:rFonts w:ascii="Symbol" w:hAnsi="Symbol" w:hint="default"/>
      </w:rPr>
    </w:lvl>
    <w:lvl w:ilvl="4" w:tplc="14090003" w:tentative="1">
      <w:start w:val="1"/>
      <w:numFmt w:val="bullet"/>
      <w:lvlText w:val="o"/>
      <w:lvlJc w:val="left"/>
      <w:pPr>
        <w:ind w:left="3770" w:hanging="360"/>
      </w:pPr>
      <w:rPr>
        <w:rFonts w:ascii="Courier New" w:hAnsi="Courier New" w:cs="Courier New" w:hint="default"/>
      </w:rPr>
    </w:lvl>
    <w:lvl w:ilvl="5" w:tplc="14090005" w:tentative="1">
      <w:start w:val="1"/>
      <w:numFmt w:val="bullet"/>
      <w:lvlText w:val=""/>
      <w:lvlJc w:val="left"/>
      <w:pPr>
        <w:ind w:left="4490" w:hanging="360"/>
      </w:pPr>
      <w:rPr>
        <w:rFonts w:ascii="Wingdings" w:hAnsi="Wingdings" w:hint="default"/>
      </w:rPr>
    </w:lvl>
    <w:lvl w:ilvl="6" w:tplc="14090001" w:tentative="1">
      <w:start w:val="1"/>
      <w:numFmt w:val="bullet"/>
      <w:lvlText w:val=""/>
      <w:lvlJc w:val="left"/>
      <w:pPr>
        <w:ind w:left="5210" w:hanging="360"/>
      </w:pPr>
      <w:rPr>
        <w:rFonts w:ascii="Symbol" w:hAnsi="Symbol" w:hint="default"/>
      </w:rPr>
    </w:lvl>
    <w:lvl w:ilvl="7" w:tplc="14090003" w:tentative="1">
      <w:start w:val="1"/>
      <w:numFmt w:val="bullet"/>
      <w:lvlText w:val="o"/>
      <w:lvlJc w:val="left"/>
      <w:pPr>
        <w:ind w:left="5930" w:hanging="360"/>
      </w:pPr>
      <w:rPr>
        <w:rFonts w:ascii="Courier New" w:hAnsi="Courier New" w:cs="Courier New" w:hint="default"/>
      </w:rPr>
    </w:lvl>
    <w:lvl w:ilvl="8" w:tplc="14090005" w:tentative="1">
      <w:start w:val="1"/>
      <w:numFmt w:val="bullet"/>
      <w:lvlText w:val=""/>
      <w:lvlJc w:val="left"/>
      <w:pPr>
        <w:ind w:left="6650" w:hanging="360"/>
      </w:pPr>
      <w:rPr>
        <w:rFonts w:ascii="Wingdings" w:hAnsi="Wingdings" w:hint="default"/>
      </w:rPr>
    </w:lvl>
  </w:abstractNum>
  <w:abstractNum w:abstractNumId="31" w15:restartNumberingAfterBreak="0">
    <w:nsid w:val="6ADC379C"/>
    <w:multiLevelType w:val="hybridMultilevel"/>
    <w:tmpl w:val="C298F304"/>
    <w:lvl w:ilvl="0" w:tplc="4A1C9E0C">
      <w:start w:val="1"/>
      <w:numFmt w:val="lowerLetter"/>
      <w:lvlText w:val="(%1)"/>
      <w:lvlJc w:val="left"/>
      <w:pPr>
        <w:ind w:left="1080" w:hanging="360"/>
      </w:pPr>
      <w:rPr>
        <w:rFonts w:hint="default"/>
      </w:rPr>
    </w:lvl>
    <w:lvl w:ilvl="1" w:tplc="14090019">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2" w15:restartNumberingAfterBreak="0">
    <w:nsid w:val="70386EDF"/>
    <w:multiLevelType w:val="hybridMultilevel"/>
    <w:tmpl w:val="49DC1106"/>
    <w:lvl w:ilvl="0" w:tplc="4D2041E0">
      <w:start w:val="1"/>
      <w:numFmt w:val="bullet"/>
      <w:lvlText w:val="•"/>
      <w:lvlJc w:val="left"/>
      <w:pPr>
        <w:ind w:left="890" w:hanging="360"/>
      </w:pPr>
      <w:rPr>
        <w:rFonts w:ascii="Yu Mincho" w:hAnsi="Yu Mincho" w:hint="default"/>
      </w:rPr>
    </w:lvl>
    <w:lvl w:ilvl="1" w:tplc="14090003" w:tentative="1">
      <w:start w:val="1"/>
      <w:numFmt w:val="bullet"/>
      <w:lvlText w:val="o"/>
      <w:lvlJc w:val="left"/>
      <w:pPr>
        <w:ind w:left="1610" w:hanging="360"/>
      </w:pPr>
      <w:rPr>
        <w:rFonts w:ascii="Courier New" w:hAnsi="Courier New" w:cs="Courier New" w:hint="default"/>
      </w:rPr>
    </w:lvl>
    <w:lvl w:ilvl="2" w:tplc="14090005" w:tentative="1">
      <w:start w:val="1"/>
      <w:numFmt w:val="bullet"/>
      <w:lvlText w:val=""/>
      <w:lvlJc w:val="left"/>
      <w:pPr>
        <w:ind w:left="2330" w:hanging="360"/>
      </w:pPr>
      <w:rPr>
        <w:rFonts w:ascii="Wingdings" w:hAnsi="Wingdings" w:hint="default"/>
      </w:rPr>
    </w:lvl>
    <w:lvl w:ilvl="3" w:tplc="14090001" w:tentative="1">
      <w:start w:val="1"/>
      <w:numFmt w:val="bullet"/>
      <w:lvlText w:val=""/>
      <w:lvlJc w:val="left"/>
      <w:pPr>
        <w:ind w:left="3050" w:hanging="360"/>
      </w:pPr>
      <w:rPr>
        <w:rFonts w:ascii="Symbol" w:hAnsi="Symbol" w:hint="default"/>
      </w:rPr>
    </w:lvl>
    <w:lvl w:ilvl="4" w:tplc="14090003" w:tentative="1">
      <w:start w:val="1"/>
      <w:numFmt w:val="bullet"/>
      <w:lvlText w:val="o"/>
      <w:lvlJc w:val="left"/>
      <w:pPr>
        <w:ind w:left="3770" w:hanging="360"/>
      </w:pPr>
      <w:rPr>
        <w:rFonts w:ascii="Courier New" w:hAnsi="Courier New" w:cs="Courier New" w:hint="default"/>
      </w:rPr>
    </w:lvl>
    <w:lvl w:ilvl="5" w:tplc="14090005" w:tentative="1">
      <w:start w:val="1"/>
      <w:numFmt w:val="bullet"/>
      <w:lvlText w:val=""/>
      <w:lvlJc w:val="left"/>
      <w:pPr>
        <w:ind w:left="4490" w:hanging="360"/>
      </w:pPr>
      <w:rPr>
        <w:rFonts w:ascii="Wingdings" w:hAnsi="Wingdings" w:hint="default"/>
      </w:rPr>
    </w:lvl>
    <w:lvl w:ilvl="6" w:tplc="14090001" w:tentative="1">
      <w:start w:val="1"/>
      <w:numFmt w:val="bullet"/>
      <w:lvlText w:val=""/>
      <w:lvlJc w:val="left"/>
      <w:pPr>
        <w:ind w:left="5210" w:hanging="360"/>
      </w:pPr>
      <w:rPr>
        <w:rFonts w:ascii="Symbol" w:hAnsi="Symbol" w:hint="default"/>
      </w:rPr>
    </w:lvl>
    <w:lvl w:ilvl="7" w:tplc="14090003" w:tentative="1">
      <w:start w:val="1"/>
      <w:numFmt w:val="bullet"/>
      <w:lvlText w:val="o"/>
      <w:lvlJc w:val="left"/>
      <w:pPr>
        <w:ind w:left="5930" w:hanging="360"/>
      </w:pPr>
      <w:rPr>
        <w:rFonts w:ascii="Courier New" w:hAnsi="Courier New" w:cs="Courier New" w:hint="default"/>
      </w:rPr>
    </w:lvl>
    <w:lvl w:ilvl="8" w:tplc="14090005" w:tentative="1">
      <w:start w:val="1"/>
      <w:numFmt w:val="bullet"/>
      <w:lvlText w:val=""/>
      <w:lvlJc w:val="left"/>
      <w:pPr>
        <w:ind w:left="6650" w:hanging="360"/>
      </w:pPr>
      <w:rPr>
        <w:rFonts w:ascii="Wingdings" w:hAnsi="Wingdings" w:hint="default"/>
      </w:rPr>
    </w:lvl>
  </w:abstractNum>
  <w:abstractNum w:abstractNumId="33" w15:restartNumberingAfterBreak="0">
    <w:nsid w:val="7A60164C"/>
    <w:multiLevelType w:val="hybridMultilevel"/>
    <w:tmpl w:val="D03C2C2C"/>
    <w:lvl w:ilvl="0" w:tplc="0B2293A6">
      <w:numFmt w:val="bullet"/>
      <w:pStyle w:val="Bullets"/>
      <w:lvlText w:val="•"/>
      <w:lvlJc w:val="left"/>
      <w:pPr>
        <w:ind w:left="780" w:hanging="780"/>
      </w:pPr>
      <w:rPr>
        <w:rFonts w:ascii="Montserrat Light" w:eastAsiaTheme="minorHAnsi" w:hAnsi="Montserrat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AC857E6"/>
    <w:multiLevelType w:val="hybridMultilevel"/>
    <w:tmpl w:val="A43AC5CA"/>
    <w:lvl w:ilvl="0" w:tplc="4D2041E0">
      <w:start w:val="1"/>
      <w:numFmt w:val="bullet"/>
      <w:lvlText w:val="•"/>
      <w:lvlJc w:val="left"/>
      <w:pPr>
        <w:ind w:left="720" w:hanging="360"/>
      </w:pPr>
      <w:rPr>
        <w:rFonts w:ascii="Yu Mincho" w:hAnsi="Yu Mincho" w:hint="default"/>
      </w:rPr>
    </w:lvl>
    <w:lvl w:ilvl="1" w:tplc="8AFE96F0">
      <w:start w:val="1"/>
      <w:numFmt w:val="bullet"/>
      <w:lvlText w:val="o"/>
      <w:lvlJc w:val="left"/>
      <w:pPr>
        <w:ind w:left="1440" w:hanging="360"/>
      </w:pPr>
      <w:rPr>
        <w:rFonts w:ascii="Courier New" w:hAnsi="Courier New" w:hint="default"/>
      </w:rPr>
    </w:lvl>
    <w:lvl w:ilvl="2" w:tplc="20EE9660">
      <w:start w:val="1"/>
      <w:numFmt w:val="bullet"/>
      <w:lvlText w:val=""/>
      <w:lvlJc w:val="left"/>
      <w:pPr>
        <w:ind w:left="2160" w:hanging="360"/>
      </w:pPr>
      <w:rPr>
        <w:rFonts w:ascii="Wingdings" w:hAnsi="Wingdings" w:hint="default"/>
      </w:rPr>
    </w:lvl>
    <w:lvl w:ilvl="3" w:tplc="60982856">
      <w:start w:val="1"/>
      <w:numFmt w:val="bullet"/>
      <w:lvlText w:val=""/>
      <w:lvlJc w:val="left"/>
      <w:pPr>
        <w:ind w:left="2880" w:hanging="360"/>
      </w:pPr>
      <w:rPr>
        <w:rFonts w:ascii="Symbol" w:hAnsi="Symbol" w:hint="default"/>
      </w:rPr>
    </w:lvl>
    <w:lvl w:ilvl="4" w:tplc="C76C2358">
      <w:start w:val="1"/>
      <w:numFmt w:val="bullet"/>
      <w:lvlText w:val="o"/>
      <w:lvlJc w:val="left"/>
      <w:pPr>
        <w:ind w:left="3600" w:hanging="360"/>
      </w:pPr>
      <w:rPr>
        <w:rFonts w:ascii="Courier New" w:hAnsi="Courier New" w:hint="default"/>
      </w:rPr>
    </w:lvl>
    <w:lvl w:ilvl="5" w:tplc="6212DD6E">
      <w:start w:val="1"/>
      <w:numFmt w:val="bullet"/>
      <w:lvlText w:val=""/>
      <w:lvlJc w:val="left"/>
      <w:pPr>
        <w:ind w:left="4320" w:hanging="360"/>
      </w:pPr>
      <w:rPr>
        <w:rFonts w:ascii="Wingdings" w:hAnsi="Wingdings" w:hint="default"/>
      </w:rPr>
    </w:lvl>
    <w:lvl w:ilvl="6" w:tplc="7DD85434">
      <w:start w:val="1"/>
      <w:numFmt w:val="bullet"/>
      <w:lvlText w:val=""/>
      <w:lvlJc w:val="left"/>
      <w:pPr>
        <w:ind w:left="5040" w:hanging="360"/>
      </w:pPr>
      <w:rPr>
        <w:rFonts w:ascii="Symbol" w:hAnsi="Symbol" w:hint="default"/>
      </w:rPr>
    </w:lvl>
    <w:lvl w:ilvl="7" w:tplc="A1F015A8">
      <w:start w:val="1"/>
      <w:numFmt w:val="bullet"/>
      <w:lvlText w:val="o"/>
      <w:lvlJc w:val="left"/>
      <w:pPr>
        <w:ind w:left="5760" w:hanging="360"/>
      </w:pPr>
      <w:rPr>
        <w:rFonts w:ascii="Courier New" w:hAnsi="Courier New" w:hint="default"/>
      </w:rPr>
    </w:lvl>
    <w:lvl w:ilvl="8" w:tplc="519A1834">
      <w:start w:val="1"/>
      <w:numFmt w:val="bullet"/>
      <w:lvlText w:val=""/>
      <w:lvlJc w:val="left"/>
      <w:pPr>
        <w:ind w:left="6480" w:hanging="360"/>
      </w:pPr>
      <w:rPr>
        <w:rFonts w:ascii="Wingdings" w:hAnsi="Wingdings" w:hint="default"/>
      </w:rPr>
    </w:lvl>
  </w:abstractNum>
  <w:abstractNum w:abstractNumId="35" w15:restartNumberingAfterBreak="0">
    <w:nsid w:val="7B996DE1"/>
    <w:multiLevelType w:val="hybridMultilevel"/>
    <w:tmpl w:val="8C64575C"/>
    <w:lvl w:ilvl="0" w:tplc="14090001">
      <w:start w:val="1"/>
      <w:numFmt w:val="bullet"/>
      <w:lvlText w:val=""/>
      <w:lvlJc w:val="left"/>
      <w:pPr>
        <w:ind w:left="890" w:hanging="360"/>
      </w:pPr>
      <w:rPr>
        <w:rFonts w:ascii="Symbol" w:hAnsi="Symbol" w:hint="default"/>
      </w:rPr>
    </w:lvl>
    <w:lvl w:ilvl="1" w:tplc="14090003" w:tentative="1">
      <w:start w:val="1"/>
      <w:numFmt w:val="bullet"/>
      <w:lvlText w:val="o"/>
      <w:lvlJc w:val="left"/>
      <w:pPr>
        <w:ind w:left="1610" w:hanging="360"/>
      </w:pPr>
      <w:rPr>
        <w:rFonts w:ascii="Courier New" w:hAnsi="Courier New" w:cs="Courier New" w:hint="default"/>
      </w:rPr>
    </w:lvl>
    <w:lvl w:ilvl="2" w:tplc="14090005" w:tentative="1">
      <w:start w:val="1"/>
      <w:numFmt w:val="bullet"/>
      <w:lvlText w:val=""/>
      <w:lvlJc w:val="left"/>
      <w:pPr>
        <w:ind w:left="2330" w:hanging="360"/>
      </w:pPr>
      <w:rPr>
        <w:rFonts w:ascii="Wingdings" w:hAnsi="Wingdings" w:hint="default"/>
      </w:rPr>
    </w:lvl>
    <w:lvl w:ilvl="3" w:tplc="14090001" w:tentative="1">
      <w:start w:val="1"/>
      <w:numFmt w:val="bullet"/>
      <w:lvlText w:val=""/>
      <w:lvlJc w:val="left"/>
      <w:pPr>
        <w:ind w:left="3050" w:hanging="360"/>
      </w:pPr>
      <w:rPr>
        <w:rFonts w:ascii="Symbol" w:hAnsi="Symbol" w:hint="default"/>
      </w:rPr>
    </w:lvl>
    <w:lvl w:ilvl="4" w:tplc="14090003" w:tentative="1">
      <w:start w:val="1"/>
      <w:numFmt w:val="bullet"/>
      <w:lvlText w:val="o"/>
      <w:lvlJc w:val="left"/>
      <w:pPr>
        <w:ind w:left="3770" w:hanging="360"/>
      </w:pPr>
      <w:rPr>
        <w:rFonts w:ascii="Courier New" w:hAnsi="Courier New" w:cs="Courier New" w:hint="default"/>
      </w:rPr>
    </w:lvl>
    <w:lvl w:ilvl="5" w:tplc="14090005" w:tentative="1">
      <w:start w:val="1"/>
      <w:numFmt w:val="bullet"/>
      <w:lvlText w:val=""/>
      <w:lvlJc w:val="left"/>
      <w:pPr>
        <w:ind w:left="4490" w:hanging="360"/>
      </w:pPr>
      <w:rPr>
        <w:rFonts w:ascii="Wingdings" w:hAnsi="Wingdings" w:hint="default"/>
      </w:rPr>
    </w:lvl>
    <w:lvl w:ilvl="6" w:tplc="14090001" w:tentative="1">
      <w:start w:val="1"/>
      <w:numFmt w:val="bullet"/>
      <w:lvlText w:val=""/>
      <w:lvlJc w:val="left"/>
      <w:pPr>
        <w:ind w:left="5210" w:hanging="360"/>
      </w:pPr>
      <w:rPr>
        <w:rFonts w:ascii="Symbol" w:hAnsi="Symbol" w:hint="default"/>
      </w:rPr>
    </w:lvl>
    <w:lvl w:ilvl="7" w:tplc="14090003" w:tentative="1">
      <w:start w:val="1"/>
      <w:numFmt w:val="bullet"/>
      <w:lvlText w:val="o"/>
      <w:lvlJc w:val="left"/>
      <w:pPr>
        <w:ind w:left="5930" w:hanging="360"/>
      </w:pPr>
      <w:rPr>
        <w:rFonts w:ascii="Courier New" w:hAnsi="Courier New" w:cs="Courier New" w:hint="default"/>
      </w:rPr>
    </w:lvl>
    <w:lvl w:ilvl="8" w:tplc="14090005" w:tentative="1">
      <w:start w:val="1"/>
      <w:numFmt w:val="bullet"/>
      <w:lvlText w:val=""/>
      <w:lvlJc w:val="left"/>
      <w:pPr>
        <w:ind w:left="6650" w:hanging="360"/>
      </w:pPr>
      <w:rPr>
        <w:rFonts w:ascii="Wingdings" w:hAnsi="Wingdings" w:hint="default"/>
      </w:rPr>
    </w:lvl>
  </w:abstractNum>
  <w:abstractNum w:abstractNumId="36" w15:restartNumberingAfterBreak="0">
    <w:nsid w:val="7B9B3C55"/>
    <w:multiLevelType w:val="multilevel"/>
    <w:tmpl w:val="D304EC96"/>
    <w:styleLink w:val="CurrentList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39380084">
    <w:abstractNumId w:val="33"/>
  </w:num>
  <w:num w:numId="2" w16cid:durableId="879363057">
    <w:abstractNumId w:val="27"/>
  </w:num>
  <w:num w:numId="3" w16cid:durableId="2129428180">
    <w:abstractNumId w:val="4"/>
  </w:num>
  <w:num w:numId="4" w16cid:durableId="1862431739">
    <w:abstractNumId w:val="16"/>
  </w:num>
  <w:num w:numId="5" w16cid:durableId="812873191">
    <w:abstractNumId w:val="8"/>
  </w:num>
  <w:num w:numId="6" w16cid:durableId="1994019910">
    <w:abstractNumId w:val="17"/>
  </w:num>
  <w:num w:numId="7" w16cid:durableId="1268125617">
    <w:abstractNumId w:val="36"/>
  </w:num>
  <w:num w:numId="8" w16cid:durableId="7603690">
    <w:abstractNumId w:val="26"/>
  </w:num>
  <w:num w:numId="9" w16cid:durableId="25300567">
    <w:abstractNumId w:val="9"/>
  </w:num>
  <w:num w:numId="10" w16cid:durableId="688146085">
    <w:abstractNumId w:val="20"/>
  </w:num>
  <w:num w:numId="11" w16cid:durableId="1615820719">
    <w:abstractNumId w:val="25"/>
  </w:num>
  <w:num w:numId="12" w16cid:durableId="1434978351">
    <w:abstractNumId w:val="6"/>
  </w:num>
  <w:num w:numId="13" w16cid:durableId="1186602973">
    <w:abstractNumId w:val="19"/>
  </w:num>
  <w:num w:numId="14" w16cid:durableId="5252516">
    <w:abstractNumId w:val="11"/>
  </w:num>
  <w:num w:numId="15" w16cid:durableId="1091898359">
    <w:abstractNumId w:val="31"/>
  </w:num>
  <w:num w:numId="16" w16cid:durableId="2052922641">
    <w:abstractNumId w:val="23"/>
  </w:num>
  <w:num w:numId="17" w16cid:durableId="1776899761">
    <w:abstractNumId w:val="22"/>
  </w:num>
  <w:num w:numId="18" w16cid:durableId="500899611">
    <w:abstractNumId w:val="21"/>
  </w:num>
  <w:num w:numId="19" w16cid:durableId="1946426587">
    <w:abstractNumId w:val="15"/>
  </w:num>
  <w:num w:numId="20" w16cid:durableId="8531433">
    <w:abstractNumId w:val="2"/>
  </w:num>
  <w:num w:numId="21" w16cid:durableId="732974171">
    <w:abstractNumId w:val="3"/>
  </w:num>
  <w:num w:numId="22" w16cid:durableId="949505588">
    <w:abstractNumId w:val="28"/>
  </w:num>
  <w:num w:numId="23" w16cid:durableId="299696768">
    <w:abstractNumId w:val="14"/>
  </w:num>
  <w:num w:numId="24" w16cid:durableId="742601630">
    <w:abstractNumId w:val="7"/>
  </w:num>
  <w:num w:numId="25" w16cid:durableId="2108576065">
    <w:abstractNumId w:val="24"/>
  </w:num>
  <w:num w:numId="26" w16cid:durableId="66146687">
    <w:abstractNumId w:val="0"/>
  </w:num>
  <w:num w:numId="27" w16cid:durableId="1256089430">
    <w:abstractNumId w:val="34"/>
  </w:num>
  <w:num w:numId="28" w16cid:durableId="2049453460">
    <w:abstractNumId w:val="25"/>
    <w:lvlOverride w:ilvl="0">
      <w:startOverride w:val="1"/>
    </w:lvlOverride>
  </w:num>
  <w:num w:numId="29" w16cid:durableId="1365134211">
    <w:abstractNumId w:val="25"/>
    <w:lvlOverride w:ilvl="0">
      <w:startOverride w:val="1"/>
    </w:lvlOverride>
  </w:num>
  <w:num w:numId="30" w16cid:durableId="1991396151">
    <w:abstractNumId w:val="1"/>
  </w:num>
  <w:num w:numId="31" w16cid:durableId="399518102">
    <w:abstractNumId w:val="13"/>
  </w:num>
  <w:num w:numId="32" w16cid:durableId="682703040">
    <w:abstractNumId w:val="30"/>
  </w:num>
  <w:num w:numId="33" w16cid:durableId="782842637">
    <w:abstractNumId w:val="10"/>
  </w:num>
  <w:num w:numId="34" w16cid:durableId="824012106">
    <w:abstractNumId w:val="5"/>
  </w:num>
  <w:num w:numId="35" w16cid:durableId="2125419234">
    <w:abstractNumId w:val="35"/>
  </w:num>
  <w:num w:numId="36" w16cid:durableId="237983950">
    <w:abstractNumId w:val="12"/>
  </w:num>
  <w:num w:numId="37" w16cid:durableId="25450714">
    <w:abstractNumId w:val="29"/>
  </w:num>
  <w:num w:numId="38" w16cid:durableId="767965552">
    <w:abstractNumId w:val="18"/>
  </w:num>
  <w:num w:numId="39" w16cid:durableId="1177429260">
    <w:abstractNumId w:val="3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DateAndTime/>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AMA 11th&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wvex5fabdwzs9e9rwa55p5bvws5v2dex2zs&quot;&gt;EndNote@climatecommission.govt.nz&lt;record-ids&gt;&lt;item&gt;1451&lt;/item&gt;&lt;item&gt;1468&lt;/item&gt;&lt;item&gt;1473&lt;/item&gt;&lt;item&gt;1484&lt;/item&gt;&lt;item&gt;1572&lt;/item&gt;&lt;item&gt;1574&lt;/item&gt;&lt;item&gt;1579&lt;/item&gt;&lt;item&gt;1580&lt;/item&gt;&lt;/record-ids&gt;&lt;/item&gt;&lt;/Libraries&gt;"/>
  </w:docVars>
  <w:rsids>
    <w:rsidRoot w:val="000C3C21"/>
    <w:rsid w:val="00000B25"/>
    <w:rsid w:val="00000DCB"/>
    <w:rsid w:val="00001733"/>
    <w:rsid w:val="00001917"/>
    <w:rsid w:val="00001FBE"/>
    <w:rsid w:val="00002EDA"/>
    <w:rsid w:val="00002F10"/>
    <w:rsid w:val="00003728"/>
    <w:rsid w:val="00003CE8"/>
    <w:rsid w:val="00003CF6"/>
    <w:rsid w:val="0000450F"/>
    <w:rsid w:val="0000552B"/>
    <w:rsid w:val="00005DBC"/>
    <w:rsid w:val="000064F1"/>
    <w:rsid w:val="00006D76"/>
    <w:rsid w:val="000075F5"/>
    <w:rsid w:val="00007EDA"/>
    <w:rsid w:val="000104A1"/>
    <w:rsid w:val="0001123F"/>
    <w:rsid w:val="0001130A"/>
    <w:rsid w:val="0001196B"/>
    <w:rsid w:val="00012455"/>
    <w:rsid w:val="0001261B"/>
    <w:rsid w:val="00012801"/>
    <w:rsid w:val="000129EF"/>
    <w:rsid w:val="00012B16"/>
    <w:rsid w:val="00012BF2"/>
    <w:rsid w:val="00012C80"/>
    <w:rsid w:val="00012CA8"/>
    <w:rsid w:val="00014137"/>
    <w:rsid w:val="000141BC"/>
    <w:rsid w:val="000148A7"/>
    <w:rsid w:val="00015D40"/>
    <w:rsid w:val="00015D56"/>
    <w:rsid w:val="00016BAD"/>
    <w:rsid w:val="0002034F"/>
    <w:rsid w:val="000222EC"/>
    <w:rsid w:val="0002233F"/>
    <w:rsid w:val="00022671"/>
    <w:rsid w:val="00023276"/>
    <w:rsid w:val="0002358F"/>
    <w:rsid w:val="00023A32"/>
    <w:rsid w:val="0002540E"/>
    <w:rsid w:val="000256CF"/>
    <w:rsid w:val="00025E62"/>
    <w:rsid w:val="00026088"/>
    <w:rsid w:val="00026C51"/>
    <w:rsid w:val="00026DD4"/>
    <w:rsid w:val="00026E6F"/>
    <w:rsid w:val="00026F20"/>
    <w:rsid w:val="00027042"/>
    <w:rsid w:val="0002750D"/>
    <w:rsid w:val="000275CF"/>
    <w:rsid w:val="00030566"/>
    <w:rsid w:val="00030B48"/>
    <w:rsid w:val="00030DA5"/>
    <w:rsid w:val="00031269"/>
    <w:rsid w:val="0003202F"/>
    <w:rsid w:val="000325EF"/>
    <w:rsid w:val="0003354D"/>
    <w:rsid w:val="00033C19"/>
    <w:rsid w:val="000342AC"/>
    <w:rsid w:val="0003473A"/>
    <w:rsid w:val="00034A79"/>
    <w:rsid w:val="00034F8C"/>
    <w:rsid w:val="000358D9"/>
    <w:rsid w:val="00035C53"/>
    <w:rsid w:val="0003677B"/>
    <w:rsid w:val="00037DA5"/>
    <w:rsid w:val="00040895"/>
    <w:rsid w:val="00040A1C"/>
    <w:rsid w:val="0004171D"/>
    <w:rsid w:val="00044F3C"/>
    <w:rsid w:val="000457CC"/>
    <w:rsid w:val="00045C03"/>
    <w:rsid w:val="00046317"/>
    <w:rsid w:val="000467A1"/>
    <w:rsid w:val="00046915"/>
    <w:rsid w:val="00046BB8"/>
    <w:rsid w:val="00047C79"/>
    <w:rsid w:val="000500F6"/>
    <w:rsid w:val="000501EB"/>
    <w:rsid w:val="000505BE"/>
    <w:rsid w:val="000509D0"/>
    <w:rsid w:val="00050AA5"/>
    <w:rsid w:val="00051B70"/>
    <w:rsid w:val="00051F3F"/>
    <w:rsid w:val="00051FF3"/>
    <w:rsid w:val="000521B5"/>
    <w:rsid w:val="00052C72"/>
    <w:rsid w:val="00054DDB"/>
    <w:rsid w:val="0005507D"/>
    <w:rsid w:val="0005538A"/>
    <w:rsid w:val="00055772"/>
    <w:rsid w:val="00056BB7"/>
    <w:rsid w:val="00056BE1"/>
    <w:rsid w:val="00057A5F"/>
    <w:rsid w:val="00060640"/>
    <w:rsid w:val="00060E41"/>
    <w:rsid w:val="00060F5D"/>
    <w:rsid w:val="0006138E"/>
    <w:rsid w:val="00061B4F"/>
    <w:rsid w:val="00061C6F"/>
    <w:rsid w:val="00062E3D"/>
    <w:rsid w:val="00062FC2"/>
    <w:rsid w:val="00064753"/>
    <w:rsid w:val="00064D90"/>
    <w:rsid w:val="00064EBB"/>
    <w:rsid w:val="00066A05"/>
    <w:rsid w:val="00067688"/>
    <w:rsid w:val="00067EF4"/>
    <w:rsid w:val="00070156"/>
    <w:rsid w:val="00070A54"/>
    <w:rsid w:val="000713BA"/>
    <w:rsid w:val="00073474"/>
    <w:rsid w:val="00073522"/>
    <w:rsid w:val="000735C9"/>
    <w:rsid w:val="000748B0"/>
    <w:rsid w:val="00074C97"/>
    <w:rsid w:val="000751E1"/>
    <w:rsid w:val="000755E3"/>
    <w:rsid w:val="00075A01"/>
    <w:rsid w:val="000765D4"/>
    <w:rsid w:val="00076CEA"/>
    <w:rsid w:val="000772E5"/>
    <w:rsid w:val="000773D8"/>
    <w:rsid w:val="00080683"/>
    <w:rsid w:val="00081037"/>
    <w:rsid w:val="00082248"/>
    <w:rsid w:val="000826F6"/>
    <w:rsid w:val="00082E82"/>
    <w:rsid w:val="00083285"/>
    <w:rsid w:val="000835B6"/>
    <w:rsid w:val="0008417B"/>
    <w:rsid w:val="00084D2F"/>
    <w:rsid w:val="00084F73"/>
    <w:rsid w:val="00085FAD"/>
    <w:rsid w:val="000860B4"/>
    <w:rsid w:val="000860ED"/>
    <w:rsid w:val="00086B4B"/>
    <w:rsid w:val="00087F8C"/>
    <w:rsid w:val="00091F17"/>
    <w:rsid w:val="000922C3"/>
    <w:rsid w:val="00092774"/>
    <w:rsid w:val="00092BD5"/>
    <w:rsid w:val="00092EAE"/>
    <w:rsid w:val="00092F5D"/>
    <w:rsid w:val="00092F6F"/>
    <w:rsid w:val="0009341F"/>
    <w:rsid w:val="000944DC"/>
    <w:rsid w:val="000946CA"/>
    <w:rsid w:val="00095ED8"/>
    <w:rsid w:val="000975E6"/>
    <w:rsid w:val="0009787A"/>
    <w:rsid w:val="00097EC3"/>
    <w:rsid w:val="000A1322"/>
    <w:rsid w:val="000A2378"/>
    <w:rsid w:val="000A2799"/>
    <w:rsid w:val="000A2B8E"/>
    <w:rsid w:val="000A35AD"/>
    <w:rsid w:val="000A42AB"/>
    <w:rsid w:val="000A4E5C"/>
    <w:rsid w:val="000A5B15"/>
    <w:rsid w:val="000A5FE0"/>
    <w:rsid w:val="000A667D"/>
    <w:rsid w:val="000A6A97"/>
    <w:rsid w:val="000A76CB"/>
    <w:rsid w:val="000B07EF"/>
    <w:rsid w:val="000B0FF2"/>
    <w:rsid w:val="000B1085"/>
    <w:rsid w:val="000B1F50"/>
    <w:rsid w:val="000B2002"/>
    <w:rsid w:val="000B2CC2"/>
    <w:rsid w:val="000B3AF6"/>
    <w:rsid w:val="000B3C29"/>
    <w:rsid w:val="000B4E48"/>
    <w:rsid w:val="000B5289"/>
    <w:rsid w:val="000B537A"/>
    <w:rsid w:val="000B5B50"/>
    <w:rsid w:val="000B5FE5"/>
    <w:rsid w:val="000B6416"/>
    <w:rsid w:val="000B6AFD"/>
    <w:rsid w:val="000B7D37"/>
    <w:rsid w:val="000C1476"/>
    <w:rsid w:val="000C24BB"/>
    <w:rsid w:val="000C2994"/>
    <w:rsid w:val="000C2E36"/>
    <w:rsid w:val="000C3318"/>
    <w:rsid w:val="000C37F6"/>
    <w:rsid w:val="000C3C21"/>
    <w:rsid w:val="000C40AE"/>
    <w:rsid w:val="000C40DB"/>
    <w:rsid w:val="000C47B8"/>
    <w:rsid w:val="000C4E1C"/>
    <w:rsid w:val="000C5105"/>
    <w:rsid w:val="000C5585"/>
    <w:rsid w:val="000C5BC4"/>
    <w:rsid w:val="000C6AE5"/>
    <w:rsid w:val="000C7E63"/>
    <w:rsid w:val="000D0834"/>
    <w:rsid w:val="000D1557"/>
    <w:rsid w:val="000D1883"/>
    <w:rsid w:val="000D21CC"/>
    <w:rsid w:val="000D2747"/>
    <w:rsid w:val="000D27A4"/>
    <w:rsid w:val="000D29AC"/>
    <w:rsid w:val="000D374B"/>
    <w:rsid w:val="000D3A7A"/>
    <w:rsid w:val="000D404C"/>
    <w:rsid w:val="000D413F"/>
    <w:rsid w:val="000D4158"/>
    <w:rsid w:val="000D46BB"/>
    <w:rsid w:val="000D4E2D"/>
    <w:rsid w:val="000D4FC5"/>
    <w:rsid w:val="000D5EC9"/>
    <w:rsid w:val="000D6325"/>
    <w:rsid w:val="000D704F"/>
    <w:rsid w:val="000D731A"/>
    <w:rsid w:val="000D765F"/>
    <w:rsid w:val="000D7FF9"/>
    <w:rsid w:val="000E0321"/>
    <w:rsid w:val="000E2A66"/>
    <w:rsid w:val="000E2EF5"/>
    <w:rsid w:val="000E4DBB"/>
    <w:rsid w:val="000E4EC9"/>
    <w:rsid w:val="000E540D"/>
    <w:rsid w:val="000E67D1"/>
    <w:rsid w:val="000E6E03"/>
    <w:rsid w:val="000E773F"/>
    <w:rsid w:val="000F0142"/>
    <w:rsid w:val="000F14C9"/>
    <w:rsid w:val="000F17B5"/>
    <w:rsid w:val="000F197B"/>
    <w:rsid w:val="000F2B53"/>
    <w:rsid w:val="000F2BD5"/>
    <w:rsid w:val="000F30D7"/>
    <w:rsid w:val="000F3A29"/>
    <w:rsid w:val="000F40FE"/>
    <w:rsid w:val="000F47E3"/>
    <w:rsid w:val="000F4C7A"/>
    <w:rsid w:val="000F4CD5"/>
    <w:rsid w:val="000F533D"/>
    <w:rsid w:val="000F5CB6"/>
    <w:rsid w:val="000F6A92"/>
    <w:rsid w:val="000F6BF9"/>
    <w:rsid w:val="000F6CE7"/>
    <w:rsid w:val="000F6F50"/>
    <w:rsid w:val="000F798B"/>
    <w:rsid w:val="000F7FC3"/>
    <w:rsid w:val="001001F3"/>
    <w:rsid w:val="00100F2B"/>
    <w:rsid w:val="00102279"/>
    <w:rsid w:val="00102EDB"/>
    <w:rsid w:val="00105D6E"/>
    <w:rsid w:val="00106027"/>
    <w:rsid w:val="001062A6"/>
    <w:rsid w:val="001062DC"/>
    <w:rsid w:val="001113AD"/>
    <w:rsid w:val="00111A73"/>
    <w:rsid w:val="0011213D"/>
    <w:rsid w:val="00112CD4"/>
    <w:rsid w:val="0011363B"/>
    <w:rsid w:val="00114A75"/>
    <w:rsid w:val="00114B83"/>
    <w:rsid w:val="00114EEA"/>
    <w:rsid w:val="00115ADF"/>
    <w:rsid w:val="00116438"/>
    <w:rsid w:val="0011646A"/>
    <w:rsid w:val="00116A48"/>
    <w:rsid w:val="00116F87"/>
    <w:rsid w:val="00117116"/>
    <w:rsid w:val="00120185"/>
    <w:rsid w:val="0012071C"/>
    <w:rsid w:val="001207D5"/>
    <w:rsid w:val="00120B64"/>
    <w:rsid w:val="00121DCA"/>
    <w:rsid w:val="00121E23"/>
    <w:rsid w:val="001225C9"/>
    <w:rsid w:val="00122881"/>
    <w:rsid w:val="0012354E"/>
    <w:rsid w:val="00124144"/>
    <w:rsid w:val="00124389"/>
    <w:rsid w:val="00124618"/>
    <w:rsid w:val="001249D1"/>
    <w:rsid w:val="00124C30"/>
    <w:rsid w:val="00124D49"/>
    <w:rsid w:val="00126578"/>
    <w:rsid w:val="00126998"/>
    <w:rsid w:val="00126F08"/>
    <w:rsid w:val="001276B2"/>
    <w:rsid w:val="00127B52"/>
    <w:rsid w:val="00127B5F"/>
    <w:rsid w:val="00127EB3"/>
    <w:rsid w:val="001305A4"/>
    <w:rsid w:val="00131EE4"/>
    <w:rsid w:val="001324D7"/>
    <w:rsid w:val="00132C9D"/>
    <w:rsid w:val="00133AAD"/>
    <w:rsid w:val="00133F55"/>
    <w:rsid w:val="001348EA"/>
    <w:rsid w:val="0013578A"/>
    <w:rsid w:val="001363C9"/>
    <w:rsid w:val="00136553"/>
    <w:rsid w:val="001369CD"/>
    <w:rsid w:val="001372CB"/>
    <w:rsid w:val="001410C3"/>
    <w:rsid w:val="00141327"/>
    <w:rsid w:val="001415CB"/>
    <w:rsid w:val="00141FB8"/>
    <w:rsid w:val="001432E3"/>
    <w:rsid w:val="00143D29"/>
    <w:rsid w:val="0014463E"/>
    <w:rsid w:val="00145001"/>
    <w:rsid w:val="001454BF"/>
    <w:rsid w:val="00145572"/>
    <w:rsid w:val="00145870"/>
    <w:rsid w:val="00145A04"/>
    <w:rsid w:val="001465BB"/>
    <w:rsid w:val="001474A5"/>
    <w:rsid w:val="00147A46"/>
    <w:rsid w:val="00147E75"/>
    <w:rsid w:val="00150051"/>
    <w:rsid w:val="00150216"/>
    <w:rsid w:val="00150436"/>
    <w:rsid w:val="001515DD"/>
    <w:rsid w:val="001517EE"/>
    <w:rsid w:val="001519FA"/>
    <w:rsid w:val="00151CDB"/>
    <w:rsid w:val="00153C5D"/>
    <w:rsid w:val="00154511"/>
    <w:rsid w:val="00154971"/>
    <w:rsid w:val="00155D2F"/>
    <w:rsid w:val="0015612D"/>
    <w:rsid w:val="00156B64"/>
    <w:rsid w:val="00156B79"/>
    <w:rsid w:val="0015702A"/>
    <w:rsid w:val="00157893"/>
    <w:rsid w:val="001603C8"/>
    <w:rsid w:val="001608F2"/>
    <w:rsid w:val="00160B1B"/>
    <w:rsid w:val="00160F08"/>
    <w:rsid w:val="00161AB9"/>
    <w:rsid w:val="0016239B"/>
    <w:rsid w:val="00162511"/>
    <w:rsid w:val="00162656"/>
    <w:rsid w:val="0016286F"/>
    <w:rsid w:val="00162C68"/>
    <w:rsid w:val="001630BB"/>
    <w:rsid w:val="001633FB"/>
    <w:rsid w:val="00163BB9"/>
    <w:rsid w:val="00163CF4"/>
    <w:rsid w:val="0016446E"/>
    <w:rsid w:val="00164546"/>
    <w:rsid w:val="00164D3D"/>
    <w:rsid w:val="00165D7B"/>
    <w:rsid w:val="00166357"/>
    <w:rsid w:val="00166B1D"/>
    <w:rsid w:val="00166EC2"/>
    <w:rsid w:val="00170E57"/>
    <w:rsid w:val="001719BA"/>
    <w:rsid w:val="001720B9"/>
    <w:rsid w:val="00172201"/>
    <w:rsid w:val="001727AB"/>
    <w:rsid w:val="00172AAF"/>
    <w:rsid w:val="00173168"/>
    <w:rsid w:val="001763EE"/>
    <w:rsid w:val="00176EC5"/>
    <w:rsid w:val="00177C0A"/>
    <w:rsid w:val="00180554"/>
    <w:rsid w:val="00180983"/>
    <w:rsid w:val="00180D06"/>
    <w:rsid w:val="001810A4"/>
    <w:rsid w:val="0018296F"/>
    <w:rsid w:val="00183B88"/>
    <w:rsid w:val="001842C6"/>
    <w:rsid w:val="00184F6D"/>
    <w:rsid w:val="001852D2"/>
    <w:rsid w:val="001854EA"/>
    <w:rsid w:val="00185C69"/>
    <w:rsid w:val="001867A8"/>
    <w:rsid w:val="00187074"/>
    <w:rsid w:val="0019105A"/>
    <w:rsid w:val="00192181"/>
    <w:rsid w:val="0019250A"/>
    <w:rsid w:val="00192B5F"/>
    <w:rsid w:val="001930BB"/>
    <w:rsid w:val="00193822"/>
    <w:rsid w:val="00193B66"/>
    <w:rsid w:val="00194321"/>
    <w:rsid w:val="00194D79"/>
    <w:rsid w:val="00195182"/>
    <w:rsid w:val="00195281"/>
    <w:rsid w:val="00195712"/>
    <w:rsid w:val="00195A0F"/>
    <w:rsid w:val="00195F28"/>
    <w:rsid w:val="00196046"/>
    <w:rsid w:val="001960B9"/>
    <w:rsid w:val="0019649D"/>
    <w:rsid w:val="001976A4"/>
    <w:rsid w:val="00197FF0"/>
    <w:rsid w:val="001A01A2"/>
    <w:rsid w:val="001A1516"/>
    <w:rsid w:val="001A15B0"/>
    <w:rsid w:val="001A24FB"/>
    <w:rsid w:val="001A2AAF"/>
    <w:rsid w:val="001A3338"/>
    <w:rsid w:val="001A553D"/>
    <w:rsid w:val="001A5C65"/>
    <w:rsid w:val="001A5EBB"/>
    <w:rsid w:val="001A68E1"/>
    <w:rsid w:val="001A76AA"/>
    <w:rsid w:val="001B0657"/>
    <w:rsid w:val="001B1156"/>
    <w:rsid w:val="001B25D9"/>
    <w:rsid w:val="001B3087"/>
    <w:rsid w:val="001B3205"/>
    <w:rsid w:val="001B37D4"/>
    <w:rsid w:val="001B4252"/>
    <w:rsid w:val="001B598D"/>
    <w:rsid w:val="001B5A77"/>
    <w:rsid w:val="001B5DCA"/>
    <w:rsid w:val="001B6153"/>
    <w:rsid w:val="001B6231"/>
    <w:rsid w:val="001B6370"/>
    <w:rsid w:val="001B6C1E"/>
    <w:rsid w:val="001B6EB8"/>
    <w:rsid w:val="001B714E"/>
    <w:rsid w:val="001B729B"/>
    <w:rsid w:val="001B7BB2"/>
    <w:rsid w:val="001C192C"/>
    <w:rsid w:val="001C19A9"/>
    <w:rsid w:val="001C1D4F"/>
    <w:rsid w:val="001C1D74"/>
    <w:rsid w:val="001C2BD9"/>
    <w:rsid w:val="001C2FE2"/>
    <w:rsid w:val="001C312E"/>
    <w:rsid w:val="001C3134"/>
    <w:rsid w:val="001C36BF"/>
    <w:rsid w:val="001C39BA"/>
    <w:rsid w:val="001C495A"/>
    <w:rsid w:val="001C4D46"/>
    <w:rsid w:val="001C5192"/>
    <w:rsid w:val="001C593C"/>
    <w:rsid w:val="001C5AF5"/>
    <w:rsid w:val="001C71BE"/>
    <w:rsid w:val="001C78AD"/>
    <w:rsid w:val="001C7E80"/>
    <w:rsid w:val="001D0581"/>
    <w:rsid w:val="001D1559"/>
    <w:rsid w:val="001D1BBA"/>
    <w:rsid w:val="001D2D8D"/>
    <w:rsid w:val="001D341F"/>
    <w:rsid w:val="001D37C5"/>
    <w:rsid w:val="001D3A08"/>
    <w:rsid w:val="001D432A"/>
    <w:rsid w:val="001D434D"/>
    <w:rsid w:val="001D4DAA"/>
    <w:rsid w:val="001D4DF7"/>
    <w:rsid w:val="001D4EA2"/>
    <w:rsid w:val="001D5C2C"/>
    <w:rsid w:val="001D5FD9"/>
    <w:rsid w:val="001E15C5"/>
    <w:rsid w:val="001E17EA"/>
    <w:rsid w:val="001E1B5B"/>
    <w:rsid w:val="001E31D9"/>
    <w:rsid w:val="001E3317"/>
    <w:rsid w:val="001E3490"/>
    <w:rsid w:val="001E3E87"/>
    <w:rsid w:val="001E48BD"/>
    <w:rsid w:val="001E5D43"/>
    <w:rsid w:val="001E5F13"/>
    <w:rsid w:val="001E67A6"/>
    <w:rsid w:val="001F21A6"/>
    <w:rsid w:val="001F26E9"/>
    <w:rsid w:val="001F2B51"/>
    <w:rsid w:val="001F2E2E"/>
    <w:rsid w:val="001F2F1B"/>
    <w:rsid w:val="001F3D61"/>
    <w:rsid w:val="001F3FD6"/>
    <w:rsid w:val="001F480E"/>
    <w:rsid w:val="001F4BD9"/>
    <w:rsid w:val="001F5ED8"/>
    <w:rsid w:val="001F6500"/>
    <w:rsid w:val="001F7A20"/>
    <w:rsid w:val="00200442"/>
    <w:rsid w:val="00200558"/>
    <w:rsid w:val="00201048"/>
    <w:rsid w:val="002011AA"/>
    <w:rsid w:val="00202452"/>
    <w:rsid w:val="0020319B"/>
    <w:rsid w:val="00203580"/>
    <w:rsid w:val="00204315"/>
    <w:rsid w:val="002043E8"/>
    <w:rsid w:val="0020596A"/>
    <w:rsid w:val="00206010"/>
    <w:rsid w:val="0020632B"/>
    <w:rsid w:val="002064F7"/>
    <w:rsid w:val="00206730"/>
    <w:rsid w:val="0020709E"/>
    <w:rsid w:val="00207756"/>
    <w:rsid w:val="00207B90"/>
    <w:rsid w:val="00210BCB"/>
    <w:rsid w:val="00210FCE"/>
    <w:rsid w:val="00211736"/>
    <w:rsid w:val="00211A4C"/>
    <w:rsid w:val="0021237C"/>
    <w:rsid w:val="0021298B"/>
    <w:rsid w:val="00212A9D"/>
    <w:rsid w:val="00212CCD"/>
    <w:rsid w:val="00213C4E"/>
    <w:rsid w:val="00214143"/>
    <w:rsid w:val="002156D7"/>
    <w:rsid w:val="00215B04"/>
    <w:rsid w:val="0021636F"/>
    <w:rsid w:val="00216B31"/>
    <w:rsid w:val="00216F7E"/>
    <w:rsid w:val="0021737C"/>
    <w:rsid w:val="002178B4"/>
    <w:rsid w:val="00217AB8"/>
    <w:rsid w:val="00217BC9"/>
    <w:rsid w:val="00220093"/>
    <w:rsid w:val="00221A0A"/>
    <w:rsid w:val="00222588"/>
    <w:rsid w:val="002228C2"/>
    <w:rsid w:val="00222D9D"/>
    <w:rsid w:val="002230EB"/>
    <w:rsid w:val="00225009"/>
    <w:rsid w:val="00225D0B"/>
    <w:rsid w:val="00226087"/>
    <w:rsid w:val="002309AA"/>
    <w:rsid w:val="00230FEE"/>
    <w:rsid w:val="0023101A"/>
    <w:rsid w:val="002318C9"/>
    <w:rsid w:val="00231F6E"/>
    <w:rsid w:val="00232352"/>
    <w:rsid w:val="00232566"/>
    <w:rsid w:val="0023264C"/>
    <w:rsid w:val="00232696"/>
    <w:rsid w:val="00232C57"/>
    <w:rsid w:val="00232DF6"/>
    <w:rsid w:val="00233AF3"/>
    <w:rsid w:val="00233EF1"/>
    <w:rsid w:val="002345F8"/>
    <w:rsid w:val="00234A2E"/>
    <w:rsid w:val="0023508F"/>
    <w:rsid w:val="00235918"/>
    <w:rsid w:val="00235A1E"/>
    <w:rsid w:val="002360D8"/>
    <w:rsid w:val="00236A76"/>
    <w:rsid w:val="00236C23"/>
    <w:rsid w:val="00240144"/>
    <w:rsid w:val="0024050C"/>
    <w:rsid w:val="002405C3"/>
    <w:rsid w:val="00241260"/>
    <w:rsid w:val="00241987"/>
    <w:rsid w:val="002419D9"/>
    <w:rsid w:val="00241FD1"/>
    <w:rsid w:val="00242D2A"/>
    <w:rsid w:val="00243432"/>
    <w:rsid w:val="00244BB9"/>
    <w:rsid w:val="00245C14"/>
    <w:rsid w:val="00245D71"/>
    <w:rsid w:val="00246496"/>
    <w:rsid w:val="002467D0"/>
    <w:rsid w:val="00247088"/>
    <w:rsid w:val="002476FF"/>
    <w:rsid w:val="0024775B"/>
    <w:rsid w:val="00250233"/>
    <w:rsid w:val="0025052B"/>
    <w:rsid w:val="00250A47"/>
    <w:rsid w:val="00251442"/>
    <w:rsid w:val="00251498"/>
    <w:rsid w:val="00254B7E"/>
    <w:rsid w:val="00255A18"/>
    <w:rsid w:val="0025690B"/>
    <w:rsid w:val="0025707B"/>
    <w:rsid w:val="0025785E"/>
    <w:rsid w:val="002578C3"/>
    <w:rsid w:val="00257DCF"/>
    <w:rsid w:val="00257E30"/>
    <w:rsid w:val="00261520"/>
    <w:rsid w:val="002619C5"/>
    <w:rsid w:val="00262E2B"/>
    <w:rsid w:val="00263604"/>
    <w:rsid w:val="00263FED"/>
    <w:rsid w:val="002641E8"/>
    <w:rsid w:val="00265061"/>
    <w:rsid w:val="00265738"/>
    <w:rsid w:val="00265D98"/>
    <w:rsid w:val="002660C0"/>
    <w:rsid w:val="00266E10"/>
    <w:rsid w:val="0026744D"/>
    <w:rsid w:val="00270947"/>
    <w:rsid w:val="00272566"/>
    <w:rsid w:val="00272CC3"/>
    <w:rsid w:val="0027396A"/>
    <w:rsid w:val="00274154"/>
    <w:rsid w:val="0027495A"/>
    <w:rsid w:val="00274B2F"/>
    <w:rsid w:val="002761EA"/>
    <w:rsid w:val="002763DE"/>
    <w:rsid w:val="002772DD"/>
    <w:rsid w:val="00277A49"/>
    <w:rsid w:val="00280238"/>
    <w:rsid w:val="002803BB"/>
    <w:rsid w:val="002804A5"/>
    <w:rsid w:val="00280D7C"/>
    <w:rsid w:val="0028106E"/>
    <w:rsid w:val="002810DA"/>
    <w:rsid w:val="00281667"/>
    <w:rsid w:val="00281DEC"/>
    <w:rsid w:val="0028242A"/>
    <w:rsid w:val="00282676"/>
    <w:rsid w:val="002839E7"/>
    <w:rsid w:val="002848F0"/>
    <w:rsid w:val="00284C77"/>
    <w:rsid w:val="0028574E"/>
    <w:rsid w:val="00286937"/>
    <w:rsid w:val="00286F2C"/>
    <w:rsid w:val="00287659"/>
    <w:rsid w:val="00290AB7"/>
    <w:rsid w:val="002917BD"/>
    <w:rsid w:val="0029182D"/>
    <w:rsid w:val="002920A5"/>
    <w:rsid w:val="00292CF3"/>
    <w:rsid w:val="002937AE"/>
    <w:rsid w:val="00293817"/>
    <w:rsid w:val="002958AD"/>
    <w:rsid w:val="00295A0A"/>
    <w:rsid w:val="00295C70"/>
    <w:rsid w:val="00295D5C"/>
    <w:rsid w:val="00297368"/>
    <w:rsid w:val="002A0166"/>
    <w:rsid w:val="002A0B9E"/>
    <w:rsid w:val="002A2302"/>
    <w:rsid w:val="002A2A14"/>
    <w:rsid w:val="002A30F9"/>
    <w:rsid w:val="002A353D"/>
    <w:rsid w:val="002A3D00"/>
    <w:rsid w:val="002A3F08"/>
    <w:rsid w:val="002A4385"/>
    <w:rsid w:val="002A480F"/>
    <w:rsid w:val="002A4B8B"/>
    <w:rsid w:val="002A4CA3"/>
    <w:rsid w:val="002A5425"/>
    <w:rsid w:val="002A5DDB"/>
    <w:rsid w:val="002A795D"/>
    <w:rsid w:val="002B0441"/>
    <w:rsid w:val="002B0F57"/>
    <w:rsid w:val="002B19CF"/>
    <w:rsid w:val="002B235A"/>
    <w:rsid w:val="002B2844"/>
    <w:rsid w:val="002B2C85"/>
    <w:rsid w:val="002B3E4D"/>
    <w:rsid w:val="002B42BE"/>
    <w:rsid w:val="002B4928"/>
    <w:rsid w:val="002B553B"/>
    <w:rsid w:val="002B5A62"/>
    <w:rsid w:val="002B5A6F"/>
    <w:rsid w:val="002B73CF"/>
    <w:rsid w:val="002B761D"/>
    <w:rsid w:val="002C1FE9"/>
    <w:rsid w:val="002C27AE"/>
    <w:rsid w:val="002C283C"/>
    <w:rsid w:val="002C2FF5"/>
    <w:rsid w:val="002C48FC"/>
    <w:rsid w:val="002C4965"/>
    <w:rsid w:val="002C54DB"/>
    <w:rsid w:val="002C5DC0"/>
    <w:rsid w:val="002C65F6"/>
    <w:rsid w:val="002C6E7E"/>
    <w:rsid w:val="002C70EB"/>
    <w:rsid w:val="002C7540"/>
    <w:rsid w:val="002D0B11"/>
    <w:rsid w:val="002D0C44"/>
    <w:rsid w:val="002D119A"/>
    <w:rsid w:val="002D18DE"/>
    <w:rsid w:val="002D1900"/>
    <w:rsid w:val="002D1E47"/>
    <w:rsid w:val="002D2376"/>
    <w:rsid w:val="002D26AC"/>
    <w:rsid w:val="002D40FC"/>
    <w:rsid w:val="002D46D4"/>
    <w:rsid w:val="002D540A"/>
    <w:rsid w:val="002D564A"/>
    <w:rsid w:val="002D5994"/>
    <w:rsid w:val="002D68D1"/>
    <w:rsid w:val="002D69CA"/>
    <w:rsid w:val="002D6C6D"/>
    <w:rsid w:val="002D6F3D"/>
    <w:rsid w:val="002D78B0"/>
    <w:rsid w:val="002D79E3"/>
    <w:rsid w:val="002E049D"/>
    <w:rsid w:val="002E0830"/>
    <w:rsid w:val="002E0A6F"/>
    <w:rsid w:val="002E1560"/>
    <w:rsid w:val="002E15EE"/>
    <w:rsid w:val="002E1BFE"/>
    <w:rsid w:val="002E2351"/>
    <w:rsid w:val="002E2390"/>
    <w:rsid w:val="002E2BCC"/>
    <w:rsid w:val="002E470D"/>
    <w:rsid w:val="002E4DD3"/>
    <w:rsid w:val="002E4E5A"/>
    <w:rsid w:val="002E55FF"/>
    <w:rsid w:val="002E594A"/>
    <w:rsid w:val="002E5ADD"/>
    <w:rsid w:val="002E66C2"/>
    <w:rsid w:val="002E6854"/>
    <w:rsid w:val="002E697F"/>
    <w:rsid w:val="002E6EB4"/>
    <w:rsid w:val="002E717C"/>
    <w:rsid w:val="002E7391"/>
    <w:rsid w:val="002E7FDA"/>
    <w:rsid w:val="002F1671"/>
    <w:rsid w:val="002F17F2"/>
    <w:rsid w:val="002F2895"/>
    <w:rsid w:val="002F3839"/>
    <w:rsid w:val="002F3B28"/>
    <w:rsid w:val="002F3D71"/>
    <w:rsid w:val="002F3DC1"/>
    <w:rsid w:val="002F42E7"/>
    <w:rsid w:val="002F5F94"/>
    <w:rsid w:val="002F6B99"/>
    <w:rsid w:val="002F6FD7"/>
    <w:rsid w:val="002F7A92"/>
    <w:rsid w:val="00302795"/>
    <w:rsid w:val="00302B73"/>
    <w:rsid w:val="00303C60"/>
    <w:rsid w:val="00304EA5"/>
    <w:rsid w:val="00305626"/>
    <w:rsid w:val="00305C4D"/>
    <w:rsid w:val="00306325"/>
    <w:rsid w:val="00306E33"/>
    <w:rsid w:val="00306FE9"/>
    <w:rsid w:val="00307A41"/>
    <w:rsid w:val="00307FC0"/>
    <w:rsid w:val="003102C3"/>
    <w:rsid w:val="0031110A"/>
    <w:rsid w:val="00311C5C"/>
    <w:rsid w:val="0031235A"/>
    <w:rsid w:val="00313032"/>
    <w:rsid w:val="00313503"/>
    <w:rsid w:val="00313FBA"/>
    <w:rsid w:val="003143FC"/>
    <w:rsid w:val="00314A7F"/>
    <w:rsid w:val="00314D5D"/>
    <w:rsid w:val="00315013"/>
    <w:rsid w:val="00315F47"/>
    <w:rsid w:val="003162F1"/>
    <w:rsid w:val="00316DBA"/>
    <w:rsid w:val="0031727E"/>
    <w:rsid w:val="00317B15"/>
    <w:rsid w:val="00317C8E"/>
    <w:rsid w:val="003207B2"/>
    <w:rsid w:val="0032177E"/>
    <w:rsid w:val="00323E8B"/>
    <w:rsid w:val="00323FA7"/>
    <w:rsid w:val="003247F9"/>
    <w:rsid w:val="00325742"/>
    <w:rsid w:val="00325F58"/>
    <w:rsid w:val="00326121"/>
    <w:rsid w:val="003266B2"/>
    <w:rsid w:val="00327A94"/>
    <w:rsid w:val="00327AB5"/>
    <w:rsid w:val="003307D4"/>
    <w:rsid w:val="0033178E"/>
    <w:rsid w:val="0033200D"/>
    <w:rsid w:val="00332916"/>
    <w:rsid w:val="00332DC2"/>
    <w:rsid w:val="00333077"/>
    <w:rsid w:val="003335EC"/>
    <w:rsid w:val="00333893"/>
    <w:rsid w:val="003339EF"/>
    <w:rsid w:val="00334512"/>
    <w:rsid w:val="003348CD"/>
    <w:rsid w:val="00335332"/>
    <w:rsid w:val="003357A5"/>
    <w:rsid w:val="003364F3"/>
    <w:rsid w:val="00337364"/>
    <w:rsid w:val="003378DC"/>
    <w:rsid w:val="00337ED0"/>
    <w:rsid w:val="00337EF8"/>
    <w:rsid w:val="0034034E"/>
    <w:rsid w:val="00340451"/>
    <w:rsid w:val="00340522"/>
    <w:rsid w:val="00342678"/>
    <w:rsid w:val="003438B4"/>
    <w:rsid w:val="00344E02"/>
    <w:rsid w:val="0034553C"/>
    <w:rsid w:val="0034602A"/>
    <w:rsid w:val="00350C93"/>
    <w:rsid w:val="00351477"/>
    <w:rsid w:val="00351DB7"/>
    <w:rsid w:val="00353B2A"/>
    <w:rsid w:val="00353C72"/>
    <w:rsid w:val="00354E3E"/>
    <w:rsid w:val="00356083"/>
    <w:rsid w:val="00357963"/>
    <w:rsid w:val="003602CB"/>
    <w:rsid w:val="003604AA"/>
    <w:rsid w:val="003607FA"/>
    <w:rsid w:val="0036253F"/>
    <w:rsid w:val="003647FA"/>
    <w:rsid w:val="00364AF2"/>
    <w:rsid w:val="00364DF5"/>
    <w:rsid w:val="0036608F"/>
    <w:rsid w:val="00366381"/>
    <w:rsid w:val="00366B12"/>
    <w:rsid w:val="00367774"/>
    <w:rsid w:val="00367FBC"/>
    <w:rsid w:val="0037084F"/>
    <w:rsid w:val="003712DB"/>
    <w:rsid w:val="00371646"/>
    <w:rsid w:val="00371D72"/>
    <w:rsid w:val="00371FF2"/>
    <w:rsid w:val="0037286F"/>
    <w:rsid w:val="00372AF9"/>
    <w:rsid w:val="00373B20"/>
    <w:rsid w:val="00373D62"/>
    <w:rsid w:val="003743E2"/>
    <w:rsid w:val="003743EC"/>
    <w:rsid w:val="0037562A"/>
    <w:rsid w:val="003756B8"/>
    <w:rsid w:val="003758AA"/>
    <w:rsid w:val="00376B96"/>
    <w:rsid w:val="00376BF8"/>
    <w:rsid w:val="00376D2B"/>
    <w:rsid w:val="00377083"/>
    <w:rsid w:val="0037741D"/>
    <w:rsid w:val="00377F35"/>
    <w:rsid w:val="0038008B"/>
    <w:rsid w:val="00380130"/>
    <w:rsid w:val="00380573"/>
    <w:rsid w:val="00380ED6"/>
    <w:rsid w:val="00381081"/>
    <w:rsid w:val="003814A2"/>
    <w:rsid w:val="0038166D"/>
    <w:rsid w:val="00382302"/>
    <w:rsid w:val="00382324"/>
    <w:rsid w:val="00382906"/>
    <w:rsid w:val="0038460B"/>
    <w:rsid w:val="00384C4C"/>
    <w:rsid w:val="00384F96"/>
    <w:rsid w:val="00385922"/>
    <w:rsid w:val="003861F6"/>
    <w:rsid w:val="00386B45"/>
    <w:rsid w:val="00386BE7"/>
    <w:rsid w:val="00387A17"/>
    <w:rsid w:val="00390098"/>
    <w:rsid w:val="00390A4E"/>
    <w:rsid w:val="00391495"/>
    <w:rsid w:val="003918C9"/>
    <w:rsid w:val="00392E52"/>
    <w:rsid w:val="00392E60"/>
    <w:rsid w:val="003931F4"/>
    <w:rsid w:val="00394385"/>
    <w:rsid w:val="00394A27"/>
    <w:rsid w:val="00395447"/>
    <w:rsid w:val="003955CB"/>
    <w:rsid w:val="00395A27"/>
    <w:rsid w:val="00395C6E"/>
    <w:rsid w:val="00397180"/>
    <w:rsid w:val="003977D1"/>
    <w:rsid w:val="00397AE8"/>
    <w:rsid w:val="003A101C"/>
    <w:rsid w:val="003A2930"/>
    <w:rsid w:val="003A302D"/>
    <w:rsid w:val="003A3243"/>
    <w:rsid w:val="003A4274"/>
    <w:rsid w:val="003A453E"/>
    <w:rsid w:val="003A49DB"/>
    <w:rsid w:val="003A4ABD"/>
    <w:rsid w:val="003A4ACE"/>
    <w:rsid w:val="003A4EFB"/>
    <w:rsid w:val="003A5731"/>
    <w:rsid w:val="003A5CE4"/>
    <w:rsid w:val="003A6128"/>
    <w:rsid w:val="003A76AD"/>
    <w:rsid w:val="003A78BD"/>
    <w:rsid w:val="003A7A81"/>
    <w:rsid w:val="003A7D68"/>
    <w:rsid w:val="003B04C9"/>
    <w:rsid w:val="003B0FC8"/>
    <w:rsid w:val="003B15D1"/>
    <w:rsid w:val="003B2160"/>
    <w:rsid w:val="003B2594"/>
    <w:rsid w:val="003B2F3F"/>
    <w:rsid w:val="003B3F5A"/>
    <w:rsid w:val="003B46CE"/>
    <w:rsid w:val="003B474F"/>
    <w:rsid w:val="003B479E"/>
    <w:rsid w:val="003B509F"/>
    <w:rsid w:val="003B5BD6"/>
    <w:rsid w:val="003B5E5D"/>
    <w:rsid w:val="003B68EC"/>
    <w:rsid w:val="003C0882"/>
    <w:rsid w:val="003C1894"/>
    <w:rsid w:val="003C22D6"/>
    <w:rsid w:val="003C2DC2"/>
    <w:rsid w:val="003C3230"/>
    <w:rsid w:val="003C3C3D"/>
    <w:rsid w:val="003C4EEE"/>
    <w:rsid w:val="003C6376"/>
    <w:rsid w:val="003C679B"/>
    <w:rsid w:val="003C6CD8"/>
    <w:rsid w:val="003C7060"/>
    <w:rsid w:val="003C70DA"/>
    <w:rsid w:val="003C7162"/>
    <w:rsid w:val="003C7226"/>
    <w:rsid w:val="003D09CA"/>
    <w:rsid w:val="003D0C30"/>
    <w:rsid w:val="003D1AB4"/>
    <w:rsid w:val="003D236A"/>
    <w:rsid w:val="003D287B"/>
    <w:rsid w:val="003D288B"/>
    <w:rsid w:val="003D2F86"/>
    <w:rsid w:val="003D32ED"/>
    <w:rsid w:val="003D46E2"/>
    <w:rsid w:val="003D479D"/>
    <w:rsid w:val="003D4844"/>
    <w:rsid w:val="003D4D4B"/>
    <w:rsid w:val="003D4D7C"/>
    <w:rsid w:val="003D5723"/>
    <w:rsid w:val="003D5C9D"/>
    <w:rsid w:val="003D61BA"/>
    <w:rsid w:val="003D6D35"/>
    <w:rsid w:val="003D7A85"/>
    <w:rsid w:val="003D7AC6"/>
    <w:rsid w:val="003E0006"/>
    <w:rsid w:val="003E0286"/>
    <w:rsid w:val="003E0380"/>
    <w:rsid w:val="003E0B6C"/>
    <w:rsid w:val="003E1002"/>
    <w:rsid w:val="003E1492"/>
    <w:rsid w:val="003E1B59"/>
    <w:rsid w:val="003E1D13"/>
    <w:rsid w:val="003E24ED"/>
    <w:rsid w:val="003E3C8E"/>
    <w:rsid w:val="003E3EF2"/>
    <w:rsid w:val="003E3F71"/>
    <w:rsid w:val="003E4284"/>
    <w:rsid w:val="003E54C2"/>
    <w:rsid w:val="003E5E10"/>
    <w:rsid w:val="003E5FD5"/>
    <w:rsid w:val="003E6017"/>
    <w:rsid w:val="003E6498"/>
    <w:rsid w:val="003E64A4"/>
    <w:rsid w:val="003E6796"/>
    <w:rsid w:val="003E6D47"/>
    <w:rsid w:val="003F06E3"/>
    <w:rsid w:val="003F0FB9"/>
    <w:rsid w:val="003F20B8"/>
    <w:rsid w:val="003F2F33"/>
    <w:rsid w:val="003F320F"/>
    <w:rsid w:val="003F35CC"/>
    <w:rsid w:val="003F3A91"/>
    <w:rsid w:val="003F3CF2"/>
    <w:rsid w:val="003F4728"/>
    <w:rsid w:val="003F4A26"/>
    <w:rsid w:val="003F4FE7"/>
    <w:rsid w:val="003F5AD4"/>
    <w:rsid w:val="003F659C"/>
    <w:rsid w:val="003F6F04"/>
    <w:rsid w:val="003F7AD4"/>
    <w:rsid w:val="00400177"/>
    <w:rsid w:val="0040023C"/>
    <w:rsid w:val="00400395"/>
    <w:rsid w:val="0040117A"/>
    <w:rsid w:val="00401F44"/>
    <w:rsid w:val="0040217E"/>
    <w:rsid w:val="00404161"/>
    <w:rsid w:val="00404A6D"/>
    <w:rsid w:val="00406556"/>
    <w:rsid w:val="00406DC8"/>
    <w:rsid w:val="00407464"/>
    <w:rsid w:val="004075DF"/>
    <w:rsid w:val="00410059"/>
    <w:rsid w:val="00410701"/>
    <w:rsid w:val="004108BF"/>
    <w:rsid w:val="00410E28"/>
    <w:rsid w:val="00411249"/>
    <w:rsid w:val="0041130D"/>
    <w:rsid w:val="00411A76"/>
    <w:rsid w:val="00411CA3"/>
    <w:rsid w:val="00412151"/>
    <w:rsid w:val="0041278A"/>
    <w:rsid w:val="00412AFD"/>
    <w:rsid w:val="00412D88"/>
    <w:rsid w:val="0041312C"/>
    <w:rsid w:val="00413406"/>
    <w:rsid w:val="00413AB1"/>
    <w:rsid w:val="00413E81"/>
    <w:rsid w:val="004146D3"/>
    <w:rsid w:val="00414A13"/>
    <w:rsid w:val="00414B60"/>
    <w:rsid w:val="00414CF2"/>
    <w:rsid w:val="0041526C"/>
    <w:rsid w:val="004157AB"/>
    <w:rsid w:val="004164A9"/>
    <w:rsid w:val="00416976"/>
    <w:rsid w:val="00417375"/>
    <w:rsid w:val="00417A55"/>
    <w:rsid w:val="00417FDE"/>
    <w:rsid w:val="00420831"/>
    <w:rsid w:val="004213F7"/>
    <w:rsid w:val="00421794"/>
    <w:rsid w:val="0042181D"/>
    <w:rsid w:val="0042184B"/>
    <w:rsid w:val="00421CD0"/>
    <w:rsid w:val="00422784"/>
    <w:rsid w:val="00422F15"/>
    <w:rsid w:val="00423FBC"/>
    <w:rsid w:val="00425ECE"/>
    <w:rsid w:val="00425F5D"/>
    <w:rsid w:val="00426277"/>
    <w:rsid w:val="00430041"/>
    <w:rsid w:val="00430227"/>
    <w:rsid w:val="00430546"/>
    <w:rsid w:val="00430EE5"/>
    <w:rsid w:val="00431A6C"/>
    <w:rsid w:val="00431EB8"/>
    <w:rsid w:val="0043213D"/>
    <w:rsid w:val="0043262D"/>
    <w:rsid w:val="004327F4"/>
    <w:rsid w:val="0043287B"/>
    <w:rsid w:val="004335A9"/>
    <w:rsid w:val="0043402B"/>
    <w:rsid w:val="00434473"/>
    <w:rsid w:val="00434485"/>
    <w:rsid w:val="00434781"/>
    <w:rsid w:val="00434DAD"/>
    <w:rsid w:val="0043517E"/>
    <w:rsid w:val="004354F6"/>
    <w:rsid w:val="004357BC"/>
    <w:rsid w:val="00435B4A"/>
    <w:rsid w:val="004362C9"/>
    <w:rsid w:val="00436E5A"/>
    <w:rsid w:val="00436E9F"/>
    <w:rsid w:val="0043755E"/>
    <w:rsid w:val="00440439"/>
    <w:rsid w:val="004408F1"/>
    <w:rsid w:val="00440A1E"/>
    <w:rsid w:val="00441025"/>
    <w:rsid w:val="00441170"/>
    <w:rsid w:val="004416CB"/>
    <w:rsid w:val="0044195D"/>
    <w:rsid w:val="00442086"/>
    <w:rsid w:val="004425C6"/>
    <w:rsid w:val="004426AC"/>
    <w:rsid w:val="0044313B"/>
    <w:rsid w:val="00443460"/>
    <w:rsid w:val="004434E2"/>
    <w:rsid w:val="00443A88"/>
    <w:rsid w:val="00443EBF"/>
    <w:rsid w:val="00444756"/>
    <w:rsid w:val="00444BA5"/>
    <w:rsid w:val="00446A30"/>
    <w:rsid w:val="00446A9D"/>
    <w:rsid w:val="00446D48"/>
    <w:rsid w:val="0044729F"/>
    <w:rsid w:val="004474A3"/>
    <w:rsid w:val="00447863"/>
    <w:rsid w:val="00447D19"/>
    <w:rsid w:val="004510BF"/>
    <w:rsid w:val="00452079"/>
    <w:rsid w:val="004521BC"/>
    <w:rsid w:val="00452628"/>
    <w:rsid w:val="004530A9"/>
    <w:rsid w:val="00453E17"/>
    <w:rsid w:val="004547AA"/>
    <w:rsid w:val="00454F1C"/>
    <w:rsid w:val="00456685"/>
    <w:rsid w:val="00456749"/>
    <w:rsid w:val="00456C90"/>
    <w:rsid w:val="00457213"/>
    <w:rsid w:val="004577B6"/>
    <w:rsid w:val="00460742"/>
    <w:rsid w:val="004616D9"/>
    <w:rsid w:val="0046213B"/>
    <w:rsid w:val="004625B8"/>
    <w:rsid w:val="00462DDD"/>
    <w:rsid w:val="00462E2B"/>
    <w:rsid w:val="0046366F"/>
    <w:rsid w:val="0046377B"/>
    <w:rsid w:val="00463FAB"/>
    <w:rsid w:val="00465105"/>
    <w:rsid w:val="00465E4E"/>
    <w:rsid w:val="0046605C"/>
    <w:rsid w:val="004662A6"/>
    <w:rsid w:val="00466B2E"/>
    <w:rsid w:val="0046745D"/>
    <w:rsid w:val="0046772C"/>
    <w:rsid w:val="004707F5"/>
    <w:rsid w:val="00471A82"/>
    <w:rsid w:val="00472B6E"/>
    <w:rsid w:val="00472CF1"/>
    <w:rsid w:val="00472FB2"/>
    <w:rsid w:val="00473165"/>
    <w:rsid w:val="00473541"/>
    <w:rsid w:val="004748DE"/>
    <w:rsid w:val="0047502D"/>
    <w:rsid w:val="004754AC"/>
    <w:rsid w:val="00475787"/>
    <w:rsid w:val="00476E95"/>
    <w:rsid w:val="00480885"/>
    <w:rsid w:val="00480B69"/>
    <w:rsid w:val="00481B2F"/>
    <w:rsid w:val="00481F36"/>
    <w:rsid w:val="004822D8"/>
    <w:rsid w:val="00482369"/>
    <w:rsid w:val="00482E69"/>
    <w:rsid w:val="00483097"/>
    <w:rsid w:val="004831F1"/>
    <w:rsid w:val="00483C5A"/>
    <w:rsid w:val="00484863"/>
    <w:rsid w:val="004849F1"/>
    <w:rsid w:val="004857D8"/>
    <w:rsid w:val="00485A63"/>
    <w:rsid w:val="004863E8"/>
    <w:rsid w:val="004866F9"/>
    <w:rsid w:val="004903BD"/>
    <w:rsid w:val="004903E1"/>
    <w:rsid w:val="004910C7"/>
    <w:rsid w:val="00492172"/>
    <w:rsid w:val="004931F3"/>
    <w:rsid w:val="0049447D"/>
    <w:rsid w:val="00494CB4"/>
    <w:rsid w:val="00494E8F"/>
    <w:rsid w:val="004954B2"/>
    <w:rsid w:val="004966D2"/>
    <w:rsid w:val="00496C9C"/>
    <w:rsid w:val="0049705D"/>
    <w:rsid w:val="0049782A"/>
    <w:rsid w:val="00497BCF"/>
    <w:rsid w:val="00497CF9"/>
    <w:rsid w:val="004A0723"/>
    <w:rsid w:val="004A269C"/>
    <w:rsid w:val="004A2D96"/>
    <w:rsid w:val="004A30FB"/>
    <w:rsid w:val="004A3BE8"/>
    <w:rsid w:val="004A4A1C"/>
    <w:rsid w:val="004A4A6B"/>
    <w:rsid w:val="004A6167"/>
    <w:rsid w:val="004A6235"/>
    <w:rsid w:val="004A6494"/>
    <w:rsid w:val="004A6E2A"/>
    <w:rsid w:val="004A786E"/>
    <w:rsid w:val="004B1825"/>
    <w:rsid w:val="004B1B7D"/>
    <w:rsid w:val="004B206D"/>
    <w:rsid w:val="004B2713"/>
    <w:rsid w:val="004B2ED3"/>
    <w:rsid w:val="004B3AFB"/>
    <w:rsid w:val="004B3B33"/>
    <w:rsid w:val="004B48B6"/>
    <w:rsid w:val="004B540C"/>
    <w:rsid w:val="004B5C8B"/>
    <w:rsid w:val="004C0B90"/>
    <w:rsid w:val="004C0C11"/>
    <w:rsid w:val="004C1206"/>
    <w:rsid w:val="004C152E"/>
    <w:rsid w:val="004C22AE"/>
    <w:rsid w:val="004C30BF"/>
    <w:rsid w:val="004C34CC"/>
    <w:rsid w:val="004C4119"/>
    <w:rsid w:val="004C5BA5"/>
    <w:rsid w:val="004C5E9E"/>
    <w:rsid w:val="004C7184"/>
    <w:rsid w:val="004C72A3"/>
    <w:rsid w:val="004C7820"/>
    <w:rsid w:val="004D09AA"/>
    <w:rsid w:val="004D0ED5"/>
    <w:rsid w:val="004D163A"/>
    <w:rsid w:val="004D1D48"/>
    <w:rsid w:val="004D2B06"/>
    <w:rsid w:val="004D2D81"/>
    <w:rsid w:val="004D335B"/>
    <w:rsid w:val="004D3883"/>
    <w:rsid w:val="004D4888"/>
    <w:rsid w:val="004D52D0"/>
    <w:rsid w:val="004D5B4F"/>
    <w:rsid w:val="004D5E04"/>
    <w:rsid w:val="004D645D"/>
    <w:rsid w:val="004D6547"/>
    <w:rsid w:val="004D6FF4"/>
    <w:rsid w:val="004D75DC"/>
    <w:rsid w:val="004D799D"/>
    <w:rsid w:val="004E14DD"/>
    <w:rsid w:val="004E1829"/>
    <w:rsid w:val="004E18F4"/>
    <w:rsid w:val="004E2916"/>
    <w:rsid w:val="004E2B7C"/>
    <w:rsid w:val="004E3434"/>
    <w:rsid w:val="004E3589"/>
    <w:rsid w:val="004E362B"/>
    <w:rsid w:val="004E38B3"/>
    <w:rsid w:val="004E3B0D"/>
    <w:rsid w:val="004E4439"/>
    <w:rsid w:val="004E6297"/>
    <w:rsid w:val="004F1074"/>
    <w:rsid w:val="004F10E4"/>
    <w:rsid w:val="004F1469"/>
    <w:rsid w:val="004F32B4"/>
    <w:rsid w:val="004F3567"/>
    <w:rsid w:val="004F3AF8"/>
    <w:rsid w:val="004F3B1D"/>
    <w:rsid w:val="004F405E"/>
    <w:rsid w:val="004F41C2"/>
    <w:rsid w:val="004F43A6"/>
    <w:rsid w:val="004F4EBB"/>
    <w:rsid w:val="004F500B"/>
    <w:rsid w:val="004F5EC4"/>
    <w:rsid w:val="004F671F"/>
    <w:rsid w:val="004F757C"/>
    <w:rsid w:val="005006C0"/>
    <w:rsid w:val="00500FDB"/>
    <w:rsid w:val="0050141E"/>
    <w:rsid w:val="00501628"/>
    <w:rsid w:val="005018FE"/>
    <w:rsid w:val="00501F6A"/>
    <w:rsid w:val="00502EF0"/>
    <w:rsid w:val="00502FA5"/>
    <w:rsid w:val="00504608"/>
    <w:rsid w:val="00505694"/>
    <w:rsid w:val="005063B9"/>
    <w:rsid w:val="00506DE2"/>
    <w:rsid w:val="00506FA9"/>
    <w:rsid w:val="00507083"/>
    <w:rsid w:val="00510FB1"/>
    <w:rsid w:val="00511B9E"/>
    <w:rsid w:val="00511D61"/>
    <w:rsid w:val="005123CC"/>
    <w:rsid w:val="00512601"/>
    <w:rsid w:val="0051409D"/>
    <w:rsid w:val="00514B33"/>
    <w:rsid w:val="00514F98"/>
    <w:rsid w:val="00515100"/>
    <w:rsid w:val="00515AB3"/>
    <w:rsid w:val="00515AD1"/>
    <w:rsid w:val="00515BD2"/>
    <w:rsid w:val="005160EF"/>
    <w:rsid w:val="0051632F"/>
    <w:rsid w:val="00516CED"/>
    <w:rsid w:val="00516E6D"/>
    <w:rsid w:val="0051713A"/>
    <w:rsid w:val="0051749A"/>
    <w:rsid w:val="005174AA"/>
    <w:rsid w:val="00517CD5"/>
    <w:rsid w:val="00517F7C"/>
    <w:rsid w:val="005201FD"/>
    <w:rsid w:val="0052043E"/>
    <w:rsid w:val="0052127F"/>
    <w:rsid w:val="00521497"/>
    <w:rsid w:val="005217D6"/>
    <w:rsid w:val="00523076"/>
    <w:rsid w:val="005232C1"/>
    <w:rsid w:val="00523BA7"/>
    <w:rsid w:val="00523F93"/>
    <w:rsid w:val="005241E6"/>
    <w:rsid w:val="00524A75"/>
    <w:rsid w:val="00524F04"/>
    <w:rsid w:val="00524F67"/>
    <w:rsid w:val="0052506E"/>
    <w:rsid w:val="00525691"/>
    <w:rsid w:val="00525C43"/>
    <w:rsid w:val="00526C8B"/>
    <w:rsid w:val="00527C09"/>
    <w:rsid w:val="00527ED6"/>
    <w:rsid w:val="005309A8"/>
    <w:rsid w:val="0053173D"/>
    <w:rsid w:val="00531989"/>
    <w:rsid w:val="0053221B"/>
    <w:rsid w:val="00532B95"/>
    <w:rsid w:val="00532C80"/>
    <w:rsid w:val="00533F87"/>
    <w:rsid w:val="005345FF"/>
    <w:rsid w:val="0053574E"/>
    <w:rsid w:val="005360A5"/>
    <w:rsid w:val="0053744A"/>
    <w:rsid w:val="005374F7"/>
    <w:rsid w:val="0053753B"/>
    <w:rsid w:val="005401AF"/>
    <w:rsid w:val="005408F0"/>
    <w:rsid w:val="00540D21"/>
    <w:rsid w:val="00540E8F"/>
    <w:rsid w:val="0054129A"/>
    <w:rsid w:val="00541D57"/>
    <w:rsid w:val="00541FF1"/>
    <w:rsid w:val="00542038"/>
    <w:rsid w:val="0054215B"/>
    <w:rsid w:val="00542F46"/>
    <w:rsid w:val="00543A6E"/>
    <w:rsid w:val="0054482D"/>
    <w:rsid w:val="0054635A"/>
    <w:rsid w:val="005471D0"/>
    <w:rsid w:val="00547679"/>
    <w:rsid w:val="005477A5"/>
    <w:rsid w:val="005500C7"/>
    <w:rsid w:val="0055055A"/>
    <w:rsid w:val="005512EB"/>
    <w:rsid w:val="0055187F"/>
    <w:rsid w:val="00552CF8"/>
    <w:rsid w:val="00552F66"/>
    <w:rsid w:val="0055306A"/>
    <w:rsid w:val="0055385C"/>
    <w:rsid w:val="005543D1"/>
    <w:rsid w:val="005548E4"/>
    <w:rsid w:val="00554E4D"/>
    <w:rsid w:val="00555EBF"/>
    <w:rsid w:val="00556851"/>
    <w:rsid w:val="00556C71"/>
    <w:rsid w:val="00556C75"/>
    <w:rsid w:val="00557A1D"/>
    <w:rsid w:val="005600FB"/>
    <w:rsid w:val="00560385"/>
    <w:rsid w:val="00560A2A"/>
    <w:rsid w:val="00561009"/>
    <w:rsid w:val="0056157B"/>
    <w:rsid w:val="00561B3F"/>
    <w:rsid w:val="005620B9"/>
    <w:rsid w:val="0056276C"/>
    <w:rsid w:val="00562A65"/>
    <w:rsid w:val="00562DD5"/>
    <w:rsid w:val="005640BD"/>
    <w:rsid w:val="0056483C"/>
    <w:rsid w:val="00565233"/>
    <w:rsid w:val="0056532C"/>
    <w:rsid w:val="00566F72"/>
    <w:rsid w:val="00567D67"/>
    <w:rsid w:val="00567E4A"/>
    <w:rsid w:val="00567E5D"/>
    <w:rsid w:val="005701C3"/>
    <w:rsid w:val="005706A3"/>
    <w:rsid w:val="00571913"/>
    <w:rsid w:val="00571C68"/>
    <w:rsid w:val="00573453"/>
    <w:rsid w:val="00574DCC"/>
    <w:rsid w:val="005760E9"/>
    <w:rsid w:val="0057643E"/>
    <w:rsid w:val="00576548"/>
    <w:rsid w:val="00580013"/>
    <w:rsid w:val="00581714"/>
    <w:rsid w:val="0058214C"/>
    <w:rsid w:val="0058264F"/>
    <w:rsid w:val="005833FF"/>
    <w:rsid w:val="00583493"/>
    <w:rsid w:val="00583C33"/>
    <w:rsid w:val="00583D82"/>
    <w:rsid w:val="00584A04"/>
    <w:rsid w:val="00584D28"/>
    <w:rsid w:val="0058561A"/>
    <w:rsid w:val="0059088A"/>
    <w:rsid w:val="00590FA5"/>
    <w:rsid w:val="0059197D"/>
    <w:rsid w:val="005919CB"/>
    <w:rsid w:val="00591F12"/>
    <w:rsid w:val="00592AF0"/>
    <w:rsid w:val="00592CFA"/>
    <w:rsid w:val="00594393"/>
    <w:rsid w:val="0059506F"/>
    <w:rsid w:val="005950C5"/>
    <w:rsid w:val="0059587A"/>
    <w:rsid w:val="00595BE0"/>
    <w:rsid w:val="0059608B"/>
    <w:rsid w:val="005964AB"/>
    <w:rsid w:val="0059703C"/>
    <w:rsid w:val="005A03B5"/>
    <w:rsid w:val="005A0572"/>
    <w:rsid w:val="005A0CE7"/>
    <w:rsid w:val="005A10CE"/>
    <w:rsid w:val="005A1933"/>
    <w:rsid w:val="005A1962"/>
    <w:rsid w:val="005A1AED"/>
    <w:rsid w:val="005A24E9"/>
    <w:rsid w:val="005A2629"/>
    <w:rsid w:val="005A436D"/>
    <w:rsid w:val="005A44BD"/>
    <w:rsid w:val="005A62B4"/>
    <w:rsid w:val="005A6568"/>
    <w:rsid w:val="005A67FA"/>
    <w:rsid w:val="005A6DB4"/>
    <w:rsid w:val="005B02B9"/>
    <w:rsid w:val="005B0324"/>
    <w:rsid w:val="005B0491"/>
    <w:rsid w:val="005B05AC"/>
    <w:rsid w:val="005B05B2"/>
    <w:rsid w:val="005B06FA"/>
    <w:rsid w:val="005B0A5F"/>
    <w:rsid w:val="005B0CE7"/>
    <w:rsid w:val="005B0DE5"/>
    <w:rsid w:val="005B13DA"/>
    <w:rsid w:val="005B2304"/>
    <w:rsid w:val="005B2352"/>
    <w:rsid w:val="005B2B47"/>
    <w:rsid w:val="005B2C8A"/>
    <w:rsid w:val="005B3157"/>
    <w:rsid w:val="005B3512"/>
    <w:rsid w:val="005B3B3B"/>
    <w:rsid w:val="005B4B1D"/>
    <w:rsid w:val="005B55AD"/>
    <w:rsid w:val="005B590F"/>
    <w:rsid w:val="005B5A22"/>
    <w:rsid w:val="005B5B03"/>
    <w:rsid w:val="005B7301"/>
    <w:rsid w:val="005B788B"/>
    <w:rsid w:val="005B7B87"/>
    <w:rsid w:val="005C1163"/>
    <w:rsid w:val="005C29A3"/>
    <w:rsid w:val="005C48F9"/>
    <w:rsid w:val="005C5148"/>
    <w:rsid w:val="005C57EA"/>
    <w:rsid w:val="005C617C"/>
    <w:rsid w:val="005C6A0A"/>
    <w:rsid w:val="005C743D"/>
    <w:rsid w:val="005C7703"/>
    <w:rsid w:val="005D0040"/>
    <w:rsid w:val="005D03EA"/>
    <w:rsid w:val="005D07C3"/>
    <w:rsid w:val="005D1510"/>
    <w:rsid w:val="005D1660"/>
    <w:rsid w:val="005D17D1"/>
    <w:rsid w:val="005D2518"/>
    <w:rsid w:val="005D2FC6"/>
    <w:rsid w:val="005D3480"/>
    <w:rsid w:val="005D5BAA"/>
    <w:rsid w:val="005D6061"/>
    <w:rsid w:val="005D6B8D"/>
    <w:rsid w:val="005D6BCC"/>
    <w:rsid w:val="005D6C09"/>
    <w:rsid w:val="005D78D1"/>
    <w:rsid w:val="005D7B3E"/>
    <w:rsid w:val="005E01B9"/>
    <w:rsid w:val="005E02E4"/>
    <w:rsid w:val="005E2F35"/>
    <w:rsid w:val="005E354D"/>
    <w:rsid w:val="005E3DB9"/>
    <w:rsid w:val="005E451A"/>
    <w:rsid w:val="005E48DA"/>
    <w:rsid w:val="005E4F56"/>
    <w:rsid w:val="005E5434"/>
    <w:rsid w:val="005E5560"/>
    <w:rsid w:val="005E6B1D"/>
    <w:rsid w:val="005E6CD9"/>
    <w:rsid w:val="005E7DCB"/>
    <w:rsid w:val="005E7FE4"/>
    <w:rsid w:val="005F1628"/>
    <w:rsid w:val="005F1BBF"/>
    <w:rsid w:val="005F1EC5"/>
    <w:rsid w:val="005F2375"/>
    <w:rsid w:val="005F2656"/>
    <w:rsid w:val="005F26FA"/>
    <w:rsid w:val="005F27E1"/>
    <w:rsid w:val="005F2C5C"/>
    <w:rsid w:val="005F3D9B"/>
    <w:rsid w:val="005F4012"/>
    <w:rsid w:val="005F4FCA"/>
    <w:rsid w:val="005F55A7"/>
    <w:rsid w:val="005F6915"/>
    <w:rsid w:val="005F6B83"/>
    <w:rsid w:val="005F6F3F"/>
    <w:rsid w:val="005F7B25"/>
    <w:rsid w:val="005F7E5C"/>
    <w:rsid w:val="0060002E"/>
    <w:rsid w:val="00600B22"/>
    <w:rsid w:val="00600BED"/>
    <w:rsid w:val="0060100E"/>
    <w:rsid w:val="00601DE1"/>
    <w:rsid w:val="00602044"/>
    <w:rsid w:val="006020D3"/>
    <w:rsid w:val="00603B9C"/>
    <w:rsid w:val="00603DF9"/>
    <w:rsid w:val="006062D0"/>
    <w:rsid w:val="0060638C"/>
    <w:rsid w:val="006069F3"/>
    <w:rsid w:val="006078E9"/>
    <w:rsid w:val="00607B6C"/>
    <w:rsid w:val="00607D62"/>
    <w:rsid w:val="00610135"/>
    <w:rsid w:val="0061020E"/>
    <w:rsid w:val="00611839"/>
    <w:rsid w:val="00611EDA"/>
    <w:rsid w:val="0061331B"/>
    <w:rsid w:val="00613FAB"/>
    <w:rsid w:val="00614249"/>
    <w:rsid w:val="00615589"/>
    <w:rsid w:val="00616328"/>
    <w:rsid w:val="00616A73"/>
    <w:rsid w:val="00616AF4"/>
    <w:rsid w:val="00616E96"/>
    <w:rsid w:val="00616FB4"/>
    <w:rsid w:val="00617AC8"/>
    <w:rsid w:val="006200E6"/>
    <w:rsid w:val="00620ADA"/>
    <w:rsid w:val="00622531"/>
    <w:rsid w:val="00622915"/>
    <w:rsid w:val="0062403E"/>
    <w:rsid w:val="00624FD9"/>
    <w:rsid w:val="00626A1C"/>
    <w:rsid w:val="0062749A"/>
    <w:rsid w:val="00627573"/>
    <w:rsid w:val="006275A8"/>
    <w:rsid w:val="00630BF6"/>
    <w:rsid w:val="00630D65"/>
    <w:rsid w:val="006312CB"/>
    <w:rsid w:val="006326F7"/>
    <w:rsid w:val="006338D9"/>
    <w:rsid w:val="00633EEF"/>
    <w:rsid w:val="00634DB7"/>
    <w:rsid w:val="006354F8"/>
    <w:rsid w:val="00635933"/>
    <w:rsid w:val="00635E98"/>
    <w:rsid w:val="00636665"/>
    <w:rsid w:val="0063719F"/>
    <w:rsid w:val="00637729"/>
    <w:rsid w:val="00637F73"/>
    <w:rsid w:val="00640663"/>
    <w:rsid w:val="006407C5"/>
    <w:rsid w:val="00640C04"/>
    <w:rsid w:val="00640CCE"/>
    <w:rsid w:val="00640FE4"/>
    <w:rsid w:val="0064103C"/>
    <w:rsid w:val="0064263B"/>
    <w:rsid w:val="00642B47"/>
    <w:rsid w:val="00642C23"/>
    <w:rsid w:val="00642CDE"/>
    <w:rsid w:val="00643036"/>
    <w:rsid w:val="00643217"/>
    <w:rsid w:val="00643871"/>
    <w:rsid w:val="00644C03"/>
    <w:rsid w:val="00645619"/>
    <w:rsid w:val="00645ABE"/>
    <w:rsid w:val="0064616A"/>
    <w:rsid w:val="00646A6C"/>
    <w:rsid w:val="00647ACE"/>
    <w:rsid w:val="00650F97"/>
    <w:rsid w:val="0065135A"/>
    <w:rsid w:val="0065162A"/>
    <w:rsid w:val="00651D8E"/>
    <w:rsid w:val="00651EF4"/>
    <w:rsid w:val="00652046"/>
    <w:rsid w:val="00652723"/>
    <w:rsid w:val="00652B7C"/>
    <w:rsid w:val="00652FE9"/>
    <w:rsid w:val="00653120"/>
    <w:rsid w:val="006535FC"/>
    <w:rsid w:val="00653962"/>
    <w:rsid w:val="00653A7B"/>
    <w:rsid w:val="00654C69"/>
    <w:rsid w:val="00655E04"/>
    <w:rsid w:val="006565BD"/>
    <w:rsid w:val="00657629"/>
    <w:rsid w:val="006576EB"/>
    <w:rsid w:val="0066087B"/>
    <w:rsid w:val="006618FC"/>
    <w:rsid w:val="00661B40"/>
    <w:rsid w:val="00661F18"/>
    <w:rsid w:val="00662565"/>
    <w:rsid w:val="00663D19"/>
    <w:rsid w:val="0066402E"/>
    <w:rsid w:val="0066493A"/>
    <w:rsid w:val="006652E3"/>
    <w:rsid w:val="0066653B"/>
    <w:rsid w:val="00666D61"/>
    <w:rsid w:val="00666EFD"/>
    <w:rsid w:val="00667459"/>
    <w:rsid w:val="00667511"/>
    <w:rsid w:val="006702C8"/>
    <w:rsid w:val="00671250"/>
    <w:rsid w:val="006714F1"/>
    <w:rsid w:val="00671A53"/>
    <w:rsid w:val="006723B9"/>
    <w:rsid w:val="00673384"/>
    <w:rsid w:val="0067379E"/>
    <w:rsid w:val="00673A2E"/>
    <w:rsid w:val="00673F43"/>
    <w:rsid w:val="00674782"/>
    <w:rsid w:val="00675121"/>
    <w:rsid w:val="006752D7"/>
    <w:rsid w:val="006763AD"/>
    <w:rsid w:val="006766E6"/>
    <w:rsid w:val="00676F38"/>
    <w:rsid w:val="00677AF4"/>
    <w:rsid w:val="00677D08"/>
    <w:rsid w:val="006801AC"/>
    <w:rsid w:val="00680D50"/>
    <w:rsid w:val="00680E1E"/>
    <w:rsid w:val="006819BD"/>
    <w:rsid w:val="00683758"/>
    <w:rsid w:val="00683A81"/>
    <w:rsid w:val="00685059"/>
    <w:rsid w:val="006856BE"/>
    <w:rsid w:val="0068582B"/>
    <w:rsid w:val="00685F77"/>
    <w:rsid w:val="00686663"/>
    <w:rsid w:val="006871BD"/>
    <w:rsid w:val="0068729E"/>
    <w:rsid w:val="00687F09"/>
    <w:rsid w:val="0069104B"/>
    <w:rsid w:val="0069168C"/>
    <w:rsid w:val="00691F44"/>
    <w:rsid w:val="00692180"/>
    <w:rsid w:val="00693022"/>
    <w:rsid w:val="006936E6"/>
    <w:rsid w:val="006940EE"/>
    <w:rsid w:val="0069435E"/>
    <w:rsid w:val="006944AE"/>
    <w:rsid w:val="006946F5"/>
    <w:rsid w:val="00694890"/>
    <w:rsid w:val="00694C3F"/>
    <w:rsid w:val="00694D35"/>
    <w:rsid w:val="00694D45"/>
    <w:rsid w:val="00695B99"/>
    <w:rsid w:val="00695E46"/>
    <w:rsid w:val="00696962"/>
    <w:rsid w:val="00697101"/>
    <w:rsid w:val="006A05B2"/>
    <w:rsid w:val="006A2079"/>
    <w:rsid w:val="006A30C3"/>
    <w:rsid w:val="006A3701"/>
    <w:rsid w:val="006A44CD"/>
    <w:rsid w:val="006A5627"/>
    <w:rsid w:val="006A7946"/>
    <w:rsid w:val="006A7C5D"/>
    <w:rsid w:val="006B09C7"/>
    <w:rsid w:val="006B1325"/>
    <w:rsid w:val="006B1B8B"/>
    <w:rsid w:val="006B38C4"/>
    <w:rsid w:val="006B4447"/>
    <w:rsid w:val="006B4A34"/>
    <w:rsid w:val="006B522F"/>
    <w:rsid w:val="006B753E"/>
    <w:rsid w:val="006C0AF5"/>
    <w:rsid w:val="006C1867"/>
    <w:rsid w:val="006C2F1A"/>
    <w:rsid w:val="006C32CA"/>
    <w:rsid w:val="006C3EA2"/>
    <w:rsid w:val="006C48F7"/>
    <w:rsid w:val="006C56C2"/>
    <w:rsid w:val="006C5CB4"/>
    <w:rsid w:val="006C6052"/>
    <w:rsid w:val="006C6509"/>
    <w:rsid w:val="006C70E8"/>
    <w:rsid w:val="006C74C0"/>
    <w:rsid w:val="006C75E0"/>
    <w:rsid w:val="006C7B1E"/>
    <w:rsid w:val="006D0D1E"/>
    <w:rsid w:val="006D2655"/>
    <w:rsid w:val="006D2A47"/>
    <w:rsid w:val="006D3670"/>
    <w:rsid w:val="006D4808"/>
    <w:rsid w:val="006D4D05"/>
    <w:rsid w:val="006D5044"/>
    <w:rsid w:val="006D51F1"/>
    <w:rsid w:val="006D52EB"/>
    <w:rsid w:val="006D55E1"/>
    <w:rsid w:val="006D5838"/>
    <w:rsid w:val="006D6248"/>
    <w:rsid w:val="006D6296"/>
    <w:rsid w:val="006D65D0"/>
    <w:rsid w:val="006D6C57"/>
    <w:rsid w:val="006D6EE2"/>
    <w:rsid w:val="006E1C55"/>
    <w:rsid w:val="006E24E6"/>
    <w:rsid w:val="006E2AAA"/>
    <w:rsid w:val="006E3126"/>
    <w:rsid w:val="006E32EC"/>
    <w:rsid w:val="006E33B8"/>
    <w:rsid w:val="006E406D"/>
    <w:rsid w:val="006E4102"/>
    <w:rsid w:val="006E41A3"/>
    <w:rsid w:val="006E51CE"/>
    <w:rsid w:val="006E604A"/>
    <w:rsid w:val="006E6C7F"/>
    <w:rsid w:val="006E7ED1"/>
    <w:rsid w:val="006F0BB5"/>
    <w:rsid w:val="006F16B3"/>
    <w:rsid w:val="006F19E1"/>
    <w:rsid w:val="006F1B33"/>
    <w:rsid w:val="006F2078"/>
    <w:rsid w:val="006F25A4"/>
    <w:rsid w:val="006F3542"/>
    <w:rsid w:val="006F3BA9"/>
    <w:rsid w:val="006F3BFB"/>
    <w:rsid w:val="006F3C01"/>
    <w:rsid w:val="006F4644"/>
    <w:rsid w:val="006F4971"/>
    <w:rsid w:val="006F5581"/>
    <w:rsid w:val="006F5D1A"/>
    <w:rsid w:val="006F6FD4"/>
    <w:rsid w:val="006F7438"/>
    <w:rsid w:val="006F75F8"/>
    <w:rsid w:val="006F796C"/>
    <w:rsid w:val="007002A3"/>
    <w:rsid w:val="007011F8"/>
    <w:rsid w:val="00702789"/>
    <w:rsid w:val="00703E7C"/>
    <w:rsid w:val="00703F6F"/>
    <w:rsid w:val="007047F7"/>
    <w:rsid w:val="00704B4F"/>
    <w:rsid w:val="00704C85"/>
    <w:rsid w:val="00704EB3"/>
    <w:rsid w:val="007053D5"/>
    <w:rsid w:val="00705C07"/>
    <w:rsid w:val="00705EB0"/>
    <w:rsid w:val="007070FE"/>
    <w:rsid w:val="00711C78"/>
    <w:rsid w:val="00712684"/>
    <w:rsid w:val="00712F8E"/>
    <w:rsid w:val="00714499"/>
    <w:rsid w:val="007145AE"/>
    <w:rsid w:val="007151E2"/>
    <w:rsid w:val="00716132"/>
    <w:rsid w:val="00720135"/>
    <w:rsid w:val="007201D9"/>
    <w:rsid w:val="00720BE1"/>
    <w:rsid w:val="00720DC7"/>
    <w:rsid w:val="00721B17"/>
    <w:rsid w:val="00722755"/>
    <w:rsid w:val="00723305"/>
    <w:rsid w:val="00723442"/>
    <w:rsid w:val="007238C0"/>
    <w:rsid w:val="00723BB2"/>
    <w:rsid w:val="00723DB7"/>
    <w:rsid w:val="00724139"/>
    <w:rsid w:val="0072429E"/>
    <w:rsid w:val="00724F0D"/>
    <w:rsid w:val="00725E66"/>
    <w:rsid w:val="0072614D"/>
    <w:rsid w:val="007264B3"/>
    <w:rsid w:val="00726BEB"/>
    <w:rsid w:val="00726C6D"/>
    <w:rsid w:val="00727BDB"/>
    <w:rsid w:val="00730414"/>
    <w:rsid w:val="0073085D"/>
    <w:rsid w:val="00730E9C"/>
    <w:rsid w:val="0073129D"/>
    <w:rsid w:val="00732E17"/>
    <w:rsid w:val="00732F68"/>
    <w:rsid w:val="0073388F"/>
    <w:rsid w:val="00733E0B"/>
    <w:rsid w:val="00734852"/>
    <w:rsid w:val="00735427"/>
    <w:rsid w:val="00735554"/>
    <w:rsid w:val="0073579D"/>
    <w:rsid w:val="00735FE9"/>
    <w:rsid w:val="007373B1"/>
    <w:rsid w:val="00737A30"/>
    <w:rsid w:val="00737FAA"/>
    <w:rsid w:val="007419A0"/>
    <w:rsid w:val="00742219"/>
    <w:rsid w:val="00742B4A"/>
    <w:rsid w:val="0074415A"/>
    <w:rsid w:val="00744CF9"/>
    <w:rsid w:val="00744F4F"/>
    <w:rsid w:val="00745187"/>
    <w:rsid w:val="007454D5"/>
    <w:rsid w:val="007456DB"/>
    <w:rsid w:val="00745A9D"/>
    <w:rsid w:val="00745D01"/>
    <w:rsid w:val="00745DF2"/>
    <w:rsid w:val="00746421"/>
    <w:rsid w:val="00746E5D"/>
    <w:rsid w:val="0074720B"/>
    <w:rsid w:val="007478FF"/>
    <w:rsid w:val="00747A61"/>
    <w:rsid w:val="00747BC7"/>
    <w:rsid w:val="00750119"/>
    <w:rsid w:val="00750ABF"/>
    <w:rsid w:val="0075150A"/>
    <w:rsid w:val="007525BB"/>
    <w:rsid w:val="00752633"/>
    <w:rsid w:val="00752AFF"/>
    <w:rsid w:val="00752C77"/>
    <w:rsid w:val="00753389"/>
    <w:rsid w:val="007534B6"/>
    <w:rsid w:val="00753E3D"/>
    <w:rsid w:val="0075404A"/>
    <w:rsid w:val="00754493"/>
    <w:rsid w:val="007545A5"/>
    <w:rsid w:val="00755632"/>
    <w:rsid w:val="0075573D"/>
    <w:rsid w:val="0075712C"/>
    <w:rsid w:val="007577CB"/>
    <w:rsid w:val="00757B21"/>
    <w:rsid w:val="007600C7"/>
    <w:rsid w:val="007603D1"/>
    <w:rsid w:val="00760815"/>
    <w:rsid w:val="00760E70"/>
    <w:rsid w:val="007610FB"/>
    <w:rsid w:val="00761174"/>
    <w:rsid w:val="00761215"/>
    <w:rsid w:val="0076271C"/>
    <w:rsid w:val="00762A6D"/>
    <w:rsid w:val="00764711"/>
    <w:rsid w:val="00765D77"/>
    <w:rsid w:val="007666F6"/>
    <w:rsid w:val="007671E8"/>
    <w:rsid w:val="00767583"/>
    <w:rsid w:val="00767B3B"/>
    <w:rsid w:val="00767C8A"/>
    <w:rsid w:val="00767F3D"/>
    <w:rsid w:val="00770479"/>
    <w:rsid w:val="00770BD7"/>
    <w:rsid w:val="0077100E"/>
    <w:rsid w:val="007710A2"/>
    <w:rsid w:val="007715CD"/>
    <w:rsid w:val="00771EAE"/>
    <w:rsid w:val="007722B1"/>
    <w:rsid w:val="007727B0"/>
    <w:rsid w:val="00773F67"/>
    <w:rsid w:val="007751C7"/>
    <w:rsid w:val="007764D7"/>
    <w:rsid w:val="00776DD9"/>
    <w:rsid w:val="0078028B"/>
    <w:rsid w:val="00780B3E"/>
    <w:rsid w:val="00780FA4"/>
    <w:rsid w:val="00781244"/>
    <w:rsid w:val="00781256"/>
    <w:rsid w:val="00781A23"/>
    <w:rsid w:val="00781E0D"/>
    <w:rsid w:val="0078379B"/>
    <w:rsid w:val="0078381A"/>
    <w:rsid w:val="00783DB1"/>
    <w:rsid w:val="00783F89"/>
    <w:rsid w:val="00784619"/>
    <w:rsid w:val="007847AC"/>
    <w:rsid w:val="007861F7"/>
    <w:rsid w:val="00786AFA"/>
    <w:rsid w:val="007875DF"/>
    <w:rsid w:val="00787B38"/>
    <w:rsid w:val="0079078F"/>
    <w:rsid w:val="00790F48"/>
    <w:rsid w:val="00791BFF"/>
    <w:rsid w:val="00792161"/>
    <w:rsid w:val="00792D1E"/>
    <w:rsid w:val="00793362"/>
    <w:rsid w:val="00793404"/>
    <w:rsid w:val="007948A0"/>
    <w:rsid w:val="00794913"/>
    <w:rsid w:val="007950EA"/>
    <w:rsid w:val="007954EF"/>
    <w:rsid w:val="00795B11"/>
    <w:rsid w:val="007964DA"/>
    <w:rsid w:val="00796C8F"/>
    <w:rsid w:val="00796CD3"/>
    <w:rsid w:val="00797026"/>
    <w:rsid w:val="007A083D"/>
    <w:rsid w:val="007A0937"/>
    <w:rsid w:val="007A0C39"/>
    <w:rsid w:val="007A144D"/>
    <w:rsid w:val="007A1A20"/>
    <w:rsid w:val="007A245E"/>
    <w:rsid w:val="007A2491"/>
    <w:rsid w:val="007A28B4"/>
    <w:rsid w:val="007A2FEC"/>
    <w:rsid w:val="007A4C90"/>
    <w:rsid w:val="007A5E2A"/>
    <w:rsid w:val="007A61BE"/>
    <w:rsid w:val="007A76E3"/>
    <w:rsid w:val="007A7A38"/>
    <w:rsid w:val="007A7D94"/>
    <w:rsid w:val="007B0692"/>
    <w:rsid w:val="007B0A44"/>
    <w:rsid w:val="007B0B55"/>
    <w:rsid w:val="007B22BA"/>
    <w:rsid w:val="007B29EA"/>
    <w:rsid w:val="007B2BE4"/>
    <w:rsid w:val="007B3472"/>
    <w:rsid w:val="007B4DB7"/>
    <w:rsid w:val="007B4F4E"/>
    <w:rsid w:val="007B62E2"/>
    <w:rsid w:val="007B6F76"/>
    <w:rsid w:val="007B75E8"/>
    <w:rsid w:val="007C0271"/>
    <w:rsid w:val="007C0F42"/>
    <w:rsid w:val="007C1053"/>
    <w:rsid w:val="007C17E3"/>
    <w:rsid w:val="007C1F79"/>
    <w:rsid w:val="007C24A1"/>
    <w:rsid w:val="007C2972"/>
    <w:rsid w:val="007C29EA"/>
    <w:rsid w:val="007C2AD7"/>
    <w:rsid w:val="007C2DD9"/>
    <w:rsid w:val="007C3CD3"/>
    <w:rsid w:val="007C40BB"/>
    <w:rsid w:val="007C445A"/>
    <w:rsid w:val="007C4E99"/>
    <w:rsid w:val="007C51E8"/>
    <w:rsid w:val="007C55AC"/>
    <w:rsid w:val="007D02DA"/>
    <w:rsid w:val="007D0971"/>
    <w:rsid w:val="007D124F"/>
    <w:rsid w:val="007D1A62"/>
    <w:rsid w:val="007D1E66"/>
    <w:rsid w:val="007D248E"/>
    <w:rsid w:val="007D24CE"/>
    <w:rsid w:val="007D3118"/>
    <w:rsid w:val="007D38C8"/>
    <w:rsid w:val="007D43D6"/>
    <w:rsid w:val="007D443A"/>
    <w:rsid w:val="007D4EB9"/>
    <w:rsid w:val="007D5053"/>
    <w:rsid w:val="007D533D"/>
    <w:rsid w:val="007D7597"/>
    <w:rsid w:val="007D7A9B"/>
    <w:rsid w:val="007E0097"/>
    <w:rsid w:val="007E1A0A"/>
    <w:rsid w:val="007E1E1E"/>
    <w:rsid w:val="007E2652"/>
    <w:rsid w:val="007E3299"/>
    <w:rsid w:val="007E41E8"/>
    <w:rsid w:val="007E4FB6"/>
    <w:rsid w:val="007E522B"/>
    <w:rsid w:val="007E526A"/>
    <w:rsid w:val="007E54E2"/>
    <w:rsid w:val="007E597B"/>
    <w:rsid w:val="007E62D9"/>
    <w:rsid w:val="007E67C1"/>
    <w:rsid w:val="007E682D"/>
    <w:rsid w:val="007E6969"/>
    <w:rsid w:val="007E747B"/>
    <w:rsid w:val="007E751D"/>
    <w:rsid w:val="007E7B0A"/>
    <w:rsid w:val="007F0385"/>
    <w:rsid w:val="007F0400"/>
    <w:rsid w:val="007F04DF"/>
    <w:rsid w:val="007F0FA4"/>
    <w:rsid w:val="007F12E5"/>
    <w:rsid w:val="007F1D8D"/>
    <w:rsid w:val="007F41E7"/>
    <w:rsid w:val="007F4C47"/>
    <w:rsid w:val="007F5107"/>
    <w:rsid w:val="007F6123"/>
    <w:rsid w:val="007F61CB"/>
    <w:rsid w:val="007F65BD"/>
    <w:rsid w:val="007F6D67"/>
    <w:rsid w:val="007F71EA"/>
    <w:rsid w:val="007F7D33"/>
    <w:rsid w:val="007F7D84"/>
    <w:rsid w:val="007F7ECF"/>
    <w:rsid w:val="008004EC"/>
    <w:rsid w:val="00801222"/>
    <w:rsid w:val="00801FCD"/>
    <w:rsid w:val="008025F0"/>
    <w:rsid w:val="00803863"/>
    <w:rsid w:val="00803DD2"/>
    <w:rsid w:val="00806C3F"/>
    <w:rsid w:val="00806E32"/>
    <w:rsid w:val="00806EEA"/>
    <w:rsid w:val="00807D66"/>
    <w:rsid w:val="008118BB"/>
    <w:rsid w:val="00813364"/>
    <w:rsid w:val="008137FD"/>
    <w:rsid w:val="00813EFF"/>
    <w:rsid w:val="00813FD4"/>
    <w:rsid w:val="0081479D"/>
    <w:rsid w:val="008150DF"/>
    <w:rsid w:val="008162E9"/>
    <w:rsid w:val="00816537"/>
    <w:rsid w:val="00816BD7"/>
    <w:rsid w:val="00816DE9"/>
    <w:rsid w:val="00816F64"/>
    <w:rsid w:val="008178A6"/>
    <w:rsid w:val="00817D20"/>
    <w:rsid w:val="00817D5A"/>
    <w:rsid w:val="008202E6"/>
    <w:rsid w:val="0082047E"/>
    <w:rsid w:val="00820EF0"/>
    <w:rsid w:val="00821113"/>
    <w:rsid w:val="00822A44"/>
    <w:rsid w:val="00823278"/>
    <w:rsid w:val="00823781"/>
    <w:rsid w:val="00823939"/>
    <w:rsid w:val="008246CD"/>
    <w:rsid w:val="00825546"/>
    <w:rsid w:val="00825710"/>
    <w:rsid w:val="008257A8"/>
    <w:rsid w:val="00825AE5"/>
    <w:rsid w:val="0082603D"/>
    <w:rsid w:val="00826577"/>
    <w:rsid w:val="0082671C"/>
    <w:rsid w:val="0082676B"/>
    <w:rsid w:val="0082751D"/>
    <w:rsid w:val="00827C07"/>
    <w:rsid w:val="00827D19"/>
    <w:rsid w:val="00830421"/>
    <w:rsid w:val="00830ADF"/>
    <w:rsid w:val="00833008"/>
    <w:rsid w:val="008333D2"/>
    <w:rsid w:val="00833EF2"/>
    <w:rsid w:val="0083452C"/>
    <w:rsid w:val="0083454D"/>
    <w:rsid w:val="00835253"/>
    <w:rsid w:val="008352E4"/>
    <w:rsid w:val="008353A0"/>
    <w:rsid w:val="00835A71"/>
    <w:rsid w:val="00835FD5"/>
    <w:rsid w:val="00836BDF"/>
    <w:rsid w:val="00836D29"/>
    <w:rsid w:val="00837D34"/>
    <w:rsid w:val="00840695"/>
    <w:rsid w:val="00840BD5"/>
    <w:rsid w:val="00841ABC"/>
    <w:rsid w:val="00842817"/>
    <w:rsid w:val="00842F6A"/>
    <w:rsid w:val="00843724"/>
    <w:rsid w:val="008438E8"/>
    <w:rsid w:val="00844750"/>
    <w:rsid w:val="00844DCE"/>
    <w:rsid w:val="00845224"/>
    <w:rsid w:val="00845275"/>
    <w:rsid w:val="008460E6"/>
    <w:rsid w:val="00846722"/>
    <w:rsid w:val="00847119"/>
    <w:rsid w:val="00847505"/>
    <w:rsid w:val="0084768D"/>
    <w:rsid w:val="00847B11"/>
    <w:rsid w:val="00847B6C"/>
    <w:rsid w:val="00847DDC"/>
    <w:rsid w:val="00850CE2"/>
    <w:rsid w:val="00850E57"/>
    <w:rsid w:val="00851248"/>
    <w:rsid w:val="00851D5B"/>
    <w:rsid w:val="0085297A"/>
    <w:rsid w:val="00852D75"/>
    <w:rsid w:val="0085347B"/>
    <w:rsid w:val="00853BAC"/>
    <w:rsid w:val="00853DA9"/>
    <w:rsid w:val="00853F40"/>
    <w:rsid w:val="00854227"/>
    <w:rsid w:val="00854969"/>
    <w:rsid w:val="00855599"/>
    <w:rsid w:val="00855767"/>
    <w:rsid w:val="00855D53"/>
    <w:rsid w:val="00856958"/>
    <w:rsid w:val="00857953"/>
    <w:rsid w:val="008603C7"/>
    <w:rsid w:val="008603DD"/>
    <w:rsid w:val="00860D3F"/>
    <w:rsid w:val="00860EE1"/>
    <w:rsid w:val="00861189"/>
    <w:rsid w:val="00861AA3"/>
    <w:rsid w:val="00862387"/>
    <w:rsid w:val="008630C2"/>
    <w:rsid w:val="008633A7"/>
    <w:rsid w:val="00863702"/>
    <w:rsid w:val="008639A0"/>
    <w:rsid w:val="00865CC0"/>
    <w:rsid w:val="00865CD0"/>
    <w:rsid w:val="00865F15"/>
    <w:rsid w:val="00866BFD"/>
    <w:rsid w:val="00870E89"/>
    <w:rsid w:val="00871809"/>
    <w:rsid w:val="00871D9D"/>
    <w:rsid w:val="008723CF"/>
    <w:rsid w:val="00872629"/>
    <w:rsid w:val="008737E2"/>
    <w:rsid w:val="008739BF"/>
    <w:rsid w:val="0087416A"/>
    <w:rsid w:val="008745E8"/>
    <w:rsid w:val="00874D61"/>
    <w:rsid w:val="00875AEF"/>
    <w:rsid w:val="00875B5F"/>
    <w:rsid w:val="00875BA3"/>
    <w:rsid w:val="00875F75"/>
    <w:rsid w:val="00876947"/>
    <w:rsid w:val="00877D9D"/>
    <w:rsid w:val="0088007A"/>
    <w:rsid w:val="00880DBE"/>
    <w:rsid w:val="0088124F"/>
    <w:rsid w:val="0088202E"/>
    <w:rsid w:val="008825F9"/>
    <w:rsid w:val="00883565"/>
    <w:rsid w:val="00883B85"/>
    <w:rsid w:val="0088440D"/>
    <w:rsid w:val="00884C57"/>
    <w:rsid w:val="00886958"/>
    <w:rsid w:val="008871E9"/>
    <w:rsid w:val="00887DD5"/>
    <w:rsid w:val="00887F2E"/>
    <w:rsid w:val="00890DD7"/>
    <w:rsid w:val="0089109E"/>
    <w:rsid w:val="00891395"/>
    <w:rsid w:val="00891B1C"/>
    <w:rsid w:val="00892C91"/>
    <w:rsid w:val="0089317D"/>
    <w:rsid w:val="00894284"/>
    <w:rsid w:val="0089453C"/>
    <w:rsid w:val="008949BE"/>
    <w:rsid w:val="00895068"/>
    <w:rsid w:val="008950E2"/>
    <w:rsid w:val="00895C19"/>
    <w:rsid w:val="00895D59"/>
    <w:rsid w:val="00895EFB"/>
    <w:rsid w:val="008964FA"/>
    <w:rsid w:val="0089723D"/>
    <w:rsid w:val="008978B6"/>
    <w:rsid w:val="00897C3B"/>
    <w:rsid w:val="00897F16"/>
    <w:rsid w:val="008A02D1"/>
    <w:rsid w:val="008A0E7B"/>
    <w:rsid w:val="008A1A56"/>
    <w:rsid w:val="008A22DB"/>
    <w:rsid w:val="008A2624"/>
    <w:rsid w:val="008A2914"/>
    <w:rsid w:val="008A2BB6"/>
    <w:rsid w:val="008A3060"/>
    <w:rsid w:val="008A35CD"/>
    <w:rsid w:val="008A4BEF"/>
    <w:rsid w:val="008A52B3"/>
    <w:rsid w:val="008A66C8"/>
    <w:rsid w:val="008A6EFA"/>
    <w:rsid w:val="008A71A7"/>
    <w:rsid w:val="008A7401"/>
    <w:rsid w:val="008A76BE"/>
    <w:rsid w:val="008A77A4"/>
    <w:rsid w:val="008A7DDF"/>
    <w:rsid w:val="008A7E07"/>
    <w:rsid w:val="008B0586"/>
    <w:rsid w:val="008B1904"/>
    <w:rsid w:val="008B1B10"/>
    <w:rsid w:val="008B1DE6"/>
    <w:rsid w:val="008B3543"/>
    <w:rsid w:val="008B3985"/>
    <w:rsid w:val="008B3DE5"/>
    <w:rsid w:val="008B40A9"/>
    <w:rsid w:val="008B44FA"/>
    <w:rsid w:val="008B5B43"/>
    <w:rsid w:val="008B61BD"/>
    <w:rsid w:val="008B67D9"/>
    <w:rsid w:val="008B71FB"/>
    <w:rsid w:val="008B7538"/>
    <w:rsid w:val="008B7887"/>
    <w:rsid w:val="008B7DED"/>
    <w:rsid w:val="008C0028"/>
    <w:rsid w:val="008C0477"/>
    <w:rsid w:val="008C056A"/>
    <w:rsid w:val="008C097B"/>
    <w:rsid w:val="008C0FB9"/>
    <w:rsid w:val="008C1105"/>
    <w:rsid w:val="008C1717"/>
    <w:rsid w:val="008C1F5A"/>
    <w:rsid w:val="008C4571"/>
    <w:rsid w:val="008C4CA9"/>
    <w:rsid w:val="008C4D4F"/>
    <w:rsid w:val="008C5232"/>
    <w:rsid w:val="008C52F2"/>
    <w:rsid w:val="008C54BA"/>
    <w:rsid w:val="008C6597"/>
    <w:rsid w:val="008C6CB8"/>
    <w:rsid w:val="008D097A"/>
    <w:rsid w:val="008D0BBC"/>
    <w:rsid w:val="008D0D4E"/>
    <w:rsid w:val="008D16FA"/>
    <w:rsid w:val="008D25ED"/>
    <w:rsid w:val="008D2BC8"/>
    <w:rsid w:val="008D3501"/>
    <w:rsid w:val="008D4375"/>
    <w:rsid w:val="008D444C"/>
    <w:rsid w:val="008D5D19"/>
    <w:rsid w:val="008D6ACB"/>
    <w:rsid w:val="008E01DE"/>
    <w:rsid w:val="008E0A3F"/>
    <w:rsid w:val="008E0C71"/>
    <w:rsid w:val="008E12E2"/>
    <w:rsid w:val="008E167A"/>
    <w:rsid w:val="008E1C5F"/>
    <w:rsid w:val="008E1DE9"/>
    <w:rsid w:val="008E259F"/>
    <w:rsid w:val="008E2D40"/>
    <w:rsid w:val="008E35D6"/>
    <w:rsid w:val="008E3C3A"/>
    <w:rsid w:val="008E3CE1"/>
    <w:rsid w:val="008E3D78"/>
    <w:rsid w:val="008E4079"/>
    <w:rsid w:val="008E40DF"/>
    <w:rsid w:val="008E4747"/>
    <w:rsid w:val="008E56EA"/>
    <w:rsid w:val="008E5BA4"/>
    <w:rsid w:val="008E6C40"/>
    <w:rsid w:val="008E6C8D"/>
    <w:rsid w:val="008E754A"/>
    <w:rsid w:val="008E7822"/>
    <w:rsid w:val="008F0013"/>
    <w:rsid w:val="008F0788"/>
    <w:rsid w:val="008F218B"/>
    <w:rsid w:val="008F250A"/>
    <w:rsid w:val="008F2EFD"/>
    <w:rsid w:val="008F3670"/>
    <w:rsid w:val="008F3A93"/>
    <w:rsid w:val="008F46E3"/>
    <w:rsid w:val="008F50F3"/>
    <w:rsid w:val="008F5442"/>
    <w:rsid w:val="008F66F0"/>
    <w:rsid w:val="008F6C3A"/>
    <w:rsid w:val="008F6EAC"/>
    <w:rsid w:val="008F7154"/>
    <w:rsid w:val="008F7865"/>
    <w:rsid w:val="00900107"/>
    <w:rsid w:val="00900C1D"/>
    <w:rsid w:val="00902898"/>
    <w:rsid w:val="0090300E"/>
    <w:rsid w:val="00904BE7"/>
    <w:rsid w:val="00904D2F"/>
    <w:rsid w:val="009061FD"/>
    <w:rsid w:val="0091031B"/>
    <w:rsid w:val="009108C3"/>
    <w:rsid w:val="00911281"/>
    <w:rsid w:val="0091207A"/>
    <w:rsid w:val="009120BA"/>
    <w:rsid w:val="009124C2"/>
    <w:rsid w:val="0091303D"/>
    <w:rsid w:val="00913058"/>
    <w:rsid w:val="00913EA8"/>
    <w:rsid w:val="0091422D"/>
    <w:rsid w:val="0091422E"/>
    <w:rsid w:val="00914417"/>
    <w:rsid w:val="0091546B"/>
    <w:rsid w:val="0091598D"/>
    <w:rsid w:val="00916670"/>
    <w:rsid w:val="00916EE2"/>
    <w:rsid w:val="00920014"/>
    <w:rsid w:val="009201EE"/>
    <w:rsid w:val="009208DE"/>
    <w:rsid w:val="00920B39"/>
    <w:rsid w:val="00920E33"/>
    <w:rsid w:val="00921F26"/>
    <w:rsid w:val="00923024"/>
    <w:rsid w:val="009233EF"/>
    <w:rsid w:val="00924490"/>
    <w:rsid w:val="00924799"/>
    <w:rsid w:val="00924CDA"/>
    <w:rsid w:val="0092556B"/>
    <w:rsid w:val="00925CBA"/>
    <w:rsid w:val="00925F6D"/>
    <w:rsid w:val="00926591"/>
    <w:rsid w:val="00926753"/>
    <w:rsid w:val="00926B15"/>
    <w:rsid w:val="00926B86"/>
    <w:rsid w:val="00926FDF"/>
    <w:rsid w:val="009270E6"/>
    <w:rsid w:val="00927513"/>
    <w:rsid w:val="00930DE6"/>
    <w:rsid w:val="009314C2"/>
    <w:rsid w:val="00931985"/>
    <w:rsid w:val="00932655"/>
    <w:rsid w:val="00933946"/>
    <w:rsid w:val="00933995"/>
    <w:rsid w:val="00933E76"/>
    <w:rsid w:val="009343B3"/>
    <w:rsid w:val="00935366"/>
    <w:rsid w:val="00935378"/>
    <w:rsid w:val="009355A8"/>
    <w:rsid w:val="009358D4"/>
    <w:rsid w:val="00935E8B"/>
    <w:rsid w:val="009368F5"/>
    <w:rsid w:val="009371AF"/>
    <w:rsid w:val="0094042C"/>
    <w:rsid w:val="009404DC"/>
    <w:rsid w:val="009404DF"/>
    <w:rsid w:val="00940D5F"/>
    <w:rsid w:val="00940E5A"/>
    <w:rsid w:val="009421EE"/>
    <w:rsid w:val="00942C2F"/>
    <w:rsid w:val="00943752"/>
    <w:rsid w:val="009448FB"/>
    <w:rsid w:val="00944B96"/>
    <w:rsid w:val="009455A4"/>
    <w:rsid w:val="00945BAB"/>
    <w:rsid w:val="00945DC1"/>
    <w:rsid w:val="00946552"/>
    <w:rsid w:val="00946E80"/>
    <w:rsid w:val="00946EFD"/>
    <w:rsid w:val="00947718"/>
    <w:rsid w:val="00947A29"/>
    <w:rsid w:val="00947C32"/>
    <w:rsid w:val="00950D6E"/>
    <w:rsid w:val="0095113D"/>
    <w:rsid w:val="0095170A"/>
    <w:rsid w:val="009524F9"/>
    <w:rsid w:val="00953AB9"/>
    <w:rsid w:val="00953ADA"/>
    <w:rsid w:val="009543AC"/>
    <w:rsid w:val="009558E6"/>
    <w:rsid w:val="00955A2C"/>
    <w:rsid w:val="00955FB1"/>
    <w:rsid w:val="0095630D"/>
    <w:rsid w:val="00956423"/>
    <w:rsid w:val="00956B8C"/>
    <w:rsid w:val="00957145"/>
    <w:rsid w:val="0095798C"/>
    <w:rsid w:val="00957FBB"/>
    <w:rsid w:val="00960641"/>
    <w:rsid w:val="009609BA"/>
    <w:rsid w:val="009613F9"/>
    <w:rsid w:val="00961A6B"/>
    <w:rsid w:val="009633A0"/>
    <w:rsid w:val="009634F4"/>
    <w:rsid w:val="00964C98"/>
    <w:rsid w:val="00966860"/>
    <w:rsid w:val="009669F9"/>
    <w:rsid w:val="0096706E"/>
    <w:rsid w:val="00967452"/>
    <w:rsid w:val="00967BD6"/>
    <w:rsid w:val="009705D7"/>
    <w:rsid w:val="009707A4"/>
    <w:rsid w:val="00970868"/>
    <w:rsid w:val="009719D6"/>
    <w:rsid w:val="00971B80"/>
    <w:rsid w:val="00972EAA"/>
    <w:rsid w:val="00973071"/>
    <w:rsid w:val="00975225"/>
    <w:rsid w:val="0097600D"/>
    <w:rsid w:val="00976F45"/>
    <w:rsid w:val="00977832"/>
    <w:rsid w:val="009803C6"/>
    <w:rsid w:val="009843F8"/>
    <w:rsid w:val="00984F8B"/>
    <w:rsid w:val="00985452"/>
    <w:rsid w:val="009858D0"/>
    <w:rsid w:val="009871A2"/>
    <w:rsid w:val="00987911"/>
    <w:rsid w:val="0099014D"/>
    <w:rsid w:val="00990715"/>
    <w:rsid w:val="00991AB3"/>
    <w:rsid w:val="0099297B"/>
    <w:rsid w:val="00992984"/>
    <w:rsid w:val="00992C60"/>
    <w:rsid w:val="009930D5"/>
    <w:rsid w:val="009933A5"/>
    <w:rsid w:val="0099441F"/>
    <w:rsid w:val="00995195"/>
    <w:rsid w:val="009953DA"/>
    <w:rsid w:val="00995965"/>
    <w:rsid w:val="00995D26"/>
    <w:rsid w:val="00995DB8"/>
    <w:rsid w:val="00995E54"/>
    <w:rsid w:val="009961CF"/>
    <w:rsid w:val="009A0120"/>
    <w:rsid w:val="009A2525"/>
    <w:rsid w:val="009A2886"/>
    <w:rsid w:val="009A298B"/>
    <w:rsid w:val="009A2C1B"/>
    <w:rsid w:val="009A395C"/>
    <w:rsid w:val="009A3A26"/>
    <w:rsid w:val="009A4A8B"/>
    <w:rsid w:val="009A59FE"/>
    <w:rsid w:val="009A7CC2"/>
    <w:rsid w:val="009B011E"/>
    <w:rsid w:val="009B0F4C"/>
    <w:rsid w:val="009B21E5"/>
    <w:rsid w:val="009B2FE0"/>
    <w:rsid w:val="009B34FC"/>
    <w:rsid w:val="009B350B"/>
    <w:rsid w:val="009B3832"/>
    <w:rsid w:val="009B3E7A"/>
    <w:rsid w:val="009B51DB"/>
    <w:rsid w:val="009B5553"/>
    <w:rsid w:val="009B601E"/>
    <w:rsid w:val="009B6047"/>
    <w:rsid w:val="009B62A9"/>
    <w:rsid w:val="009B684C"/>
    <w:rsid w:val="009B6E39"/>
    <w:rsid w:val="009B74E8"/>
    <w:rsid w:val="009B78CD"/>
    <w:rsid w:val="009B79B4"/>
    <w:rsid w:val="009B7AC1"/>
    <w:rsid w:val="009C0375"/>
    <w:rsid w:val="009C0C21"/>
    <w:rsid w:val="009C52FD"/>
    <w:rsid w:val="009C5E2A"/>
    <w:rsid w:val="009C6061"/>
    <w:rsid w:val="009C6642"/>
    <w:rsid w:val="009C682E"/>
    <w:rsid w:val="009C7032"/>
    <w:rsid w:val="009C71E7"/>
    <w:rsid w:val="009C7569"/>
    <w:rsid w:val="009C7E3D"/>
    <w:rsid w:val="009C7F95"/>
    <w:rsid w:val="009D0F2E"/>
    <w:rsid w:val="009D216C"/>
    <w:rsid w:val="009D261D"/>
    <w:rsid w:val="009D2837"/>
    <w:rsid w:val="009D38F1"/>
    <w:rsid w:val="009D4535"/>
    <w:rsid w:val="009D4890"/>
    <w:rsid w:val="009D512B"/>
    <w:rsid w:val="009D5599"/>
    <w:rsid w:val="009D5976"/>
    <w:rsid w:val="009D6085"/>
    <w:rsid w:val="009D6470"/>
    <w:rsid w:val="009D655F"/>
    <w:rsid w:val="009D678B"/>
    <w:rsid w:val="009D6E42"/>
    <w:rsid w:val="009D74A7"/>
    <w:rsid w:val="009D7562"/>
    <w:rsid w:val="009D7590"/>
    <w:rsid w:val="009D76CA"/>
    <w:rsid w:val="009E02C3"/>
    <w:rsid w:val="009E1122"/>
    <w:rsid w:val="009E1D65"/>
    <w:rsid w:val="009E1E5B"/>
    <w:rsid w:val="009E231C"/>
    <w:rsid w:val="009E2E78"/>
    <w:rsid w:val="009E4322"/>
    <w:rsid w:val="009E56C7"/>
    <w:rsid w:val="009E68E7"/>
    <w:rsid w:val="009E6FF5"/>
    <w:rsid w:val="009F032B"/>
    <w:rsid w:val="009F053F"/>
    <w:rsid w:val="009F2561"/>
    <w:rsid w:val="009F2752"/>
    <w:rsid w:val="009F2B11"/>
    <w:rsid w:val="009F2E97"/>
    <w:rsid w:val="009F32E1"/>
    <w:rsid w:val="009F3886"/>
    <w:rsid w:val="009F38CA"/>
    <w:rsid w:val="009F38DA"/>
    <w:rsid w:val="009F39A3"/>
    <w:rsid w:val="009F3FB1"/>
    <w:rsid w:val="009F4056"/>
    <w:rsid w:val="009F4AB7"/>
    <w:rsid w:val="009F5E13"/>
    <w:rsid w:val="009F6D5B"/>
    <w:rsid w:val="009F6D8A"/>
    <w:rsid w:val="009F6DFB"/>
    <w:rsid w:val="009F73D2"/>
    <w:rsid w:val="009F77ED"/>
    <w:rsid w:val="009F7BA1"/>
    <w:rsid w:val="00A0058E"/>
    <w:rsid w:val="00A008FF"/>
    <w:rsid w:val="00A00E33"/>
    <w:rsid w:val="00A0203F"/>
    <w:rsid w:val="00A020D7"/>
    <w:rsid w:val="00A029CE"/>
    <w:rsid w:val="00A038D7"/>
    <w:rsid w:val="00A0434D"/>
    <w:rsid w:val="00A04848"/>
    <w:rsid w:val="00A067D7"/>
    <w:rsid w:val="00A07362"/>
    <w:rsid w:val="00A073D9"/>
    <w:rsid w:val="00A074CF"/>
    <w:rsid w:val="00A11883"/>
    <w:rsid w:val="00A12555"/>
    <w:rsid w:val="00A13798"/>
    <w:rsid w:val="00A138B4"/>
    <w:rsid w:val="00A140A0"/>
    <w:rsid w:val="00A1487E"/>
    <w:rsid w:val="00A14BB4"/>
    <w:rsid w:val="00A155EC"/>
    <w:rsid w:val="00A15623"/>
    <w:rsid w:val="00A15A31"/>
    <w:rsid w:val="00A15ED2"/>
    <w:rsid w:val="00A16277"/>
    <w:rsid w:val="00A16294"/>
    <w:rsid w:val="00A1674C"/>
    <w:rsid w:val="00A16767"/>
    <w:rsid w:val="00A16C86"/>
    <w:rsid w:val="00A16CAB"/>
    <w:rsid w:val="00A17A92"/>
    <w:rsid w:val="00A2006E"/>
    <w:rsid w:val="00A20716"/>
    <w:rsid w:val="00A20D3E"/>
    <w:rsid w:val="00A20E8E"/>
    <w:rsid w:val="00A21085"/>
    <w:rsid w:val="00A217FB"/>
    <w:rsid w:val="00A21A45"/>
    <w:rsid w:val="00A2431D"/>
    <w:rsid w:val="00A247A2"/>
    <w:rsid w:val="00A248AD"/>
    <w:rsid w:val="00A24A4D"/>
    <w:rsid w:val="00A24ABC"/>
    <w:rsid w:val="00A24AC9"/>
    <w:rsid w:val="00A24C46"/>
    <w:rsid w:val="00A24E45"/>
    <w:rsid w:val="00A258CD"/>
    <w:rsid w:val="00A26D4A"/>
    <w:rsid w:val="00A27682"/>
    <w:rsid w:val="00A27EDF"/>
    <w:rsid w:val="00A30152"/>
    <w:rsid w:val="00A30761"/>
    <w:rsid w:val="00A30B1A"/>
    <w:rsid w:val="00A30CD9"/>
    <w:rsid w:val="00A31AD8"/>
    <w:rsid w:val="00A32156"/>
    <w:rsid w:val="00A325EE"/>
    <w:rsid w:val="00A3274B"/>
    <w:rsid w:val="00A32840"/>
    <w:rsid w:val="00A336F2"/>
    <w:rsid w:val="00A348D4"/>
    <w:rsid w:val="00A35379"/>
    <w:rsid w:val="00A37798"/>
    <w:rsid w:val="00A40091"/>
    <w:rsid w:val="00A40427"/>
    <w:rsid w:val="00A40D92"/>
    <w:rsid w:val="00A4174E"/>
    <w:rsid w:val="00A422DB"/>
    <w:rsid w:val="00A43602"/>
    <w:rsid w:val="00A43E56"/>
    <w:rsid w:val="00A43F86"/>
    <w:rsid w:val="00A44097"/>
    <w:rsid w:val="00A464A3"/>
    <w:rsid w:val="00A50850"/>
    <w:rsid w:val="00A50C6B"/>
    <w:rsid w:val="00A51775"/>
    <w:rsid w:val="00A52D24"/>
    <w:rsid w:val="00A5414C"/>
    <w:rsid w:val="00A54993"/>
    <w:rsid w:val="00A54C77"/>
    <w:rsid w:val="00A56346"/>
    <w:rsid w:val="00A570B1"/>
    <w:rsid w:val="00A5719C"/>
    <w:rsid w:val="00A577FB"/>
    <w:rsid w:val="00A604DD"/>
    <w:rsid w:val="00A62357"/>
    <w:rsid w:val="00A62399"/>
    <w:rsid w:val="00A62CAC"/>
    <w:rsid w:val="00A63C2E"/>
    <w:rsid w:val="00A63ED9"/>
    <w:rsid w:val="00A642BA"/>
    <w:rsid w:val="00A65782"/>
    <w:rsid w:val="00A6683F"/>
    <w:rsid w:val="00A66859"/>
    <w:rsid w:val="00A67A96"/>
    <w:rsid w:val="00A70062"/>
    <w:rsid w:val="00A701E9"/>
    <w:rsid w:val="00A70627"/>
    <w:rsid w:val="00A729B1"/>
    <w:rsid w:val="00A72B3A"/>
    <w:rsid w:val="00A72D4B"/>
    <w:rsid w:val="00A72DCC"/>
    <w:rsid w:val="00A73618"/>
    <w:rsid w:val="00A73697"/>
    <w:rsid w:val="00A7392C"/>
    <w:rsid w:val="00A7392D"/>
    <w:rsid w:val="00A74E83"/>
    <w:rsid w:val="00A75670"/>
    <w:rsid w:val="00A76489"/>
    <w:rsid w:val="00A775BF"/>
    <w:rsid w:val="00A77715"/>
    <w:rsid w:val="00A81490"/>
    <w:rsid w:val="00A82384"/>
    <w:rsid w:val="00A82D64"/>
    <w:rsid w:val="00A83127"/>
    <w:rsid w:val="00A8348B"/>
    <w:rsid w:val="00A84E8B"/>
    <w:rsid w:val="00A85499"/>
    <w:rsid w:val="00A85E10"/>
    <w:rsid w:val="00A862B9"/>
    <w:rsid w:val="00A864A9"/>
    <w:rsid w:val="00A866B0"/>
    <w:rsid w:val="00A878D7"/>
    <w:rsid w:val="00A87A69"/>
    <w:rsid w:val="00A87B00"/>
    <w:rsid w:val="00A87CEA"/>
    <w:rsid w:val="00A87EFD"/>
    <w:rsid w:val="00A90736"/>
    <w:rsid w:val="00A909E3"/>
    <w:rsid w:val="00A90DDA"/>
    <w:rsid w:val="00A90F95"/>
    <w:rsid w:val="00A91532"/>
    <w:rsid w:val="00A91906"/>
    <w:rsid w:val="00A91B66"/>
    <w:rsid w:val="00A92902"/>
    <w:rsid w:val="00A93363"/>
    <w:rsid w:val="00A934AB"/>
    <w:rsid w:val="00A934D6"/>
    <w:rsid w:val="00A9364D"/>
    <w:rsid w:val="00A93668"/>
    <w:rsid w:val="00A9378B"/>
    <w:rsid w:val="00A9390A"/>
    <w:rsid w:val="00A95819"/>
    <w:rsid w:val="00A966A0"/>
    <w:rsid w:val="00A96CB4"/>
    <w:rsid w:val="00A971FE"/>
    <w:rsid w:val="00A973CC"/>
    <w:rsid w:val="00A97AE3"/>
    <w:rsid w:val="00AA06EB"/>
    <w:rsid w:val="00AA099D"/>
    <w:rsid w:val="00AA0B14"/>
    <w:rsid w:val="00AA0F15"/>
    <w:rsid w:val="00AA1055"/>
    <w:rsid w:val="00AA1191"/>
    <w:rsid w:val="00AA1225"/>
    <w:rsid w:val="00AA168C"/>
    <w:rsid w:val="00AA3918"/>
    <w:rsid w:val="00AA4028"/>
    <w:rsid w:val="00AA43B8"/>
    <w:rsid w:val="00AA4E75"/>
    <w:rsid w:val="00AA6898"/>
    <w:rsid w:val="00AA6ED6"/>
    <w:rsid w:val="00AA72D7"/>
    <w:rsid w:val="00AA7510"/>
    <w:rsid w:val="00AA7772"/>
    <w:rsid w:val="00AA7D5E"/>
    <w:rsid w:val="00AB02A1"/>
    <w:rsid w:val="00AB0417"/>
    <w:rsid w:val="00AB056F"/>
    <w:rsid w:val="00AB0E2A"/>
    <w:rsid w:val="00AB1B6D"/>
    <w:rsid w:val="00AB2D01"/>
    <w:rsid w:val="00AB3263"/>
    <w:rsid w:val="00AB3B56"/>
    <w:rsid w:val="00AB4ABC"/>
    <w:rsid w:val="00AB66FA"/>
    <w:rsid w:val="00AB6980"/>
    <w:rsid w:val="00AB6B46"/>
    <w:rsid w:val="00AB701C"/>
    <w:rsid w:val="00AB73D4"/>
    <w:rsid w:val="00AB7DAB"/>
    <w:rsid w:val="00AC0D05"/>
    <w:rsid w:val="00AC0FA6"/>
    <w:rsid w:val="00AC225F"/>
    <w:rsid w:val="00AC2555"/>
    <w:rsid w:val="00AC41E7"/>
    <w:rsid w:val="00AC46AE"/>
    <w:rsid w:val="00AC4B04"/>
    <w:rsid w:val="00AC54FE"/>
    <w:rsid w:val="00AC599A"/>
    <w:rsid w:val="00AC5D61"/>
    <w:rsid w:val="00AC5EE2"/>
    <w:rsid w:val="00AC6427"/>
    <w:rsid w:val="00AC6940"/>
    <w:rsid w:val="00AC6A7B"/>
    <w:rsid w:val="00AC6B11"/>
    <w:rsid w:val="00AC732F"/>
    <w:rsid w:val="00AC78E1"/>
    <w:rsid w:val="00AD0899"/>
    <w:rsid w:val="00AD09BB"/>
    <w:rsid w:val="00AD0DE1"/>
    <w:rsid w:val="00AD0F4D"/>
    <w:rsid w:val="00AD1AB4"/>
    <w:rsid w:val="00AD1C34"/>
    <w:rsid w:val="00AD1D50"/>
    <w:rsid w:val="00AD2335"/>
    <w:rsid w:val="00AD29D4"/>
    <w:rsid w:val="00AD2A10"/>
    <w:rsid w:val="00AD2A11"/>
    <w:rsid w:val="00AD3522"/>
    <w:rsid w:val="00AD3D7D"/>
    <w:rsid w:val="00AD40CA"/>
    <w:rsid w:val="00AD42DE"/>
    <w:rsid w:val="00AD731E"/>
    <w:rsid w:val="00AE119F"/>
    <w:rsid w:val="00AE11C2"/>
    <w:rsid w:val="00AE133F"/>
    <w:rsid w:val="00AE1DCA"/>
    <w:rsid w:val="00AE2071"/>
    <w:rsid w:val="00AE3B8C"/>
    <w:rsid w:val="00AE6506"/>
    <w:rsid w:val="00AE67CD"/>
    <w:rsid w:val="00AE731B"/>
    <w:rsid w:val="00AE7686"/>
    <w:rsid w:val="00AF0120"/>
    <w:rsid w:val="00AF0900"/>
    <w:rsid w:val="00AF18C7"/>
    <w:rsid w:val="00AF2031"/>
    <w:rsid w:val="00AF3A17"/>
    <w:rsid w:val="00AF3DDA"/>
    <w:rsid w:val="00AF4C04"/>
    <w:rsid w:val="00AF5253"/>
    <w:rsid w:val="00AF5CA6"/>
    <w:rsid w:val="00AF5CE2"/>
    <w:rsid w:val="00AF615E"/>
    <w:rsid w:val="00AF728B"/>
    <w:rsid w:val="00B00738"/>
    <w:rsid w:val="00B008B0"/>
    <w:rsid w:val="00B00A1D"/>
    <w:rsid w:val="00B00D5C"/>
    <w:rsid w:val="00B00E05"/>
    <w:rsid w:val="00B01A38"/>
    <w:rsid w:val="00B01D6D"/>
    <w:rsid w:val="00B033E4"/>
    <w:rsid w:val="00B044FC"/>
    <w:rsid w:val="00B050F4"/>
    <w:rsid w:val="00B05396"/>
    <w:rsid w:val="00B06739"/>
    <w:rsid w:val="00B0708A"/>
    <w:rsid w:val="00B07572"/>
    <w:rsid w:val="00B07579"/>
    <w:rsid w:val="00B07776"/>
    <w:rsid w:val="00B07A53"/>
    <w:rsid w:val="00B100D4"/>
    <w:rsid w:val="00B10454"/>
    <w:rsid w:val="00B1154E"/>
    <w:rsid w:val="00B11D29"/>
    <w:rsid w:val="00B12028"/>
    <w:rsid w:val="00B12701"/>
    <w:rsid w:val="00B12A69"/>
    <w:rsid w:val="00B12CA3"/>
    <w:rsid w:val="00B1321D"/>
    <w:rsid w:val="00B132C9"/>
    <w:rsid w:val="00B13C77"/>
    <w:rsid w:val="00B14192"/>
    <w:rsid w:val="00B14803"/>
    <w:rsid w:val="00B14D0D"/>
    <w:rsid w:val="00B14D19"/>
    <w:rsid w:val="00B1547B"/>
    <w:rsid w:val="00B155F4"/>
    <w:rsid w:val="00B157FD"/>
    <w:rsid w:val="00B15AF5"/>
    <w:rsid w:val="00B15D9D"/>
    <w:rsid w:val="00B160BF"/>
    <w:rsid w:val="00B1751A"/>
    <w:rsid w:val="00B17B5E"/>
    <w:rsid w:val="00B17F56"/>
    <w:rsid w:val="00B208CB"/>
    <w:rsid w:val="00B211FF"/>
    <w:rsid w:val="00B21258"/>
    <w:rsid w:val="00B21891"/>
    <w:rsid w:val="00B21A43"/>
    <w:rsid w:val="00B21DF6"/>
    <w:rsid w:val="00B22CBF"/>
    <w:rsid w:val="00B2379B"/>
    <w:rsid w:val="00B242F9"/>
    <w:rsid w:val="00B2470A"/>
    <w:rsid w:val="00B24B48"/>
    <w:rsid w:val="00B25858"/>
    <w:rsid w:val="00B258E8"/>
    <w:rsid w:val="00B26946"/>
    <w:rsid w:val="00B26B47"/>
    <w:rsid w:val="00B26B82"/>
    <w:rsid w:val="00B26C9D"/>
    <w:rsid w:val="00B26ECC"/>
    <w:rsid w:val="00B27156"/>
    <w:rsid w:val="00B30298"/>
    <w:rsid w:val="00B30709"/>
    <w:rsid w:val="00B30E49"/>
    <w:rsid w:val="00B31087"/>
    <w:rsid w:val="00B3184A"/>
    <w:rsid w:val="00B31D79"/>
    <w:rsid w:val="00B320E3"/>
    <w:rsid w:val="00B3391B"/>
    <w:rsid w:val="00B33BE5"/>
    <w:rsid w:val="00B33F48"/>
    <w:rsid w:val="00B346DA"/>
    <w:rsid w:val="00B34C35"/>
    <w:rsid w:val="00B34F20"/>
    <w:rsid w:val="00B3507C"/>
    <w:rsid w:val="00B353E9"/>
    <w:rsid w:val="00B35689"/>
    <w:rsid w:val="00B357D5"/>
    <w:rsid w:val="00B35B39"/>
    <w:rsid w:val="00B3644A"/>
    <w:rsid w:val="00B36A61"/>
    <w:rsid w:val="00B36FB7"/>
    <w:rsid w:val="00B372BD"/>
    <w:rsid w:val="00B37416"/>
    <w:rsid w:val="00B4142C"/>
    <w:rsid w:val="00B41578"/>
    <w:rsid w:val="00B42289"/>
    <w:rsid w:val="00B42556"/>
    <w:rsid w:val="00B4300D"/>
    <w:rsid w:val="00B4387F"/>
    <w:rsid w:val="00B4491A"/>
    <w:rsid w:val="00B44AC3"/>
    <w:rsid w:val="00B45EC9"/>
    <w:rsid w:val="00B45EFA"/>
    <w:rsid w:val="00B468E0"/>
    <w:rsid w:val="00B46E5A"/>
    <w:rsid w:val="00B50217"/>
    <w:rsid w:val="00B512D3"/>
    <w:rsid w:val="00B51A23"/>
    <w:rsid w:val="00B51D1C"/>
    <w:rsid w:val="00B52BB5"/>
    <w:rsid w:val="00B53612"/>
    <w:rsid w:val="00B5448A"/>
    <w:rsid w:val="00B54A92"/>
    <w:rsid w:val="00B55463"/>
    <w:rsid w:val="00B559CA"/>
    <w:rsid w:val="00B5650C"/>
    <w:rsid w:val="00B56C53"/>
    <w:rsid w:val="00B56D2C"/>
    <w:rsid w:val="00B56DE0"/>
    <w:rsid w:val="00B56DE9"/>
    <w:rsid w:val="00B56E2D"/>
    <w:rsid w:val="00B56F06"/>
    <w:rsid w:val="00B57351"/>
    <w:rsid w:val="00B57355"/>
    <w:rsid w:val="00B575FE"/>
    <w:rsid w:val="00B57DA3"/>
    <w:rsid w:val="00B600A7"/>
    <w:rsid w:val="00B60E79"/>
    <w:rsid w:val="00B6184A"/>
    <w:rsid w:val="00B62450"/>
    <w:rsid w:val="00B62815"/>
    <w:rsid w:val="00B63819"/>
    <w:rsid w:val="00B6417F"/>
    <w:rsid w:val="00B641CC"/>
    <w:rsid w:val="00B64787"/>
    <w:rsid w:val="00B64B21"/>
    <w:rsid w:val="00B703DC"/>
    <w:rsid w:val="00B7167D"/>
    <w:rsid w:val="00B724FC"/>
    <w:rsid w:val="00B73CAB"/>
    <w:rsid w:val="00B74787"/>
    <w:rsid w:val="00B74A83"/>
    <w:rsid w:val="00B75714"/>
    <w:rsid w:val="00B75728"/>
    <w:rsid w:val="00B75C4A"/>
    <w:rsid w:val="00B75E9F"/>
    <w:rsid w:val="00B762EB"/>
    <w:rsid w:val="00B77C0C"/>
    <w:rsid w:val="00B77EC6"/>
    <w:rsid w:val="00B8038F"/>
    <w:rsid w:val="00B80E4F"/>
    <w:rsid w:val="00B8155D"/>
    <w:rsid w:val="00B81A9E"/>
    <w:rsid w:val="00B82BA2"/>
    <w:rsid w:val="00B83587"/>
    <w:rsid w:val="00B84809"/>
    <w:rsid w:val="00B85092"/>
    <w:rsid w:val="00B85210"/>
    <w:rsid w:val="00B85E7C"/>
    <w:rsid w:val="00B86537"/>
    <w:rsid w:val="00B86715"/>
    <w:rsid w:val="00B86B0E"/>
    <w:rsid w:val="00B87878"/>
    <w:rsid w:val="00B9013D"/>
    <w:rsid w:val="00B903E4"/>
    <w:rsid w:val="00B92837"/>
    <w:rsid w:val="00B928FE"/>
    <w:rsid w:val="00B92EC1"/>
    <w:rsid w:val="00B936B3"/>
    <w:rsid w:val="00B939F0"/>
    <w:rsid w:val="00B944C8"/>
    <w:rsid w:val="00B9456C"/>
    <w:rsid w:val="00B949E3"/>
    <w:rsid w:val="00B94F56"/>
    <w:rsid w:val="00B95A22"/>
    <w:rsid w:val="00B95FF0"/>
    <w:rsid w:val="00B9612C"/>
    <w:rsid w:val="00B9660A"/>
    <w:rsid w:val="00B9680A"/>
    <w:rsid w:val="00B96D11"/>
    <w:rsid w:val="00B96F0B"/>
    <w:rsid w:val="00BA019D"/>
    <w:rsid w:val="00BA11B1"/>
    <w:rsid w:val="00BA27ED"/>
    <w:rsid w:val="00BA28FA"/>
    <w:rsid w:val="00BA364D"/>
    <w:rsid w:val="00BA3CF5"/>
    <w:rsid w:val="00BA45DF"/>
    <w:rsid w:val="00BA4CD6"/>
    <w:rsid w:val="00BA4D16"/>
    <w:rsid w:val="00BA5783"/>
    <w:rsid w:val="00BA59C4"/>
    <w:rsid w:val="00BA6562"/>
    <w:rsid w:val="00BA7B97"/>
    <w:rsid w:val="00BB04F3"/>
    <w:rsid w:val="00BB113E"/>
    <w:rsid w:val="00BB2236"/>
    <w:rsid w:val="00BB2AB4"/>
    <w:rsid w:val="00BB2B5D"/>
    <w:rsid w:val="00BB2DFC"/>
    <w:rsid w:val="00BB2EAB"/>
    <w:rsid w:val="00BB2F2B"/>
    <w:rsid w:val="00BB46BD"/>
    <w:rsid w:val="00BB495A"/>
    <w:rsid w:val="00BB4B8E"/>
    <w:rsid w:val="00BB5082"/>
    <w:rsid w:val="00BB5FAC"/>
    <w:rsid w:val="00BB68CA"/>
    <w:rsid w:val="00BB6AE0"/>
    <w:rsid w:val="00BB6CCA"/>
    <w:rsid w:val="00BC07BF"/>
    <w:rsid w:val="00BC0B52"/>
    <w:rsid w:val="00BC1C01"/>
    <w:rsid w:val="00BC1D27"/>
    <w:rsid w:val="00BC1D49"/>
    <w:rsid w:val="00BC22D5"/>
    <w:rsid w:val="00BC30FB"/>
    <w:rsid w:val="00BC3158"/>
    <w:rsid w:val="00BC3C62"/>
    <w:rsid w:val="00BC3D2C"/>
    <w:rsid w:val="00BC42C2"/>
    <w:rsid w:val="00BC4AA0"/>
    <w:rsid w:val="00BC4F45"/>
    <w:rsid w:val="00BC66D4"/>
    <w:rsid w:val="00BC73ED"/>
    <w:rsid w:val="00BD06F1"/>
    <w:rsid w:val="00BD1276"/>
    <w:rsid w:val="00BD20E5"/>
    <w:rsid w:val="00BD2C99"/>
    <w:rsid w:val="00BD3157"/>
    <w:rsid w:val="00BD324E"/>
    <w:rsid w:val="00BD3D09"/>
    <w:rsid w:val="00BD4274"/>
    <w:rsid w:val="00BD4AF1"/>
    <w:rsid w:val="00BD6308"/>
    <w:rsid w:val="00BD6555"/>
    <w:rsid w:val="00BD6945"/>
    <w:rsid w:val="00BD7F88"/>
    <w:rsid w:val="00BE0311"/>
    <w:rsid w:val="00BE12DF"/>
    <w:rsid w:val="00BE12E0"/>
    <w:rsid w:val="00BE149D"/>
    <w:rsid w:val="00BE16A0"/>
    <w:rsid w:val="00BE1D8E"/>
    <w:rsid w:val="00BE216F"/>
    <w:rsid w:val="00BE2E6D"/>
    <w:rsid w:val="00BE3C4B"/>
    <w:rsid w:val="00BE3D0B"/>
    <w:rsid w:val="00BE462A"/>
    <w:rsid w:val="00BE4C3C"/>
    <w:rsid w:val="00BE557F"/>
    <w:rsid w:val="00BE6FA4"/>
    <w:rsid w:val="00BF00E7"/>
    <w:rsid w:val="00BF0613"/>
    <w:rsid w:val="00BF153A"/>
    <w:rsid w:val="00BF1A38"/>
    <w:rsid w:val="00BF1A95"/>
    <w:rsid w:val="00BF2564"/>
    <w:rsid w:val="00BF335A"/>
    <w:rsid w:val="00BF345B"/>
    <w:rsid w:val="00BF37A1"/>
    <w:rsid w:val="00BF3D54"/>
    <w:rsid w:val="00BF3F37"/>
    <w:rsid w:val="00BF4A4D"/>
    <w:rsid w:val="00BF4CAF"/>
    <w:rsid w:val="00BF5B25"/>
    <w:rsid w:val="00BF5DCD"/>
    <w:rsid w:val="00BF5F95"/>
    <w:rsid w:val="00BF6840"/>
    <w:rsid w:val="00BF6AD3"/>
    <w:rsid w:val="00C00A2D"/>
    <w:rsid w:val="00C01101"/>
    <w:rsid w:val="00C013BE"/>
    <w:rsid w:val="00C030E1"/>
    <w:rsid w:val="00C03FE4"/>
    <w:rsid w:val="00C04080"/>
    <w:rsid w:val="00C04707"/>
    <w:rsid w:val="00C0585E"/>
    <w:rsid w:val="00C05F37"/>
    <w:rsid w:val="00C068F3"/>
    <w:rsid w:val="00C07099"/>
    <w:rsid w:val="00C10320"/>
    <w:rsid w:val="00C10A32"/>
    <w:rsid w:val="00C12E50"/>
    <w:rsid w:val="00C13110"/>
    <w:rsid w:val="00C131AF"/>
    <w:rsid w:val="00C14930"/>
    <w:rsid w:val="00C14F87"/>
    <w:rsid w:val="00C16690"/>
    <w:rsid w:val="00C168D3"/>
    <w:rsid w:val="00C169D1"/>
    <w:rsid w:val="00C1708C"/>
    <w:rsid w:val="00C17834"/>
    <w:rsid w:val="00C17E09"/>
    <w:rsid w:val="00C17E13"/>
    <w:rsid w:val="00C17EF9"/>
    <w:rsid w:val="00C17FA2"/>
    <w:rsid w:val="00C201A9"/>
    <w:rsid w:val="00C20B1F"/>
    <w:rsid w:val="00C2306F"/>
    <w:rsid w:val="00C233A1"/>
    <w:rsid w:val="00C2439B"/>
    <w:rsid w:val="00C24EC3"/>
    <w:rsid w:val="00C24F9B"/>
    <w:rsid w:val="00C25B43"/>
    <w:rsid w:val="00C25D4E"/>
    <w:rsid w:val="00C26043"/>
    <w:rsid w:val="00C26CB5"/>
    <w:rsid w:val="00C27751"/>
    <w:rsid w:val="00C3218E"/>
    <w:rsid w:val="00C32B10"/>
    <w:rsid w:val="00C33306"/>
    <w:rsid w:val="00C34365"/>
    <w:rsid w:val="00C3503D"/>
    <w:rsid w:val="00C35759"/>
    <w:rsid w:val="00C35906"/>
    <w:rsid w:val="00C35E54"/>
    <w:rsid w:val="00C36819"/>
    <w:rsid w:val="00C37AFB"/>
    <w:rsid w:val="00C414FD"/>
    <w:rsid w:val="00C463EB"/>
    <w:rsid w:val="00C46BF7"/>
    <w:rsid w:val="00C478C4"/>
    <w:rsid w:val="00C47DB1"/>
    <w:rsid w:val="00C506BB"/>
    <w:rsid w:val="00C50C5A"/>
    <w:rsid w:val="00C512AA"/>
    <w:rsid w:val="00C5158F"/>
    <w:rsid w:val="00C51B11"/>
    <w:rsid w:val="00C523D6"/>
    <w:rsid w:val="00C532A6"/>
    <w:rsid w:val="00C5349F"/>
    <w:rsid w:val="00C536FC"/>
    <w:rsid w:val="00C53EB5"/>
    <w:rsid w:val="00C53F3B"/>
    <w:rsid w:val="00C54912"/>
    <w:rsid w:val="00C54AE3"/>
    <w:rsid w:val="00C54C56"/>
    <w:rsid w:val="00C54CAA"/>
    <w:rsid w:val="00C54D86"/>
    <w:rsid w:val="00C54EAB"/>
    <w:rsid w:val="00C55869"/>
    <w:rsid w:val="00C563EB"/>
    <w:rsid w:val="00C60401"/>
    <w:rsid w:val="00C608CC"/>
    <w:rsid w:val="00C61045"/>
    <w:rsid w:val="00C61365"/>
    <w:rsid w:val="00C61400"/>
    <w:rsid w:val="00C62068"/>
    <w:rsid w:val="00C62D06"/>
    <w:rsid w:val="00C63138"/>
    <w:rsid w:val="00C63241"/>
    <w:rsid w:val="00C6339C"/>
    <w:rsid w:val="00C636A9"/>
    <w:rsid w:val="00C6373D"/>
    <w:rsid w:val="00C639E5"/>
    <w:rsid w:val="00C6417C"/>
    <w:rsid w:val="00C64906"/>
    <w:rsid w:val="00C658A1"/>
    <w:rsid w:val="00C66323"/>
    <w:rsid w:val="00C66B71"/>
    <w:rsid w:val="00C70E24"/>
    <w:rsid w:val="00C71829"/>
    <w:rsid w:val="00C71E09"/>
    <w:rsid w:val="00C72166"/>
    <w:rsid w:val="00C7279A"/>
    <w:rsid w:val="00C72BCE"/>
    <w:rsid w:val="00C73578"/>
    <w:rsid w:val="00C73D98"/>
    <w:rsid w:val="00C74221"/>
    <w:rsid w:val="00C768DE"/>
    <w:rsid w:val="00C7760B"/>
    <w:rsid w:val="00C7796B"/>
    <w:rsid w:val="00C806DC"/>
    <w:rsid w:val="00C8105F"/>
    <w:rsid w:val="00C82346"/>
    <w:rsid w:val="00C82742"/>
    <w:rsid w:val="00C827DE"/>
    <w:rsid w:val="00C83393"/>
    <w:rsid w:val="00C83AE4"/>
    <w:rsid w:val="00C83E78"/>
    <w:rsid w:val="00C8410D"/>
    <w:rsid w:val="00C842FA"/>
    <w:rsid w:val="00C84CF6"/>
    <w:rsid w:val="00C8563D"/>
    <w:rsid w:val="00C858EB"/>
    <w:rsid w:val="00C86CD2"/>
    <w:rsid w:val="00C86D7E"/>
    <w:rsid w:val="00C87F0C"/>
    <w:rsid w:val="00C905D6"/>
    <w:rsid w:val="00C907C5"/>
    <w:rsid w:val="00C90998"/>
    <w:rsid w:val="00C90D49"/>
    <w:rsid w:val="00C91501"/>
    <w:rsid w:val="00C922DB"/>
    <w:rsid w:val="00C94CCA"/>
    <w:rsid w:val="00C9587B"/>
    <w:rsid w:val="00C9598C"/>
    <w:rsid w:val="00CA0BAE"/>
    <w:rsid w:val="00CA145A"/>
    <w:rsid w:val="00CA22C9"/>
    <w:rsid w:val="00CA2636"/>
    <w:rsid w:val="00CA3040"/>
    <w:rsid w:val="00CA37A3"/>
    <w:rsid w:val="00CA48C9"/>
    <w:rsid w:val="00CA4A6C"/>
    <w:rsid w:val="00CA5B09"/>
    <w:rsid w:val="00CA664E"/>
    <w:rsid w:val="00CA7877"/>
    <w:rsid w:val="00CA7D51"/>
    <w:rsid w:val="00CB08A1"/>
    <w:rsid w:val="00CB0EE7"/>
    <w:rsid w:val="00CB243C"/>
    <w:rsid w:val="00CB24D5"/>
    <w:rsid w:val="00CB25B8"/>
    <w:rsid w:val="00CB3412"/>
    <w:rsid w:val="00CB37F0"/>
    <w:rsid w:val="00CB3A84"/>
    <w:rsid w:val="00CB45B7"/>
    <w:rsid w:val="00CB57FF"/>
    <w:rsid w:val="00CB59B8"/>
    <w:rsid w:val="00CB69E3"/>
    <w:rsid w:val="00CB7A96"/>
    <w:rsid w:val="00CB7E95"/>
    <w:rsid w:val="00CC0463"/>
    <w:rsid w:val="00CC16CF"/>
    <w:rsid w:val="00CC3797"/>
    <w:rsid w:val="00CC4208"/>
    <w:rsid w:val="00CC45A1"/>
    <w:rsid w:val="00CC4972"/>
    <w:rsid w:val="00CC4DA8"/>
    <w:rsid w:val="00CC55E7"/>
    <w:rsid w:val="00CC5940"/>
    <w:rsid w:val="00CC6AF3"/>
    <w:rsid w:val="00CC6BF4"/>
    <w:rsid w:val="00CC71A0"/>
    <w:rsid w:val="00CC7AFF"/>
    <w:rsid w:val="00CD0E53"/>
    <w:rsid w:val="00CD1111"/>
    <w:rsid w:val="00CD1457"/>
    <w:rsid w:val="00CD1B53"/>
    <w:rsid w:val="00CD3969"/>
    <w:rsid w:val="00CD4303"/>
    <w:rsid w:val="00CD46EA"/>
    <w:rsid w:val="00CD4AF2"/>
    <w:rsid w:val="00CD4D4B"/>
    <w:rsid w:val="00CD50E2"/>
    <w:rsid w:val="00CD571B"/>
    <w:rsid w:val="00CD62B1"/>
    <w:rsid w:val="00CD6AFB"/>
    <w:rsid w:val="00CD7DCC"/>
    <w:rsid w:val="00CE075F"/>
    <w:rsid w:val="00CE07DC"/>
    <w:rsid w:val="00CE10B6"/>
    <w:rsid w:val="00CE11B4"/>
    <w:rsid w:val="00CE3426"/>
    <w:rsid w:val="00CE36D4"/>
    <w:rsid w:val="00CE3725"/>
    <w:rsid w:val="00CE48AA"/>
    <w:rsid w:val="00CE4BC2"/>
    <w:rsid w:val="00CE5003"/>
    <w:rsid w:val="00CE503D"/>
    <w:rsid w:val="00CE525C"/>
    <w:rsid w:val="00CE5FC6"/>
    <w:rsid w:val="00CE6694"/>
    <w:rsid w:val="00CE6DD2"/>
    <w:rsid w:val="00CE7158"/>
    <w:rsid w:val="00CF1109"/>
    <w:rsid w:val="00CF2C1A"/>
    <w:rsid w:val="00CF3070"/>
    <w:rsid w:val="00CF3536"/>
    <w:rsid w:val="00CF3BD4"/>
    <w:rsid w:val="00CF4307"/>
    <w:rsid w:val="00CF5071"/>
    <w:rsid w:val="00CF5747"/>
    <w:rsid w:val="00CF5E8C"/>
    <w:rsid w:val="00CF61ED"/>
    <w:rsid w:val="00CF69DC"/>
    <w:rsid w:val="00CF798A"/>
    <w:rsid w:val="00D0054E"/>
    <w:rsid w:val="00D00563"/>
    <w:rsid w:val="00D008CF"/>
    <w:rsid w:val="00D00C62"/>
    <w:rsid w:val="00D012DC"/>
    <w:rsid w:val="00D0186B"/>
    <w:rsid w:val="00D03C15"/>
    <w:rsid w:val="00D04643"/>
    <w:rsid w:val="00D04AF4"/>
    <w:rsid w:val="00D04D53"/>
    <w:rsid w:val="00D04F10"/>
    <w:rsid w:val="00D0566C"/>
    <w:rsid w:val="00D059BC"/>
    <w:rsid w:val="00D06859"/>
    <w:rsid w:val="00D06DA0"/>
    <w:rsid w:val="00D07514"/>
    <w:rsid w:val="00D1002B"/>
    <w:rsid w:val="00D106B3"/>
    <w:rsid w:val="00D10AC2"/>
    <w:rsid w:val="00D10E39"/>
    <w:rsid w:val="00D111D8"/>
    <w:rsid w:val="00D11881"/>
    <w:rsid w:val="00D11CD1"/>
    <w:rsid w:val="00D12058"/>
    <w:rsid w:val="00D12936"/>
    <w:rsid w:val="00D12BD0"/>
    <w:rsid w:val="00D13055"/>
    <w:rsid w:val="00D130F1"/>
    <w:rsid w:val="00D1316C"/>
    <w:rsid w:val="00D1327A"/>
    <w:rsid w:val="00D13602"/>
    <w:rsid w:val="00D13D41"/>
    <w:rsid w:val="00D148A9"/>
    <w:rsid w:val="00D14A1B"/>
    <w:rsid w:val="00D14FA4"/>
    <w:rsid w:val="00D15275"/>
    <w:rsid w:val="00D15292"/>
    <w:rsid w:val="00D16C11"/>
    <w:rsid w:val="00D170B6"/>
    <w:rsid w:val="00D20013"/>
    <w:rsid w:val="00D20D38"/>
    <w:rsid w:val="00D20EF5"/>
    <w:rsid w:val="00D22216"/>
    <w:rsid w:val="00D2245F"/>
    <w:rsid w:val="00D22B76"/>
    <w:rsid w:val="00D2330F"/>
    <w:rsid w:val="00D23546"/>
    <w:rsid w:val="00D2369B"/>
    <w:rsid w:val="00D23C11"/>
    <w:rsid w:val="00D24343"/>
    <w:rsid w:val="00D2505F"/>
    <w:rsid w:val="00D2528D"/>
    <w:rsid w:val="00D255AF"/>
    <w:rsid w:val="00D25B60"/>
    <w:rsid w:val="00D263C4"/>
    <w:rsid w:val="00D266FB"/>
    <w:rsid w:val="00D27133"/>
    <w:rsid w:val="00D27F2F"/>
    <w:rsid w:val="00D27FDF"/>
    <w:rsid w:val="00D306C7"/>
    <w:rsid w:val="00D310DA"/>
    <w:rsid w:val="00D317A8"/>
    <w:rsid w:val="00D31A4A"/>
    <w:rsid w:val="00D31BF8"/>
    <w:rsid w:val="00D32BF7"/>
    <w:rsid w:val="00D3302B"/>
    <w:rsid w:val="00D3373E"/>
    <w:rsid w:val="00D34052"/>
    <w:rsid w:val="00D342B4"/>
    <w:rsid w:val="00D40E69"/>
    <w:rsid w:val="00D4135B"/>
    <w:rsid w:val="00D4141D"/>
    <w:rsid w:val="00D42BD0"/>
    <w:rsid w:val="00D43460"/>
    <w:rsid w:val="00D4421D"/>
    <w:rsid w:val="00D44832"/>
    <w:rsid w:val="00D454C5"/>
    <w:rsid w:val="00D454F2"/>
    <w:rsid w:val="00D459D7"/>
    <w:rsid w:val="00D45EAD"/>
    <w:rsid w:val="00D46EF8"/>
    <w:rsid w:val="00D473A9"/>
    <w:rsid w:val="00D50EB2"/>
    <w:rsid w:val="00D50EE2"/>
    <w:rsid w:val="00D5164C"/>
    <w:rsid w:val="00D51EBD"/>
    <w:rsid w:val="00D5254C"/>
    <w:rsid w:val="00D526CE"/>
    <w:rsid w:val="00D52AB1"/>
    <w:rsid w:val="00D52E7E"/>
    <w:rsid w:val="00D52FB3"/>
    <w:rsid w:val="00D5337B"/>
    <w:rsid w:val="00D53BC6"/>
    <w:rsid w:val="00D556A9"/>
    <w:rsid w:val="00D55912"/>
    <w:rsid w:val="00D55E37"/>
    <w:rsid w:val="00D60342"/>
    <w:rsid w:val="00D61C6A"/>
    <w:rsid w:val="00D6237D"/>
    <w:rsid w:val="00D628E2"/>
    <w:rsid w:val="00D632AC"/>
    <w:rsid w:val="00D63C90"/>
    <w:rsid w:val="00D64F50"/>
    <w:rsid w:val="00D65AA4"/>
    <w:rsid w:val="00D65C15"/>
    <w:rsid w:val="00D65FF5"/>
    <w:rsid w:val="00D66130"/>
    <w:rsid w:val="00D665BA"/>
    <w:rsid w:val="00D6663D"/>
    <w:rsid w:val="00D67205"/>
    <w:rsid w:val="00D6730B"/>
    <w:rsid w:val="00D703AC"/>
    <w:rsid w:val="00D71596"/>
    <w:rsid w:val="00D716B4"/>
    <w:rsid w:val="00D71B2C"/>
    <w:rsid w:val="00D71F74"/>
    <w:rsid w:val="00D721C9"/>
    <w:rsid w:val="00D73290"/>
    <w:rsid w:val="00D7382A"/>
    <w:rsid w:val="00D748AB"/>
    <w:rsid w:val="00D7514E"/>
    <w:rsid w:val="00D755BA"/>
    <w:rsid w:val="00D76799"/>
    <w:rsid w:val="00D76E1E"/>
    <w:rsid w:val="00D7703A"/>
    <w:rsid w:val="00D77068"/>
    <w:rsid w:val="00D77148"/>
    <w:rsid w:val="00D773F1"/>
    <w:rsid w:val="00D779FC"/>
    <w:rsid w:val="00D80542"/>
    <w:rsid w:val="00D80818"/>
    <w:rsid w:val="00D808C6"/>
    <w:rsid w:val="00D816AE"/>
    <w:rsid w:val="00D81C9C"/>
    <w:rsid w:val="00D8259D"/>
    <w:rsid w:val="00D82F8C"/>
    <w:rsid w:val="00D83F28"/>
    <w:rsid w:val="00D84E61"/>
    <w:rsid w:val="00D853D3"/>
    <w:rsid w:val="00D85B91"/>
    <w:rsid w:val="00D85D5A"/>
    <w:rsid w:val="00D87F10"/>
    <w:rsid w:val="00D90070"/>
    <w:rsid w:val="00D90D85"/>
    <w:rsid w:val="00D92795"/>
    <w:rsid w:val="00D92E37"/>
    <w:rsid w:val="00D9349D"/>
    <w:rsid w:val="00D94A4C"/>
    <w:rsid w:val="00D95F50"/>
    <w:rsid w:val="00D961CD"/>
    <w:rsid w:val="00D96589"/>
    <w:rsid w:val="00D96AF5"/>
    <w:rsid w:val="00D96B7C"/>
    <w:rsid w:val="00D96D6E"/>
    <w:rsid w:val="00D97200"/>
    <w:rsid w:val="00DA08A3"/>
    <w:rsid w:val="00DA093D"/>
    <w:rsid w:val="00DA1A3E"/>
    <w:rsid w:val="00DA2635"/>
    <w:rsid w:val="00DA27A9"/>
    <w:rsid w:val="00DA283E"/>
    <w:rsid w:val="00DA2C71"/>
    <w:rsid w:val="00DA31F1"/>
    <w:rsid w:val="00DA3FFE"/>
    <w:rsid w:val="00DA4DD9"/>
    <w:rsid w:val="00DA5158"/>
    <w:rsid w:val="00DA5347"/>
    <w:rsid w:val="00DA5D26"/>
    <w:rsid w:val="00DB06E8"/>
    <w:rsid w:val="00DB0EB0"/>
    <w:rsid w:val="00DB16EA"/>
    <w:rsid w:val="00DB19D4"/>
    <w:rsid w:val="00DB1CEB"/>
    <w:rsid w:val="00DB2B60"/>
    <w:rsid w:val="00DB3180"/>
    <w:rsid w:val="00DB3DE6"/>
    <w:rsid w:val="00DB532E"/>
    <w:rsid w:val="00DB6377"/>
    <w:rsid w:val="00DB65C6"/>
    <w:rsid w:val="00DB6C75"/>
    <w:rsid w:val="00DB76BA"/>
    <w:rsid w:val="00DC0887"/>
    <w:rsid w:val="00DC0A30"/>
    <w:rsid w:val="00DC16C5"/>
    <w:rsid w:val="00DC47FA"/>
    <w:rsid w:val="00DC51E0"/>
    <w:rsid w:val="00DC62DF"/>
    <w:rsid w:val="00DC6A7B"/>
    <w:rsid w:val="00DC7230"/>
    <w:rsid w:val="00DC7556"/>
    <w:rsid w:val="00DD11D0"/>
    <w:rsid w:val="00DD12E1"/>
    <w:rsid w:val="00DD2B0E"/>
    <w:rsid w:val="00DD30A7"/>
    <w:rsid w:val="00DD5341"/>
    <w:rsid w:val="00DD68EC"/>
    <w:rsid w:val="00DD6935"/>
    <w:rsid w:val="00DD6CC1"/>
    <w:rsid w:val="00DD701A"/>
    <w:rsid w:val="00DD7825"/>
    <w:rsid w:val="00DD79E0"/>
    <w:rsid w:val="00DE08B3"/>
    <w:rsid w:val="00DE0CF0"/>
    <w:rsid w:val="00DE0D63"/>
    <w:rsid w:val="00DE0EF4"/>
    <w:rsid w:val="00DE1595"/>
    <w:rsid w:val="00DE1853"/>
    <w:rsid w:val="00DE1B00"/>
    <w:rsid w:val="00DE1D12"/>
    <w:rsid w:val="00DE1F25"/>
    <w:rsid w:val="00DE2BB4"/>
    <w:rsid w:val="00DE347E"/>
    <w:rsid w:val="00DE37CE"/>
    <w:rsid w:val="00DE3B9A"/>
    <w:rsid w:val="00DE40D8"/>
    <w:rsid w:val="00DE41DE"/>
    <w:rsid w:val="00DE42CD"/>
    <w:rsid w:val="00DE468A"/>
    <w:rsid w:val="00DE47AF"/>
    <w:rsid w:val="00DE4971"/>
    <w:rsid w:val="00DE4BFA"/>
    <w:rsid w:val="00DE5655"/>
    <w:rsid w:val="00DE58E1"/>
    <w:rsid w:val="00DE635E"/>
    <w:rsid w:val="00DE6FB7"/>
    <w:rsid w:val="00DE72E0"/>
    <w:rsid w:val="00DE73B4"/>
    <w:rsid w:val="00DE7487"/>
    <w:rsid w:val="00DF081F"/>
    <w:rsid w:val="00DF0B80"/>
    <w:rsid w:val="00DF1D76"/>
    <w:rsid w:val="00DF2464"/>
    <w:rsid w:val="00DF256A"/>
    <w:rsid w:val="00DF2C92"/>
    <w:rsid w:val="00DF2DAF"/>
    <w:rsid w:val="00DF4919"/>
    <w:rsid w:val="00DF4E7A"/>
    <w:rsid w:val="00DF5EF8"/>
    <w:rsid w:val="00DF6A67"/>
    <w:rsid w:val="00DF6BEE"/>
    <w:rsid w:val="00DF7571"/>
    <w:rsid w:val="00DF75BC"/>
    <w:rsid w:val="00E00023"/>
    <w:rsid w:val="00E0029B"/>
    <w:rsid w:val="00E00EF2"/>
    <w:rsid w:val="00E012CA"/>
    <w:rsid w:val="00E01371"/>
    <w:rsid w:val="00E0164F"/>
    <w:rsid w:val="00E029AD"/>
    <w:rsid w:val="00E03277"/>
    <w:rsid w:val="00E03BD6"/>
    <w:rsid w:val="00E03E54"/>
    <w:rsid w:val="00E04272"/>
    <w:rsid w:val="00E04298"/>
    <w:rsid w:val="00E054EE"/>
    <w:rsid w:val="00E05708"/>
    <w:rsid w:val="00E06D4C"/>
    <w:rsid w:val="00E0733F"/>
    <w:rsid w:val="00E07518"/>
    <w:rsid w:val="00E1048D"/>
    <w:rsid w:val="00E122C5"/>
    <w:rsid w:val="00E126BA"/>
    <w:rsid w:val="00E12FD5"/>
    <w:rsid w:val="00E13B01"/>
    <w:rsid w:val="00E14403"/>
    <w:rsid w:val="00E147EF"/>
    <w:rsid w:val="00E15A92"/>
    <w:rsid w:val="00E16102"/>
    <w:rsid w:val="00E16555"/>
    <w:rsid w:val="00E16D03"/>
    <w:rsid w:val="00E20415"/>
    <w:rsid w:val="00E209AD"/>
    <w:rsid w:val="00E21BB4"/>
    <w:rsid w:val="00E21D51"/>
    <w:rsid w:val="00E22098"/>
    <w:rsid w:val="00E222D8"/>
    <w:rsid w:val="00E22306"/>
    <w:rsid w:val="00E22B53"/>
    <w:rsid w:val="00E239CA"/>
    <w:rsid w:val="00E26B09"/>
    <w:rsid w:val="00E27FF4"/>
    <w:rsid w:val="00E309AD"/>
    <w:rsid w:val="00E30CE8"/>
    <w:rsid w:val="00E30F9A"/>
    <w:rsid w:val="00E3107B"/>
    <w:rsid w:val="00E31655"/>
    <w:rsid w:val="00E316C5"/>
    <w:rsid w:val="00E331A8"/>
    <w:rsid w:val="00E337FD"/>
    <w:rsid w:val="00E33A70"/>
    <w:rsid w:val="00E33DE0"/>
    <w:rsid w:val="00E34415"/>
    <w:rsid w:val="00E34EC7"/>
    <w:rsid w:val="00E363AB"/>
    <w:rsid w:val="00E378A7"/>
    <w:rsid w:val="00E378C5"/>
    <w:rsid w:val="00E40060"/>
    <w:rsid w:val="00E4064F"/>
    <w:rsid w:val="00E4087B"/>
    <w:rsid w:val="00E40908"/>
    <w:rsid w:val="00E40A52"/>
    <w:rsid w:val="00E427DB"/>
    <w:rsid w:val="00E42F5A"/>
    <w:rsid w:val="00E43112"/>
    <w:rsid w:val="00E4376F"/>
    <w:rsid w:val="00E439BB"/>
    <w:rsid w:val="00E43C3F"/>
    <w:rsid w:val="00E447B9"/>
    <w:rsid w:val="00E4608E"/>
    <w:rsid w:val="00E463A0"/>
    <w:rsid w:val="00E466A1"/>
    <w:rsid w:val="00E46A9B"/>
    <w:rsid w:val="00E47D9B"/>
    <w:rsid w:val="00E50743"/>
    <w:rsid w:val="00E507F4"/>
    <w:rsid w:val="00E50921"/>
    <w:rsid w:val="00E50A7F"/>
    <w:rsid w:val="00E51405"/>
    <w:rsid w:val="00E52215"/>
    <w:rsid w:val="00E52A63"/>
    <w:rsid w:val="00E52A6A"/>
    <w:rsid w:val="00E536CA"/>
    <w:rsid w:val="00E5372A"/>
    <w:rsid w:val="00E53ABD"/>
    <w:rsid w:val="00E53B55"/>
    <w:rsid w:val="00E53CF5"/>
    <w:rsid w:val="00E53D00"/>
    <w:rsid w:val="00E53D7F"/>
    <w:rsid w:val="00E5483E"/>
    <w:rsid w:val="00E5486E"/>
    <w:rsid w:val="00E56422"/>
    <w:rsid w:val="00E57429"/>
    <w:rsid w:val="00E57FED"/>
    <w:rsid w:val="00E602CC"/>
    <w:rsid w:val="00E61297"/>
    <w:rsid w:val="00E62440"/>
    <w:rsid w:val="00E62C38"/>
    <w:rsid w:val="00E63881"/>
    <w:rsid w:val="00E63E1D"/>
    <w:rsid w:val="00E640B2"/>
    <w:rsid w:val="00E640E2"/>
    <w:rsid w:val="00E6434A"/>
    <w:rsid w:val="00E643EE"/>
    <w:rsid w:val="00E64D5B"/>
    <w:rsid w:val="00E64E37"/>
    <w:rsid w:val="00E655CB"/>
    <w:rsid w:val="00E65693"/>
    <w:rsid w:val="00E6577C"/>
    <w:rsid w:val="00E66AFE"/>
    <w:rsid w:val="00E66E44"/>
    <w:rsid w:val="00E67FEE"/>
    <w:rsid w:val="00E71276"/>
    <w:rsid w:val="00E71C3A"/>
    <w:rsid w:val="00E71D49"/>
    <w:rsid w:val="00E724EE"/>
    <w:rsid w:val="00E72899"/>
    <w:rsid w:val="00E728DB"/>
    <w:rsid w:val="00E73D7D"/>
    <w:rsid w:val="00E73E09"/>
    <w:rsid w:val="00E74C8C"/>
    <w:rsid w:val="00E74D89"/>
    <w:rsid w:val="00E74F51"/>
    <w:rsid w:val="00E75291"/>
    <w:rsid w:val="00E7546D"/>
    <w:rsid w:val="00E76AF9"/>
    <w:rsid w:val="00E779F8"/>
    <w:rsid w:val="00E77A3F"/>
    <w:rsid w:val="00E8038C"/>
    <w:rsid w:val="00E8044B"/>
    <w:rsid w:val="00E80520"/>
    <w:rsid w:val="00E80778"/>
    <w:rsid w:val="00E81627"/>
    <w:rsid w:val="00E81752"/>
    <w:rsid w:val="00E82275"/>
    <w:rsid w:val="00E82665"/>
    <w:rsid w:val="00E82869"/>
    <w:rsid w:val="00E828E7"/>
    <w:rsid w:val="00E82E52"/>
    <w:rsid w:val="00E831BF"/>
    <w:rsid w:val="00E83341"/>
    <w:rsid w:val="00E83512"/>
    <w:rsid w:val="00E83A2C"/>
    <w:rsid w:val="00E84C31"/>
    <w:rsid w:val="00E8543C"/>
    <w:rsid w:val="00E86484"/>
    <w:rsid w:val="00E86D96"/>
    <w:rsid w:val="00E87886"/>
    <w:rsid w:val="00E87EFE"/>
    <w:rsid w:val="00E903EE"/>
    <w:rsid w:val="00E90827"/>
    <w:rsid w:val="00E91695"/>
    <w:rsid w:val="00E91B7A"/>
    <w:rsid w:val="00E92EA2"/>
    <w:rsid w:val="00E93763"/>
    <w:rsid w:val="00E9404B"/>
    <w:rsid w:val="00E94C5D"/>
    <w:rsid w:val="00E952F0"/>
    <w:rsid w:val="00E960B4"/>
    <w:rsid w:val="00E9627C"/>
    <w:rsid w:val="00E976A0"/>
    <w:rsid w:val="00EA1EDF"/>
    <w:rsid w:val="00EA26DB"/>
    <w:rsid w:val="00EA30FE"/>
    <w:rsid w:val="00EA33BC"/>
    <w:rsid w:val="00EA3A1C"/>
    <w:rsid w:val="00EA4778"/>
    <w:rsid w:val="00EA4882"/>
    <w:rsid w:val="00EA4C2A"/>
    <w:rsid w:val="00EA4D38"/>
    <w:rsid w:val="00EA5BAE"/>
    <w:rsid w:val="00EA61D0"/>
    <w:rsid w:val="00EA632A"/>
    <w:rsid w:val="00EB0991"/>
    <w:rsid w:val="00EB0E8C"/>
    <w:rsid w:val="00EB174A"/>
    <w:rsid w:val="00EB1F67"/>
    <w:rsid w:val="00EB27A5"/>
    <w:rsid w:val="00EB30E6"/>
    <w:rsid w:val="00EB3406"/>
    <w:rsid w:val="00EB496A"/>
    <w:rsid w:val="00EB4C7C"/>
    <w:rsid w:val="00EB558F"/>
    <w:rsid w:val="00EB609E"/>
    <w:rsid w:val="00EB6D5E"/>
    <w:rsid w:val="00EB72E3"/>
    <w:rsid w:val="00EC0B21"/>
    <w:rsid w:val="00EC0C5B"/>
    <w:rsid w:val="00EC1E2B"/>
    <w:rsid w:val="00EC2D0F"/>
    <w:rsid w:val="00EC2EB5"/>
    <w:rsid w:val="00EC3E13"/>
    <w:rsid w:val="00EC4523"/>
    <w:rsid w:val="00EC52E2"/>
    <w:rsid w:val="00EC54C1"/>
    <w:rsid w:val="00EC584A"/>
    <w:rsid w:val="00EC6A73"/>
    <w:rsid w:val="00EC6B0A"/>
    <w:rsid w:val="00EC7786"/>
    <w:rsid w:val="00EC7D5B"/>
    <w:rsid w:val="00ED05AF"/>
    <w:rsid w:val="00ED0D8E"/>
    <w:rsid w:val="00ED1F27"/>
    <w:rsid w:val="00ED1FCD"/>
    <w:rsid w:val="00ED1FEE"/>
    <w:rsid w:val="00ED2D4E"/>
    <w:rsid w:val="00ED3C24"/>
    <w:rsid w:val="00ED45FD"/>
    <w:rsid w:val="00ED4B90"/>
    <w:rsid w:val="00ED543F"/>
    <w:rsid w:val="00ED5FA2"/>
    <w:rsid w:val="00ED628E"/>
    <w:rsid w:val="00ED6C07"/>
    <w:rsid w:val="00ED713C"/>
    <w:rsid w:val="00ED72DB"/>
    <w:rsid w:val="00ED7C8F"/>
    <w:rsid w:val="00EE12A5"/>
    <w:rsid w:val="00EE1B62"/>
    <w:rsid w:val="00EE215F"/>
    <w:rsid w:val="00EE2AAE"/>
    <w:rsid w:val="00EE2F03"/>
    <w:rsid w:val="00EE3A80"/>
    <w:rsid w:val="00EE4568"/>
    <w:rsid w:val="00EE4A67"/>
    <w:rsid w:val="00EE4AD0"/>
    <w:rsid w:val="00EE5428"/>
    <w:rsid w:val="00EE5C0D"/>
    <w:rsid w:val="00EE66FF"/>
    <w:rsid w:val="00EE7DDA"/>
    <w:rsid w:val="00EE7F96"/>
    <w:rsid w:val="00EF0261"/>
    <w:rsid w:val="00EF0BC2"/>
    <w:rsid w:val="00EF0CFC"/>
    <w:rsid w:val="00EF109B"/>
    <w:rsid w:val="00EF126C"/>
    <w:rsid w:val="00EF1C31"/>
    <w:rsid w:val="00EF2497"/>
    <w:rsid w:val="00EF280D"/>
    <w:rsid w:val="00EF3BE4"/>
    <w:rsid w:val="00EF5247"/>
    <w:rsid w:val="00EF5992"/>
    <w:rsid w:val="00EF6E31"/>
    <w:rsid w:val="00EF7C3C"/>
    <w:rsid w:val="00F00189"/>
    <w:rsid w:val="00F007D5"/>
    <w:rsid w:val="00F01112"/>
    <w:rsid w:val="00F01409"/>
    <w:rsid w:val="00F014A9"/>
    <w:rsid w:val="00F01562"/>
    <w:rsid w:val="00F0158F"/>
    <w:rsid w:val="00F03993"/>
    <w:rsid w:val="00F03A66"/>
    <w:rsid w:val="00F03F0D"/>
    <w:rsid w:val="00F04073"/>
    <w:rsid w:val="00F044F2"/>
    <w:rsid w:val="00F04E1A"/>
    <w:rsid w:val="00F0505D"/>
    <w:rsid w:val="00F053C2"/>
    <w:rsid w:val="00F0628F"/>
    <w:rsid w:val="00F0652C"/>
    <w:rsid w:val="00F079BD"/>
    <w:rsid w:val="00F07C23"/>
    <w:rsid w:val="00F10D3A"/>
    <w:rsid w:val="00F110BE"/>
    <w:rsid w:val="00F113B2"/>
    <w:rsid w:val="00F114DE"/>
    <w:rsid w:val="00F11841"/>
    <w:rsid w:val="00F11AE1"/>
    <w:rsid w:val="00F11BC9"/>
    <w:rsid w:val="00F12731"/>
    <w:rsid w:val="00F127AD"/>
    <w:rsid w:val="00F12A9C"/>
    <w:rsid w:val="00F12F9F"/>
    <w:rsid w:val="00F13CB4"/>
    <w:rsid w:val="00F14C85"/>
    <w:rsid w:val="00F14CE5"/>
    <w:rsid w:val="00F14DB2"/>
    <w:rsid w:val="00F15026"/>
    <w:rsid w:val="00F15920"/>
    <w:rsid w:val="00F15E9E"/>
    <w:rsid w:val="00F16257"/>
    <w:rsid w:val="00F16394"/>
    <w:rsid w:val="00F173B6"/>
    <w:rsid w:val="00F1759B"/>
    <w:rsid w:val="00F177AC"/>
    <w:rsid w:val="00F1793D"/>
    <w:rsid w:val="00F179CA"/>
    <w:rsid w:val="00F179FB"/>
    <w:rsid w:val="00F17A52"/>
    <w:rsid w:val="00F208F2"/>
    <w:rsid w:val="00F210A0"/>
    <w:rsid w:val="00F21FF9"/>
    <w:rsid w:val="00F22E0C"/>
    <w:rsid w:val="00F22EFE"/>
    <w:rsid w:val="00F23A09"/>
    <w:rsid w:val="00F23FB8"/>
    <w:rsid w:val="00F242CA"/>
    <w:rsid w:val="00F245D0"/>
    <w:rsid w:val="00F245DA"/>
    <w:rsid w:val="00F24842"/>
    <w:rsid w:val="00F24906"/>
    <w:rsid w:val="00F24DC1"/>
    <w:rsid w:val="00F253FA"/>
    <w:rsid w:val="00F25629"/>
    <w:rsid w:val="00F26054"/>
    <w:rsid w:val="00F263EA"/>
    <w:rsid w:val="00F2660A"/>
    <w:rsid w:val="00F26FD2"/>
    <w:rsid w:val="00F27168"/>
    <w:rsid w:val="00F2743F"/>
    <w:rsid w:val="00F276E8"/>
    <w:rsid w:val="00F279DE"/>
    <w:rsid w:val="00F27CDB"/>
    <w:rsid w:val="00F30438"/>
    <w:rsid w:val="00F31A1E"/>
    <w:rsid w:val="00F33A68"/>
    <w:rsid w:val="00F343EF"/>
    <w:rsid w:val="00F349DB"/>
    <w:rsid w:val="00F34BF7"/>
    <w:rsid w:val="00F34E0F"/>
    <w:rsid w:val="00F37545"/>
    <w:rsid w:val="00F415B1"/>
    <w:rsid w:val="00F41A48"/>
    <w:rsid w:val="00F41BAA"/>
    <w:rsid w:val="00F421C3"/>
    <w:rsid w:val="00F4360E"/>
    <w:rsid w:val="00F438B3"/>
    <w:rsid w:val="00F44249"/>
    <w:rsid w:val="00F46BFF"/>
    <w:rsid w:val="00F46D1E"/>
    <w:rsid w:val="00F502A2"/>
    <w:rsid w:val="00F52105"/>
    <w:rsid w:val="00F52570"/>
    <w:rsid w:val="00F52C33"/>
    <w:rsid w:val="00F531A9"/>
    <w:rsid w:val="00F53739"/>
    <w:rsid w:val="00F537DF"/>
    <w:rsid w:val="00F53987"/>
    <w:rsid w:val="00F53F8D"/>
    <w:rsid w:val="00F54182"/>
    <w:rsid w:val="00F541FD"/>
    <w:rsid w:val="00F54E12"/>
    <w:rsid w:val="00F5585F"/>
    <w:rsid w:val="00F5655E"/>
    <w:rsid w:val="00F570F6"/>
    <w:rsid w:val="00F60110"/>
    <w:rsid w:val="00F60729"/>
    <w:rsid w:val="00F611BC"/>
    <w:rsid w:val="00F61FC3"/>
    <w:rsid w:val="00F62673"/>
    <w:rsid w:val="00F62B74"/>
    <w:rsid w:val="00F63AF0"/>
    <w:rsid w:val="00F648BB"/>
    <w:rsid w:val="00F6552E"/>
    <w:rsid w:val="00F65886"/>
    <w:rsid w:val="00F66145"/>
    <w:rsid w:val="00F667E2"/>
    <w:rsid w:val="00F6747E"/>
    <w:rsid w:val="00F674A8"/>
    <w:rsid w:val="00F67732"/>
    <w:rsid w:val="00F708E0"/>
    <w:rsid w:val="00F70A28"/>
    <w:rsid w:val="00F715E7"/>
    <w:rsid w:val="00F73845"/>
    <w:rsid w:val="00F74547"/>
    <w:rsid w:val="00F7469F"/>
    <w:rsid w:val="00F74F2E"/>
    <w:rsid w:val="00F74FF0"/>
    <w:rsid w:val="00F75135"/>
    <w:rsid w:val="00F756A3"/>
    <w:rsid w:val="00F758E7"/>
    <w:rsid w:val="00F76420"/>
    <w:rsid w:val="00F76599"/>
    <w:rsid w:val="00F7703C"/>
    <w:rsid w:val="00F77408"/>
    <w:rsid w:val="00F80287"/>
    <w:rsid w:val="00F80511"/>
    <w:rsid w:val="00F82426"/>
    <w:rsid w:val="00F827AF"/>
    <w:rsid w:val="00F827C9"/>
    <w:rsid w:val="00F831DB"/>
    <w:rsid w:val="00F84A25"/>
    <w:rsid w:val="00F85E62"/>
    <w:rsid w:val="00F8692B"/>
    <w:rsid w:val="00F8696D"/>
    <w:rsid w:val="00F86ACF"/>
    <w:rsid w:val="00F87A0E"/>
    <w:rsid w:val="00F90017"/>
    <w:rsid w:val="00F90BA3"/>
    <w:rsid w:val="00F90E7E"/>
    <w:rsid w:val="00F9125B"/>
    <w:rsid w:val="00F9133F"/>
    <w:rsid w:val="00F91434"/>
    <w:rsid w:val="00F91B51"/>
    <w:rsid w:val="00F923BA"/>
    <w:rsid w:val="00F9283D"/>
    <w:rsid w:val="00F92F12"/>
    <w:rsid w:val="00F93096"/>
    <w:rsid w:val="00F933B9"/>
    <w:rsid w:val="00F93852"/>
    <w:rsid w:val="00F93AEB"/>
    <w:rsid w:val="00F93D33"/>
    <w:rsid w:val="00F94142"/>
    <w:rsid w:val="00F95339"/>
    <w:rsid w:val="00F958AA"/>
    <w:rsid w:val="00F959CB"/>
    <w:rsid w:val="00F95FC4"/>
    <w:rsid w:val="00F96932"/>
    <w:rsid w:val="00F96A22"/>
    <w:rsid w:val="00F96C16"/>
    <w:rsid w:val="00F97169"/>
    <w:rsid w:val="00F97294"/>
    <w:rsid w:val="00FA03D9"/>
    <w:rsid w:val="00FA0B98"/>
    <w:rsid w:val="00FA28AD"/>
    <w:rsid w:val="00FA29EE"/>
    <w:rsid w:val="00FA2A7E"/>
    <w:rsid w:val="00FA2AA9"/>
    <w:rsid w:val="00FA2E01"/>
    <w:rsid w:val="00FA312B"/>
    <w:rsid w:val="00FA3196"/>
    <w:rsid w:val="00FA32E7"/>
    <w:rsid w:val="00FA356F"/>
    <w:rsid w:val="00FA38F0"/>
    <w:rsid w:val="00FA3F6E"/>
    <w:rsid w:val="00FA4120"/>
    <w:rsid w:val="00FA4A80"/>
    <w:rsid w:val="00FA4CD4"/>
    <w:rsid w:val="00FA5444"/>
    <w:rsid w:val="00FA5798"/>
    <w:rsid w:val="00FA6954"/>
    <w:rsid w:val="00FA7520"/>
    <w:rsid w:val="00FB02C4"/>
    <w:rsid w:val="00FB06BB"/>
    <w:rsid w:val="00FB0CA0"/>
    <w:rsid w:val="00FB1796"/>
    <w:rsid w:val="00FB17DC"/>
    <w:rsid w:val="00FB1807"/>
    <w:rsid w:val="00FB23F2"/>
    <w:rsid w:val="00FB2B9B"/>
    <w:rsid w:val="00FB2EBC"/>
    <w:rsid w:val="00FB3021"/>
    <w:rsid w:val="00FB31D8"/>
    <w:rsid w:val="00FB3464"/>
    <w:rsid w:val="00FB376C"/>
    <w:rsid w:val="00FB4A99"/>
    <w:rsid w:val="00FB5835"/>
    <w:rsid w:val="00FB58D9"/>
    <w:rsid w:val="00FB5C65"/>
    <w:rsid w:val="00FB5EA0"/>
    <w:rsid w:val="00FB6498"/>
    <w:rsid w:val="00FB674D"/>
    <w:rsid w:val="00FB7902"/>
    <w:rsid w:val="00FC11BA"/>
    <w:rsid w:val="00FC1A0D"/>
    <w:rsid w:val="00FC1EBF"/>
    <w:rsid w:val="00FC2CB8"/>
    <w:rsid w:val="00FC35D0"/>
    <w:rsid w:val="00FC3E07"/>
    <w:rsid w:val="00FC3E5C"/>
    <w:rsid w:val="00FC4B95"/>
    <w:rsid w:val="00FC5205"/>
    <w:rsid w:val="00FC5579"/>
    <w:rsid w:val="00FC6FDC"/>
    <w:rsid w:val="00FC7135"/>
    <w:rsid w:val="00FC72E9"/>
    <w:rsid w:val="00FD21C2"/>
    <w:rsid w:val="00FD25ED"/>
    <w:rsid w:val="00FD2BFC"/>
    <w:rsid w:val="00FD3432"/>
    <w:rsid w:val="00FD3AD5"/>
    <w:rsid w:val="00FD3EDB"/>
    <w:rsid w:val="00FD4E41"/>
    <w:rsid w:val="00FD5782"/>
    <w:rsid w:val="00FD579B"/>
    <w:rsid w:val="00FD62F2"/>
    <w:rsid w:val="00FD67A7"/>
    <w:rsid w:val="00FD7474"/>
    <w:rsid w:val="00FD791E"/>
    <w:rsid w:val="00FD7A55"/>
    <w:rsid w:val="00FE1424"/>
    <w:rsid w:val="00FE1CB1"/>
    <w:rsid w:val="00FE2464"/>
    <w:rsid w:val="00FE2772"/>
    <w:rsid w:val="00FE2A8A"/>
    <w:rsid w:val="00FE422C"/>
    <w:rsid w:val="00FE49DE"/>
    <w:rsid w:val="00FE4B17"/>
    <w:rsid w:val="00FE573F"/>
    <w:rsid w:val="00FE7203"/>
    <w:rsid w:val="00FE7BD7"/>
    <w:rsid w:val="00FF059E"/>
    <w:rsid w:val="00FF0724"/>
    <w:rsid w:val="00FF0A7B"/>
    <w:rsid w:val="00FF0D04"/>
    <w:rsid w:val="00FF1A0B"/>
    <w:rsid w:val="00FF217F"/>
    <w:rsid w:val="00FF23B3"/>
    <w:rsid w:val="00FF23E1"/>
    <w:rsid w:val="00FF2610"/>
    <w:rsid w:val="00FF36BE"/>
    <w:rsid w:val="00FF4723"/>
    <w:rsid w:val="00FF4A9C"/>
    <w:rsid w:val="00FF4B27"/>
    <w:rsid w:val="00FF6629"/>
    <w:rsid w:val="00FF6632"/>
    <w:rsid w:val="00FF6677"/>
    <w:rsid w:val="00FF6AAC"/>
    <w:rsid w:val="00FF7795"/>
    <w:rsid w:val="0546AFF9"/>
    <w:rsid w:val="1D6D4C29"/>
    <w:rsid w:val="3CA56E8A"/>
    <w:rsid w:val="3F66E10C"/>
    <w:rsid w:val="51B4E403"/>
    <w:rsid w:val="54C4D588"/>
    <w:rsid w:val="7CDDA373"/>
    <w:rsid w:val="7EE50CEB"/>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F24D1"/>
  <w15:chartTrackingRefBased/>
  <w15:docId w15:val="{256DAF09-4AB9-4FAD-801D-CE688BF53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4"/>
        <w:szCs w:val="24"/>
        <w:lang w:val="en-NZ"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rsid w:val="005F55A7"/>
    <w:pPr>
      <w:spacing w:before="120" w:after="120" w:line="276" w:lineRule="auto"/>
    </w:pPr>
  </w:style>
  <w:style w:type="paragraph" w:styleId="Heading1">
    <w:name w:val="heading 1"/>
    <w:aliases w:val="Heading 1 numbered"/>
    <w:basedOn w:val="Normal"/>
    <w:next w:val="Normal"/>
    <w:link w:val="Heading1Char"/>
    <w:uiPriority w:val="9"/>
    <w:rsid w:val="00AD29D4"/>
    <w:pPr>
      <w:keepNext/>
      <w:keepLines/>
      <w:spacing w:before="360"/>
      <w:outlineLvl w:val="0"/>
    </w:pPr>
    <w:rPr>
      <w:rFonts w:eastAsiaTheme="majorEastAsia"/>
      <w:b/>
      <w:color w:val="1F3864" w:themeColor="accent1" w:themeShade="80"/>
      <w:sz w:val="44"/>
      <w:szCs w:val="44"/>
    </w:rPr>
  </w:style>
  <w:style w:type="paragraph" w:styleId="Heading2">
    <w:name w:val="heading 2"/>
    <w:aliases w:val="Heading 2 numbered"/>
    <w:basedOn w:val="Normal"/>
    <w:next w:val="Normal"/>
    <w:link w:val="Heading2Char"/>
    <w:uiPriority w:val="9"/>
    <w:unhideWhenUsed/>
    <w:rsid w:val="00AD29D4"/>
    <w:pPr>
      <w:keepNext/>
      <w:keepLines/>
      <w:spacing w:before="160"/>
      <w:outlineLvl w:val="1"/>
    </w:pPr>
    <w:rPr>
      <w:rFonts w:eastAsiaTheme="majorEastAsia"/>
      <w:b/>
      <w:color w:val="1F3864" w:themeColor="accent1" w:themeShade="80"/>
      <w:sz w:val="32"/>
      <w:szCs w:val="32"/>
    </w:rPr>
  </w:style>
  <w:style w:type="paragraph" w:styleId="Heading3">
    <w:name w:val="heading 3"/>
    <w:basedOn w:val="Heading2"/>
    <w:next w:val="BodyText"/>
    <w:link w:val="Heading3Char"/>
    <w:uiPriority w:val="9"/>
    <w:unhideWhenUsed/>
    <w:qFormat/>
    <w:rsid w:val="000D4E2D"/>
    <w:pPr>
      <w:outlineLvl w:val="2"/>
    </w:pPr>
    <w:rPr>
      <w:color w:val="0F385A"/>
      <w:sz w:val="29"/>
    </w:rPr>
  </w:style>
  <w:style w:type="paragraph" w:styleId="Heading4">
    <w:name w:val="heading 4"/>
    <w:basedOn w:val="Heading3"/>
    <w:next w:val="BodyText"/>
    <w:link w:val="Heading4Char"/>
    <w:uiPriority w:val="9"/>
    <w:unhideWhenUsed/>
    <w:qFormat/>
    <w:rsid w:val="00E5372A"/>
    <w:pPr>
      <w:outlineLvl w:val="3"/>
    </w:pPr>
    <w:rPr>
      <w:color w:val="auto"/>
      <w:sz w:val="24"/>
      <w:szCs w:val="24"/>
    </w:rPr>
  </w:style>
  <w:style w:type="paragraph" w:styleId="Heading5">
    <w:name w:val="heading 5"/>
    <w:next w:val="Normal"/>
    <w:link w:val="Heading5Char"/>
    <w:uiPriority w:val="9"/>
    <w:unhideWhenUsed/>
    <w:qFormat/>
    <w:rsid w:val="00642CDE"/>
    <w:pPr>
      <w:keepNext/>
      <w:keepLines/>
      <w:spacing w:before="40"/>
      <w:outlineLvl w:val="4"/>
    </w:pPr>
    <w:rPr>
      <w:rFonts w:eastAsiaTheme="majorEastAsia"/>
      <w:b/>
      <w:bCs/>
      <w:i/>
      <w:iCs/>
      <w:szCs w:val="22"/>
    </w:rPr>
  </w:style>
  <w:style w:type="paragraph" w:styleId="Heading6">
    <w:name w:val="heading 6"/>
    <w:basedOn w:val="Normal"/>
    <w:next w:val="Normal"/>
    <w:link w:val="Heading6Char"/>
    <w:uiPriority w:val="9"/>
    <w:unhideWhenUsed/>
    <w:rsid w:val="003758AA"/>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rsid w:val="006944AE"/>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rsid w:val="00540D2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40D2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E7686"/>
    <w:rPr>
      <w:rFonts w:eastAsiaTheme="minorEastAsia"/>
      <w:szCs w:val="22"/>
      <w:lang w:val="en-US" w:eastAsia="zh-CN"/>
    </w:rPr>
  </w:style>
  <w:style w:type="character" w:customStyle="1" w:styleId="NoSpacingChar">
    <w:name w:val="No Spacing Char"/>
    <w:basedOn w:val="DefaultParagraphFont"/>
    <w:link w:val="NoSpacing"/>
    <w:uiPriority w:val="1"/>
    <w:rsid w:val="00AE7686"/>
    <w:rPr>
      <w:rFonts w:ascii="Calibri" w:eastAsiaTheme="minorEastAsia" w:hAnsi="Calibri"/>
      <w:b w:val="0"/>
      <w:i w:val="0"/>
      <w:sz w:val="22"/>
      <w:szCs w:val="22"/>
      <w:lang w:val="en-US" w:eastAsia="zh-CN"/>
    </w:rPr>
  </w:style>
  <w:style w:type="paragraph" w:styleId="Header">
    <w:name w:val="header"/>
    <w:basedOn w:val="Normal"/>
    <w:link w:val="HeaderChar"/>
    <w:uiPriority w:val="99"/>
    <w:unhideWhenUsed/>
    <w:rsid w:val="00D50EE2"/>
    <w:pPr>
      <w:tabs>
        <w:tab w:val="center" w:pos="4513"/>
        <w:tab w:val="right" w:pos="9026"/>
      </w:tabs>
    </w:pPr>
  </w:style>
  <w:style w:type="character" w:customStyle="1" w:styleId="HeaderChar">
    <w:name w:val="Header Char"/>
    <w:basedOn w:val="DefaultParagraphFont"/>
    <w:link w:val="Header"/>
    <w:uiPriority w:val="99"/>
    <w:rsid w:val="00D50EE2"/>
    <w:rPr>
      <w:rFonts w:asciiTheme="majorHAnsi" w:hAnsiTheme="majorHAnsi" w:cs="Poppins Light"/>
      <w:b w:val="0"/>
      <w:i w:val="0"/>
      <w:color w:val="1D4A63"/>
      <w:sz w:val="20"/>
      <w:szCs w:val="20"/>
      <w:lang w:val="en-GB"/>
    </w:rPr>
  </w:style>
  <w:style w:type="paragraph" w:styleId="Footer">
    <w:name w:val="footer"/>
    <w:basedOn w:val="Normal"/>
    <w:link w:val="FooterChar"/>
    <w:uiPriority w:val="99"/>
    <w:unhideWhenUsed/>
    <w:rsid w:val="00D50EE2"/>
    <w:pPr>
      <w:tabs>
        <w:tab w:val="center" w:pos="4513"/>
        <w:tab w:val="right" w:pos="9026"/>
      </w:tabs>
    </w:pPr>
    <w:rPr>
      <w:b/>
    </w:rPr>
  </w:style>
  <w:style w:type="character" w:customStyle="1" w:styleId="FooterChar">
    <w:name w:val="Footer Char"/>
    <w:basedOn w:val="DefaultParagraphFont"/>
    <w:link w:val="Footer"/>
    <w:uiPriority w:val="99"/>
    <w:rsid w:val="00D50EE2"/>
    <w:rPr>
      <w:rFonts w:asciiTheme="majorHAnsi" w:hAnsiTheme="majorHAnsi" w:cs="Poppins Light"/>
      <w:b/>
      <w:i w:val="0"/>
      <w:color w:val="1D4A63"/>
      <w:sz w:val="20"/>
      <w:szCs w:val="20"/>
      <w:lang w:val="en-GB"/>
    </w:rPr>
  </w:style>
  <w:style w:type="paragraph" w:customStyle="1" w:styleId="BasicParagraph">
    <w:name w:val="[Basic Paragraph]"/>
    <w:basedOn w:val="Normal"/>
    <w:uiPriority w:val="99"/>
    <w:rsid w:val="00D50EE2"/>
    <w:pPr>
      <w:autoSpaceDE w:val="0"/>
      <w:autoSpaceDN w:val="0"/>
      <w:adjustRightInd w:val="0"/>
      <w:spacing w:line="288" w:lineRule="auto"/>
      <w:textAlignment w:val="center"/>
    </w:pPr>
    <w:rPr>
      <w:rFonts w:cs="Minion Pro"/>
      <w:color w:val="000000"/>
      <w:lang w:val="en-US"/>
    </w:rPr>
  </w:style>
  <w:style w:type="paragraph" w:styleId="Title">
    <w:name w:val="Title"/>
    <w:basedOn w:val="Normal"/>
    <w:next w:val="Normal"/>
    <w:link w:val="TitleChar"/>
    <w:qFormat/>
    <w:rsid w:val="00726C6D"/>
    <w:pPr>
      <w:spacing w:before="0" w:after="240"/>
      <w:contextualSpacing/>
      <w:outlineLvl w:val="0"/>
    </w:pPr>
    <w:rPr>
      <w:rFonts w:eastAsiaTheme="majorEastAsia"/>
      <w:b/>
      <w:color w:val="1F3864" w:themeColor="accent1" w:themeShade="80"/>
      <w:spacing w:val="-10"/>
      <w:kern w:val="28"/>
      <w:sz w:val="80"/>
      <w:szCs w:val="80"/>
    </w:rPr>
  </w:style>
  <w:style w:type="character" w:customStyle="1" w:styleId="TitleChar">
    <w:name w:val="Title Char"/>
    <w:basedOn w:val="DefaultParagraphFont"/>
    <w:link w:val="Title"/>
    <w:rsid w:val="005F55A7"/>
    <w:rPr>
      <w:rFonts w:eastAsiaTheme="majorEastAsia"/>
      <w:b/>
      <w:color w:val="1F3864" w:themeColor="accent1" w:themeShade="80"/>
      <w:spacing w:val="-10"/>
      <w:kern w:val="28"/>
      <w:sz w:val="80"/>
      <w:szCs w:val="80"/>
    </w:rPr>
  </w:style>
  <w:style w:type="character" w:customStyle="1" w:styleId="Heading1Char">
    <w:name w:val="Heading 1 Char"/>
    <w:aliases w:val="Heading 1 numbered Char"/>
    <w:basedOn w:val="DefaultParagraphFont"/>
    <w:link w:val="Heading1"/>
    <w:uiPriority w:val="9"/>
    <w:rsid w:val="00AD29D4"/>
    <w:rPr>
      <w:rFonts w:eastAsiaTheme="majorEastAsia"/>
      <w:b/>
      <w:color w:val="1F3864" w:themeColor="accent1" w:themeShade="80"/>
      <w:sz w:val="44"/>
      <w:szCs w:val="44"/>
    </w:rPr>
  </w:style>
  <w:style w:type="paragraph" w:customStyle="1" w:styleId="Intro">
    <w:name w:val="Intro"/>
    <w:basedOn w:val="BasicParagraph"/>
    <w:qFormat/>
    <w:rsid w:val="00C10A32"/>
    <w:pPr>
      <w:spacing w:after="200" w:line="216" w:lineRule="auto"/>
    </w:pPr>
    <w:rPr>
      <w:rFonts w:eastAsia="Calibri" w:cs="Calibri"/>
      <w:color w:val="0F385A"/>
      <w:w w:val="105"/>
      <w:sz w:val="38"/>
      <w:szCs w:val="22"/>
    </w:rPr>
  </w:style>
  <w:style w:type="character" w:customStyle="1" w:styleId="Heading2Char">
    <w:name w:val="Heading 2 Char"/>
    <w:aliases w:val="Heading 2 numbered Char"/>
    <w:basedOn w:val="DefaultParagraphFont"/>
    <w:link w:val="Heading2"/>
    <w:uiPriority w:val="9"/>
    <w:rsid w:val="00AD29D4"/>
    <w:rPr>
      <w:rFonts w:ascii="Calibri" w:eastAsiaTheme="majorEastAsia" w:hAnsi="Calibri" w:cstheme="minorHAnsi"/>
      <w:b/>
      <w:i w:val="0"/>
      <w:color w:val="1F3864" w:themeColor="accent1" w:themeShade="80"/>
      <w:sz w:val="32"/>
      <w:szCs w:val="32"/>
      <w:lang w:val="en-GB"/>
    </w:rPr>
  </w:style>
  <w:style w:type="character" w:customStyle="1" w:styleId="Heading3Char">
    <w:name w:val="Heading 3 Char"/>
    <w:basedOn w:val="DefaultParagraphFont"/>
    <w:link w:val="Heading3"/>
    <w:uiPriority w:val="9"/>
    <w:rsid w:val="000D4E2D"/>
    <w:rPr>
      <w:rFonts w:asciiTheme="minorHAnsi" w:eastAsia="Calibri" w:hAnsiTheme="minorHAnsi" w:cstheme="minorHAnsi"/>
      <w:b/>
      <w:i w:val="0"/>
      <w:color w:val="0F385A"/>
      <w:sz w:val="29"/>
      <w:szCs w:val="22"/>
      <w:lang w:val="en-US"/>
    </w:rPr>
  </w:style>
  <w:style w:type="character" w:customStyle="1" w:styleId="Heading4Char">
    <w:name w:val="Heading 4 Char"/>
    <w:basedOn w:val="DefaultParagraphFont"/>
    <w:link w:val="Heading4"/>
    <w:uiPriority w:val="9"/>
    <w:rsid w:val="00E5372A"/>
    <w:rPr>
      <w:rFonts w:asciiTheme="minorHAnsi" w:eastAsia="Calibri" w:hAnsiTheme="minorHAnsi" w:cstheme="minorHAnsi"/>
      <w:b/>
      <w:i w:val="0"/>
      <w:sz w:val="24"/>
      <w:lang w:val="en-US"/>
    </w:rPr>
  </w:style>
  <w:style w:type="paragraph" w:styleId="ListParagraph">
    <w:name w:val="List Paragraph"/>
    <w:aliases w:val="Rec para,List Paragraph1,Recommendation,List Paragraph11,List Paragraph - Bullet Point,Dot pt,F5 List Paragraph,No Spacing1,List Paragraph Char Char Char,Indicator Text,Numbered Para 1,Bullet 1,MAIN CONTENT,List Paragraph12"/>
    <w:basedOn w:val="Normal"/>
    <w:link w:val="ListParagraphChar"/>
    <w:uiPriority w:val="34"/>
    <w:qFormat/>
    <w:rsid w:val="00062E3D"/>
    <w:pPr>
      <w:ind w:left="720"/>
      <w:contextualSpacing/>
    </w:pPr>
  </w:style>
  <w:style w:type="paragraph" w:customStyle="1" w:styleId="Bullets">
    <w:name w:val="Bullets"/>
    <w:basedOn w:val="ListParagraph"/>
    <w:rsid w:val="00062E3D"/>
    <w:pPr>
      <w:numPr>
        <w:numId w:val="1"/>
      </w:numPr>
      <w:ind w:left="454" w:firstLine="0"/>
    </w:pPr>
  </w:style>
  <w:style w:type="paragraph" w:customStyle="1" w:styleId="BodyBoldIndented">
    <w:name w:val="Body Bold Indented"/>
    <w:basedOn w:val="Normal"/>
    <w:rsid w:val="00062E3D"/>
    <w:pPr>
      <w:ind w:left="454"/>
    </w:pPr>
    <w:rPr>
      <w:b/>
      <w:bCs/>
    </w:rPr>
  </w:style>
  <w:style w:type="paragraph" w:customStyle="1" w:styleId="Highlight">
    <w:name w:val="Highlight"/>
    <w:basedOn w:val="BasicParagraph"/>
    <w:rsid w:val="00D50EE2"/>
    <w:rPr>
      <w:rFonts w:cstheme="majorHAnsi"/>
      <w:color w:val="1D4A63"/>
      <w:sz w:val="40"/>
      <w:szCs w:val="40"/>
    </w:rPr>
  </w:style>
  <w:style w:type="character" w:styleId="PageNumber">
    <w:name w:val="page number"/>
    <w:basedOn w:val="DefaultParagraphFont"/>
    <w:uiPriority w:val="99"/>
    <w:semiHidden/>
    <w:unhideWhenUsed/>
    <w:rsid w:val="00A258CD"/>
    <w:rPr>
      <w:rFonts w:ascii="Calibri" w:hAnsi="Calibri"/>
      <w:b w:val="0"/>
      <w:i w:val="0"/>
      <w:sz w:val="24"/>
    </w:rPr>
  </w:style>
  <w:style w:type="paragraph" w:customStyle="1" w:styleId="FooterTitle">
    <w:name w:val="Footer Title"/>
    <w:basedOn w:val="Footer"/>
    <w:rsid w:val="00D50EE2"/>
    <w:rPr>
      <w:b w:val="0"/>
    </w:rPr>
  </w:style>
  <w:style w:type="paragraph" w:customStyle="1" w:styleId="DocumentTitle">
    <w:name w:val="Document Title"/>
    <w:basedOn w:val="Normal"/>
    <w:rsid w:val="00D50EE2"/>
    <w:pPr>
      <w:autoSpaceDE w:val="0"/>
      <w:autoSpaceDN w:val="0"/>
      <w:adjustRightInd w:val="0"/>
      <w:spacing w:before="0" w:after="0" w:line="240" w:lineRule="auto"/>
      <w:textAlignment w:val="center"/>
    </w:pPr>
    <w:rPr>
      <w:rFonts w:cs="Montserrat"/>
      <w:b/>
      <w:bCs/>
      <w:color w:val="FFFFFF" w:themeColor="background1"/>
      <w:sz w:val="80"/>
      <w:szCs w:val="80"/>
      <w:lang w:val="en-US"/>
      <w14:textOutline w14:w="9525" w14:cap="flat" w14:cmpd="sng" w14:algn="ctr">
        <w14:noFill/>
        <w14:prstDash w14:val="solid"/>
        <w14:round/>
      </w14:textOutline>
    </w:rPr>
  </w:style>
  <w:style w:type="paragraph" w:styleId="Subtitle">
    <w:name w:val="Subtitle"/>
    <w:basedOn w:val="Normal"/>
    <w:next w:val="Normal"/>
    <w:link w:val="SubtitleChar"/>
    <w:uiPriority w:val="11"/>
    <w:rsid w:val="00D50EE2"/>
    <w:pPr>
      <w:numPr>
        <w:ilvl w:val="1"/>
      </w:numPr>
      <w:spacing w:after="160"/>
    </w:pPr>
    <w:rPr>
      <w:rFonts w:eastAsiaTheme="minorEastAsia"/>
      <w:color w:val="5A5A5A" w:themeColor="text1" w:themeTint="A5"/>
      <w:spacing w:val="15"/>
      <w:szCs w:val="22"/>
    </w:rPr>
  </w:style>
  <w:style w:type="character" w:customStyle="1" w:styleId="SubtitleChar">
    <w:name w:val="Subtitle Char"/>
    <w:basedOn w:val="DefaultParagraphFont"/>
    <w:link w:val="Subtitle"/>
    <w:uiPriority w:val="11"/>
    <w:rsid w:val="00D50EE2"/>
    <w:rPr>
      <w:rFonts w:ascii="Calibri" w:eastAsiaTheme="minorEastAsia" w:hAnsi="Calibri"/>
      <w:b w:val="0"/>
      <w:i w:val="0"/>
      <w:color w:val="5A5A5A" w:themeColor="text1" w:themeTint="A5"/>
      <w:spacing w:val="15"/>
      <w:sz w:val="22"/>
      <w:szCs w:val="22"/>
      <w:lang w:val="en-GB"/>
    </w:rPr>
  </w:style>
  <w:style w:type="character" w:styleId="SubtleEmphasis">
    <w:name w:val="Subtle Emphasis"/>
    <w:basedOn w:val="DefaultParagraphFont"/>
    <w:uiPriority w:val="19"/>
    <w:rsid w:val="00D50EE2"/>
    <w:rPr>
      <w:rFonts w:asciiTheme="majorHAnsi" w:hAnsiTheme="majorHAnsi"/>
      <w:b w:val="0"/>
      <w:i/>
      <w:iCs/>
      <w:color w:val="404040" w:themeColor="text1" w:themeTint="BF"/>
      <w:sz w:val="24"/>
    </w:rPr>
  </w:style>
  <w:style w:type="character" w:styleId="Emphasis">
    <w:name w:val="Emphasis"/>
    <w:basedOn w:val="DefaultParagraphFont"/>
    <w:uiPriority w:val="20"/>
    <w:rsid w:val="00D50EE2"/>
    <w:rPr>
      <w:rFonts w:asciiTheme="majorHAnsi" w:hAnsiTheme="majorHAnsi"/>
      <w:b w:val="0"/>
      <w:i/>
      <w:iCs/>
      <w:sz w:val="24"/>
    </w:rPr>
  </w:style>
  <w:style w:type="character" w:styleId="Strong">
    <w:name w:val="Strong"/>
    <w:basedOn w:val="DefaultParagraphFont"/>
    <w:uiPriority w:val="22"/>
    <w:rsid w:val="00D50EE2"/>
    <w:rPr>
      <w:rFonts w:asciiTheme="majorHAnsi" w:hAnsiTheme="majorHAnsi"/>
      <w:b/>
      <w:bCs/>
      <w:i w:val="0"/>
      <w:sz w:val="24"/>
    </w:rPr>
  </w:style>
  <w:style w:type="paragraph" w:styleId="IntenseQuote">
    <w:name w:val="Intense Quote"/>
    <w:basedOn w:val="Normal"/>
    <w:next w:val="Normal"/>
    <w:link w:val="IntenseQuoteChar"/>
    <w:uiPriority w:val="30"/>
    <w:rsid w:val="00D50EE2"/>
    <w:pPr>
      <w:pBdr>
        <w:top w:val="single" w:sz="4" w:space="10" w:color="4472C4" w:themeColor="accent1"/>
        <w:bottom w:val="single" w:sz="4" w:space="10" w:color="4472C4" w:themeColor="accent1"/>
      </w:pBdr>
      <w:spacing w:before="360" w:after="360"/>
      <w:ind w:left="864" w:right="864"/>
      <w:jc w:val="center"/>
    </w:pPr>
    <w:rPr>
      <w:i/>
      <w:iCs/>
      <w:color w:val="60B9D8"/>
    </w:rPr>
  </w:style>
  <w:style w:type="character" w:customStyle="1" w:styleId="IntenseQuoteChar">
    <w:name w:val="Intense Quote Char"/>
    <w:basedOn w:val="DefaultParagraphFont"/>
    <w:link w:val="IntenseQuote"/>
    <w:uiPriority w:val="30"/>
    <w:rsid w:val="00D50EE2"/>
    <w:rPr>
      <w:rFonts w:asciiTheme="majorHAnsi" w:hAnsiTheme="majorHAnsi" w:cs="Poppins Light"/>
      <w:b w:val="0"/>
      <w:i/>
      <w:iCs/>
      <w:color w:val="60B9D8"/>
      <w:sz w:val="20"/>
      <w:szCs w:val="20"/>
      <w:lang w:val="en-GB"/>
    </w:rPr>
  </w:style>
  <w:style w:type="character" w:styleId="SubtleReference">
    <w:name w:val="Subtle Reference"/>
    <w:basedOn w:val="DefaultParagraphFont"/>
    <w:uiPriority w:val="31"/>
    <w:rsid w:val="00D50EE2"/>
    <w:rPr>
      <w:rFonts w:asciiTheme="majorHAnsi" w:hAnsiTheme="majorHAnsi"/>
      <w:b w:val="0"/>
      <w:i w:val="0"/>
      <w:smallCaps/>
      <w:color w:val="5A5A5A" w:themeColor="text1" w:themeTint="A5"/>
      <w:sz w:val="24"/>
    </w:rPr>
  </w:style>
  <w:style w:type="character" w:styleId="IntenseReference">
    <w:name w:val="Intense Reference"/>
    <w:basedOn w:val="DefaultParagraphFont"/>
    <w:uiPriority w:val="32"/>
    <w:rsid w:val="00D50EE2"/>
    <w:rPr>
      <w:rFonts w:asciiTheme="majorHAnsi" w:hAnsiTheme="majorHAnsi"/>
      <w:b/>
      <w:bCs/>
      <w:i w:val="0"/>
      <w:smallCaps/>
      <w:color w:val="60B9D8"/>
      <w:spacing w:val="5"/>
      <w:sz w:val="24"/>
    </w:rPr>
  </w:style>
  <w:style w:type="character" w:styleId="BookTitle">
    <w:name w:val="Book Title"/>
    <w:basedOn w:val="DefaultParagraphFont"/>
    <w:uiPriority w:val="33"/>
    <w:rsid w:val="00D50EE2"/>
    <w:rPr>
      <w:rFonts w:asciiTheme="majorHAnsi" w:hAnsiTheme="majorHAnsi"/>
      <w:b/>
      <w:bCs/>
      <w:i/>
      <w:iCs/>
      <w:spacing w:val="5"/>
      <w:sz w:val="24"/>
    </w:rPr>
  </w:style>
  <w:style w:type="character" w:styleId="IntenseEmphasis">
    <w:name w:val="Intense Emphasis"/>
    <w:basedOn w:val="DefaultParagraphFont"/>
    <w:uiPriority w:val="21"/>
    <w:qFormat/>
    <w:rsid w:val="000944DC"/>
    <w:rPr>
      <w:rFonts w:asciiTheme="minorHAnsi" w:hAnsiTheme="minorHAnsi" w:cs="Calibri"/>
      <w:b w:val="0"/>
      <w:i/>
      <w:iCs/>
      <w:color w:val="0F385A"/>
      <w:sz w:val="24"/>
    </w:rPr>
  </w:style>
  <w:style w:type="paragraph" w:styleId="BodyText">
    <w:name w:val="Body Text"/>
    <w:basedOn w:val="Normal"/>
    <w:link w:val="BodyTextChar"/>
    <w:uiPriority w:val="1"/>
    <w:qFormat/>
    <w:rsid w:val="00E5372A"/>
  </w:style>
  <w:style w:type="character" w:customStyle="1" w:styleId="BodyTextChar">
    <w:name w:val="Body Text Char"/>
    <w:basedOn w:val="DefaultParagraphFont"/>
    <w:link w:val="BodyText"/>
    <w:uiPriority w:val="1"/>
    <w:rsid w:val="00E5372A"/>
    <w:rPr>
      <w:rFonts w:ascii="Calibri" w:hAnsi="Calibri"/>
      <w:b w:val="0"/>
      <w:i w:val="0"/>
      <w:sz w:val="24"/>
    </w:rPr>
  </w:style>
  <w:style w:type="character" w:customStyle="1" w:styleId="Heading5Char">
    <w:name w:val="Heading 5 Char"/>
    <w:basedOn w:val="DefaultParagraphFont"/>
    <w:link w:val="Heading5"/>
    <w:uiPriority w:val="9"/>
    <w:rsid w:val="00642CDE"/>
    <w:rPr>
      <w:rFonts w:ascii="Calibri" w:eastAsiaTheme="majorEastAsia" w:hAnsi="Calibri"/>
      <w:b/>
      <w:bCs/>
      <w:i/>
      <w:iCs/>
      <w:sz w:val="24"/>
      <w:szCs w:val="22"/>
    </w:rPr>
  </w:style>
  <w:style w:type="character" w:customStyle="1" w:styleId="Heading6Char">
    <w:name w:val="Heading 6 Char"/>
    <w:basedOn w:val="DefaultParagraphFont"/>
    <w:link w:val="Heading6"/>
    <w:uiPriority w:val="9"/>
    <w:rsid w:val="003758AA"/>
    <w:rPr>
      <w:rFonts w:asciiTheme="majorHAnsi" w:eastAsiaTheme="majorEastAsia" w:hAnsiTheme="majorHAnsi" w:cstheme="majorBidi"/>
      <w:b w:val="0"/>
      <w:i w:val="0"/>
      <w:color w:val="1F3763" w:themeColor="accent1" w:themeShade="7F"/>
      <w:sz w:val="20"/>
      <w:szCs w:val="20"/>
      <w:lang w:val="en-GB"/>
    </w:rPr>
  </w:style>
  <w:style w:type="paragraph" w:styleId="Quote">
    <w:name w:val="Quote"/>
    <w:basedOn w:val="Highlight"/>
    <w:next w:val="Normal"/>
    <w:link w:val="QuoteChar"/>
    <w:uiPriority w:val="29"/>
    <w:qFormat/>
    <w:rsid w:val="000944DC"/>
    <w:pPr>
      <w:spacing w:line="216" w:lineRule="auto"/>
    </w:pPr>
    <w:rPr>
      <w:rFonts w:asciiTheme="minorHAnsi" w:hAnsiTheme="minorHAnsi" w:cstheme="minorHAnsi"/>
      <w:i/>
      <w:color w:val="0F385A"/>
      <w:sz w:val="32"/>
      <w:szCs w:val="32"/>
    </w:rPr>
  </w:style>
  <w:style w:type="character" w:customStyle="1" w:styleId="QuoteChar">
    <w:name w:val="Quote Char"/>
    <w:basedOn w:val="DefaultParagraphFont"/>
    <w:link w:val="Quote"/>
    <w:uiPriority w:val="29"/>
    <w:rsid w:val="000944DC"/>
    <w:rPr>
      <w:rFonts w:asciiTheme="minorHAnsi" w:hAnsiTheme="minorHAnsi" w:cstheme="minorHAnsi"/>
      <w:b w:val="0"/>
      <w:i/>
      <w:color w:val="0F385A"/>
      <w:sz w:val="32"/>
      <w:szCs w:val="32"/>
      <w:lang w:val="en-US"/>
    </w:rPr>
  </w:style>
  <w:style w:type="paragraph" w:customStyle="1" w:styleId="sectionheader-chapternumber">
    <w:name w:val="section header - chapter number"/>
    <w:basedOn w:val="Normal"/>
    <w:rsid w:val="003758AA"/>
    <w:rPr>
      <w:color w:val="FFFFFF" w:themeColor="background1"/>
    </w:rPr>
  </w:style>
  <w:style w:type="character" w:styleId="Hyperlink">
    <w:name w:val="Hyperlink"/>
    <w:basedOn w:val="DefaultParagraphFont"/>
    <w:uiPriority w:val="99"/>
    <w:unhideWhenUsed/>
    <w:rsid w:val="00D95F50"/>
    <w:rPr>
      <w:rFonts w:ascii="Calibri" w:hAnsi="Calibri"/>
      <w:b w:val="0"/>
      <w:i w:val="0"/>
      <w:color w:val="0563C1" w:themeColor="hyperlink"/>
      <w:sz w:val="24"/>
      <w:u w:val="single"/>
    </w:rPr>
  </w:style>
  <w:style w:type="paragraph" w:customStyle="1" w:styleId="ContentsPartheading">
    <w:name w:val="Contents Part heading"/>
    <w:basedOn w:val="Normal"/>
    <w:uiPriority w:val="99"/>
    <w:rsid w:val="00D95F50"/>
    <w:pPr>
      <w:pBdr>
        <w:bottom w:val="single" w:sz="8" w:space="8" w:color="0F385A"/>
      </w:pBdr>
      <w:tabs>
        <w:tab w:val="right" w:pos="7120"/>
      </w:tabs>
      <w:suppressAutoHyphens/>
      <w:autoSpaceDE w:val="0"/>
      <w:autoSpaceDN w:val="0"/>
      <w:adjustRightInd w:val="0"/>
      <w:spacing w:before="170" w:after="283" w:line="200" w:lineRule="atLeast"/>
      <w:textAlignment w:val="center"/>
    </w:pPr>
    <w:rPr>
      <w:rFonts w:ascii="Ebony" w:hAnsi="Ebony" w:cs="Ebony"/>
      <w:b/>
      <w:bCs/>
      <w:caps/>
      <w:color w:val="6AC07A"/>
      <w:lang w:val="en-US"/>
    </w:rPr>
  </w:style>
  <w:style w:type="paragraph" w:customStyle="1" w:styleId="Contentsbody">
    <w:name w:val="Contents body"/>
    <w:basedOn w:val="Normal"/>
    <w:uiPriority w:val="99"/>
    <w:rsid w:val="00D95F50"/>
    <w:pPr>
      <w:tabs>
        <w:tab w:val="decimal" w:leader="dot" w:pos="2740"/>
        <w:tab w:val="decimal" w:leader="dot" w:pos="4180"/>
        <w:tab w:val="right" w:pos="7160"/>
      </w:tabs>
      <w:suppressAutoHyphens/>
      <w:autoSpaceDE w:val="0"/>
      <w:autoSpaceDN w:val="0"/>
      <w:adjustRightInd w:val="0"/>
      <w:spacing w:before="0" w:after="28" w:line="280" w:lineRule="atLeast"/>
      <w:jc w:val="right"/>
      <w:textAlignment w:val="center"/>
    </w:pPr>
    <w:rPr>
      <w:rFonts w:ascii="Ebony Lt" w:hAnsi="Ebony Lt" w:cs="Ebony Lt"/>
      <w:color w:val="0F385A"/>
      <w:lang w:val="en-US"/>
    </w:rPr>
  </w:style>
  <w:style w:type="paragraph" w:customStyle="1" w:styleId="SIDEBAR-QUOTE">
    <w:name w:val="SIDEBAR - QUOTE"/>
    <w:basedOn w:val="Normal"/>
    <w:rsid w:val="00F541FD"/>
    <w:pPr>
      <w:widowControl w:val="0"/>
      <w:autoSpaceDE w:val="0"/>
      <w:autoSpaceDN w:val="0"/>
      <w:spacing w:before="215" w:after="0" w:line="204" w:lineRule="auto"/>
      <w:ind w:left="246" w:right="350" w:firstLine="13"/>
    </w:pPr>
    <w:rPr>
      <w:rFonts w:eastAsia="Calibri-Light" w:hAnsi="Calibri-Light" w:cs="Calibri-Light"/>
      <w:i/>
      <w:color w:val="89CB92"/>
      <w:sz w:val="26"/>
      <w:szCs w:val="22"/>
      <w:lang w:val="en-US"/>
    </w:rPr>
  </w:style>
  <w:style w:type="character" w:customStyle="1" w:styleId="Heading7Char">
    <w:name w:val="Heading 7 Char"/>
    <w:basedOn w:val="DefaultParagraphFont"/>
    <w:link w:val="Heading7"/>
    <w:uiPriority w:val="9"/>
    <w:rsid w:val="006944AE"/>
    <w:rPr>
      <w:rFonts w:asciiTheme="majorHAnsi" w:eastAsiaTheme="majorEastAsia" w:hAnsiTheme="majorHAnsi" w:cstheme="majorBidi"/>
      <w:b w:val="0"/>
      <w:i/>
      <w:iCs/>
      <w:color w:val="1F3763" w:themeColor="accent1" w:themeShade="7F"/>
      <w:sz w:val="20"/>
      <w:szCs w:val="20"/>
      <w:lang w:val="en-GB"/>
    </w:rPr>
  </w:style>
  <w:style w:type="paragraph" w:customStyle="1" w:styleId="TableParagraph">
    <w:name w:val="Table Paragraph"/>
    <w:basedOn w:val="Normal"/>
    <w:uiPriority w:val="1"/>
    <w:qFormat/>
    <w:rsid w:val="00F5655E"/>
    <w:pPr>
      <w:widowControl w:val="0"/>
      <w:autoSpaceDE w:val="0"/>
      <w:autoSpaceDN w:val="0"/>
      <w:ind w:left="170"/>
    </w:pPr>
    <w:rPr>
      <w:rFonts w:eastAsia="Yu Mincho"/>
      <w:sz w:val="22"/>
      <w:szCs w:val="22"/>
      <w:lang w:val="en-US" w:eastAsia="ja-JP"/>
    </w:rPr>
  </w:style>
  <w:style w:type="table" w:styleId="GridTable5Dark-Accent5">
    <w:name w:val="Grid Table 5 Dark Accent 5"/>
    <w:basedOn w:val="TableNormal"/>
    <w:uiPriority w:val="50"/>
    <w:rsid w:val="00642CDE"/>
    <w:pPr>
      <w:widowControl w:val="0"/>
      <w:autoSpaceDE w:val="0"/>
      <w:autoSpaceDN w:val="0"/>
    </w:pPr>
    <w:rPr>
      <w:rFonts w:cs="Arial (Body CS)"/>
      <w:szCs w:val="22"/>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ListTable4-Accent5">
    <w:name w:val="List Table 4 Accent 5"/>
    <w:basedOn w:val="TableNormal"/>
    <w:uiPriority w:val="49"/>
    <w:rsid w:val="00642CDE"/>
    <w:pPr>
      <w:widowControl w:val="0"/>
      <w:autoSpaceDE w:val="0"/>
      <w:autoSpaceDN w:val="0"/>
    </w:pPr>
    <w:rPr>
      <w:rFonts w:cs="Arial (Body CS)"/>
      <w:szCs w:val="22"/>
      <w:lang w:val="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PBODYCOPY">
    <w:name w:val="P BODY COPY"/>
    <w:basedOn w:val="Normal"/>
    <w:uiPriority w:val="99"/>
    <w:rsid w:val="006944AE"/>
    <w:pPr>
      <w:suppressAutoHyphens/>
      <w:autoSpaceDE w:val="0"/>
      <w:autoSpaceDN w:val="0"/>
      <w:adjustRightInd w:val="0"/>
      <w:spacing w:before="0" w:after="170" w:line="280" w:lineRule="atLeast"/>
      <w:textAlignment w:val="center"/>
    </w:pPr>
    <w:rPr>
      <w:rFonts w:ascii="Ebony Lt" w:hAnsi="Ebony Lt" w:cs="Ebony Lt"/>
      <w:color w:val="000000"/>
      <w:lang w:val="en-US"/>
    </w:rPr>
  </w:style>
  <w:style w:type="paragraph" w:customStyle="1" w:styleId="Bodybullets">
    <w:name w:val="Body bullets"/>
    <w:basedOn w:val="ListParagraph"/>
    <w:link w:val="BodybulletsChar"/>
    <w:uiPriority w:val="5"/>
    <w:qFormat/>
    <w:rsid w:val="00D31BF8"/>
    <w:pPr>
      <w:numPr>
        <w:numId w:val="10"/>
      </w:numPr>
    </w:pPr>
  </w:style>
  <w:style w:type="paragraph" w:styleId="BalloonText">
    <w:name w:val="Balloon Text"/>
    <w:basedOn w:val="Normal"/>
    <w:link w:val="BalloonTextChar"/>
    <w:uiPriority w:val="99"/>
    <w:semiHidden/>
    <w:unhideWhenUsed/>
    <w:rsid w:val="00687F09"/>
    <w:pPr>
      <w:spacing w:before="0"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87F09"/>
    <w:rPr>
      <w:rFonts w:ascii="Times New Roman" w:hAnsi="Times New Roman" w:cs="Times New Roman"/>
      <w:b w:val="0"/>
      <w:i w:val="0"/>
      <w:color w:val="000000" w:themeColor="text1"/>
      <w:sz w:val="18"/>
      <w:szCs w:val="18"/>
      <w:lang w:val="en-GB"/>
    </w:rPr>
  </w:style>
  <w:style w:type="paragraph" w:customStyle="1" w:styleId="Heading1nonumber">
    <w:name w:val="Heading 1 no number"/>
    <w:basedOn w:val="Heading1"/>
    <w:uiPriority w:val="1"/>
    <w:qFormat/>
    <w:rsid w:val="00B00E05"/>
    <w:pPr>
      <w:numPr>
        <w:numId w:val="21"/>
      </w:numPr>
      <w:ind w:left="431" w:hanging="431"/>
    </w:pPr>
  </w:style>
  <w:style w:type="numbering" w:customStyle="1" w:styleId="CurrentList1">
    <w:name w:val="Current List1"/>
    <w:uiPriority w:val="99"/>
    <w:rsid w:val="00D06859"/>
    <w:pPr>
      <w:numPr>
        <w:numId w:val="3"/>
      </w:numPr>
    </w:pPr>
  </w:style>
  <w:style w:type="numbering" w:customStyle="1" w:styleId="CurrentList2">
    <w:name w:val="Current List2"/>
    <w:uiPriority w:val="99"/>
    <w:rsid w:val="00BF1A38"/>
    <w:pPr>
      <w:numPr>
        <w:numId w:val="4"/>
      </w:numPr>
    </w:pPr>
  </w:style>
  <w:style w:type="numbering" w:customStyle="1" w:styleId="CurrentList3">
    <w:name w:val="Current List3"/>
    <w:uiPriority w:val="99"/>
    <w:rsid w:val="00BF1A38"/>
    <w:pPr>
      <w:numPr>
        <w:numId w:val="5"/>
      </w:numPr>
    </w:pPr>
  </w:style>
  <w:style w:type="numbering" w:customStyle="1" w:styleId="CurrentList4">
    <w:name w:val="Current List4"/>
    <w:uiPriority w:val="99"/>
    <w:rsid w:val="00BF1A38"/>
    <w:pPr>
      <w:numPr>
        <w:numId w:val="6"/>
      </w:numPr>
    </w:pPr>
  </w:style>
  <w:style w:type="numbering" w:customStyle="1" w:styleId="CurrentList5">
    <w:name w:val="Current List5"/>
    <w:uiPriority w:val="99"/>
    <w:rsid w:val="00BF1A38"/>
    <w:pPr>
      <w:numPr>
        <w:numId w:val="7"/>
      </w:numPr>
    </w:pPr>
  </w:style>
  <w:style w:type="numbering" w:customStyle="1" w:styleId="CurrentList6">
    <w:name w:val="Current List6"/>
    <w:uiPriority w:val="99"/>
    <w:rsid w:val="00BF1A38"/>
    <w:pPr>
      <w:numPr>
        <w:numId w:val="8"/>
      </w:numPr>
    </w:pPr>
  </w:style>
  <w:style w:type="numbering" w:customStyle="1" w:styleId="CurrentList7">
    <w:name w:val="Current List7"/>
    <w:uiPriority w:val="99"/>
    <w:rsid w:val="00BF1A38"/>
    <w:pPr>
      <w:numPr>
        <w:numId w:val="9"/>
      </w:numPr>
    </w:pPr>
  </w:style>
  <w:style w:type="paragraph" w:customStyle="1" w:styleId="Heading2nonumber">
    <w:name w:val="Heading 2 no number"/>
    <w:basedOn w:val="BodyText"/>
    <w:next w:val="BodyText"/>
    <w:uiPriority w:val="2"/>
    <w:qFormat/>
    <w:rsid w:val="00B00E05"/>
    <w:pPr>
      <w:numPr>
        <w:ilvl w:val="1"/>
        <w:numId w:val="21"/>
      </w:numPr>
      <w:spacing w:before="160"/>
      <w:ind w:left="578" w:hanging="578"/>
      <w:outlineLvl w:val="1"/>
    </w:pPr>
    <w:rPr>
      <w:rFonts w:asciiTheme="minorHAnsi" w:eastAsia="Calibri" w:hAnsiTheme="minorHAnsi" w:cstheme="minorHAnsi"/>
      <w:b/>
      <w:color w:val="00A195"/>
      <w:sz w:val="36"/>
      <w:szCs w:val="22"/>
    </w:rPr>
  </w:style>
  <w:style w:type="paragraph" w:customStyle="1" w:styleId="Tableheading">
    <w:name w:val="Table heading"/>
    <w:basedOn w:val="Heading4"/>
    <w:next w:val="TableParagraph"/>
    <w:qFormat/>
    <w:rsid w:val="00F5655E"/>
    <w:pPr>
      <w:widowControl w:val="0"/>
      <w:autoSpaceDE w:val="0"/>
      <w:autoSpaceDN w:val="0"/>
      <w:spacing w:before="120"/>
      <w:ind w:left="134"/>
    </w:pPr>
    <w:rPr>
      <w:bCs/>
      <w:color w:val="FFFFFF" w:themeColor="background1"/>
      <w:sz w:val="22"/>
      <w:szCs w:val="22"/>
      <w:lang w:val="en-US" w:eastAsia="ja-JP"/>
    </w:rPr>
  </w:style>
  <w:style w:type="character" w:customStyle="1" w:styleId="ListParagraphChar">
    <w:name w:val="List Paragraph Char"/>
    <w:aliases w:val="Rec para Char,List Paragraph1 Char,Recommendation Char,List Paragraph11 Char,List Paragraph - Bullet Point Char,Dot pt Char,F5 List Paragraph Char,No Spacing1 Char,List Paragraph Char Char Char Char,Indicator Text Char,Bullet 1 Char"/>
    <w:basedOn w:val="DefaultParagraphFont"/>
    <w:link w:val="ListParagraph"/>
    <w:uiPriority w:val="34"/>
    <w:qFormat/>
    <w:locked/>
    <w:rsid w:val="005401AF"/>
    <w:rPr>
      <w:rFonts w:ascii="Calibri" w:hAnsi="Calibri" w:cstheme="minorHAnsi"/>
      <w:b w:val="0"/>
      <w:i w:val="0"/>
      <w:color w:val="000000" w:themeColor="text1"/>
      <w:sz w:val="20"/>
      <w:szCs w:val="20"/>
      <w:lang w:val="en-GB"/>
    </w:rPr>
  </w:style>
  <w:style w:type="table" w:styleId="TableGrid">
    <w:name w:val="Table Grid"/>
    <w:basedOn w:val="TableNormal"/>
    <w:uiPriority w:val="39"/>
    <w:rsid w:val="00694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E10B6"/>
    <w:rPr>
      <w:rFonts w:ascii="Calibri" w:hAnsi="Calibri"/>
      <w:b w:val="0"/>
      <w:i w:val="0"/>
      <w:sz w:val="16"/>
      <w:szCs w:val="16"/>
    </w:rPr>
  </w:style>
  <w:style w:type="paragraph" w:styleId="CommentText">
    <w:name w:val="annotation text"/>
    <w:basedOn w:val="Normal"/>
    <w:link w:val="CommentTextChar"/>
    <w:uiPriority w:val="99"/>
    <w:unhideWhenUsed/>
    <w:rsid w:val="00CE10B6"/>
    <w:pPr>
      <w:spacing w:before="0" w:after="160" w:line="240" w:lineRule="auto"/>
    </w:pPr>
    <w:rPr>
      <w:lang w:val="en-US"/>
    </w:rPr>
  </w:style>
  <w:style w:type="character" w:customStyle="1" w:styleId="CommentTextChar">
    <w:name w:val="Comment Text Char"/>
    <w:basedOn w:val="DefaultParagraphFont"/>
    <w:link w:val="CommentText"/>
    <w:uiPriority w:val="99"/>
    <w:rsid w:val="00CE10B6"/>
    <w:rPr>
      <w:rFonts w:ascii="Calibri" w:hAnsi="Calibri"/>
      <w:b w:val="0"/>
      <w:i w:val="0"/>
      <w:sz w:val="20"/>
      <w:szCs w:val="20"/>
      <w:lang w:val="en-US"/>
    </w:rPr>
  </w:style>
  <w:style w:type="character" w:styleId="Mention">
    <w:name w:val="Mention"/>
    <w:basedOn w:val="DefaultParagraphFont"/>
    <w:uiPriority w:val="99"/>
    <w:unhideWhenUsed/>
    <w:rsid w:val="00CE10B6"/>
    <w:rPr>
      <w:rFonts w:ascii="Calibri" w:hAnsi="Calibri"/>
      <w:b w:val="0"/>
      <w:i w:val="0"/>
      <w:color w:val="2B579A"/>
      <w:sz w:val="24"/>
      <w:shd w:val="clear" w:color="auto" w:fill="E1DFDD"/>
    </w:rPr>
  </w:style>
  <w:style w:type="character" w:customStyle="1" w:styleId="cf01">
    <w:name w:val="cf01"/>
    <w:basedOn w:val="DefaultParagraphFont"/>
    <w:uiPriority w:val="99"/>
    <w:rsid w:val="00CE10B6"/>
    <w:rPr>
      <w:rFonts w:ascii="Segoe UI" w:hAnsi="Segoe UI" w:cs="Segoe UI" w:hint="default"/>
      <w:b w:val="0"/>
      <w:i w:val="0"/>
      <w:sz w:val="18"/>
      <w:szCs w:val="18"/>
    </w:rPr>
  </w:style>
  <w:style w:type="paragraph" w:customStyle="1" w:styleId="CCCFigurehead">
    <w:name w:val="CCC_Figurehead"/>
    <w:basedOn w:val="Caption"/>
    <w:link w:val="CCCFigureheadChar"/>
    <w:rsid w:val="0096706E"/>
    <w:pPr>
      <w:spacing w:after="120" w:line="276" w:lineRule="auto"/>
      <w:ind w:right="556"/>
    </w:pPr>
    <w:rPr>
      <w:i w:val="0"/>
      <w:iCs w:val="0"/>
      <w:color w:val="1F3864"/>
      <w:sz w:val="20"/>
    </w:rPr>
  </w:style>
  <w:style w:type="paragraph" w:styleId="Caption">
    <w:name w:val="caption"/>
    <w:basedOn w:val="Normal"/>
    <w:next w:val="Normal"/>
    <w:link w:val="CaptionChar"/>
    <w:uiPriority w:val="35"/>
    <w:unhideWhenUsed/>
    <w:qFormat/>
    <w:rsid w:val="0096706E"/>
    <w:pPr>
      <w:spacing w:before="0" w:after="200" w:line="240" w:lineRule="auto"/>
    </w:pPr>
    <w:rPr>
      <w:i/>
      <w:iCs/>
      <w:color w:val="44546A" w:themeColor="text2"/>
      <w:sz w:val="18"/>
      <w:szCs w:val="18"/>
    </w:rPr>
  </w:style>
  <w:style w:type="paragraph" w:customStyle="1" w:styleId="FigureTabletitle">
    <w:name w:val="Figure/Table title"/>
    <w:basedOn w:val="CCCFigurehead"/>
    <w:link w:val="FigureTabletitleChar"/>
    <w:qFormat/>
    <w:rsid w:val="0003473A"/>
    <w:pPr>
      <w:keepNext/>
      <w:spacing w:before="240"/>
    </w:pPr>
    <w:rPr>
      <w:rFonts w:asciiTheme="minorHAnsi" w:hAnsiTheme="minorHAnsi"/>
      <w:b/>
      <w:bCs/>
      <w:i/>
      <w:color w:val="0F385A"/>
      <w:sz w:val="24"/>
      <w:szCs w:val="24"/>
    </w:rPr>
  </w:style>
  <w:style w:type="character" w:customStyle="1" w:styleId="CaptionChar">
    <w:name w:val="Caption Char"/>
    <w:basedOn w:val="DefaultParagraphFont"/>
    <w:link w:val="Caption"/>
    <w:uiPriority w:val="35"/>
    <w:rsid w:val="00FE422C"/>
    <w:rPr>
      <w:rFonts w:ascii="Calibri" w:hAnsi="Calibri" w:cstheme="minorHAnsi"/>
      <w:b w:val="0"/>
      <w:i/>
      <w:iCs/>
      <w:color w:val="44546A" w:themeColor="text2"/>
      <w:sz w:val="18"/>
      <w:szCs w:val="18"/>
      <w:lang w:val="en-GB"/>
    </w:rPr>
  </w:style>
  <w:style w:type="character" w:customStyle="1" w:styleId="CCCFigureheadChar">
    <w:name w:val="CCC_Figurehead Char"/>
    <w:basedOn w:val="CaptionChar"/>
    <w:link w:val="CCCFigurehead"/>
    <w:rsid w:val="00FE422C"/>
    <w:rPr>
      <w:rFonts w:ascii="Calibri" w:hAnsi="Calibri" w:cstheme="minorHAnsi"/>
      <w:b w:val="0"/>
      <w:i w:val="0"/>
      <w:iCs w:val="0"/>
      <w:color w:val="1F3864"/>
      <w:sz w:val="20"/>
      <w:szCs w:val="18"/>
      <w:lang w:val="en-GB"/>
    </w:rPr>
  </w:style>
  <w:style w:type="character" w:customStyle="1" w:styleId="FigureTabletitleChar">
    <w:name w:val="Figure/Table title Char"/>
    <w:basedOn w:val="CCCFigureheadChar"/>
    <w:link w:val="FigureTabletitle"/>
    <w:rsid w:val="005F55A7"/>
    <w:rPr>
      <w:rFonts w:asciiTheme="minorHAnsi" w:hAnsiTheme="minorHAnsi" w:cstheme="minorHAnsi"/>
      <w:b/>
      <w:bCs/>
      <w:i/>
      <w:iCs w:val="0"/>
      <w:color w:val="0F385A"/>
      <w:sz w:val="20"/>
      <w:szCs w:val="18"/>
      <w:lang w:val="en-GB"/>
    </w:rPr>
  </w:style>
  <w:style w:type="paragraph" w:customStyle="1" w:styleId="Numberlist">
    <w:name w:val="Number list"/>
    <w:basedOn w:val="Bodybullets"/>
    <w:link w:val="NumberlistChar"/>
    <w:qFormat/>
    <w:rsid w:val="00F91434"/>
    <w:pPr>
      <w:numPr>
        <w:numId w:val="11"/>
      </w:numPr>
      <w:spacing w:before="60" w:after="60"/>
      <w:contextualSpacing w:val="0"/>
    </w:pPr>
  </w:style>
  <w:style w:type="character" w:customStyle="1" w:styleId="NumberlistChar">
    <w:name w:val="Number list Char"/>
    <w:basedOn w:val="DefaultParagraphFont"/>
    <w:link w:val="Numberlist"/>
    <w:rsid w:val="00F91434"/>
  </w:style>
  <w:style w:type="paragraph" w:customStyle="1" w:styleId="Sourceline">
    <w:name w:val="Source line"/>
    <w:basedOn w:val="BodyText"/>
    <w:next w:val="BodyText"/>
    <w:link w:val="SourcelineChar"/>
    <w:qFormat/>
    <w:rsid w:val="00685F77"/>
    <w:rPr>
      <w:color w:val="000000" w:themeColor="text1"/>
      <w:sz w:val="20"/>
      <w:szCs w:val="28"/>
    </w:rPr>
  </w:style>
  <w:style w:type="character" w:customStyle="1" w:styleId="SourcelineChar">
    <w:name w:val="Source line Char"/>
    <w:basedOn w:val="BodyTextChar"/>
    <w:link w:val="Sourceline"/>
    <w:rsid w:val="00685F77"/>
    <w:rPr>
      <w:rFonts w:ascii="Calibri-Light" w:eastAsia="Calibri-Light" w:hAnsi="Calibri-Light" w:cs="Calibri-Light"/>
      <w:b w:val="0"/>
      <w:i w:val="0"/>
      <w:color w:val="000000" w:themeColor="text1"/>
      <w:sz w:val="20"/>
      <w:szCs w:val="28"/>
      <w:lang w:val="en-US"/>
    </w:rPr>
  </w:style>
  <w:style w:type="paragraph" w:customStyle="1" w:styleId="Letterlistabc">
    <w:name w:val="Letter list (abc)"/>
    <w:basedOn w:val="Numberlist"/>
    <w:link w:val="LetterlistabcChar"/>
    <w:qFormat/>
    <w:rsid w:val="00FA7520"/>
    <w:pPr>
      <w:numPr>
        <w:numId w:val="0"/>
      </w:numPr>
    </w:pPr>
    <w:rPr>
      <w:w w:val="105"/>
    </w:rPr>
  </w:style>
  <w:style w:type="character" w:customStyle="1" w:styleId="LetterlistabcChar">
    <w:name w:val="Letter list (abc) Char"/>
    <w:basedOn w:val="NumberlistChar"/>
    <w:link w:val="Letterlistabc"/>
    <w:rsid w:val="00FA7520"/>
    <w:rPr>
      <w:rFonts w:ascii="Calibri" w:hAnsi="Calibri"/>
      <w:b w:val="0"/>
      <w:i w:val="0"/>
      <w:w w:val="105"/>
      <w:sz w:val="24"/>
    </w:rPr>
  </w:style>
  <w:style w:type="paragraph" w:customStyle="1" w:styleId="Bodybullet-sub-list">
    <w:name w:val="Body bullet - sub-list"/>
    <w:basedOn w:val="Bodybullets"/>
    <w:link w:val="Bodybullet-sub-listChar"/>
    <w:uiPriority w:val="6"/>
    <w:qFormat/>
    <w:rsid w:val="00ED45FD"/>
    <w:pPr>
      <w:numPr>
        <w:numId w:val="12"/>
      </w:numPr>
      <w:spacing w:before="60" w:after="60"/>
      <w:ind w:left="1077" w:hanging="357"/>
      <w:contextualSpacing w:val="0"/>
    </w:pPr>
  </w:style>
  <w:style w:type="character" w:customStyle="1" w:styleId="BodybulletsChar">
    <w:name w:val="Body bullets Char"/>
    <w:basedOn w:val="ListParagraphChar"/>
    <w:link w:val="Bodybullets"/>
    <w:uiPriority w:val="5"/>
    <w:rsid w:val="005F55A7"/>
    <w:rPr>
      <w:rFonts w:ascii="Calibri" w:hAnsi="Calibri" w:cstheme="minorHAnsi"/>
      <w:b w:val="0"/>
      <w:i w:val="0"/>
      <w:color w:val="000000" w:themeColor="text1"/>
      <w:sz w:val="20"/>
      <w:szCs w:val="20"/>
      <w:lang w:val="en-GB"/>
    </w:rPr>
  </w:style>
  <w:style w:type="character" w:customStyle="1" w:styleId="Bodybullet-sub-listChar">
    <w:name w:val="Body bullet - sub-list Char"/>
    <w:basedOn w:val="BodybulletsChar"/>
    <w:link w:val="Bodybullet-sub-list"/>
    <w:uiPriority w:val="6"/>
    <w:rsid w:val="005F55A7"/>
    <w:rPr>
      <w:rFonts w:ascii="Calibri" w:hAnsi="Calibri" w:cstheme="minorHAnsi"/>
      <w:b w:val="0"/>
      <w:i w:val="0"/>
      <w:color w:val="000000" w:themeColor="text1"/>
      <w:sz w:val="20"/>
      <w:szCs w:val="20"/>
      <w:lang w:val="en-GB"/>
    </w:rPr>
  </w:style>
  <w:style w:type="paragraph" w:styleId="CommentSubject">
    <w:name w:val="annotation subject"/>
    <w:basedOn w:val="CommentText"/>
    <w:next w:val="CommentText"/>
    <w:link w:val="CommentSubjectChar"/>
    <w:uiPriority w:val="99"/>
    <w:semiHidden/>
    <w:unhideWhenUsed/>
    <w:rsid w:val="001363C9"/>
    <w:pPr>
      <w:spacing w:before="120" w:after="120"/>
    </w:pPr>
    <w:rPr>
      <w:b/>
      <w:bCs/>
      <w:sz w:val="20"/>
      <w:szCs w:val="20"/>
      <w:lang w:val="en-NZ"/>
    </w:rPr>
  </w:style>
  <w:style w:type="character" w:customStyle="1" w:styleId="CommentSubjectChar">
    <w:name w:val="Comment Subject Char"/>
    <w:basedOn w:val="CommentTextChar"/>
    <w:link w:val="CommentSubject"/>
    <w:uiPriority w:val="99"/>
    <w:semiHidden/>
    <w:rsid w:val="001363C9"/>
    <w:rPr>
      <w:rFonts w:ascii="Calibri" w:hAnsi="Calibri"/>
      <w:b/>
      <w:bCs/>
      <w:i w:val="0"/>
      <w:sz w:val="20"/>
      <w:szCs w:val="20"/>
      <w:lang w:val="en-US"/>
    </w:rPr>
  </w:style>
  <w:style w:type="paragraph" w:styleId="Revision">
    <w:name w:val="Revision"/>
    <w:hidden/>
    <w:uiPriority w:val="99"/>
    <w:semiHidden/>
    <w:rsid w:val="006B4447"/>
  </w:style>
  <w:style w:type="paragraph" w:customStyle="1" w:styleId="Boxtext">
    <w:name w:val="Box text"/>
    <w:basedOn w:val="BodyText"/>
    <w:qFormat/>
    <w:rsid w:val="00BE3D0B"/>
  </w:style>
  <w:style w:type="paragraph" w:styleId="NormalWeb">
    <w:name w:val="Normal (Web)"/>
    <w:basedOn w:val="Normal"/>
    <w:uiPriority w:val="99"/>
    <w:semiHidden/>
    <w:unhideWhenUsed/>
    <w:rsid w:val="00472CF1"/>
    <w:rPr>
      <w:rFonts w:ascii="Times New Roman" w:hAnsi="Times New Roman" w:cs="Times New Roman"/>
    </w:rPr>
  </w:style>
  <w:style w:type="paragraph" w:customStyle="1" w:styleId="Boxbullet">
    <w:name w:val="Box bullet"/>
    <w:basedOn w:val="Bodybullets"/>
    <w:qFormat/>
    <w:rsid w:val="00BF00E7"/>
    <w:pPr>
      <w:spacing w:before="0" w:after="0"/>
      <w:ind w:left="714" w:hanging="357"/>
    </w:pPr>
  </w:style>
  <w:style w:type="table" w:customStyle="1" w:styleId="BoxDesign">
    <w:name w:val="Box Design"/>
    <w:basedOn w:val="TableNormal"/>
    <w:uiPriority w:val="99"/>
    <w:rsid w:val="00012801"/>
    <w:rPr>
      <w:rFonts w:cs="Arial (Body CS)"/>
      <w:color w:val="000000" w:themeColor="text1"/>
    </w:r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cPr>
      <w:shd w:val="clear" w:color="auto" w:fill="DEEBF7"/>
    </w:tcPr>
    <w:tblStylePr w:type="firstRow">
      <w:rPr>
        <w:rFonts w:ascii="Calibri" w:hAnsi="Calibri"/>
        <w:b/>
        <w:i w:val="0"/>
        <w:color w:val="FFFFFF" w:themeColor="background1"/>
        <w:sz w:val="24"/>
      </w:rPr>
      <w:tblPr>
        <w:tblCellMar>
          <w:top w:w="0" w:type="dxa"/>
          <w:left w:w="113" w:type="dxa"/>
          <w:bottom w:w="0" w:type="dxa"/>
          <w:right w:w="113" w:type="dxa"/>
        </w:tblCellMar>
      </w:tblPr>
      <w:tcPr>
        <w:shd w:val="clear" w:color="auto" w:fill="1F3764"/>
      </w:tcPr>
    </w:tblStylePr>
    <w:tblStylePr w:type="firstCol">
      <w:rPr>
        <w:rFonts w:ascii="Calibri" w:hAnsi="Calibri"/>
        <w:b w:val="0"/>
        <w:i w:val="0"/>
        <w:sz w:val="24"/>
      </w:rPr>
    </w:tblStylePr>
    <w:tblStylePr w:type="band1Horz">
      <w:rPr>
        <w:rFonts w:ascii="Calibri" w:hAnsi="Calibri"/>
        <w:b w:val="0"/>
        <w:i w:val="0"/>
        <w:sz w:val="24"/>
      </w:rPr>
    </w:tblStylePr>
    <w:tblStylePr w:type="band2Horz">
      <w:rPr>
        <w:rFonts w:ascii="Calibri" w:hAnsi="Calibri"/>
        <w:b w:val="0"/>
        <w:i w:val="0"/>
        <w:sz w:val="24"/>
      </w:rPr>
    </w:tblStylePr>
    <w:tblStylePr w:type="nwCell">
      <w:rPr>
        <w:rFonts w:ascii="Calibri" w:hAnsi="Calibri"/>
        <w:b/>
        <w:i w:val="0"/>
        <w:color w:val="FFFFFF" w:themeColor="background1"/>
        <w:sz w:val="24"/>
      </w:rPr>
    </w:tblStylePr>
  </w:style>
  <w:style w:type="table" w:styleId="PlainTable3">
    <w:name w:val="Plain Table 3"/>
    <w:basedOn w:val="TableNormal"/>
    <w:uiPriority w:val="43"/>
    <w:rsid w:val="0001280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styleCCC">
    <w:name w:val="Table style CCC"/>
    <w:basedOn w:val="TableNormal"/>
    <w:uiPriority w:val="99"/>
    <w:rsid w:val="00012801"/>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6F2"/>
    </w:tcPr>
    <w:tblStylePr w:type="firstRow">
      <w:rPr>
        <w:rFonts w:ascii="Calibri" w:hAnsi="Calibri"/>
        <w:b/>
        <w:i w:val="0"/>
        <w:color w:val="FFFFFF" w:themeColor="background1"/>
        <w:sz w:val="24"/>
      </w:rPr>
      <w:tblPr/>
      <w:tcPr>
        <w:tcBorders>
          <w:insideH w:val="nil"/>
          <w:insideV w:val="nil"/>
        </w:tcBorders>
        <w:shd w:val="clear" w:color="auto" w:fill="0F375A"/>
      </w:tcPr>
    </w:tblStylePr>
    <w:tblStylePr w:type="lastRow">
      <w:tblPr/>
      <w:tcPr>
        <w:tcBorders>
          <w:top w:val="nil"/>
          <w:left w:val="nil"/>
          <w:bottom w:val="nil"/>
          <w:right w:val="nil"/>
          <w:insideH w:val="nil"/>
          <w:insideV w:val="nil"/>
        </w:tcBorders>
        <w:shd w:val="clear" w:color="auto" w:fill="E9F6F2"/>
      </w:tcPr>
    </w:tblStylePr>
    <w:tblStylePr w:type="firstCol">
      <w:rPr>
        <w:rFonts w:ascii="Calibri" w:hAnsi="Calibri"/>
        <w:b/>
        <w:i w:val="0"/>
        <w:color w:val="000000" w:themeColor="text1"/>
        <w:sz w:val="24"/>
      </w:rPr>
      <w:tblPr/>
      <w:tcPr>
        <w:shd w:val="clear" w:color="auto" w:fill="C1DCD5"/>
      </w:tcPr>
    </w:tblStylePr>
    <w:tblStylePr w:type="band1Horz">
      <w:pPr>
        <w:wordWrap/>
        <w:spacing w:line="240" w:lineRule="auto"/>
      </w:pPr>
      <w:rPr>
        <w:rFonts w:ascii="Calibri" w:hAnsi="Calibri"/>
        <w:sz w:val="24"/>
      </w:rPr>
      <w:tblPr/>
      <w:tcPr>
        <w:shd w:val="clear" w:color="auto" w:fill="D5E8DF"/>
      </w:tcPr>
    </w:tblStylePr>
    <w:tblStylePr w:type="band2Horz">
      <w:tblPr/>
      <w:tcPr>
        <w:shd w:val="clear" w:color="auto" w:fill="E9F6F2"/>
      </w:tcPr>
    </w:tblStylePr>
    <w:tblStylePr w:type="nwCell">
      <w:rPr>
        <w:rFonts w:ascii="Calibri" w:hAnsi="Calibri"/>
        <w:b/>
        <w:i w:val="0"/>
        <w:color w:val="FFFFFF" w:themeColor="background1"/>
        <w:sz w:val="24"/>
      </w:rPr>
    </w:tblStylePr>
  </w:style>
  <w:style w:type="paragraph" w:styleId="FootnoteText">
    <w:name w:val="footnote text"/>
    <w:basedOn w:val="Footer"/>
    <w:link w:val="FootnoteTextChar"/>
    <w:uiPriority w:val="99"/>
    <w:unhideWhenUsed/>
    <w:qFormat/>
    <w:rsid w:val="00D130F1"/>
    <w:pPr>
      <w:spacing w:before="0" w:after="0" w:line="240" w:lineRule="auto"/>
      <w:ind w:firstLine="227"/>
    </w:pPr>
    <w:rPr>
      <w:b w:val="0"/>
      <w:sz w:val="18"/>
      <w:szCs w:val="18"/>
    </w:rPr>
  </w:style>
  <w:style w:type="character" w:customStyle="1" w:styleId="FootnoteTextChar">
    <w:name w:val="Footnote Text Char"/>
    <w:basedOn w:val="DefaultParagraphFont"/>
    <w:link w:val="FootnoteText"/>
    <w:uiPriority w:val="99"/>
    <w:rsid w:val="00F41BAA"/>
    <w:rPr>
      <w:sz w:val="18"/>
      <w:szCs w:val="18"/>
    </w:rPr>
  </w:style>
  <w:style w:type="character" w:styleId="FootnoteReference">
    <w:name w:val="footnote reference"/>
    <w:basedOn w:val="DefaultParagraphFont"/>
    <w:uiPriority w:val="99"/>
    <w:unhideWhenUsed/>
    <w:qFormat/>
    <w:rsid w:val="00F41BAA"/>
    <w:rPr>
      <w:vertAlign w:val="superscript"/>
    </w:rPr>
  </w:style>
  <w:style w:type="paragraph" w:customStyle="1" w:styleId="EndNoteBibliographyTitle">
    <w:name w:val="EndNote Bibliography Title"/>
    <w:basedOn w:val="Normal"/>
    <w:link w:val="EndNoteBibliographyTitleChar"/>
    <w:rsid w:val="002360D8"/>
    <w:pPr>
      <w:spacing w:after="0"/>
      <w:jc w:val="center"/>
    </w:pPr>
    <w:rPr>
      <w:rFonts w:cs="Calibri"/>
      <w:noProof/>
      <w:lang w:val="en-US"/>
    </w:rPr>
  </w:style>
  <w:style w:type="character" w:customStyle="1" w:styleId="EndNoteBibliographyTitleChar">
    <w:name w:val="EndNote Bibliography Title Char"/>
    <w:basedOn w:val="BodyTextChar"/>
    <w:link w:val="EndNoteBibliographyTitle"/>
    <w:rsid w:val="002360D8"/>
    <w:rPr>
      <w:rFonts w:ascii="Calibri" w:hAnsi="Calibri" w:cs="Calibri"/>
      <w:b w:val="0"/>
      <w:i w:val="0"/>
      <w:noProof/>
      <w:sz w:val="24"/>
      <w:lang w:val="en-US"/>
    </w:rPr>
  </w:style>
  <w:style w:type="paragraph" w:customStyle="1" w:styleId="EndNoteBibliography">
    <w:name w:val="EndNote Bibliography"/>
    <w:basedOn w:val="Normal"/>
    <w:link w:val="EndNoteBibliographyChar"/>
    <w:rsid w:val="002360D8"/>
    <w:pPr>
      <w:spacing w:line="240" w:lineRule="auto"/>
    </w:pPr>
    <w:rPr>
      <w:rFonts w:cs="Calibri"/>
      <w:noProof/>
      <w:lang w:val="en-US"/>
    </w:rPr>
  </w:style>
  <w:style w:type="character" w:customStyle="1" w:styleId="EndNoteBibliographyChar">
    <w:name w:val="EndNote Bibliography Char"/>
    <w:basedOn w:val="BodyTextChar"/>
    <w:link w:val="EndNoteBibliography"/>
    <w:rsid w:val="002360D8"/>
    <w:rPr>
      <w:rFonts w:ascii="Calibri" w:hAnsi="Calibri" w:cs="Calibri"/>
      <w:b w:val="0"/>
      <w:i w:val="0"/>
      <w:noProof/>
      <w:sz w:val="24"/>
      <w:lang w:val="en-US"/>
    </w:rPr>
  </w:style>
  <w:style w:type="character" w:styleId="UnresolvedMention">
    <w:name w:val="Unresolved Mention"/>
    <w:basedOn w:val="DefaultParagraphFont"/>
    <w:uiPriority w:val="99"/>
    <w:semiHidden/>
    <w:unhideWhenUsed/>
    <w:rsid w:val="002360D8"/>
    <w:rPr>
      <w:color w:val="605E5C"/>
      <w:shd w:val="clear" w:color="auto" w:fill="E1DFDD"/>
    </w:rPr>
  </w:style>
  <w:style w:type="paragraph" w:styleId="TOCHeading">
    <w:name w:val="TOC Heading"/>
    <w:basedOn w:val="Heading1"/>
    <w:next w:val="Normal"/>
    <w:uiPriority w:val="39"/>
    <w:unhideWhenUsed/>
    <w:qFormat/>
    <w:rsid w:val="00B928FE"/>
    <w:pPr>
      <w:spacing w:before="240" w:after="0" w:line="259" w:lineRule="auto"/>
      <w:outlineLvl w:val="9"/>
    </w:pPr>
    <w:rPr>
      <w:rFonts w:asciiTheme="majorHAnsi" w:hAnsiTheme="majorHAnsi" w:cstheme="majorBidi"/>
      <w:b w:val="0"/>
      <w:color w:val="2F5496" w:themeColor="accent1" w:themeShade="BF"/>
      <w:sz w:val="32"/>
      <w:szCs w:val="32"/>
      <w:lang w:eastAsia="en-NZ"/>
    </w:rPr>
  </w:style>
  <w:style w:type="table" w:customStyle="1" w:styleId="TableGrid1">
    <w:name w:val="Table Grid1"/>
    <w:basedOn w:val="TableNormal"/>
    <w:next w:val="TableGrid"/>
    <w:uiPriority w:val="39"/>
    <w:rsid w:val="00A83127"/>
    <w:rPr>
      <w:rFonts w:eastAsia="Yu Mincho"/>
      <w:lang w:val="en-US"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A16277"/>
    <w:rPr>
      <w:rFonts w:eastAsia="Yu Mincho"/>
      <w:lang w:val="en-US"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1D1559"/>
    <w:rPr>
      <w:rFonts w:eastAsia="Yu Mincho"/>
      <w:lang w:val="en-US"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FA2AA9"/>
    <w:rPr>
      <w:rFonts w:eastAsia="Yu Mincho"/>
      <w:lang w:val="en-US"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39"/>
    <w:rsid w:val="003E1492"/>
    <w:rPr>
      <w:rFonts w:eastAsia="Yu Mincho"/>
      <w:lang w:val="en-US"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39"/>
    <w:rsid w:val="005640BD"/>
    <w:rPr>
      <w:rFonts w:eastAsia="Yu Mincho"/>
      <w:lang w:val="en-US"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39"/>
    <w:rsid w:val="00C7760B"/>
    <w:rPr>
      <w:rFonts w:eastAsia="Yu Mincho"/>
      <w:lang w:val="en-US"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rsid w:val="00D84E61"/>
    <w:rPr>
      <w:rFonts w:eastAsia="Yu Mincho"/>
      <w:lang w:val="en-US"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5Dark-Accent11">
    <w:name w:val="Grid Table 5 Dark - Accent 11"/>
    <w:basedOn w:val="TableNormal"/>
    <w:next w:val="GridTable5Dark-Accent1"/>
    <w:uiPriority w:val="50"/>
    <w:rsid w:val="005B7301"/>
    <w:rPr>
      <w:rFonts w:eastAsia="Yu Mincho"/>
      <w:lang w:val="en-US"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ABDFF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3A5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3A5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3A5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3A5D"/>
      </w:tcPr>
    </w:tblStylePr>
    <w:tblStylePr w:type="band1Vert">
      <w:tblPr/>
      <w:tcPr>
        <w:shd w:val="clear" w:color="auto" w:fill="58C0FF"/>
      </w:tcPr>
    </w:tblStylePr>
    <w:tblStylePr w:type="band1Horz">
      <w:tblPr/>
      <w:tcPr>
        <w:shd w:val="clear" w:color="auto" w:fill="58C0FF"/>
      </w:tcPr>
    </w:tblStylePr>
  </w:style>
  <w:style w:type="table" w:styleId="GridTable5Dark-Accent1">
    <w:name w:val="Grid Table 5 Dark Accent 1"/>
    <w:basedOn w:val="TableNormal"/>
    <w:uiPriority w:val="50"/>
    <w:rsid w:val="005B730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51">
    <w:name w:val="Grid Table 5 Dark - Accent 51"/>
    <w:basedOn w:val="TableNormal"/>
    <w:next w:val="GridTable5Dark-Accent5"/>
    <w:uiPriority w:val="50"/>
    <w:rsid w:val="00E337FD"/>
    <w:rPr>
      <w:rFonts w:eastAsia="Yu Mincho"/>
      <w:lang w:val="en-US"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DBE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F4D7F"/>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F4D7F"/>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F4D7F"/>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F4D7F"/>
      </w:tcPr>
    </w:tblStylePr>
    <w:tblStylePr w:type="band1Vert">
      <w:tblPr/>
      <w:tcPr>
        <w:shd w:val="clear" w:color="auto" w:fill="F8B7CB"/>
      </w:tcPr>
    </w:tblStylePr>
    <w:tblStylePr w:type="band1Horz">
      <w:tblPr/>
      <w:tcPr>
        <w:shd w:val="clear" w:color="auto" w:fill="F8B7CB"/>
      </w:tcPr>
    </w:tblStylePr>
  </w:style>
  <w:style w:type="table" w:customStyle="1" w:styleId="GridTable5Dark-Accent12">
    <w:name w:val="Grid Table 5 Dark - Accent 12"/>
    <w:basedOn w:val="TableNormal"/>
    <w:next w:val="GridTable5Dark-Accent1"/>
    <w:uiPriority w:val="50"/>
    <w:rsid w:val="00A87EFD"/>
    <w:rPr>
      <w:rFonts w:eastAsia="Yu Mincho"/>
      <w:lang w:val="en-US"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ABDFF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3A5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3A5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3A5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3A5D"/>
      </w:tcPr>
    </w:tblStylePr>
    <w:tblStylePr w:type="band1Vert">
      <w:tblPr/>
      <w:tcPr>
        <w:shd w:val="clear" w:color="auto" w:fill="58C0FF"/>
      </w:tcPr>
    </w:tblStylePr>
    <w:tblStylePr w:type="band1Horz">
      <w:tblPr/>
      <w:tcPr>
        <w:shd w:val="clear" w:color="auto" w:fill="58C0FF"/>
      </w:tcPr>
    </w:tblStylePr>
  </w:style>
  <w:style w:type="paragraph" w:styleId="TOC1">
    <w:name w:val="toc 1"/>
    <w:basedOn w:val="Normal"/>
    <w:next w:val="Normal"/>
    <w:autoRedefine/>
    <w:uiPriority w:val="39"/>
    <w:unhideWhenUsed/>
    <w:rsid w:val="00726C6D"/>
    <w:pPr>
      <w:tabs>
        <w:tab w:val="left" w:pos="480"/>
        <w:tab w:val="right" w:leader="dot" w:pos="9060"/>
      </w:tabs>
      <w:spacing w:after="100"/>
    </w:pPr>
  </w:style>
  <w:style w:type="paragraph" w:styleId="TOC2">
    <w:name w:val="toc 2"/>
    <w:basedOn w:val="Normal"/>
    <w:next w:val="Normal"/>
    <w:autoRedefine/>
    <w:uiPriority w:val="39"/>
    <w:unhideWhenUsed/>
    <w:rsid w:val="00B00E05"/>
    <w:pPr>
      <w:tabs>
        <w:tab w:val="left" w:pos="720"/>
        <w:tab w:val="right" w:leader="dot" w:pos="9060"/>
      </w:tabs>
      <w:spacing w:after="100"/>
      <w:ind w:left="240"/>
    </w:pPr>
  </w:style>
  <w:style w:type="paragraph" w:styleId="TOC3">
    <w:name w:val="toc 3"/>
    <w:basedOn w:val="Normal"/>
    <w:next w:val="Normal"/>
    <w:autoRedefine/>
    <w:uiPriority w:val="39"/>
    <w:unhideWhenUsed/>
    <w:rsid w:val="00B2470A"/>
    <w:pPr>
      <w:spacing w:after="100"/>
      <w:ind w:left="480"/>
    </w:pPr>
  </w:style>
  <w:style w:type="character" w:customStyle="1" w:styleId="Heading8Char">
    <w:name w:val="Heading 8 Char"/>
    <w:basedOn w:val="DefaultParagraphFont"/>
    <w:link w:val="Heading8"/>
    <w:uiPriority w:val="9"/>
    <w:semiHidden/>
    <w:rsid w:val="00540D2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40D21"/>
    <w:rPr>
      <w:rFonts w:asciiTheme="majorHAnsi" w:eastAsiaTheme="majorEastAsia" w:hAnsiTheme="majorHAnsi" w:cstheme="majorBidi"/>
      <w:i/>
      <w:iCs/>
      <w:color w:val="272727" w:themeColor="text1" w:themeTint="D8"/>
      <w:sz w:val="21"/>
      <w:szCs w:val="21"/>
    </w:rPr>
  </w:style>
  <w:style w:type="table" w:customStyle="1" w:styleId="GridTable5Dark-Accent52">
    <w:name w:val="Grid Table 5 Dark - Accent 52"/>
    <w:basedOn w:val="TableNormal"/>
    <w:next w:val="GridTable5Dark-Accent5"/>
    <w:uiPriority w:val="50"/>
    <w:rsid w:val="00FC4B95"/>
    <w:rPr>
      <w:rFonts w:eastAsia="Yu Mincho"/>
      <w:lang w:val="en-US"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DBE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F4D7F"/>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F4D7F"/>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F4D7F"/>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F4D7F"/>
      </w:tcPr>
    </w:tblStylePr>
    <w:tblStylePr w:type="band1Vert">
      <w:tblPr/>
      <w:tcPr>
        <w:shd w:val="clear" w:color="auto" w:fill="F8B7CB"/>
      </w:tcPr>
    </w:tblStylePr>
    <w:tblStylePr w:type="band1Horz">
      <w:tblPr/>
      <w:tcPr>
        <w:shd w:val="clear" w:color="auto" w:fill="F8B7CB"/>
      </w:tcPr>
    </w:tblStylePr>
  </w:style>
  <w:style w:type="table" w:customStyle="1" w:styleId="GridTable5Dark-Accent53">
    <w:name w:val="Grid Table 5 Dark - Accent 53"/>
    <w:basedOn w:val="TableNormal"/>
    <w:next w:val="GridTable5Dark-Accent5"/>
    <w:uiPriority w:val="50"/>
    <w:rsid w:val="00C636A9"/>
    <w:rPr>
      <w:rFonts w:eastAsia="Yu Mincho"/>
      <w:lang w:val="en-US"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DBE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F4D7F"/>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F4D7F"/>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F4D7F"/>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F4D7F"/>
      </w:tcPr>
    </w:tblStylePr>
    <w:tblStylePr w:type="band1Vert">
      <w:tblPr/>
      <w:tcPr>
        <w:shd w:val="clear" w:color="auto" w:fill="F8B7CB"/>
      </w:tcPr>
    </w:tblStylePr>
    <w:tblStylePr w:type="band1Horz">
      <w:tblPr/>
      <w:tcPr>
        <w:shd w:val="clear" w:color="auto" w:fill="F8B7CB"/>
      </w:tcPr>
    </w:tblStylePr>
  </w:style>
  <w:style w:type="table" w:customStyle="1" w:styleId="GridTable5Dark-Accent54">
    <w:name w:val="Grid Table 5 Dark - Accent 54"/>
    <w:basedOn w:val="TableNormal"/>
    <w:next w:val="GridTable5Dark-Accent5"/>
    <w:uiPriority w:val="50"/>
    <w:rsid w:val="00B51D1C"/>
    <w:rPr>
      <w:rFonts w:eastAsia="Yu Mincho"/>
      <w:lang w:val="en-US"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DBE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F4D7F"/>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F4D7F"/>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F4D7F"/>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F4D7F"/>
      </w:tcPr>
    </w:tblStylePr>
    <w:tblStylePr w:type="band1Vert">
      <w:tblPr/>
      <w:tcPr>
        <w:shd w:val="clear" w:color="auto" w:fill="F8B7CB"/>
      </w:tcPr>
    </w:tblStylePr>
    <w:tblStylePr w:type="band1Horz">
      <w:tblPr/>
      <w:tcPr>
        <w:shd w:val="clear" w:color="auto" w:fill="F8B7CB"/>
      </w:tcPr>
    </w:tblStylePr>
  </w:style>
  <w:style w:type="table" w:customStyle="1" w:styleId="GridTable5Dark-Accent55">
    <w:name w:val="Grid Table 5 Dark - Accent 55"/>
    <w:basedOn w:val="TableNormal"/>
    <w:next w:val="GridTable5Dark-Accent5"/>
    <w:uiPriority w:val="50"/>
    <w:rsid w:val="00F014A9"/>
    <w:rPr>
      <w:rFonts w:eastAsia="Yu Mincho"/>
      <w:lang w:val="en-US"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DBE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F4D7F"/>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F4D7F"/>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F4D7F"/>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F4D7F"/>
      </w:tcPr>
    </w:tblStylePr>
    <w:tblStylePr w:type="band1Vert">
      <w:tblPr/>
      <w:tcPr>
        <w:shd w:val="clear" w:color="auto" w:fill="F8B7CB"/>
      </w:tcPr>
    </w:tblStylePr>
    <w:tblStylePr w:type="band1Horz">
      <w:tblPr/>
      <w:tcPr>
        <w:shd w:val="clear" w:color="auto" w:fill="F8B7CB"/>
      </w:tcPr>
    </w:tblStylePr>
  </w:style>
  <w:style w:type="table" w:customStyle="1" w:styleId="GridTable5Dark-Accent13">
    <w:name w:val="Grid Table 5 Dark - Accent 13"/>
    <w:basedOn w:val="TableNormal"/>
    <w:next w:val="GridTable5Dark-Accent1"/>
    <w:uiPriority w:val="50"/>
    <w:rsid w:val="00666D61"/>
    <w:rPr>
      <w:rFonts w:eastAsia="Yu Mincho"/>
      <w:lang w:val="en-US"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ABDFF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3A5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3A5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3A5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3A5D"/>
      </w:tcPr>
    </w:tblStylePr>
    <w:tblStylePr w:type="band1Vert">
      <w:tblPr/>
      <w:tcPr>
        <w:shd w:val="clear" w:color="auto" w:fill="58C0FF"/>
      </w:tcPr>
    </w:tblStylePr>
    <w:tblStylePr w:type="band1Horz">
      <w:tblPr/>
      <w:tcPr>
        <w:shd w:val="clear" w:color="auto" w:fill="58C0FF"/>
      </w:tcPr>
    </w:tblStylePr>
  </w:style>
  <w:style w:type="table" w:customStyle="1" w:styleId="GridTable5Dark-Accent14">
    <w:name w:val="Grid Table 5 Dark - Accent 14"/>
    <w:basedOn w:val="TableNormal"/>
    <w:next w:val="GridTable5Dark-Accent1"/>
    <w:uiPriority w:val="50"/>
    <w:rsid w:val="005F27E1"/>
    <w:rPr>
      <w:rFonts w:eastAsia="Yu Mincho"/>
      <w:lang w:val="en-US"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ABDFF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3A5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3A5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3A5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3A5D"/>
      </w:tcPr>
    </w:tblStylePr>
    <w:tblStylePr w:type="band1Vert">
      <w:tblPr/>
      <w:tcPr>
        <w:shd w:val="clear" w:color="auto" w:fill="58C0FF"/>
      </w:tcPr>
    </w:tblStylePr>
    <w:tblStylePr w:type="band1Horz">
      <w:tblPr/>
      <w:tcPr>
        <w:shd w:val="clear" w:color="auto" w:fill="58C0FF"/>
      </w:tcPr>
    </w:tblStylePr>
  </w:style>
  <w:style w:type="table" w:customStyle="1" w:styleId="TableGrid9">
    <w:name w:val="Table Grid9"/>
    <w:basedOn w:val="TableNormal"/>
    <w:next w:val="TableGrid"/>
    <w:uiPriority w:val="39"/>
    <w:rsid w:val="00390A4E"/>
    <w:rPr>
      <w:rFonts w:eastAsia="Yu Mincho"/>
      <w:lang w:val="en-US"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5Dark-Accent56">
    <w:name w:val="Grid Table 5 Dark - Accent 56"/>
    <w:basedOn w:val="TableNormal"/>
    <w:next w:val="GridTable5Dark-Accent5"/>
    <w:uiPriority w:val="50"/>
    <w:rsid w:val="004F4EBB"/>
    <w:rPr>
      <w:rFonts w:eastAsia="Yu Mincho"/>
      <w:lang w:val="en-US"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DBE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F4D7F"/>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F4D7F"/>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F4D7F"/>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F4D7F"/>
      </w:tcPr>
    </w:tblStylePr>
    <w:tblStylePr w:type="band1Vert">
      <w:tblPr/>
      <w:tcPr>
        <w:shd w:val="clear" w:color="auto" w:fill="F8B7CB"/>
      </w:tcPr>
    </w:tblStylePr>
    <w:tblStylePr w:type="band1Horz">
      <w:tblPr/>
      <w:tcPr>
        <w:shd w:val="clear" w:color="auto" w:fill="F8B7CB"/>
      </w:tcPr>
    </w:tblStylePr>
  </w:style>
  <w:style w:type="table" w:customStyle="1" w:styleId="GridTable5Dark-Accent57">
    <w:name w:val="Grid Table 5 Dark - Accent 57"/>
    <w:basedOn w:val="TableNormal"/>
    <w:next w:val="GridTable5Dark-Accent5"/>
    <w:uiPriority w:val="50"/>
    <w:rsid w:val="00935366"/>
    <w:rPr>
      <w:rFonts w:eastAsia="Yu Mincho"/>
      <w:lang w:val="en-US"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DBE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F4D7F"/>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F4D7F"/>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F4D7F"/>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F4D7F"/>
      </w:tcPr>
    </w:tblStylePr>
    <w:tblStylePr w:type="band1Vert">
      <w:tblPr/>
      <w:tcPr>
        <w:shd w:val="clear" w:color="auto" w:fill="F8B7CB"/>
      </w:tcPr>
    </w:tblStylePr>
    <w:tblStylePr w:type="band1Horz">
      <w:tblPr/>
      <w:tcPr>
        <w:shd w:val="clear" w:color="auto" w:fill="F8B7CB"/>
      </w:tcPr>
    </w:tblStylePr>
  </w:style>
  <w:style w:type="table" w:customStyle="1" w:styleId="GridTable5Dark-Accent58">
    <w:name w:val="Grid Table 5 Dark - Accent 58"/>
    <w:basedOn w:val="TableNormal"/>
    <w:next w:val="GridTable5Dark-Accent5"/>
    <w:uiPriority w:val="50"/>
    <w:rsid w:val="001B5A77"/>
    <w:rPr>
      <w:rFonts w:eastAsia="Yu Mincho"/>
      <w:lang w:val="en-US"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DBE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F4D7F"/>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F4D7F"/>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F4D7F"/>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F4D7F"/>
      </w:tcPr>
    </w:tblStylePr>
    <w:tblStylePr w:type="band1Vert">
      <w:tblPr/>
      <w:tcPr>
        <w:shd w:val="clear" w:color="auto" w:fill="F8B7CB"/>
      </w:tcPr>
    </w:tblStylePr>
    <w:tblStylePr w:type="band1Horz">
      <w:tblPr/>
      <w:tcPr>
        <w:shd w:val="clear" w:color="auto" w:fill="F8B7CB"/>
      </w:tcPr>
    </w:tblStylePr>
  </w:style>
  <w:style w:type="table" w:customStyle="1" w:styleId="GridTable5Dark-Accent59">
    <w:name w:val="Grid Table 5 Dark - Accent 59"/>
    <w:basedOn w:val="TableNormal"/>
    <w:next w:val="GridTable5Dark-Accent5"/>
    <w:uiPriority w:val="50"/>
    <w:rsid w:val="00541D57"/>
    <w:rPr>
      <w:rFonts w:eastAsia="Yu Mincho"/>
      <w:lang w:val="en-US"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DBE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F4D7F"/>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F4D7F"/>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F4D7F"/>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F4D7F"/>
      </w:tcPr>
    </w:tblStylePr>
    <w:tblStylePr w:type="band1Vert">
      <w:tblPr/>
      <w:tcPr>
        <w:shd w:val="clear" w:color="auto" w:fill="F8B7CB"/>
      </w:tcPr>
    </w:tblStylePr>
    <w:tblStylePr w:type="band1Horz">
      <w:tblPr/>
      <w:tcPr>
        <w:shd w:val="clear" w:color="auto" w:fill="F8B7CB"/>
      </w:tcPr>
    </w:tblStylePr>
  </w:style>
  <w:style w:type="table" w:customStyle="1" w:styleId="TableGrid10">
    <w:name w:val="Table Grid10"/>
    <w:basedOn w:val="TableNormal"/>
    <w:next w:val="TableGrid"/>
    <w:uiPriority w:val="39"/>
    <w:rsid w:val="00AF18C7"/>
    <w:rPr>
      <w:rFonts w:eastAsia="Yu Mincho"/>
      <w:lang w:val="en-US"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39"/>
    <w:rsid w:val="000325EF"/>
    <w:rPr>
      <w:rFonts w:eastAsia="Yu Mincho"/>
      <w:lang w:val="en-US"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5Dark-Accent510">
    <w:name w:val="Grid Table 5 Dark - Accent 510"/>
    <w:basedOn w:val="TableNormal"/>
    <w:next w:val="GridTable5Dark-Accent5"/>
    <w:uiPriority w:val="50"/>
    <w:rsid w:val="00B944C8"/>
    <w:rPr>
      <w:rFonts w:eastAsia="Yu Mincho"/>
      <w:lang w:val="en-US"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DBE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F4D7F"/>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F4D7F"/>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F4D7F"/>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F4D7F"/>
      </w:tcPr>
    </w:tblStylePr>
    <w:tblStylePr w:type="band1Vert">
      <w:tblPr/>
      <w:tcPr>
        <w:shd w:val="clear" w:color="auto" w:fill="F8B7CB"/>
      </w:tcPr>
    </w:tblStylePr>
    <w:tblStylePr w:type="band1Horz">
      <w:tblPr/>
      <w:tcPr>
        <w:shd w:val="clear" w:color="auto" w:fill="F8B7CB"/>
      </w:tcPr>
    </w:tblStylePr>
  </w:style>
  <w:style w:type="character" w:styleId="FollowedHyperlink">
    <w:name w:val="FollowedHyperlink"/>
    <w:basedOn w:val="DefaultParagraphFont"/>
    <w:uiPriority w:val="99"/>
    <w:semiHidden/>
    <w:unhideWhenUsed/>
    <w:rsid w:val="00D755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606429">
      <w:bodyDiv w:val="1"/>
      <w:marLeft w:val="0"/>
      <w:marRight w:val="0"/>
      <w:marTop w:val="0"/>
      <w:marBottom w:val="0"/>
      <w:divBdr>
        <w:top w:val="none" w:sz="0" w:space="0" w:color="auto"/>
        <w:left w:val="none" w:sz="0" w:space="0" w:color="auto"/>
        <w:bottom w:val="none" w:sz="0" w:space="0" w:color="auto"/>
        <w:right w:val="none" w:sz="0" w:space="0" w:color="auto"/>
      </w:divBdr>
    </w:div>
    <w:div w:id="896358167">
      <w:bodyDiv w:val="1"/>
      <w:marLeft w:val="0"/>
      <w:marRight w:val="0"/>
      <w:marTop w:val="0"/>
      <w:marBottom w:val="0"/>
      <w:divBdr>
        <w:top w:val="none" w:sz="0" w:space="0" w:color="auto"/>
        <w:left w:val="none" w:sz="0" w:space="0" w:color="auto"/>
        <w:bottom w:val="none" w:sz="0" w:space="0" w:color="auto"/>
        <w:right w:val="none" w:sz="0" w:space="0" w:color="auto"/>
      </w:divBdr>
    </w:div>
    <w:div w:id="1265767892">
      <w:bodyDiv w:val="1"/>
      <w:marLeft w:val="0"/>
      <w:marRight w:val="0"/>
      <w:marTop w:val="0"/>
      <w:marBottom w:val="0"/>
      <w:divBdr>
        <w:top w:val="none" w:sz="0" w:space="0" w:color="auto"/>
        <w:left w:val="none" w:sz="0" w:space="0" w:color="auto"/>
        <w:bottom w:val="none" w:sz="0" w:space="0" w:color="auto"/>
        <w:right w:val="none" w:sz="0" w:space="0" w:color="auto"/>
      </w:divBdr>
    </w:div>
    <w:div w:id="1705711733">
      <w:bodyDiv w:val="1"/>
      <w:marLeft w:val="0"/>
      <w:marRight w:val="0"/>
      <w:marTop w:val="0"/>
      <w:marBottom w:val="0"/>
      <w:divBdr>
        <w:top w:val="none" w:sz="0" w:space="0" w:color="auto"/>
        <w:left w:val="none" w:sz="0" w:space="0" w:color="auto"/>
        <w:bottom w:val="none" w:sz="0" w:space="0" w:color="auto"/>
        <w:right w:val="none" w:sz="0" w:space="0" w:color="auto"/>
      </w:divBdr>
    </w:div>
    <w:div w:id="1801459103">
      <w:bodyDiv w:val="1"/>
      <w:marLeft w:val="0"/>
      <w:marRight w:val="0"/>
      <w:marTop w:val="0"/>
      <w:marBottom w:val="0"/>
      <w:divBdr>
        <w:top w:val="none" w:sz="0" w:space="0" w:color="auto"/>
        <w:left w:val="none" w:sz="0" w:space="0" w:color="auto"/>
        <w:bottom w:val="none" w:sz="0" w:space="0" w:color="auto"/>
        <w:right w:val="none" w:sz="0" w:space="0" w:color="auto"/>
      </w:divBdr>
    </w:div>
    <w:div w:id="201564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6.png"/><Relationship Id="rId26" Type="http://schemas.openxmlformats.org/officeDocument/2006/relationships/hyperlink" Target="https://www.epa.govt.nz/industry-areas/emissions-trading-scheme/market-information/privately-held-units/" TargetMode="Externa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5.png"/><Relationship Id="rId25" Type="http://schemas.openxmlformats.org/officeDocument/2006/relationships/hyperlink" Target="https://environment.govt.nz/assets/publications/Cabinet-papers-briefings-and-minutes/2025-update-to-New-Zealand-Emissions-Trading-Scheme-settings-and-regulations.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yperlink" Target="https://www.mpi.govt.nz/dmsdocument/30687-intentions-of-forest-owners-following-harvest-of-post-1989-forest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2.png"/><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11.png"/><Relationship Id="rId28" Type="http://schemas.openxmlformats.org/officeDocument/2006/relationships/hyperlink" Target="https://www.mpi.govt.nz/dmsdocument/70372-Afforestation-and-Deforestation-Intentions-Survey-2024" TargetMode="External"/><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image" Target="media/image10.png"/><Relationship Id="rId27" Type="http://schemas.openxmlformats.org/officeDocument/2006/relationships/hyperlink" Target="https://www.mpi.govt.nz/dmsdocument/70373-Post-1989-Deforestation-and-Permanent-Forest" TargetMode="External"/><Relationship Id="rId30" Type="http://schemas.openxmlformats.org/officeDocument/2006/relationships/hyperlink" Target="https://www.mpi.govt.nz/forestry/forestry-in-the-emissions-trading-scheme/news-and-changes-to-the-ets/application-wait-times-and-statistics-for-forestry-in-the-ets"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CCC them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CC them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CCC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A6D186D65F6D9D40B801459892252FC9" ma:contentTypeVersion="44" ma:contentTypeDescription="Create a new document." ma:contentTypeScope="" ma:versionID="ff4adf4cdb04505329f4520580f7db58">
  <xsd:schema xmlns:xsd="http://www.w3.org/2001/XMLSchema" xmlns:xs="http://www.w3.org/2001/XMLSchema" xmlns:p="http://schemas.microsoft.com/office/2006/metadata/properties" xmlns:ns1="http://schemas.microsoft.com/sharepoint/v3" xmlns:ns2="0840200d-5ad4-4088-9410-7099857a429a" xmlns:ns3="1cac9bea-d09c-48b0-9841-7eb5347add9c" xmlns:ns4="495babcf-a1be-481b-af25-dc592bf771d3" targetNamespace="http://schemas.microsoft.com/office/2006/metadata/properties" ma:root="true" ma:fieldsID="1e71a436654391cbed7ae3361f92c5f9" ns1:_="" ns2:_="" ns3:_="" ns4:_="">
    <xsd:import namespace="http://schemas.microsoft.com/sharepoint/v3"/>
    <xsd:import namespace="0840200d-5ad4-4088-9410-7099857a429a"/>
    <xsd:import namespace="1cac9bea-d09c-48b0-9841-7eb5347add9c"/>
    <xsd:import namespace="495babcf-a1be-481b-af25-dc592bf771d3"/>
    <xsd:element name="properties">
      <xsd:complexType>
        <xsd:sequence>
          <xsd:element name="documentManagement">
            <xsd:complexType>
              <xsd:all>
                <xsd:element ref="ns1:_ExtendedDescription" minOccurs="0"/>
                <xsd:element ref="ns2:FunctionGroup" minOccurs="0"/>
                <xsd:element ref="ns2:Function" minOccurs="0"/>
                <xsd:element ref="ns2:Activity" minOccurs="0"/>
                <xsd:element ref="ns2:Subactivity" minOccurs="0"/>
                <xsd:element ref="ns2:Case" minOccurs="0"/>
                <xsd:element ref="ns2:Category1" minOccurs="0"/>
                <xsd:element ref="ns2:Category2" minOccurs="0"/>
                <xsd:element ref="ns2:Team" minOccurs="0"/>
                <xsd:element ref="ns2:Channel" minOccurs="0"/>
                <xsd:element ref="ns2:Year" minOccurs="0"/>
                <xsd:element ref="ns2:Level2" minOccurs="0"/>
                <xsd:element ref="ns2:Level3" minOccurs="0"/>
                <xsd:element ref="ns2:PRAType" minOccurs="0"/>
                <xsd:element ref="ns2:AggregationStatus" minOccurs="0"/>
                <xsd:element ref="ns2:SetLabel" minOccurs="0"/>
                <xsd:element ref="ns2:DocumentType" minOccurs="0"/>
                <xsd:element ref="ns2:ILFrom" minOccurs="0"/>
                <xsd:element ref="ns2:HarmonieUIHidden" minOccurs="0"/>
                <xsd:element ref="ns2:Narrative" minOccurs="0"/>
                <xsd:element ref="ns2:OriginalSubject" minOccurs="0"/>
                <xsd:element ref="ns2:PRADateDisposal" minOccurs="0"/>
                <xsd:element ref="ns2:PRADateTrigger" minOccurs="0"/>
                <xsd:element ref="ns2:PRAText1" minOccurs="0"/>
                <xsd:element ref="ns2:PRAText2" minOccurs="0"/>
                <xsd:element ref="ns2:PRAText4" minOccurs="0"/>
                <xsd:element ref="ns2:PRAText5" minOccurs="0"/>
                <xsd:element ref="ns2:Project" minOccurs="0"/>
                <xsd:element ref="ns2:Received" minOccurs="0"/>
                <xsd:element ref="ns2:RelatedPeople" minOccurs="0"/>
                <xsd:element ref="ns2:SecurityClassification" minOccurs="0"/>
                <xsd:element ref="ns2:Sent" minOccurs="0"/>
                <xsd:element ref="ns2:To" minOccurs="0"/>
                <xsd:element ref="ns2:zLegacyDocID" minOccurs="0"/>
                <xsd:element ref="ns2:zLegacy" minOccurs="0"/>
                <xsd:element ref="ns2:zLegacyJSON" minOccurs="0"/>
                <xsd:element ref="ns2:CC" minOccurs="0"/>
                <xsd:element ref="ns2:MailPreviewData" minOccurs="0"/>
                <xsd:element ref="ns3:SetSensitivity" minOccurs="0"/>
                <xsd:element ref="ns3:PRAText3" minOccurs="0"/>
                <xsd:element ref="ns3:Level1" minOccurs="0"/>
                <xsd:element ref="ns3:zMigrationID" minOccurs="0"/>
                <xsd:element ref="ns3:ProjectID" minOccurs="0"/>
                <xsd:element ref="ns3:zLegacyID" minOccurs="0"/>
                <xsd:element ref="ns4:MediaServiceMetadata" minOccurs="0"/>
                <xsd:element ref="ns4:MediaServiceFastMetadata" minOccurs="0"/>
                <xsd:element ref="ns4:MediaServiceSearchPropertie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8" nillable="true" ma:displayName="Description" ma:default="" ma:hidden="true" ma:internalName="_Extended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40200d-5ad4-4088-9410-7099857a429a" elementFormDefault="qualified">
    <xsd:import namespace="http://schemas.microsoft.com/office/2006/documentManagement/types"/>
    <xsd:import namespace="http://schemas.microsoft.com/office/infopath/2007/PartnerControls"/>
    <xsd:element name="FunctionGroup" ma:index="9" nillable="true" ma:displayName="Function Group" ma:default="NA" ma:hidden="true" ma:internalName="FunctionGroup" ma:readOnly="false">
      <xsd:simpleType>
        <xsd:restriction base="dms:Text">
          <xsd:maxLength value="255"/>
        </xsd:restriction>
      </xsd:simpleType>
    </xsd:element>
    <xsd:element name="Function" ma:index="10" nillable="true" ma:displayName="Function" ma:default="Advice" ma:hidden="true" ma:internalName="Function" ma:readOnly="false">
      <xsd:simpleType>
        <xsd:restriction base="dms:Text">
          <xsd:maxLength value="255"/>
        </xsd:restriction>
      </xsd:simpleType>
    </xsd:element>
    <xsd:element name="Activity" ma:index="11" nillable="true" ma:displayName="Activity" ma:default="Emissions Trading Scheme (NZETS)" ma:hidden="true" ma:internalName="Activity" ma:readOnly="false">
      <xsd:simpleType>
        <xsd:restriction base="dms:Text">
          <xsd:maxLength value="255"/>
        </xsd:restriction>
      </xsd:simpleType>
    </xsd:element>
    <xsd:element name="Subactivity" ma:index="12" nillable="true" ma:displayName="Subactivity" ma:default="Unit limits and price control settings" ma:hidden="true" ma:indexed="true" ma:internalName="Subactivity" ma:readOnly="false">
      <xsd:simpleType>
        <xsd:restriction base="dms:Text">
          <xsd:maxLength value="255"/>
        </xsd:restriction>
      </xsd:simpleType>
    </xsd:element>
    <xsd:element name="Case" ma:index="13" nillable="true" ma:displayName="Case" ma:default="NA" ma:hidden="true" ma:internalName="Case" ma:readOnly="false">
      <xsd:simpleType>
        <xsd:restriction base="dms:Text">
          <xsd:maxLength value="255"/>
        </xsd:restriction>
      </xsd:simpleType>
    </xsd:element>
    <xsd:element name="Category1" ma:index="14" nillable="true" ma:displayName="Category 1" ma:default="NA" ma:hidden="true" ma:indexed="true" ma:internalName="Category1" ma:readOnly="false">
      <xsd:simpleType>
        <xsd:restriction base="dms:Text">
          <xsd:maxLength value="255"/>
        </xsd:restriction>
      </xsd:simpleType>
    </xsd:element>
    <xsd:element name="Category2" ma:index="15" nillable="true" ma:displayName="Category 2" ma:default="NA" ma:hidden="true" ma:indexed="true" ma:internalName="Category2" ma:readOnly="false">
      <xsd:simpleType>
        <xsd:restriction base="dms:Text">
          <xsd:maxLength value="255"/>
        </xsd:restriction>
      </xsd:simpleType>
    </xsd:element>
    <xsd:element name="Team" ma:index="16" nillable="true" ma:displayName="Team" ma:default="NZ ETS 2026" ma:hidden="true" ma:internalName="Team" ma:readOnly="false">
      <xsd:simpleType>
        <xsd:restriction base="dms:Text">
          <xsd:maxLength value="255"/>
        </xsd:restriction>
      </xsd:simpleType>
    </xsd:element>
    <xsd:element name="Channel" ma:index="17" nillable="true" ma:displayName="Channel" ma:default="NA" ma:hidden="true" ma:internalName="Channel" ma:readOnly="false">
      <xsd:simpleType>
        <xsd:restriction base="dms:Text">
          <xsd:maxLength value="255"/>
        </xsd:restriction>
      </xsd:simpleType>
    </xsd:element>
    <xsd:element name="Year" ma:index="18" nillable="true" ma:displayName="Year" ma:default="NA" ma:hidden="true" ma:internalName="Year" ma:readOnly="false">
      <xsd:simpleType>
        <xsd:restriction base="dms:Text">
          <xsd:maxLength value="255"/>
        </xsd:restriction>
      </xsd:simpleType>
    </xsd:element>
    <xsd:element name="Level2" ma:index="19" nillable="true" ma:displayName="Level 2" ma:default="NA" ma:hidden="true" ma:internalName="Level2" ma:readOnly="false">
      <xsd:simpleType>
        <xsd:restriction base="dms:Text">
          <xsd:maxLength value="255"/>
        </xsd:restriction>
      </xsd:simpleType>
    </xsd:element>
    <xsd:element name="Level3" ma:index="20" nillable="true" ma:displayName="Level 3" ma:default="NA" ma:hidden="true" ma:internalName="Level3" ma:readOnly="false">
      <xsd:simpleType>
        <xsd:restriction base="dms:Text">
          <xsd:maxLength value="255"/>
        </xsd:restriction>
      </xsd:simpleType>
    </xsd:element>
    <xsd:element name="PRAType" ma:index="21" nillable="true" ma:displayName="PRA Type" ma:default="Doc" ma:hidden="true" ma:indexed="true" ma:internalName="PRAType" ma:readOnly="false">
      <xsd:simpleType>
        <xsd:restriction base="dms:Text">
          <xsd:maxLength value="255"/>
        </xsd:restriction>
      </xsd:simpleType>
    </xsd:element>
    <xsd:element name="AggregationStatus" ma:index="22" nillable="true" ma:displayName="Aggregation Status" ma:default="Normal" ma:format="Dropdown" ma:hidden="true" ma:internalName="AggregationStatus" ma:readOnly="false">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enumeration value="Normal"/>
        </xsd:restriction>
      </xsd:simpleType>
    </xsd:element>
    <xsd:element name="SetLabel" ma:index="23" nillable="true" ma:displayName="Set Label" ma:default="NOT SET" ma:hidden="true" ma:indexed="true" ma:internalName="SetLabel" ma:readOnly="false">
      <xsd:simpleType>
        <xsd:restriction base="dms:Text">
          <xsd:maxLength value="255"/>
        </xsd:restriction>
      </xsd:simpleType>
    </xsd:element>
    <xsd:element name="DocumentType" ma:index="24" nillable="true" ma:displayName="Document Type" ma:format="Dropdown" ma:hidden="true" ma:internalName="DocumentType">
      <xsd:simpleType>
        <xsd:union memberTypes="dms:Text">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union>
      </xsd:simpleType>
    </xsd:element>
    <xsd:element name="ILFrom" ma:index="25" nillable="true" ma:displayName="From" ma:hidden="true" ma:internalName="ILFrom" ma:readOnly="false">
      <xsd:simpleType>
        <xsd:restriction base="dms:Text">
          <xsd:maxLength value="255"/>
        </xsd:restriction>
      </xsd:simpleType>
    </xsd:element>
    <xsd:element name="HarmonieUIHidden" ma:index="26" nillable="true" ma:displayName="HarmonieUIHidden" ma:hidden="true" ma:internalName="HarmonieUIHidden" ma:readOnly="false">
      <xsd:simpleType>
        <xsd:restriction base="dms:Text">
          <xsd:maxLength value="255"/>
        </xsd:restriction>
      </xsd:simpleType>
    </xsd:element>
    <xsd:element name="Narrative" ma:index="27" nillable="true" ma:displayName="Narrative" ma:hidden="true" ma:internalName="Narrative" ma:readOnly="false">
      <xsd:simpleType>
        <xsd:restriction base="dms:Note"/>
      </xsd:simpleType>
    </xsd:element>
    <xsd:element name="OriginalSubject" ma:index="28" nillable="true" ma:displayName="Original Subject" ma:hidden="true" ma:internalName="OriginalSubject" ma:readOnly="false">
      <xsd:simpleType>
        <xsd:restriction base="dms:Text">
          <xsd:maxLength value="255"/>
        </xsd:restriction>
      </xsd:simpleType>
    </xsd:element>
    <xsd:element name="PRADateDisposal" ma:index="29" nillable="true" ma:displayName="PRA Date Disposal" ma:format="DateOnly" ma:hidden="true" ma:internalName="PRADateDisposal" ma:readOnly="false">
      <xsd:simpleType>
        <xsd:restriction base="dms:DateTime"/>
      </xsd:simpleType>
    </xsd:element>
    <xsd:element name="PRADateTrigger" ma:index="30" nillable="true" ma:displayName="PRA Date Trigger" ma:format="DateOnly" ma:hidden="true" ma:internalName="PRADateTrigger" ma:readOnly="false">
      <xsd:simpleType>
        <xsd:restriction base="dms:DateTime"/>
      </xsd:simpleType>
    </xsd:element>
    <xsd:element name="PRAText1" ma:index="31" nillable="true" ma:displayName="PRA Text 1" ma:hidden="true" ma:internalName="PRAText1" ma:readOnly="false">
      <xsd:simpleType>
        <xsd:restriction base="dms:Text">
          <xsd:maxLength value="255"/>
        </xsd:restriction>
      </xsd:simpleType>
    </xsd:element>
    <xsd:element name="PRAText2" ma:index="32" nillable="true" ma:displayName="PRA Text 2" ma:hidden="true" ma:internalName="PRAText2" ma:readOnly="false">
      <xsd:simpleType>
        <xsd:restriction base="dms:Text">
          <xsd:maxLength value="255"/>
        </xsd:restriction>
      </xsd:simpleType>
    </xsd:element>
    <xsd:element name="PRAText4" ma:index="33" nillable="true" ma:displayName="PRA Text 4" ma:hidden="true" ma:internalName="PRAText4" ma:readOnly="false">
      <xsd:simpleType>
        <xsd:restriction base="dms:Text">
          <xsd:maxLength value="255"/>
        </xsd:restriction>
      </xsd:simpleType>
    </xsd:element>
    <xsd:element name="PRAText5" ma:index="34" nillable="true" ma:displayName="PRA Text 5" ma:hidden="true" ma:internalName="PRAText5" ma:readOnly="false">
      <xsd:simpleType>
        <xsd:restriction base="dms:Text">
          <xsd:maxLength value="255"/>
        </xsd:restriction>
      </xsd:simpleType>
    </xsd:element>
    <xsd:element name="Project" ma:index="35" nillable="true" ma:displayName="Project" ma:default="NA" ma:hidden="true" ma:internalName="Project" ma:readOnly="false">
      <xsd:simpleType>
        <xsd:restriction base="dms:Text">
          <xsd:maxLength value="255"/>
        </xsd:restriction>
      </xsd:simpleType>
    </xsd:element>
    <xsd:element name="Received" ma:index="36" nillable="true" ma:displayName="Received" ma:format="DateOnly" ma:hidden="true" ma:internalName="Received" ma:readOnly="false">
      <xsd:simpleType>
        <xsd:restriction base="dms:DateTime"/>
      </xsd:simpleType>
    </xsd:element>
    <xsd:element name="RelatedPeople" ma:index="37" nillable="true" ma:displayName="Related People" ma:hidden="true" ma:list="UserInfo" ma:SharePointGroup="0" ma:internalName="RelatedPeopl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curityClassification" ma:index="38" nillable="true" ma:displayName="Security Classification" ma:default="C2. INTERNAL" ma:format="Dropdown" ma:hidden="true" ma:internalName="SecurityClassification">
      <xsd:simpleType>
        <xsd:union memberTypes="dms:Text">
          <xsd:simpleType>
            <xsd:restriction base="dms:Choice">
              <xsd:enumeration value="C1. OPEN"/>
              <xsd:enumeration value="C2. INTERNAL"/>
              <xsd:enumeration value="C3. RESTRICTED"/>
              <xsd:enumeration value="C4. CONFIDENTIAL"/>
              <xsd:enumeration value="C2. INTERNAL"/>
            </xsd:restriction>
          </xsd:simpleType>
        </xsd:union>
      </xsd:simpleType>
    </xsd:element>
    <xsd:element name="Sent" ma:index="39" nillable="true" ma:displayName="Sent" ma:format="DateTime" ma:hidden="true" ma:internalName="Sent" ma:readOnly="false">
      <xsd:simpleType>
        <xsd:restriction base="dms:DateTime"/>
      </xsd:simpleType>
    </xsd:element>
    <xsd:element name="To" ma:index="40" nillable="true" ma:displayName="To" ma:hidden="true" ma:internalName="To" ma:readOnly="false">
      <xsd:simpleType>
        <xsd:restriction base="dms:Text">
          <xsd:maxLength value="255"/>
        </xsd:restriction>
      </xsd:simpleType>
    </xsd:element>
    <xsd:element name="zLegacyDocID" ma:index="41" nillable="true" ma:displayName="Legacy Doc ID" ma:hidden="true" ma:internalName="zLegacyDocID" ma:readOnly="false">
      <xsd:simpleType>
        <xsd:restriction base="dms:Text">
          <xsd:maxLength value="255"/>
        </xsd:restriction>
      </xsd:simpleType>
    </xsd:element>
    <xsd:element name="zLegacy" ma:index="42" nillable="true" ma:displayName="zLegacy" ma:hidden="true" ma:internalName="zLegacy" ma:readOnly="false">
      <xsd:simpleType>
        <xsd:restriction base="dms:Note"/>
      </xsd:simpleType>
    </xsd:element>
    <xsd:element name="zLegacyJSON" ma:index="43" nillable="true" ma:displayName="zLegacyJSON" ma:hidden="true" ma:internalName="zLegacyJSON" ma:readOnly="false">
      <xsd:simpleType>
        <xsd:restriction base="dms:Note"/>
      </xsd:simpleType>
    </xsd:element>
    <xsd:element name="CC" ma:index="44" nillable="true" ma:displayName="CC" ma:hidden="true" ma:internalName="CC" ma:readOnly="false">
      <xsd:simpleType>
        <xsd:restriction base="dms:Text">
          <xsd:maxLength value="255"/>
        </xsd:restriction>
      </xsd:simpleType>
    </xsd:element>
    <xsd:element name="MailPreviewData" ma:index="45" nillable="true" ma:displayName="MailPreviewData" ma:hidden="true" ma:internalName="MailPreviewData" ma:readOnly="false">
      <xsd:simpleType>
        <xsd:restriction base="dms:Note"/>
      </xsd:simpleType>
    </xsd:element>
    <xsd:element name="_dlc_DocId" ma:index="55" nillable="true" ma:displayName="Document ID Value" ma:description="The value of the document ID assigned to this item." ma:indexed="true" ma:internalName="_dlc_DocId" ma:readOnly="true">
      <xsd:simpleType>
        <xsd:restriction base="dms:Text"/>
      </xsd:simpleType>
    </xsd:element>
    <xsd:element name="_dlc_DocIdUrl" ma:index="5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cac9bea-d09c-48b0-9841-7eb5347add9c" elementFormDefault="qualified">
    <xsd:import namespace="http://schemas.microsoft.com/office/2006/documentManagement/types"/>
    <xsd:import namespace="http://schemas.microsoft.com/office/infopath/2007/PartnerControls"/>
    <xsd:element name="SetSensitivity" ma:index="46" nillable="true" ma:displayName="Set Sensitivity" ma:default="NOT SET" ma:hidden="true" ma:indexed="true" ma:internalName="SetSensitivity" ma:readOnly="false">
      <xsd:simpleType>
        <xsd:restriction base="dms:Text">
          <xsd:maxLength value="255"/>
        </xsd:restriction>
      </xsd:simpleType>
    </xsd:element>
    <xsd:element name="PRAText3" ma:index="47" nillable="true" ma:displayName="PRA Text 3" ma:hidden="true" ma:internalName="PRAText3" ma:readOnly="false">
      <xsd:simpleType>
        <xsd:restriction base="dms:Text">
          <xsd:maxLength value="255"/>
        </xsd:restriction>
      </xsd:simpleType>
    </xsd:element>
    <xsd:element name="Level1" ma:index="48" nillable="true" ma:displayName="Level 1" ma:default="NA" ma:hidden="true" ma:internalName="Level1" ma:readOnly="false">
      <xsd:simpleType>
        <xsd:restriction base="dms:Text">
          <xsd:maxLength value="255"/>
        </xsd:restriction>
      </xsd:simpleType>
    </xsd:element>
    <xsd:element name="zMigrationID" ma:index="49" nillable="true" ma:displayName="zMigrationID" ma:hidden="true" ma:indexed="true" ma:internalName="zMigrationID" ma:readOnly="false">
      <xsd:simpleType>
        <xsd:restriction base="dms:Text">
          <xsd:maxLength value="255"/>
        </xsd:restriction>
      </xsd:simpleType>
    </xsd:element>
    <xsd:element name="ProjectID" ma:index="50" nillable="true" ma:displayName="ProjectID" ma:hidden="true" ma:internalName="ProjectID" ma:readOnly="false">
      <xsd:simpleType>
        <xsd:restriction base="dms:Text">
          <xsd:maxLength value="255"/>
        </xsd:restriction>
      </xsd:simpleType>
    </xsd:element>
    <xsd:element name="zLegacyID" ma:index="51" nillable="true" ma:displayName="zLegacyID" ma:hidden="true" ma:internalName="zLegacy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5babcf-a1be-481b-af25-dc592bf771d3" elementFormDefault="qualified">
    <xsd:import namespace="http://schemas.microsoft.com/office/2006/documentManagement/types"/>
    <xsd:import namespace="http://schemas.microsoft.com/office/infopath/2007/PartnerControls"/>
    <xsd:element name="MediaServiceMetadata" ma:index="52" nillable="true" ma:displayName="MediaServiceMetadata" ma:hidden="true" ma:internalName="MediaServiceMetadata" ma:readOnly="true">
      <xsd:simpleType>
        <xsd:restriction base="dms:Note"/>
      </xsd:simpleType>
    </xsd:element>
    <xsd:element name="MediaServiceFastMetadata" ma:index="53" nillable="true" ma:displayName="MediaServiceFastMetadata" ma:hidden="true" ma:internalName="MediaServiceFastMetadata" ma:readOnly="true">
      <xsd:simpleType>
        <xsd:restriction base="dms:Note"/>
      </xsd:simpleType>
    </xsd:element>
    <xsd:element name="MediaServiceSearchProperties" ma:index="5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etSensitivity xmlns="1cac9bea-d09c-48b0-9841-7eb5347add9c">NOT SET</SetSensitivity>
    <zLegacyID xmlns="1cac9bea-d09c-48b0-9841-7eb5347add9c" xsi:nil="true"/>
    <Level1 xmlns="1cac9bea-d09c-48b0-9841-7eb5347add9c">NA</Level1>
    <_ExtendedDescription xmlns="http://schemas.microsoft.com/sharepoint/v3" xsi:nil="true"/>
    <ProjectID xmlns="1cac9bea-d09c-48b0-9841-7eb5347add9c" xsi:nil="true"/>
    <PRAText3 xmlns="1cac9bea-d09c-48b0-9841-7eb5347add9c" xsi:nil="true"/>
    <zMigrationID xmlns="1cac9bea-d09c-48b0-9841-7eb5347add9c" xsi:nil="true"/>
    <Subactivity xmlns="0840200d-5ad4-4088-9410-7099857a429a">Technical annexes</Subactivity>
    <PRADateDisposal xmlns="0840200d-5ad4-4088-9410-7099857a429a" xsi:nil="true"/>
    <CC xmlns="0840200d-5ad4-4088-9410-7099857a429a" xsi:nil="true"/>
    <SecurityClassification xmlns="0840200d-5ad4-4088-9410-7099857a429a">C2. INTERNAL</SecurityClassification>
    <Level2 xmlns="0840200d-5ad4-4088-9410-7099857a429a">NA</Level2>
    <PRAType xmlns="0840200d-5ad4-4088-9410-7099857a429a">Doc</PRAType>
    <Narrative xmlns="0840200d-5ad4-4088-9410-7099857a429a" xsi:nil="true"/>
    <PRADateTrigger xmlns="0840200d-5ad4-4088-9410-7099857a429a" xsi:nil="true"/>
    <Sent xmlns="0840200d-5ad4-4088-9410-7099857a429a" xsi:nil="true"/>
    <PRAText1 xmlns="0840200d-5ad4-4088-9410-7099857a429a" xsi:nil="true"/>
    <PRAText4 xmlns="0840200d-5ad4-4088-9410-7099857a429a" xsi:nil="true"/>
    <Category1 xmlns="0840200d-5ad4-4088-9410-7099857a429a">NA</Category1>
    <Level3 xmlns="0840200d-5ad4-4088-9410-7099857a429a">NA</Level3>
    <OriginalSubject xmlns="0840200d-5ad4-4088-9410-7099857a429a" xsi:nil="true"/>
    <Team xmlns="0840200d-5ad4-4088-9410-7099857a429a">NZ ETS 2026</Team>
    <Case xmlns="0840200d-5ad4-4088-9410-7099857a429a">NA</Case>
    <Category2 xmlns="0840200d-5ad4-4088-9410-7099857a429a">NA</Category2>
    <Year xmlns="0840200d-5ad4-4088-9410-7099857a429a">NA</Year>
    <ILFrom xmlns="0840200d-5ad4-4088-9410-7099857a429a" xsi:nil="true"/>
    <PRAText2 xmlns="0840200d-5ad4-4088-9410-7099857a429a" xsi:nil="true"/>
    <PRAText5 xmlns="0840200d-5ad4-4088-9410-7099857a429a" xsi:nil="true"/>
    <FunctionGroup xmlns="0840200d-5ad4-4088-9410-7099857a429a">NA</FunctionGroup>
    <Function xmlns="0840200d-5ad4-4088-9410-7099857a429a">Advice</Function>
    <RelatedPeople xmlns="0840200d-5ad4-4088-9410-7099857a429a">
      <UserInfo>
        <DisplayName/>
        <AccountId xsi:nil="true"/>
        <AccountType/>
      </UserInfo>
    </RelatedPeople>
    <Received xmlns="0840200d-5ad4-4088-9410-7099857a429a" xsi:nil="true"/>
    <zLegacyDocID xmlns="0840200d-5ad4-4088-9410-7099857a429a" xsi:nil="true"/>
    <DocumentType xmlns="0840200d-5ad4-4088-9410-7099857a429a">APPLICATION, certificate, consent related</DocumentType>
    <Activity xmlns="0840200d-5ad4-4088-9410-7099857a429a">Emissions Trading Scheme (NZETS)</Activity>
    <SetLabel xmlns="0840200d-5ad4-4088-9410-7099857a429a">NOT SET</SetLabel>
    <zLegacy xmlns="0840200d-5ad4-4088-9410-7099857a429a" xsi:nil="true"/>
    <MailPreviewData xmlns="0840200d-5ad4-4088-9410-7099857a429a" xsi:nil="true"/>
    <AggregationStatus xmlns="0840200d-5ad4-4088-9410-7099857a429a">Normal</AggregationStatus>
    <Project xmlns="0840200d-5ad4-4088-9410-7099857a429a">NA</Project>
    <zLegacyJSON xmlns="0840200d-5ad4-4088-9410-7099857a429a" xsi:nil="true"/>
    <Channel xmlns="0840200d-5ad4-4088-9410-7099857a429a">NA</Channel>
    <HarmonieUIHidden xmlns="0840200d-5ad4-4088-9410-7099857a429a" xsi:nil="true"/>
    <To xmlns="0840200d-5ad4-4088-9410-7099857a429a" xsi:nil="true"/>
    <_dlc_DocId xmlns="0840200d-5ad4-4088-9410-7099857a429a">3T2N7Z3DHK66-1104493782-2654</_dlc_DocId>
    <_dlc_DocIdUrl xmlns="0840200d-5ad4-4088-9410-7099857a429a">
      <Url>https://climatechangegovt.sharepoint.com/sites/CCRA-ETS2026/_layouts/15/DocIdRedir.aspx?ID=3T2N7Z3DHK66-1104493782-2654</Url>
      <Description>3T2N7Z3DHK66-1104493782-2654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A2585A-4DD0-403A-B305-D4CCFF0F58C7}"/>
</file>

<file path=customXml/itemProps2.xml><?xml version="1.0" encoding="utf-8"?>
<ds:datastoreItem xmlns:ds="http://schemas.openxmlformats.org/officeDocument/2006/customXml" ds:itemID="{E38EF38C-888B-4070-8B99-66E87DABC1A7}">
  <ds:schemaRefs>
    <ds:schemaRef ds:uri="http://schemas.openxmlformats.org/officeDocument/2006/bibliography"/>
  </ds:schemaRefs>
</ds:datastoreItem>
</file>

<file path=customXml/itemProps3.xml><?xml version="1.0" encoding="utf-8"?>
<ds:datastoreItem xmlns:ds="http://schemas.openxmlformats.org/officeDocument/2006/customXml" ds:itemID="{B90C9EAE-AD6B-407F-B572-21089C3C6A4E}">
  <ds:schemaRefs>
    <ds:schemaRef ds:uri="http://schemas.microsoft.com/office/2006/metadata/properties"/>
    <ds:schemaRef ds:uri="http://schemas.microsoft.com/office/infopath/2007/PartnerControls"/>
    <ds:schemaRef ds:uri="1cac9bea-d09c-48b0-9841-7eb5347add9c"/>
    <ds:schemaRef ds:uri="http://schemas.microsoft.com/sharepoint/v3"/>
    <ds:schemaRef ds:uri="0840200d-5ad4-4088-9410-7099857a429a"/>
  </ds:schemaRefs>
</ds:datastoreItem>
</file>

<file path=customXml/itemProps4.xml><?xml version="1.0" encoding="utf-8"?>
<ds:datastoreItem xmlns:ds="http://schemas.openxmlformats.org/officeDocument/2006/customXml" ds:itemID="{9D90E1AE-6637-4865-8CAD-D9BA5B55C95E}">
  <ds:schemaRefs>
    <ds:schemaRef ds:uri="http://schemas.microsoft.com/sharepoint/events"/>
  </ds:schemaRefs>
</ds:datastoreItem>
</file>

<file path=customXml/itemProps5.xml><?xml version="1.0" encoding="utf-8"?>
<ds:datastoreItem xmlns:ds="http://schemas.openxmlformats.org/officeDocument/2006/customXml" ds:itemID="{10C58ACD-95BF-4871-90F7-E3F54976DC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2757</TotalTime>
  <Pages>1</Pages>
  <Words>13068</Words>
  <Characters>74493</Characters>
  <Application>Microsoft Office Word</Application>
  <DocSecurity>4</DocSecurity>
  <Lines>620</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Young</dc:creator>
  <cp:keywords/>
  <dc:description/>
  <cp:lastModifiedBy>Gemma Freeman</cp:lastModifiedBy>
  <cp:revision>1109</cp:revision>
  <cp:lastPrinted>2026-04-01T19:09:00Z</cp:lastPrinted>
  <dcterms:created xsi:type="dcterms:W3CDTF">2026-04-15T17:59:00Z</dcterms:created>
  <dcterms:modified xsi:type="dcterms:W3CDTF">2026-04-21T02:56:00Z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0x010100A6D186D65F6D9D40B801459892252FC9</vt:lpwstr>
  </property>
  <property fmtid="{D5CDD505-2E9C-101B-9397-08002B2CF9AE}" pid="3" name="MediaServiceImageTags">
    <vt:lpwstr/>
  </property>
  <property fmtid="{D5CDD505-2E9C-101B-9397-08002B2CF9AE}" pid="4" name="_dlc_DocId">
    <vt:lpwstr>N2HWEKUWM52S-2043556887-1296</vt:lpwstr>
  </property>
  <property fmtid="{D5CDD505-2E9C-101B-9397-08002B2CF9AE}" pid="5" name="_dlc_DocIdUrl">
    <vt:lpwstr>https://climatechangegovt.sharepoint.com/sites/Legal/_layouts/15/DocIdRedir.aspx?ID=N2HWEKUWM52S-2043556887-1296, N2HWEKUWM52S-2043556887-1296</vt:lpwstr>
  </property>
  <property fmtid="{D5CDD505-2E9C-101B-9397-08002B2CF9AE}" pid="6" name="_dlc_DocIdItemGuid">
    <vt:lpwstr>231298a2-c83d-4ec6-b41d-429f8e0008b8</vt:lpwstr>
  </property>
  <property fmtid="{D5CDD505-2E9C-101B-9397-08002B2CF9AE}" pid="7" name="ndDocumentId">
    <vt:lpwstr>3475-7623-6618</vt:lpwstr>
  </property>
</Properties>
</file>