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6694D" w14:textId="77777777" w:rsidR="000E720C" w:rsidRDefault="000E720C" w:rsidP="000E720C">
      <w:pPr>
        <w:pStyle w:val="Title"/>
      </w:pPr>
      <w:bookmarkStart w:id="0" w:name="_Toc225320166"/>
      <w:bookmarkStart w:id="1" w:name="_Toc225329764"/>
      <w:r>
        <w:rPr>
          <w:noProof/>
        </w:rPr>
        <mc:AlternateContent>
          <mc:Choice Requires="wps">
            <w:drawing>
              <wp:anchor distT="0" distB="0" distL="114300" distR="114300" simplePos="0" relativeHeight="251658241" behindDoc="0" locked="0" layoutInCell="1" allowOverlap="1" wp14:anchorId="259C325F" wp14:editId="74452C58">
                <wp:simplePos x="0" y="0"/>
                <wp:positionH relativeFrom="column">
                  <wp:posOffset>4248150</wp:posOffset>
                </wp:positionH>
                <wp:positionV relativeFrom="paragraph">
                  <wp:posOffset>-218067</wp:posOffset>
                </wp:positionV>
                <wp:extent cx="1600873" cy="7682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0873" cy="768227"/>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wps:spPr>
                      <wps:txbx>
                        <w:txbxContent>
                          <w:p w14:paraId="0F7AEE40" w14:textId="77777777" w:rsidR="000E720C" w:rsidRDefault="000E720C" w:rsidP="000E7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C325F" id="_x0000_t202" coordsize="21600,21600" o:spt="202" path="m,l,21600r21600,l21600,xe">
                <v:stroke joinstyle="miter"/>
                <v:path gradientshapeok="t" o:connecttype="rect"/>
              </v:shapetype>
              <v:shape id="Text Box 6" o:spid="_x0000_s1026" type="#_x0000_t202" style="position:absolute;margin-left:334.5pt;margin-top:-17.15pt;width:126.05pt;height: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" stroked="f" strokeweight=".5pt">
                <v:fill r:id="rId13" o:title="" recolor="t" rotate="t" type="frame"/>
                <v:textbox>
                  <w:txbxContent>
                    <w:p w14:paraId="0F7AEE40" w14:textId="77777777" w:rsidR="000E720C" w:rsidRDefault="000E720C" w:rsidP="000E720C"/>
                  </w:txbxContent>
                </v:textbox>
              </v:shape>
            </w:pict>
          </mc:Fallback>
        </mc:AlternateContent>
      </w:r>
    </w:p>
    <w:p w14:paraId="0E426EAA" w14:textId="77777777" w:rsidR="000E720C" w:rsidRPr="007607B8" w:rsidRDefault="000E720C" w:rsidP="000E720C">
      <w:pPr>
        <w:rPr>
          <w:rFonts w:eastAsiaTheme="majorEastAsia"/>
          <w:b/>
          <w:spacing w:val="-10"/>
          <w:kern w:val="28"/>
          <w:sz w:val="56"/>
          <w:szCs w:val="56"/>
        </w:rPr>
      </w:pPr>
      <w:r>
        <w:rPr>
          <w:noProof/>
        </w:rPr>
        <mc:AlternateContent>
          <mc:Choice Requires="wpg">
            <w:drawing>
              <wp:anchor distT="0" distB="0" distL="114300" distR="114300" simplePos="0" relativeHeight="251658242" behindDoc="1" locked="0" layoutInCell="1" allowOverlap="1" wp14:anchorId="1CC310E6" wp14:editId="026C14CF">
                <wp:simplePos x="0" y="0"/>
                <wp:positionH relativeFrom="column">
                  <wp:posOffset>-212090</wp:posOffset>
                </wp:positionH>
                <wp:positionV relativeFrom="paragraph">
                  <wp:posOffset>-156845</wp:posOffset>
                </wp:positionV>
                <wp:extent cx="6188149" cy="2973927"/>
                <wp:effectExtent l="0" t="0" r="9525" b="10795"/>
                <wp:wrapNone/>
                <wp:docPr id="1905028448" name="Group 1"/>
                <wp:cNvGraphicFramePr/>
                <a:graphic xmlns:a="http://schemas.openxmlformats.org/drawingml/2006/main">
                  <a:graphicData uri="http://schemas.microsoft.com/office/word/2010/wordprocessingGroup">
                    <wpg:wgp>
                      <wpg:cNvGrpSpPr/>
                      <wpg:grpSpPr>
                        <a:xfrm>
                          <a:off x="0" y="0"/>
                          <a:ext cx="6188149" cy="2973927"/>
                          <a:chOff x="0" y="0"/>
                          <a:chExt cx="6188149" cy="2973927"/>
                        </a:xfrm>
                      </wpg:grpSpPr>
                      <wps:wsp>
                        <wps:cNvPr id="1674566071" name="docshape4"/>
                        <wps:cNvSpPr txBox="1">
                          <a:spLocks/>
                        </wps:cNvSpPr>
                        <wps:spPr bwMode="auto">
                          <a:xfrm>
                            <a:off x="0" y="0"/>
                            <a:ext cx="6188149" cy="215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D088" w14:textId="77777777" w:rsidR="000E720C" w:rsidRPr="00BE2E6A" w:rsidRDefault="000E720C" w:rsidP="000E720C">
                              <w:pPr>
                                <w:pStyle w:val="Heading1"/>
                                <w:spacing w:before="100" w:beforeAutospacing="1" w:after="100" w:afterAutospacing="1" w:line="840" w:lineRule="exact"/>
                                <w:rPr>
                                  <w:color w:val="65FFBF"/>
                                  <w:spacing w:val="-14"/>
                                  <w:sz w:val="84"/>
                                  <w:szCs w:val="84"/>
                                </w:rPr>
                              </w:pPr>
                              <w:r w:rsidRPr="00BE2E6A">
                                <w:rPr>
                                  <w:color w:val="00004C"/>
                                  <w:spacing w:val="-14"/>
                                  <w:sz w:val="84"/>
                                  <w:szCs w:val="84"/>
                                </w:rPr>
                                <w:t xml:space="preserve">Advice on </w:t>
                              </w:r>
                              <w:r w:rsidRPr="00BE2E6A">
                                <w:rPr>
                                  <w:color w:val="00004C"/>
                                  <w:spacing w:val="-14"/>
                                  <w:sz w:val="84"/>
                                  <w:szCs w:val="84"/>
                                </w:rPr>
                                <w:br/>
                              </w:r>
                              <w:r w:rsidRPr="00BE2E6A">
                                <w:rPr>
                                  <w:color w:val="00B3A4"/>
                                  <w:spacing w:val="-14"/>
                                  <w:sz w:val="84"/>
                                  <w:szCs w:val="84"/>
                                </w:rPr>
                                <w:t xml:space="preserve">NZ ETS unit limits and </w:t>
                              </w:r>
                              <w:r>
                                <w:rPr>
                                  <w:color w:val="00B3A4"/>
                                  <w:spacing w:val="-14"/>
                                  <w:sz w:val="84"/>
                                  <w:szCs w:val="84"/>
                                </w:rPr>
                                <w:br/>
                              </w:r>
                              <w:r w:rsidRPr="00BE2E6A">
                                <w:rPr>
                                  <w:color w:val="00B3A4"/>
                                  <w:spacing w:val="-14"/>
                                  <w:sz w:val="84"/>
                                  <w:szCs w:val="84"/>
                                </w:rPr>
                                <w:t xml:space="preserve">price control settings </w:t>
                              </w:r>
                              <w:r w:rsidRPr="00BE2E6A">
                                <w:rPr>
                                  <w:color w:val="00B3A4"/>
                                  <w:spacing w:val="-14"/>
                                  <w:sz w:val="84"/>
                                  <w:szCs w:val="84"/>
                                </w:rPr>
                                <w:br/>
                                <w:t>for 2027–2031</w:t>
                              </w:r>
                            </w:p>
                            <w:p w14:paraId="3ED6F5F4" w14:textId="77777777" w:rsidR="000E720C" w:rsidRDefault="000E720C" w:rsidP="000E720C">
                              <w:pPr>
                                <w:pStyle w:val="Heading4"/>
                                <w:spacing w:line="240" w:lineRule="auto"/>
                              </w:pPr>
                            </w:p>
                          </w:txbxContent>
                        </wps:txbx>
                        <wps:bodyPr rot="0" vert="horz" wrap="square" lIns="0" tIns="0" rIns="0" bIns="0" anchor="t" anchorCtr="0" upright="1">
                          <a:noAutofit/>
                        </wps:bodyPr>
                      </wps:wsp>
                      <wps:wsp>
                        <wps:cNvPr id="1347741541" name="docshape5"/>
                        <wps:cNvSpPr txBox="1">
                          <a:spLocks/>
                        </wps:cNvSpPr>
                        <wps:spPr bwMode="auto">
                          <a:xfrm>
                            <a:off x="0" y="2222205"/>
                            <a:ext cx="51460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3EB9" w14:textId="77A49B37" w:rsidR="00F545BF" w:rsidRPr="00BE2E6A" w:rsidRDefault="000E720C" w:rsidP="000E720C">
                              <w:pPr>
                                <w:pStyle w:val="Heading2"/>
                                <w:rPr>
                                  <w:lang w:val="en-AU"/>
                                </w:rPr>
                              </w:pPr>
                              <w:r>
                                <w:rPr>
                                  <w:lang w:val="en-AU"/>
                                </w:rPr>
                                <w:t>Technical annex 2: Forestry accounting</w:t>
                              </w:r>
                            </w:p>
                          </w:txbxContent>
                        </wps:txbx>
                        <wps:bodyPr rot="0" vert="horz" wrap="square" lIns="0" tIns="0" rIns="0" bIns="0" anchor="t" anchorCtr="0" upright="1">
                          <a:noAutofit/>
                        </wps:bodyPr>
                      </wps:wsp>
                      <wps:wsp>
                        <wps:cNvPr id="1973621103" name="docshape5"/>
                        <wps:cNvSpPr txBox="1">
                          <a:spLocks/>
                        </wps:cNvSpPr>
                        <wps:spPr bwMode="auto">
                          <a:xfrm>
                            <a:off x="0" y="2562447"/>
                            <a:ext cx="51460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7F30" w14:textId="00E39278" w:rsidR="00F545BF" w:rsidRPr="00BE2E6A" w:rsidRDefault="000E720C" w:rsidP="000E720C">
                              <w:pPr>
                                <w:pStyle w:val="Heading2"/>
                                <w:rPr>
                                  <w:b w:val="0"/>
                                  <w:color w:val="auto"/>
                                  <w:lang w:val="en-AU"/>
                                </w:rPr>
                              </w:pPr>
                              <w:r w:rsidRPr="00BE2E6A">
                                <w:rPr>
                                  <w:b w:val="0"/>
                                  <w:bCs/>
                                  <w:lang w:val="en-AU"/>
                                </w:rPr>
                                <w:t>April 2026</w:t>
                              </w:r>
                            </w:p>
                          </w:txbxContent>
                        </wps:txbx>
                        <wps:bodyPr rot="0" vert="horz" wrap="square" lIns="0" tIns="0" rIns="0" bIns="0" anchor="t" anchorCtr="0" upright="1">
                          <a:noAutofit/>
                        </wps:bodyPr>
                      </wps:wsp>
                    </wpg:wgp>
                  </a:graphicData>
                </a:graphic>
              </wp:anchor>
            </w:drawing>
          </mc:Choice>
          <mc:Fallback>
            <w:pict>
              <v:group w14:anchorId="1CC310E6" id="Group 1" o:spid="_x0000_s1027" style="position:absolute;margin-left:-16.7pt;margin-top:-12.35pt;width:487.25pt;height:234.15pt;z-index:-251658238" coordsize="61881,2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">
                <v:shape id="docshape4" o:spid="_x0000_s1028" type="#_x0000_t202" style="position:absolute;width:61881;height:2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" filled="f" stroked="f">
                  <v:path arrowok="t"/>
                  <v:textbox inset="0,0,0,0">
                    <w:txbxContent>
                      <w:p w14:paraId="7A12D088" w14:textId="77777777" w:rsidR="000E720C" w:rsidRPr="00BE2E6A" w:rsidRDefault="000E720C" w:rsidP="000E720C">
                        <w:pPr>
                          <w:pStyle w:val="Heading1"/>
                          <w:spacing w:before="100" w:beforeAutospacing="1" w:after="100" w:afterAutospacing="1" w:line="840" w:lineRule="exact"/>
                          <w:rPr>
                            <w:color w:val="65FFBF"/>
                            <w:spacing w:val="-14"/>
                            <w:sz w:val="84"/>
                            <w:szCs w:val="84"/>
                          </w:rPr>
                        </w:pPr>
                        <w:r w:rsidRPr="00BE2E6A">
                          <w:rPr>
                            <w:color w:val="00004C"/>
                            <w:spacing w:val="-14"/>
                            <w:sz w:val="84"/>
                            <w:szCs w:val="84"/>
                          </w:rPr>
                          <w:t xml:space="preserve">Advice on </w:t>
                        </w:r>
                        <w:r w:rsidRPr="00BE2E6A">
                          <w:rPr>
                            <w:color w:val="00004C"/>
                            <w:spacing w:val="-14"/>
                            <w:sz w:val="84"/>
                            <w:szCs w:val="84"/>
                          </w:rPr>
                          <w:br/>
                        </w:r>
                        <w:r w:rsidRPr="00BE2E6A">
                          <w:rPr>
                            <w:color w:val="00B3A4"/>
                            <w:spacing w:val="-14"/>
                            <w:sz w:val="84"/>
                            <w:szCs w:val="84"/>
                          </w:rPr>
                          <w:t xml:space="preserve">NZ ETS unit limits and </w:t>
                        </w:r>
                        <w:r>
                          <w:rPr>
                            <w:color w:val="00B3A4"/>
                            <w:spacing w:val="-14"/>
                            <w:sz w:val="84"/>
                            <w:szCs w:val="84"/>
                          </w:rPr>
                          <w:br/>
                        </w:r>
                        <w:r w:rsidRPr="00BE2E6A">
                          <w:rPr>
                            <w:color w:val="00B3A4"/>
                            <w:spacing w:val="-14"/>
                            <w:sz w:val="84"/>
                            <w:szCs w:val="84"/>
                          </w:rPr>
                          <w:t xml:space="preserve">price control settings </w:t>
                        </w:r>
                        <w:r w:rsidRPr="00BE2E6A">
                          <w:rPr>
                            <w:color w:val="00B3A4"/>
                            <w:spacing w:val="-14"/>
                            <w:sz w:val="84"/>
                            <w:szCs w:val="84"/>
                          </w:rPr>
                          <w:br/>
                          <w:t>for 2027–2031</w:t>
                        </w:r>
                      </w:p>
                      <w:p w14:paraId="3ED6F5F4" w14:textId="77777777" w:rsidR="000E720C" w:rsidRDefault="000E720C" w:rsidP="000E720C">
                        <w:pPr>
                          <w:pStyle w:val="Heading4"/>
                          <w:spacing w:line="240" w:lineRule="auto"/>
                        </w:pPr>
                      </w:p>
                    </w:txbxContent>
                  </v:textbox>
                </v:shape>
                <v:shape id="docshape5" o:spid="_x0000_s1029" type="#_x0000_t202" style="position:absolute;top:22222;width:51460;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" filled="f" stroked="f">
                  <v:path arrowok="t"/>
                  <v:textbox inset="0,0,0,0">
                    <w:txbxContent>
                      <w:p w14:paraId="2E813EB9" w14:textId="77A49B37" w:rsidR="00F545BF" w:rsidRPr="00BE2E6A" w:rsidRDefault="000E720C" w:rsidP="000E720C">
                        <w:pPr>
                          <w:pStyle w:val="Heading2"/>
                          <w:rPr>
                            <w:lang w:val="en-AU"/>
                          </w:rPr>
                        </w:pPr>
                        <w:r>
                          <w:rPr>
                            <w:lang w:val="en-AU"/>
                          </w:rPr>
                          <w:t>Technical annex 2: Forestry accounting</w:t>
                        </w:r>
                      </w:p>
                    </w:txbxContent>
                  </v:textbox>
                </v:shape>
                <v:shape id="docshape5" o:spid="_x0000_s1030" type="#_x0000_t202" style="position:absolute;top:25624;width:5146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" filled="f" stroked="f">
                  <v:path arrowok="t"/>
                  <v:textbox inset="0,0,0,0">
                    <w:txbxContent>
                      <w:p w14:paraId="2DCF7F30" w14:textId="00E39278" w:rsidR="00F545BF" w:rsidRPr="00BE2E6A" w:rsidRDefault="000E720C" w:rsidP="000E720C">
                        <w:pPr>
                          <w:pStyle w:val="Heading2"/>
                          <w:rPr>
                            <w:b w:val="0"/>
                            <w:color w:val="auto"/>
                            <w:lang w:val="en-AU"/>
                          </w:rPr>
                        </w:pPr>
                        <w:r w:rsidRPr="00BE2E6A">
                          <w:rPr>
                            <w:b w:val="0"/>
                            <w:bCs/>
                            <w:lang w:val="en-AU"/>
                          </w:rPr>
                          <w:t>April 2026</w:t>
                        </w:r>
                      </w:p>
                    </w:txbxContent>
                  </v:textbox>
                </v:shape>
              </v:group>
            </w:pict>
          </mc:Fallback>
        </mc:AlternateContent>
      </w:r>
      <w:r>
        <w:rPr>
          <w:noProof/>
        </w:rPr>
        <w:drawing>
          <wp:anchor distT="0" distB="0" distL="0" distR="0" simplePos="0" relativeHeight="251658240" behindDoc="1" locked="0" layoutInCell="1" allowOverlap="1" wp14:anchorId="07670718" wp14:editId="3C5EE5BB">
            <wp:simplePos x="0" y="0"/>
            <wp:positionH relativeFrom="page">
              <wp:posOffset>0</wp:posOffset>
            </wp:positionH>
            <wp:positionV relativeFrom="page">
              <wp:posOffset>4963160</wp:posOffset>
            </wp:positionV>
            <wp:extent cx="7578725" cy="5698490"/>
            <wp:effectExtent l="0" t="0" r="3175" b="3810"/>
            <wp:wrapNone/>
            <wp:docPr id="7" name="image3.png" descr="A blue and green curv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A blue and green curved shap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8725" cy="5698490"/>
                    </a:xfrm>
                    <a:prstGeom prst="rect">
                      <a:avLst/>
                    </a:prstGeom>
                  </pic:spPr>
                </pic:pic>
              </a:graphicData>
            </a:graphic>
            <wp14:sizeRelH relativeFrom="margin">
              <wp14:pctWidth>0</wp14:pctWidth>
            </wp14:sizeRelH>
          </wp:anchor>
        </w:drawing>
      </w:r>
    </w:p>
    <w:p w14:paraId="6BFD7E75" w14:textId="26F3EF1C" w:rsidR="000E720C" w:rsidRDefault="000E720C" w:rsidP="002B2E1B">
      <w:pPr>
        <w:pStyle w:val="BodyText"/>
      </w:pPr>
    </w:p>
    <w:p w14:paraId="250F733B" w14:textId="74F3D935" w:rsidR="00D473A9" w:rsidRDefault="00D473A9" w:rsidP="005222CB">
      <w:pPr>
        <w:pStyle w:val="BodyText"/>
        <w:sectPr w:rsidR="00D473A9" w:rsidSect="00D55E37">
          <w:footerReference w:type="default" r:id="rId15"/>
          <w:footerReference w:type="first" r:id="rId16"/>
          <w:pgSz w:w="11906" w:h="16838"/>
          <w:pgMar w:top="1418" w:right="1418" w:bottom="1134" w:left="1418" w:header="709" w:footer="624" w:gutter="0"/>
          <w:pgNumType w:start="0"/>
          <w:cols w:space="708"/>
          <w:titlePg/>
          <w:docGrid w:linePitch="360"/>
        </w:sectPr>
      </w:pPr>
    </w:p>
    <w:sdt>
      <w:sdtPr>
        <w:rPr>
          <w:rFonts w:ascii="Calibri" w:eastAsiaTheme="minorEastAsia" w:hAnsi="Calibri" w:cstheme="minorBidi"/>
          <w:color w:val="auto"/>
          <w:sz w:val="24"/>
          <w:szCs w:val="24"/>
          <w:lang w:val="en-GB" w:eastAsia="en-US"/>
        </w:rPr>
        <w:id w:val="-992406382"/>
        <w:docPartObj>
          <w:docPartGallery w:val="Table of Contents"/>
          <w:docPartUnique/>
        </w:docPartObj>
      </w:sdtPr>
      <w:sdtEndPr>
        <w:rPr>
          <w:b/>
          <w:bCs/>
        </w:rPr>
      </w:sdtEndPr>
      <w:sdtContent>
        <w:p w14:paraId="3EC0D692" w14:textId="1AE1C5C6" w:rsidR="00B928FE" w:rsidRPr="005222CB" w:rsidRDefault="00B928FE">
          <w:pPr>
            <w:pStyle w:val="TOCHeading"/>
            <w:rPr>
              <w:rFonts w:ascii="Calibri" w:hAnsi="Calibri" w:cs="Calibri"/>
              <w:b/>
              <w:sz w:val="48"/>
              <w:szCs w:val="48"/>
            </w:rPr>
          </w:pPr>
          <w:r w:rsidRPr="005222CB">
            <w:rPr>
              <w:rFonts w:ascii="Calibri" w:hAnsi="Calibri" w:cs="Calibri"/>
              <w:b/>
              <w:sz w:val="48"/>
              <w:szCs w:val="48"/>
              <w:lang w:val="en-GB"/>
            </w:rPr>
            <w:t>Contents</w:t>
          </w:r>
        </w:p>
        <w:p w14:paraId="66557CD5" w14:textId="460AD9F1" w:rsidR="00DF13E2" w:rsidRDefault="00B928FE">
          <w:pPr>
            <w:pStyle w:val="TOC1"/>
            <w:tabs>
              <w:tab w:val="left" w:pos="595"/>
              <w:tab w:val="right" w:leader="dot" w:pos="9060"/>
            </w:tabs>
            <w:rPr>
              <w:rFonts w:asciiTheme="minorHAnsi" w:eastAsiaTheme="minorEastAsia" w:hAnsiTheme="minorHAnsi"/>
              <w:b w:val="0"/>
              <w:noProof/>
              <w:kern w:val="2"/>
              <w:lang w:eastAsia="en-NZ"/>
              <w14:ligatures w14:val="standardContextual"/>
            </w:rPr>
          </w:pPr>
          <w:r>
            <w:fldChar w:fldCharType="begin"/>
          </w:r>
          <w:r>
            <w:instrText xml:space="preserve"> TOC \o "1-3" \h \z \u </w:instrText>
          </w:r>
          <w:r>
            <w:fldChar w:fldCharType="separate"/>
          </w:r>
          <w:hyperlink w:anchor="_Toc227580398" w:history="1">
            <w:r w:rsidR="00DF13E2" w:rsidRPr="00D1021D">
              <w:rPr>
                <w:rStyle w:val="Hyperlink"/>
                <w:noProof/>
              </w:rPr>
              <w:t>1</w:t>
            </w:r>
            <w:r w:rsidR="00DF13E2">
              <w:rPr>
                <w:rFonts w:asciiTheme="minorHAnsi" w:eastAsiaTheme="minorEastAsia" w:hAnsiTheme="minorHAnsi"/>
                <w:b w:val="0"/>
                <w:noProof/>
                <w:kern w:val="2"/>
                <w:lang w:eastAsia="en-NZ"/>
                <w14:ligatures w14:val="standardContextual"/>
              </w:rPr>
              <w:tab/>
            </w:r>
            <w:r w:rsidR="00DF13E2" w:rsidRPr="00D1021D">
              <w:rPr>
                <w:rStyle w:val="Hyperlink"/>
                <w:noProof/>
              </w:rPr>
              <w:t>Introduction</w:t>
            </w:r>
            <w:r w:rsidR="00DF13E2">
              <w:rPr>
                <w:noProof/>
                <w:webHidden/>
              </w:rPr>
              <w:tab/>
            </w:r>
            <w:r w:rsidR="00DF13E2">
              <w:rPr>
                <w:noProof/>
                <w:webHidden/>
              </w:rPr>
              <w:fldChar w:fldCharType="begin"/>
            </w:r>
            <w:r w:rsidR="00DF13E2">
              <w:rPr>
                <w:noProof/>
                <w:webHidden/>
              </w:rPr>
              <w:instrText xml:space="preserve"> PAGEREF _Toc227580398 \h </w:instrText>
            </w:r>
            <w:r w:rsidR="00DF13E2">
              <w:rPr>
                <w:noProof/>
                <w:webHidden/>
              </w:rPr>
            </w:r>
            <w:r w:rsidR="00DF13E2">
              <w:rPr>
                <w:noProof/>
                <w:webHidden/>
              </w:rPr>
              <w:fldChar w:fldCharType="separate"/>
            </w:r>
            <w:r w:rsidR="00DF13E2">
              <w:rPr>
                <w:noProof/>
                <w:webHidden/>
              </w:rPr>
              <w:t>2</w:t>
            </w:r>
            <w:r w:rsidR="00DF13E2">
              <w:rPr>
                <w:noProof/>
                <w:webHidden/>
              </w:rPr>
              <w:fldChar w:fldCharType="end"/>
            </w:r>
          </w:hyperlink>
        </w:p>
        <w:p w14:paraId="78A2E31F" w14:textId="2723B731"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399" w:history="1">
            <w:r w:rsidRPr="00D1021D">
              <w:rPr>
                <w:rStyle w:val="Hyperlink"/>
                <w:noProof/>
              </w:rPr>
              <w:t>1.1</w:t>
            </w:r>
            <w:r>
              <w:rPr>
                <w:rFonts w:asciiTheme="minorHAnsi" w:eastAsiaTheme="minorEastAsia" w:hAnsiTheme="minorHAnsi"/>
                <w:noProof/>
                <w:kern w:val="2"/>
                <w:lang w:eastAsia="en-NZ"/>
                <w14:ligatures w14:val="standardContextual"/>
              </w:rPr>
              <w:tab/>
            </w:r>
            <w:r w:rsidRPr="00D1021D">
              <w:rPr>
                <w:rStyle w:val="Hyperlink"/>
                <w:noProof/>
              </w:rPr>
              <w:t>Context</w:t>
            </w:r>
            <w:r>
              <w:rPr>
                <w:noProof/>
                <w:webHidden/>
              </w:rPr>
              <w:tab/>
            </w:r>
            <w:r>
              <w:rPr>
                <w:noProof/>
                <w:webHidden/>
              </w:rPr>
              <w:fldChar w:fldCharType="begin"/>
            </w:r>
            <w:r>
              <w:rPr>
                <w:noProof/>
                <w:webHidden/>
              </w:rPr>
              <w:instrText xml:space="preserve"> PAGEREF _Toc227580399 \h </w:instrText>
            </w:r>
            <w:r>
              <w:rPr>
                <w:noProof/>
                <w:webHidden/>
              </w:rPr>
            </w:r>
            <w:r>
              <w:rPr>
                <w:noProof/>
                <w:webHidden/>
              </w:rPr>
              <w:fldChar w:fldCharType="separate"/>
            </w:r>
            <w:r>
              <w:rPr>
                <w:noProof/>
                <w:webHidden/>
              </w:rPr>
              <w:t>2</w:t>
            </w:r>
            <w:r>
              <w:rPr>
                <w:noProof/>
                <w:webHidden/>
              </w:rPr>
              <w:fldChar w:fldCharType="end"/>
            </w:r>
          </w:hyperlink>
        </w:p>
        <w:p w14:paraId="1BF0241C" w14:textId="129664E0"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00" w:history="1">
            <w:r w:rsidRPr="00D1021D">
              <w:rPr>
                <w:rStyle w:val="Hyperlink"/>
                <w:noProof/>
              </w:rPr>
              <w:t>1.2</w:t>
            </w:r>
            <w:r>
              <w:rPr>
                <w:rFonts w:asciiTheme="minorHAnsi" w:eastAsiaTheme="minorEastAsia" w:hAnsiTheme="minorHAnsi"/>
                <w:noProof/>
                <w:kern w:val="2"/>
                <w:lang w:eastAsia="en-NZ"/>
                <w14:ligatures w14:val="standardContextual"/>
              </w:rPr>
              <w:tab/>
            </w:r>
            <w:r w:rsidRPr="00D1021D">
              <w:rPr>
                <w:rStyle w:val="Hyperlink"/>
                <w:noProof/>
              </w:rPr>
              <w:t>About this analysis</w:t>
            </w:r>
            <w:r>
              <w:rPr>
                <w:noProof/>
                <w:webHidden/>
              </w:rPr>
              <w:tab/>
            </w:r>
            <w:r>
              <w:rPr>
                <w:noProof/>
                <w:webHidden/>
              </w:rPr>
              <w:fldChar w:fldCharType="begin"/>
            </w:r>
            <w:r>
              <w:rPr>
                <w:noProof/>
                <w:webHidden/>
              </w:rPr>
              <w:instrText xml:space="preserve"> PAGEREF _Toc227580400 \h </w:instrText>
            </w:r>
            <w:r>
              <w:rPr>
                <w:noProof/>
                <w:webHidden/>
              </w:rPr>
            </w:r>
            <w:r>
              <w:rPr>
                <w:noProof/>
                <w:webHidden/>
              </w:rPr>
              <w:fldChar w:fldCharType="separate"/>
            </w:r>
            <w:r>
              <w:rPr>
                <w:noProof/>
                <w:webHidden/>
              </w:rPr>
              <w:t>3</w:t>
            </w:r>
            <w:r>
              <w:rPr>
                <w:noProof/>
                <w:webHidden/>
              </w:rPr>
              <w:fldChar w:fldCharType="end"/>
            </w:r>
          </w:hyperlink>
        </w:p>
        <w:p w14:paraId="66A605C9" w14:textId="14F6F521"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01" w:history="1">
            <w:r w:rsidRPr="00D1021D">
              <w:rPr>
                <w:rStyle w:val="Hyperlink"/>
                <w:noProof/>
              </w:rPr>
              <w:t>1.3</w:t>
            </w:r>
            <w:r>
              <w:rPr>
                <w:rFonts w:asciiTheme="minorHAnsi" w:eastAsiaTheme="minorEastAsia" w:hAnsiTheme="minorHAnsi"/>
                <w:noProof/>
                <w:kern w:val="2"/>
                <w:lang w:eastAsia="en-NZ"/>
                <w14:ligatures w14:val="standardContextual"/>
              </w:rPr>
              <w:tab/>
            </w:r>
            <w:r w:rsidRPr="00D1021D">
              <w:rPr>
                <w:rStyle w:val="Hyperlink"/>
                <w:noProof/>
              </w:rPr>
              <w:t>Scope of the analysis</w:t>
            </w:r>
            <w:r>
              <w:rPr>
                <w:noProof/>
                <w:webHidden/>
              </w:rPr>
              <w:tab/>
            </w:r>
            <w:r>
              <w:rPr>
                <w:noProof/>
                <w:webHidden/>
              </w:rPr>
              <w:fldChar w:fldCharType="begin"/>
            </w:r>
            <w:r>
              <w:rPr>
                <w:noProof/>
                <w:webHidden/>
              </w:rPr>
              <w:instrText xml:space="preserve"> PAGEREF _Toc227580401 \h </w:instrText>
            </w:r>
            <w:r>
              <w:rPr>
                <w:noProof/>
                <w:webHidden/>
              </w:rPr>
            </w:r>
            <w:r>
              <w:rPr>
                <w:noProof/>
                <w:webHidden/>
              </w:rPr>
              <w:fldChar w:fldCharType="separate"/>
            </w:r>
            <w:r>
              <w:rPr>
                <w:noProof/>
                <w:webHidden/>
              </w:rPr>
              <w:t>3</w:t>
            </w:r>
            <w:r>
              <w:rPr>
                <w:noProof/>
                <w:webHidden/>
              </w:rPr>
              <w:fldChar w:fldCharType="end"/>
            </w:r>
          </w:hyperlink>
        </w:p>
        <w:p w14:paraId="0A38D208" w14:textId="23F7E774" w:rsidR="00DF13E2" w:rsidRDefault="00DF13E2">
          <w:pPr>
            <w:pStyle w:val="TOC1"/>
            <w:tabs>
              <w:tab w:val="left" w:pos="595"/>
              <w:tab w:val="right" w:leader="dot" w:pos="9060"/>
            </w:tabs>
            <w:rPr>
              <w:rFonts w:asciiTheme="minorHAnsi" w:eastAsiaTheme="minorEastAsia" w:hAnsiTheme="minorHAnsi"/>
              <w:b w:val="0"/>
              <w:noProof/>
              <w:kern w:val="2"/>
              <w:lang w:eastAsia="en-NZ"/>
              <w14:ligatures w14:val="standardContextual"/>
            </w:rPr>
          </w:pPr>
          <w:hyperlink w:anchor="_Toc227580402" w:history="1">
            <w:r w:rsidRPr="00D1021D">
              <w:rPr>
                <w:rStyle w:val="Hyperlink"/>
                <w:noProof/>
              </w:rPr>
              <w:t>2</w:t>
            </w:r>
            <w:r>
              <w:rPr>
                <w:rFonts w:asciiTheme="minorHAnsi" w:eastAsiaTheme="minorEastAsia" w:hAnsiTheme="minorHAnsi"/>
                <w:b w:val="0"/>
                <w:noProof/>
                <w:kern w:val="2"/>
                <w:lang w:eastAsia="en-NZ"/>
                <w14:ligatures w14:val="standardContextual"/>
              </w:rPr>
              <w:tab/>
            </w:r>
            <w:r w:rsidRPr="00D1021D">
              <w:rPr>
                <w:rStyle w:val="Hyperlink"/>
                <w:noProof/>
              </w:rPr>
              <w:t>Summary of results</w:t>
            </w:r>
            <w:r>
              <w:rPr>
                <w:noProof/>
                <w:webHidden/>
              </w:rPr>
              <w:tab/>
            </w:r>
            <w:r>
              <w:rPr>
                <w:noProof/>
                <w:webHidden/>
              </w:rPr>
              <w:fldChar w:fldCharType="begin"/>
            </w:r>
            <w:r>
              <w:rPr>
                <w:noProof/>
                <w:webHidden/>
              </w:rPr>
              <w:instrText xml:space="preserve"> PAGEREF _Toc227580402 \h </w:instrText>
            </w:r>
            <w:r>
              <w:rPr>
                <w:noProof/>
                <w:webHidden/>
              </w:rPr>
            </w:r>
            <w:r>
              <w:rPr>
                <w:noProof/>
                <w:webHidden/>
              </w:rPr>
              <w:fldChar w:fldCharType="separate"/>
            </w:r>
            <w:r>
              <w:rPr>
                <w:noProof/>
                <w:webHidden/>
              </w:rPr>
              <w:t>4</w:t>
            </w:r>
            <w:r>
              <w:rPr>
                <w:noProof/>
                <w:webHidden/>
              </w:rPr>
              <w:fldChar w:fldCharType="end"/>
            </w:r>
          </w:hyperlink>
        </w:p>
        <w:p w14:paraId="40DE207F" w14:textId="0D110904" w:rsidR="00DF13E2" w:rsidRDefault="00DF13E2">
          <w:pPr>
            <w:pStyle w:val="TOC1"/>
            <w:tabs>
              <w:tab w:val="left" w:pos="595"/>
              <w:tab w:val="right" w:leader="dot" w:pos="9060"/>
            </w:tabs>
            <w:rPr>
              <w:rFonts w:asciiTheme="minorHAnsi" w:eastAsiaTheme="minorEastAsia" w:hAnsiTheme="minorHAnsi"/>
              <w:b w:val="0"/>
              <w:noProof/>
              <w:kern w:val="2"/>
              <w:lang w:eastAsia="en-NZ"/>
              <w14:ligatures w14:val="standardContextual"/>
            </w:rPr>
          </w:pPr>
          <w:hyperlink w:anchor="_Toc227580403" w:history="1">
            <w:r w:rsidRPr="00D1021D">
              <w:rPr>
                <w:rStyle w:val="Hyperlink"/>
                <w:noProof/>
              </w:rPr>
              <w:t>3</w:t>
            </w:r>
            <w:r>
              <w:rPr>
                <w:rFonts w:asciiTheme="minorHAnsi" w:eastAsiaTheme="minorEastAsia" w:hAnsiTheme="minorHAnsi"/>
                <w:b w:val="0"/>
                <w:noProof/>
                <w:kern w:val="2"/>
                <w:lang w:eastAsia="en-NZ"/>
                <w14:ligatures w14:val="standardContextual"/>
              </w:rPr>
              <w:tab/>
            </w:r>
            <w:r w:rsidRPr="00D1021D">
              <w:rPr>
                <w:rStyle w:val="Hyperlink"/>
                <w:noProof/>
              </w:rPr>
              <w:t>Differences in afforestation accounting under the NZ ETS and target accounting</w:t>
            </w:r>
            <w:r>
              <w:rPr>
                <w:noProof/>
                <w:webHidden/>
              </w:rPr>
              <w:tab/>
            </w:r>
            <w:r>
              <w:rPr>
                <w:noProof/>
                <w:webHidden/>
              </w:rPr>
              <w:fldChar w:fldCharType="begin"/>
            </w:r>
            <w:r>
              <w:rPr>
                <w:noProof/>
                <w:webHidden/>
              </w:rPr>
              <w:instrText xml:space="preserve"> PAGEREF _Toc227580403 \h </w:instrText>
            </w:r>
            <w:r>
              <w:rPr>
                <w:noProof/>
                <w:webHidden/>
              </w:rPr>
            </w:r>
            <w:r>
              <w:rPr>
                <w:noProof/>
                <w:webHidden/>
              </w:rPr>
              <w:fldChar w:fldCharType="separate"/>
            </w:r>
            <w:r>
              <w:rPr>
                <w:noProof/>
                <w:webHidden/>
              </w:rPr>
              <w:t>5</w:t>
            </w:r>
            <w:r>
              <w:rPr>
                <w:noProof/>
                <w:webHidden/>
              </w:rPr>
              <w:fldChar w:fldCharType="end"/>
            </w:r>
          </w:hyperlink>
        </w:p>
        <w:p w14:paraId="24918CB1" w14:textId="75D0A371"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04" w:history="1">
            <w:r w:rsidRPr="00D1021D">
              <w:rPr>
                <w:rStyle w:val="Hyperlink"/>
                <w:noProof/>
              </w:rPr>
              <w:t>3.1</w:t>
            </w:r>
            <w:r>
              <w:rPr>
                <w:rFonts w:asciiTheme="minorHAnsi" w:eastAsiaTheme="minorEastAsia" w:hAnsiTheme="minorHAnsi"/>
                <w:noProof/>
                <w:kern w:val="2"/>
                <w:lang w:eastAsia="en-NZ"/>
                <w14:ligatures w14:val="standardContextual"/>
              </w:rPr>
              <w:tab/>
            </w:r>
            <w:r w:rsidRPr="00D1021D">
              <w:rPr>
                <w:rStyle w:val="Hyperlink"/>
                <w:noProof/>
              </w:rPr>
              <w:t>Activity data</w:t>
            </w:r>
            <w:r>
              <w:rPr>
                <w:noProof/>
                <w:webHidden/>
              </w:rPr>
              <w:tab/>
            </w:r>
            <w:r>
              <w:rPr>
                <w:noProof/>
                <w:webHidden/>
              </w:rPr>
              <w:fldChar w:fldCharType="begin"/>
            </w:r>
            <w:r>
              <w:rPr>
                <w:noProof/>
                <w:webHidden/>
              </w:rPr>
              <w:instrText xml:space="preserve"> PAGEREF _Toc227580404 \h </w:instrText>
            </w:r>
            <w:r>
              <w:rPr>
                <w:noProof/>
                <w:webHidden/>
              </w:rPr>
            </w:r>
            <w:r>
              <w:rPr>
                <w:noProof/>
                <w:webHidden/>
              </w:rPr>
              <w:fldChar w:fldCharType="separate"/>
            </w:r>
            <w:r>
              <w:rPr>
                <w:noProof/>
                <w:webHidden/>
              </w:rPr>
              <w:t>5</w:t>
            </w:r>
            <w:r>
              <w:rPr>
                <w:noProof/>
                <w:webHidden/>
              </w:rPr>
              <w:fldChar w:fldCharType="end"/>
            </w:r>
          </w:hyperlink>
        </w:p>
        <w:p w14:paraId="7ECF32FF" w14:textId="0858CE40"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05" w:history="1">
            <w:r w:rsidRPr="00D1021D">
              <w:rPr>
                <w:rStyle w:val="Hyperlink"/>
                <w:noProof/>
              </w:rPr>
              <w:t>Exotic/planted forest</w:t>
            </w:r>
            <w:r>
              <w:rPr>
                <w:noProof/>
                <w:webHidden/>
              </w:rPr>
              <w:tab/>
            </w:r>
            <w:r>
              <w:rPr>
                <w:noProof/>
                <w:webHidden/>
              </w:rPr>
              <w:fldChar w:fldCharType="begin"/>
            </w:r>
            <w:r>
              <w:rPr>
                <w:noProof/>
                <w:webHidden/>
              </w:rPr>
              <w:instrText xml:space="preserve"> PAGEREF _Toc227580405 \h </w:instrText>
            </w:r>
            <w:r>
              <w:rPr>
                <w:noProof/>
                <w:webHidden/>
              </w:rPr>
            </w:r>
            <w:r>
              <w:rPr>
                <w:noProof/>
                <w:webHidden/>
              </w:rPr>
              <w:fldChar w:fldCharType="separate"/>
            </w:r>
            <w:r>
              <w:rPr>
                <w:noProof/>
                <w:webHidden/>
              </w:rPr>
              <w:t>5</w:t>
            </w:r>
            <w:r>
              <w:rPr>
                <w:noProof/>
                <w:webHidden/>
              </w:rPr>
              <w:fldChar w:fldCharType="end"/>
            </w:r>
          </w:hyperlink>
        </w:p>
        <w:p w14:paraId="6DE45286" w14:textId="0FC2C01E"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06" w:history="1">
            <w:r w:rsidRPr="00D1021D">
              <w:rPr>
                <w:rStyle w:val="Hyperlink"/>
                <w:noProof/>
              </w:rPr>
              <w:t>Native/natural forest</w:t>
            </w:r>
            <w:r>
              <w:rPr>
                <w:noProof/>
                <w:webHidden/>
              </w:rPr>
              <w:tab/>
            </w:r>
            <w:r>
              <w:rPr>
                <w:noProof/>
                <w:webHidden/>
              </w:rPr>
              <w:fldChar w:fldCharType="begin"/>
            </w:r>
            <w:r>
              <w:rPr>
                <w:noProof/>
                <w:webHidden/>
              </w:rPr>
              <w:instrText xml:space="preserve"> PAGEREF _Toc227580406 \h </w:instrText>
            </w:r>
            <w:r>
              <w:rPr>
                <w:noProof/>
                <w:webHidden/>
              </w:rPr>
            </w:r>
            <w:r>
              <w:rPr>
                <w:noProof/>
                <w:webHidden/>
              </w:rPr>
              <w:fldChar w:fldCharType="separate"/>
            </w:r>
            <w:r>
              <w:rPr>
                <w:noProof/>
                <w:webHidden/>
              </w:rPr>
              <w:t>6</w:t>
            </w:r>
            <w:r>
              <w:rPr>
                <w:noProof/>
                <w:webHidden/>
              </w:rPr>
              <w:fldChar w:fldCharType="end"/>
            </w:r>
          </w:hyperlink>
        </w:p>
        <w:p w14:paraId="6B3EE27A" w14:textId="676627EA"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07" w:history="1">
            <w:r w:rsidRPr="00D1021D">
              <w:rPr>
                <w:rStyle w:val="Hyperlink"/>
                <w:noProof/>
              </w:rPr>
              <w:t>Activity data assumptions</w:t>
            </w:r>
            <w:r>
              <w:rPr>
                <w:noProof/>
                <w:webHidden/>
              </w:rPr>
              <w:tab/>
            </w:r>
            <w:r>
              <w:rPr>
                <w:noProof/>
                <w:webHidden/>
              </w:rPr>
              <w:fldChar w:fldCharType="begin"/>
            </w:r>
            <w:r>
              <w:rPr>
                <w:noProof/>
                <w:webHidden/>
              </w:rPr>
              <w:instrText xml:space="preserve"> PAGEREF _Toc227580407 \h </w:instrText>
            </w:r>
            <w:r>
              <w:rPr>
                <w:noProof/>
                <w:webHidden/>
              </w:rPr>
            </w:r>
            <w:r>
              <w:rPr>
                <w:noProof/>
                <w:webHidden/>
              </w:rPr>
              <w:fldChar w:fldCharType="separate"/>
            </w:r>
            <w:r>
              <w:rPr>
                <w:noProof/>
                <w:webHidden/>
              </w:rPr>
              <w:t>7</w:t>
            </w:r>
            <w:r>
              <w:rPr>
                <w:noProof/>
                <w:webHidden/>
              </w:rPr>
              <w:fldChar w:fldCharType="end"/>
            </w:r>
          </w:hyperlink>
        </w:p>
        <w:p w14:paraId="66834FA3" w14:textId="4C67CAF5"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08" w:history="1">
            <w:r w:rsidRPr="00D1021D">
              <w:rPr>
                <w:rStyle w:val="Hyperlink"/>
                <w:noProof/>
              </w:rPr>
              <w:t>3.2</w:t>
            </w:r>
            <w:r>
              <w:rPr>
                <w:rFonts w:asciiTheme="minorHAnsi" w:eastAsiaTheme="minorEastAsia" w:hAnsiTheme="minorHAnsi"/>
                <w:noProof/>
                <w:kern w:val="2"/>
                <w:lang w:eastAsia="en-NZ"/>
                <w14:ligatures w14:val="standardContextual"/>
              </w:rPr>
              <w:tab/>
            </w:r>
            <w:r w:rsidRPr="00D1021D">
              <w:rPr>
                <w:rStyle w:val="Hyperlink"/>
                <w:noProof/>
              </w:rPr>
              <w:t>Accounting approaches</w:t>
            </w:r>
            <w:r>
              <w:rPr>
                <w:noProof/>
                <w:webHidden/>
              </w:rPr>
              <w:tab/>
            </w:r>
            <w:r>
              <w:rPr>
                <w:noProof/>
                <w:webHidden/>
              </w:rPr>
              <w:fldChar w:fldCharType="begin"/>
            </w:r>
            <w:r>
              <w:rPr>
                <w:noProof/>
                <w:webHidden/>
              </w:rPr>
              <w:instrText xml:space="preserve"> PAGEREF _Toc227580408 \h </w:instrText>
            </w:r>
            <w:r>
              <w:rPr>
                <w:noProof/>
                <w:webHidden/>
              </w:rPr>
            </w:r>
            <w:r>
              <w:rPr>
                <w:noProof/>
                <w:webHidden/>
              </w:rPr>
              <w:fldChar w:fldCharType="separate"/>
            </w:r>
            <w:r>
              <w:rPr>
                <w:noProof/>
                <w:webHidden/>
              </w:rPr>
              <w:t>8</w:t>
            </w:r>
            <w:r>
              <w:rPr>
                <w:noProof/>
                <w:webHidden/>
              </w:rPr>
              <w:fldChar w:fldCharType="end"/>
            </w:r>
          </w:hyperlink>
        </w:p>
        <w:p w14:paraId="56932104" w14:textId="2E729482"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09" w:history="1">
            <w:r w:rsidRPr="00D1021D">
              <w:rPr>
                <w:rStyle w:val="Hyperlink"/>
                <w:noProof/>
              </w:rPr>
              <w:t>Scope and treatment</w:t>
            </w:r>
            <w:r>
              <w:rPr>
                <w:noProof/>
                <w:webHidden/>
              </w:rPr>
              <w:tab/>
            </w:r>
            <w:r>
              <w:rPr>
                <w:noProof/>
                <w:webHidden/>
              </w:rPr>
              <w:fldChar w:fldCharType="begin"/>
            </w:r>
            <w:r>
              <w:rPr>
                <w:noProof/>
                <w:webHidden/>
              </w:rPr>
              <w:instrText xml:space="preserve"> PAGEREF _Toc227580409 \h </w:instrText>
            </w:r>
            <w:r>
              <w:rPr>
                <w:noProof/>
                <w:webHidden/>
              </w:rPr>
            </w:r>
            <w:r>
              <w:rPr>
                <w:noProof/>
                <w:webHidden/>
              </w:rPr>
              <w:fldChar w:fldCharType="separate"/>
            </w:r>
            <w:r>
              <w:rPr>
                <w:noProof/>
                <w:webHidden/>
              </w:rPr>
              <w:t>8</w:t>
            </w:r>
            <w:r>
              <w:rPr>
                <w:noProof/>
                <w:webHidden/>
              </w:rPr>
              <w:fldChar w:fldCharType="end"/>
            </w:r>
          </w:hyperlink>
        </w:p>
        <w:p w14:paraId="65667982" w14:textId="3C16E4D3"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0" w:history="1">
            <w:r w:rsidRPr="00D1021D">
              <w:rPr>
                <w:rStyle w:val="Hyperlink"/>
                <w:noProof/>
              </w:rPr>
              <w:t>Averaging, stock change, and permanent forestry</w:t>
            </w:r>
            <w:r>
              <w:rPr>
                <w:noProof/>
                <w:webHidden/>
              </w:rPr>
              <w:tab/>
            </w:r>
            <w:r>
              <w:rPr>
                <w:noProof/>
                <w:webHidden/>
              </w:rPr>
              <w:fldChar w:fldCharType="begin"/>
            </w:r>
            <w:r>
              <w:rPr>
                <w:noProof/>
                <w:webHidden/>
              </w:rPr>
              <w:instrText xml:space="preserve"> PAGEREF _Toc227580410 \h </w:instrText>
            </w:r>
            <w:r>
              <w:rPr>
                <w:noProof/>
                <w:webHidden/>
              </w:rPr>
            </w:r>
            <w:r>
              <w:rPr>
                <w:noProof/>
                <w:webHidden/>
              </w:rPr>
              <w:fldChar w:fldCharType="separate"/>
            </w:r>
            <w:r>
              <w:rPr>
                <w:noProof/>
                <w:webHidden/>
              </w:rPr>
              <w:t>10</w:t>
            </w:r>
            <w:r>
              <w:rPr>
                <w:noProof/>
                <w:webHidden/>
              </w:rPr>
              <w:fldChar w:fldCharType="end"/>
            </w:r>
          </w:hyperlink>
        </w:p>
        <w:p w14:paraId="27504F03" w14:textId="43F1549E"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11" w:history="1">
            <w:r w:rsidRPr="00D1021D">
              <w:rPr>
                <w:rStyle w:val="Hyperlink"/>
                <w:noProof/>
              </w:rPr>
              <w:t>3.3</w:t>
            </w:r>
            <w:r>
              <w:rPr>
                <w:rFonts w:asciiTheme="minorHAnsi" w:eastAsiaTheme="minorEastAsia" w:hAnsiTheme="minorHAnsi"/>
                <w:noProof/>
                <w:kern w:val="2"/>
                <w:lang w:eastAsia="en-NZ"/>
                <w14:ligatures w14:val="standardContextual"/>
              </w:rPr>
              <w:tab/>
            </w:r>
            <w:r w:rsidRPr="00D1021D">
              <w:rPr>
                <w:rStyle w:val="Hyperlink"/>
                <w:noProof/>
              </w:rPr>
              <w:t>Comparison on a per hectare basis</w:t>
            </w:r>
            <w:r>
              <w:rPr>
                <w:noProof/>
                <w:webHidden/>
              </w:rPr>
              <w:tab/>
            </w:r>
            <w:r>
              <w:rPr>
                <w:noProof/>
                <w:webHidden/>
              </w:rPr>
              <w:fldChar w:fldCharType="begin"/>
            </w:r>
            <w:r>
              <w:rPr>
                <w:noProof/>
                <w:webHidden/>
              </w:rPr>
              <w:instrText xml:space="preserve"> PAGEREF _Toc227580411 \h </w:instrText>
            </w:r>
            <w:r>
              <w:rPr>
                <w:noProof/>
                <w:webHidden/>
              </w:rPr>
            </w:r>
            <w:r>
              <w:rPr>
                <w:noProof/>
                <w:webHidden/>
              </w:rPr>
              <w:fldChar w:fldCharType="separate"/>
            </w:r>
            <w:r>
              <w:rPr>
                <w:noProof/>
                <w:webHidden/>
              </w:rPr>
              <w:t>11</w:t>
            </w:r>
            <w:r>
              <w:rPr>
                <w:noProof/>
                <w:webHidden/>
              </w:rPr>
              <w:fldChar w:fldCharType="end"/>
            </w:r>
          </w:hyperlink>
        </w:p>
        <w:p w14:paraId="4EF3F750" w14:textId="1487A1F4"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2" w:history="1">
            <w:r w:rsidRPr="00D1021D">
              <w:rPr>
                <w:rStyle w:val="Hyperlink"/>
                <w:noProof/>
              </w:rPr>
              <w:t>Native/natural forests</w:t>
            </w:r>
            <w:r>
              <w:rPr>
                <w:noProof/>
                <w:webHidden/>
              </w:rPr>
              <w:tab/>
            </w:r>
            <w:r>
              <w:rPr>
                <w:noProof/>
                <w:webHidden/>
              </w:rPr>
              <w:fldChar w:fldCharType="begin"/>
            </w:r>
            <w:r>
              <w:rPr>
                <w:noProof/>
                <w:webHidden/>
              </w:rPr>
              <w:instrText xml:space="preserve"> PAGEREF _Toc227580412 \h </w:instrText>
            </w:r>
            <w:r>
              <w:rPr>
                <w:noProof/>
                <w:webHidden/>
              </w:rPr>
            </w:r>
            <w:r>
              <w:rPr>
                <w:noProof/>
                <w:webHidden/>
              </w:rPr>
              <w:fldChar w:fldCharType="separate"/>
            </w:r>
            <w:r>
              <w:rPr>
                <w:noProof/>
                <w:webHidden/>
              </w:rPr>
              <w:t>11</w:t>
            </w:r>
            <w:r>
              <w:rPr>
                <w:noProof/>
                <w:webHidden/>
              </w:rPr>
              <w:fldChar w:fldCharType="end"/>
            </w:r>
          </w:hyperlink>
        </w:p>
        <w:p w14:paraId="00638E02" w14:textId="2D29D966"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3" w:history="1">
            <w:r w:rsidRPr="00D1021D">
              <w:rPr>
                <w:rStyle w:val="Hyperlink"/>
                <w:noProof/>
              </w:rPr>
              <w:t>Permanent exotic forest</w:t>
            </w:r>
            <w:r>
              <w:rPr>
                <w:noProof/>
                <w:webHidden/>
              </w:rPr>
              <w:tab/>
            </w:r>
            <w:r>
              <w:rPr>
                <w:noProof/>
                <w:webHidden/>
              </w:rPr>
              <w:fldChar w:fldCharType="begin"/>
            </w:r>
            <w:r>
              <w:rPr>
                <w:noProof/>
                <w:webHidden/>
              </w:rPr>
              <w:instrText xml:space="preserve"> PAGEREF _Toc227580413 \h </w:instrText>
            </w:r>
            <w:r>
              <w:rPr>
                <w:noProof/>
                <w:webHidden/>
              </w:rPr>
            </w:r>
            <w:r>
              <w:rPr>
                <w:noProof/>
                <w:webHidden/>
              </w:rPr>
              <w:fldChar w:fldCharType="separate"/>
            </w:r>
            <w:r>
              <w:rPr>
                <w:noProof/>
                <w:webHidden/>
              </w:rPr>
              <w:t>13</w:t>
            </w:r>
            <w:r>
              <w:rPr>
                <w:noProof/>
                <w:webHidden/>
              </w:rPr>
              <w:fldChar w:fldCharType="end"/>
            </w:r>
          </w:hyperlink>
        </w:p>
        <w:p w14:paraId="064BA352" w14:textId="5F1750D1"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4" w:history="1">
            <w:r w:rsidRPr="00D1021D">
              <w:rPr>
                <w:rStyle w:val="Hyperlink"/>
                <w:noProof/>
              </w:rPr>
              <w:t>Production exotic forests on averaging accounting</w:t>
            </w:r>
            <w:r>
              <w:rPr>
                <w:noProof/>
                <w:webHidden/>
              </w:rPr>
              <w:tab/>
            </w:r>
            <w:r>
              <w:rPr>
                <w:noProof/>
                <w:webHidden/>
              </w:rPr>
              <w:fldChar w:fldCharType="begin"/>
            </w:r>
            <w:r>
              <w:rPr>
                <w:noProof/>
                <w:webHidden/>
              </w:rPr>
              <w:instrText xml:space="preserve"> PAGEREF _Toc227580414 \h </w:instrText>
            </w:r>
            <w:r>
              <w:rPr>
                <w:noProof/>
                <w:webHidden/>
              </w:rPr>
            </w:r>
            <w:r>
              <w:rPr>
                <w:noProof/>
                <w:webHidden/>
              </w:rPr>
              <w:fldChar w:fldCharType="separate"/>
            </w:r>
            <w:r>
              <w:rPr>
                <w:noProof/>
                <w:webHidden/>
              </w:rPr>
              <w:t>15</w:t>
            </w:r>
            <w:r>
              <w:rPr>
                <w:noProof/>
                <w:webHidden/>
              </w:rPr>
              <w:fldChar w:fldCharType="end"/>
            </w:r>
          </w:hyperlink>
        </w:p>
        <w:p w14:paraId="1EC523EF" w14:textId="19C18B2F"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5" w:history="1">
            <w:r w:rsidRPr="00D1021D">
              <w:rPr>
                <w:rStyle w:val="Hyperlink"/>
                <w:noProof/>
              </w:rPr>
              <w:t>Production exotic forests on stock change accounting</w:t>
            </w:r>
            <w:r>
              <w:rPr>
                <w:noProof/>
                <w:webHidden/>
              </w:rPr>
              <w:tab/>
            </w:r>
            <w:r>
              <w:rPr>
                <w:noProof/>
                <w:webHidden/>
              </w:rPr>
              <w:fldChar w:fldCharType="begin"/>
            </w:r>
            <w:r>
              <w:rPr>
                <w:noProof/>
                <w:webHidden/>
              </w:rPr>
              <w:instrText xml:space="preserve"> PAGEREF _Toc227580415 \h </w:instrText>
            </w:r>
            <w:r>
              <w:rPr>
                <w:noProof/>
                <w:webHidden/>
              </w:rPr>
            </w:r>
            <w:r>
              <w:rPr>
                <w:noProof/>
                <w:webHidden/>
              </w:rPr>
              <w:fldChar w:fldCharType="separate"/>
            </w:r>
            <w:r>
              <w:rPr>
                <w:noProof/>
                <w:webHidden/>
              </w:rPr>
              <w:t>16</w:t>
            </w:r>
            <w:r>
              <w:rPr>
                <w:noProof/>
                <w:webHidden/>
              </w:rPr>
              <w:fldChar w:fldCharType="end"/>
            </w:r>
          </w:hyperlink>
        </w:p>
        <w:p w14:paraId="0C0050F2" w14:textId="35B1A6DF"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16" w:history="1">
            <w:r w:rsidRPr="00D1021D">
              <w:rPr>
                <w:rStyle w:val="Hyperlink"/>
                <w:noProof/>
              </w:rPr>
              <w:t>3.4</w:t>
            </w:r>
            <w:r>
              <w:rPr>
                <w:rFonts w:asciiTheme="minorHAnsi" w:eastAsiaTheme="minorEastAsia" w:hAnsiTheme="minorHAnsi"/>
                <w:noProof/>
                <w:kern w:val="2"/>
                <w:lang w:eastAsia="en-NZ"/>
                <w14:ligatures w14:val="standardContextual"/>
              </w:rPr>
              <w:tab/>
            </w:r>
            <w:r w:rsidRPr="00D1021D">
              <w:rPr>
                <w:rStyle w:val="Hyperlink"/>
                <w:noProof/>
              </w:rPr>
              <w:t>Comparison at the national level</w:t>
            </w:r>
            <w:r>
              <w:rPr>
                <w:noProof/>
                <w:webHidden/>
              </w:rPr>
              <w:tab/>
            </w:r>
            <w:r>
              <w:rPr>
                <w:noProof/>
                <w:webHidden/>
              </w:rPr>
              <w:fldChar w:fldCharType="begin"/>
            </w:r>
            <w:r>
              <w:rPr>
                <w:noProof/>
                <w:webHidden/>
              </w:rPr>
              <w:instrText xml:space="preserve"> PAGEREF _Toc227580416 \h </w:instrText>
            </w:r>
            <w:r>
              <w:rPr>
                <w:noProof/>
                <w:webHidden/>
              </w:rPr>
            </w:r>
            <w:r>
              <w:rPr>
                <w:noProof/>
                <w:webHidden/>
              </w:rPr>
              <w:fldChar w:fldCharType="separate"/>
            </w:r>
            <w:r>
              <w:rPr>
                <w:noProof/>
                <w:webHidden/>
              </w:rPr>
              <w:t>18</w:t>
            </w:r>
            <w:r>
              <w:rPr>
                <w:noProof/>
                <w:webHidden/>
              </w:rPr>
              <w:fldChar w:fldCharType="end"/>
            </w:r>
          </w:hyperlink>
        </w:p>
        <w:p w14:paraId="032DFB4B" w14:textId="02CD0A7E"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17" w:history="1">
            <w:r w:rsidRPr="00D1021D">
              <w:rPr>
                <w:rStyle w:val="Hyperlink"/>
                <w:noProof/>
              </w:rPr>
              <w:t>Total target accounting removals versus low-risk NZ ETS allocations</w:t>
            </w:r>
            <w:r>
              <w:rPr>
                <w:noProof/>
                <w:webHidden/>
              </w:rPr>
              <w:tab/>
            </w:r>
            <w:r>
              <w:rPr>
                <w:noProof/>
                <w:webHidden/>
              </w:rPr>
              <w:fldChar w:fldCharType="begin"/>
            </w:r>
            <w:r>
              <w:rPr>
                <w:noProof/>
                <w:webHidden/>
              </w:rPr>
              <w:instrText xml:space="preserve"> PAGEREF _Toc227580417 \h </w:instrText>
            </w:r>
            <w:r>
              <w:rPr>
                <w:noProof/>
                <w:webHidden/>
              </w:rPr>
            </w:r>
            <w:r>
              <w:rPr>
                <w:noProof/>
                <w:webHidden/>
              </w:rPr>
              <w:fldChar w:fldCharType="separate"/>
            </w:r>
            <w:r>
              <w:rPr>
                <w:noProof/>
                <w:webHidden/>
              </w:rPr>
              <w:t>18</w:t>
            </w:r>
            <w:r>
              <w:rPr>
                <w:noProof/>
                <w:webHidden/>
              </w:rPr>
              <w:fldChar w:fldCharType="end"/>
            </w:r>
          </w:hyperlink>
        </w:p>
        <w:p w14:paraId="160E1DE4" w14:textId="2F0C63ED" w:rsidR="00DF13E2" w:rsidRDefault="00DF13E2">
          <w:pPr>
            <w:pStyle w:val="TOC1"/>
            <w:tabs>
              <w:tab w:val="left" w:pos="595"/>
              <w:tab w:val="right" w:leader="dot" w:pos="9060"/>
            </w:tabs>
            <w:rPr>
              <w:rFonts w:asciiTheme="minorHAnsi" w:eastAsiaTheme="minorEastAsia" w:hAnsiTheme="minorHAnsi"/>
              <w:b w:val="0"/>
              <w:noProof/>
              <w:kern w:val="2"/>
              <w:lang w:eastAsia="en-NZ"/>
              <w14:ligatures w14:val="standardContextual"/>
            </w:rPr>
          </w:pPr>
          <w:hyperlink w:anchor="_Toc227580418" w:history="1">
            <w:r w:rsidRPr="00D1021D">
              <w:rPr>
                <w:rStyle w:val="Hyperlink"/>
                <w:noProof/>
              </w:rPr>
              <w:t>4</w:t>
            </w:r>
            <w:r>
              <w:rPr>
                <w:rFonts w:asciiTheme="minorHAnsi" w:eastAsiaTheme="minorEastAsia" w:hAnsiTheme="minorHAnsi"/>
                <w:b w:val="0"/>
                <w:noProof/>
                <w:kern w:val="2"/>
                <w:lang w:eastAsia="en-NZ"/>
                <w14:ligatures w14:val="standardContextual"/>
              </w:rPr>
              <w:tab/>
            </w:r>
            <w:r w:rsidRPr="00D1021D">
              <w:rPr>
                <w:rStyle w:val="Hyperlink"/>
                <w:noProof/>
              </w:rPr>
              <w:t>Sensitivity analysis and uncertainties</w:t>
            </w:r>
            <w:r>
              <w:rPr>
                <w:noProof/>
                <w:webHidden/>
              </w:rPr>
              <w:tab/>
            </w:r>
            <w:r>
              <w:rPr>
                <w:noProof/>
                <w:webHidden/>
              </w:rPr>
              <w:fldChar w:fldCharType="begin"/>
            </w:r>
            <w:r>
              <w:rPr>
                <w:noProof/>
                <w:webHidden/>
              </w:rPr>
              <w:instrText xml:space="preserve"> PAGEREF _Toc227580418 \h </w:instrText>
            </w:r>
            <w:r>
              <w:rPr>
                <w:noProof/>
                <w:webHidden/>
              </w:rPr>
            </w:r>
            <w:r>
              <w:rPr>
                <w:noProof/>
                <w:webHidden/>
              </w:rPr>
              <w:fldChar w:fldCharType="separate"/>
            </w:r>
            <w:r>
              <w:rPr>
                <w:noProof/>
                <w:webHidden/>
              </w:rPr>
              <w:t>22</w:t>
            </w:r>
            <w:r>
              <w:rPr>
                <w:noProof/>
                <w:webHidden/>
              </w:rPr>
              <w:fldChar w:fldCharType="end"/>
            </w:r>
          </w:hyperlink>
        </w:p>
        <w:p w14:paraId="369D610D" w14:textId="1A02C826"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19" w:history="1">
            <w:r w:rsidRPr="00D1021D">
              <w:rPr>
                <w:rStyle w:val="Hyperlink"/>
                <w:noProof/>
              </w:rPr>
              <w:t>4.1</w:t>
            </w:r>
            <w:r>
              <w:rPr>
                <w:rFonts w:asciiTheme="minorHAnsi" w:eastAsiaTheme="minorEastAsia" w:hAnsiTheme="minorHAnsi"/>
                <w:noProof/>
                <w:kern w:val="2"/>
                <w:lang w:eastAsia="en-NZ"/>
                <w14:ligatures w14:val="standardContextual"/>
              </w:rPr>
              <w:tab/>
            </w:r>
            <w:r w:rsidRPr="00D1021D">
              <w:rPr>
                <w:rStyle w:val="Hyperlink"/>
                <w:noProof/>
              </w:rPr>
              <w:t>Level of low-risk units for production forests on stock change accounting</w:t>
            </w:r>
            <w:r>
              <w:rPr>
                <w:noProof/>
                <w:webHidden/>
              </w:rPr>
              <w:tab/>
            </w:r>
            <w:r>
              <w:rPr>
                <w:noProof/>
                <w:webHidden/>
              </w:rPr>
              <w:fldChar w:fldCharType="begin"/>
            </w:r>
            <w:r>
              <w:rPr>
                <w:noProof/>
                <w:webHidden/>
              </w:rPr>
              <w:instrText xml:space="preserve"> PAGEREF _Toc227580419 \h </w:instrText>
            </w:r>
            <w:r>
              <w:rPr>
                <w:noProof/>
                <w:webHidden/>
              </w:rPr>
            </w:r>
            <w:r>
              <w:rPr>
                <w:noProof/>
                <w:webHidden/>
              </w:rPr>
              <w:fldChar w:fldCharType="separate"/>
            </w:r>
            <w:r>
              <w:rPr>
                <w:noProof/>
                <w:webHidden/>
              </w:rPr>
              <w:t>22</w:t>
            </w:r>
            <w:r>
              <w:rPr>
                <w:noProof/>
                <w:webHidden/>
              </w:rPr>
              <w:fldChar w:fldCharType="end"/>
            </w:r>
          </w:hyperlink>
        </w:p>
        <w:p w14:paraId="4EA0FECF" w14:textId="615E4981"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20" w:history="1">
            <w:r w:rsidRPr="00D1021D">
              <w:rPr>
                <w:rStyle w:val="Hyperlink"/>
                <w:noProof/>
              </w:rPr>
              <w:t>4.2</w:t>
            </w:r>
            <w:r>
              <w:rPr>
                <w:rFonts w:asciiTheme="minorHAnsi" w:eastAsiaTheme="minorEastAsia" w:hAnsiTheme="minorHAnsi"/>
                <w:noProof/>
                <w:kern w:val="2"/>
                <w:lang w:eastAsia="en-NZ"/>
                <w14:ligatures w14:val="standardContextual"/>
              </w:rPr>
              <w:tab/>
            </w:r>
            <w:r w:rsidRPr="00D1021D">
              <w:rPr>
                <w:rStyle w:val="Hyperlink"/>
                <w:noProof/>
              </w:rPr>
              <w:t>Proportion of exotic forests assumed to be managed as permanent</w:t>
            </w:r>
            <w:r>
              <w:rPr>
                <w:noProof/>
                <w:webHidden/>
              </w:rPr>
              <w:tab/>
            </w:r>
            <w:r>
              <w:rPr>
                <w:noProof/>
                <w:webHidden/>
              </w:rPr>
              <w:fldChar w:fldCharType="begin"/>
            </w:r>
            <w:r>
              <w:rPr>
                <w:noProof/>
                <w:webHidden/>
              </w:rPr>
              <w:instrText xml:space="preserve"> PAGEREF _Toc227580420 \h </w:instrText>
            </w:r>
            <w:r>
              <w:rPr>
                <w:noProof/>
                <w:webHidden/>
              </w:rPr>
            </w:r>
            <w:r>
              <w:rPr>
                <w:noProof/>
                <w:webHidden/>
              </w:rPr>
              <w:fldChar w:fldCharType="separate"/>
            </w:r>
            <w:r>
              <w:rPr>
                <w:noProof/>
                <w:webHidden/>
              </w:rPr>
              <w:t>23</w:t>
            </w:r>
            <w:r>
              <w:rPr>
                <w:noProof/>
                <w:webHidden/>
              </w:rPr>
              <w:fldChar w:fldCharType="end"/>
            </w:r>
          </w:hyperlink>
        </w:p>
        <w:p w14:paraId="115C2D82" w14:textId="429E91CE"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21" w:history="1">
            <w:r w:rsidRPr="00D1021D">
              <w:rPr>
                <w:rStyle w:val="Hyperlink"/>
                <w:noProof/>
              </w:rPr>
              <w:t>4.3</w:t>
            </w:r>
            <w:r>
              <w:rPr>
                <w:rFonts w:asciiTheme="minorHAnsi" w:eastAsiaTheme="minorEastAsia" w:hAnsiTheme="minorHAnsi"/>
                <w:noProof/>
                <w:kern w:val="2"/>
                <w:lang w:eastAsia="en-NZ"/>
                <w14:ligatures w14:val="standardContextual"/>
              </w:rPr>
              <w:tab/>
            </w:r>
            <w:r w:rsidRPr="00D1021D">
              <w:rPr>
                <w:rStyle w:val="Hyperlink"/>
                <w:noProof/>
              </w:rPr>
              <w:t>Future afforestation rates</w:t>
            </w:r>
            <w:r>
              <w:rPr>
                <w:noProof/>
                <w:webHidden/>
              </w:rPr>
              <w:tab/>
            </w:r>
            <w:r>
              <w:rPr>
                <w:noProof/>
                <w:webHidden/>
              </w:rPr>
              <w:fldChar w:fldCharType="begin"/>
            </w:r>
            <w:r>
              <w:rPr>
                <w:noProof/>
                <w:webHidden/>
              </w:rPr>
              <w:instrText xml:space="preserve"> PAGEREF _Toc227580421 \h </w:instrText>
            </w:r>
            <w:r>
              <w:rPr>
                <w:noProof/>
                <w:webHidden/>
              </w:rPr>
            </w:r>
            <w:r>
              <w:rPr>
                <w:noProof/>
                <w:webHidden/>
              </w:rPr>
              <w:fldChar w:fldCharType="separate"/>
            </w:r>
            <w:r>
              <w:rPr>
                <w:noProof/>
                <w:webHidden/>
              </w:rPr>
              <w:t>25</w:t>
            </w:r>
            <w:r>
              <w:rPr>
                <w:noProof/>
                <w:webHidden/>
              </w:rPr>
              <w:fldChar w:fldCharType="end"/>
            </w:r>
          </w:hyperlink>
        </w:p>
        <w:p w14:paraId="184A93B2" w14:textId="0497FE86"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22" w:history="1">
            <w:r w:rsidRPr="00D1021D">
              <w:rPr>
                <w:rStyle w:val="Hyperlink"/>
                <w:noProof/>
              </w:rPr>
              <w:t>4.4</w:t>
            </w:r>
            <w:r>
              <w:rPr>
                <w:rFonts w:asciiTheme="minorHAnsi" w:eastAsiaTheme="minorEastAsia" w:hAnsiTheme="minorHAnsi"/>
                <w:noProof/>
                <w:kern w:val="2"/>
                <w:lang w:eastAsia="en-NZ"/>
                <w14:ligatures w14:val="standardContextual"/>
              </w:rPr>
              <w:tab/>
            </w:r>
            <w:r w:rsidRPr="00D1021D">
              <w:rPr>
                <w:rStyle w:val="Hyperlink"/>
                <w:noProof/>
              </w:rPr>
              <w:t>Combined impact of sensitivity analysis</w:t>
            </w:r>
            <w:r>
              <w:rPr>
                <w:noProof/>
                <w:webHidden/>
              </w:rPr>
              <w:tab/>
            </w:r>
            <w:r>
              <w:rPr>
                <w:noProof/>
                <w:webHidden/>
              </w:rPr>
              <w:fldChar w:fldCharType="begin"/>
            </w:r>
            <w:r>
              <w:rPr>
                <w:noProof/>
                <w:webHidden/>
              </w:rPr>
              <w:instrText xml:space="preserve"> PAGEREF _Toc227580422 \h </w:instrText>
            </w:r>
            <w:r>
              <w:rPr>
                <w:noProof/>
                <w:webHidden/>
              </w:rPr>
            </w:r>
            <w:r>
              <w:rPr>
                <w:noProof/>
                <w:webHidden/>
              </w:rPr>
              <w:fldChar w:fldCharType="separate"/>
            </w:r>
            <w:r>
              <w:rPr>
                <w:noProof/>
                <w:webHidden/>
              </w:rPr>
              <w:t>26</w:t>
            </w:r>
            <w:r>
              <w:rPr>
                <w:noProof/>
                <w:webHidden/>
              </w:rPr>
              <w:fldChar w:fldCharType="end"/>
            </w:r>
          </w:hyperlink>
        </w:p>
        <w:p w14:paraId="0010C160" w14:textId="2A1D0876" w:rsidR="00DF13E2" w:rsidRDefault="00DF13E2">
          <w:pPr>
            <w:pStyle w:val="TOC2"/>
            <w:tabs>
              <w:tab w:val="left" w:pos="960"/>
              <w:tab w:val="right" w:leader="dot" w:pos="9060"/>
            </w:tabs>
            <w:rPr>
              <w:rFonts w:asciiTheme="minorHAnsi" w:eastAsiaTheme="minorEastAsia" w:hAnsiTheme="minorHAnsi"/>
              <w:noProof/>
              <w:kern w:val="2"/>
              <w:lang w:eastAsia="en-NZ"/>
              <w14:ligatures w14:val="standardContextual"/>
            </w:rPr>
          </w:pPr>
          <w:hyperlink w:anchor="_Toc227580423" w:history="1">
            <w:r w:rsidRPr="00D1021D">
              <w:rPr>
                <w:rStyle w:val="Hyperlink"/>
                <w:noProof/>
              </w:rPr>
              <w:t>4.5</w:t>
            </w:r>
            <w:r>
              <w:rPr>
                <w:rFonts w:asciiTheme="minorHAnsi" w:eastAsiaTheme="minorEastAsia" w:hAnsiTheme="minorHAnsi"/>
                <w:noProof/>
                <w:kern w:val="2"/>
                <w:lang w:eastAsia="en-NZ"/>
                <w14:ligatures w14:val="standardContextual"/>
              </w:rPr>
              <w:tab/>
            </w:r>
            <w:r w:rsidRPr="00D1021D">
              <w:rPr>
                <w:rStyle w:val="Hyperlink"/>
                <w:noProof/>
              </w:rPr>
              <w:t>Uncertainties with applied carbon yield tables</w:t>
            </w:r>
            <w:r>
              <w:rPr>
                <w:noProof/>
                <w:webHidden/>
              </w:rPr>
              <w:tab/>
            </w:r>
            <w:r>
              <w:rPr>
                <w:noProof/>
                <w:webHidden/>
              </w:rPr>
              <w:fldChar w:fldCharType="begin"/>
            </w:r>
            <w:r>
              <w:rPr>
                <w:noProof/>
                <w:webHidden/>
              </w:rPr>
              <w:instrText xml:space="preserve"> PAGEREF _Toc227580423 \h </w:instrText>
            </w:r>
            <w:r>
              <w:rPr>
                <w:noProof/>
                <w:webHidden/>
              </w:rPr>
            </w:r>
            <w:r>
              <w:rPr>
                <w:noProof/>
                <w:webHidden/>
              </w:rPr>
              <w:fldChar w:fldCharType="separate"/>
            </w:r>
            <w:r>
              <w:rPr>
                <w:noProof/>
                <w:webHidden/>
              </w:rPr>
              <w:t>27</w:t>
            </w:r>
            <w:r>
              <w:rPr>
                <w:noProof/>
                <w:webHidden/>
              </w:rPr>
              <w:fldChar w:fldCharType="end"/>
            </w:r>
          </w:hyperlink>
        </w:p>
        <w:p w14:paraId="1DD72BB6" w14:textId="7100D104"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24" w:history="1">
            <w:r w:rsidRPr="00D1021D">
              <w:rPr>
                <w:rStyle w:val="Hyperlink"/>
                <w:noProof/>
              </w:rPr>
              <w:t>Weightings used to produce the area-weighted carbon yield tables</w:t>
            </w:r>
            <w:r>
              <w:rPr>
                <w:noProof/>
                <w:webHidden/>
              </w:rPr>
              <w:tab/>
            </w:r>
            <w:r>
              <w:rPr>
                <w:noProof/>
                <w:webHidden/>
              </w:rPr>
              <w:fldChar w:fldCharType="begin"/>
            </w:r>
            <w:r>
              <w:rPr>
                <w:noProof/>
                <w:webHidden/>
              </w:rPr>
              <w:instrText xml:space="preserve"> PAGEREF _Toc227580424 \h </w:instrText>
            </w:r>
            <w:r>
              <w:rPr>
                <w:noProof/>
                <w:webHidden/>
              </w:rPr>
            </w:r>
            <w:r>
              <w:rPr>
                <w:noProof/>
                <w:webHidden/>
              </w:rPr>
              <w:fldChar w:fldCharType="separate"/>
            </w:r>
            <w:r>
              <w:rPr>
                <w:noProof/>
                <w:webHidden/>
              </w:rPr>
              <w:t>28</w:t>
            </w:r>
            <w:r>
              <w:rPr>
                <w:noProof/>
                <w:webHidden/>
              </w:rPr>
              <w:fldChar w:fldCharType="end"/>
            </w:r>
          </w:hyperlink>
        </w:p>
        <w:p w14:paraId="62B4A28F" w14:textId="33FA8C98" w:rsidR="00DF13E2" w:rsidRDefault="00DF13E2">
          <w:pPr>
            <w:pStyle w:val="TOC3"/>
            <w:tabs>
              <w:tab w:val="right" w:leader="dot" w:pos="9060"/>
            </w:tabs>
            <w:rPr>
              <w:rFonts w:asciiTheme="minorHAnsi" w:eastAsiaTheme="minorEastAsia" w:hAnsiTheme="minorHAnsi"/>
              <w:noProof/>
              <w:kern w:val="2"/>
              <w:lang w:eastAsia="en-NZ"/>
              <w14:ligatures w14:val="standardContextual"/>
            </w:rPr>
          </w:pPr>
          <w:hyperlink w:anchor="_Toc227580425" w:history="1">
            <w:r w:rsidRPr="00D1021D">
              <w:rPr>
                <w:rStyle w:val="Hyperlink"/>
                <w:noProof/>
              </w:rPr>
              <w:t>Updated default carbon yield tables</w:t>
            </w:r>
            <w:r>
              <w:rPr>
                <w:noProof/>
                <w:webHidden/>
              </w:rPr>
              <w:tab/>
            </w:r>
            <w:r>
              <w:rPr>
                <w:noProof/>
                <w:webHidden/>
              </w:rPr>
              <w:fldChar w:fldCharType="begin"/>
            </w:r>
            <w:r>
              <w:rPr>
                <w:noProof/>
                <w:webHidden/>
              </w:rPr>
              <w:instrText xml:space="preserve"> PAGEREF _Toc227580425 \h </w:instrText>
            </w:r>
            <w:r>
              <w:rPr>
                <w:noProof/>
                <w:webHidden/>
              </w:rPr>
            </w:r>
            <w:r>
              <w:rPr>
                <w:noProof/>
                <w:webHidden/>
              </w:rPr>
              <w:fldChar w:fldCharType="separate"/>
            </w:r>
            <w:r>
              <w:rPr>
                <w:noProof/>
                <w:webHidden/>
              </w:rPr>
              <w:t>29</w:t>
            </w:r>
            <w:r>
              <w:rPr>
                <w:noProof/>
                <w:webHidden/>
              </w:rPr>
              <w:fldChar w:fldCharType="end"/>
            </w:r>
          </w:hyperlink>
        </w:p>
        <w:p w14:paraId="46CD2D54" w14:textId="7BA774E3" w:rsidR="00DF13E2" w:rsidRDefault="00DF13E2">
          <w:pPr>
            <w:pStyle w:val="TOC1"/>
            <w:tabs>
              <w:tab w:val="right" w:leader="dot" w:pos="9060"/>
            </w:tabs>
            <w:rPr>
              <w:rFonts w:asciiTheme="minorHAnsi" w:eastAsiaTheme="minorEastAsia" w:hAnsiTheme="minorHAnsi"/>
              <w:b w:val="0"/>
              <w:noProof/>
              <w:kern w:val="2"/>
              <w:lang w:eastAsia="en-NZ"/>
              <w14:ligatures w14:val="standardContextual"/>
            </w:rPr>
          </w:pPr>
          <w:hyperlink w:anchor="_Toc227580426" w:history="1">
            <w:r w:rsidRPr="00D1021D">
              <w:rPr>
                <w:rStyle w:val="Hyperlink"/>
                <w:noProof/>
              </w:rPr>
              <w:t>Appendix A: Detailed information about how area-weighted carbon yield tables have been developed (text supplied by MPI)</w:t>
            </w:r>
            <w:r>
              <w:rPr>
                <w:noProof/>
                <w:webHidden/>
              </w:rPr>
              <w:tab/>
            </w:r>
            <w:r>
              <w:rPr>
                <w:noProof/>
                <w:webHidden/>
              </w:rPr>
              <w:fldChar w:fldCharType="begin"/>
            </w:r>
            <w:r>
              <w:rPr>
                <w:noProof/>
                <w:webHidden/>
              </w:rPr>
              <w:instrText xml:space="preserve"> PAGEREF _Toc227580426 \h </w:instrText>
            </w:r>
            <w:r>
              <w:rPr>
                <w:noProof/>
                <w:webHidden/>
              </w:rPr>
            </w:r>
            <w:r>
              <w:rPr>
                <w:noProof/>
                <w:webHidden/>
              </w:rPr>
              <w:fldChar w:fldCharType="separate"/>
            </w:r>
            <w:r>
              <w:rPr>
                <w:noProof/>
                <w:webHidden/>
              </w:rPr>
              <w:t>31</w:t>
            </w:r>
            <w:r>
              <w:rPr>
                <w:noProof/>
                <w:webHidden/>
              </w:rPr>
              <w:fldChar w:fldCharType="end"/>
            </w:r>
          </w:hyperlink>
        </w:p>
        <w:p w14:paraId="4850C023" w14:textId="3A3B8B12" w:rsidR="00DF13E2" w:rsidRDefault="00DF13E2">
          <w:pPr>
            <w:pStyle w:val="TOC1"/>
            <w:tabs>
              <w:tab w:val="right" w:leader="dot" w:pos="9060"/>
            </w:tabs>
            <w:rPr>
              <w:rFonts w:asciiTheme="minorHAnsi" w:eastAsiaTheme="minorEastAsia" w:hAnsiTheme="minorHAnsi"/>
              <w:b w:val="0"/>
              <w:noProof/>
              <w:kern w:val="2"/>
              <w:lang w:eastAsia="en-NZ"/>
              <w14:ligatures w14:val="standardContextual"/>
            </w:rPr>
          </w:pPr>
          <w:hyperlink w:anchor="_Toc227580427" w:history="1">
            <w:r w:rsidRPr="00D1021D">
              <w:rPr>
                <w:rStyle w:val="Hyperlink"/>
                <w:noProof/>
              </w:rPr>
              <w:t>References</w:t>
            </w:r>
            <w:r>
              <w:rPr>
                <w:noProof/>
                <w:webHidden/>
              </w:rPr>
              <w:tab/>
            </w:r>
            <w:r>
              <w:rPr>
                <w:noProof/>
                <w:webHidden/>
              </w:rPr>
              <w:fldChar w:fldCharType="begin"/>
            </w:r>
            <w:r>
              <w:rPr>
                <w:noProof/>
                <w:webHidden/>
              </w:rPr>
              <w:instrText xml:space="preserve"> PAGEREF _Toc227580427 \h </w:instrText>
            </w:r>
            <w:r>
              <w:rPr>
                <w:noProof/>
                <w:webHidden/>
              </w:rPr>
            </w:r>
            <w:r>
              <w:rPr>
                <w:noProof/>
                <w:webHidden/>
              </w:rPr>
              <w:fldChar w:fldCharType="separate"/>
            </w:r>
            <w:r>
              <w:rPr>
                <w:noProof/>
                <w:webHidden/>
              </w:rPr>
              <w:t>32</w:t>
            </w:r>
            <w:r>
              <w:rPr>
                <w:noProof/>
                <w:webHidden/>
              </w:rPr>
              <w:fldChar w:fldCharType="end"/>
            </w:r>
          </w:hyperlink>
        </w:p>
        <w:p w14:paraId="06F4755C" w14:textId="41FAA87E" w:rsidR="00B928FE" w:rsidRDefault="00B928FE">
          <w:r>
            <w:rPr>
              <w:b/>
              <w:bCs/>
              <w:lang w:val="en-GB"/>
            </w:rPr>
            <w:fldChar w:fldCharType="end"/>
          </w:r>
        </w:p>
      </w:sdtContent>
    </w:sdt>
    <w:p w14:paraId="35130F1C" w14:textId="77777777" w:rsidR="002C640E" w:rsidRDefault="002C640E">
      <w:pPr>
        <w:spacing w:before="0" w:after="0" w:line="240" w:lineRule="auto"/>
        <w:rPr>
          <w:rFonts w:eastAsiaTheme="majorEastAsia"/>
          <w:b/>
          <w:color w:val="1F3864" w:themeColor="accent1" w:themeShade="80"/>
          <w:sz w:val="44"/>
          <w:szCs w:val="44"/>
        </w:rPr>
      </w:pPr>
      <w:bookmarkStart w:id="2" w:name="_Toc227580398"/>
      <w:r>
        <w:br w:type="page"/>
      </w:r>
    </w:p>
    <w:p w14:paraId="2C91E594" w14:textId="56EBF496" w:rsidR="00B928FE" w:rsidRDefault="003A7D68" w:rsidP="003A7D68">
      <w:pPr>
        <w:pStyle w:val="Heading1nonumber"/>
      </w:pPr>
      <w:r>
        <w:t>Introduction</w:t>
      </w:r>
      <w:bookmarkEnd w:id="2"/>
    </w:p>
    <w:p w14:paraId="70C22228" w14:textId="35FCC1BA" w:rsidR="00165D7B" w:rsidRDefault="00165D7B" w:rsidP="00165D7B">
      <w:pPr>
        <w:pStyle w:val="BodyText"/>
      </w:pPr>
      <w:r>
        <w:t xml:space="preserve">This document is published by He Pou a Rangi Climate Change Commission (the Commission) in support of our 2026 advice on NZ ETS unit limits and price control settings for 2027–2031 (the advice report). </w:t>
      </w:r>
    </w:p>
    <w:p w14:paraId="62A550A4" w14:textId="7A064726" w:rsidR="00165D7B" w:rsidRDefault="00165D7B" w:rsidP="00165D7B">
      <w:pPr>
        <w:pStyle w:val="BodyText"/>
      </w:pPr>
      <w:r>
        <w:t>It is a technical annex to that advice, providing further information on our</w:t>
      </w:r>
      <w:r w:rsidR="00731222">
        <w:t xml:space="preserve"> analysis </w:t>
      </w:r>
      <w:r w:rsidR="00A314D9">
        <w:t xml:space="preserve">on </w:t>
      </w:r>
      <w:r>
        <w:t xml:space="preserve">a forestry technical adjustment as part of Step 1 of the unit limits method: </w:t>
      </w:r>
      <w:r w:rsidR="675E379B" w:rsidRPr="005222CB">
        <w:rPr>
          <w:i/>
          <w:iCs/>
        </w:rPr>
        <w:t>C</w:t>
      </w:r>
      <w:r w:rsidRPr="005222CB">
        <w:rPr>
          <w:i/>
          <w:iCs/>
        </w:rPr>
        <w:t>onvert</w:t>
      </w:r>
      <w:r w:rsidRPr="005222CB">
        <w:rPr>
          <w:i/>
        </w:rPr>
        <w:t xml:space="preserve"> and align emissions and units (technical adjustments)</w:t>
      </w:r>
      <w:r>
        <w:t xml:space="preserve">. </w:t>
      </w:r>
    </w:p>
    <w:p w14:paraId="7D1977E3" w14:textId="6E102565" w:rsidR="006C48F7" w:rsidRDefault="00165D7B" w:rsidP="00165D7B">
      <w:pPr>
        <w:pStyle w:val="BodyText"/>
      </w:pPr>
      <w:r>
        <w:t xml:space="preserve">This document should be read alongside </w:t>
      </w:r>
      <w:r w:rsidRPr="005222CB">
        <w:rPr>
          <w:i/>
        </w:rPr>
        <w:t>Chapter 4: Unit limits</w:t>
      </w:r>
      <w:r>
        <w:t xml:space="preserve"> of the advice report and </w:t>
      </w:r>
      <w:r w:rsidRPr="005222CB">
        <w:t>Technical Annex 1: Unit limit settings</w:t>
      </w:r>
      <w:r>
        <w:t>. The NZ ETS forestry model used in this analysis is published on our website, alongside an additional document that provides information on the development and functionality of the model.</w:t>
      </w:r>
    </w:p>
    <w:p w14:paraId="355510EC" w14:textId="3C840246" w:rsidR="003712DB" w:rsidRDefault="003712DB" w:rsidP="003712DB">
      <w:pPr>
        <w:pStyle w:val="Heading2nonumber"/>
      </w:pPr>
      <w:bookmarkStart w:id="3" w:name="_Toc227580399"/>
      <w:r>
        <w:t>Context</w:t>
      </w:r>
      <w:bookmarkEnd w:id="3"/>
    </w:p>
    <w:p w14:paraId="17F15336" w14:textId="153B346D" w:rsidR="00523076" w:rsidRDefault="00523076" w:rsidP="00523076">
      <w:pPr>
        <w:pStyle w:val="BodyText"/>
      </w:pPr>
      <w:r>
        <w:t>To determine our recommended unit limits we first set the NZ ETS emissions cap and then apply a five-step unit limits method to</w:t>
      </w:r>
      <w:r w:rsidR="009635F5">
        <w:t xml:space="preserve"> identify </w:t>
      </w:r>
      <w:r w:rsidR="00C85429">
        <w:t>the range of possible</w:t>
      </w:r>
      <w:r w:rsidDel="00C85429">
        <w:t xml:space="preserve"> </w:t>
      </w:r>
      <w:r>
        <w:t xml:space="preserve">auction volumes. </w:t>
      </w:r>
    </w:p>
    <w:p w14:paraId="2011F5B1" w14:textId="30A9D222" w:rsidR="00523076" w:rsidRDefault="00523076" w:rsidP="00523076">
      <w:pPr>
        <w:pStyle w:val="BodyText"/>
      </w:pPr>
      <w:r>
        <w:t xml:space="preserve">Step 1 of the unit limits method, </w:t>
      </w:r>
      <w:r w:rsidRPr="005222CB">
        <w:rPr>
          <w:i/>
        </w:rPr>
        <w:t>Convert and align emissions and units (technical adjustments)</w:t>
      </w:r>
      <w:r>
        <w:t>,</w:t>
      </w:r>
      <w:r w:rsidR="009067AA">
        <w:t xml:space="preserve"> is used to con</w:t>
      </w:r>
      <w:r w:rsidR="00266387">
        <w:t>vert the NZ ETS emissions cap t</w:t>
      </w:r>
      <w:r w:rsidR="006403B9">
        <w:t xml:space="preserve">o a volume of allowed units that is consistent with emissions budgets. This involves comparing </w:t>
      </w:r>
      <w:r>
        <w:t>emissions reported in the NZ</w:t>
      </w:r>
      <w:r w:rsidR="00370FEC">
        <w:t> </w:t>
      </w:r>
      <w:r>
        <w:t xml:space="preserve">ETS </w:t>
      </w:r>
      <w:r w:rsidR="003D2C6B">
        <w:t>with</w:t>
      </w:r>
      <w:r w:rsidDel="00E54237">
        <w:t xml:space="preserve"> </w:t>
      </w:r>
      <w:r>
        <w:t xml:space="preserve">New Zealand’s </w:t>
      </w:r>
      <w:r w:rsidR="00E54237">
        <w:t>Greenhouse Gas Inventory (GHG Inventory) and target accounting</w:t>
      </w:r>
      <w:r>
        <w:t xml:space="preserve">. </w:t>
      </w:r>
      <w:r w:rsidR="00926C11">
        <w:t xml:space="preserve">Target accounting is the </w:t>
      </w:r>
      <w:r>
        <w:t xml:space="preserve">net emissions methodology </w:t>
      </w:r>
      <w:r w:rsidR="003C6217">
        <w:t>for land use, land</w:t>
      </w:r>
      <w:r w:rsidR="77A326A5">
        <w:t>-</w:t>
      </w:r>
      <w:r w:rsidR="003C6217">
        <w:t xml:space="preserve">use change and forestry </w:t>
      </w:r>
      <w:r w:rsidR="008B304F">
        <w:t>used</w:t>
      </w:r>
      <w:r w:rsidR="00834644">
        <w:t xml:space="preserve"> to measure progress against emissions budgets</w:t>
      </w:r>
      <w:r>
        <w:t>.</w:t>
      </w:r>
      <w:r w:rsidR="00034A79">
        <w:rPr>
          <w:rStyle w:val="FootnoteReference"/>
        </w:rPr>
        <w:footnoteReference w:id="2"/>
      </w:r>
      <w:r>
        <w:t xml:space="preserve">  </w:t>
      </w:r>
      <w:r w:rsidR="000B5518">
        <w:t xml:space="preserve">If we identify differences, then adjustments may </w:t>
      </w:r>
      <w:r w:rsidR="007F0DB3">
        <w:t>need to be applied to the emissions cap to align the NZ</w:t>
      </w:r>
      <w:r w:rsidR="00784DDC">
        <w:t> </w:t>
      </w:r>
      <w:r w:rsidR="007F0DB3">
        <w:t xml:space="preserve">ETS with emissions budgets. </w:t>
      </w:r>
    </w:p>
    <w:p w14:paraId="6C0B4E2E" w14:textId="186CA04E" w:rsidR="00523076" w:rsidRDefault="00523076" w:rsidP="00523076">
      <w:pPr>
        <w:pStyle w:val="BodyText"/>
      </w:pPr>
      <w:r>
        <w:t>In the past, we have applied technical adjustments to account for discrepancies in gross emissions reported in the NZ ETS</w:t>
      </w:r>
      <w:r w:rsidR="00B423A9">
        <w:t xml:space="preserve"> for specific sectors</w:t>
      </w:r>
      <w:r>
        <w:t xml:space="preserve"> compared to emissions reported in the GHG </w:t>
      </w:r>
      <w:r w:rsidR="68A41720">
        <w:t>I</w:t>
      </w:r>
      <w:r>
        <w:t xml:space="preserve">nventory. </w:t>
      </w:r>
      <w:r w:rsidR="006E5644">
        <w:t>However,</w:t>
      </w:r>
      <w:r w:rsidR="00C60697">
        <w:t xml:space="preserve"> </w:t>
      </w:r>
      <w:r w:rsidR="00B62CBD">
        <w:t xml:space="preserve">in part </w:t>
      </w:r>
      <w:r w:rsidR="00C60697">
        <w:t xml:space="preserve">due to lack of data and information about target accounting, </w:t>
      </w:r>
      <w:r w:rsidR="006E5644">
        <w:t xml:space="preserve">we previously </w:t>
      </w:r>
      <w:r w:rsidR="00306E3B">
        <w:t xml:space="preserve">had not been able to assess the differences </w:t>
      </w:r>
      <w:r w:rsidR="00C77726">
        <w:t>i</w:t>
      </w:r>
      <w:r w:rsidR="00C60697">
        <w:t>n</w:t>
      </w:r>
      <w:r w:rsidR="00C77726">
        <w:t xml:space="preserve"> </w:t>
      </w:r>
      <w:r w:rsidR="00C60697">
        <w:t xml:space="preserve">NZ ETS </w:t>
      </w:r>
      <w:r>
        <w:t xml:space="preserve">forestry emissions and removals </w:t>
      </w:r>
      <w:r w:rsidR="00C60697">
        <w:t xml:space="preserve">as compared to target accounting, </w:t>
      </w:r>
      <w:r>
        <w:t>and signalled more work on this would be done in the future.</w:t>
      </w:r>
    </w:p>
    <w:p w14:paraId="08C33479" w14:textId="77777777" w:rsidR="00523076" w:rsidRDefault="00523076" w:rsidP="00523076">
      <w:pPr>
        <w:pStyle w:val="BodyText"/>
      </w:pPr>
      <w:r>
        <w:t>Comparing forestry emissions and removals reported in the NZ ETS with those used for target accounting is challenging for several reasons:</w:t>
      </w:r>
    </w:p>
    <w:p w14:paraId="43C0BFE0" w14:textId="11091F59" w:rsidR="00523076" w:rsidRDefault="00523076" w:rsidP="00523076">
      <w:pPr>
        <w:pStyle w:val="Bodybullets"/>
      </w:pPr>
      <w:r>
        <w:t>There are two accounting approaches in the NZ ETS for post-1989 forests (stock change and averaging, with most forests currently using stock change)</w:t>
      </w:r>
      <w:r w:rsidR="00C0313B">
        <w:t>. I</w:t>
      </w:r>
      <w:r>
        <w:t>n target accounting, most post-1989 forests are subject to accounting that is similar to averaging.</w:t>
      </w:r>
    </w:p>
    <w:p w14:paraId="548DDDE0" w14:textId="224AD605" w:rsidR="00523076" w:rsidRDefault="00523076" w:rsidP="00523076">
      <w:pPr>
        <w:pStyle w:val="Bodybullets"/>
      </w:pPr>
      <w:r>
        <w:t>The NZ ETS does not require annual emissions reporting by forestry participants. Emissions returns are only required at the end of a Mandatory Emissions Reporting Period (MERP), although forestry participants can choose to submit returns more frequently through provisional emissions return</w:t>
      </w:r>
      <w:r w:rsidR="00C0313B">
        <w:t>s</w:t>
      </w:r>
      <w:r>
        <w:t>.</w:t>
      </w:r>
    </w:p>
    <w:p w14:paraId="6185AA9F" w14:textId="58F162BF" w:rsidR="00523076" w:rsidRDefault="00523076" w:rsidP="00523076">
      <w:pPr>
        <w:pStyle w:val="Bodybullets"/>
      </w:pPr>
      <w:r>
        <w:t>Different carbon yield tables are used in target accounting and the NZ ETS to estimate carbon sequestration.</w:t>
      </w:r>
    </w:p>
    <w:p w14:paraId="2B1E43B3" w14:textId="059EA549" w:rsidR="003712DB" w:rsidRDefault="00523076" w:rsidP="00523076">
      <w:pPr>
        <w:pStyle w:val="Bodybullets"/>
      </w:pPr>
      <w:r>
        <w:t xml:space="preserve">There is misalignment in forest area and age classes reported under target accounting </w:t>
      </w:r>
      <w:r w:rsidR="005347D6">
        <w:t xml:space="preserve">compared to forests </w:t>
      </w:r>
      <w:r>
        <w:t>registered in the NZ ETS.</w:t>
      </w:r>
    </w:p>
    <w:p w14:paraId="09BB2C38" w14:textId="0D1DDBEE" w:rsidR="00523076" w:rsidRDefault="00523076" w:rsidP="00523076">
      <w:pPr>
        <w:pStyle w:val="Heading2nonumber"/>
      </w:pPr>
      <w:bookmarkStart w:id="4" w:name="_Toc227580400"/>
      <w:r>
        <w:t>About this analysis</w:t>
      </w:r>
      <w:bookmarkEnd w:id="4"/>
    </w:p>
    <w:p w14:paraId="6B67509D" w14:textId="50B3D1F4" w:rsidR="00842817" w:rsidRDefault="00842817" w:rsidP="00842817">
      <w:pPr>
        <w:pStyle w:val="BodyText"/>
      </w:pPr>
      <w:r>
        <w:t>We undertook this analysis to inform whether a technical adjustment was necessary as part of step 1 of the unit limits method</w:t>
      </w:r>
      <w:r w:rsidR="000611C6">
        <w:t xml:space="preserve">: </w:t>
      </w:r>
      <w:r w:rsidR="5B8FE0A0" w:rsidRPr="00881173">
        <w:rPr>
          <w:i/>
          <w:iCs/>
        </w:rPr>
        <w:t>C</w:t>
      </w:r>
      <w:r w:rsidRPr="00881173">
        <w:rPr>
          <w:i/>
          <w:iCs/>
        </w:rPr>
        <w:t>onvert</w:t>
      </w:r>
      <w:r w:rsidRPr="00EA0B93">
        <w:rPr>
          <w:i/>
        </w:rPr>
        <w:t xml:space="preserve"> and align emissions and units (technical adjustments)</w:t>
      </w:r>
      <w:r>
        <w:t xml:space="preserve">. A summary of the results </w:t>
      </w:r>
      <w:r w:rsidR="002476C9">
        <w:t xml:space="preserve">is </w:t>
      </w:r>
      <w:r>
        <w:t xml:space="preserve">set out in the following section. </w:t>
      </w:r>
    </w:p>
    <w:p w14:paraId="758C7C43" w14:textId="5897E192" w:rsidR="00842817" w:rsidRDefault="00842817" w:rsidP="00842817">
      <w:pPr>
        <w:pStyle w:val="BodyText"/>
      </w:pPr>
      <w:r>
        <w:t xml:space="preserve">In this document we set out differences between forest area registered in the NZ ETS versus forest area reported as part of the GHG </w:t>
      </w:r>
      <w:r w:rsidR="3D64CB0F">
        <w:t>I</w:t>
      </w:r>
      <w:r>
        <w:t xml:space="preserve">nventory and target accounting. We then describe and compare the accounting approaches taken in the NZ ETS and target accounting. This then leads us to calculate the discrepancy that arises between these two approaches, which forms the basis for the forestry technical adjustment we have applied. </w:t>
      </w:r>
    </w:p>
    <w:p w14:paraId="07FD4E7C" w14:textId="379E86BD" w:rsidR="00523076" w:rsidRDefault="00842817" w:rsidP="00842817">
      <w:pPr>
        <w:pStyle w:val="BodyText"/>
      </w:pPr>
      <w:r>
        <w:t xml:space="preserve">This analysis is subject to uncertainty in some key parameters. We present results of sensitivity testing in </w:t>
      </w:r>
      <w:r w:rsidRPr="00C22B89">
        <w:t>section 4</w:t>
      </w:r>
      <w:r>
        <w:t>. We also a highlight a key input to our modelling which may be subject to change – area</w:t>
      </w:r>
      <w:r w:rsidR="68F5A39F">
        <w:t>-</w:t>
      </w:r>
      <w:r>
        <w:t>weighted carbon yield tables.</w:t>
      </w:r>
    </w:p>
    <w:p w14:paraId="65389488" w14:textId="05D93747" w:rsidR="00BF153A" w:rsidRDefault="00BF153A" w:rsidP="00BF153A">
      <w:pPr>
        <w:pStyle w:val="Heading2nonumber"/>
      </w:pPr>
      <w:bookmarkStart w:id="5" w:name="_Toc227580401"/>
      <w:r>
        <w:t>Scope of the analysis</w:t>
      </w:r>
      <w:bookmarkEnd w:id="5"/>
    </w:p>
    <w:p w14:paraId="0AB26904" w14:textId="1DC86D7B" w:rsidR="00E62440" w:rsidRDefault="00E62440" w:rsidP="00E62440">
      <w:pPr>
        <w:pStyle w:val="BodyText"/>
      </w:pPr>
      <w:r>
        <w:t xml:space="preserve">New Zealand’s target accounting approach </w:t>
      </w:r>
      <w:r w:rsidR="003014FC">
        <w:t>for land use, land</w:t>
      </w:r>
      <w:r w:rsidR="35C8C3D1">
        <w:t>-</w:t>
      </w:r>
      <w:r w:rsidR="003014FC">
        <w:t xml:space="preserve">use change and forestry </w:t>
      </w:r>
      <w:r>
        <w:t xml:space="preserve">covers afforestation and reforestation, deforestation, and forest management. This analysis focuses on afforestation and reforestation (referred to as </w:t>
      </w:r>
      <w:r w:rsidR="611650D3">
        <w:t>‘</w:t>
      </w:r>
      <w:r>
        <w:t>afforestation</w:t>
      </w:r>
      <w:r w:rsidR="60BBA5D3">
        <w:t>’</w:t>
      </w:r>
      <w:r>
        <w:t xml:space="preserve"> for short). </w:t>
      </w:r>
    </w:p>
    <w:p w14:paraId="797364ED" w14:textId="77777777" w:rsidR="00E62440" w:rsidRDefault="00E62440" w:rsidP="00E62440">
      <w:pPr>
        <w:pStyle w:val="BodyText"/>
      </w:pPr>
      <w:r>
        <w:t>Deforestation has not been a focus of this analysis because most deforestation emissions are assumed to occur outside of the NZ ETS. We currently assume all post-1989 deforestation occurs among forests that are not registered in the NZ ETS. Since pre-1990 native forests are not covered by the NZ ETS, this leaves pre-1990 exotic deforestation as the only category with emissions inside the NZ ETS.</w:t>
      </w:r>
    </w:p>
    <w:p w14:paraId="5AF3CF92" w14:textId="4D64B43B" w:rsidR="00E62440" w:rsidRDefault="00E62440" w:rsidP="00E62440">
      <w:pPr>
        <w:pStyle w:val="BodyText"/>
      </w:pPr>
      <w:r>
        <w:t>Net emissions from pre-1990 exotic deforestation are projected to total around 0.2 MtCO</w:t>
      </w:r>
      <w:r w:rsidRPr="00C22B89">
        <w:rPr>
          <w:vertAlign w:val="subscript"/>
        </w:rPr>
        <w:t>2</w:t>
      </w:r>
      <w:r>
        <w:t xml:space="preserve">e over the 2027–2031 period. This amounts to just 0.3% of the </w:t>
      </w:r>
      <w:r w:rsidR="0044005F">
        <w:t>projected</w:t>
      </w:r>
      <w:r>
        <w:t xml:space="preserve"> net removals </w:t>
      </w:r>
      <w:r w:rsidR="006C6BDB">
        <w:t>by forests</w:t>
      </w:r>
      <w:r>
        <w:t xml:space="preserve"> </w:t>
      </w:r>
      <w:r w:rsidR="00B27A8F">
        <w:t xml:space="preserve">under target </w:t>
      </w:r>
      <w:r w:rsidR="00C92F9D">
        <w:t xml:space="preserve">accounting </w:t>
      </w:r>
      <w:r w:rsidR="00BC31AE">
        <w:t xml:space="preserve">over the same </w:t>
      </w:r>
      <w:r>
        <w:t>period (79.</w:t>
      </w:r>
      <w:r w:rsidR="003E0778">
        <w:t>5</w:t>
      </w:r>
      <w:r>
        <w:t xml:space="preserve"> MtCO</w:t>
      </w:r>
      <w:r w:rsidRPr="00E62440">
        <w:rPr>
          <w:vertAlign w:val="subscript"/>
        </w:rPr>
        <w:t>2</w:t>
      </w:r>
      <w:r>
        <w:t>e)</w:t>
      </w:r>
      <w:r w:rsidR="00703BE7">
        <w:t>.</w:t>
      </w:r>
      <w:r>
        <w:t xml:space="preserve"> Therefore, any</w:t>
      </w:r>
      <w:r w:rsidDel="00D71E07">
        <w:t xml:space="preserve"> </w:t>
      </w:r>
      <w:r w:rsidR="00D71E07">
        <w:t>differences</w:t>
      </w:r>
      <w:r w:rsidR="009D6EAC">
        <w:t xml:space="preserve"> in </w:t>
      </w:r>
      <w:r w:rsidR="00EB5C03">
        <w:t xml:space="preserve">NZ ETS versus target accounting </w:t>
      </w:r>
      <w:r>
        <w:t xml:space="preserve">deforestation </w:t>
      </w:r>
      <w:r w:rsidR="00EB5C03">
        <w:t xml:space="preserve">emissions </w:t>
      </w:r>
      <w:r>
        <w:t xml:space="preserve">will have negligible impact compared to afforestation, so were not a focus of our analysis. </w:t>
      </w:r>
    </w:p>
    <w:p w14:paraId="6435CFB8" w14:textId="15C1CC19" w:rsidR="00BF153A" w:rsidRDefault="00E62440" w:rsidP="00E62440">
      <w:pPr>
        <w:pStyle w:val="BodyText"/>
      </w:pPr>
      <w:r>
        <w:t>This analysis also does not review impacts of forest management</w:t>
      </w:r>
      <w:r w:rsidR="4992D0C3">
        <w:t>.</w:t>
      </w:r>
      <w:r w:rsidR="00731E10">
        <w:rPr>
          <w:rStyle w:val="FootnoteReference"/>
        </w:rPr>
        <w:footnoteReference w:id="3"/>
      </w:r>
      <w:r>
        <w:t xml:space="preserve"> From the information provided by the government it is not yet clear whether and how forest management will apply to domestic emissions budgets.</w:t>
      </w:r>
    </w:p>
    <w:p w14:paraId="2E4E15B6" w14:textId="7E0EE9E8" w:rsidR="00323FA7" w:rsidRDefault="00323FA7" w:rsidP="00323FA7">
      <w:pPr>
        <w:pStyle w:val="Heading1nonumber"/>
      </w:pPr>
      <w:bookmarkStart w:id="6" w:name="_Toc227580402"/>
      <w:r>
        <w:t>Summary of results</w:t>
      </w:r>
      <w:bookmarkEnd w:id="6"/>
    </w:p>
    <w:p w14:paraId="4D24802C" w14:textId="2DABF078" w:rsidR="001B37D4" w:rsidRDefault="001B37D4" w:rsidP="001B37D4">
      <w:pPr>
        <w:pStyle w:val="BodyText"/>
      </w:pPr>
      <w:r>
        <w:t xml:space="preserve">Our analysis found that presently </w:t>
      </w:r>
      <w:r w:rsidR="00A80B41">
        <w:t>more units are</w:t>
      </w:r>
      <w:r w:rsidR="00F22C60">
        <w:t xml:space="preserve"> being allocated for forests </w:t>
      </w:r>
      <w:r w:rsidR="00741739">
        <w:t>registered in the NZ ETS than the net carbon removals recognised in target accounting for those forests</w:t>
      </w:r>
      <w:r w:rsidR="0010346B">
        <w:t>. In o</w:t>
      </w:r>
      <w:r w:rsidR="00CF7F8E">
        <w:t>ther words, there is</w:t>
      </w:r>
      <w:r w:rsidR="00A80B41">
        <w:t xml:space="preserve"> </w:t>
      </w:r>
      <w:r>
        <w:t>net over-crediting</w:t>
      </w:r>
      <w:r w:rsidR="00594126">
        <w:t xml:space="preserve"> </w:t>
      </w:r>
      <w:r>
        <w:t>for forestry in the NZ ETS.</w:t>
      </w:r>
      <w:r w:rsidR="004A5023">
        <w:rPr>
          <w:rStyle w:val="FootnoteReference"/>
        </w:rPr>
        <w:footnoteReference w:id="4"/>
      </w:r>
      <w:r>
        <w:t xml:space="preserve"> Under baseline assumptions, net over-crediting is projected to be 3.2 million NZUs over the 2027–2031 period, </w:t>
      </w:r>
      <w:r w:rsidR="00C4B8C3">
        <w:t xml:space="preserve">and </w:t>
      </w:r>
      <w:r>
        <w:t>2.0 million NZUs over the 2032</w:t>
      </w:r>
      <w:r w:rsidR="00435DD2">
        <w:t>–</w:t>
      </w:r>
      <w:r>
        <w:t xml:space="preserve">2036 </w:t>
      </w:r>
      <w:r w:rsidR="71ADA70D">
        <w:t xml:space="preserve">period, </w:t>
      </w:r>
      <w:r>
        <w:t>followed by a period of significant net under-crediting from 2037 on</w:t>
      </w:r>
      <w:r w:rsidR="4068F2BD">
        <w:t>wards</w:t>
      </w:r>
      <w:r>
        <w:t xml:space="preserve"> due to age class dynamics. </w:t>
      </w:r>
    </w:p>
    <w:p w14:paraId="0C55E491" w14:textId="77777777" w:rsidR="001B37D4" w:rsidRDefault="001B37D4" w:rsidP="001B37D4">
      <w:pPr>
        <w:pStyle w:val="BodyText"/>
      </w:pPr>
      <w:r>
        <w:t>We have implemented a forestry technical adjustment in the 2026 NZ ETS settings advice to reflect the estimated net over-crediting over the 2027–2031 period. While we consider it appropriate to include a technical adjustment to account for the over-crediting occurring over 2027–2031, we note that this will need to be regularly reviewed. If, over future settings periods, there is net under-crediting, it will be important to consider if and how this should be addressed.</w:t>
      </w:r>
    </w:p>
    <w:p w14:paraId="562E3437" w14:textId="46BF8C9C" w:rsidR="001B37D4" w:rsidRDefault="001B37D4" w:rsidP="001B37D4">
      <w:pPr>
        <w:pStyle w:val="BodyText"/>
      </w:pPr>
      <w:r>
        <w:t>The</w:t>
      </w:r>
      <w:r w:rsidR="005241E2">
        <w:t xml:space="preserve"> two main</w:t>
      </w:r>
      <w:r>
        <w:t xml:space="preserve"> cause</w:t>
      </w:r>
      <w:r w:rsidR="005241E2">
        <w:t>s</w:t>
      </w:r>
      <w:r>
        <w:t xml:space="preserve"> of the current over-crediting </w:t>
      </w:r>
      <w:r w:rsidR="54939BD6">
        <w:t>are</w:t>
      </w:r>
      <w:r w:rsidR="465C1D0E">
        <w:t>:</w:t>
      </w:r>
      <w:r>
        <w:t xml:space="preserve"> the NZ ETS not including initial biomass and soil carbon losses as in target accounting</w:t>
      </w:r>
      <w:r w:rsidR="6883A243">
        <w:t>;</w:t>
      </w:r>
      <w:r>
        <w:t xml:space="preserve"> and differences in activity data between what is reported in the NZ ETS and GHG </w:t>
      </w:r>
      <w:r w:rsidR="02C0D4FA">
        <w:t>I</w:t>
      </w:r>
      <w:r>
        <w:t xml:space="preserve">nventory. Under-crediting from 2036 on is primarily due to the higher average age </w:t>
      </w:r>
      <w:r w:rsidR="00C261C4">
        <w:t xml:space="preserve">used in </w:t>
      </w:r>
      <w:r>
        <w:t>target accounting due to inclusion of harvested wood products.</w:t>
      </w:r>
    </w:p>
    <w:p w14:paraId="4595FBE5" w14:textId="3D8218FC" w:rsidR="001B37D4" w:rsidRDefault="001B37D4" w:rsidP="001B37D4">
      <w:pPr>
        <w:pStyle w:val="BodyText"/>
      </w:pPr>
      <w:r>
        <w:t>Our sensitivity analysis looked at the impacts of varying low-risk units, the proportion of forest area assumed to be managed as permanent, and future afforestation rates. Combined, they result in approximately 2 million units higher or lower than our central estimate of 3.2 million over-credited units over the 2027</w:t>
      </w:r>
      <w:r w:rsidR="00F801B2">
        <w:t>–</w:t>
      </w:r>
      <w:r>
        <w:t>2031 period.</w:t>
      </w:r>
    </w:p>
    <w:p w14:paraId="25ED58D5" w14:textId="43054CFE" w:rsidR="001B37D4" w:rsidRDefault="0000482C" w:rsidP="001B37D4">
      <w:pPr>
        <w:pStyle w:val="BodyText"/>
      </w:pPr>
      <w:r>
        <w:t>A</w:t>
      </w:r>
      <w:r w:rsidR="001B37D4">
        <w:t xml:space="preserve"> key input to our analysis </w:t>
      </w:r>
      <w:r w:rsidR="007E39BD">
        <w:t xml:space="preserve">is </w:t>
      </w:r>
      <w:r>
        <w:t xml:space="preserve">the area-weighted carbon yield tables which are an input into the NZ ETS forestry model. </w:t>
      </w:r>
      <w:r w:rsidR="00851832">
        <w:t>W</w:t>
      </w:r>
      <w:r w:rsidR="001B37D4">
        <w:t xml:space="preserve">e suggest </w:t>
      </w:r>
      <w:r w:rsidR="00851832">
        <w:t xml:space="preserve">that these tables </w:t>
      </w:r>
      <w:r w:rsidR="00B23FE7">
        <w:t xml:space="preserve">should </w:t>
      </w:r>
      <w:r w:rsidR="001B37D4">
        <w:t>be the focus of further work prior to the Government making its 2026 NZ ETS settings decision.</w:t>
      </w:r>
    </w:p>
    <w:p w14:paraId="6388402C" w14:textId="71682B3C" w:rsidR="00323FA7" w:rsidRDefault="001B37D4" w:rsidP="001B37D4">
      <w:pPr>
        <w:pStyle w:val="BodyText"/>
      </w:pPr>
      <w:r>
        <w:t>The Government has consulted on changes to the default carbon yield tables which, if implemented, could significantly impact the results of this analysis. We suggest that this analysis be updated prior to the Government making its decisions on the 2026 NZ ETS settings to reflect any changes to the default carbon yield tables. We also suggest that</w:t>
      </w:r>
      <w:r w:rsidR="009D59A7">
        <w:t xml:space="preserve"> further consideration be given to</w:t>
      </w:r>
      <w:r>
        <w:t xml:space="preserve"> the appropriate default table area weightings</w:t>
      </w:r>
      <w:r w:rsidR="008A309D">
        <w:t xml:space="preserve">, as the weightings used can significantly </w:t>
      </w:r>
      <w:r w:rsidR="00BA44CF">
        <w:t>impact the results</w:t>
      </w:r>
      <w:r>
        <w:t xml:space="preserve">. This is discussed in detail in </w:t>
      </w:r>
      <w:r w:rsidR="05196D8A" w:rsidRPr="00881173">
        <w:rPr>
          <w:i/>
        </w:rPr>
        <w:t>S</w:t>
      </w:r>
      <w:r w:rsidRPr="00881173">
        <w:rPr>
          <w:i/>
        </w:rPr>
        <w:t>ection 4.5</w:t>
      </w:r>
      <w:r w:rsidR="53F4DCB4" w:rsidRPr="00881173">
        <w:rPr>
          <w:i/>
        </w:rPr>
        <w:t>: Uncertainties relating to carbon yield tables</w:t>
      </w:r>
      <w:r>
        <w:t>.</w:t>
      </w:r>
    </w:p>
    <w:p w14:paraId="59CA98A3" w14:textId="77777777" w:rsidR="002C640E" w:rsidRDefault="002C640E">
      <w:pPr>
        <w:spacing w:before="0" w:after="0" w:line="240" w:lineRule="auto"/>
        <w:rPr>
          <w:rFonts w:eastAsiaTheme="majorEastAsia"/>
          <w:b/>
          <w:color w:val="1F3864" w:themeColor="accent1" w:themeShade="80"/>
          <w:sz w:val="44"/>
          <w:szCs w:val="44"/>
        </w:rPr>
      </w:pPr>
      <w:bookmarkStart w:id="7" w:name="_Toc227580403"/>
      <w:r>
        <w:br w:type="page"/>
      </w:r>
    </w:p>
    <w:p w14:paraId="117E3018" w14:textId="43922CB9" w:rsidR="00245D71" w:rsidRDefault="00245D71" w:rsidP="00245D71">
      <w:pPr>
        <w:pStyle w:val="Heading1nonumber"/>
      </w:pPr>
      <w:r>
        <w:t xml:space="preserve">Differences in </w:t>
      </w:r>
      <w:r w:rsidR="008D7E41">
        <w:t xml:space="preserve">NZ ETS and target accounting for </w:t>
      </w:r>
      <w:r w:rsidR="00697DB6">
        <w:t xml:space="preserve">forestry </w:t>
      </w:r>
      <w:bookmarkEnd w:id="7"/>
    </w:p>
    <w:p w14:paraId="0ACE1677" w14:textId="18490809" w:rsidR="008737E2" w:rsidRDefault="008737E2" w:rsidP="008737E2">
      <w:pPr>
        <w:pStyle w:val="BodyText"/>
      </w:pPr>
      <w:r>
        <w:t xml:space="preserve">There are several differences in how forestry emissions and removals are estimated under the NZ ETS and target accounting. These can be grouped into </w:t>
      </w:r>
      <w:r w:rsidR="005668A6">
        <w:t xml:space="preserve">two types of </w:t>
      </w:r>
      <w:r>
        <w:t>differences:</w:t>
      </w:r>
    </w:p>
    <w:p w14:paraId="7F69D037" w14:textId="6C0A5E56" w:rsidR="008737E2" w:rsidRDefault="008737E2" w:rsidP="008737E2">
      <w:pPr>
        <w:pStyle w:val="Bodybullets"/>
      </w:pPr>
      <w:r w:rsidRPr="008737E2">
        <w:rPr>
          <w:b/>
          <w:bCs/>
        </w:rPr>
        <w:t>Activity data:</w:t>
      </w:r>
      <w:r>
        <w:t xml:space="preserve"> the areas of </w:t>
      </w:r>
      <w:r w:rsidR="005668A6">
        <w:t xml:space="preserve">forest </w:t>
      </w:r>
      <w:r>
        <w:t xml:space="preserve">by age class and forest category. </w:t>
      </w:r>
    </w:p>
    <w:p w14:paraId="077FD652" w14:textId="5F452385" w:rsidR="008737E2" w:rsidRDefault="008737E2" w:rsidP="008737E2">
      <w:pPr>
        <w:pStyle w:val="Bodybullets"/>
      </w:pPr>
      <w:r w:rsidRPr="008737E2">
        <w:rPr>
          <w:b/>
          <w:bCs/>
        </w:rPr>
        <w:t>Accounting:</w:t>
      </w:r>
      <w:r>
        <w:t xml:space="preserve"> accounting approaches, technical parameters such as carbon yield tables, and what is included in the estimates of CO</w:t>
      </w:r>
      <w:r w:rsidRPr="008B282B">
        <w:rPr>
          <w:vertAlign w:val="subscript"/>
        </w:rPr>
        <w:t>2</w:t>
      </w:r>
      <w:r>
        <w:t xml:space="preserve"> absorbed and emitted by forest</w:t>
      </w:r>
      <w:r w:rsidR="00136BF9">
        <w:t>ry</w:t>
      </w:r>
      <w:r>
        <w:t xml:space="preserve"> activities.</w:t>
      </w:r>
    </w:p>
    <w:p w14:paraId="6F91B592" w14:textId="46BDD704" w:rsidR="00245D71" w:rsidRDefault="008737E2" w:rsidP="008737E2">
      <w:pPr>
        <w:pStyle w:val="BodyText"/>
      </w:pPr>
      <w:r>
        <w:t>These two sources</w:t>
      </w:r>
      <w:r w:rsidR="00D938F4">
        <w:t xml:space="preserve"> of differences</w:t>
      </w:r>
      <w:r>
        <w:t xml:space="preserve"> are discussed in detail in the following sections.</w:t>
      </w:r>
    </w:p>
    <w:p w14:paraId="2B4F37F2" w14:textId="2262EED8" w:rsidR="00C506BB" w:rsidRDefault="00C506BB" w:rsidP="00C506BB">
      <w:pPr>
        <w:pStyle w:val="Heading2nonumber"/>
      </w:pPr>
      <w:bookmarkStart w:id="8" w:name="_Toc227580404"/>
      <w:r>
        <w:t>Activity data</w:t>
      </w:r>
      <w:bookmarkEnd w:id="8"/>
    </w:p>
    <w:p w14:paraId="5FA012E6" w14:textId="76C158F0" w:rsidR="008C0028" w:rsidRDefault="00163D93" w:rsidP="008C0028">
      <w:pPr>
        <w:pStyle w:val="BodyText"/>
      </w:pPr>
      <w:r>
        <w:t>In</w:t>
      </w:r>
      <w:r w:rsidR="008C0028" w:rsidDel="00163D93">
        <w:t xml:space="preserve"> </w:t>
      </w:r>
      <w:r w:rsidR="008C0028">
        <w:t xml:space="preserve">both target </w:t>
      </w:r>
      <w:r w:rsidR="008D5996">
        <w:t xml:space="preserve">and NZ ETS </w:t>
      </w:r>
      <w:r w:rsidR="008C0028">
        <w:t>accounting, there is a distinction between forests first established before 1 January 1990 (pre-1990) and after 31 December 1989 (post-1989). Afforestation refers solely to post-1989 forests. Only post-1989 forests can be registered to earn NZUs in the NZ ETS.</w:t>
      </w:r>
    </w:p>
    <w:p w14:paraId="38E81AB1" w14:textId="25B33AD5" w:rsidR="0073571A" w:rsidRDefault="0073571A">
      <w:pPr>
        <w:pStyle w:val="BodyText"/>
      </w:pPr>
      <w:r>
        <w:t xml:space="preserve">In the GHG </w:t>
      </w:r>
      <w:r w:rsidR="7D4338A6">
        <w:t>I</w:t>
      </w:r>
      <w:r>
        <w:t>nventory and target accounting, a</w:t>
      </w:r>
      <w:r w:rsidR="008C0028">
        <w:t xml:space="preserve">ctivity data is sourced from national land-use mapping through the Land Use and Carbon Analysis System (LUCAS), supplemented by other data sources. This includes Afforestation and Deforestation Intentions Surveys conducted annually over recent years for the Ministry for Primary Industries. There are two forest types, ‘planted’ forest and ‘natural’ forest. These terms are used to identify whether the trees were established from managed planting or from natural regeneration. </w:t>
      </w:r>
    </w:p>
    <w:p w14:paraId="1B01F852" w14:textId="1BFB6B43" w:rsidR="008C0028" w:rsidRDefault="008C0028" w:rsidP="008C0028">
      <w:pPr>
        <w:pStyle w:val="BodyText"/>
      </w:pPr>
      <w:r>
        <w:t xml:space="preserve">In the NZ ETS, forest areas and age (or year of establishment) come from data submitted by participants when they register their forest. This includes a digital map file which must adhere to </w:t>
      </w:r>
      <w:r w:rsidR="5120D449">
        <w:t xml:space="preserve">the </w:t>
      </w:r>
      <w:r>
        <w:t>M</w:t>
      </w:r>
      <w:r w:rsidR="5BE6E8F6">
        <w:t>inistry for Primary Industries’</w:t>
      </w:r>
      <w:r>
        <w:t xml:space="preserve"> Geospatial Mapping Information Standard.</w:t>
      </w:r>
      <w:r w:rsidR="00AB0417">
        <w:fldChar w:fldCharType="begin"/>
      </w:r>
      <w:r w:rsidR="002D7255">
        <w:instrText xml:space="preserve"> ADDIN EN.CITE &lt;EndNote&gt;&lt;Cite ExcludeYear="1"&gt;&lt;Author&gt;Ministry for Primary Industries Manatu Ahu Matua&lt;/Author&gt;&lt;RecNum&gt;1570&lt;/RecNum&gt;&lt;DisplayText&gt;&lt;style face="superscript"&gt;1&lt;/style&gt;&lt;/DisplayText&gt;&lt;record&gt;&lt;rec-number&gt;1570&lt;/rec-number&gt;&lt;foreign-keys&gt;&lt;key app="EN" db-id="fwvex5fabdwzs9e9rwa55p5bvws5v2dex2zs" timestamp="1776556988" guid="23af9e01-6097-48ba-be7a-5fb41fd39407"&gt;1570&lt;/key&gt;&lt;/foreign-keys&gt;&lt;ref-type name="Web Page"&gt;12&lt;/ref-type&gt;&lt;contributors&gt;&lt;authors&gt;&lt;author&gt;Ministry for Primary Industries Manatu Ahu Matua,&lt;/author&gt;&lt;/authors&gt;&lt;/contributors&gt;&lt;titles&gt;&lt;title&gt;How to map forestry for the Emissions Trading Scheme&lt;/title&gt;&lt;/titles&gt;&lt;number&gt;18 April 2026&lt;/number&gt;&lt;keywords&gt;&lt;keyword&gt;ETS26&lt;/keyword&gt;&lt;/keywords&gt;&lt;dates&gt;&lt;pub-dates&gt;&lt;date&gt;31 October 2025&lt;/date&gt;&lt;/pub-dates&gt;&lt;/dates&gt;&lt;urls&gt;&lt;related-urls&gt;&lt;url&gt;https://www.mpi.govt.nz/forestry/forestry-in-the-emissions-trading-scheme/mapping-and-managing-forest-land-in-the-ets/how-to-map-forestry-for-the-emissions-trading-scheme&lt;/url&gt;&lt;/related-urls&gt;&lt;/urls&gt;&lt;/record&gt;&lt;/Cite&gt;&lt;/EndNote&gt;</w:instrText>
      </w:r>
      <w:r w:rsidR="00AB0417">
        <w:fldChar w:fldCharType="separate"/>
      </w:r>
      <w:r w:rsidR="00AB0417" w:rsidRPr="00AB0417">
        <w:rPr>
          <w:noProof/>
          <w:vertAlign w:val="superscript"/>
        </w:rPr>
        <w:t>1</w:t>
      </w:r>
      <w:r w:rsidR="00AB0417">
        <w:fldChar w:fldCharType="end"/>
      </w:r>
      <w:r>
        <w:t xml:space="preserve"> </w:t>
      </w:r>
    </w:p>
    <w:p w14:paraId="35A01172" w14:textId="7EC6A261" w:rsidR="008C0028" w:rsidRDefault="008C0028" w:rsidP="008C0028">
      <w:pPr>
        <w:pStyle w:val="BodyText"/>
      </w:pPr>
      <w:r>
        <w:t>The forest definitions and size and cover requirements in the NZ ETS largely align with those in the GHG Inventory.</w:t>
      </w:r>
      <w:r w:rsidR="00DE1595">
        <w:fldChar w:fldCharType="begin"/>
      </w:r>
      <w:r w:rsidR="002D7255">
        <w:instrText xml:space="preserve"> ADDIN EN.CITE &lt;EndNote&gt;&lt;Cite ExcludeYear="1"&gt;&lt;Author&gt;Ministry for Primary Industries Manatu Ahu Matua&lt;/Author&gt;&lt;RecNum&gt;1571&lt;/RecNum&gt;&lt;DisplayText&gt;&lt;style face="superscript"&gt;2&lt;/style&gt;&lt;/DisplayText&gt;&lt;record&gt;&lt;rec-number&gt;1571&lt;/rec-number&gt;&lt;foreign-keys&gt;&lt;key app="EN" db-id="fwvex5fabdwzs9e9rwa55p5bvws5v2dex2zs" timestamp="1776556988" guid="2144541a-9162-4617-97d1-ea077ed8f9c8"&gt;1571&lt;/key&gt;&lt;/foreign-keys&gt;&lt;ref-type name="Web Page"&gt;12&lt;/ref-type&gt;&lt;contributors&gt;&lt;authors&gt;&lt;author&gt;Ministry for Primary Industries Manatu Ahu Matua,&lt;/author&gt;&lt;/authors&gt;&lt;/contributors&gt;&lt;titles&gt;&lt;title&gt;How forest land is defined in the ETS&lt;/title&gt;&lt;/titles&gt;&lt;number&gt;18 April 2026&lt;/number&gt;&lt;keywords&gt;&lt;keyword&gt;ETS26&lt;/keyword&gt;&lt;/keywords&gt;&lt;dates&gt;&lt;pub-dates&gt;&lt;date&gt;31 October 2025&lt;/date&gt;&lt;/pub-dates&gt;&lt;/dates&gt;&lt;urls&gt;&lt;related-urls&gt;&lt;url&gt;https://www.mpi.govt.nz/forestry/forestry-in-the-emissions-trading-scheme/about-forestry-in-the-emissions-trading-scheme-ets/how-forest-land-is-defined-in-the-ets&lt;/url&gt;&lt;/related-urls&gt;&lt;/urls&gt;&lt;/record&gt;&lt;/Cite&gt;&lt;/EndNote&gt;</w:instrText>
      </w:r>
      <w:r w:rsidR="00DE1595">
        <w:fldChar w:fldCharType="separate"/>
      </w:r>
      <w:r w:rsidR="00DE1595" w:rsidRPr="00DE1595">
        <w:rPr>
          <w:noProof/>
          <w:vertAlign w:val="superscript"/>
        </w:rPr>
        <w:t>2</w:t>
      </w:r>
      <w:r w:rsidR="00DE1595">
        <w:fldChar w:fldCharType="end"/>
      </w:r>
      <w:r>
        <w:t xml:space="preserve"> Forests in the NZ ETS are distinguished by their dominant species type. Currently, the categories are radiata pine, Douglas fir, exotic softwoods, exotic hardwoods, and native (indigenous) forest. </w:t>
      </w:r>
    </w:p>
    <w:p w14:paraId="57F0D1C5" w14:textId="000F37A2" w:rsidR="00C506BB" w:rsidRDefault="008C0028" w:rsidP="008C0028">
      <w:pPr>
        <w:pStyle w:val="BodyText"/>
      </w:pPr>
      <w:r>
        <w:t xml:space="preserve">The ‘natural’ forest category in the GHG </w:t>
      </w:r>
      <w:r w:rsidR="7D244EDB">
        <w:t>I</w:t>
      </w:r>
      <w:r>
        <w:t xml:space="preserve">nventory corresponds to the native (indigenous) forest category in the NZ ETS. The ‘planted’ forest category in the GHG </w:t>
      </w:r>
      <w:r w:rsidR="6AD8161D">
        <w:t>I</w:t>
      </w:r>
      <w:r>
        <w:t>nventory encompasses the remaining NZ ETS exotic forest categories.</w:t>
      </w:r>
    </w:p>
    <w:p w14:paraId="0A6110CD" w14:textId="2BB90267" w:rsidR="0044313B" w:rsidRDefault="00506418" w:rsidP="0044313B">
      <w:pPr>
        <w:pStyle w:val="Heading3"/>
      </w:pPr>
      <w:bookmarkStart w:id="9" w:name="_Toc227580405"/>
      <w:r>
        <w:t>Comparison of e</w:t>
      </w:r>
      <w:r w:rsidR="0044313B">
        <w:t>xotic/planted forest</w:t>
      </w:r>
      <w:bookmarkEnd w:id="9"/>
      <w:r>
        <w:t xml:space="preserve"> activity data</w:t>
      </w:r>
    </w:p>
    <w:bookmarkEnd w:id="0"/>
    <w:bookmarkEnd w:id="1"/>
    <w:p w14:paraId="244D84A6" w14:textId="77777777" w:rsidR="0038166D" w:rsidRDefault="0038166D" w:rsidP="0038166D">
      <w:pPr>
        <w:pStyle w:val="BodyText"/>
      </w:pPr>
      <w:r>
        <w:t>Figure 1 compares the latest data on NZ ETS-registered area of exotic forests by year of planting with the GHG Inventory-reported post-1989 planted forest area. Key observations are:</w:t>
      </w:r>
    </w:p>
    <w:p w14:paraId="19F499E8" w14:textId="6F3A00CA" w:rsidR="0038166D" w:rsidRDefault="0038166D" w:rsidP="0038166D">
      <w:pPr>
        <w:pStyle w:val="Bodybullets"/>
      </w:pPr>
      <w:r>
        <w:t>For forests planted before 2006, the current NZ ETS-registered area is consistently lower than the GHG Inventory-reported area. Cumulatively the registered area for forests planted from 1990–2005 is around 212,000 hectares (41%) lower.</w:t>
      </w:r>
      <w:r w:rsidR="00654C69">
        <w:rPr>
          <w:rStyle w:val="FootnoteReference"/>
        </w:rPr>
        <w:footnoteReference w:id="5"/>
      </w:r>
      <w:r>
        <w:t xml:space="preserve"> </w:t>
      </w:r>
    </w:p>
    <w:p w14:paraId="47E459EA" w14:textId="680FA7F1" w:rsidR="0038166D" w:rsidRDefault="0038166D" w:rsidP="0038166D">
      <w:pPr>
        <w:pStyle w:val="Bodybullets"/>
      </w:pPr>
      <w:r>
        <w:t>For forests planted over 2006–2020, the current NZ ETS-registered area is cumulatively higher overall, by around 13,000 hectares (10%).</w:t>
      </w:r>
    </w:p>
    <w:p w14:paraId="09E7AD23" w14:textId="7D75C2C6" w:rsidR="0044313B" w:rsidRDefault="0038166D" w:rsidP="0038166D">
      <w:pPr>
        <w:pStyle w:val="Bodybullets"/>
      </w:pPr>
      <w:r>
        <w:t>For forests planted over 2020</w:t>
      </w:r>
      <w:r w:rsidR="00D56225">
        <w:t>–</w:t>
      </w:r>
      <w:r>
        <w:t>2023, the current NZ ETS-registered area is below the GHG Inventory-report area. However, it is common for there to be a time lag before recently planted forests are registered in the NZ ETS, so we expect that this gap will close.</w:t>
      </w:r>
    </w:p>
    <w:p w14:paraId="01A632D1" w14:textId="12E08B46" w:rsidR="00265061" w:rsidRDefault="00265061" w:rsidP="008A66C8">
      <w:pPr>
        <w:pStyle w:val="FigureTabletitle"/>
      </w:pPr>
      <w:r>
        <w:t xml:space="preserve">Figure </w:t>
      </w:r>
      <w:r>
        <w:fldChar w:fldCharType="begin"/>
      </w:r>
      <w:r>
        <w:instrText xml:space="preserve"> SEQ Figure \* ARABIC </w:instrText>
      </w:r>
      <w:r>
        <w:fldChar w:fldCharType="separate"/>
      </w:r>
      <w:r w:rsidR="00133F55">
        <w:rPr>
          <w:noProof/>
        </w:rPr>
        <w:t>1</w:t>
      </w:r>
      <w:r>
        <w:fldChar w:fldCharType="end"/>
      </w:r>
      <w:r>
        <w:t>:</w:t>
      </w:r>
      <w:r w:rsidR="008A66C8" w:rsidRPr="008A66C8">
        <w:t xml:space="preserve"> Post-1989 exotic forest area registered in the NZ ETS (as at 2 October 2025) compared with post-1989 planted forest area in the GHG Inventory by age class</w:t>
      </w:r>
    </w:p>
    <w:p w14:paraId="09C2DD51" w14:textId="3BAAAEAE" w:rsidR="0038166D" w:rsidRDefault="00DD214A" w:rsidP="0038166D">
      <w:pPr>
        <w:pStyle w:val="Bodybullets"/>
        <w:numPr>
          <w:ilvl w:val="0"/>
          <w:numId w:val="0"/>
        </w:numPr>
        <w:rPr>
          <w:noProof/>
        </w:rPr>
      </w:pPr>
      <w:r>
        <w:rPr>
          <w:noProof/>
        </w:rPr>
        <w:drawing>
          <wp:inline distT="0" distB="0" distL="0" distR="0" wp14:anchorId="547328B9" wp14:editId="115B6C90">
            <wp:extent cx="5949950" cy="3426460"/>
            <wp:effectExtent l="0" t="0" r="0" b="2540"/>
            <wp:docPr id="38440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3426460"/>
                    </a:xfrm>
                    <a:prstGeom prst="rect">
                      <a:avLst/>
                    </a:prstGeom>
                    <a:noFill/>
                  </pic:spPr>
                </pic:pic>
              </a:graphicData>
            </a:graphic>
          </wp:inline>
        </w:drawing>
      </w:r>
    </w:p>
    <w:p w14:paraId="76BC7680" w14:textId="39D17CCB" w:rsidR="008A66C8" w:rsidRPr="00434485" w:rsidRDefault="00434485" w:rsidP="003B7B9E">
      <w:pPr>
        <w:pStyle w:val="Sourceline"/>
        <w:rPr>
          <w:szCs w:val="20"/>
        </w:rPr>
      </w:pPr>
      <w:r w:rsidRPr="00434485">
        <w:t>Source: Commission analysis</w:t>
      </w:r>
    </w:p>
    <w:p w14:paraId="35FF1D1F" w14:textId="71650747" w:rsidR="008A66C8" w:rsidRDefault="005013F9" w:rsidP="008A66C8">
      <w:pPr>
        <w:pStyle w:val="Heading3"/>
      </w:pPr>
      <w:bookmarkStart w:id="10" w:name="_Toc227580406"/>
      <w:r>
        <w:t>Comparison of n</w:t>
      </w:r>
      <w:r w:rsidR="008A66C8">
        <w:t>ative/natural forest</w:t>
      </w:r>
      <w:bookmarkEnd w:id="10"/>
      <w:r>
        <w:t xml:space="preserve"> activity data</w:t>
      </w:r>
    </w:p>
    <w:p w14:paraId="16731BC2" w14:textId="77777777" w:rsidR="00DC0887" w:rsidRDefault="00DC0887" w:rsidP="00DC0887">
      <w:pPr>
        <w:pStyle w:val="BodyText"/>
      </w:pPr>
      <w:r>
        <w:t>Figure 2 compares the latest data on area of post-1989 native forests registered in the NZ ETS by year of establishment with the GHG Inventory post-1989 natural forest area. Key observations are:</w:t>
      </w:r>
    </w:p>
    <w:p w14:paraId="03F88021" w14:textId="77777777" w:rsidR="00DC0887" w:rsidRDefault="00DC0887" w:rsidP="00DC0887">
      <w:pPr>
        <w:pStyle w:val="Bodybullets"/>
      </w:pPr>
      <w:r>
        <w:t xml:space="preserve">Native/natural forest area does not align as closely as exotic/planted forests. </w:t>
      </w:r>
    </w:p>
    <w:p w14:paraId="4C55A536" w14:textId="77777777" w:rsidR="00DC0887" w:rsidRDefault="00DC0887" w:rsidP="00DC0887">
      <w:pPr>
        <w:pStyle w:val="Bodybullets"/>
      </w:pPr>
      <w:r>
        <w:t xml:space="preserve">The NZ ETS-registered native forest area has high variability in the area established year-to-year, but is generally higher than the GHG Inventory-reported area for natural forests, particularly for forests established in the 1990s. </w:t>
      </w:r>
    </w:p>
    <w:p w14:paraId="1578346C" w14:textId="2E249F8A" w:rsidR="00F179FB" w:rsidRDefault="00DC0887" w:rsidP="003B7B9E">
      <w:pPr>
        <w:pStyle w:val="Bodybullets"/>
      </w:pPr>
      <w:r>
        <w:t>Cumulatively, for native/natural forests established over 1990</w:t>
      </w:r>
      <w:r w:rsidR="00CE3CB6">
        <w:t>–</w:t>
      </w:r>
      <w:r>
        <w:t>2020 the NZ ETS-registered area is around 49,000 hectares (51%) higher than that reported in the GHG Inventory.</w:t>
      </w:r>
    </w:p>
    <w:p w14:paraId="71A8122A" w14:textId="392341D3" w:rsidR="00F179FB" w:rsidRDefault="00F179FB" w:rsidP="00434485">
      <w:pPr>
        <w:pStyle w:val="FigureTabletitle"/>
      </w:pPr>
      <w:r>
        <w:t xml:space="preserve">Figure </w:t>
      </w:r>
      <w:r>
        <w:fldChar w:fldCharType="begin"/>
      </w:r>
      <w:r>
        <w:instrText xml:space="preserve"> SEQ Figure \* ARABIC </w:instrText>
      </w:r>
      <w:r>
        <w:fldChar w:fldCharType="separate"/>
      </w:r>
      <w:r w:rsidR="00133F55">
        <w:rPr>
          <w:noProof/>
        </w:rPr>
        <w:t>2</w:t>
      </w:r>
      <w:r>
        <w:fldChar w:fldCharType="end"/>
      </w:r>
      <w:r>
        <w:t>:</w:t>
      </w:r>
      <w:r w:rsidR="00434485" w:rsidRPr="00434485">
        <w:t xml:space="preserve"> Post-1989 native forest area registered in the NZ ETS (as at 2 October 2025) compared with post-1989 natural forest area in the GHG Inventory by age class</w:t>
      </w:r>
    </w:p>
    <w:p w14:paraId="24CBBC39" w14:textId="6A69B775" w:rsidR="00F179FB" w:rsidRDefault="008C3201" w:rsidP="00F179FB">
      <w:pPr>
        <w:pStyle w:val="Bodybullets"/>
        <w:numPr>
          <w:ilvl w:val="0"/>
          <w:numId w:val="0"/>
        </w:numPr>
        <w:rPr>
          <w:noProof/>
        </w:rPr>
      </w:pPr>
      <w:r>
        <w:rPr>
          <w:noProof/>
        </w:rPr>
        <w:drawing>
          <wp:inline distT="0" distB="0" distL="0" distR="0" wp14:anchorId="1024A196" wp14:editId="0FA0DC58">
            <wp:extent cx="5949950" cy="3377565"/>
            <wp:effectExtent l="0" t="0" r="0" b="0"/>
            <wp:docPr id="893517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0" cy="3377565"/>
                    </a:xfrm>
                    <a:prstGeom prst="rect">
                      <a:avLst/>
                    </a:prstGeom>
                    <a:noFill/>
                  </pic:spPr>
                </pic:pic>
              </a:graphicData>
            </a:graphic>
          </wp:inline>
        </w:drawing>
      </w:r>
    </w:p>
    <w:p w14:paraId="3F7B9756" w14:textId="24AFAA75" w:rsidR="00434485" w:rsidRDefault="00434485" w:rsidP="003B7B9E">
      <w:pPr>
        <w:pStyle w:val="Sourceline"/>
        <w:rPr>
          <w:szCs w:val="20"/>
        </w:rPr>
      </w:pPr>
      <w:r w:rsidRPr="00434485">
        <w:t xml:space="preserve">Source: </w:t>
      </w:r>
      <w:r w:rsidRPr="00434485">
        <w:rPr>
          <w:szCs w:val="20"/>
        </w:rPr>
        <w:t>Commission analysis</w:t>
      </w:r>
    </w:p>
    <w:p w14:paraId="5EF2CEC2" w14:textId="34023541" w:rsidR="00434485" w:rsidRDefault="00434485" w:rsidP="00434485">
      <w:pPr>
        <w:pStyle w:val="Heading3"/>
      </w:pPr>
      <w:bookmarkStart w:id="11" w:name="_Toc227580407"/>
      <w:r>
        <w:t>Activity data assumptions</w:t>
      </w:r>
      <w:bookmarkEnd w:id="11"/>
    </w:p>
    <w:p w14:paraId="59D29CAC" w14:textId="7586834A" w:rsidR="002803BB" w:rsidRDefault="002803BB" w:rsidP="002803BB">
      <w:pPr>
        <w:pStyle w:val="BodyText"/>
      </w:pPr>
      <w:r>
        <w:t>There is a general pattern of greater areas being registered in the NZ ETS than reported in the GHG Inventory for native forests, and the same also applies for exotic forests planted since 2005.</w:t>
      </w:r>
      <w:r w:rsidR="00F1793D">
        <w:rPr>
          <w:rStyle w:val="FootnoteReference"/>
        </w:rPr>
        <w:footnoteReference w:id="6"/>
      </w:r>
    </w:p>
    <w:p w14:paraId="7FD15D4B" w14:textId="54DF318C" w:rsidR="002803BB" w:rsidRDefault="002803BB" w:rsidP="002803BB">
      <w:pPr>
        <w:pStyle w:val="BodyText"/>
      </w:pPr>
      <w:r>
        <w:t xml:space="preserve">It is beyond the scope of our NZ ETS settings advice to determine causes for the differences in activity data. On the surface, the rules for </w:t>
      </w:r>
      <w:r w:rsidR="00CA6EF4">
        <w:t xml:space="preserve">registering forests in the </w:t>
      </w:r>
      <w:r>
        <w:t xml:space="preserve">NZ ETS appear to be </w:t>
      </w:r>
      <w:r w:rsidR="00CA6EF4">
        <w:t>well</w:t>
      </w:r>
      <w:r w:rsidR="00513284">
        <w:t>-</w:t>
      </w:r>
      <w:r>
        <w:t>aligned with the mapping definitions of the GHG Inventory. Two areas where potential differences may lie are:</w:t>
      </w:r>
    </w:p>
    <w:p w14:paraId="1DF4F07F" w14:textId="4467B73A" w:rsidR="002803BB" w:rsidRDefault="002803BB" w:rsidP="002803BB">
      <w:pPr>
        <w:pStyle w:val="Bodybullets"/>
      </w:pPr>
      <w:r>
        <w:t>in the handling of land that was originally pre-1990 forest land and was deforested</w:t>
      </w:r>
      <w:r w:rsidR="00F1793D">
        <w:rPr>
          <w:rStyle w:val="FootnoteReference"/>
        </w:rPr>
        <w:footnoteReference w:id="7"/>
      </w:r>
    </w:p>
    <w:p w14:paraId="58BB017E" w14:textId="559E7702" w:rsidR="002803BB" w:rsidRDefault="002803BB" w:rsidP="002803BB">
      <w:pPr>
        <w:pStyle w:val="Bodybullets"/>
      </w:pPr>
      <w:r>
        <w:t>detailed mapping methodologies.</w:t>
      </w:r>
    </w:p>
    <w:p w14:paraId="193511F2" w14:textId="78F01FD6" w:rsidR="002803BB" w:rsidRDefault="002803BB" w:rsidP="002803BB">
      <w:pPr>
        <w:pStyle w:val="BodyText"/>
      </w:pPr>
      <w:r>
        <w:t>Resolving the observed discrepancies would require in-depth investigation by the relevant lead agencies (Ministry for Primary Industries for NZ ETS data and Ministry for the Environment for GHG Inventory/LUCAS data).</w:t>
      </w:r>
    </w:p>
    <w:p w14:paraId="23FE3C38" w14:textId="2F0240DD" w:rsidR="002803BB" w:rsidRDefault="002803BB" w:rsidP="002803BB">
      <w:pPr>
        <w:pStyle w:val="BodyText"/>
      </w:pPr>
      <w:r>
        <w:t>It is important to recognise that</w:t>
      </w:r>
      <w:r w:rsidR="48032765">
        <w:t>,</w:t>
      </w:r>
      <w:r>
        <w:t xml:space="preserve"> for this analysis, the question of which dataset more accurately reflects the real world does not affect the case for making a technical adjustment. </w:t>
      </w:r>
      <w:r w:rsidR="005D61B8">
        <w:t xml:space="preserve">As the </w:t>
      </w:r>
      <w:r w:rsidR="00FF59E3">
        <w:t>method</w:t>
      </w:r>
      <w:r w:rsidR="00AD70E9">
        <w:t xml:space="preserve"> used for tracking progress towards </w:t>
      </w:r>
      <w:r w:rsidR="009E567E">
        <w:t xml:space="preserve">emissions budgets, </w:t>
      </w:r>
      <w:r>
        <w:t>target accounting (and hence GHG Inventory data) is the starting point for the unit supply calculations</w:t>
      </w:r>
      <w:r w:rsidR="0027268F">
        <w:t xml:space="preserve"> –</w:t>
      </w:r>
      <w:r w:rsidR="00DF3E73">
        <w:t xml:space="preserve"> whether ‘right’ or ‘wrong’</w:t>
      </w:r>
      <w:r w:rsidR="00A34BF8">
        <w:t xml:space="preserve">, </w:t>
      </w:r>
      <w:r w:rsidR="00340C9F">
        <w:t xml:space="preserve">even </w:t>
      </w:r>
      <w:r w:rsidR="00F827F0">
        <w:t>if dis</w:t>
      </w:r>
      <w:r w:rsidR="005F742A">
        <w:t xml:space="preserve">crepancies </w:t>
      </w:r>
      <w:r w:rsidR="00F907DE">
        <w:t>exist</w:t>
      </w:r>
      <w:r>
        <w:t>.</w:t>
      </w:r>
    </w:p>
    <w:p w14:paraId="4BA2CDF4" w14:textId="4E80DEB0" w:rsidR="00434485" w:rsidRDefault="002803BB" w:rsidP="002803BB">
      <w:pPr>
        <w:pStyle w:val="BodyText"/>
      </w:pPr>
      <w:r>
        <w:t>Table 1 below summarises the key assumptions we have made in this analysis relating to forest area</w:t>
      </w:r>
      <w:r w:rsidR="00C534CC">
        <w:t xml:space="preserve"> assumed to be registered in the NZ ETS</w:t>
      </w:r>
      <w:r>
        <w:t>. These assumptions are consistent with those used throughout our 2026 NZ ETS settings advice, including to calculate the NZ ETS emissions cap and to estimate the volume of surplus units in the scheme. The assumptions reflect some minor changes since our 2025 advice.</w:t>
      </w:r>
    </w:p>
    <w:p w14:paraId="2F040BA2" w14:textId="1584DDF5" w:rsidR="00A83127" w:rsidRDefault="00A83127" w:rsidP="00A83127">
      <w:pPr>
        <w:pStyle w:val="FigureTabletitle"/>
      </w:pPr>
      <w:r>
        <w:t xml:space="preserve">Table </w:t>
      </w:r>
      <w:r>
        <w:fldChar w:fldCharType="begin"/>
      </w:r>
      <w:r>
        <w:instrText xml:space="preserve"> SEQ Table \* ARABIC </w:instrText>
      </w:r>
      <w:r>
        <w:fldChar w:fldCharType="separate"/>
      </w:r>
      <w:r w:rsidR="00792161">
        <w:rPr>
          <w:noProof/>
        </w:rPr>
        <w:t>1</w:t>
      </w:r>
      <w:r>
        <w:fldChar w:fldCharType="end"/>
      </w:r>
      <w:r>
        <w:t>:</w:t>
      </w:r>
      <w:r w:rsidR="00F74CBB">
        <w:t xml:space="preserve"> Assumptions about </w:t>
      </w:r>
      <w:r w:rsidR="00F445FB">
        <w:t xml:space="preserve">post-1989 </w:t>
      </w:r>
      <w:r w:rsidR="00F74CBB">
        <w:t>f</w:t>
      </w:r>
      <w:r>
        <w:t xml:space="preserve">orest area </w:t>
      </w:r>
      <w:r w:rsidR="009632A3">
        <w:t>covered by the NZ ETS</w:t>
      </w:r>
      <w:r w:rsidR="00CC3CBE">
        <w:t xml:space="preserve"> </w:t>
      </w:r>
    </w:p>
    <w:tbl>
      <w:tblPr>
        <w:tblStyle w:val="TableGrid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6"/>
        <w:gridCol w:w="3589"/>
        <w:gridCol w:w="3731"/>
      </w:tblGrid>
      <w:tr w:rsidR="00A83127" w:rsidRPr="00A83127" w14:paraId="7140A319" w14:textId="77777777" w:rsidTr="00A83127">
        <w:tc>
          <w:tcPr>
            <w:tcW w:w="1696" w:type="dxa"/>
            <w:shd w:val="clear" w:color="auto" w:fill="003A5D"/>
          </w:tcPr>
          <w:p w14:paraId="53CCA88A" w14:textId="77777777" w:rsidR="00A83127" w:rsidRPr="00A83127" w:rsidRDefault="00A83127" w:rsidP="0086123C">
            <w:pPr>
              <w:pStyle w:val="Tableheading"/>
            </w:pPr>
          </w:p>
        </w:tc>
        <w:tc>
          <w:tcPr>
            <w:tcW w:w="3589" w:type="dxa"/>
            <w:shd w:val="clear" w:color="auto" w:fill="003A5D"/>
          </w:tcPr>
          <w:p w14:paraId="6D6A9D3B" w14:textId="77777777" w:rsidR="00A83127" w:rsidRPr="00A83127" w:rsidRDefault="00A83127" w:rsidP="0086123C">
            <w:pPr>
              <w:pStyle w:val="Tableheading"/>
              <w:rPr>
                <w:rFonts w:cs="Calibri"/>
                <w:lang w:val="en-GB"/>
              </w:rPr>
            </w:pPr>
            <w:r w:rsidRPr="00A83127">
              <w:t xml:space="preserve">Exotic </w:t>
            </w:r>
            <w:r w:rsidRPr="00A83127">
              <w:rPr>
                <w:rFonts w:cs="Calibri"/>
                <w:lang w:val="en-GB"/>
              </w:rPr>
              <w:t>forests</w:t>
            </w:r>
          </w:p>
        </w:tc>
        <w:tc>
          <w:tcPr>
            <w:tcW w:w="3731" w:type="dxa"/>
            <w:shd w:val="clear" w:color="auto" w:fill="003A5D"/>
          </w:tcPr>
          <w:p w14:paraId="2E1EDE3D" w14:textId="77777777" w:rsidR="00A83127" w:rsidRPr="00A83127" w:rsidRDefault="00A83127" w:rsidP="0086123C">
            <w:pPr>
              <w:pStyle w:val="Tableheading"/>
              <w:rPr>
                <w:rFonts w:cs="Calibri"/>
                <w:lang w:val="en-GB"/>
              </w:rPr>
            </w:pPr>
            <w:r w:rsidRPr="00A83127">
              <w:t>Native forests</w:t>
            </w:r>
          </w:p>
        </w:tc>
      </w:tr>
      <w:tr w:rsidR="00A83127" w:rsidRPr="00A83127" w14:paraId="3CABB921" w14:textId="77777777" w:rsidTr="00A83127">
        <w:tc>
          <w:tcPr>
            <w:tcW w:w="1696" w:type="dxa"/>
            <w:shd w:val="clear" w:color="auto" w:fill="C1DCD5"/>
          </w:tcPr>
          <w:p w14:paraId="57BDE739" w14:textId="77777777" w:rsidR="00A83127" w:rsidRPr="00F230D1" w:rsidRDefault="00A83127" w:rsidP="0086123C">
            <w:pPr>
              <w:pStyle w:val="TableParagraph"/>
              <w:rPr>
                <w:b/>
              </w:rPr>
            </w:pPr>
            <w:r w:rsidRPr="00F230D1">
              <w:rPr>
                <w:b/>
              </w:rPr>
              <w:t>Inside NZ ETS</w:t>
            </w:r>
          </w:p>
        </w:tc>
        <w:tc>
          <w:tcPr>
            <w:tcW w:w="3589" w:type="dxa"/>
            <w:shd w:val="clear" w:color="auto" w:fill="D4E8DE"/>
          </w:tcPr>
          <w:p w14:paraId="2B5C5A56" w14:textId="09447294" w:rsidR="00A83127" w:rsidRPr="006E59CC" w:rsidRDefault="00A83127" w:rsidP="0086123C">
            <w:pPr>
              <w:pStyle w:val="TableParagraph"/>
              <w:numPr>
                <w:ilvl w:val="0"/>
                <w:numId w:val="24"/>
              </w:numPr>
            </w:pPr>
            <w:r w:rsidRPr="006E59CC">
              <w:t>Actual NZ ETS</w:t>
            </w:r>
            <w:r w:rsidR="4D32D515">
              <w:t>-</w:t>
            </w:r>
            <w:r w:rsidRPr="006E59CC">
              <w:t>registered areas by planting year 1990-2005.</w:t>
            </w:r>
          </w:p>
          <w:p w14:paraId="11026CE9" w14:textId="2A1F4A59" w:rsidR="00A83127" w:rsidRPr="006E59CC" w:rsidRDefault="00A83127" w:rsidP="0086123C">
            <w:pPr>
              <w:pStyle w:val="TableParagraph"/>
              <w:numPr>
                <w:ilvl w:val="0"/>
                <w:numId w:val="24"/>
              </w:numPr>
            </w:pPr>
            <w:r w:rsidRPr="006E59CC">
              <w:t>GHG Inventory-reported areas from 2006 onwards and 100% of projected afforestation (with the exception of forecast afforestation on Crown-owned land beginning in 2027).</w:t>
            </w:r>
            <w:r w:rsidRPr="006E59CC">
              <w:rPr>
                <w:vertAlign w:val="superscript"/>
              </w:rPr>
              <w:footnoteReference w:id="8"/>
            </w:r>
          </w:p>
        </w:tc>
        <w:tc>
          <w:tcPr>
            <w:tcW w:w="3731" w:type="dxa"/>
            <w:shd w:val="clear" w:color="auto" w:fill="D4E8DE"/>
          </w:tcPr>
          <w:p w14:paraId="2518EE0E" w14:textId="3AD8D99F" w:rsidR="00A83127" w:rsidRPr="006E59CC" w:rsidRDefault="00A83127" w:rsidP="00CE5BB2">
            <w:pPr>
              <w:pStyle w:val="TableParagraph"/>
              <w:numPr>
                <w:ilvl w:val="0"/>
                <w:numId w:val="24"/>
              </w:numPr>
            </w:pPr>
            <w:r w:rsidRPr="006E59CC">
              <w:t xml:space="preserve">100% of GHG Inventory-reported areas by year established over all </w:t>
            </w:r>
            <w:r w:rsidR="00B263E4">
              <w:t xml:space="preserve">past </w:t>
            </w:r>
            <w:r w:rsidRPr="006E59CC">
              <w:t>years and 100% of projected afforestation (i.e. assume all native afforestation is covered by the NZ ETS).</w:t>
            </w:r>
          </w:p>
          <w:p w14:paraId="48714688" w14:textId="77777777" w:rsidR="00A83127" w:rsidRPr="006E59CC" w:rsidRDefault="00A83127" w:rsidP="0086123C">
            <w:pPr>
              <w:pStyle w:val="TableParagraph"/>
            </w:pPr>
          </w:p>
        </w:tc>
      </w:tr>
      <w:tr w:rsidR="00A83127" w:rsidRPr="00A83127" w14:paraId="66242E5B" w14:textId="77777777" w:rsidTr="00A83127">
        <w:tc>
          <w:tcPr>
            <w:tcW w:w="1696" w:type="dxa"/>
            <w:shd w:val="clear" w:color="auto" w:fill="C1DCD5"/>
          </w:tcPr>
          <w:p w14:paraId="22EA0C25" w14:textId="77777777" w:rsidR="00A83127" w:rsidRPr="00F230D1" w:rsidRDefault="00A83127" w:rsidP="0086123C">
            <w:pPr>
              <w:pStyle w:val="TableParagraph"/>
              <w:rPr>
                <w:b/>
              </w:rPr>
            </w:pPr>
            <w:r w:rsidRPr="00F230D1">
              <w:rPr>
                <w:b/>
              </w:rPr>
              <w:t>Outside NZ ETS</w:t>
            </w:r>
          </w:p>
        </w:tc>
        <w:tc>
          <w:tcPr>
            <w:tcW w:w="3589" w:type="dxa"/>
            <w:shd w:val="clear" w:color="auto" w:fill="E9F5F2"/>
          </w:tcPr>
          <w:p w14:paraId="07E0A32A" w14:textId="77777777" w:rsidR="00A83127" w:rsidRPr="006E59CC" w:rsidRDefault="00A83127" w:rsidP="0086123C">
            <w:pPr>
              <w:pStyle w:val="TableParagraph"/>
              <w:numPr>
                <w:ilvl w:val="0"/>
                <w:numId w:val="25"/>
              </w:numPr>
            </w:pPr>
            <w:r w:rsidRPr="006E59CC">
              <w:t>Additional GHG Inventory-reported areas by planting year 1990-2005.</w:t>
            </w:r>
          </w:p>
        </w:tc>
        <w:tc>
          <w:tcPr>
            <w:tcW w:w="3731" w:type="dxa"/>
            <w:shd w:val="clear" w:color="auto" w:fill="E9F5F2"/>
          </w:tcPr>
          <w:p w14:paraId="4FE02CD1" w14:textId="77777777" w:rsidR="00A83127" w:rsidRPr="006E59CC" w:rsidRDefault="00A83127" w:rsidP="0086123C">
            <w:pPr>
              <w:pStyle w:val="TableParagraph"/>
              <w:numPr>
                <w:ilvl w:val="0"/>
                <w:numId w:val="25"/>
              </w:numPr>
            </w:pPr>
            <w:r w:rsidRPr="006E59CC">
              <w:t>No native afforestation outside the NZ ETS.</w:t>
            </w:r>
          </w:p>
        </w:tc>
      </w:tr>
    </w:tbl>
    <w:p w14:paraId="11D6FC39" w14:textId="3FB927BD" w:rsidR="00571913" w:rsidRDefault="00A83127" w:rsidP="00A83127">
      <w:pPr>
        <w:pStyle w:val="Heading2nonumber"/>
      </w:pPr>
      <w:bookmarkStart w:id="12" w:name="_Toc227580408"/>
      <w:r>
        <w:t>Accounting approaches</w:t>
      </w:r>
      <w:bookmarkEnd w:id="12"/>
    </w:p>
    <w:p w14:paraId="5190C980" w14:textId="2E99C167" w:rsidR="00A83127" w:rsidRDefault="006275A8" w:rsidP="00A83127">
      <w:pPr>
        <w:pStyle w:val="BodyText"/>
      </w:pPr>
      <w:r w:rsidRPr="006275A8">
        <w:t xml:space="preserve">This section discusses key differences </w:t>
      </w:r>
      <w:r w:rsidR="00317BF8">
        <w:t xml:space="preserve">between target and NZ ETS accounting </w:t>
      </w:r>
      <w:r w:rsidR="00BF6A36">
        <w:t xml:space="preserve">for </w:t>
      </w:r>
      <w:r w:rsidRPr="006275A8" w:rsidDel="00AA10D0">
        <w:t>forests</w:t>
      </w:r>
      <w:r w:rsidRPr="006275A8">
        <w:t>.</w:t>
      </w:r>
    </w:p>
    <w:p w14:paraId="3419F743" w14:textId="35379F25" w:rsidR="006275A8" w:rsidRDefault="006275A8" w:rsidP="006275A8">
      <w:pPr>
        <w:pStyle w:val="Heading3"/>
      </w:pPr>
      <w:bookmarkStart w:id="13" w:name="_Toc227580409"/>
      <w:r>
        <w:t>Scope and treatment</w:t>
      </w:r>
      <w:bookmarkEnd w:id="13"/>
    </w:p>
    <w:p w14:paraId="679D9A84" w14:textId="6D7BEA00" w:rsidR="004910C7" w:rsidRDefault="004910C7" w:rsidP="004910C7">
      <w:pPr>
        <w:pStyle w:val="BodyText"/>
      </w:pPr>
      <w:r w:rsidRPr="004910C7">
        <w:t xml:space="preserve">Table 2 below summarises the similarities and differences in how distinct sources of emissions and removals </w:t>
      </w:r>
      <w:r w:rsidR="00555DFA">
        <w:t xml:space="preserve">by forests </w:t>
      </w:r>
      <w:r w:rsidRPr="004910C7">
        <w:t>are accounted for in target accounting and the NZ ETS. The different accounting approaches for forest growth are described in more detail in the subsections which follow.</w:t>
      </w:r>
    </w:p>
    <w:p w14:paraId="412941D0" w14:textId="378548C7" w:rsidR="007D7597" w:rsidRDefault="007D7597" w:rsidP="007D7597">
      <w:pPr>
        <w:pStyle w:val="FigureTabletitle"/>
      </w:pPr>
      <w:r>
        <w:t xml:space="preserve">Table </w:t>
      </w:r>
      <w:r>
        <w:fldChar w:fldCharType="begin"/>
      </w:r>
      <w:r>
        <w:instrText xml:space="preserve"> SEQ Table \* ARABIC </w:instrText>
      </w:r>
      <w:r>
        <w:fldChar w:fldCharType="separate"/>
      </w:r>
      <w:r w:rsidR="00792161">
        <w:rPr>
          <w:noProof/>
        </w:rPr>
        <w:t>2</w:t>
      </w:r>
      <w:r>
        <w:fldChar w:fldCharType="end"/>
      </w:r>
      <w:r>
        <w:t xml:space="preserve">: </w:t>
      </w:r>
      <w:r w:rsidRPr="00120C61">
        <w:t>Scope and treatment of emissions and removals</w:t>
      </w:r>
      <w:r w:rsidR="00DE3BAE">
        <w:t xml:space="preserve"> by forests </w:t>
      </w:r>
      <w:r w:rsidRPr="00120C61">
        <w:t xml:space="preserve">under target </w:t>
      </w:r>
      <w:r w:rsidR="002E08EB">
        <w:t xml:space="preserve">and NZ ETS </w:t>
      </w:r>
      <w:r w:rsidRPr="00120C61">
        <w:t>accounting</w:t>
      </w:r>
    </w:p>
    <w:tbl>
      <w:tblPr>
        <w:tblStyle w:val="TableGrid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4"/>
        <w:gridCol w:w="2896"/>
        <w:gridCol w:w="3006"/>
      </w:tblGrid>
      <w:tr w:rsidR="00A16277" w:rsidRPr="00A16277" w14:paraId="081957B9" w14:textId="77777777" w:rsidTr="00A16277">
        <w:tc>
          <w:tcPr>
            <w:tcW w:w="3114" w:type="dxa"/>
            <w:shd w:val="clear" w:color="auto" w:fill="003A5D"/>
          </w:tcPr>
          <w:p w14:paraId="272D65E6" w14:textId="7599E2AB" w:rsidR="00A16277" w:rsidRPr="00A16277" w:rsidRDefault="00A16277" w:rsidP="00881173">
            <w:pPr>
              <w:spacing w:before="60" w:after="60" w:line="252" w:lineRule="auto"/>
              <w:rPr>
                <w:rFonts w:cs="Calibri"/>
                <w:b/>
                <w:bCs/>
                <w:sz w:val="22"/>
                <w:szCs w:val="22"/>
                <w:lang w:val="en-GB"/>
              </w:rPr>
            </w:pPr>
            <w:r w:rsidRPr="00A16277">
              <w:rPr>
                <w:rFonts w:cs="Calibri"/>
                <w:b/>
                <w:bCs/>
                <w:sz w:val="22"/>
                <w:szCs w:val="22"/>
                <w:lang w:val="en-GB"/>
              </w:rPr>
              <w:t>Net emissions from Afforestation activities include:</w:t>
            </w:r>
            <w:r w:rsidR="00DD79E0">
              <w:rPr>
                <w:rFonts w:cs="Calibri"/>
                <w:b/>
                <w:bCs/>
                <w:sz w:val="22"/>
                <w:szCs w:val="22"/>
                <w:lang w:val="en-GB"/>
              </w:rPr>
              <w:fldChar w:fldCharType="begin"/>
            </w:r>
            <w:r w:rsidR="002D7255">
              <w:rPr>
                <w:rFonts w:cs="Calibri"/>
                <w:b/>
                <w:bCs/>
                <w:sz w:val="22"/>
                <w:szCs w:val="22"/>
                <w:lang w:val="en-GB"/>
              </w:rPr>
              <w:instrText xml:space="preserve"> ADDIN EN.CITE &lt;EndNote&gt;&lt;Cite&gt;&lt;Author&gt;Ministry for the Environment&lt;/Author&gt;&lt;Year&gt;2024&lt;/Year&gt;&lt;RecNum&gt;404&lt;/RecNum&gt;&lt;DisplayText&gt;&lt;style face="superscript"&gt;3&lt;/style&gt;&lt;/DisplayText&gt;&lt;record&gt;&lt;rec-number&gt;404&lt;/rec-number&gt;&lt;foreign-keys&gt;&lt;key app="EN" db-id="fwvex5fabdwzs9e9rwa55p5bvws5v2dex2zs" timestamp="1770930463" guid="1e9f7968-951e-410b-9837-75ab6690456c"&gt;404&lt;/key&gt;&lt;/foreign-keys&gt;&lt;ref-type name="Report"&gt;27&lt;/ref-type&gt;&lt;contributors&gt;&lt;authors&gt;&lt;author&gt;Ministry for the Environment,&lt;/author&gt;&lt;/authors&gt;&lt;/contributors&gt;&lt;titles&gt;&lt;title&gt;New Zealand’s First Biennial Transparency Report under the Paris Agreement&lt;/title&gt;&lt;/titles&gt;&lt;keywords&gt;&lt;keyword&gt;ETS26&lt;/keyword&gt;&lt;/keywords&gt;&lt;dates&gt;&lt;year&gt;2024&lt;/year&gt;&lt;/dates&gt;&lt;publisher&gt;Ministry for the Environment&lt;/publisher&gt;&lt;urls&gt;&lt;related-urls&gt;&lt;url&gt;https://environment.govt.nz/publications/new-zealands-first-biennial-transparency-report-under-the-paris-agreement/&lt;/url&gt;&lt;/related-urls&gt;&lt;/urls&gt;&lt;/record&gt;&lt;/Cite&gt;&lt;/EndNote&gt;</w:instrText>
            </w:r>
            <w:r w:rsidR="00DD79E0">
              <w:rPr>
                <w:rFonts w:cs="Calibri"/>
                <w:b/>
                <w:bCs/>
                <w:sz w:val="22"/>
                <w:szCs w:val="22"/>
                <w:lang w:val="en-GB"/>
              </w:rPr>
              <w:fldChar w:fldCharType="separate"/>
            </w:r>
            <w:r w:rsidR="00DD79E0" w:rsidRPr="00DD79E0">
              <w:rPr>
                <w:rFonts w:cs="Calibri"/>
                <w:b/>
                <w:bCs/>
                <w:noProof/>
                <w:sz w:val="22"/>
                <w:szCs w:val="22"/>
                <w:vertAlign w:val="superscript"/>
                <w:lang w:val="en-GB"/>
              </w:rPr>
              <w:t>3</w:t>
            </w:r>
            <w:r w:rsidR="00DD79E0">
              <w:rPr>
                <w:rFonts w:cs="Calibri"/>
                <w:b/>
                <w:bCs/>
                <w:sz w:val="22"/>
                <w:szCs w:val="22"/>
                <w:lang w:val="en-GB"/>
              </w:rPr>
              <w:fldChar w:fldCharType="end"/>
            </w:r>
          </w:p>
        </w:tc>
        <w:tc>
          <w:tcPr>
            <w:tcW w:w="2896" w:type="dxa"/>
            <w:shd w:val="clear" w:color="auto" w:fill="003A5D"/>
          </w:tcPr>
          <w:p w14:paraId="13AAE121" w14:textId="77777777" w:rsidR="00A16277" w:rsidRPr="00A16277" w:rsidRDefault="00A16277" w:rsidP="00881173">
            <w:pPr>
              <w:spacing w:before="60" w:after="60" w:line="252" w:lineRule="auto"/>
              <w:rPr>
                <w:rFonts w:cs="Calibri"/>
                <w:b/>
                <w:bCs/>
                <w:sz w:val="22"/>
                <w:szCs w:val="22"/>
                <w:lang w:val="en-GB"/>
              </w:rPr>
            </w:pPr>
            <w:r w:rsidRPr="00A16277">
              <w:rPr>
                <w:rFonts w:cs="Calibri"/>
                <w:b/>
                <w:bCs/>
                <w:sz w:val="22"/>
                <w:szCs w:val="22"/>
                <w:lang w:val="en-GB"/>
              </w:rPr>
              <w:t>Target accounting</w:t>
            </w:r>
          </w:p>
        </w:tc>
        <w:tc>
          <w:tcPr>
            <w:tcW w:w="3006" w:type="dxa"/>
            <w:shd w:val="clear" w:color="auto" w:fill="003A5D"/>
          </w:tcPr>
          <w:p w14:paraId="1D8B67C9" w14:textId="77777777" w:rsidR="00A16277" w:rsidRPr="00A16277" w:rsidRDefault="00A16277" w:rsidP="00881173">
            <w:pPr>
              <w:spacing w:before="60" w:after="60" w:line="252" w:lineRule="auto"/>
              <w:rPr>
                <w:rFonts w:cs="Calibri"/>
                <w:b/>
                <w:bCs/>
                <w:sz w:val="22"/>
                <w:szCs w:val="22"/>
                <w:lang w:val="en-GB"/>
              </w:rPr>
            </w:pPr>
            <w:r w:rsidRPr="00A16277">
              <w:rPr>
                <w:rFonts w:cs="Calibri"/>
                <w:b/>
                <w:bCs/>
                <w:sz w:val="22"/>
                <w:szCs w:val="22"/>
                <w:lang w:val="en-GB"/>
              </w:rPr>
              <w:t>NZ ETS accounting</w:t>
            </w:r>
          </w:p>
        </w:tc>
      </w:tr>
      <w:tr w:rsidR="00A16277" w:rsidRPr="00A16277" w14:paraId="4227C37D" w14:textId="77777777" w:rsidTr="00A16277">
        <w:tc>
          <w:tcPr>
            <w:tcW w:w="3114" w:type="dxa"/>
            <w:vMerge w:val="restart"/>
            <w:shd w:val="clear" w:color="auto" w:fill="C1DCD5"/>
          </w:tcPr>
          <w:p w14:paraId="4F47158B" w14:textId="77777777" w:rsidR="00A16277" w:rsidRPr="00A16277" w:rsidRDefault="00A16277" w:rsidP="00881173">
            <w:pPr>
              <w:pStyle w:val="TableParagraph"/>
              <w:spacing w:before="60" w:after="60" w:line="252" w:lineRule="auto"/>
            </w:pPr>
            <w:r w:rsidRPr="00A16277">
              <w:t>Net emissions from the growth of post-1989 forests</w:t>
            </w:r>
          </w:p>
        </w:tc>
        <w:tc>
          <w:tcPr>
            <w:tcW w:w="2896" w:type="dxa"/>
            <w:shd w:val="clear" w:color="auto" w:fill="D4E8DE"/>
          </w:tcPr>
          <w:p w14:paraId="75125E51" w14:textId="77777777" w:rsidR="00A16277" w:rsidRPr="00540D21" w:rsidRDefault="00A16277" w:rsidP="00881173">
            <w:pPr>
              <w:pStyle w:val="TableParagraph"/>
              <w:spacing w:before="60" w:after="60" w:line="252" w:lineRule="auto"/>
            </w:pPr>
            <w:r w:rsidRPr="00540D21">
              <w:t>Accounted using averaging approach: emissions and removals are accounted for until the forests attain their long-term average carbon stock.</w:t>
            </w:r>
          </w:p>
          <w:p w14:paraId="5CB94E0C" w14:textId="77777777" w:rsidR="00A16277" w:rsidRPr="00A16277" w:rsidRDefault="00A16277" w:rsidP="00881173">
            <w:pPr>
              <w:pStyle w:val="TableParagraph"/>
              <w:spacing w:before="60" w:after="60" w:line="252" w:lineRule="auto"/>
            </w:pPr>
          </w:p>
          <w:p w14:paraId="4BF40FAE" w14:textId="77777777" w:rsidR="00A16277" w:rsidRPr="00A16277" w:rsidRDefault="00A16277" w:rsidP="00881173">
            <w:pPr>
              <w:pStyle w:val="TableParagraph"/>
              <w:spacing w:before="60" w:after="60" w:line="252" w:lineRule="auto"/>
            </w:pPr>
          </w:p>
        </w:tc>
        <w:tc>
          <w:tcPr>
            <w:tcW w:w="3006" w:type="dxa"/>
            <w:shd w:val="clear" w:color="auto" w:fill="D4E8DE"/>
          </w:tcPr>
          <w:p w14:paraId="6D0A6092" w14:textId="5F4CA2FE" w:rsidR="00A16277" w:rsidRPr="00A16277" w:rsidRDefault="00A16277" w:rsidP="00881173">
            <w:pPr>
              <w:pStyle w:val="TableParagraph"/>
              <w:spacing w:before="60" w:after="60" w:line="252" w:lineRule="auto"/>
            </w:pPr>
            <w:r w:rsidRPr="00A16277">
              <w:t xml:space="preserve">Forests registered from 2023 must choose between averaging or permanent forestry category. Forests registered </w:t>
            </w:r>
            <w:r w:rsidR="00635D84">
              <w:t>before 2019 are all on stock change accounting, while those that registered into the NZ ETS</w:t>
            </w:r>
            <w:r w:rsidRPr="00A16277">
              <w:t xml:space="preserve"> </w:t>
            </w:r>
            <w:r w:rsidR="00082B83">
              <w:t>between</w:t>
            </w:r>
            <w:r w:rsidR="001A3B62">
              <w:t xml:space="preserve"> 2019 </w:t>
            </w:r>
            <w:r w:rsidR="00082B83">
              <w:t>to</w:t>
            </w:r>
            <w:r w:rsidR="000D6C05">
              <w:t xml:space="preserve"> 2022 </w:t>
            </w:r>
            <w:r w:rsidR="00D24B62">
              <w:t>may be on stock c</w:t>
            </w:r>
            <w:r w:rsidR="00C8250B">
              <w:t>hange or averaging</w:t>
            </w:r>
            <w:r w:rsidR="006955A0">
              <w:t xml:space="preserve">, as in 2023 they had </w:t>
            </w:r>
            <w:r w:rsidR="007D5D8B">
              <w:t xml:space="preserve">an opportunity </w:t>
            </w:r>
            <w:r w:rsidR="00035F84">
              <w:t xml:space="preserve">to choose </w:t>
            </w:r>
            <w:r w:rsidR="00633F27">
              <w:t xml:space="preserve">whether to </w:t>
            </w:r>
            <w:r w:rsidRPr="00A16277">
              <w:t xml:space="preserve">continue on </w:t>
            </w:r>
            <w:r w:rsidR="000F3163">
              <w:t xml:space="preserve">the </w:t>
            </w:r>
            <w:r w:rsidRPr="00A16277">
              <w:t>stock change approach</w:t>
            </w:r>
            <w:r w:rsidR="00E65CDB">
              <w:t>,</w:t>
            </w:r>
            <w:r w:rsidRPr="00A16277">
              <w:t xml:space="preserve"> or switch to averaging or permanent.</w:t>
            </w:r>
          </w:p>
        </w:tc>
      </w:tr>
      <w:tr w:rsidR="00A16277" w:rsidRPr="00A16277" w14:paraId="026E91AB" w14:textId="77777777" w:rsidTr="00685C4D">
        <w:tc>
          <w:tcPr>
            <w:tcW w:w="3114" w:type="dxa"/>
            <w:vMerge/>
            <w:shd w:val="clear" w:color="auto" w:fill="C1DCD5"/>
          </w:tcPr>
          <w:p w14:paraId="0A837565" w14:textId="77777777" w:rsidR="00A16277" w:rsidRPr="00A16277" w:rsidRDefault="00A16277" w:rsidP="005222CB">
            <w:pPr>
              <w:pStyle w:val="TableParagraph"/>
              <w:spacing w:before="60" w:after="60" w:line="252" w:lineRule="auto"/>
            </w:pPr>
          </w:p>
        </w:tc>
        <w:tc>
          <w:tcPr>
            <w:tcW w:w="2896" w:type="dxa"/>
            <w:shd w:val="clear" w:color="auto" w:fill="D4E8DE"/>
          </w:tcPr>
          <w:p w14:paraId="703B5524" w14:textId="77777777" w:rsidR="00A16277" w:rsidRPr="00A16277" w:rsidRDefault="00A16277" w:rsidP="005222CB">
            <w:pPr>
              <w:pStyle w:val="TableParagraph"/>
              <w:spacing w:before="60" w:after="60" w:line="252" w:lineRule="auto"/>
            </w:pPr>
            <w:r w:rsidRPr="00A16277">
              <w:t>Carbon yield tables (average carbon stored by forest age) derived from national plot network through the LUCAS system.</w:t>
            </w:r>
          </w:p>
        </w:tc>
        <w:tc>
          <w:tcPr>
            <w:tcW w:w="3006" w:type="dxa"/>
            <w:shd w:val="clear" w:color="auto" w:fill="D4E8DE"/>
          </w:tcPr>
          <w:p w14:paraId="2F3E41C9" w14:textId="77777777" w:rsidR="00A16277" w:rsidRPr="00A16277" w:rsidRDefault="00A16277" w:rsidP="005222CB">
            <w:pPr>
              <w:pStyle w:val="TableParagraph"/>
              <w:spacing w:before="60" w:after="60" w:line="252" w:lineRule="auto"/>
            </w:pPr>
            <w:r w:rsidRPr="00A16277">
              <w:t>Carbon yield tables for larger forests (100 ha or more) measured using field measurement approach; smaller forests use default lookup tables.</w:t>
            </w:r>
          </w:p>
        </w:tc>
      </w:tr>
      <w:tr w:rsidR="00A16277" w:rsidRPr="00A16277" w14:paraId="73649B59" w14:textId="77777777" w:rsidTr="00F541E3">
        <w:tc>
          <w:tcPr>
            <w:tcW w:w="3114" w:type="dxa"/>
            <w:vMerge w:val="restart"/>
            <w:shd w:val="clear" w:color="auto" w:fill="C1DCD5"/>
          </w:tcPr>
          <w:p w14:paraId="66D6F1D5" w14:textId="77777777" w:rsidR="00A16277" w:rsidRPr="00A16277" w:rsidRDefault="00A16277" w:rsidP="005222CB">
            <w:pPr>
              <w:pStyle w:val="TableParagraph"/>
              <w:spacing w:before="60" w:after="60" w:line="252" w:lineRule="auto"/>
            </w:pPr>
            <w:r w:rsidRPr="00A16277">
              <w:t>Emissions from the decay of post-1989 forest harvest residues</w:t>
            </w:r>
          </w:p>
        </w:tc>
        <w:tc>
          <w:tcPr>
            <w:tcW w:w="2896" w:type="dxa"/>
            <w:shd w:val="clear" w:color="auto" w:fill="E9F5F2"/>
          </w:tcPr>
          <w:p w14:paraId="5F0878BB" w14:textId="77777777" w:rsidR="00A16277" w:rsidRPr="00A16277" w:rsidRDefault="00A16277" w:rsidP="005222CB">
            <w:pPr>
              <w:pStyle w:val="TableParagraph"/>
              <w:spacing w:before="60" w:after="60" w:line="252" w:lineRule="auto"/>
            </w:pPr>
            <w:r w:rsidRPr="00A16277">
              <w:t>Included in long-term average carbon stock.</w:t>
            </w:r>
          </w:p>
        </w:tc>
        <w:tc>
          <w:tcPr>
            <w:tcW w:w="3006" w:type="dxa"/>
            <w:shd w:val="clear" w:color="auto" w:fill="E9F5F2"/>
          </w:tcPr>
          <w:p w14:paraId="630C948B" w14:textId="77777777" w:rsidR="00A16277" w:rsidRPr="00A16277" w:rsidRDefault="00A16277" w:rsidP="005222CB">
            <w:pPr>
              <w:pStyle w:val="TableParagraph"/>
              <w:spacing w:before="60" w:after="60" w:line="252" w:lineRule="auto"/>
            </w:pPr>
            <w:r w:rsidRPr="00A16277">
              <w:t>Stock change: Included.</w:t>
            </w:r>
          </w:p>
          <w:p w14:paraId="74AB86F0" w14:textId="77777777" w:rsidR="00A16277" w:rsidRPr="00A16277" w:rsidRDefault="00A16277" w:rsidP="005222CB">
            <w:pPr>
              <w:pStyle w:val="TableParagraph"/>
              <w:spacing w:before="60" w:after="60" w:line="252" w:lineRule="auto"/>
            </w:pPr>
            <w:r w:rsidRPr="00A16277">
              <w:t>Averaging: Included in long-term average carbon stock.</w:t>
            </w:r>
          </w:p>
        </w:tc>
      </w:tr>
      <w:tr w:rsidR="00A16277" w:rsidRPr="00A16277" w14:paraId="6E1DE537" w14:textId="77777777" w:rsidTr="00A16277">
        <w:tc>
          <w:tcPr>
            <w:tcW w:w="3114" w:type="dxa"/>
            <w:vMerge/>
            <w:shd w:val="clear" w:color="auto" w:fill="C1DCD5"/>
          </w:tcPr>
          <w:p w14:paraId="75A89067" w14:textId="77777777" w:rsidR="00A16277" w:rsidRPr="00A16277" w:rsidRDefault="00A16277" w:rsidP="005222CB">
            <w:pPr>
              <w:pStyle w:val="TableParagraph"/>
              <w:spacing w:before="60" w:after="60" w:line="252" w:lineRule="auto"/>
            </w:pPr>
          </w:p>
        </w:tc>
        <w:tc>
          <w:tcPr>
            <w:tcW w:w="5902" w:type="dxa"/>
            <w:gridSpan w:val="2"/>
            <w:shd w:val="clear" w:color="auto" w:fill="E9F5F2"/>
          </w:tcPr>
          <w:p w14:paraId="5EB8AEFC" w14:textId="77777777" w:rsidR="00A16277" w:rsidRPr="00A16277" w:rsidRDefault="00A16277" w:rsidP="005222CB">
            <w:pPr>
              <w:pStyle w:val="TableParagraph"/>
              <w:spacing w:before="60" w:after="60" w:line="252" w:lineRule="auto"/>
            </w:pPr>
            <w:r w:rsidRPr="00A16277">
              <w:t>Different decay profiles assumed.</w:t>
            </w:r>
          </w:p>
        </w:tc>
      </w:tr>
      <w:tr w:rsidR="00A16277" w:rsidRPr="00A16277" w14:paraId="1622F17F" w14:textId="77777777" w:rsidTr="00A16277">
        <w:tc>
          <w:tcPr>
            <w:tcW w:w="3114" w:type="dxa"/>
            <w:shd w:val="clear" w:color="auto" w:fill="C1DCD5"/>
          </w:tcPr>
          <w:p w14:paraId="0BEF6FDC" w14:textId="77777777" w:rsidR="00A16277" w:rsidRPr="00A16277" w:rsidRDefault="00A16277" w:rsidP="005222CB">
            <w:pPr>
              <w:pStyle w:val="TableParagraph"/>
              <w:spacing w:before="60" w:after="60" w:line="252" w:lineRule="auto"/>
            </w:pPr>
            <w:r w:rsidRPr="00A16277">
              <w:t>Emissions and removals from harvested wood products derived from post-1989 forests</w:t>
            </w:r>
          </w:p>
        </w:tc>
        <w:tc>
          <w:tcPr>
            <w:tcW w:w="2896" w:type="dxa"/>
            <w:shd w:val="clear" w:color="auto" w:fill="D4E8DE"/>
          </w:tcPr>
          <w:p w14:paraId="7BA30E94" w14:textId="77777777" w:rsidR="00A16277" w:rsidRPr="00A16277" w:rsidRDefault="00A16277" w:rsidP="005222CB">
            <w:pPr>
              <w:pStyle w:val="TableParagraph"/>
              <w:spacing w:before="60" w:after="60" w:line="252" w:lineRule="auto"/>
            </w:pPr>
            <w:r w:rsidRPr="00A16277">
              <w:t>Included in long-term average carbon stock.</w:t>
            </w:r>
          </w:p>
        </w:tc>
        <w:tc>
          <w:tcPr>
            <w:tcW w:w="3006" w:type="dxa"/>
            <w:shd w:val="clear" w:color="auto" w:fill="D4E8DE"/>
          </w:tcPr>
          <w:p w14:paraId="397344CB" w14:textId="77777777" w:rsidR="00A16277" w:rsidRPr="00A16277" w:rsidRDefault="00A16277" w:rsidP="005222CB">
            <w:pPr>
              <w:pStyle w:val="TableParagraph"/>
              <w:spacing w:before="60" w:after="60" w:line="252" w:lineRule="auto"/>
            </w:pPr>
            <w:r w:rsidRPr="00A16277">
              <w:t>Not accounted.</w:t>
            </w:r>
          </w:p>
        </w:tc>
      </w:tr>
      <w:tr w:rsidR="00A16277" w:rsidRPr="00A16277" w14:paraId="39D6F30D" w14:textId="77777777" w:rsidTr="00A16277">
        <w:tc>
          <w:tcPr>
            <w:tcW w:w="3114" w:type="dxa"/>
            <w:shd w:val="clear" w:color="auto" w:fill="C1DCD5"/>
          </w:tcPr>
          <w:p w14:paraId="55974F21" w14:textId="77777777" w:rsidR="00A16277" w:rsidRPr="00A16277" w:rsidRDefault="00A16277" w:rsidP="005222CB">
            <w:pPr>
              <w:pStyle w:val="TableParagraph"/>
              <w:spacing w:before="60" w:after="60" w:line="252" w:lineRule="auto"/>
            </w:pPr>
            <w:r w:rsidRPr="00A16277">
              <w:t>Emissions from the conversion of land to post-1989 forest (biomass losses from previous land use and soil carbon changes)</w:t>
            </w:r>
          </w:p>
          <w:p w14:paraId="28C39575" w14:textId="77777777" w:rsidR="00A16277" w:rsidRPr="00A16277" w:rsidRDefault="00A16277" w:rsidP="005222CB">
            <w:pPr>
              <w:pStyle w:val="TableParagraph"/>
              <w:spacing w:before="60" w:after="60" w:line="252" w:lineRule="auto"/>
            </w:pPr>
          </w:p>
        </w:tc>
        <w:tc>
          <w:tcPr>
            <w:tcW w:w="2896" w:type="dxa"/>
            <w:shd w:val="clear" w:color="auto" w:fill="E9F5F2"/>
          </w:tcPr>
          <w:p w14:paraId="724975A1" w14:textId="77777777" w:rsidR="00A16277" w:rsidRPr="00A16277" w:rsidRDefault="00A16277" w:rsidP="005222CB">
            <w:pPr>
              <w:pStyle w:val="TableParagraph"/>
              <w:spacing w:before="60" w:after="60" w:line="252" w:lineRule="auto"/>
            </w:pPr>
            <w:r w:rsidRPr="00A16277">
              <w:t>Accounted separately from long-term average carbon stock.</w:t>
            </w:r>
          </w:p>
        </w:tc>
        <w:tc>
          <w:tcPr>
            <w:tcW w:w="3006" w:type="dxa"/>
            <w:shd w:val="clear" w:color="auto" w:fill="E9F5F2"/>
          </w:tcPr>
          <w:p w14:paraId="07329050" w14:textId="77777777" w:rsidR="00A16277" w:rsidRPr="00A16277" w:rsidRDefault="00A16277" w:rsidP="005222CB">
            <w:pPr>
              <w:pStyle w:val="TableParagraph"/>
              <w:spacing w:before="60" w:after="60" w:line="252" w:lineRule="auto"/>
            </w:pPr>
            <w:r w:rsidRPr="00A16277">
              <w:t>Not accounted.</w:t>
            </w:r>
          </w:p>
        </w:tc>
      </w:tr>
      <w:tr w:rsidR="00A16277" w:rsidRPr="00A16277" w14:paraId="773BD6F1" w14:textId="77777777" w:rsidTr="00A16277">
        <w:tc>
          <w:tcPr>
            <w:tcW w:w="3114" w:type="dxa"/>
            <w:shd w:val="clear" w:color="auto" w:fill="C1DCD5"/>
          </w:tcPr>
          <w:p w14:paraId="06371716" w14:textId="77777777" w:rsidR="00A16277" w:rsidRPr="00A16277" w:rsidRDefault="00A16277" w:rsidP="005222CB">
            <w:pPr>
              <w:pStyle w:val="TableParagraph"/>
              <w:spacing w:before="60" w:after="60" w:line="252" w:lineRule="auto"/>
            </w:pPr>
            <w:r w:rsidRPr="00A16277">
              <w:t>Carbon dioxide emissions from biomass burning</w:t>
            </w:r>
          </w:p>
        </w:tc>
        <w:tc>
          <w:tcPr>
            <w:tcW w:w="2896" w:type="dxa"/>
            <w:shd w:val="clear" w:color="auto" w:fill="D4E8DE"/>
          </w:tcPr>
          <w:p w14:paraId="0A7D66E9" w14:textId="77777777" w:rsidR="00A16277" w:rsidRPr="00A16277" w:rsidRDefault="00A16277" w:rsidP="005222CB">
            <w:pPr>
              <w:pStyle w:val="TableParagraph"/>
              <w:spacing w:before="60" w:after="60" w:line="252" w:lineRule="auto"/>
            </w:pPr>
            <w:r w:rsidRPr="00A16277">
              <w:t>Accounted separately from long-term average carbon stock.</w:t>
            </w:r>
          </w:p>
        </w:tc>
        <w:tc>
          <w:tcPr>
            <w:tcW w:w="3006" w:type="dxa"/>
            <w:shd w:val="clear" w:color="auto" w:fill="D4E8DE"/>
          </w:tcPr>
          <w:p w14:paraId="07E1A9CD" w14:textId="77777777" w:rsidR="00A16277" w:rsidRPr="00A16277" w:rsidRDefault="00A16277" w:rsidP="005222CB">
            <w:pPr>
              <w:pStyle w:val="TableParagraph"/>
              <w:spacing w:before="60" w:after="60" w:line="252" w:lineRule="auto"/>
            </w:pPr>
            <w:r w:rsidRPr="00A16277">
              <w:t>Not accounted.</w:t>
            </w:r>
          </w:p>
        </w:tc>
      </w:tr>
    </w:tbl>
    <w:p w14:paraId="650ED853" w14:textId="462BC1B7" w:rsidR="004910C7" w:rsidRDefault="007D7597" w:rsidP="007D7597">
      <w:pPr>
        <w:pStyle w:val="Heading3"/>
      </w:pPr>
      <w:bookmarkStart w:id="14" w:name="_Toc227580410"/>
      <w:r>
        <w:t>Averaging, stock change, and permanent forestry</w:t>
      </w:r>
      <w:bookmarkEnd w:id="14"/>
    </w:p>
    <w:p w14:paraId="579FD657" w14:textId="4EFA5991" w:rsidR="007D7597" w:rsidRDefault="007D7597" w:rsidP="007D7597">
      <w:pPr>
        <w:pStyle w:val="Heading4"/>
      </w:pPr>
      <w:r>
        <w:t>Averaging approach</w:t>
      </w:r>
    </w:p>
    <w:p w14:paraId="28FFF183" w14:textId="33B5B880" w:rsidR="003931F4" w:rsidRDefault="003931F4" w:rsidP="003931F4">
      <w:pPr>
        <w:pStyle w:val="BodyText"/>
      </w:pPr>
      <w:r>
        <w:t>Under averaging</w:t>
      </w:r>
      <w:r w:rsidR="001A0C72">
        <w:t xml:space="preserve"> in target accounting</w:t>
      </w:r>
      <w:r>
        <w:t xml:space="preserve">, emissions and removals are accounted for until the age at which forests attain their long-term average carbon stock. After this point, no further emissions and removals are </w:t>
      </w:r>
      <w:r w:rsidR="000B09EA">
        <w:t xml:space="preserve">recorded </w:t>
      </w:r>
      <w:r>
        <w:t xml:space="preserve">if the forest is replanted after harvest. </w:t>
      </w:r>
    </w:p>
    <w:p w14:paraId="555AA538" w14:textId="7DE0F34C" w:rsidR="007D7597" w:rsidRDefault="003931F4" w:rsidP="003931F4">
      <w:pPr>
        <w:pStyle w:val="BodyText"/>
      </w:pPr>
      <w:r>
        <w:t>Averaging in the NZ ETS operates similarly. The main difference is that emissions from harvested wood products are not covered by the NZ ETS, and therefore not included in the forests’ long-term average carbon stock. This means the ‘average age’ – the age at which forests attain their long-term average carbon stock – is several years lower compared with under target accounting (Table 3).</w:t>
      </w:r>
    </w:p>
    <w:p w14:paraId="355A85FD" w14:textId="4385D86C" w:rsidR="001D1559" w:rsidRDefault="001D1559" w:rsidP="00FB1796">
      <w:pPr>
        <w:pStyle w:val="FigureTabletitle"/>
      </w:pPr>
      <w:r>
        <w:t xml:space="preserve">Table </w:t>
      </w:r>
      <w:r>
        <w:fldChar w:fldCharType="begin"/>
      </w:r>
      <w:r>
        <w:instrText xml:space="preserve"> SEQ Table \* ARABIC </w:instrText>
      </w:r>
      <w:r>
        <w:fldChar w:fldCharType="separate"/>
      </w:r>
      <w:r w:rsidR="00792161">
        <w:rPr>
          <w:noProof/>
        </w:rPr>
        <w:t>3</w:t>
      </w:r>
      <w:r>
        <w:fldChar w:fldCharType="end"/>
      </w:r>
      <w:r w:rsidR="00FB1796">
        <w:t xml:space="preserve">: </w:t>
      </w:r>
      <w:r w:rsidR="00FB1796" w:rsidRPr="00FB1796">
        <w:t>Average age at which long term carbon stock is reached, by forest type</w:t>
      </w:r>
    </w:p>
    <w:tbl>
      <w:tblPr>
        <w:tblStyle w:val="TableGrid3"/>
        <w:tblW w:w="93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83"/>
        <w:gridCol w:w="2268"/>
      </w:tblGrid>
      <w:tr w:rsidR="001D1559" w:rsidRPr="001D1559" w14:paraId="5E8251C0" w14:textId="77777777" w:rsidTr="001D1559">
        <w:tc>
          <w:tcPr>
            <w:tcW w:w="7083" w:type="dxa"/>
            <w:shd w:val="clear" w:color="auto" w:fill="003A5D"/>
            <w:vAlign w:val="center"/>
          </w:tcPr>
          <w:p w14:paraId="1F839CBD" w14:textId="77777777" w:rsidR="001D1559" w:rsidRPr="001D1559" w:rsidRDefault="001D1559" w:rsidP="0086123C">
            <w:pPr>
              <w:pStyle w:val="Tableheading"/>
              <w:rPr>
                <w:rFonts w:cs="Calibri"/>
                <w:lang w:val="en-GB"/>
              </w:rPr>
            </w:pPr>
            <w:r w:rsidRPr="006E59CC">
              <w:t>Forest type/species</w:t>
            </w:r>
          </w:p>
        </w:tc>
        <w:tc>
          <w:tcPr>
            <w:tcW w:w="2268" w:type="dxa"/>
            <w:shd w:val="clear" w:color="auto" w:fill="003A5D"/>
            <w:vAlign w:val="center"/>
          </w:tcPr>
          <w:p w14:paraId="1720C06A" w14:textId="77777777" w:rsidR="001D1559" w:rsidRPr="001D1559" w:rsidRDefault="001D1559" w:rsidP="0086123C">
            <w:pPr>
              <w:pStyle w:val="Tableheading"/>
              <w:rPr>
                <w:rFonts w:cs="Calibri"/>
                <w:lang w:val="en-GB"/>
              </w:rPr>
            </w:pPr>
            <w:r w:rsidRPr="006E59CC">
              <w:t>Average age</w:t>
            </w:r>
          </w:p>
        </w:tc>
      </w:tr>
      <w:tr w:rsidR="001D1559" w:rsidRPr="001D1559" w14:paraId="001EBCE1" w14:textId="77777777" w:rsidTr="001D1559">
        <w:tc>
          <w:tcPr>
            <w:tcW w:w="9351" w:type="dxa"/>
            <w:gridSpan w:val="2"/>
            <w:shd w:val="clear" w:color="auto" w:fill="003A5D"/>
          </w:tcPr>
          <w:p w14:paraId="48870D87" w14:textId="689B6E83" w:rsidR="001D1559" w:rsidRPr="00540D21" w:rsidRDefault="001D1559" w:rsidP="0086123C">
            <w:pPr>
              <w:pStyle w:val="TableParagraph"/>
            </w:pPr>
            <w:r w:rsidRPr="006E59CC">
              <w:t>Target accounting</w:t>
            </w:r>
            <w:r w:rsidR="00AE5EFC">
              <w:fldChar w:fldCharType="begin"/>
            </w:r>
            <w:r w:rsidR="002D7255">
              <w:instrText xml:space="preserve"> ADDIN EN.CITE &lt;EndNote&gt;&lt;Cite&gt;&lt;Author&gt;Ministry for the Environment&lt;/Author&gt;&lt;Year&gt;2024&lt;/Year&gt;&lt;RecNum&gt;404&lt;/RecNum&gt;&lt;Pages&gt;366&lt;/Pages&gt;&lt;DisplayText&gt;&lt;style face="superscript"&gt;3&lt;/style&gt;&lt;/DisplayText&gt;&lt;record&gt;&lt;rec-number&gt;404&lt;/rec-number&gt;&lt;foreign-keys&gt;&lt;key app="EN" db-id="fwvex5fabdwzs9e9rwa55p5bvws5v2dex2zs" timestamp="1770930463" guid="1e9f7968-951e-410b-9837-75ab6690456c"&gt;404&lt;/key&gt;&lt;/foreign-keys&gt;&lt;ref-type name="Report"&gt;27&lt;/ref-type&gt;&lt;contributors&gt;&lt;authors&gt;&lt;author&gt;Ministry for the Environment,&lt;/author&gt;&lt;/authors&gt;&lt;/contributors&gt;&lt;titles&gt;&lt;title&gt;New Zealand’s First Biennial Transparency Report under the Paris Agreement&lt;/title&gt;&lt;/titles&gt;&lt;keywords&gt;&lt;keyword&gt;ETS26&lt;/keyword&gt;&lt;/keywords&gt;&lt;dates&gt;&lt;year&gt;2024&lt;/year&gt;&lt;/dates&gt;&lt;publisher&gt;Ministry for the Environment&lt;/publisher&gt;&lt;urls&gt;&lt;related-urls&gt;&lt;url&gt;https://environment.govt.nz/publications/new-zealands-first-biennial-transparency-report-under-the-paris-agreement/&lt;/url&gt;&lt;/related-urls&gt;&lt;/urls&gt;&lt;/record&gt;&lt;/Cite&gt;&lt;/EndNote&gt;</w:instrText>
            </w:r>
            <w:r w:rsidR="00AE5EFC">
              <w:fldChar w:fldCharType="separate"/>
            </w:r>
            <w:r w:rsidR="00AE5EFC" w:rsidRPr="00AE5EFC">
              <w:rPr>
                <w:noProof/>
                <w:vertAlign w:val="superscript"/>
              </w:rPr>
              <w:t>3</w:t>
            </w:r>
            <w:r w:rsidR="00AE5EFC">
              <w:fldChar w:fldCharType="end"/>
            </w:r>
          </w:p>
        </w:tc>
      </w:tr>
      <w:tr w:rsidR="001D1559" w:rsidRPr="001D1559" w14:paraId="443AC15F" w14:textId="77777777" w:rsidTr="001D1559">
        <w:tc>
          <w:tcPr>
            <w:tcW w:w="7083" w:type="dxa"/>
            <w:shd w:val="clear" w:color="auto" w:fill="C1DCD5"/>
          </w:tcPr>
          <w:p w14:paraId="3640A622" w14:textId="77777777" w:rsidR="001D1559" w:rsidRPr="00540D21" w:rsidRDefault="001D1559" w:rsidP="0086123C">
            <w:pPr>
              <w:pStyle w:val="TableParagraph"/>
            </w:pPr>
            <w:r w:rsidRPr="00540D21">
              <w:rPr>
                <w:b/>
              </w:rPr>
              <w:t>Post-1989 rotational planted forests</w:t>
            </w:r>
            <w:r w:rsidRPr="00540D21">
              <w:t xml:space="preserve"> (weighted average across all species)</w:t>
            </w:r>
          </w:p>
        </w:tc>
        <w:tc>
          <w:tcPr>
            <w:tcW w:w="2268" w:type="dxa"/>
            <w:shd w:val="clear" w:color="auto" w:fill="E9F5F2"/>
          </w:tcPr>
          <w:p w14:paraId="69322823" w14:textId="5AE204AB" w:rsidR="001D1559" w:rsidRPr="00540D21" w:rsidRDefault="001D1559" w:rsidP="0086123C">
            <w:pPr>
              <w:pStyle w:val="TableParagraph"/>
            </w:pPr>
            <w:r w:rsidRPr="00540D21">
              <w:t>23</w:t>
            </w:r>
          </w:p>
        </w:tc>
      </w:tr>
      <w:tr w:rsidR="001D1559" w:rsidRPr="001D1559" w14:paraId="6CD09E79" w14:textId="77777777" w:rsidTr="001D1559">
        <w:tc>
          <w:tcPr>
            <w:tcW w:w="9351" w:type="dxa"/>
            <w:gridSpan w:val="2"/>
            <w:shd w:val="clear" w:color="auto" w:fill="003A5D"/>
          </w:tcPr>
          <w:p w14:paraId="1D19409E" w14:textId="20F5A6A2" w:rsidR="001D1559" w:rsidRPr="006E59CC" w:rsidRDefault="001D1559" w:rsidP="0086123C">
            <w:pPr>
              <w:pStyle w:val="TableParagraph"/>
            </w:pPr>
            <w:r w:rsidRPr="006E59CC">
              <w:t>NZ ETS</w:t>
            </w:r>
            <w:r w:rsidR="00AE5EFC">
              <w:fldChar w:fldCharType="begin"/>
            </w:r>
            <w:r w:rsidR="002D7255">
              <w:instrText xml:space="preserve"> ADDIN EN.CITE &lt;EndNote&gt;&lt;Cite ExcludeYear="1"&gt;&lt;Author&gt;Ministry for Primary Industries Manatu Ahu Matua&lt;/Author&gt;&lt;RecNum&gt;1587&lt;/RecNum&gt;&lt;DisplayText&gt;&lt;style face="superscript"&gt;4&lt;/style&gt;&lt;/DisplayText&gt;&lt;record&gt;&lt;rec-number&gt;1587&lt;/rec-number&gt;&lt;foreign-keys&gt;&lt;key app="EN" db-id="fwvex5fabdwzs9e9rwa55p5bvws5v2dex2zs" timestamp="1776718647" guid="a0a57f1e-4e56-40c1-a140-5faa3c8dc859"&gt;1587&lt;/key&gt;&lt;/foreign-keys&gt;&lt;ref-type name="Web Page"&gt;12&lt;/ref-type&gt;&lt;contributors&gt;&lt;authors&gt;&lt;author&gt;Ministry for Primary Industries Manatu Ahu Matua,&lt;/author&gt;&lt;/authors&gt;&lt;/contributors&gt;&lt;titles&gt;&lt;title&gt;Averaging accounting&lt;/title&gt;&lt;/titles&gt;&lt;number&gt;21 April 2026&lt;/number&gt;&lt;dates&gt;&lt;pub-dates&gt;&lt;date&gt;18 December 2025&lt;/date&gt;&lt;/pub-dates&gt;&lt;/dates&gt;&lt;urls&gt;&lt;related-urls&gt;&lt;url&gt;https://www.mpi.govt.nz/forestry/forestry-in-the-emissions-trading-scheme/emissions-returns-and-carbon-units-nzus-for-forestry/accounting-for-carbon-in-the-ets/averaging-accounting&lt;/url&gt;&lt;/related-urls&gt;&lt;/urls&gt;&lt;/record&gt;&lt;/Cite&gt;&lt;/EndNote&gt;</w:instrText>
            </w:r>
            <w:r w:rsidR="00AE5EFC">
              <w:fldChar w:fldCharType="separate"/>
            </w:r>
            <w:r w:rsidR="00AE5EFC" w:rsidRPr="00AE5EFC">
              <w:rPr>
                <w:noProof/>
                <w:vertAlign w:val="superscript"/>
              </w:rPr>
              <w:t>4</w:t>
            </w:r>
            <w:r w:rsidR="00AE5EFC">
              <w:fldChar w:fldCharType="end"/>
            </w:r>
          </w:p>
        </w:tc>
      </w:tr>
      <w:tr w:rsidR="001D1559" w:rsidRPr="001D1559" w14:paraId="230B193B" w14:textId="77777777" w:rsidTr="001D1559">
        <w:tc>
          <w:tcPr>
            <w:tcW w:w="7083" w:type="dxa"/>
            <w:shd w:val="clear" w:color="auto" w:fill="D4E8DE"/>
          </w:tcPr>
          <w:p w14:paraId="1A5C8730" w14:textId="77777777" w:rsidR="001D1559" w:rsidRPr="00540D21" w:rsidRDefault="001D1559" w:rsidP="0086123C">
            <w:pPr>
              <w:pStyle w:val="TableParagraph"/>
            </w:pPr>
            <w:r w:rsidRPr="00540D21">
              <w:t>Radiata pine</w:t>
            </w:r>
          </w:p>
        </w:tc>
        <w:tc>
          <w:tcPr>
            <w:tcW w:w="2268" w:type="dxa"/>
            <w:shd w:val="clear" w:color="auto" w:fill="E9F5F2"/>
          </w:tcPr>
          <w:p w14:paraId="6ABB0065" w14:textId="77777777" w:rsidR="001D1559" w:rsidRPr="00540D21" w:rsidRDefault="001D1559" w:rsidP="0086123C">
            <w:pPr>
              <w:pStyle w:val="TableParagraph"/>
            </w:pPr>
            <w:r w:rsidRPr="00540D21">
              <w:t>16</w:t>
            </w:r>
          </w:p>
        </w:tc>
      </w:tr>
      <w:tr w:rsidR="001D1559" w:rsidRPr="001D1559" w14:paraId="0DF267EB" w14:textId="77777777" w:rsidTr="001D1559">
        <w:tc>
          <w:tcPr>
            <w:tcW w:w="7083" w:type="dxa"/>
            <w:shd w:val="clear" w:color="auto" w:fill="D4E8DE"/>
          </w:tcPr>
          <w:p w14:paraId="7BD3AD8B" w14:textId="77777777" w:rsidR="001D1559" w:rsidRPr="00540D21" w:rsidRDefault="001D1559" w:rsidP="0086123C">
            <w:pPr>
              <w:pStyle w:val="TableParagraph"/>
            </w:pPr>
            <w:r w:rsidRPr="00540D21">
              <w:t>Douglas-fir</w:t>
            </w:r>
          </w:p>
        </w:tc>
        <w:tc>
          <w:tcPr>
            <w:tcW w:w="2268" w:type="dxa"/>
            <w:shd w:val="clear" w:color="auto" w:fill="E9F5F2"/>
          </w:tcPr>
          <w:p w14:paraId="02B5A7C8" w14:textId="77777777" w:rsidR="001D1559" w:rsidRPr="00540D21" w:rsidRDefault="001D1559" w:rsidP="0086123C">
            <w:pPr>
              <w:pStyle w:val="TableParagraph"/>
            </w:pPr>
            <w:r w:rsidRPr="00540D21">
              <w:t>26</w:t>
            </w:r>
          </w:p>
        </w:tc>
      </w:tr>
      <w:tr w:rsidR="001D1559" w:rsidRPr="001D1559" w14:paraId="3F3A24FB" w14:textId="77777777" w:rsidTr="001D1559">
        <w:tc>
          <w:tcPr>
            <w:tcW w:w="7083" w:type="dxa"/>
            <w:shd w:val="clear" w:color="auto" w:fill="D4E8DE"/>
          </w:tcPr>
          <w:p w14:paraId="2789680F" w14:textId="77777777" w:rsidR="001D1559" w:rsidRPr="00540D21" w:rsidRDefault="001D1559" w:rsidP="0086123C">
            <w:pPr>
              <w:pStyle w:val="TableParagraph"/>
            </w:pPr>
            <w:r w:rsidRPr="00540D21">
              <w:t>Exotic softwoods</w:t>
            </w:r>
          </w:p>
        </w:tc>
        <w:tc>
          <w:tcPr>
            <w:tcW w:w="2268" w:type="dxa"/>
            <w:shd w:val="clear" w:color="auto" w:fill="E9F5F2"/>
          </w:tcPr>
          <w:p w14:paraId="5D69CF14" w14:textId="77777777" w:rsidR="001D1559" w:rsidRPr="00540D21" w:rsidRDefault="001D1559" w:rsidP="0086123C">
            <w:pPr>
              <w:pStyle w:val="TableParagraph"/>
            </w:pPr>
            <w:r w:rsidRPr="00540D21">
              <w:t>22</w:t>
            </w:r>
          </w:p>
        </w:tc>
      </w:tr>
      <w:tr w:rsidR="001D1559" w:rsidRPr="001D1559" w14:paraId="70FD9371" w14:textId="77777777" w:rsidTr="001D1559">
        <w:tc>
          <w:tcPr>
            <w:tcW w:w="7083" w:type="dxa"/>
            <w:shd w:val="clear" w:color="auto" w:fill="D4E8DE"/>
          </w:tcPr>
          <w:p w14:paraId="34A98E8C" w14:textId="77777777" w:rsidR="001D1559" w:rsidRPr="00540D21" w:rsidRDefault="001D1559" w:rsidP="0086123C">
            <w:pPr>
              <w:pStyle w:val="TableParagraph"/>
            </w:pPr>
            <w:r w:rsidRPr="00540D21">
              <w:t>Exotic hardwoods</w:t>
            </w:r>
          </w:p>
        </w:tc>
        <w:tc>
          <w:tcPr>
            <w:tcW w:w="2268" w:type="dxa"/>
            <w:shd w:val="clear" w:color="auto" w:fill="E9F5F2"/>
          </w:tcPr>
          <w:p w14:paraId="67CE50C5" w14:textId="77777777" w:rsidR="001D1559" w:rsidRPr="00540D21" w:rsidRDefault="001D1559" w:rsidP="0086123C">
            <w:pPr>
              <w:pStyle w:val="TableParagraph"/>
            </w:pPr>
            <w:r w:rsidRPr="00540D21">
              <w:t>12</w:t>
            </w:r>
          </w:p>
        </w:tc>
      </w:tr>
      <w:tr w:rsidR="001D1559" w:rsidRPr="001D1559" w14:paraId="6F473A08" w14:textId="77777777" w:rsidTr="001D1559">
        <w:tc>
          <w:tcPr>
            <w:tcW w:w="7083" w:type="dxa"/>
            <w:shd w:val="clear" w:color="auto" w:fill="D4E8DE"/>
          </w:tcPr>
          <w:p w14:paraId="4B0E5C3F" w14:textId="77777777" w:rsidR="001D1559" w:rsidRPr="00540D21" w:rsidRDefault="001D1559" w:rsidP="0086123C">
            <w:pPr>
              <w:pStyle w:val="TableParagraph"/>
            </w:pPr>
            <w:r w:rsidRPr="00540D21">
              <w:t>Native (indigenous forests)</w:t>
            </w:r>
          </w:p>
        </w:tc>
        <w:tc>
          <w:tcPr>
            <w:tcW w:w="2268" w:type="dxa"/>
            <w:shd w:val="clear" w:color="auto" w:fill="E9F5F2"/>
          </w:tcPr>
          <w:p w14:paraId="00F5C305" w14:textId="74AFE8CE" w:rsidR="001D1559" w:rsidRPr="00540D21" w:rsidRDefault="001D1559" w:rsidP="0086123C">
            <w:pPr>
              <w:pStyle w:val="TableParagraph"/>
            </w:pPr>
            <w:r w:rsidRPr="00540D21">
              <w:t>23</w:t>
            </w:r>
          </w:p>
        </w:tc>
      </w:tr>
    </w:tbl>
    <w:p w14:paraId="10FFD73A" w14:textId="623C3A11" w:rsidR="003931F4" w:rsidRDefault="00D266FB" w:rsidP="00D266FB">
      <w:pPr>
        <w:pStyle w:val="Heading4"/>
      </w:pPr>
      <w:r>
        <w:t>Stock change approach</w:t>
      </w:r>
    </w:p>
    <w:p w14:paraId="69F702D6" w14:textId="77777777" w:rsidR="00F11BC9" w:rsidRDefault="00F11BC9" w:rsidP="00F11BC9">
      <w:pPr>
        <w:pStyle w:val="BodyText"/>
      </w:pPr>
      <w:r>
        <w:t>Under stock change accounting, annual emissions and removals continue to be accounted indefinitely based on calculations of the carbon stores in the forest at the time. Forests on stock change accounting in the NZ ETS earn NZUs each year up to the time of harvest but are then liable to surrender a portion of the NZUs earned over their first rotation, before starting to earn NZUs again during the second rotation. This means the NZUs foresters receive are a combination of:</w:t>
      </w:r>
    </w:p>
    <w:p w14:paraId="10D776A6" w14:textId="2F9721BC" w:rsidR="00F11BC9" w:rsidRDefault="4E457265" w:rsidP="00F11BC9">
      <w:pPr>
        <w:pStyle w:val="Bodybullets"/>
      </w:pPr>
      <w:r>
        <w:t>u</w:t>
      </w:r>
      <w:r w:rsidR="00F11BC9">
        <w:t>nits that will not need to be surrendered at harvest (‘low-risk units’), which can be safely sold to emitters so long as the forester does not intend to deforest</w:t>
      </w:r>
      <w:r w:rsidR="1E855BC0">
        <w:t>, and</w:t>
      </w:r>
    </w:p>
    <w:p w14:paraId="38E29031" w14:textId="53F60874" w:rsidR="00F11BC9" w:rsidRDefault="6771D315" w:rsidP="00F11BC9">
      <w:pPr>
        <w:pStyle w:val="Bodybullets"/>
      </w:pPr>
      <w:r>
        <w:t>u</w:t>
      </w:r>
      <w:r w:rsidR="00F11BC9">
        <w:t>nits that will need to be held to cover harvest liabilities.</w:t>
      </w:r>
    </w:p>
    <w:p w14:paraId="66C2682A" w14:textId="77777777" w:rsidR="00F11BC9" w:rsidRDefault="00F11BC9" w:rsidP="00F11BC9">
      <w:pPr>
        <w:pStyle w:val="BodyText"/>
      </w:pPr>
      <w:r>
        <w:t xml:space="preserve">The proportion of low-risk units will vary for different foresters depending on the makeup of their portfolio (particularly the different age classes of forests they own) and is uncertain at the overall estate level. </w:t>
      </w:r>
    </w:p>
    <w:p w14:paraId="1B688F23" w14:textId="57D346F3" w:rsidR="00D266FB" w:rsidRDefault="00F11BC9" w:rsidP="00F11BC9">
      <w:pPr>
        <w:pStyle w:val="BodyText"/>
      </w:pPr>
      <w:r>
        <w:t xml:space="preserve">When comparing removals under target accounting against NZUs </w:t>
      </w:r>
      <w:r w:rsidR="00515909">
        <w:t xml:space="preserve">allocated </w:t>
      </w:r>
      <w:r>
        <w:t>under stock change, it is the supply of low-risk units that matters</w:t>
      </w:r>
      <w:r w:rsidR="00FF5F62">
        <w:t xml:space="preserve">. </w:t>
      </w:r>
      <w:r w:rsidR="00C70706">
        <w:t>In the NZ ETS, t</w:t>
      </w:r>
      <w:r w:rsidR="00C900AE">
        <w:t xml:space="preserve">he low-risk units </w:t>
      </w:r>
      <w:r>
        <w:t xml:space="preserve">can be used to cover gross emissions </w:t>
      </w:r>
      <w:r w:rsidR="000C2931">
        <w:t>and</w:t>
      </w:r>
      <w:r w:rsidR="00727D3D">
        <w:t xml:space="preserve"> </w:t>
      </w:r>
      <w:r w:rsidR="00A773A3">
        <w:t xml:space="preserve">so </w:t>
      </w:r>
      <w:r w:rsidR="000C2931">
        <w:t xml:space="preserve">are </w:t>
      </w:r>
      <w:r w:rsidR="00BC11DD">
        <w:t xml:space="preserve">the </w:t>
      </w:r>
      <w:r w:rsidR="000C2931">
        <w:t>quantity of removals</w:t>
      </w:r>
      <w:r w:rsidR="00F15B28">
        <w:t xml:space="preserve"> relevant to compare to </w:t>
      </w:r>
      <w:r w:rsidR="00895986">
        <w:t>target accounting</w:t>
      </w:r>
      <w:r w:rsidR="00BC11DD">
        <w:t xml:space="preserve"> removals</w:t>
      </w:r>
      <w:r w:rsidR="00895986">
        <w:t xml:space="preserve">. </w:t>
      </w:r>
      <w:r>
        <w:t>The allocation and surrender of units with harvest liabilities</w:t>
      </w:r>
      <w:r w:rsidR="003B00FF">
        <w:t xml:space="preserve"> net out overall and so</w:t>
      </w:r>
      <w:r>
        <w:t xml:space="preserve"> should have no effect on target accounting net emissions.</w:t>
      </w:r>
    </w:p>
    <w:p w14:paraId="64A16CA6" w14:textId="1523CA11" w:rsidR="00F11BC9" w:rsidRDefault="00F11BC9" w:rsidP="00F11BC9">
      <w:pPr>
        <w:pStyle w:val="Heading4"/>
      </w:pPr>
      <w:r>
        <w:t>Permanent forestry</w:t>
      </w:r>
    </w:p>
    <w:p w14:paraId="176B5F98" w14:textId="3FD96232" w:rsidR="00DD5341" w:rsidRDefault="00DD5341" w:rsidP="00DD5341">
      <w:pPr>
        <w:pStyle w:val="BodyText"/>
      </w:pPr>
      <w:r>
        <w:t xml:space="preserve">In the NZ ETS, the permanent forestry category is for forests that will not be clear-felled for at least 50 years. Forests registered in this category use stock change accounting. Forests registered before 2023 and still </w:t>
      </w:r>
      <w:r w:rsidR="004E10A2">
        <w:t>i</w:t>
      </w:r>
      <w:r>
        <w:t xml:space="preserve">n </w:t>
      </w:r>
      <w:r w:rsidR="004E10A2">
        <w:t xml:space="preserve">the </w:t>
      </w:r>
      <w:r>
        <w:t xml:space="preserve">stock change </w:t>
      </w:r>
      <w:r w:rsidR="004E10A2">
        <w:t xml:space="preserve">category </w:t>
      </w:r>
      <w:r>
        <w:t xml:space="preserve">will also continue to earn NZUs </w:t>
      </w:r>
      <w:r w:rsidR="001D2C64">
        <w:t xml:space="preserve">for as long as </w:t>
      </w:r>
      <w:r>
        <w:t>they are not harvested.</w:t>
      </w:r>
    </w:p>
    <w:p w14:paraId="6CDE0581" w14:textId="455B9D3D" w:rsidR="00F11BC9" w:rsidRDefault="00B352CA" w:rsidP="00DD5341">
      <w:pPr>
        <w:pStyle w:val="BodyText"/>
      </w:pPr>
      <w:r>
        <w:t>In</w:t>
      </w:r>
      <w:r w:rsidR="00DD5341" w:rsidDel="00B352CA">
        <w:t xml:space="preserve"> </w:t>
      </w:r>
      <w:r w:rsidR="00DD5341">
        <w:t>target accounting, post-1989 planted forests are split into categories of production planted forests and permanent planted forests, which reach their long-term average carbon stocks at different ages. New Zealand’s First Biennial Report states that “Further work is planned to determine the permanent forest long-term average, however, it is currently estimated to be more than 40 years, putting it beyond the NDC1 period for forests planted after 1989”.</w:t>
      </w:r>
      <w:r w:rsidR="007A6945">
        <w:fldChar w:fldCharType="begin"/>
      </w:r>
      <w:r w:rsidR="002D7255">
        <w:instrText xml:space="preserve"> ADDIN EN.CITE &lt;EndNote&gt;&lt;Cite&gt;&lt;Author&gt;Ministry for the Environment&lt;/Author&gt;&lt;Year&gt;2024&lt;/Year&gt;&lt;RecNum&gt;404&lt;/RecNum&gt;&lt;DisplayText&gt;&lt;style face="superscript"&gt;3&lt;/style&gt;&lt;/DisplayText&gt;&lt;record&gt;&lt;rec-number&gt;404&lt;/rec-number&gt;&lt;foreign-keys&gt;&lt;key app="EN" db-id="fwvex5fabdwzs9e9rwa55p5bvws5v2dex2zs" timestamp="1770930463" guid="1e9f7968-951e-410b-9837-75ab6690456c"&gt;404&lt;/key&gt;&lt;/foreign-keys&gt;&lt;ref-type name="Report"&gt;27&lt;/ref-type&gt;&lt;contributors&gt;&lt;authors&gt;&lt;author&gt;Ministry for the Environment,&lt;/author&gt;&lt;/authors&gt;&lt;/contributors&gt;&lt;titles&gt;&lt;title&gt;New Zealand’s First Biennial Transparency Report under the Paris Agreement&lt;/title&gt;&lt;/titles&gt;&lt;keywords&gt;&lt;keyword&gt;ETS26&lt;/keyword&gt;&lt;/keywords&gt;&lt;dates&gt;&lt;year&gt;2024&lt;/year&gt;&lt;/dates&gt;&lt;publisher&gt;Ministry for the Environment&lt;/publisher&gt;&lt;urls&gt;&lt;related-urls&gt;&lt;url&gt;https://environment.govt.nz/publications/new-zealands-first-biennial-transparency-report-under-the-paris-agreement/&lt;/url&gt;&lt;/related-urls&gt;&lt;/urls&gt;&lt;/record&gt;&lt;/Cite&gt;&lt;/EndNote&gt;</w:instrText>
      </w:r>
      <w:r w:rsidR="007A6945">
        <w:fldChar w:fldCharType="separate"/>
      </w:r>
      <w:r w:rsidR="007A6945" w:rsidRPr="007A6945">
        <w:rPr>
          <w:noProof/>
          <w:vertAlign w:val="superscript"/>
        </w:rPr>
        <w:t>3</w:t>
      </w:r>
      <w:r w:rsidR="007A6945">
        <w:fldChar w:fldCharType="end"/>
      </w:r>
      <w:r w:rsidR="00DD5341">
        <w:t xml:space="preserve"> This means that – until 2030 at the very earliest – there is no practical difference between this approach and stock change accounting.</w:t>
      </w:r>
      <w:r w:rsidR="00517CD5">
        <w:rPr>
          <w:rStyle w:val="FootnoteReference"/>
        </w:rPr>
        <w:footnoteReference w:id="9"/>
      </w:r>
    </w:p>
    <w:p w14:paraId="58F3D6AE" w14:textId="3A62D2AA" w:rsidR="00517CD5" w:rsidRDefault="00517CD5" w:rsidP="00517CD5">
      <w:pPr>
        <w:pStyle w:val="Heading2nonumber"/>
      </w:pPr>
      <w:bookmarkStart w:id="15" w:name="_Toc227580411"/>
      <w:r>
        <w:t>Comparison on a per hectare basis</w:t>
      </w:r>
      <w:bookmarkEnd w:id="15"/>
    </w:p>
    <w:p w14:paraId="1FBB6E05" w14:textId="7F9EFB51" w:rsidR="00517CD5" w:rsidRDefault="00926FDF" w:rsidP="00926FDF">
      <w:pPr>
        <w:pStyle w:val="BodyText"/>
      </w:pPr>
      <w:r>
        <w:t>This section presents analysis comparing net removals under target accounting with the average number of NZUs earned for a single forest area of different types. The results show whether forests are on average ‘over-credited’ or ‘under-credited’ in the NZ ETS (i.e. receive more or fewer units relative to the net removals under target accounting) at different ages.</w:t>
      </w:r>
    </w:p>
    <w:p w14:paraId="324CE5A4" w14:textId="48EE26FE" w:rsidR="00823939" w:rsidRDefault="00823939" w:rsidP="00823939">
      <w:pPr>
        <w:pStyle w:val="Heading3"/>
      </w:pPr>
      <w:bookmarkStart w:id="16" w:name="_Toc227580412"/>
      <w:r>
        <w:t>Native/natural forests</w:t>
      </w:r>
      <w:bookmarkEnd w:id="16"/>
    </w:p>
    <w:p w14:paraId="7D5B3F6A" w14:textId="147FC35F" w:rsidR="00823939" w:rsidRDefault="003E3F71" w:rsidP="00823939">
      <w:pPr>
        <w:pStyle w:val="BodyText"/>
      </w:pPr>
      <w:r w:rsidRPr="003E3F71">
        <w:t>Native forests are, on average, cumulatively over-credited in the NZ ETS at all ages (Figure 3). For example, at age 20, the average native forest will have earned around 150 NZUs per hectare (pink line) compared with cumulative net removals of 133 tCO</w:t>
      </w:r>
      <w:r w:rsidRPr="00BB4FF8">
        <w:rPr>
          <w:vertAlign w:val="subscript"/>
        </w:rPr>
        <w:t>2</w:t>
      </w:r>
      <w:r w:rsidRPr="003E3F71">
        <w:t xml:space="preserve"> per hectare under target accounting (dark blue line). This happens primarily because the NZ ETS does not account for emissions from loss of soil carbon and biomass from previous land use.</w:t>
      </w:r>
    </w:p>
    <w:p w14:paraId="3FEAE3D2" w14:textId="78F18921" w:rsidR="00431A6C" w:rsidRDefault="00431A6C" w:rsidP="00431A6C">
      <w:pPr>
        <w:pStyle w:val="FigureTabletitle"/>
      </w:pPr>
      <w:r>
        <w:t xml:space="preserve">Figure </w:t>
      </w:r>
      <w:r>
        <w:fldChar w:fldCharType="begin"/>
      </w:r>
      <w:r>
        <w:instrText xml:space="preserve"> SEQ Figure \* ARABIC </w:instrText>
      </w:r>
      <w:r>
        <w:fldChar w:fldCharType="separate"/>
      </w:r>
      <w:r w:rsidR="00133F55">
        <w:rPr>
          <w:noProof/>
        </w:rPr>
        <w:t>3</w:t>
      </w:r>
      <w:r>
        <w:fldChar w:fldCharType="end"/>
      </w:r>
      <w:r>
        <w:t>:</w:t>
      </w:r>
      <w:r w:rsidR="003A4994">
        <w:t xml:space="preserve"> </w:t>
      </w:r>
      <w:r w:rsidRPr="00E4780F">
        <w:t xml:space="preserve">Comparison of net carbon stock change under target accounting </w:t>
      </w:r>
      <w:r w:rsidR="00E839CB">
        <w:t xml:space="preserve">to </w:t>
      </w:r>
      <w:r w:rsidRPr="00E4780F">
        <w:t>cumulative NZUs earned for post-1989 native forests</w:t>
      </w:r>
    </w:p>
    <w:p w14:paraId="7E9A248C" w14:textId="51F565F8" w:rsidR="003E3F71" w:rsidRPr="00823939" w:rsidRDefault="00B357D5" w:rsidP="00823939">
      <w:pPr>
        <w:pStyle w:val="BodyText"/>
      </w:pPr>
      <w:r>
        <w:rPr>
          <w:noProof/>
        </w:rPr>
        <w:drawing>
          <wp:inline distT="0" distB="0" distL="0" distR="0" wp14:anchorId="17ABC1F7" wp14:editId="782C2E34">
            <wp:extent cx="5602605" cy="3517900"/>
            <wp:effectExtent l="0" t="0" r="0" b="6350"/>
            <wp:docPr id="1675772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3517900"/>
                    </a:xfrm>
                    <a:prstGeom prst="rect">
                      <a:avLst/>
                    </a:prstGeom>
                    <a:noFill/>
                  </pic:spPr>
                </pic:pic>
              </a:graphicData>
            </a:graphic>
          </wp:inline>
        </w:drawing>
      </w:r>
    </w:p>
    <w:p w14:paraId="6703339F" w14:textId="376797F8" w:rsidR="006275A8" w:rsidRDefault="00ED05AF" w:rsidP="002B6F7C">
      <w:pPr>
        <w:pStyle w:val="Sourceline"/>
        <w:rPr>
          <w:szCs w:val="20"/>
        </w:rPr>
      </w:pPr>
      <w:r w:rsidRPr="00DE1853">
        <w:t>Source: Commission analysis</w:t>
      </w:r>
    </w:p>
    <w:p w14:paraId="1608E099" w14:textId="77777777" w:rsidR="005F70FC" w:rsidRPr="00AB70E2" w:rsidRDefault="005F70FC" w:rsidP="00AB70E2">
      <w:pPr>
        <w:pStyle w:val="BodyText"/>
      </w:pPr>
    </w:p>
    <w:p w14:paraId="593A638D" w14:textId="4B84AA25" w:rsidR="00DE1853" w:rsidRDefault="00060640" w:rsidP="00060640">
      <w:pPr>
        <w:pStyle w:val="BodyText"/>
      </w:pPr>
      <w:r w:rsidRPr="00060640">
        <w:t>Figure 4 below shows the annual and cumulative over/under-crediting</w:t>
      </w:r>
      <w:r w:rsidR="00177A8E">
        <w:t xml:space="preserve"> </w:t>
      </w:r>
      <w:r w:rsidR="00863701">
        <w:t>per hectare for native forests</w:t>
      </w:r>
      <w:r w:rsidRPr="00060640">
        <w:t>. A positive number here means over-crediting. After an initial convergence between NZUs earned and net removals, the difference grows larger from age 10 as the GHG Inventory yield table flattens off faster than the area</w:t>
      </w:r>
      <w:r w:rsidR="6F13E613">
        <w:t>-</w:t>
      </w:r>
      <w:r w:rsidRPr="00060640">
        <w:t>weighted NZ ETS yield table.</w:t>
      </w:r>
    </w:p>
    <w:p w14:paraId="16317E7F" w14:textId="099C6218" w:rsidR="00FF6629" w:rsidRDefault="00FF6629" w:rsidP="00FF6629">
      <w:pPr>
        <w:pStyle w:val="FigureTabletitle"/>
      </w:pPr>
      <w:r>
        <w:t xml:space="preserve">Figure </w:t>
      </w:r>
      <w:r>
        <w:fldChar w:fldCharType="begin"/>
      </w:r>
      <w:r>
        <w:instrText xml:space="preserve"> SEQ Figure \* ARABIC </w:instrText>
      </w:r>
      <w:r>
        <w:fldChar w:fldCharType="separate"/>
      </w:r>
      <w:r w:rsidR="00133F55">
        <w:rPr>
          <w:noProof/>
        </w:rPr>
        <w:t>4</w:t>
      </w:r>
      <w:r>
        <w:fldChar w:fldCharType="end"/>
      </w:r>
      <w:r>
        <w:t xml:space="preserve">: </w:t>
      </w:r>
      <w:r w:rsidRPr="008605D3">
        <w:t>Annual and cumulative over/under-crediting per hectare for native forests in the NZ ETS</w:t>
      </w:r>
    </w:p>
    <w:p w14:paraId="396EABEF" w14:textId="39C1C84E" w:rsidR="001F480E" w:rsidRDefault="00AC0D05" w:rsidP="005F70FC">
      <w:pPr>
        <w:pStyle w:val="Sourceline"/>
        <w:rPr>
          <w:szCs w:val="20"/>
        </w:rPr>
      </w:pPr>
      <w:r>
        <w:rPr>
          <w:noProof/>
        </w:rPr>
        <w:drawing>
          <wp:inline distT="0" distB="0" distL="0" distR="0" wp14:anchorId="5FC05241" wp14:editId="77959C31">
            <wp:extent cx="5572125" cy="3474720"/>
            <wp:effectExtent l="0" t="0" r="9525" b="0"/>
            <wp:docPr id="71857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3474720"/>
                    </a:xfrm>
                    <a:prstGeom prst="rect">
                      <a:avLst/>
                    </a:prstGeom>
                    <a:noFill/>
                  </pic:spPr>
                </pic:pic>
              </a:graphicData>
            </a:graphic>
          </wp:inline>
        </w:drawing>
      </w:r>
      <w:r w:rsidR="001F480E">
        <w:t xml:space="preserve">Source: Commission </w:t>
      </w:r>
      <w:r w:rsidR="001F480E">
        <w:rPr>
          <w:szCs w:val="20"/>
        </w:rPr>
        <w:t>analysis</w:t>
      </w:r>
    </w:p>
    <w:p w14:paraId="6D9ED28E" w14:textId="77777777" w:rsidR="00F541E3" w:rsidRPr="00AB70E2" w:rsidRDefault="00F541E3" w:rsidP="00AB70E2">
      <w:pPr>
        <w:pStyle w:val="BodyText"/>
      </w:pPr>
    </w:p>
    <w:p w14:paraId="398F96C9" w14:textId="72FD5569" w:rsidR="001F480E" w:rsidRDefault="001B3087" w:rsidP="001B3087">
      <w:pPr>
        <w:pStyle w:val="Heading3"/>
      </w:pPr>
      <w:bookmarkStart w:id="17" w:name="_Toc227580413"/>
      <w:r>
        <w:t>Permanent exotic forest</w:t>
      </w:r>
      <w:bookmarkEnd w:id="17"/>
    </w:p>
    <w:p w14:paraId="45D7B063" w14:textId="5FDF96B6" w:rsidR="00D6237D" w:rsidRDefault="00D6237D" w:rsidP="00D6237D">
      <w:pPr>
        <w:pStyle w:val="BodyText"/>
      </w:pPr>
      <w:r>
        <w:t>Permanent exotic forests are, on average, cumulatively over-credited up to around age 37, then subsequently under-credited (Figure 5). Similar to native forests, the initial over-crediting is due to the NZ ETS not accounting for emissions from loss of soil carbon and biomass from previous land use. Over time, this is outweighed by the GHG Inventory’s post-1989 exotic forest yield table being higher than the NZ ETS yield tables on an area-weighted average basis.</w:t>
      </w:r>
      <w:r w:rsidR="00E53D00">
        <w:rPr>
          <w:rStyle w:val="FootnoteReference"/>
        </w:rPr>
        <w:footnoteReference w:id="10"/>
      </w:r>
      <w:r>
        <w:t xml:space="preserve"> </w:t>
      </w:r>
    </w:p>
    <w:p w14:paraId="752F24A9" w14:textId="7E969BD4" w:rsidR="001B3087" w:rsidRDefault="00D6237D" w:rsidP="00D6237D">
      <w:pPr>
        <w:pStyle w:val="BodyText"/>
      </w:pPr>
      <w:r>
        <w:t>On an annual basis (Figure 6), there is an over-crediting phase up to around age 23 followed by an under-crediting phase.</w:t>
      </w:r>
    </w:p>
    <w:p w14:paraId="454EF901" w14:textId="5977EC78" w:rsidR="00371D72" w:rsidRDefault="00371D72" w:rsidP="00371D72">
      <w:pPr>
        <w:pStyle w:val="FigureTabletitle"/>
      </w:pPr>
      <w:r>
        <w:t xml:space="preserve">Figure </w:t>
      </w:r>
      <w:r>
        <w:fldChar w:fldCharType="begin"/>
      </w:r>
      <w:r>
        <w:instrText xml:space="preserve"> SEQ Figure \* ARABIC </w:instrText>
      </w:r>
      <w:r>
        <w:fldChar w:fldCharType="separate"/>
      </w:r>
      <w:r w:rsidR="00133F55">
        <w:rPr>
          <w:noProof/>
        </w:rPr>
        <w:t>5</w:t>
      </w:r>
      <w:r>
        <w:fldChar w:fldCharType="end"/>
      </w:r>
      <w:r>
        <w:t xml:space="preserve">: </w:t>
      </w:r>
      <w:r w:rsidRPr="00840EF4">
        <w:t xml:space="preserve">Comparison of net carbon stock change under target accounting </w:t>
      </w:r>
      <w:r w:rsidR="00E839CB">
        <w:t xml:space="preserve">to </w:t>
      </w:r>
      <w:r w:rsidRPr="00840EF4">
        <w:t xml:space="preserve"> cumulative NZUs earned for post-1989 permanent exotic forests</w:t>
      </w:r>
    </w:p>
    <w:p w14:paraId="0C940EC5" w14:textId="30373848" w:rsidR="00D6237D" w:rsidRDefault="00BA45DF" w:rsidP="00D6237D">
      <w:pPr>
        <w:pStyle w:val="BodyText"/>
        <w:rPr>
          <w:noProof/>
        </w:rPr>
      </w:pPr>
      <w:r>
        <w:rPr>
          <w:noProof/>
        </w:rPr>
        <w:drawing>
          <wp:inline distT="0" distB="0" distL="0" distR="0" wp14:anchorId="51E26334" wp14:editId="426ED03B">
            <wp:extent cx="5803900" cy="3663950"/>
            <wp:effectExtent l="0" t="0" r="6350" b="0"/>
            <wp:docPr id="822877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0" cy="3663950"/>
                    </a:xfrm>
                    <a:prstGeom prst="rect">
                      <a:avLst/>
                    </a:prstGeom>
                    <a:noFill/>
                  </pic:spPr>
                </pic:pic>
              </a:graphicData>
            </a:graphic>
          </wp:inline>
        </w:drawing>
      </w:r>
    </w:p>
    <w:p w14:paraId="3C90E6A4" w14:textId="1338516A" w:rsidR="00371D72" w:rsidRPr="00371D72" w:rsidRDefault="00371D72" w:rsidP="00BB4FF8">
      <w:pPr>
        <w:pStyle w:val="Sourceline"/>
        <w:rPr>
          <w:noProof/>
        </w:rPr>
      </w:pPr>
      <w:r w:rsidRPr="00371D72">
        <w:t>Source: Commission analysis</w:t>
      </w:r>
    </w:p>
    <w:p w14:paraId="3BFE30FB" w14:textId="72F6EDA3" w:rsidR="001372CB" w:rsidRDefault="001372CB" w:rsidP="001372CB">
      <w:pPr>
        <w:pStyle w:val="FigureTabletitle"/>
      </w:pPr>
      <w:r>
        <w:t xml:space="preserve">Figure </w:t>
      </w:r>
      <w:r>
        <w:fldChar w:fldCharType="begin"/>
      </w:r>
      <w:r>
        <w:instrText xml:space="preserve"> SEQ Figure \* ARABIC </w:instrText>
      </w:r>
      <w:r>
        <w:fldChar w:fldCharType="separate"/>
      </w:r>
      <w:r w:rsidR="00133F55" w:rsidRPr="00BB4FF8">
        <w:t>6</w:t>
      </w:r>
      <w:r>
        <w:fldChar w:fldCharType="end"/>
      </w:r>
      <w:r>
        <w:t xml:space="preserve">: </w:t>
      </w:r>
      <w:r w:rsidRPr="00A33495">
        <w:t>Annual and cumulative over/under-crediting per hectare for permanent exotic forests in the NZ ETS</w:t>
      </w:r>
    </w:p>
    <w:p w14:paraId="29686E39" w14:textId="7452BA1F" w:rsidR="00371D72" w:rsidRPr="00BB4FF8" w:rsidRDefault="00730414" w:rsidP="00BB4FF8">
      <w:pPr>
        <w:pStyle w:val="BodyText"/>
      </w:pPr>
      <w:r>
        <w:rPr>
          <w:noProof/>
        </w:rPr>
        <w:drawing>
          <wp:inline distT="0" distB="0" distL="0" distR="0" wp14:anchorId="1B7B939D" wp14:editId="6177D498">
            <wp:extent cx="5779770" cy="3596640"/>
            <wp:effectExtent l="0" t="0" r="0" b="3810"/>
            <wp:docPr id="900801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3596640"/>
                    </a:xfrm>
                    <a:prstGeom prst="rect">
                      <a:avLst/>
                    </a:prstGeom>
                    <a:noFill/>
                  </pic:spPr>
                </pic:pic>
              </a:graphicData>
            </a:graphic>
          </wp:inline>
        </w:drawing>
      </w:r>
    </w:p>
    <w:p w14:paraId="6094FCF8" w14:textId="77777777" w:rsidR="001372CB" w:rsidRDefault="001372CB" w:rsidP="00BB4FF8">
      <w:pPr>
        <w:pStyle w:val="Sourceline"/>
        <w:rPr>
          <w:szCs w:val="20"/>
        </w:rPr>
      </w:pPr>
      <w:r w:rsidRPr="001372CB">
        <w:t>Source: Commission analysis</w:t>
      </w:r>
    </w:p>
    <w:p w14:paraId="416243EA" w14:textId="77777777" w:rsidR="001372CB" w:rsidRDefault="001372CB" w:rsidP="001372CB">
      <w:pPr>
        <w:pStyle w:val="Heading3"/>
      </w:pPr>
      <w:bookmarkStart w:id="18" w:name="_Toc227580414"/>
      <w:r>
        <w:t>Production exotic forests on averaging accounting</w:t>
      </w:r>
      <w:bookmarkEnd w:id="18"/>
    </w:p>
    <w:p w14:paraId="2D0B21E7" w14:textId="77777777" w:rsidR="009A59FE" w:rsidRDefault="009A59FE" w:rsidP="009A59FE">
      <w:pPr>
        <w:pStyle w:val="BodyText"/>
      </w:pPr>
      <w:r w:rsidRPr="009A59FE">
        <w:t>Production exotic forests are over-credited up to their NZ ETS average age, but heavily under-credited beyond that point (Figure 7). This is because of the higher long-term average carbon stock and older average age under target accounting due to the inclusion of harvested wood products. By the time the forest reaches its average age under target accounting (23 years), this leads to a cumulative under-crediting of around 200 NZUs per hectare (Figure 8). Beyond this age, no further removals are counted.</w:t>
      </w:r>
    </w:p>
    <w:p w14:paraId="59E2E9AE" w14:textId="2DF3B5E1" w:rsidR="00DA093D" w:rsidRDefault="00DA093D" w:rsidP="009A59FE">
      <w:pPr>
        <w:pStyle w:val="BodyText"/>
      </w:pPr>
    </w:p>
    <w:p w14:paraId="712B8F80" w14:textId="6FF613DC" w:rsidR="00DA093D" w:rsidRDefault="00DA093D" w:rsidP="00376BF8">
      <w:pPr>
        <w:pStyle w:val="FigureTabletitle"/>
      </w:pPr>
      <w:r>
        <w:t xml:space="preserve">Figure </w:t>
      </w:r>
      <w:r>
        <w:fldChar w:fldCharType="begin"/>
      </w:r>
      <w:r>
        <w:instrText xml:space="preserve"> SEQ Figure \* ARABIC </w:instrText>
      </w:r>
      <w:r>
        <w:fldChar w:fldCharType="separate"/>
      </w:r>
      <w:r w:rsidR="00133F55">
        <w:rPr>
          <w:noProof/>
        </w:rPr>
        <w:t>7</w:t>
      </w:r>
      <w:r>
        <w:fldChar w:fldCharType="end"/>
      </w:r>
      <w:r>
        <w:t xml:space="preserve">: </w:t>
      </w:r>
      <w:r w:rsidRPr="008F4C5D">
        <w:t xml:space="preserve">Net carbon stock under target accounting </w:t>
      </w:r>
      <w:r w:rsidR="00711413">
        <w:t xml:space="preserve">compared to </w:t>
      </w:r>
      <w:r w:rsidRPr="008F4C5D">
        <w:t>cumulative NZUs earned for post-1989 production exotic forests on averaging accounting in the NZ ETS</w:t>
      </w:r>
    </w:p>
    <w:p w14:paraId="343E9D88" w14:textId="5CCA59C6" w:rsidR="001372CB" w:rsidRDefault="00234A2E" w:rsidP="009A59FE">
      <w:pPr>
        <w:pStyle w:val="BodyText"/>
        <w:rPr>
          <w:noProof/>
        </w:rPr>
      </w:pPr>
      <w:r>
        <w:rPr>
          <w:noProof/>
        </w:rPr>
        <w:drawing>
          <wp:inline distT="0" distB="0" distL="0" distR="0" wp14:anchorId="4ACE46AF" wp14:editId="10FAD224">
            <wp:extent cx="5761355" cy="3596640"/>
            <wp:effectExtent l="0" t="0" r="0" b="3810"/>
            <wp:docPr id="1170629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43137D0F" w14:textId="60DD197F" w:rsidR="00376BF8" w:rsidRDefault="00376BF8" w:rsidP="00BB4FF8">
      <w:pPr>
        <w:pStyle w:val="Sourceline"/>
        <w:rPr>
          <w:noProof/>
          <w:szCs w:val="20"/>
        </w:rPr>
      </w:pPr>
      <w:r w:rsidRPr="00376BF8">
        <w:t>Source: Commission analysis</w:t>
      </w:r>
    </w:p>
    <w:p w14:paraId="24C13DE3" w14:textId="77777777" w:rsidR="00376BF8" w:rsidRDefault="00376BF8" w:rsidP="00376BF8">
      <w:pPr>
        <w:pStyle w:val="BodyText"/>
        <w:rPr>
          <w:noProof/>
        </w:rPr>
      </w:pPr>
    </w:p>
    <w:p w14:paraId="1E93AC96" w14:textId="3A42FB4F" w:rsidR="00EF3BE4" w:rsidRDefault="00EF3BE4" w:rsidP="00EF3BE4">
      <w:pPr>
        <w:pStyle w:val="FigureTabletitle"/>
      </w:pPr>
      <w:r>
        <w:t xml:space="preserve">Figure </w:t>
      </w:r>
      <w:r>
        <w:fldChar w:fldCharType="begin"/>
      </w:r>
      <w:r>
        <w:instrText xml:space="preserve"> SEQ Figure \* ARABIC </w:instrText>
      </w:r>
      <w:r>
        <w:fldChar w:fldCharType="separate"/>
      </w:r>
      <w:r w:rsidR="00133F55">
        <w:rPr>
          <w:noProof/>
        </w:rPr>
        <w:t>8</w:t>
      </w:r>
      <w:r>
        <w:fldChar w:fldCharType="end"/>
      </w:r>
      <w:r>
        <w:t xml:space="preserve">: </w:t>
      </w:r>
      <w:r w:rsidRPr="00A125F5">
        <w:t>Annual and cumulative over/under-crediting of NZUs per hectare for production exotic forests on averaging accounting in the NZ ETS</w:t>
      </w:r>
    </w:p>
    <w:p w14:paraId="016C088E" w14:textId="7B447615" w:rsidR="002C27AE" w:rsidRPr="00376BF8" w:rsidRDefault="002C27AE" w:rsidP="00376BF8">
      <w:pPr>
        <w:pStyle w:val="BodyText"/>
        <w:rPr>
          <w:noProof/>
        </w:rPr>
      </w:pPr>
      <w:r>
        <w:rPr>
          <w:noProof/>
        </w:rPr>
        <w:drawing>
          <wp:inline distT="0" distB="0" distL="0" distR="0" wp14:anchorId="592A3112" wp14:editId="4ECBCB56">
            <wp:extent cx="5621020" cy="3505200"/>
            <wp:effectExtent l="0" t="0" r="0" b="0"/>
            <wp:docPr id="1254780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020" cy="3505200"/>
                    </a:xfrm>
                    <a:prstGeom prst="rect">
                      <a:avLst/>
                    </a:prstGeom>
                    <a:noFill/>
                  </pic:spPr>
                </pic:pic>
              </a:graphicData>
            </a:graphic>
          </wp:inline>
        </w:drawing>
      </w:r>
    </w:p>
    <w:p w14:paraId="7F5B917B" w14:textId="730DD7C6" w:rsidR="00376BF8" w:rsidRDefault="004D2B06" w:rsidP="00702953">
      <w:pPr>
        <w:pStyle w:val="Sourceline"/>
        <w:rPr>
          <w:szCs w:val="20"/>
        </w:rPr>
      </w:pPr>
      <w:r w:rsidRPr="004D2B06">
        <w:t>Source: Commission analysis</w:t>
      </w:r>
    </w:p>
    <w:p w14:paraId="2D13D45E" w14:textId="77777777" w:rsidR="008D3099" w:rsidRPr="008D3099" w:rsidRDefault="008D3099" w:rsidP="00BB4FF8">
      <w:pPr>
        <w:pStyle w:val="BodyText"/>
      </w:pPr>
    </w:p>
    <w:p w14:paraId="03415422" w14:textId="62854C17" w:rsidR="004D2B06" w:rsidRDefault="004D2B06" w:rsidP="004D2B06">
      <w:pPr>
        <w:pStyle w:val="Heading3"/>
      </w:pPr>
      <w:bookmarkStart w:id="19" w:name="_Toc227580415"/>
      <w:r>
        <w:t>Production exotic forests on stock change accounting</w:t>
      </w:r>
      <w:bookmarkEnd w:id="19"/>
    </w:p>
    <w:p w14:paraId="32600752" w14:textId="378B6416" w:rsidR="00356F97" w:rsidRDefault="003E6017" w:rsidP="003E6017">
      <w:pPr>
        <w:pStyle w:val="BodyText"/>
      </w:pPr>
      <w:r>
        <w:t xml:space="preserve">As discussed earlier in </w:t>
      </w:r>
      <w:r w:rsidR="2B7C9042" w:rsidRPr="003B5A65">
        <w:rPr>
          <w:i/>
          <w:iCs/>
        </w:rPr>
        <w:t>S</w:t>
      </w:r>
      <w:r w:rsidRPr="003B5A65">
        <w:rPr>
          <w:i/>
          <w:iCs/>
        </w:rPr>
        <w:t>ection</w:t>
      </w:r>
      <w:r w:rsidRPr="003B5A65">
        <w:rPr>
          <w:i/>
        </w:rPr>
        <w:t xml:space="preserve"> 3.2</w:t>
      </w:r>
      <w:r w:rsidR="5E8F89DC" w:rsidRPr="003B5A65">
        <w:rPr>
          <w:i/>
          <w:iCs/>
        </w:rPr>
        <w:t>: Accounting approaches</w:t>
      </w:r>
      <w:r>
        <w:t xml:space="preserve"> </w:t>
      </w:r>
      <w:r w:rsidR="2B1E2EAD">
        <w:t>in the subsection</w:t>
      </w:r>
      <w:r w:rsidRPr="00BB4FF8">
        <w:t xml:space="preserve"> on</w:t>
      </w:r>
      <w:r>
        <w:t xml:space="preserve"> stock change accounting, it is the supply of low-risk units (units unlikely to be needed by foresters for harvest surrenders) that matters when comparing NZU supply from stock change forests against net removals. </w:t>
      </w:r>
      <w:r w:rsidR="001D03F9">
        <w:t>For the quantity of low</w:t>
      </w:r>
      <w:r w:rsidR="00CA2858">
        <w:t>-</w:t>
      </w:r>
      <w:r w:rsidR="001D03F9">
        <w:t xml:space="preserve">risk units, </w:t>
      </w:r>
      <w:r>
        <w:t>Figure</w:t>
      </w:r>
      <w:r w:rsidR="0927661C">
        <w:t>s</w:t>
      </w:r>
      <w:r>
        <w:t xml:space="preserve"> 9 and 10 below use </w:t>
      </w:r>
      <w:r w:rsidR="00D723BB">
        <w:t xml:space="preserve">an </w:t>
      </w:r>
      <w:r>
        <w:t xml:space="preserve">assumption of </w:t>
      </w:r>
      <w:r w:rsidR="004C1DB0">
        <w:t xml:space="preserve">65% </w:t>
      </w:r>
      <w:r>
        <w:t>additional low-risk units</w:t>
      </w:r>
      <w:r w:rsidR="00D723BB">
        <w:t>, consistent with the central assumption we use in</w:t>
      </w:r>
      <w:r w:rsidR="008C7961">
        <w:t xml:space="preserve"> other aspects of the 2026 NZ ETS settings advice </w:t>
      </w:r>
      <w:r w:rsidR="00E36AE2">
        <w:t xml:space="preserve">that </w:t>
      </w:r>
      <w:r w:rsidR="008C7961">
        <w:t xml:space="preserve">rely on </w:t>
      </w:r>
      <w:r w:rsidR="002778EA">
        <w:t>forestry model</w:t>
      </w:r>
      <w:r w:rsidR="00E36AE2">
        <w:t xml:space="preserve"> outputs</w:t>
      </w:r>
      <w:r>
        <w:t>. Additional low-risk units refers to the proportion of low-risk units above the theoretical minimum.</w:t>
      </w:r>
      <w:r w:rsidR="002778EA">
        <w:t xml:space="preserve"> </w:t>
      </w:r>
      <w:r w:rsidR="00356F97">
        <w:t xml:space="preserve">For further information see </w:t>
      </w:r>
      <w:r w:rsidR="00356F97" w:rsidRPr="005222CB">
        <w:t>Technical Annex 1: Unit limit settings</w:t>
      </w:r>
      <w:r w:rsidR="00356F97">
        <w:t xml:space="preserve">, published on our website. </w:t>
      </w:r>
    </w:p>
    <w:p w14:paraId="6E77BF74" w14:textId="117E0513" w:rsidR="003E6017" w:rsidRDefault="003E6017" w:rsidP="003E6017">
      <w:pPr>
        <w:pStyle w:val="BodyText"/>
      </w:pPr>
      <w:r>
        <w:t>The results are similar to those for the averaging approach, but with a larger amount of under-crediting. This is because the estimate of low-risk units is less than the long-term average carbon stock under averaging</w:t>
      </w:r>
      <w:r w:rsidR="5A1A691D">
        <w:t>, which is</w:t>
      </w:r>
      <w:r>
        <w:t xml:space="preserve"> equivalent to an average age of around 14 years.</w:t>
      </w:r>
    </w:p>
    <w:p w14:paraId="5CC95958" w14:textId="3C061EB5" w:rsidR="001E3317" w:rsidRDefault="001E3317" w:rsidP="001E3317">
      <w:pPr>
        <w:pStyle w:val="FigureTabletitle"/>
      </w:pPr>
      <w:r>
        <w:t xml:space="preserve">Figure </w:t>
      </w:r>
      <w:r>
        <w:fldChar w:fldCharType="begin"/>
      </w:r>
      <w:r>
        <w:instrText xml:space="preserve"> SEQ Figure \* ARABIC </w:instrText>
      </w:r>
      <w:r>
        <w:fldChar w:fldCharType="separate"/>
      </w:r>
      <w:r w:rsidR="00133F55">
        <w:rPr>
          <w:noProof/>
        </w:rPr>
        <w:t>9</w:t>
      </w:r>
      <w:r>
        <w:fldChar w:fldCharType="end"/>
      </w:r>
      <w:r>
        <w:t xml:space="preserve">: </w:t>
      </w:r>
      <w:r w:rsidRPr="00EC6E4B">
        <w:t xml:space="preserve">Net carbon stock under target accounting </w:t>
      </w:r>
      <w:r w:rsidR="007A4ED0">
        <w:t xml:space="preserve">compared to </w:t>
      </w:r>
      <w:r w:rsidRPr="00EC6E4B">
        <w:t>cumulative low-risk NZUs earned for post-1989 production exotic forests on stock change accounting in the NZ ETS</w:t>
      </w:r>
    </w:p>
    <w:p w14:paraId="5C7BFBE6" w14:textId="6A0B8AE2" w:rsidR="003339EF" w:rsidRDefault="003339EF" w:rsidP="003E6017">
      <w:pPr>
        <w:pStyle w:val="BodyText"/>
        <w:rPr>
          <w:noProof/>
        </w:rPr>
      </w:pPr>
      <w:r>
        <w:rPr>
          <w:noProof/>
        </w:rPr>
        <w:drawing>
          <wp:inline distT="0" distB="0" distL="0" distR="0" wp14:anchorId="6ED39383" wp14:editId="229FDDC5">
            <wp:extent cx="5669915" cy="3535680"/>
            <wp:effectExtent l="0" t="0" r="6985" b="7620"/>
            <wp:docPr id="7942572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3535680"/>
                    </a:xfrm>
                    <a:prstGeom prst="rect">
                      <a:avLst/>
                    </a:prstGeom>
                    <a:noFill/>
                  </pic:spPr>
                </pic:pic>
              </a:graphicData>
            </a:graphic>
          </wp:inline>
        </w:drawing>
      </w:r>
    </w:p>
    <w:p w14:paraId="356954DB" w14:textId="64508474" w:rsidR="001E3317" w:rsidRDefault="001E3317" w:rsidP="00CA2858">
      <w:pPr>
        <w:pStyle w:val="Sourceline"/>
        <w:rPr>
          <w:szCs w:val="20"/>
        </w:rPr>
      </w:pPr>
      <w:r w:rsidRPr="001E3317">
        <w:t>Source: Commission analysis</w:t>
      </w:r>
    </w:p>
    <w:p w14:paraId="273BD20F" w14:textId="155C454C" w:rsidR="0028574E" w:rsidRDefault="0028574E" w:rsidP="003C4EEE">
      <w:pPr>
        <w:pStyle w:val="FigureTabletitle"/>
      </w:pPr>
      <w:r>
        <w:t xml:space="preserve">Figure </w:t>
      </w:r>
      <w:r>
        <w:fldChar w:fldCharType="begin"/>
      </w:r>
      <w:r>
        <w:instrText xml:space="preserve"> SEQ Figure \* ARABIC </w:instrText>
      </w:r>
      <w:r>
        <w:fldChar w:fldCharType="separate"/>
      </w:r>
      <w:r w:rsidR="00133F55">
        <w:rPr>
          <w:noProof/>
        </w:rPr>
        <w:t>10</w:t>
      </w:r>
      <w:r>
        <w:fldChar w:fldCharType="end"/>
      </w:r>
      <w:r w:rsidR="003C4EEE">
        <w:t xml:space="preserve">: </w:t>
      </w:r>
      <w:r w:rsidR="003C4EEE" w:rsidRPr="003C4EEE">
        <w:t>Annual and cumulative over/under-crediting of low-risk NZUs per hectare for production exotic forests on stock change accounting in the NZ ETS</w:t>
      </w:r>
    </w:p>
    <w:p w14:paraId="27A0680C" w14:textId="1055D673" w:rsidR="001E3317" w:rsidRPr="00CA2858" w:rsidRDefault="0028574E" w:rsidP="00CA2858">
      <w:pPr>
        <w:pStyle w:val="BodyText"/>
      </w:pPr>
      <w:r w:rsidRPr="00CA2858">
        <w:rPr>
          <w:noProof/>
        </w:rPr>
        <w:drawing>
          <wp:inline distT="0" distB="0" distL="0" distR="0" wp14:anchorId="5E741904" wp14:editId="32FC33A4">
            <wp:extent cx="5657850" cy="3529965"/>
            <wp:effectExtent l="0" t="0" r="0" b="0"/>
            <wp:docPr id="499712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3529965"/>
                    </a:xfrm>
                    <a:prstGeom prst="rect">
                      <a:avLst/>
                    </a:prstGeom>
                    <a:noFill/>
                  </pic:spPr>
                </pic:pic>
              </a:graphicData>
            </a:graphic>
          </wp:inline>
        </w:drawing>
      </w:r>
    </w:p>
    <w:p w14:paraId="6F8CE9E0" w14:textId="3A135307" w:rsidR="0028574E" w:rsidRDefault="0028574E" w:rsidP="00CA2858">
      <w:pPr>
        <w:pStyle w:val="Sourceline"/>
        <w:rPr>
          <w:szCs w:val="20"/>
        </w:rPr>
      </w:pPr>
      <w:r>
        <w:t>Source: Commission analysis</w:t>
      </w:r>
    </w:p>
    <w:p w14:paraId="09A63D23" w14:textId="104D6205" w:rsidR="003C4EEE" w:rsidRDefault="003C4EEE" w:rsidP="003C4EEE">
      <w:pPr>
        <w:pStyle w:val="Heading2nonumber"/>
      </w:pPr>
      <w:bookmarkStart w:id="20" w:name="_Toc227580416"/>
      <w:r>
        <w:t>Comparison at the national level</w:t>
      </w:r>
      <w:bookmarkEnd w:id="20"/>
    </w:p>
    <w:p w14:paraId="6CFAF2D2" w14:textId="77777777" w:rsidR="00CF3070" w:rsidRDefault="00CF3070" w:rsidP="00CF3070">
      <w:pPr>
        <w:pStyle w:val="BodyText"/>
      </w:pPr>
      <w:r>
        <w:t>The analysis in the previous section shows that the net effect of accounting differences between the NZ ETS and target accounting varies significantly with forest age. The net effect at the national level will therefore depend on the age class distribution of NZ ETS-registered forests at the point in time.</w:t>
      </w:r>
    </w:p>
    <w:p w14:paraId="72425454" w14:textId="452B534C" w:rsidR="00CF3070" w:rsidRDefault="00CF3070" w:rsidP="00CF3070">
      <w:pPr>
        <w:pStyle w:val="BodyText"/>
      </w:pPr>
      <w:r>
        <w:t>Because of the age class effects, a technical adjustment for forestry cannot be based on a comparison of historical data between the NZ ETS and the GHG Inventory, like they have been for other emissions sectors. Also, a technical adjustment cannot be based on a comparison of the total NZUs issued to foresters versus net removals under target accounting, because the former includes units with harvest liability issued to stock change forests.</w:t>
      </w:r>
      <w:r w:rsidR="009124C2">
        <w:rPr>
          <w:rStyle w:val="FootnoteReference"/>
        </w:rPr>
        <w:footnoteReference w:id="11"/>
      </w:r>
      <w:r>
        <w:t xml:space="preserve"> </w:t>
      </w:r>
    </w:p>
    <w:p w14:paraId="7B0BDDB3" w14:textId="2A2CB473" w:rsidR="003C4EEE" w:rsidRDefault="00CF3070" w:rsidP="00CF3070">
      <w:pPr>
        <w:pStyle w:val="BodyText"/>
      </w:pPr>
      <w:r>
        <w:t>Therefore, the technical adjustment has been based on a model projection of forestry NZU supply, excluding units with harvest liabilities</w:t>
      </w:r>
      <w:r w:rsidR="00302C27">
        <w:t>,</w:t>
      </w:r>
      <w:r w:rsidR="00877D9D">
        <w:rPr>
          <w:rStyle w:val="FootnoteReference"/>
        </w:rPr>
        <w:footnoteReference w:id="12"/>
      </w:r>
      <w:r>
        <w:t xml:space="preserve"> against a corresponding projection of target accounting forestry removals.</w:t>
      </w:r>
    </w:p>
    <w:p w14:paraId="453EB71C" w14:textId="2CA7598A" w:rsidR="009124C2" w:rsidRDefault="00225D0B" w:rsidP="00225D0B">
      <w:pPr>
        <w:pStyle w:val="Heading3"/>
      </w:pPr>
      <w:bookmarkStart w:id="21" w:name="_Toc227580417"/>
      <w:r>
        <w:t>Total target accounting removals versus low-risk NZ ETS allocations</w:t>
      </w:r>
      <w:bookmarkEnd w:id="21"/>
    </w:p>
    <w:p w14:paraId="7319B2E9" w14:textId="45C3284C" w:rsidR="00225D0B" w:rsidRDefault="001F21A6" w:rsidP="00225D0B">
      <w:pPr>
        <w:pStyle w:val="BodyText"/>
      </w:pPr>
      <w:r w:rsidRPr="001F21A6">
        <w:t xml:space="preserve">Figure 11 shows results from our NZ ETS forestry model. The dark blue line shows projected net removals </w:t>
      </w:r>
      <w:r w:rsidR="007E0F5F">
        <w:t xml:space="preserve">by forests </w:t>
      </w:r>
      <w:r w:rsidRPr="001F21A6">
        <w:t>under target accounting, excluding estimate</w:t>
      </w:r>
      <w:r w:rsidR="00026465">
        <w:t xml:space="preserve">s of </w:t>
      </w:r>
      <w:r w:rsidRPr="001F21A6">
        <w:t>forest</w:t>
      </w:r>
      <w:r w:rsidR="00026465">
        <w:t>s</w:t>
      </w:r>
      <w:r w:rsidRPr="001F21A6">
        <w:t xml:space="preserve"> outside the NZ ETS (assumptions discussed in section </w:t>
      </w:r>
      <w:r w:rsidRPr="00F73FD8">
        <w:t>3.1</w:t>
      </w:r>
      <w:r w:rsidRPr="001F21A6">
        <w:t xml:space="preserve">). The pink line shows the projected allocations of low-risk NZUs </w:t>
      </w:r>
      <w:r w:rsidR="004A7194">
        <w:t xml:space="preserve">for the </w:t>
      </w:r>
      <w:r w:rsidR="00526DAF">
        <w:t>same</w:t>
      </w:r>
      <w:r w:rsidR="00CF2A84">
        <w:t xml:space="preserve"> forests</w:t>
      </w:r>
      <w:r w:rsidRPr="001F21A6">
        <w:t xml:space="preserve"> in the NZ ETS.</w:t>
      </w:r>
    </w:p>
    <w:p w14:paraId="52E770C6" w14:textId="0C566610" w:rsidR="00723305" w:rsidRDefault="00723305" w:rsidP="00723305">
      <w:pPr>
        <w:pStyle w:val="FigureTabletitle"/>
      </w:pPr>
      <w:r>
        <w:t xml:space="preserve">Figure </w:t>
      </w:r>
      <w:r>
        <w:fldChar w:fldCharType="begin"/>
      </w:r>
      <w:r>
        <w:instrText xml:space="preserve"> SEQ Figure \* ARABIC </w:instrText>
      </w:r>
      <w:r>
        <w:fldChar w:fldCharType="separate"/>
      </w:r>
      <w:r w:rsidR="00133F55">
        <w:rPr>
          <w:noProof/>
        </w:rPr>
        <w:t>11</w:t>
      </w:r>
      <w:r>
        <w:fldChar w:fldCharType="end"/>
      </w:r>
      <w:r>
        <w:t xml:space="preserve">: </w:t>
      </w:r>
      <w:r w:rsidRPr="002E5D74">
        <w:t>Projected allocations of low-risk NZUs compared with target accounting removals</w:t>
      </w:r>
      <w:r w:rsidR="00F236B3">
        <w:t xml:space="preserve"> for forests </w:t>
      </w:r>
      <w:r w:rsidR="00262164">
        <w:t>covered by</w:t>
      </w:r>
      <w:r w:rsidR="00F236B3">
        <w:t xml:space="preserve"> the NZ ETS</w:t>
      </w:r>
    </w:p>
    <w:p w14:paraId="1C70A3BB" w14:textId="15E22C7C" w:rsidR="001F21A6" w:rsidRDefault="008073C6" w:rsidP="00225D0B">
      <w:pPr>
        <w:pStyle w:val="BodyText"/>
        <w:rPr>
          <w:noProof/>
        </w:rPr>
      </w:pPr>
      <w:r>
        <w:rPr>
          <w:noProof/>
        </w:rPr>
        <w:drawing>
          <wp:inline distT="0" distB="0" distL="0" distR="0" wp14:anchorId="590B2D09" wp14:editId="3BBB6112">
            <wp:extent cx="5815965" cy="3347085"/>
            <wp:effectExtent l="0" t="0" r="0" b="5715"/>
            <wp:docPr id="2049918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5965" cy="3347085"/>
                    </a:xfrm>
                    <a:prstGeom prst="rect">
                      <a:avLst/>
                    </a:prstGeom>
                    <a:noFill/>
                  </pic:spPr>
                </pic:pic>
              </a:graphicData>
            </a:graphic>
          </wp:inline>
        </w:drawing>
      </w:r>
    </w:p>
    <w:p w14:paraId="1ECAF298" w14:textId="3FBC9A1F" w:rsidR="00992C60" w:rsidRDefault="00992C60" w:rsidP="00E001CE">
      <w:pPr>
        <w:pStyle w:val="Sourceline"/>
        <w:rPr>
          <w:szCs w:val="20"/>
        </w:rPr>
      </w:pPr>
      <w:r w:rsidRPr="00992C60">
        <w:t>Source: Commission analysis</w:t>
      </w:r>
    </w:p>
    <w:p w14:paraId="350A215A" w14:textId="77777777" w:rsidR="00126DE7" w:rsidRPr="00E001CE" w:rsidRDefault="00126DE7" w:rsidP="00E001CE">
      <w:pPr>
        <w:pStyle w:val="BodyText"/>
      </w:pPr>
    </w:p>
    <w:p w14:paraId="109927BC" w14:textId="259F60F9" w:rsidR="00723305" w:rsidRDefault="0082603D" w:rsidP="0082603D">
      <w:pPr>
        <w:pStyle w:val="BodyText"/>
      </w:pPr>
      <w:r w:rsidRPr="0082603D">
        <w:t>These results suggest that there is presently net over-crediting happening in the NZ ETS. Over 2026–2030 over-crediting is an average of 0.7 million NZUs per year, reducing to an average of 0.4m NZUs over 2031</w:t>
      </w:r>
      <w:r w:rsidR="211FC120">
        <w:t>–</w:t>
      </w:r>
      <w:r w:rsidRPr="0082603D">
        <w:t>2036, before transitioning to a period of significant under-crediting from 2037 on.</w:t>
      </w:r>
    </w:p>
    <w:p w14:paraId="1630E161" w14:textId="1A07F5F5" w:rsidR="00BC73ED" w:rsidRDefault="00BC73ED" w:rsidP="00BC73ED">
      <w:pPr>
        <w:pStyle w:val="BodyText"/>
      </w:pPr>
      <w:r>
        <w:t xml:space="preserve">The main reasons for this are to do with age class, the different accounting approaches, and the lower long-term average carbon stock in the NZ ETS due to exclusion of harvested wood products. Currently, most forests are either less than </w:t>
      </w:r>
      <w:r w:rsidR="33A7A3B2">
        <w:t>five</w:t>
      </w:r>
      <w:r>
        <w:t xml:space="preserve"> years old (due to the surge in planting beginning in 2019), or already past their long-term average. The divergence beginning in the mid-2030s happens when the large area of recently planted forests start to reach their NZ ETS average age, where they no longer receive further NZUs, but will still be contributing net removals under target accounting (i.e. the period of significant under-crediting from age 17 to 23 shown in Figure 8).</w:t>
      </w:r>
    </w:p>
    <w:p w14:paraId="275B1224" w14:textId="334CCCD7" w:rsidR="00BC73ED" w:rsidRDefault="00BC73ED" w:rsidP="00BC73ED">
      <w:pPr>
        <w:pStyle w:val="BodyText"/>
      </w:pPr>
      <w:r>
        <w:t>Figure 12 illustrates the detailed long-term breakdown of contributions to over- and under-crediting from different causes (activity data and accounting differences) over time. Table 4 shows the figures in detail over the second and third emissions budget periods.</w:t>
      </w:r>
    </w:p>
    <w:p w14:paraId="726208EB" w14:textId="3C3E6022" w:rsidR="006E33B8" w:rsidRDefault="006E33B8" w:rsidP="006E33B8">
      <w:pPr>
        <w:pStyle w:val="FigureTabletitle"/>
      </w:pPr>
      <w:r>
        <w:t xml:space="preserve">Figure </w:t>
      </w:r>
      <w:r>
        <w:fldChar w:fldCharType="begin"/>
      </w:r>
      <w:r>
        <w:instrText xml:space="preserve"> SEQ Figure \* ARABIC </w:instrText>
      </w:r>
      <w:r>
        <w:fldChar w:fldCharType="separate"/>
      </w:r>
      <w:r w:rsidR="00133F55">
        <w:rPr>
          <w:noProof/>
        </w:rPr>
        <w:t>12</w:t>
      </w:r>
      <w:r>
        <w:fldChar w:fldCharType="end"/>
      </w:r>
      <w:r>
        <w:t xml:space="preserve">: </w:t>
      </w:r>
      <w:r w:rsidRPr="00100DDB">
        <w:t>Projected contributions to over- and under-crediting by year</w:t>
      </w:r>
      <w:r w:rsidR="00B92E29">
        <w:t xml:space="preserve"> </w:t>
      </w:r>
      <w:r w:rsidR="00E072A9">
        <w:t>across all</w:t>
      </w:r>
      <w:r w:rsidR="00B92E29">
        <w:t xml:space="preserve"> forests </w:t>
      </w:r>
      <w:r w:rsidR="004E0A8D">
        <w:t>covered by the NZ ETS</w:t>
      </w:r>
    </w:p>
    <w:p w14:paraId="6A785F88" w14:textId="45C9CE7C" w:rsidR="00EC0B21" w:rsidRDefault="000E5037" w:rsidP="00BC73ED">
      <w:pPr>
        <w:pStyle w:val="BodyText"/>
        <w:rPr>
          <w:noProof/>
        </w:rPr>
      </w:pPr>
      <w:r>
        <w:rPr>
          <w:noProof/>
        </w:rPr>
        <w:drawing>
          <wp:inline distT="0" distB="0" distL="0" distR="0" wp14:anchorId="7ADDAABC" wp14:editId="18DC8A6B">
            <wp:extent cx="5760000" cy="3066425"/>
            <wp:effectExtent l="0" t="0" r="0" b="635"/>
            <wp:docPr id="96811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066425"/>
                    </a:xfrm>
                    <a:prstGeom prst="rect">
                      <a:avLst/>
                    </a:prstGeom>
                    <a:noFill/>
                  </pic:spPr>
                </pic:pic>
              </a:graphicData>
            </a:graphic>
          </wp:inline>
        </w:drawing>
      </w:r>
    </w:p>
    <w:p w14:paraId="3CD0D469" w14:textId="2FA694C2" w:rsidR="006E33B8" w:rsidRDefault="006E33B8" w:rsidP="00E001CE">
      <w:pPr>
        <w:pStyle w:val="Sourceline"/>
        <w:rPr>
          <w:szCs w:val="20"/>
        </w:rPr>
      </w:pPr>
      <w:r w:rsidRPr="006E33B8">
        <w:t>Source: Commission analysis</w:t>
      </w:r>
    </w:p>
    <w:p w14:paraId="7D6111D8" w14:textId="33B05F31" w:rsidR="00640663" w:rsidRDefault="00640663" w:rsidP="00640663">
      <w:pPr>
        <w:pStyle w:val="FigureTabletitle"/>
      </w:pPr>
      <w:r>
        <w:t xml:space="preserve">Table </w:t>
      </w:r>
      <w:r>
        <w:fldChar w:fldCharType="begin"/>
      </w:r>
      <w:r>
        <w:instrText xml:space="preserve"> SEQ Table \* ARABIC </w:instrText>
      </w:r>
      <w:r>
        <w:fldChar w:fldCharType="separate"/>
      </w:r>
      <w:r w:rsidR="00792161">
        <w:rPr>
          <w:noProof/>
        </w:rPr>
        <w:t>4</w:t>
      </w:r>
      <w:r>
        <w:fldChar w:fldCharType="end"/>
      </w:r>
      <w:r>
        <w:t>: Breakdown of causes for over or under-crediting over 2026</w:t>
      </w:r>
      <w:r w:rsidR="00371F9D">
        <w:t>–</w:t>
      </w:r>
      <w:r>
        <w:t>2035</w:t>
      </w:r>
    </w:p>
    <w:tbl>
      <w:tblPr>
        <w:tblStyle w:val="TableGrid4"/>
        <w:tblW w:w="934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2"/>
        <w:gridCol w:w="694"/>
        <w:gridCol w:w="694"/>
        <w:gridCol w:w="694"/>
        <w:gridCol w:w="694"/>
        <w:gridCol w:w="695"/>
        <w:gridCol w:w="694"/>
        <w:gridCol w:w="694"/>
        <w:gridCol w:w="694"/>
        <w:gridCol w:w="694"/>
        <w:gridCol w:w="695"/>
      </w:tblGrid>
      <w:tr w:rsidR="00F230D1" w:rsidRPr="00FA2AA9" w14:paraId="17EE9D33"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1442ABE7" w14:textId="77777777" w:rsidR="00FA2AA9" w:rsidRPr="00E001CE" w:rsidRDefault="00FA2AA9" w:rsidP="00E001CE">
            <w:pPr>
              <w:pStyle w:val="Tableheading"/>
              <w:rPr>
                <w:b w:val="0"/>
              </w:rPr>
            </w:pPr>
            <w:r w:rsidRPr="009E1454">
              <w:t>NZUs (millions)</w:t>
            </w:r>
          </w:p>
        </w:tc>
        <w:tc>
          <w:tcPr>
            <w:tcW w:w="694"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5CC97124" w14:textId="77777777" w:rsidR="00FA2AA9" w:rsidRPr="00E001CE" w:rsidRDefault="00FA2AA9" w:rsidP="00E001CE">
            <w:pPr>
              <w:pStyle w:val="Tableheading"/>
              <w:rPr>
                <w:b w:val="0"/>
              </w:rPr>
            </w:pPr>
            <w:r w:rsidRPr="009E1454">
              <w:t>2026</w:t>
            </w:r>
          </w:p>
        </w:tc>
        <w:tc>
          <w:tcPr>
            <w:tcW w:w="694"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37066312" w14:textId="77777777" w:rsidR="00FA2AA9" w:rsidRPr="00E001CE" w:rsidRDefault="00FA2AA9" w:rsidP="00E001CE">
            <w:pPr>
              <w:pStyle w:val="Tableheading"/>
              <w:rPr>
                <w:b w:val="0"/>
              </w:rPr>
            </w:pPr>
            <w:r w:rsidRPr="009E1454">
              <w:t>2027</w:t>
            </w:r>
          </w:p>
        </w:tc>
        <w:tc>
          <w:tcPr>
            <w:tcW w:w="694"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0B138016" w14:textId="77777777" w:rsidR="00FA2AA9" w:rsidRPr="00E001CE" w:rsidRDefault="00FA2AA9" w:rsidP="00E001CE">
            <w:pPr>
              <w:pStyle w:val="Tableheading"/>
              <w:rPr>
                <w:b w:val="0"/>
              </w:rPr>
            </w:pPr>
            <w:r w:rsidRPr="009E1454">
              <w:t>2028</w:t>
            </w:r>
          </w:p>
        </w:tc>
        <w:tc>
          <w:tcPr>
            <w:tcW w:w="694"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0625779B" w14:textId="77777777" w:rsidR="00FA2AA9" w:rsidRPr="00E001CE" w:rsidRDefault="00FA2AA9" w:rsidP="00E001CE">
            <w:pPr>
              <w:pStyle w:val="Tableheading"/>
              <w:rPr>
                <w:b w:val="0"/>
              </w:rPr>
            </w:pPr>
            <w:r w:rsidRPr="009E1454">
              <w:t>2029</w:t>
            </w:r>
          </w:p>
        </w:tc>
        <w:tc>
          <w:tcPr>
            <w:tcW w:w="695"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666A1DD8" w14:textId="77777777" w:rsidR="00FA2AA9" w:rsidRPr="00E001CE" w:rsidRDefault="00FA2AA9" w:rsidP="00E001CE">
            <w:pPr>
              <w:pStyle w:val="Tableheading"/>
              <w:rPr>
                <w:b w:val="0"/>
              </w:rPr>
            </w:pPr>
            <w:r w:rsidRPr="009E1454">
              <w:t>2030</w:t>
            </w:r>
          </w:p>
        </w:tc>
        <w:tc>
          <w:tcPr>
            <w:tcW w:w="694" w:type="dxa"/>
            <w:tcBorders>
              <w:top w:val="single" w:sz="6" w:space="0" w:color="FFFFFF"/>
              <w:left w:val="single" w:sz="6" w:space="0" w:color="FFFFFF"/>
              <w:bottom w:val="single" w:sz="6" w:space="0" w:color="FFFFFF"/>
              <w:right w:val="single" w:sz="6" w:space="0" w:color="FFFFFF"/>
            </w:tcBorders>
            <w:shd w:val="clear" w:color="auto" w:fill="002060"/>
            <w:tcMar>
              <w:left w:w="105" w:type="dxa"/>
              <w:right w:w="105" w:type="dxa"/>
            </w:tcMar>
            <w:vAlign w:val="center"/>
          </w:tcPr>
          <w:p w14:paraId="1007CB94" w14:textId="77777777" w:rsidR="00FA2AA9" w:rsidRPr="00E001CE" w:rsidRDefault="00FA2AA9" w:rsidP="00E001CE">
            <w:pPr>
              <w:pStyle w:val="Tableheading"/>
              <w:rPr>
                <w:b w:val="0"/>
              </w:rPr>
            </w:pPr>
            <w:r w:rsidRPr="009E1454">
              <w:t>2031</w:t>
            </w:r>
          </w:p>
        </w:tc>
        <w:tc>
          <w:tcPr>
            <w:tcW w:w="694" w:type="dxa"/>
            <w:tcBorders>
              <w:top w:val="single" w:sz="6" w:space="0" w:color="FFFFFF"/>
              <w:left w:val="single" w:sz="6" w:space="0" w:color="FFFFFF"/>
              <w:bottom w:val="single" w:sz="6" w:space="0" w:color="FFFFFF"/>
              <w:right w:val="single" w:sz="6" w:space="0" w:color="FFFFFF"/>
            </w:tcBorders>
            <w:shd w:val="clear" w:color="auto" w:fill="002060"/>
            <w:vAlign w:val="center"/>
          </w:tcPr>
          <w:p w14:paraId="161993A8" w14:textId="77777777" w:rsidR="00FA2AA9" w:rsidRPr="009E1454" w:rsidRDefault="00FA2AA9" w:rsidP="00E001CE">
            <w:pPr>
              <w:pStyle w:val="Tableheading"/>
            </w:pPr>
            <w:r w:rsidRPr="009E1454">
              <w:t>2032</w:t>
            </w:r>
          </w:p>
        </w:tc>
        <w:tc>
          <w:tcPr>
            <w:tcW w:w="694" w:type="dxa"/>
            <w:tcBorders>
              <w:top w:val="single" w:sz="6" w:space="0" w:color="FFFFFF"/>
              <w:left w:val="single" w:sz="6" w:space="0" w:color="FFFFFF"/>
              <w:bottom w:val="single" w:sz="6" w:space="0" w:color="FFFFFF"/>
              <w:right w:val="single" w:sz="6" w:space="0" w:color="FFFFFF"/>
            </w:tcBorders>
            <w:shd w:val="clear" w:color="auto" w:fill="002060"/>
            <w:vAlign w:val="center"/>
          </w:tcPr>
          <w:p w14:paraId="6E4251EB" w14:textId="77777777" w:rsidR="00FA2AA9" w:rsidRPr="009E1454" w:rsidRDefault="00FA2AA9" w:rsidP="00E001CE">
            <w:pPr>
              <w:pStyle w:val="Tableheading"/>
            </w:pPr>
            <w:r w:rsidRPr="009E1454">
              <w:t>2033</w:t>
            </w:r>
          </w:p>
        </w:tc>
        <w:tc>
          <w:tcPr>
            <w:tcW w:w="694" w:type="dxa"/>
            <w:tcBorders>
              <w:top w:val="single" w:sz="6" w:space="0" w:color="FFFFFF"/>
              <w:left w:val="single" w:sz="6" w:space="0" w:color="FFFFFF"/>
              <w:bottom w:val="single" w:sz="6" w:space="0" w:color="FFFFFF"/>
              <w:right w:val="single" w:sz="6" w:space="0" w:color="FFFFFF"/>
            </w:tcBorders>
            <w:shd w:val="clear" w:color="auto" w:fill="002060"/>
            <w:vAlign w:val="center"/>
          </w:tcPr>
          <w:p w14:paraId="014DA5ED" w14:textId="77777777" w:rsidR="00FA2AA9" w:rsidRPr="009E1454" w:rsidRDefault="00FA2AA9" w:rsidP="00E001CE">
            <w:pPr>
              <w:pStyle w:val="Tableheading"/>
            </w:pPr>
            <w:r w:rsidRPr="009E1454">
              <w:t>2034</w:t>
            </w:r>
          </w:p>
        </w:tc>
        <w:tc>
          <w:tcPr>
            <w:tcW w:w="695" w:type="dxa"/>
            <w:tcBorders>
              <w:top w:val="single" w:sz="6" w:space="0" w:color="FFFFFF"/>
              <w:left w:val="single" w:sz="6" w:space="0" w:color="FFFFFF"/>
              <w:bottom w:val="single" w:sz="6" w:space="0" w:color="FFFFFF"/>
              <w:right w:val="single" w:sz="6" w:space="0" w:color="FFFFFF"/>
            </w:tcBorders>
            <w:shd w:val="clear" w:color="auto" w:fill="002060"/>
            <w:vAlign w:val="center"/>
          </w:tcPr>
          <w:p w14:paraId="1AE32AD3" w14:textId="77777777" w:rsidR="00FA2AA9" w:rsidRPr="009E1454" w:rsidRDefault="00FA2AA9" w:rsidP="00E001CE">
            <w:pPr>
              <w:pStyle w:val="Tableheading"/>
            </w:pPr>
            <w:r w:rsidRPr="009E1454">
              <w:t>2035</w:t>
            </w:r>
          </w:p>
        </w:tc>
      </w:tr>
      <w:tr w:rsidR="00F230D1" w:rsidRPr="00FA2AA9" w14:paraId="5C66C052"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38116384" w14:textId="77777777" w:rsidR="00FA2AA9" w:rsidRPr="00FA2AA9" w:rsidDel="0036712A" w:rsidRDefault="00FA2AA9" w:rsidP="00E001CE">
            <w:pPr>
              <w:pStyle w:val="TableParagraph"/>
              <w:rPr>
                <w:b/>
              </w:rPr>
            </w:pPr>
            <w:r w:rsidRPr="00FA2AA9">
              <w:t>Differences in activity data</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0E2380B5" w14:textId="77777777" w:rsidR="00FA2AA9" w:rsidRPr="00FA2AA9" w:rsidRDefault="00FA2AA9" w:rsidP="00E001CE">
            <w:pPr>
              <w:pStyle w:val="TableParagraph"/>
              <w:rPr>
                <w:b/>
              </w:rPr>
            </w:pPr>
            <w:r w:rsidRPr="00FA2AA9">
              <w:t>0.9</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030D4EF6" w14:textId="77777777" w:rsidR="00FA2AA9" w:rsidRPr="00FA2AA9" w:rsidRDefault="00FA2AA9" w:rsidP="00E001CE">
            <w:pPr>
              <w:pStyle w:val="TableParagraph"/>
              <w:rPr>
                <w:b/>
              </w:rPr>
            </w:pPr>
            <w:r w:rsidRPr="00FA2AA9">
              <w:t>0.8</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309AF77A" w14:textId="77777777" w:rsidR="00FA2AA9" w:rsidRPr="00FA2AA9" w:rsidRDefault="00FA2AA9" w:rsidP="00E001CE">
            <w:pPr>
              <w:pStyle w:val="TableParagraph"/>
              <w:rPr>
                <w:b/>
              </w:rPr>
            </w:pPr>
            <w:r w:rsidRPr="00FA2AA9">
              <w:t>0.8</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4414E16F" w14:textId="77777777" w:rsidR="00FA2AA9" w:rsidRPr="00FA2AA9" w:rsidRDefault="00FA2AA9" w:rsidP="00E001CE">
            <w:pPr>
              <w:pStyle w:val="TableParagraph"/>
              <w:rPr>
                <w:b/>
              </w:rPr>
            </w:pPr>
            <w:r w:rsidRPr="00FA2AA9">
              <w:t>0.7</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70192F32" w14:textId="77777777" w:rsidR="00FA2AA9" w:rsidRPr="00FA2AA9" w:rsidRDefault="00FA2AA9" w:rsidP="00E001CE">
            <w:pPr>
              <w:pStyle w:val="TableParagraph"/>
              <w:rPr>
                <w:b/>
              </w:rPr>
            </w:pPr>
            <w:r w:rsidRPr="00FA2AA9">
              <w:t>0.7</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1348322" w14:textId="77777777" w:rsidR="00FA2AA9" w:rsidRPr="00FA2AA9" w:rsidRDefault="00FA2AA9" w:rsidP="00E001CE">
            <w:pPr>
              <w:pStyle w:val="TableParagraph"/>
              <w:rPr>
                <w:b/>
              </w:rPr>
            </w:pPr>
            <w:r w:rsidRPr="00FA2AA9">
              <w:t>0.7</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26976D78" w14:textId="77777777" w:rsidR="00FA2AA9" w:rsidRPr="00FA2AA9" w:rsidRDefault="00FA2AA9" w:rsidP="00E001CE">
            <w:pPr>
              <w:pStyle w:val="TableParagraph"/>
              <w:rPr>
                <w:b/>
              </w:rPr>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1A4F5E53" w14:textId="77777777" w:rsidR="00FA2AA9" w:rsidRPr="00FA2AA9" w:rsidRDefault="00FA2AA9" w:rsidP="00E001CE">
            <w:pPr>
              <w:pStyle w:val="TableParagraph"/>
              <w:rPr>
                <w:b/>
              </w:rPr>
            </w:pPr>
            <w:r w:rsidRPr="00FA2AA9">
              <w:t>0.7</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1E265CC" w14:textId="77777777" w:rsidR="00FA2AA9" w:rsidRPr="00FA2AA9" w:rsidRDefault="00FA2AA9" w:rsidP="00E001CE">
            <w:pPr>
              <w:pStyle w:val="TableParagraph"/>
              <w:rPr>
                <w:b/>
              </w:rPr>
            </w:pPr>
            <w:r w:rsidRPr="00FA2AA9">
              <w:t>0.6</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15684689" w14:textId="77777777" w:rsidR="00FA2AA9" w:rsidRPr="00FA2AA9" w:rsidRDefault="00FA2AA9" w:rsidP="00E001CE">
            <w:pPr>
              <w:pStyle w:val="TableParagraph"/>
              <w:rPr>
                <w:b/>
              </w:rPr>
            </w:pPr>
            <w:r w:rsidRPr="00FA2AA9">
              <w:t>0.7</w:t>
            </w:r>
          </w:p>
        </w:tc>
      </w:tr>
      <w:tr w:rsidR="00F230D1" w:rsidRPr="00FA2AA9" w14:paraId="1CC04713"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6CECFFB9" w14:textId="77777777" w:rsidR="00FA2AA9" w:rsidRPr="00FA2AA9" w:rsidRDefault="00FA2AA9" w:rsidP="00E001CE">
            <w:pPr>
              <w:pStyle w:val="TableParagraph"/>
            </w:pPr>
            <w:r w:rsidRPr="00FA2AA9">
              <w:t>Accounting for initial biomass loss</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5B1B58A9"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4325405C"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0722D1A8"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5DD1D167" w14:textId="77777777" w:rsidR="00FA2AA9" w:rsidRPr="00FA2AA9" w:rsidRDefault="00FA2AA9" w:rsidP="00E001CE">
            <w:pPr>
              <w:pStyle w:val="TableParagraph"/>
            </w:pPr>
            <w:r w:rsidRPr="00FA2AA9">
              <w:t>0.6</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555B3F2C"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28936443"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397A19AF"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1C382305" w14:textId="77777777" w:rsidR="00FA2AA9" w:rsidRPr="00FA2AA9" w:rsidRDefault="00FA2AA9" w:rsidP="00E001CE">
            <w:pPr>
              <w:pStyle w:val="TableParagraph"/>
            </w:pPr>
            <w:r w:rsidRPr="00FA2AA9">
              <w:t>0.6</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30A4457E" w14:textId="77777777" w:rsidR="00FA2AA9" w:rsidRPr="00FA2AA9" w:rsidRDefault="00FA2AA9" w:rsidP="00E001CE">
            <w:pPr>
              <w:pStyle w:val="TableParagraph"/>
            </w:pPr>
            <w:r w:rsidRPr="00FA2AA9">
              <w:t>0.6</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290AC1F9" w14:textId="77777777" w:rsidR="00FA2AA9" w:rsidRPr="00FA2AA9" w:rsidRDefault="00FA2AA9" w:rsidP="00E001CE">
            <w:pPr>
              <w:pStyle w:val="TableParagraph"/>
            </w:pPr>
            <w:r w:rsidRPr="00FA2AA9">
              <w:t>0.6</w:t>
            </w:r>
          </w:p>
        </w:tc>
      </w:tr>
      <w:tr w:rsidR="00F230D1" w:rsidRPr="00FA2AA9" w14:paraId="0E3A447A"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177360AC" w14:textId="77777777" w:rsidR="00FA2AA9" w:rsidRPr="00FA2AA9" w:rsidRDefault="00FA2AA9" w:rsidP="00E001CE">
            <w:pPr>
              <w:pStyle w:val="TableParagraph"/>
            </w:pPr>
            <w:r w:rsidRPr="00FA2AA9">
              <w:t>Accounting for soil carbon loss</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405065E0" w14:textId="77777777" w:rsidR="00FA2AA9" w:rsidRPr="00FA2AA9" w:rsidRDefault="00FA2AA9" w:rsidP="00E001CE">
            <w:pPr>
              <w:pStyle w:val="TableParagraph"/>
            </w:pPr>
            <w:r w:rsidRPr="00FA2AA9">
              <w:t>1.5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7610F79" w14:textId="77777777" w:rsidR="00FA2AA9" w:rsidRPr="00FA2AA9" w:rsidRDefault="00FA2AA9" w:rsidP="00E001CE">
            <w:pPr>
              <w:pStyle w:val="TableParagraph"/>
            </w:pPr>
            <w:r w:rsidRPr="00FA2AA9">
              <w:t>1.5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19B91A4" w14:textId="77777777" w:rsidR="00FA2AA9" w:rsidRPr="00FA2AA9" w:rsidRDefault="00FA2AA9" w:rsidP="00E001CE">
            <w:pPr>
              <w:pStyle w:val="TableParagraph"/>
            </w:pPr>
            <w:r w:rsidRPr="00FA2AA9">
              <w:t>1.6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82EFDA6" w14:textId="77777777" w:rsidR="00FA2AA9" w:rsidRPr="00FA2AA9" w:rsidRDefault="00FA2AA9" w:rsidP="00E001CE">
            <w:pPr>
              <w:pStyle w:val="TableParagraph"/>
            </w:pPr>
            <w:r w:rsidRPr="00FA2AA9">
              <w:t>1.6</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5DC57E34" w14:textId="77777777" w:rsidR="00FA2AA9" w:rsidRPr="00FA2AA9" w:rsidRDefault="00FA2AA9" w:rsidP="00E001CE">
            <w:pPr>
              <w:pStyle w:val="TableParagraph"/>
            </w:pPr>
            <w:r w:rsidRPr="00FA2AA9">
              <w:t>1.6</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7C8773DE" w14:textId="77777777" w:rsidR="00FA2AA9" w:rsidRPr="00FA2AA9" w:rsidRDefault="00FA2AA9" w:rsidP="00E001CE">
            <w:pPr>
              <w:pStyle w:val="TableParagraph"/>
            </w:pPr>
            <w:r w:rsidRPr="00FA2AA9">
              <w:t>1.7</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37509D3" w14:textId="77777777" w:rsidR="00FA2AA9" w:rsidRPr="00FA2AA9" w:rsidRDefault="00FA2AA9" w:rsidP="00E001CE">
            <w:pPr>
              <w:pStyle w:val="TableParagraph"/>
            </w:pPr>
            <w:r w:rsidRPr="00FA2AA9">
              <w:t>1.7</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6C06DF5B" w14:textId="77777777" w:rsidR="00FA2AA9" w:rsidRPr="00FA2AA9" w:rsidRDefault="00FA2AA9" w:rsidP="00E001CE">
            <w:pPr>
              <w:pStyle w:val="TableParagraph"/>
            </w:pPr>
            <w:r w:rsidRPr="00FA2AA9">
              <w:t>1.7</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5EB3A210" w14:textId="77777777" w:rsidR="00FA2AA9" w:rsidRPr="00FA2AA9" w:rsidRDefault="00FA2AA9" w:rsidP="00E001CE">
            <w:pPr>
              <w:pStyle w:val="TableParagraph"/>
            </w:pPr>
            <w:r w:rsidRPr="00FA2AA9">
              <w:t>1.8</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2C5D3155" w14:textId="77777777" w:rsidR="00FA2AA9" w:rsidRPr="00FA2AA9" w:rsidRDefault="00FA2AA9" w:rsidP="00E001CE">
            <w:pPr>
              <w:pStyle w:val="TableParagraph"/>
            </w:pPr>
            <w:r w:rsidRPr="00FA2AA9">
              <w:t>1.8</w:t>
            </w:r>
          </w:p>
        </w:tc>
      </w:tr>
      <w:tr w:rsidR="00F230D1" w:rsidRPr="00FA2AA9" w14:paraId="26D388BA"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6C61B171" w14:textId="77777777" w:rsidR="00FA2AA9" w:rsidRPr="00FA2AA9" w:rsidRDefault="00FA2AA9" w:rsidP="00E001CE">
            <w:pPr>
              <w:pStyle w:val="TableParagraph"/>
            </w:pPr>
            <w:r w:rsidRPr="00FA2AA9">
              <w:t>Differences in yield tables</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7AE133EF" w14:textId="77777777" w:rsidR="00FA2AA9" w:rsidRPr="00FA2AA9" w:rsidRDefault="00FA2AA9" w:rsidP="00E001CE">
            <w:pPr>
              <w:pStyle w:val="TableParagraph"/>
            </w:pPr>
            <w:r w:rsidRPr="00FA2AA9">
              <w:t>-0.7</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2C9249A4" w14:textId="77777777" w:rsidR="00FA2AA9" w:rsidRPr="00FA2AA9" w:rsidRDefault="00FA2AA9" w:rsidP="00E001CE">
            <w:pPr>
              <w:pStyle w:val="TableParagraph"/>
            </w:pPr>
            <w:r w:rsidRPr="00FA2AA9">
              <w:t>-0.5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031FEF20" w14:textId="77777777" w:rsidR="00FA2AA9" w:rsidRPr="00FA2AA9" w:rsidRDefault="00FA2AA9" w:rsidP="00E001CE">
            <w:pPr>
              <w:pStyle w:val="TableParagraph"/>
            </w:pPr>
            <w:r w:rsidRPr="00FA2AA9">
              <w:t>-0.5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7B254A3B" w14:textId="77777777" w:rsidR="00FA2AA9" w:rsidRPr="00FA2AA9" w:rsidRDefault="00FA2AA9" w:rsidP="00E001CE">
            <w:pPr>
              <w:pStyle w:val="TableParagraph"/>
            </w:pPr>
            <w:r w:rsidRPr="00FA2AA9">
              <w:t>-0.3</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09DAEB2" w14:textId="77777777" w:rsidR="00FA2AA9" w:rsidRPr="00FA2AA9" w:rsidRDefault="00FA2AA9" w:rsidP="00E001CE">
            <w:pPr>
              <w:pStyle w:val="TableParagraph"/>
            </w:pPr>
            <w:r w:rsidRPr="00FA2AA9">
              <w:t>-0.3</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C43DDC6" w14:textId="77777777" w:rsidR="00FA2AA9" w:rsidRPr="00FA2AA9" w:rsidRDefault="00FA2AA9" w:rsidP="00E001CE">
            <w:pPr>
              <w:pStyle w:val="TableParagraph"/>
            </w:pPr>
            <w:r w:rsidRPr="00FA2AA9">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29FB91D" w14:textId="77777777" w:rsidR="00FA2AA9" w:rsidRPr="00FA2AA9" w:rsidRDefault="00FA2AA9" w:rsidP="00E001CE">
            <w:pPr>
              <w:pStyle w:val="TableParagraph"/>
            </w:pPr>
            <w:r w:rsidRPr="00FA2AA9">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48D729C" w14:textId="77777777" w:rsidR="00FA2AA9" w:rsidRPr="00FA2AA9" w:rsidRDefault="00FA2AA9" w:rsidP="00E001CE">
            <w:pPr>
              <w:pStyle w:val="TableParagraph"/>
            </w:pPr>
            <w:r w:rsidRPr="00FA2AA9">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172CC38" w14:textId="77777777" w:rsidR="00FA2AA9" w:rsidRPr="00FA2AA9" w:rsidRDefault="00FA2AA9" w:rsidP="00E001CE">
            <w:pPr>
              <w:pStyle w:val="TableParagraph"/>
            </w:pPr>
            <w:r w:rsidRPr="00FA2AA9">
              <w:t>-0.5</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5C1182CB" w14:textId="77777777" w:rsidR="00FA2AA9" w:rsidRPr="00FA2AA9" w:rsidRDefault="00FA2AA9" w:rsidP="00E001CE">
            <w:pPr>
              <w:pStyle w:val="TableParagraph"/>
            </w:pPr>
            <w:r w:rsidRPr="00FA2AA9">
              <w:t>-0.5</w:t>
            </w:r>
          </w:p>
        </w:tc>
      </w:tr>
      <w:tr w:rsidR="00F230D1" w:rsidRPr="00FA2AA9" w14:paraId="22493BC2"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1C311F64" w14:textId="77777777" w:rsidR="00FA2AA9" w:rsidRPr="00FA2AA9" w:rsidRDefault="00FA2AA9" w:rsidP="00E001CE">
            <w:pPr>
              <w:pStyle w:val="TableParagraph"/>
            </w:pPr>
            <w:r w:rsidRPr="00FA2AA9">
              <w:t>Differences in accounting approach and long-term average carbon stock</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238DEE4F" w14:textId="77777777" w:rsidR="00FA2AA9" w:rsidRPr="00FA2AA9" w:rsidRDefault="00FA2AA9" w:rsidP="00E001CE">
            <w:pPr>
              <w:pStyle w:val="TableParagraph"/>
            </w:pPr>
            <w:r w:rsidRPr="00FA2AA9">
              <w:t>-1.4</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6FC2245" w14:textId="77777777" w:rsidR="00FA2AA9" w:rsidRPr="00FA2AA9" w:rsidRDefault="00FA2AA9" w:rsidP="00E001CE">
            <w:pPr>
              <w:pStyle w:val="TableParagraph"/>
            </w:pPr>
            <w:r w:rsidRPr="00FA2AA9">
              <w:t>-1.5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1BB752D" w14:textId="77777777" w:rsidR="00FA2AA9" w:rsidRPr="00FA2AA9" w:rsidRDefault="00FA2AA9" w:rsidP="00E001CE">
            <w:pPr>
              <w:pStyle w:val="TableParagraph"/>
            </w:pPr>
            <w:r w:rsidRPr="00FA2AA9">
              <w:t>-1.7</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F8B1D74" w14:textId="77777777" w:rsidR="00FA2AA9" w:rsidRPr="00FA2AA9" w:rsidRDefault="00FA2AA9" w:rsidP="00E001CE">
            <w:pPr>
              <w:pStyle w:val="TableParagraph"/>
            </w:pPr>
            <w:r w:rsidRPr="00FA2AA9">
              <w:t>-2.0</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46F5F0BD" w14:textId="77777777" w:rsidR="00FA2AA9" w:rsidRPr="00FA2AA9" w:rsidRDefault="00FA2AA9" w:rsidP="00E001CE">
            <w:pPr>
              <w:pStyle w:val="TableParagraph"/>
            </w:pPr>
            <w:r w:rsidRPr="00FA2AA9">
              <w:t>-2.1</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4215767" w14:textId="77777777" w:rsidR="00FA2AA9" w:rsidRPr="00FA2AA9" w:rsidRDefault="00FA2AA9" w:rsidP="00E001CE">
            <w:pPr>
              <w:pStyle w:val="TableParagraph"/>
            </w:pPr>
            <w:r w:rsidRPr="00FA2AA9">
              <w:t>-2.2</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6E22F4F7" w14:textId="77777777" w:rsidR="00FA2AA9" w:rsidRPr="00FA2AA9" w:rsidRDefault="00FA2AA9" w:rsidP="00E001CE">
            <w:pPr>
              <w:pStyle w:val="TableParagraph"/>
            </w:pPr>
            <w:r w:rsidRPr="00FA2AA9">
              <w:t>-2.1</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4E1C8CCF" w14:textId="77777777" w:rsidR="00FA2AA9" w:rsidRPr="00FA2AA9" w:rsidRDefault="00FA2AA9" w:rsidP="00E001CE">
            <w:pPr>
              <w:pStyle w:val="TableParagraph"/>
            </w:pPr>
            <w:r w:rsidRPr="00FA2AA9">
              <w:t>-2.1</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3852BC63" w14:textId="77777777" w:rsidR="00FA2AA9" w:rsidRPr="00FA2AA9" w:rsidRDefault="00FA2AA9" w:rsidP="00E001CE">
            <w:pPr>
              <w:pStyle w:val="TableParagraph"/>
            </w:pPr>
            <w:r w:rsidRPr="00FA2AA9">
              <w:t>-2.1</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5911FDFA" w14:textId="77777777" w:rsidR="00FA2AA9" w:rsidRPr="00FA2AA9" w:rsidRDefault="00FA2AA9" w:rsidP="00E001CE">
            <w:pPr>
              <w:pStyle w:val="TableParagraph"/>
            </w:pPr>
            <w:r w:rsidRPr="00FA2AA9">
              <w:t>-2.0</w:t>
            </w:r>
          </w:p>
        </w:tc>
      </w:tr>
      <w:tr w:rsidR="00F230D1" w:rsidRPr="00FA2AA9" w14:paraId="5FE3DFE9" w14:textId="77777777" w:rsidTr="009E1454">
        <w:trPr>
          <w:trHeight w:val="300"/>
        </w:trPr>
        <w:tc>
          <w:tcPr>
            <w:tcW w:w="2402" w:type="dxa"/>
            <w:tcBorders>
              <w:top w:val="single" w:sz="6" w:space="0" w:color="FFFFFF"/>
              <w:left w:val="single" w:sz="6" w:space="0" w:color="FFFFFF"/>
              <w:bottom w:val="single" w:sz="6" w:space="0" w:color="FFFFFF"/>
              <w:right w:val="single" w:sz="6" w:space="0" w:color="FFFFFF"/>
            </w:tcBorders>
            <w:shd w:val="clear" w:color="auto" w:fill="C1DCD5"/>
            <w:tcMar>
              <w:left w:w="105" w:type="dxa"/>
              <w:right w:w="105" w:type="dxa"/>
            </w:tcMar>
            <w:vAlign w:val="center"/>
          </w:tcPr>
          <w:p w14:paraId="6E865671" w14:textId="77777777" w:rsidR="00FA2AA9" w:rsidRPr="00FA2AA9" w:rsidRDefault="00FA2AA9" w:rsidP="00E001CE">
            <w:pPr>
              <w:pStyle w:val="TableParagraph"/>
              <w:rPr>
                <w:b/>
              </w:rPr>
            </w:pPr>
            <w:r w:rsidRPr="00FA2AA9">
              <w:t>Net total over or under-crediting</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32AF2C81" w14:textId="77777777" w:rsidR="00FA2AA9" w:rsidRPr="00F230D1" w:rsidRDefault="00FA2AA9" w:rsidP="00E001CE">
            <w:pPr>
              <w:pStyle w:val="TableParagraph"/>
              <w:rPr>
                <w:b/>
                <w:color w:val="FF0000"/>
              </w:rPr>
            </w:pPr>
            <w:r w:rsidRPr="00E001CE">
              <w:rPr>
                <w:b/>
              </w:rPr>
              <w:t>0.8</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054B29A8" w14:textId="77777777" w:rsidR="00FA2AA9" w:rsidRPr="00F230D1" w:rsidRDefault="00FA2AA9" w:rsidP="00E001CE">
            <w:pPr>
              <w:pStyle w:val="TableParagraph"/>
              <w:rPr>
                <w:b/>
                <w:color w:val="FF0000"/>
              </w:rPr>
            </w:pPr>
            <w:r w:rsidRPr="00E001CE">
              <w:rPr>
                <w:b/>
              </w:rPr>
              <w:t>0.9</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2F89CEE0" w14:textId="77777777" w:rsidR="00FA2AA9" w:rsidRPr="00F230D1" w:rsidRDefault="00FA2AA9" w:rsidP="00E001CE">
            <w:pPr>
              <w:pStyle w:val="TableParagraph"/>
              <w:rPr>
                <w:b/>
                <w:color w:val="FF0000"/>
              </w:rPr>
            </w:pPr>
            <w:r w:rsidRPr="00E001CE">
              <w:rPr>
                <w:b/>
              </w:rPr>
              <w:t>0.8</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54D22DBB" w14:textId="77777777" w:rsidR="00FA2AA9" w:rsidRPr="00F230D1" w:rsidRDefault="00FA2AA9" w:rsidP="00E001CE">
            <w:pPr>
              <w:pStyle w:val="TableParagraph"/>
              <w:rPr>
                <w:b/>
                <w:color w:val="FF0000"/>
              </w:rPr>
            </w:pPr>
            <w:r w:rsidRPr="00E001CE">
              <w:rPr>
                <w:b/>
              </w:rPr>
              <w:t>0.6</w:t>
            </w:r>
          </w:p>
        </w:tc>
        <w:tc>
          <w:tcPr>
            <w:tcW w:w="695"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1E314E48" w14:textId="77777777" w:rsidR="00FA2AA9" w:rsidRPr="00F230D1" w:rsidRDefault="00FA2AA9" w:rsidP="00E001CE">
            <w:pPr>
              <w:pStyle w:val="TableParagraph"/>
              <w:rPr>
                <w:b/>
                <w:color w:val="FF0000"/>
              </w:rPr>
            </w:pPr>
            <w:r w:rsidRPr="00E001CE">
              <w:rPr>
                <w:b/>
              </w:rPr>
              <w:t>0.5</w:t>
            </w:r>
          </w:p>
        </w:tc>
        <w:tc>
          <w:tcPr>
            <w:tcW w:w="694" w:type="dxa"/>
            <w:tcBorders>
              <w:top w:val="single" w:sz="6" w:space="0" w:color="FFFFFF"/>
              <w:left w:val="single" w:sz="6" w:space="0" w:color="FFFFFF"/>
              <w:bottom w:val="single" w:sz="6" w:space="0" w:color="FFFFFF"/>
              <w:right w:val="single" w:sz="6" w:space="0" w:color="FFFFFF"/>
            </w:tcBorders>
            <w:shd w:val="clear" w:color="auto" w:fill="E9F5F2"/>
            <w:tcMar>
              <w:left w:w="105" w:type="dxa"/>
              <w:right w:w="105" w:type="dxa"/>
            </w:tcMar>
            <w:vAlign w:val="center"/>
          </w:tcPr>
          <w:p w14:paraId="6494D07C" w14:textId="77777777" w:rsidR="00FA2AA9" w:rsidRPr="00F230D1" w:rsidRDefault="00FA2AA9" w:rsidP="00E001CE">
            <w:pPr>
              <w:pStyle w:val="TableParagraph"/>
              <w:rPr>
                <w:b/>
                <w:color w:val="FF0000"/>
              </w:rPr>
            </w:pPr>
            <w:r w:rsidRPr="00E001CE">
              <w:rPr>
                <w:b/>
              </w:rPr>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3C0F04F5" w14:textId="77777777" w:rsidR="00FA2AA9" w:rsidRPr="00F230D1" w:rsidRDefault="00FA2AA9" w:rsidP="00E001CE">
            <w:pPr>
              <w:pStyle w:val="TableParagraph"/>
              <w:rPr>
                <w:b/>
                <w:color w:val="FF0000"/>
              </w:rPr>
            </w:pPr>
            <w:r w:rsidRPr="00E001CE">
              <w:rPr>
                <w:b/>
              </w:rPr>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273DF1AA" w14:textId="77777777" w:rsidR="00FA2AA9" w:rsidRPr="00F230D1" w:rsidRDefault="00FA2AA9" w:rsidP="00E001CE">
            <w:pPr>
              <w:pStyle w:val="TableParagraph"/>
              <w:rPr>
                <w:b/>
                <w:color w:val="FF0000"/>
              </w:rPr>
            </w:pPr>
            <w:r w:rsidRPr="00E001CE">
              <w:rPr>
                <w:b/>
              </w:rPr>
              <w:t>0.4</w:t>
            </w:r>
          </w:p>
        </w:tc>
        <w:tc>
          <w:tcPr>
            <w:tcW w:w="694"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0E6CC540" w14:textId="77777777" w:rsidR="00FA2AA9" w:rsidRPr="00F230D1" w:rsidRDefault="00FA2AA9" w:rsidP="00E001CE">
            <w:pPr>
              <w:pStyle w:val="TableParagraph"/>
              <w:rPr>
                <w:b/>
                <w:color w:val="FF0000"/>
              </w:rPr>
            </w:pPr>
            <w:r w:rsidRPr="00E001CE">
              <w:rPr>
                <w:b/>
              </w:rPr>
              <w:t>0.4</w:t>
            </w:r>
          </w:p>
        </w:tc>
        <w:tc>
          <w:tcPr>
            <w:tcW w:w="695" w:type="dxa"/>
            <w:tcBorders>
              <w:top w:val="single" w:sz="6" w:space="0" w:color="FFFFFF"/>
              <w:left w:val="single" w:sz="6" w:space="0" w:color="FFFFFF"/>
              <w:bottom w:val="single" w:sz="6" w:space="0" w:color="FFFFFF"/>
              <w:right w:val="single" w:sz="6" w:space="0" w:color="FFFFFF"/>
            </w:tcBorders>
            <w:shd w:val="clear" w:color="auto" w:fill="E9F5F2"/>
            <w:vAlign w:val="center"/>
          </w:tcPr>
          <w:p w14:paraId="7DD7EE74" w14:textId="0F109851" w:rsidR="00FA2AA9" w:rsidRPr="00F230D1" w:rsidRDefault="00FA2AA9" w:rsidP="00E001CE">
            <w:pPr>
              <w:pStyle w:val="TableParagraph"/>
              <w:rPr>
                <w:b/>
                <w:color w:val="FF0000"/>
              </w:rPr>
            </w:pPr>
            <w:r w:rsidRPr="00E001CE">
              <w:rPr>
                <w:b/>
              </w:rPr>
              <w:t>0.6</w:t>
            </w:r>
          </w:p>
        </w:tc>
      </w:tr>
    </w:tbl>
    <w:p w14:paraId="7A7D8339" w14:textId="408B6A4B" w:rsidR="00847B6C" w:rsidRDefault="00847B6C" w:rsidP="001621E1">
      <w:pPr>
        <w:pStyle w:val="BodyText"/>
        <w:keepNext/>
      </w:pPr>
      <w:r>
        <w:t xml:space="preserve">As shown, over the 2027–2031 period </w:t>
      </w:r>
      <w:r w:rsidR="00D54005">
        <w:t xml:space="preserve">covered by </w:t>
      </w:r>
      <w:r>
        <w:t xml:space="preserve">the </w:t>
      </w:r>
      <w:r w:rsidR="00D54005">
        <w:t xml:space="preserve">2026 </w:t>
      </w:r>
      <w:r>
        <w:t xml:space="preserve">NZ ETS settings </w:t>
      </w:r>
      <w:r w:rsidR="00D54005">
        <w:t>advice</w:t>
      </w:r>
      <w:r>
        <w:t xml:space="preserve">, the projected net over-crediting is 3.2 million units. </w:t>
      </w:r>
    </w:p>
    <w:p w14:paraId="7F4DD46D" w14:textId="3C201014" w:rsidR="006E33B8" w:rsidRDefault="00847B6C" w:rsidP="00847B6C">
      <w:pPr>
        <w:pStyle w:val="BodyText"/>
      </w:pPr>
      <w:r>
        <w:t>An additional breakdown of this by cause and forest type is presented in Figure 13.</w:t>
      </w:r>
    </w:p>
    <w:p w14:paraId="62396CD8" w14:textId="08AF5BAB" w:rsidR="008D444C" w:rsidRDefault="008D444C" w:rsidP="008D444C">
      <w:pPr>
        <w:pStyle w:val="FigureTabletitle"/>
      </w:pPr>
      <w:r>
        <w:t xml:space="preserve">Figure </w:t>
      </w:r>
      <w:r>
        <w:fldChar w:fldCharType="begin"/>
      </w:r>
      <w:r>
        <w:instrText xml:space="preserve"> SEQ Figure \* ARABIC </w:instrText>
      </w:r>
      <w:r>
        <w:fldChar w:fldCharType="separate"/>
      </w:r>
      <w:r w:rsidR="00133F55">
        <w:rPr>
          <w:noProof/>
        </w:rPr>
        <w:t>13</w:t>
      </w:r>
      <w:r>
        <w:fldChar w:fldCharType="end"/>
      </w:r>
      <w:r>
        <w:t xml:space="preserve">: </w:t>
      </w:r>
      <w:r w:rsidRPr="007B77A6">
        <w:t>Contributions to over/under-crediting over the 2027</w:t>
      </w:r>
      <w:r w:rsidR="00660852">
        <w:t>–</w:t>
      </w:r>
      <w:r w:rsidRPr="007B77A6">
        <w:t>2031 period by forest type</w:t>
      </w:r>
    </w:p>
    <w:p w14:paraId="4988FFC7" w14:textId="2E0214AB" w:rsidR="007C052D" w:rsidRDefault="001D2F53" w:rsidP="008D444C">
      <w:pPr>
        <w:pStyle w:val="FigureTabletitle"/>
      </w:pPr>
      <w:r>
        <w:rPr>
          <w:noProof/>
        </w:rPr>
        <w:drawing>
          <wp:inline distT="0" distB="0" distL="0" distR="0" wp14:anchorId="0522B8F1" wp14:editId="6D6A9C7B">
            <wp:extent cx="5755005" cy="3895725"/>
            <wp:effectExtent l="0" t="0" r="0" b="9525"/>
            <wp:docPr id="2046110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3895725"/>
                    </a:xfrm>
                    <a:prstGeom prst="rect">
                      <a:avLst/>
                    </a:prstGeom>
                    <a:noFill/>
                  </pic:spPr>
                </pic:pic>
              </a:graphicData>
            </a:graphic>
          </wp:inline>
        </w:drawing>
      </w:r>
    </w:p>
    <w:p w14:paraId="59C66C00" w14:textId="0A6D29CB" w:rsidR="008D444C" w:rsidRDefault="008D444C" w:rsidP="00E001CE">
      <w:pPr>
        <w:pStyle w:val="Sourceline"/>
        <w:rPr>
          <w:szCs w:val="20"/>
        </w:rPr>
      </w:pPr>
      <w:r w:rsidRPr="008D444C">
        <w:t>Source: Commission analysis</w:t>
      </w:r>
    </w:p>
    <w:p w14:paraId="6603FE43" w14:textId="77777777" w:rsidR="00584A04" w:rsidRPr="00E001CE" w:rsidRDefault="00584A04" w:rsidP="00570AC8">
      <w:pPr>
        <w:pStyle w:val="BodyText"/>
      </w:pPr>
      <w:r>
        <w:br w:type="page"/>
      </w:r>
    </w:p>
    <w:p w14:paraId="4CC54C9A" w14:textId="23C56016" w:rsidR="008D444C" w:rsidRDefault="008D444C" w:rsidP="008D444C">
      <w:pPr>
        <w:pStyle w:val="Heading1nonumber"/>
      </w:pPr>
      <w:bookmarkStart w:id="22" w:name="_Toc227580418"/>
      <w:r>
        <w:t>Sensitivity analysis and uncertainties</w:t>
      </w:r>
      <w:bookmarkEnd w:id="22"/>
    </w:p>
    <w:p w14:paraId="735F1844" w14:textId="77777777" w:rsidR="00006D76" w:rsidRDefault="00006D76" w:rsidP="00006D76">
      <w:pPr>
        <w:pStyle w:val="BodyText"/>
      </w:pPr>
      <w:r>
        <w:t xml:space="preserve">The analysis presented in this document relies on projections of forestry units which are output from the NZ ETS forestry model. Because of this reliance on projections, there are uncertainties in the analysis. </w:t>
      </w:r>
    </w:p>
    <w:p w14:paraId="2232E35D" w14:textId="77777777" w:rsidR="00006D76" w:rsidRDefault="00006D76" w:rsidP="00006D76">
      <w:pPr>
        <w:pStyle w:val="BodyText"/>
      </w:pPr>
      <w:r>
        <w:t>We have tested the sensitivity of the results to three key variables:</w:t>
      </w:r>
    </w:p>
    <w:p w14:paraId="3AA149EC" w14:textId="73ECCEF4" w:rsidR="00006D76" w:rsidRDefault="00006D76" w:rsidP="00006D76">
      <w:pPr>
        <w:pStyle w:val="Numberlist"/>
      </w:pPr>
      <w:r>
        <w:t>Level of low-risk units for production forests on stock change accounting</w:t>
      </w:r>
      <w:r w:rsidR="008A2AE6">
        <w:t>.</w:t>
      </w:r>
    </w:p>
    <w:p w14:paraId="213A8C57" w14:textId="3CAC33A5" w:rsidR="00006D76" w:rsidRDefault="00006D76" w:rsidP="00006D76">
      <w:pPr>
        <w:pStyle w:val="Numberlist"/>
      </w:pPr>
      <w:r>
        <w:t>Proportion of permanent</w:t>
      </w:r>
      <w:r w:rsidR="008A2AE6">
        <w:t xml:space="preserve"> (</w:t>
      </w:r>
      <w:r>
        <w:t>unharvested</w:t>
      </w:r>
      <w:r w:rsidR="008A2AE6">
        <w:t>)</w:t>
      </w:r>
      <w:r>
        <w:t xml:space="preserve"> exotic forests</w:t>
      </w:r>
      <w:r w:rsidR="008A2AE6">
        <w:t>.</w:t>
      </w:r>
    </w:p>
    <w:p w14:paraId="18904305" w14:textId="46D0E033" w:rsidR="00006D76" w:rsidRDefault="00006D76" w:rsidP="00006D76">
      <w:pPr>
        <w:pStyle w:val="Numberlist"/>
      </w:pPr>
      <w:r>
        <w:t>Future afforestation rates</w:t>
      </w:r>
      <w:r w:rsidR="008A2AE6">
        <w:t>.</w:t>
      </w:r>
    </w:p>
    <w:p w14:paraId="52CBB0F7" w14:textId="7167DB00" w:rsidR="008D444C" w:rsidRDefault="00006D76" w:rsidP="00006D76">
      <w:pPr>
        <w:pStyle w:val="BodyText"/>
      </w:pPr>
      <w:r>
        <w:t>The impacts of changes to NZ ETS default tables and area weightings have also been reviewed and are discussed under uncertainties.</w:t>
      </w:r>
    </w:p>
    <w:p w14:paraId="6ED5320E" w14:textId="53D27483" w:rsidR="00E77A3F" w:rsidRDefault="00E77A3F" w:rsidP="00E77A3F">
      <w:pPr>
        <w:pStyle w:val="Heading2nonumber"/>
      </w:pPr>
      <w:bookmarkStart w:id="23" w:name="_Toc227580419"/>
      <w:r>
        <w:t>Level of low-risk units for production forests on stock change accounting</w:t>
      </w:r>
      <w:bookmarkEnd w:id="23"/>
    </w:p>
    <w:p w14:paraId="0400EAC7" w14:textId="5D936471" w:rsidR="009F3886" w:rsidRDefault="009F3886" w:rsidP="009F3886">
      <w:pPr>
        <w:pStyle w:val="BodyText"/>
      </w:pPr>
      <w:r>
        <w:t>As explained earlier (</w:t>
      </w:r>
      <w:r w:rsidR="2F88A06D" w:rsidRPr="00AF140E">
        <w:rPr>
          <w:i/>
          <w:iCs/>
        </w:rPr>
        <w:t>S</w:t>
      </w:r>
      <w:r w:rsidRPr="00AF140E">
        <w:rPr>
          <w:i/>
          <w:iCs/>
        </w:rPr>
        <w:t>ection</w:t>
      </w:r>
      <w:r w:rsidRPr="00AF140E">
        <w:rPr>
          <w:i/>
        </w:rPr>
        <w:t xml:space="preserve"> 3.2</w:t>
      </w:r>
      <w:r w:rsidR="6073CFFD" w:rsidRPr="00AF140E">
        <w:rPr>
          <w:i/>
          <w:iCs/>
        </w:rPr>
        <w:t>: Accounting approaches</w:t>
      </w:r>
      <w:r w:rsidRPr="00E001CE">
        <w:t>), f</w:t>
      </w:r>
      <w:r>
        <w:t>orests on stock change accounting may have different levels of low-risk units depending on the forest owner’s portfolio, and the average level in the NZ ETS is uncertain. The minimum level of low-risk units occurs for a single forest age class, while the theoretical maximum level occurs for a perfectly diversified age class portfolio (and is equal to the long-term average).</w:t>
      </w:r>
    </w:p>
    <w:p w14:paraId="323B982E" w14:textId="13B11679" w:rsidR="009F3886" w:rsidRDefault="009F3886" w:rsidP="009F3886">
      <w:pPr>
        <w:pStyle w:val="BodyText"/>
      </w:pPr>
      <w:r>
        <w:t>We have used a central assumption of 65%</w:t>
      </w:r>
      <w:r w:rsidR="2E5939F6">
        <w:t>,</w:t>
      </w:r>
      <w:r>
        <w:t xml:space="preserve"> between the theoretical minimum and maximum level</w:t>
      </w:r>
      <w:r w:rsidR="295775A9">
        <w:t>s</w:t>
      </w:r>
      <w:r>
        <w:t xml:space="preserve">. The lower and upper assumptions for sensitivity testing are 55% and 75% respectively. These assumptions are consistent with those used in other aspects of the 2026 NZ ETS settings advice which rely on outputs from the forestry model. For further information see </w:t>
      </w:r>
      <w:r w:rsidRPr="005222CB">
        <w:t xml:space="preserve">Technical </w:t>
      </w:r>
      <w:r w:rsidR="00826577" w:rsidRPr="005222CB">
        <w:t>A</w:t>
      </w:r>
      <w:r w:rsidRPr="005222CB">
        <w:t>nnex 1: Unit limit settings</w:t>
      </w:r>
      <w:r>
        <w:t xml:space="preserve">, published on our website. </w:t>
      </w:r>
    </w:p>
    <w:p w14:paraId="036C17E1" w14:textId="3349E5EB" w:rsidR="00E77A3F" w:rsidRDefault="009F3886" w:rsidP="009F3886">
      <w:pPr>
        <w:pStyle w:val="BodyText"/>
      </w:pPr>
      <w:r>
        <w:t>Table 5 shows how changing the assumed level of low-risk units affects projected net over-crediting over the 2027–2031 period.</w:t>
      </w:r>
    </w:p>
    <w:p w14:paraId="096599A3" w14:textId="0A722B80" w:rsidR="004D645D" w:rsidRDefault="004D645D" w:rsidP="004D645D">
      <w:pPr>
        <w:pStyle w:val="FigureTabletitle"/>
      </w:pPr>
      <w:r>
        <w:t xml:space="preserve">Table </w:t>
      </w:r>
      <w:r>
        <w:fldChar w:fldCharType="begin"/>
      </w:r>
      <w:r>
        <w:instrText xml:space="preserve"> SEQ Table \* ARABIC </w:instrText>
      </w:r>
      <w:r>
        <w:fldChar w:fldCharType="separate"/>
      </w:r>
      <w:r w:rsidR="00792161">
        <w:rPr>
          <w:noProof/>
        </w:rPr>
        <w:t>5</w:t>
      </w:r>
      <w:r>
        <w:fldChar w:fldCharType="end"/>
      </w:r>
      <w:r>
        <w:t xml:space="preserve">: </w:t>
      </w:r>
      <w:r w:rsidRPr="00AE477F">
        <w:t>Results of sensitivity testing to the assumed level of low-risk units (million NZUs)</w:t>
      </w:r>
    </w:p>
    <w:tbl>
      <w:tblPr>
        <w:tblStyle w:val="TableGrid5"/>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47"/>
        <w:gridCol w:w="2173"/>
        <w:gridCol w:w="2173"/>
        <w:gridCol w:w="2174"/>
      </w:tblGrid>
      <w:tr w:rsidR="003E1492" w:rsidRPr="003E1492" w14:paraId="32044F30" w14:textId="77777777" w:rsidTr="003E1492">
        <w:tc>
          <w:tcPr>
            <w:tcW w:w="2547" w:type="dxa"/>
            <w:shd w:val="clear" w:color="auto" w:fill="003A5D"/>
          </w:tcPr>
          <w:p w14:paraId="27D07473" w14:textId="77777777" w:rsidR="003E1492" w:rsidRPr="003E1492" w:rsidRDefault="003E1492" w:rsidP="00E001CE">
            <w:pPr>
              <w:pStyle w:val="Tableheading"/>
            </w:pPr>
            <w:r w:rsidRPr="003E1492">
              <w:t>Million NZUs</w:t>
            </w:r>
          </w:p>
        </w:tc>
        <w:tc>
          <w:tcPr>
            <w:tcW w:w="2173" w:type="dxa"/>
            <w:shd w:val="clear" w:color="auto" w:fill="003A5D"/>
          </w:tcPr>
          <w:p w14:paraId="03102697" w14:textId="77777777" w:rsidR="003E1492" w:rsidRPr="003E1492" w:rsidRDefault="003E1492" w:rsidP="00E001CE">
            <w:pPr>
              <w:pStyle w:val="Tableheading"/>
              <w:jc w:val="center"/>
            </w:pPr>
            <w:r w:rsidRPr="003E1492">
              <w:t xml:space="preserve">Central assumption </w:t>
            </w:r>
            <w:r w:rsidRPr="00E001CE">
              <w:rPr>
                <w:b w:val="0"/>
              </w:rPr>
              <w:t>(65% additional low-risk units)</w:t>
            </w:r>
          </w:p>
        </w:tc>
        <w:tc>
          <w:tcPr>
            <w:tcW w:w="2173" w:type="dxa"/>
            <w:shd w:val="clear" w:color="auto" w:fill="003A5D"/>
          </w:tcPr>
          <w:p w14:paraId="1DA514EC" w14:textId="77777777" w:rsidR="003E1492" w:rsidRPr="003E1492" w:rsidRDefault="003E1492" w:rsidP="00E001CE">
            <w:pPr>
              <w:pStyle w:val="Tableheading"/>
              <w:jc w:val="center"/>
            </w:pPr>
            <w:r w:rsidRPr="003E1492">
              <w:t xml:space="preserve">Lower assumption </w:t>
            </w:r>
            <w:r w:rsidRPr="00E001CE">
              <w:rPr>
                <w:b w:val="0"/>
              </w:rPr>
              <w:t>(55% additional low-risk units)</w:t>
            </w:r>
          </w:p>
        </w:tc>
        <w:tc>
          <w:tcPr>
            <w:tcW w:w="2174" w:type="dxa"/>
            <w:shd w:val="clear" w:color="auto" w:fill="003A5D"/>
          </w:tcPr>
          <w:p w14:paraId="61205FB3" w14:textId="77777777" w:rsidR="003E1492" w:rsidRPr="003E1492" w:rsidRDefault="003E1492" w:rsidP="00E001CE">
            <w:pPr>
              <w:pStyle w:val="Tableheading"/>
              <w:jc w:val="center"/>
            </w:pPr>
            <w:r w:rsidRPr="003E1492">
              <w:t xml:space="preserve">Upper assumption </w:t>
            </w:r>
            <w:r w:rsidRPr="00E001CE">
              <w:rPr>
                <w:b w:val="0"/>
              </w:rPr>
              <w:t>(75% additional low-risk units)</w:t>
            </w:r>
          </w:p>
        </w:tc>
      </w:tr>
      <w:tr w:rsidR="003E1492" w:rsidRPr="003E1492" w14:paraId="5C408C6B" w14:textId="77777777" w:rsidTr="003E1492">
        <w:tc>
          <w:tcPr>
            <w:tcW w:w="2547" w:type="dxa"/>
            <w:shd w:val="clear" w:color="auto" w:fill="C1DCD5"/>
          </w:tcPr>
          <w:p w14:paraId="6A5EB343" w14:textId="77777777" w:rsidR="003E1492" w:rsidRPr="00F230D1" w:rsidRDefault="003E1492" w:rsidP="00E001CE">
            <w:pPr>
              <w:pStyle w:val="TableParagraph"/>
              <w:rPr>
                <w:b/>
              </w:rPr>
            </w:pPr>
            <w:r w:rsidRPr="00F230D1">
              <w:rPr>
                <w:b/>
              </w:rPr>
              <w:t xml:space="preserve">Net over-crediting over 2027-2031 period </w:t>
            </w:r>
          </w:p>
        </w:tc>
        <w:tc>
          <w:tcPr>
            <w:tcW w:w="2173" w:type="dxa"/>
            <w:shd w:val="clear" w:color="auto" w:fill="D4E8DE"/>
            <w:vAlign w:val="center"/>
          </w:tcPr>
          <w:p w14:paraId="4E0FEE7A" w14:textId="77777777" w:rsidR="003E1492" w:rsidRPr="00E001CE" w:rsidRDefault="003E1492" w:rsidP="00E001CE">
            <w:pPr>
              <w:pStyle w:val="TableParagraph"/>
              <w:jc w:val="center"/>
            </w:pPr>
            <w:r w:rsidRPr="00E001CE">
              <w:t>3.2</w:t>
            </w:r>
          </w:p>
        </w:tc>
        <w:tc>
          <w:tcPr>
            <w:tcW w:w="2173" w:type="dxa"/>
            <w:shd w:val="clear" w:color="auto" w:fill="D4E8DE"/>
            <w:vAlign w:val="center"/>
          </w:tcPr>
          <w:p w14:paraId="543C8FB1" w14:textId="77777777" w:rsidR="003E1492" w:rsidRPr="00E001CE" w:rsidRDefault="003E1492" w:rsidP="00E001CE">
            <w:pPr>
              <w:pStyle w:val="TableParagraph"/>
              <w:jc w:val="center"/>
            </w:pPr>
            <w:r w:rsidRPr="00E001CE">
              <w:t>2.7</w:t>
            </w:r>
          </w:p>
        </w:tc>
        <w:tc>
          <w:tcPr>
            <w:tcW w:w="2174" w:type="dxa"/>
            <w:shd w:val="clear" w:color="auto" w:fill="D4E8DE"/>
            <w:vAlign w:val="center"/>
          </w:tcPr>
          <w:p w14:paraId="32615D2E" w14:textId="215D8CE4" w:rsidR="003E1492" w:rsidRPr="00E001CE" w:rsidRDefault="003E1492" w:rsidP="00E001CE">
            <w:pPr>
              <w:pStyle w:val="TableParagraph"/>
              <w:jc w:val="center"/>
            </w:pPr>
            <w:r w:rsidRPr="00E001CE">
              <w:t>3.8</w:t>
            </w:r>
          </w:p>
        </w:tc>
      </w:tr>
      <w:tr w:rsidR="003E1492" w:rsidRPr="003E1492" w14:paraId="7971FB75" w14:textId="77777777" w:rsidTr="003E1492">
        <w:tc>
          <w:tcPr>
            <w:tcW w:w="2547" w:type="dxa"/>
            <w:shd w:val="clear" w:color="auto" w:fill="C1DCD5"/>
          </w:tcPr>
          <w:p w14:paraId="3357D57D" w14:textId="77777777" w:rsidR="003E1492" w:rsidRPr="00E001CE" w:rsidRDefault="003E1492" w:rsidP="00E001CE">
            <w:pPr>
              <w:pStyle w:val="TableParagraph"/>
              <w:rPr>
                <w:b/>
              </w:rPr>
            </w:pPr>
            <w:r w:rsidRPr="00F230D1">
              <w:rPr>
                <w:b/>
              </w:rPr>
              <w:t>Difference to baseline assumption</w:t>
            </w:r>
          </w:p>
        </w:tc>
        <w:tc>
          <w:tcPr>
            <w:tcW w:w="2173" w:type="dxa"/>
            <w:shd w:val="clear" w:color="auto" w:fill="E9F5F2"/>
            <w:vAlign w:val="center"/>
          </w:tcPr>
          <w:p w14:paraId="4BA5F679" w14:textId="77777777" w:rsidR="003E1492" w:rsidRPr="003E1492" w:rsidRDefault="003E1492" w:rsidP="00E001CE">
            <w:pPr>
              <w:pStyle w:val="TableParagraph"/>
              <w:jc w:val="center"/>
            </w:pPr>
            <w:r w:rsidRPr="003E1492">
              <w:t>-</w:t>
            </w:r>
          </w:p>
        </w:tc>
        <w:tc>
          <w:tcPr>
            <w:tcW w:w="2173" w:type="dxa"/>
            <w:shd w:val="clear" w:color="auto" w:fill="E9F5F2"/>
            <w:vAlign w:val="center"/>
          </w:tcPr>
          <w:p w14:paraId="38ED6689" w14:textId="30FB74A9" w:rsidR="003E1492" w:rsidRPr="003E1492" w:rsidRDefault="33C3442C" w:rsidP="00E001CE">
            <w:pPr>
              <w:pStyle w:val="TableParagraph"/>
              <w:jc w:val="center"/>
            </w:pPr>
            <w:r>
              <w:t>–</w:t>
            </w:r>
            <w:r w:rsidR="003E1492" w:rsidRPr="003E1492">
              <w:t>0.6</w:t>
            </w:r>
          </w:p>
        </w:tc>
        <w:tc>
          <w:tcPr>
            <w:tcW w:w="2174" w:type="dxa"/>
            <w:shd w:val="clear" w:color="auto" w:fill="E9F5F2"/>
            <w:vAlign w:val="center"/>
          </w:tcPr>
          <w:p w14:paraId="068362CD" w14:textId="1CF2CC5D" w:rsidR="003E1492" w:rsidRPr="003E1492" w:rsidRDefault="003E1492" w:rsidP="00E001CE">
            <w:pPr>
              <w:pStyle w:val="TableParagraph"/>
              <w:jc w:val="center"/>
            </w:pPr>
            <w:r w:rsidRPr="003E1492">
              <w:t>+0.6</w:t>
            </w:r>
          </w:p>
        </w:tc>
      </w:tr>
    </w:tbl>
    <w:p w14:paraId="33FDAD20" w14:textId="77777777" w:rsidR="00C07099" w:rsidRDefault="00C07099" w:rsidP="00C07099">
      <w:pPr>
        <w:pStyle w:val="BodyText"/>
      </w:pPr>
      <w:r>
        <w:t>The results show that a higher level of low-risk units would increase the extent of over-crediting. Conversely, a lower level of low-risk units would decrease net over-crediting.</w:t>
      </w:r>
    </w:p>
    <w:p w14:paraId="33B27EA5" w14:textId="1BA9E447" w:rsidR="003E1492" w:rsidRDefault="00C07099" w:rsidP="00C07099">
      <w:pPr>
        <w:pStyle w:val="BodyText"/>
      </w:pPr>
      <w:r>
        <w:t xml:space="preserve">The impact of uncertainty around this assumption is limited by the fact that most forests </w:t>
      </w:r>
      <w:r w:rsidR="00AF2AF6">
        <w:t>using stock change accounting in the NZ ETS</w:t>
      </w:r>
      <w:r>
        <w:t xml:space="preserve"> are already over the age at which it would make any difference (</w:t>
      </w:r>
      <w:r w:rsidR="009E4322">
        <w:t xml:space="preserve">approximately </w:t>
      </w:r>
      <w:r>
        <w:t>15 years for pine).</w:t>
      </w:r>
    </w:p>
    <w:p w14:paraId="5765E706" w14:textId="20589CCD" w:rsidR="00C07099" w:rsidRDefault="009E4322" w:rsidP="009E4322">
      <w:pPr>
        <w:pStyle w:val="Heading2nonumber"/>
      </w:pPr>
      <w:bookmarkStart w:id="24" w:name="_Toc227580420"/>
      <w:r>
        <w:t>Proportion of exotic forests assumed to be managed as permanent</w:t>
      </w:r>
      <w:bookmarkEnd w:id="24"/>
    </w:p>
    <w:p w14:paraId="2DC8E70E" w14:textId="2C63AECF" w:rsidR="008B1B10" w:rsidRDefault="008B1B10" w:rsidP="008B1B10">
      <w:pPr>
        <w:pStyle w:val="BodyText"/>
      </w:pPr>
      <w:r>
        <w:t>NZ ETS forest owners – particularly those with forests on stock change accounting – have choices around harvesting their forest or transitioning it to ‘permanent’ to avoid harvest liabilities and continue earning NZUs.</w:t>
      </w:r>
      <w:r w:rsidR="00A77715">
        <w:rPr>
          <w:rStyle w:val="FootnoteReference"/>
        </w:rPr>
        <w:footnoteReference w:id="13"/>
      </w:r>
      <w:r>
        <w:t xml:space="preserve"> This creates uncertainty for projected net forestry emissions and NZ ETS unit supply and estimated over/under crediting.</w:t>
      </w:r>
    </w:p>
    <w:p w14:paraId="0F54E1AD" w14:textId="2FCF8FBA" w:rsidR="008B1B10" w:rsidRDefault="008B1B10" w:rsidP="008B1B10">
      <w:pPr>
        <w:pStyle w:val="BodyText"/>
      </w:pPr>
      <w:r>
        <w:t xml:space="preserve">Forestry </w:t>
      </w:r>
      <w:r w:rsidR="0071630E">
        <w:t>emissions</w:t>
      </w:r>
      <w:r>
        <w:t xml:space="preserve"> projections supplied by </w:t>
      </w:r>
      <w:r w:rsidR="753BE502">
        <w:t>the Ministry for Primary Industries (</w:t>
      </w:r>
      <w:r>
        <w:t>MPI</w:t>
      </w:r>
      <w:r w:rsidR="0389E1FF">
        <w:t>)</w:t>
      </w:r>
      <w:r>
        <w:t xml:space="preserve"> include </w:t>
      </w:r>
      <w:r w:rsidR="00495658">
        <w:t xml:space="preserve">assumptions about the proportion </w:t>
      </w:r>
      <w:r>
        <w:t>of permanent and production forest area by year of planting. In line with this we have used a central assumption that 17% of the total exotic forest</w:t>
      </w:r>
      <w:r w:rsidR="00C21BAA">
        <w:t xml:space="preserve"> area</w:t>
      </w:r>
      <w:r>
        <w:t xml:space="preserve"> over 1990</w:t>
      </w:r>
      <w:r w:rsidR="00E37392">
        <w:t>–</w:t>
      </w:r>
      <w:r>
        <w:t xml:space="preserve">2024 will be managed as permanent. We have used high and low assumptions of 22% and 12%, developed by varying the permanent forest </w:t>
      </w:r>
      <w:r w:rsidR="000554C6">
        <w:t xml:space="preserve">area </w:t>
      </w:r>
      <w:r>
        <w:t xml:space="preserve">by 30% more or 30% less than the central assumption. These assumptions are consistent with those used in other aspects of the 2026 NZ ETS settings advice which rely on outputs from the forestry model. For further information see </w:t>
      </w:r>
      <w:r w:rsidRPr="00EA0B93">
        <w:t>Technical Annex 1: Unit limit settings</w:t>
      </w:r>
      <w:r>
        <w:t>, published on our website.</w:t>
      </w:r>
    </w:p>
    <w:p w14:paraId="76754502" w14:textId="48431E55" w:rsidR="009E4322" w:rsidRDefault="008B1B10" w:rsidP="008B1B10">
      <w:pPr>
        <w:pStyle w:val="BodyText"/>
      </w:pPr>
      <w:r>
        <w:t>Figure 14</w:t>
      </w:r>
      <w:r w:rsidDel="00134CE8">
        <w:t xml:space="preserve"> </w:t>
      </w:r>
      <w:r>
        <w:t>shows MPI data on the proportion of forest area assumed to be managed as permanent by year of forest planting. It also shows the total exotic forest area planted in each year, illustrated on the graph by the grey shaded area. The overall central estimate of 17% is weighted based on the area planted in each year</w:t>
      </w:r>
      <w:r w:rsidR="00ED6E70">
        <w:t xml:space="preserve"> and </w:t>
      </w:r>
      <w:r>
        <w:t>shown by the dashed line on the graph.</w:t>
      </w:r>
    </w:p>
    <w:p w14:paraId="23A22223" w14:textId="54673410" w:rsidR="0019250A" w:rsidRDefault="0019250A" w:rsidP="0019250A">
      <w:pPr>
        <w:pStyle w:val="FigureTabletitle"/>
      </w:pPr>
      <w:r>
        <w:t xml:space="preserve">Figure </w:t>
      </w:r>
      <w:r>
        <w:fldChar w:fldCharType="begin"/>
      </w:r>
      <w:r>
        <w:instrText xml:space="preserve"> SEQ Figure \* ARABIC </w:instrText>
      </w:r>
      <w:r>
        <w:fldChar w:fldCharType="separate"/>
      </w:r>
      <w:r w:rsidR="00133F55">
        <w:rPr>
          <w:noProof/>
        </w:rPr>
        <w:t>14</w:t>
      </w:r>
      <w:r>
        <w:fldChar w:fldCharType="end"/>
      </w:r>
      <w:r>
        <w:t xml:space="preserve">: </w:t>
      </w:r>
      <w:r w:rsidRPr="00EE0484">
        <w:t>Total exotic forest area planted and proportion assumed to be managed as permanent by year</w:t>
      </w:r>
    </w:p>
    <w:p w14:paraId="1DAFD2B6" w14:textId="0A4CC975" w:rsidR="008B1B10" w:rsidRDefault="007534B6" w:rsidP="008B1B10">
      <w:pPr>
        <w:pStyle w:val="BodyText"/>
        <w:rPr>
          <w:noProof/>
        </w:rPr>
      </w:pPr>
      <w:r>
        <w:rPr>
          <w:noProof/>
        </w:rPr>
        <w:drawing>
          <wp:inline distT="0" distB="0" distL="0" distR="0" wp14:anchorId="203A93B5" wp14:editId="6A639B61">
            <wp:extent cx="5944235" cy="3554095"/>
            <wp:effectExtent l="0" t="0" r="0" b="8255"/>
            <wp:docPr id="352413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4AF27CE5" w14:textId="72F3EC4B" w:rsidR="0019250A" w:rsidRDefault="0019250A" w:rsidP="001B06F8">
      <w:pPr>
        <w:pStyle w:val="Sourceline"/>
      </w:pPr>
      <w:r w:rsidRPr="0019250A">
        <w:t xml:space="preserve">Source: </w:t>
      </w:r>
      <w:r w:rsidR="00AD593A">
        <w:t>Ministry for Primary Industries</w:t>
      </w:r>
    </w:p>
    <w:p w14:paraId="1251B562" w14:textId="58FF3D45" w:rsidR="0019250A" w:rsidRDefault="002772DD" w:rsidP="002772DD">
      <w:pPr>
        <w:pStyle w:val="BodyText"/>
      </w:pPr>
      <w:r w:rsidRPr="002772DD">
        <w:t>Figure 15 shows the low, central and high assumptions of the proportion of forest area managed as permanent. This is based on varying the data provided by MPI by +/-30%.</w:t>
      </w:r>
    </w:p>
    <w:p w14:paraId="6134F087" w14:textId="16F15EC5" w:rsidR="00CB37F0" w:rsidRDefault="00CB37F0" w:rsidP="00CB37F0">
      <w:pPr>
        <w:pStyle w:val="FigureTabletitle"/>
      </w:pPr>
      <w:r>
        <w:t xml:space="preserve">Figure </w:t>
      </w:r>
      <w:r>
        <w:fldChar w:fldCharType="begin"/>
      </w:r>
      <w:r>
        <w:instrText xml:space="preserve"> SEQ Figure \* ARABIC </w:instrText>
      </w:r>
      <w:r>
        <w:fldChar w:fldCharType="separate"/>
      </w:r>
      <w:r w:rsidR="00133F55">
        <w:rPr>
          <w:noProof/>
        </w:rPr>
        <w:t>15</w:t>
      </w:r>
      <w:r>
        <w:fldChar w:fldCharType="end"/>
      </w:r>
      <w:r>
        <w:t xml:space="preserve">: </w:t>
      </w:r>
      <w:r w:rsidRPr="004D34DA">
        <w:t>Central, high and low assumptions of the proportion of forest area assumed to be managed as permanent by year of forest planting</w:t>
      </w:r>
    </w:p>
    <w:p w14:paraId="74A1C927" w14:textId="65A89526" w:rsidR="002772DD" w:rsidRDefault="00B5448A" w:rsidP="002772DD">
      <w:pPr>
        <w:pStyle w:val="BodyText"/>
        <w:rPr>
          <w:noProof/>
        </w:rPr>
      </w:pPr>
      <w:r>
        <w:rPr>
          <w:noProof/>
        </w:rPr>
        <w:drawing>
          <wp:inline distT="0" distB="0" distL="0" distR="0" wp14:anchorId="6ADE6342" wp14:editId="6A980945">
            <wp:extent cx="5944235" cy="3554095"/>
            <wp:effectExtent l="0" t="0" r="0" b="8255"/>
            <wp:docPr id="14318173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722AA8A3" w14:textId="75851A50" w:rsidR="00CB37F0" w:rsidRDefault="00CB37F0" w:rsidP="001B06F8">
      <w:pPr>
        <w:pStyle w:val="Sourceline"/>
        <w:rPr>
          <w:szCs w:val="20"/>
        </w:rPr>
      </w:pPr>
      <w:r w:rsidRPr="00CB37F0">
        <w:t xml:space="preserve">Source: </w:t>
      </w:r>
      <w:r w:rsidRPr="00CB37F0">
        <w:rPr>
          <w:szCs w:val="20"/>
        </w:rPr>
        <w:t>Commission analysis</w:t>
      </w:r>
    </w:p>
    <w:p w14:paraId="182478C3" w14:textId="66243D34" w:rsidR="00CB37F0" w:rsidRDefault="00860EE1" w:rsidP="00CB37F0">
      <w:pPr>
        <w:pStyle w:val="BodyText"/>
      </w:pPr>
      <w:r w:rsidRPr="00860EE1">
        <w:t>Table 6 shows how the different assumptions on permanent exotic forest area affect the projected net over-crediting over the 2027–2031 period.</w:t>
      </w:r>
    </w:p>
    <w:p w14:paraId="7DF12B35" w14:textId="03FED6FE" w:rsidR="005B788B" w:rsidRDefault="005B788B" w:rsidP="005B788B">
      <w:pPr>
        <w:pStyle w:val="FigureTabletitle"/>
      </w:pPr>
      <w:r>
        <w:t xml:space="preserve">Table </w:t>
      </w:r>
      <w:r>
        <w:fldChar w:fldCharType="begin"/>
      </w:r>
      <w:r>
        <w:instrText xml:space="preserve"> SEQ Table \* ARABIC </w:instrText>
      </w:r>
      <w:r>
        <w:fldChar w:fldCharType="separate"/>
      </w:r>
      <w:r w:rsidR="00792161">
        <w:rPr>
          <w:noProof/>
        </w:rPr>
        <w:t>6</w:t>
      </w:r>
      <w:r>
        <w:fldChar w:fldCharType="end"/>
      </w:r>
      <w:r>
        <w:t xml:space="preserve">: </w:t>
      </w:r>
      <w:r w:rsidRPr="00DE7700">
        <w:t>Results of sensitivity testing to the proportion of exotic forest area managed as permanent (million NZUs)</w:t>
      </w:r>
    </w:p>
    <w:tbl>
      <w:tblPr>
        <w:tblStyle w:val="TableGrid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81"/>
        <w:gridCol w:w="2226"/>
        <w:gridCol w:w="2226"/>
        <w:gridCol w:w="2227"/>
      </w:tblGrid>
      <w:tr w:rsidR="005640BD" w:rsidRPr="005640BD" w14:paraId="7ED2A6ED" w14:textId="77777777" w:rsidTr="00386BE7">
        <w:tc>
          <w:tcPr>
            <w:tcW w:w="2381" w:type="dxa"/>
            <w:shd w:val="clear" w:color="auto" w:fill="003A5D"/>
          </w:tcPr>
          <w:p w14:paraId="2DB38C21" w14:textId="77777777" w:rsidR="005640BD" w:rsidRPr="005640BD" w:rsidRDefault="005640BD" w:rsidP="00890C0E">
            <w:pPr>
              <w:pStyle w:val="Tableheading"/>
            </w:pPr>
            <w:r w:rsidRPr="005640BD">
              <w:t>Million NZUs</w:t>
            </w:r>
          </w:p>
        </w:tc>
        <w:tc>
          <w:tcPr>
            <w:tcW w:w="2226" w:type="dxa"/>
            <w:shd w:val="clear" w:color="auto" w:fill="003A5D"/>
          </w:tcPr>
          <w:p w14:paraId="5C13A368" w14:textId="6AFEF6A4" w:rsidR="005640BD" w:rsidRPr="005640BD" w:rsidRDefault="005640BD" w:rsidP="00890C0E">
            <w:pPr>
              <w:pStyle w:val="Tableheading"/>
              <w:jc w:val="center"/>
            </w:pPr>
            <w:r w:rsidRPr="005640BD">
              <w:t>Central assumption</w:t>
            </w:r>
            <w:r w:rsidRPr="005640BD">
              <w:br/>
            </w:r>
            <w:r w:rsidRPr="00890C0E">
              <w:rPr>
                <w:b w:val="0"/>
              </w:rPr>
              <w:t>(</w:t>
            </w:r>
            <w:r w:rsidR="00412BF4">
              <w:rPr>
                <w:b w:val="0"/>
              </w:rPr>
              <w:t>Area</w:t>
            </w:r>
            <w:r w:rsidR="00412BF4" w:rsidRPr="00890C0E">
              <w:rPr>
                <w:b w:val="0"/>
              </w:rPr>
              <w:t xml:space="preserve"> </w:t>
            </w:r>
            <w:r w:rsidRPr="00890C0E">
              <w:rPr>
                <w:b w:val="0"/>
              </w:rPr>
              <w:t>for each age class in MPI’s 2025 projections)</w:t>
            </w:r>
          </w:p>
        </w:tc>
        <w:tc>
          <w:tcPr>
            <w:tcW w:w="2226" w:type="dxa"/>
            <w:shd w:val="clear" w:color="auto" w:fill="003A5D"/>
          </w:tcPr>
          <w:p w14:paraId="7870A951" w14:textId="24A97FF4" w:rsidR="005640BD" w:rsidRPr="005640BD" w:rsidRDefault="005640BD" w:rsidP="00890C0E">
            <w:pPr>
              <w:pStyle w:val="Tableheading"/>
              <w:jc w:val="center"/>
            </w:pPr>
            <w:r w:rsidRPr="005640BD">
              <w:t>Low assumption</w:t>
            </w:r>
            <w:r w:rsidRPr="005640BD">
              <w:br/>
            </w:r>
            <w:r w:rsidRPr="00890C0E">
              <w:rPr>
                <w:b w:val="0"/>
              </w:rPr>
              <w:t>(</w:t>
            </w:r>
            <w:r w:rsidR="00412BF4">
              <w:rPr>
                <w:b w:val="0"/>
              </w:rPr>
              <w:t>Area managed as permanent reduced by 30%</w:t>
            </w:r>
            <w:r w:rsidRPr="00890C0E">
              <w:rPr>
                <w:b w:val="0"/>
              </w:rPr>
              <w:t>)</w:t>
            </w:r>
          </w:p>
        </w:tc>
        <w:tc>
          <w:tcPr>
            <w:tcW w:w="2227" w:type="dxa"/>
            <w:shd w:val="clear" w:color="auto" w:fill="003A5D"/>
          </w:tcPr>
          <w:p w14:paraId="151C6EC8" w14:textId="213B4B1B" w:rsidR="005640BD" w:rsidRPr="005640BD" w:rsidRDefault="005640BD" w:rsidP="00890C0E">
            <w:pPr>
              <w:pStyle w:val="Tableheading"/>
              <w:jc w:val="center"/>
            </w:pPr>
            <w:r w:rsidRPr="005640BD">
              <w:t>High assumption</w:t>
            </w:r>
            <w:r w:rsidRPr="005640BD">
              <w:br/>
            </w:r>
            <w:r w:rsidRPr="00890C0E">
              <w:rPr>
                <w:b w:val="0"/>
              </w:rPr>
              <w:t>(</w:t>
            </w:r>
            <w:r w:rsidR="00412BF4">
              <w:rPr>
                <w:b w:val="0"/>
              </w:rPr>
              <w:t>Area managed as permanent increased by 30%</w:t>
            </w:r>
            <w:r w:rsidRPr="001B06F8">
              <w:rPr>
                <w:b w:val="0"/>
              </w:rPr>
              <w:t>)</w:t>
            </w:r>
          </w:p>
        </w:tc>
      </w:tr>
      <w:tr w:rsidR="005640BD" w:rsidRPr="005640BD" w14:paraId="58F8CAF0" w14:textId="77777777" w:rsidTr="00386BE7">
        <w:tc>
          <w:tcPr>
            <w:tcW w:w="2381" w:type="dxa"/>
            <w:shd w:val="clear" w:color="auto" w:fill="C1DCD5"/>
          </w:tcPr>
          <w:p w14:paraId="725ABBBE" w14:textId="3B76BE9C" w:rsidR="005640BD" w:rsidRPr="00F230D1" w:rsidRDefault="005640BD" w:rsidP="001B06F8">
            <w:pPr>
              <w:pStyle w:val="TableParagraph"/>
              <w:rPr>
                <w:b/>
              </w:rPr>
            </w:pPr>
            <w:r w:rsidRPr="00F230D1">
              <w:rPr>
                <w:b/>
              </w:rPr>
              <w:t>Net over-crediting over 2027</w:t>
            </w:r>
            <w:r w:rsidR="00775ACC">
              <w:rPr>
                <w:b/>
              </w:rPr>
              <w:t>–</w:t>
            </w:r>
            <w:r w:rsidRPr="00F230D1">
              <w:rPr>
                <w:b/>
              </w:rPr>
              <w:t xml:space="preserve">2031 period </w:t>
            </w:r>
          </w:p>
        </w:tc>
        <w:tc>
          <w:tcPr>
            <w:tcW w:w="2226" w:type="dxa"/>
            <w:shd w:val="clear" w:color="auto" w:fill="D4E8DE"/>
            <w:vAlign w:val="center"/>
          </w:tcPr>
          <w:p w14:paraId="1DE16CB9" w14:textId="77777777" w:rsidR="005640BD" w:rsidRPr="005640BD" w:rsidRDefault="005640BD" w:rsidP="001B06F8">
            <w:pPr>
              <w:pStyle w:val="TableParagraph"/>
              <w:jc w:val="center"/>
            </w:pPr>
            <w:r w:rsidRPr="005640BD">
              <w:t>3.2</w:t>
            </w:r>
          </w:p>
        </w:tc>
        <w:tc>
          <w:tcPr>
            <w:tcW w:w="2226" w:type="dxa"/>
            <w:shd w:val="clear" w:color="auto" w:fill="D4E8DE"/>
            <w:vAlign w:val="center"/>
          </w:tcPr>
          <w:p w14:paraId="6C14C30E" w14:textId="77777777" w:rsidR="005640BD" w:rsidRPr="005640BD" w:rsidRDefault="005640BD" w:rsidP="001B06F8">
            <w:pPr>
              <w:pStyle w:val="TableParagraph"/>
              <w:jc w:val="center"/>
            </w:pPr>
            <w:r w:rsidRPr="005640BD">
              <w:t>2.5</w:t>
            </w:r>
          </w:p>
        </w:tc>
        <w:tc>
          <w:tcPr>
            <w:tcW w:w="2227" w:type="dxa"/>
            <w:shd w:val="clear" w:color="auto" w:fill="D4E8DE"/>
            <w:vAlign w:val="center"/>
          </w:tcPr>
          <w:p w14:paraId="738BE5B8" w14:textId="77777777" w:rsidR="005640BD" w:rsidRPr="005640BD" w:rsidRDefault="005640BD" w:rsidP="001B06F8">
            <w:pPr>
              <w:pStyle w:val="TableParagraph"/>
              <w:jc w:val="center"/>
            </w:pPr>
            <w:r w:rsidRPr="005640BD">
              <w:t>3.9</w:t>
            </w:r>
          </w:p>
        </w:tc>
      </w:tr>
      <w:tr w:rsidR="005640BD" w:rsidRPr="005640BD" w14:paraId="432E06BF" w14:textId="77777777" w:rsidTr="00386BE7">
        <w:tc>
          <w:tcPr>
            <w:tcW w:w="2381" w:type="dxa"/>
            <w:shd w:val="clear" w:color="auto" w:fill="C1DCD5"/>
          </w:tcPr>
          <w:p w14:paraId="5B8E4635" w14:textId="77777777" w:rsidR="005640BD" w:rsidRPr="00F230D1" w:rsidRDefault="005640BD" w:rsidP="001B06F8">
            <w:pPr>
              <w:pStyle w:val="TableParagraph"/>
              <w:rPr>
                <w:b/>
              </w:rPr>
            </w:pPr>
            <w:r w:rsidRPr="00F230D1">
              <w:rPr>
                <w:b/>
              </w:rPr>
              <w:t>Difference to baseline assumption</w:t>
            </w:r>
          </w:p>
        </w:tc>
        <w:tc>
          <w:tcPr>
            <w:tcW w:w="2226" w:type="dxa"/>
            <w:shd w:val="clear" w:color="auto" w:fill="E9F5F2"/>
            <w:vAlign w:val="center"/>
          </w:tcPr>
          <w:p w14:paraId="7C28441B" w14:textId="77777777" w:rsidR="005640BD" w:rsidRPr="005640BD" w:rsidRDefault="005640BD" w:rsidP="001B06F8">
            <w:pPr>
              <w:pStyle w:val="TableParagraph"/>
              <w:jc w:val="center"/>
            </w:pPr>
            <w:r w:rsidRPr="005640BD">
              <w:t>-</w:t>
            </w:r>
          </w:p>
        </w:tc>
        <w:tc>
          <w:tcPr>
            <w:tcW w:w="2226" w:type="dxa"/>
            <w:shd w:val="clear" w:color="auto" w:fill="E9F5F2"/>
            <w:vAlign w:val="center"/>
          </w:tcPr>
          <w:p w14:paraId="2FC9AC62" w14:textId="77777777" w:rsidR="005640BD" w:rsidRPr="005640BD" w:rsidRDefault="005640BD" w:rsidP="001B06F8">
            <w:pPr>
              <w:pStyle w:val="TableParagraph"/>
              <w:jc w:val="center"/>
            </w:pPr>
            <w:r w:rsidRPr="005640BD">
              <w:t>-0.7</w:t>
            </w:r>
          </w:p>
        </w:tc>
        <w:tc>
          <w:tcPr>
            <w:tcW w:w="2227" w:type="dxa"/>
            <w:shd w:val="clear" w:color="auto" w:fill="E9F5F2"/>
            <w:vAlign w:val="center"/>
          </w:tcPr>
          <w:p w14:paraId="66E6E6B8" w14:textId="1A7019C5" w:rsidR="005640BD" w:rsidRPr="005640BD" w:rsidRDefault="005640BD" w:rsidP="001B06F8">
            <w:pPr>
              <w:pStyle w:val="TableParagraph"/>
              <w:jc w:val="center"/>
            </w:pPr>
            <w:r w:rsidRPr="005640BD">
              <w:t>0.7</w:t>
            </w:r>
          </w:p>
        </w:tc>
      </w:tr>
    </w:tbl>
    <w:p w14:paraId="4738D52A" w14:textId="39B73BF4" w:rsidR="00386BE7" w:rsidRDefault="00386BE7" w:rsidP="001B06F8">
      <w:pPr>
        <w:pStyle w:val="BodyText"/>
      </w:pPr>
      <w:r>
        <w:t>Net over-crediting is lower than the central estimate under the low assumption, and higher under the high assumption.</w:t>
      </w:r>
    </w:p>
    <w:p w14:paraId="78CAED1C" w14:textId="5453EC4D" w:rsidR="00860EE1" w:rsidRDefault="00386BE7" w:rsidP="00386BE7">
      <w:pPr>
        <w:pStyle w:val="Heading2nonumber"/>
      </w:pPr>
      <w:bookmarkStart w:id="25" w:name="_Toc227580421"/>
      <w:r>
        <w:t>Future afforestation rates</w:t>
      </w:r>
      <w:bookmarkEnd w:id="25"/>
    </w:p>
    <w:p w14:paraId="51E2B456" w14:textId="6ED6A3B6" w:rsidR="00386BE7" w:rsidRDefault="00C70E24" w:rsidP="00386BE7">
      <w:pPr>
        <w:pStyle w:val="BodyText"/>
      </w:pPr>
      <w:r w:rsidRPr="00C70E24">
        <w:t>Sensitivity to future afforestation rates was tested using the ‘Lower’ and ‘Upper’ scenarios in the forestry projections contained in the 2025 government emissions projections (Table 7).</w:t>
      </w:r>
    </w:p>
    <w:p w14:paraId="1C4EF471" w14:textId="562AE261" w:rsidR="009F6DFB" w:rsidRDefault="009F6DFB" w:rsidP="009F6DFB">
      <w:pPr>
        <w:pStyle w:val="FigureTabletitle"/>
      </w:pPr>
      <w:r>
        <w:t xml:space="preserve">Table </w:t>
      </w:r>
      <w:r>
        <w:fldChar w:fldCharType="begin"/>
      </w:r>
      <w:r>
        <w:instrText xml:space="preserve"> SEQ Table \* ARABIC </w:instrText>
      </w:r>
      <w:r>
        <w:fldChar w:fldCharType="separate"/>
      </w:r>
      <w:r w:rsidR="00792161">
        <w:rPr>
          <w:noProof/>
        </w:rPr>
        <w:t>7</w:t>
      </w:r>
      <w:r>
        <w:fldChar w:fldCharType="end"/>
      </w:r>
      <w:r>
        <w:t xml:space="preserve">: </w:t>
      </w:r>
      <w:r w:rsidRPr="00887FD0">
        <w:t>Afforestation rates in MPI’s 2025 forestry projections</w:t>
      </w:r>
    </w:p>
    <w:tbl>
      <w:tblPr>
        <w:tblStyle w:val="TableGrid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22"/>
        <w:gridCol w:w="4110"/>
        <w:gridCol w:w="2784"/>
      </w:tblGrid>
      <w:tr w:rsidR="00C7760B" w:rsidRPr="00C7760B" w14:paraId="1BCDAE08" w14:textId="77777777" w:rsidTr="00C7760B">
        <w:tc>
          <w:tcPr>
            <w:tcW w:w="2122" w:type="dxa"/>
            <w:shd w:val="clear" w:color="auto" w:fill="003A5D"/>
          </w:tcPr>
          <w:p w14:paraId="20C67DCB" w14:textId="77777777" w:rsidR="00C7760B" w:rsidRPr="00C7760B" w:rsidRDefault="00C7760B" w:rsidP="001B06F8">
            <w:pPr>
              <w:pStyle w:val="Tableheading"/>
            </w:pPr>
          </w:p>
        </w:tc>
        <w:tc>
          <w:tcPr>
            <w:tcW w:w="4110" w:type="dxa"/>
            <w:shd w:val="clear" w:color="auto" w:fill="003A5D"/>
          </w:tcPr>
          <w:p w14:paraId="79D48E37" w14:textId="77777777" w:rsidR="00C7760B" w:rsidRPr="00C7760B" w:rsidRDefault="00C7760B" w:rsidP="001B06F8">
            <w:pPr>
              <w:pStyle w:val="Tableheading"/>
            </w:pPr>
            <w:r w:rsidRPr="00C7760B">
              <w:t>Exotic afforestation</w:t>
            </w:r>
          </w:p>
        </w:tc>
        <w:tc>
          <w:tcPr>
            <w:tcW w:w="2784" w:type="dxa"/>
            <w:shd w:val="clear" w:color="auto" w:fill="003A5D"/>
          </w:tcPr>
          <w:p w14:paraId="6A60BA08" w14:textId="77777777" w:rsidR="00C7760B" w:rsidRPr="00C7760B" w:rsidRDefault="00C7760B" w:rsidP="001B06F8">
            <w:pPr>
              <w:pStyle w:val="Tableheading"/>
            </w:pPr>
            <w:r w:rsidRPr="00C7760B">
              <w:t>Native afforestation</w:t>
            </w:r>
          </w:p>
        </w:tc>
      </w:tr>
      <w:tr w:rsidR="00C7760B" w:rsidRPr="00C7760B" w14:paraId="319B80D2" w14:textId="77777777" w:rsidTr="00C7760B">
        <w:tc>
          <w:tcPr>
            <w:tcW w:w="2122" w:type="dxa"/>
            <w:shd w:val="clear" w:color="auto" w:fill="C1DCD5"/>
          </w:tcPr>
          <w:p w14:paraId="3C9A3CAD" w14:textId="77777777" w:rsidR="00C7760B" w:rsidRPr="00F230D1" w:rsidRDefault="00C7760B" w:rsidP="001B06F8">
            <w:pPr>
              <w:pStyle w:val="TableParagraph"/>
              <w:rPr>
                <w:b/>
              </w:rPr>
            </w:pPr>
            <w:r w:rsidRPr="00F230D1">
              <w:rPr>
                <w:b/>
              </w:rPr>
              <w:t>Central projection</w:t>
            </w:r>
          </w:p>
        </w:tc>
        <w:tc>
          <w:tcPr>
            <w:tcW w:w="4110" w:type="dxa"/>
            <w:shd w:val="clear" w:color="auto" w:fill="D4E8DE"/>
          </w:tcPr>
          <w:p w14:paraId="0416958A" w14:textId="77777777" w:rsidR="00C7760B" w:rsidRPr="00C7760B" w:rsidRDefault="00C7760B" w:rsidP="001B06F8">
            <w:pPr>
              <w:pStyle w:val="TableParagraph"/>
            </w:pPr>
            <w:r w:rsidRPr="00C7760B">
              <w:t>2025: 60,600 ha</w:t>
            </w:r>
          </w:p>
          <w:p w14:paraId="717376B1" w14:textId="59994FFD" w:rsidR="00C7760B" w:rsidRPr="00C7760B" w:rsidRDefault="00C7760B" w:rsidP="001B06F8">
            <w:pPr>
              <w:pStyle w:val="TableParagraph"/>
            </w:pPr>
            <w:r w:rsidRPr="00C7760B">
              <w:t xml:space="preserve">2026 on: 27,200 ha </w:t>
            </w:r>
            <w:r w:rsidRPr="00C7760B">
              <w:br/>
            </w:r>
          </w:p>
        </w:tc>
        <w:tc>
          <w:tcPr>
            <w:tcW w:w="2784" w:type="dxa"/>
            <w:shd w:val="clear" w:color="auto" w:fill="D4E8DE"/>
          </w:tcPr>
          <w:p w14:paraId="759D60E7" w14:textId="699E8A4E" w:rsidR="00C7760B" w:rsidRPr="00C7760B" w:rsidRDefault="00C7760B" w:rsidP="001B06F8">
            <w:pPr>
              <w:pStyle w:val="TableParagraph"/>
            </w:pPr>
            <w:r w:rsidRPr="00C7760B">
              <w:t>Falls from 2,200 ha in 2025 to 100 ha from 2028</w:t>
            </w:r>
          </w:p>
        </w:tc>
      </w:tr>
      <w:tr w:rsidR="00C7760B" w:rsidRPr="00C7760B" w14:paraId="2BE7D1BE" w14:textId="77777777" w:rsidTr="00C7760B">
        <w:tc>
          <w:tcPr>
            <w:tcW w:w="2122" w:type="dxa"/>
            <w:shd w:val="clear" w:color="auto" w:fill="C1DCD5"/>
          </w:tcPr>
          <w:p w14:paraId="35A9B85B" w14:textId="77777777" w:rsidR="00C7760B" w:rsidRPr="00F230D1" w:rsidRDefault="00C7760B" w:rsidP="001B06F8">
            <w:pPr>
              <w:pStyle w:val="TableParagraph"/>
              <w:rPr>
                <w:b/>
              </w:rPr>
            </w:pPr>
            <w:r w:rsidRPr="00F230D1">
              <w:rPr>
                <w:b/>
              </w:rPr>
              <w:t>Lower projection</w:t>
            </w:r>
          </w:p>
        </w:tc>
        <w:tc>
          <w:tcPr>
            <w:tcW w:w="4110" w:type="dxa"/>
            <w:shd w:val="clear" w:color="auto" w:fill="E9F5F2"/>
          </w:tcPr>
          <w:p w14:paraId="4B123A26" w14:textId="41E561E1" w:rsidR="00C7760B" w:rsidRPr="00C7760B" w:rsidRDefault="00C7760B" w:rsidP="0044262B">
            <w:pPr>
              <w:pStyle w:val="TableParagraph"/>
            </w:pPr>
            <w:r w:rsidRPr="00C7760B">
              <w:t xml:space="preserve">2025: </w:t>
            </w:r>
            <w:r w:rsidR="00967B4D">
              <w:t>44,000</w:t>
            </w:r>
            <w:r w:rsidRPr="00C7760B">
              <w:t xml:space="preserve"> ha</w:t>
            </w:r>
          </w:p>
          <w:p w14:paraId="154D9B66" w14:textId="77777777" w:rsidR="00C7760B" w:rsidRPr="00C7760B" w:rsidRDefault="00C7760B" w:rsidP="001B06F8">
            <w:pPr>
              <w:pStyle w:val="TableParagraph"/>
            </w:pPr>
            <w:r w:rsidRPr="00C7760B">
              <w:t>2026 on: 21,100 ha</w:t>
            </w:r>
          </w:p>
          <w:p w14:paraId="5D4F587E" w14:textId="77777777" w:rsidR="00C7760B" w:rsidRPr="00C7760B" w:rsidRDefault="00C7760B" w:rsidP="001B06F8">
            <w:pPr>
              <w:pStyle w:val="TableParagraph"/>
            </w:pPr>
            <w:r w:rsidRPr="00C7760B">
              <w:t>Lower proportion of permanent forestry</w:t>
            </w:r>
          </w:p>
        </w:tc>
        <w:tc>
          <w:tcPr>
            <w:tcW w:w="2784" w:type="dxa"/>
            <w:shd w:val="clear" w:color="auto" w:fill="E9F5F2"/>
          </w:tcPr>
          <w:p w14:paraId="4802BBB4" w14:textId="022CB3AC" w:rsidR="00C7760B" w:rsidRPr="00C7760B" w:rsidRDefault="00C7760B" w:rsidP="001B06F8">
            <w:pPr>
              <w:pStyle w:val="TableParagraph"/>
            </w:pPr>
            <w:r w:rsidRPr="00C7760B">
              <w:t>Falls from 2,200 ha in 2025 to 50 ha from 2028</w:t>
            </w:r>
          </w:p>
        </w:tc>
      </w:tr>
      <w:tr w:rsidR="00C7760B" w:rsidRPr="00C7760B" w14:paraId="35B34FFB" w14:textId="77777777" w:rsidTr="00C7760B">
        <w:tc>
          <w:tcPr>
            <w:tcW w:w="2122" w:type="dxa"/>
            <w:shd w:val="clear" w:color="auto" w:fill="C1DCD5"/>
          </w:tcPr>
          <w:p w14:paraId="77662855" w14:textId="77777777" w:rsidR="00C7760B" w:rsidRPr="00F230D1" w:rsidRDefault="00C7760B" w:rsidP="001B06F8">
            <w:pPr>
              <w:pStyle w:val="TableParagraph"/>
              <w:rPr>
                <w:b/>
              </w:rPr>
            </w:pPr>
            <w:r w:rsidRPr="00F230D1">
              <w:rPr>
                <w:b/>
              </w:rPr>
              <w:t>Upper projection</w:t>
            </w:r>
          </w:p>
        </w:tc>
        <w:tc>
          <w:tcPr>
            <w:tcW w:w="4110" w:type="dxa"/>
            <w:shd w:val="clear" w:color="auto" w:fill="D4E8DE"/>
          </w:tcPr>
          <w:p w14:paraId="25263B91" w14:textId="77777777" w:rsidR="00C7760B" w:rsidRPr="00C7760B" w:rsidRDefault="00C7760B" w:rsidP="001B06F8">
            <w:pPr>
              <w:pStyle w:val="TableParagraph"/>
            </w:pPr>
            <w:r w:rsidRPr="00C7760B">
              <w:t>2025: 70,600 ha</w:t>
            </w:r>
          </w:p>
          <w:p w14:paraId="46C7F8BA" w14:textId="77777777" w:rsidR="00C7760B" w:rsidRPr="00C7760B" w:rsidRDefault="00C7760B" w:rsidP="001B06F8">
            <w:pPr>
              <w:pStyle w:val="TableParagraph"/>
            </w:pPr>
            <w:r w:rsidRPr="00C7760B">
              <w:t>2026 on: 33,300 ha</w:t>
            </w:r>
          </w:p>
          <w:p w14:paraId="009DC341" w14:textId="77777777" w:rsidR="00C7760B" w:rsidRPr="00C7760B" w:rsidRDefault="00C7760B" w:rsidP="001B06F8">
            <w:pPr>
              <w:pStyle w:val="TableParagraph"/>
            </w:pPr>
            <w:r w:rsidRPr="00C7760B">
              <w:t>Higher proportion of permanent forestry</w:t>
            </w:r>
          </w:p>
        </w:tc>
        <w:tc>
          <w:tcPr>
            <w:tcW w:w="2784" w:type="dxa"/>
            <w:shd w:val="clear" w:color="auto" w:fill="D4E8DE"/>
          </w:tcPr>
          <w:p w14:paraId="3F583342" w14:textId="07F57F17" w:rsidR="00C7760B" w:rsidRPr="00C7760B" w:rsidRDefault="00C7760B" w:rsidP="001B06F8">
            <w:pPr>
              <w:pStyle w:val="TableParagraph"/>
            </w:pPr>
            <w:r w:rsidRPr="00C7760B">
              <w:t>Falls from 2,200 ha in 2025 to 150 ha from 2028</w:t>
            </w:r>
          </w:p>
        </w:tc>
      </w:tr>
    </w:tbl>
    <w:p w14:paraId="6D17D080" w14:textId="280183AA" w:rsidR="00C70E24" w:rsidRDefault="00E52215" w:rsidP="00386BE7">
      <w:pPr>
        <w:pStyle w:val="BodyText"/>
      </w:pPr>
      <w:r w:rsidRPr="00E52215">
        <w:t>Table 8 shows how the different afforestation rates affect the projected net over-crediting over the 2027–2031 period.</w:t>
      </w:r>
    </w:p>
    <w:p w14:paraId="5F2A734A" w14:textId="5C3D67B3" w:rsidR="000064F1" w:rsidRDefault="000064F1" w:rsidP="000064F1">
      <w:pPr>
        <w:pStyle w:val="FigureTabletitle"/>
      </w:pPr>
      <w:r>
        <w:t xml:space="preserve">Table </w:t>
      </w:r>
      <w:r>
        <w:fldChar w:fldCharType="begin"/>
      </w:r>
      <w:r>
        <w:instrText xml:space="preserve"> SEQ Table \* ARABIC </w:instrText>
      </w:r>
      <w:r>
        <w:fldChar w:fldCharType="separate"/>
      </w:r>
      <w:r w:rsidR="00792161">
        <w:rPr>
          <w:noProof/>
        </w:rPr>
        <w:t>8</w:t>
      </w:r>
      <w:r>
        <w:fldChar w:fldCharType="end"/>
      </w:r>
      <w:r>
        <w:t xml:space="preserve">: </w:t>
      </w:r>
      <w:r w:rsidRPr="00E73983">
        <w:t>Results of sensitivity testing to future afforestation rates (million NZUs)</w:t>
      </w:r>
    </w:p>
    <w:tbl>
      <w:tblPr>
        <w:tblStyle w:val="TableGrid8"/>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2"/>
        <w:gridCol w:w="2031"/>
        <w:gridCol w:w="2032"/>
        <w:gridCol w:w="2032"/>
      </w:tblGrid>
      <w:tr w:rsidR="00D84E61" w:rsidRPr="00D84E61" w14:paraId="7AFC1DAB" w14:textId="77777777" w:rsidTr="00D84E61">
        <w:tc>
          <w:tcPr>
            <w:tcW w:w="0" w:type="auto"/>
            <w:shd w:val="clear" w:color="auto" w:fill="003A5D"/>
          </w:tcPr>
          <w:p w14:paraId="750348CC" w14:textId="77777777" w:rsidR="00D84E61" w:rsidRPr="00D84E61" w:rsidRDefault="00D84E61" w:rsidP="001B06F8">
            <w:pPr>
              <w:pStyle w:val="Tableheading"/>
            </w:pPr>
            <w:r w:rsidRPr="00D84E61">
              <w:t>Million NZUs</w:t>
            </w:r>
          </w:p>
        </w:tc>
        <w:tc>
          <w:tcPr>
            <w:tcW w:w="2031" w:type="dxa"/>
            <w:shd w:val="clear" w:color="auto" w:fill="003A5D"/>
          </w:tcPr>
          <w:p w14:paraId="1A0CB3CC" w14:textId="77777777" w:rsidR="00D84E61" w:rsidRPr="00D84E61" w:rsidRDefault="00D84E61" w:rsidP="001B06F8">
            <w:pPr>
              <w:pStyle w:val="Tableheading"/>
            </w:pPr>
            <w:r w:rsidRPr="00D84E61">
              <w:t>MPI 2025 Central projection</w:t>
            </w:r>
          </w:p>
        </w:tc>
        <w:tc>
          <w:tcPr>
            <w:tcW w:w="2032" w:type="dxa"/>
            <w:shd w:val="clear" w:color="auto" w:fill="003A5D"/>
          </w:tcPr>
          <w:p w14:paraId="745A4BFC" w14:textId="77777777" w:rsidR="00D84E61" w:rsidRPr="00D84E61" w:rsidRDefault="00D84E61" w:rsidP="001B06F8">
            <w:pPr>
              <w:pStyle w:val="Tableheading"/>
            </w:pPr>
            <w:r w:rsidRPr="00D84E61">
              <w:t>MPI 2025 Lower projection</w:t>
            </w:r>
          </w:p>
        </w:tc>
        <w:tc>
          <w:tcPr>
            <w:tcW w:w="2032" w:type="dxa"/>
            <w:shd w:val="clear" w:color="auto" w:fill="003A5D"/>
          </w:tcPr>
          <w:p w14:paraId="4721E933" w14:textId="77777777" w:rsidR="00D84E61" w:rsidRPr="00D84E61" w:rsidRDefault="00D84E61" w:rsidP="001B06F8">
            <w:pPr>
              <w:pStyle w:val="Tableheading"/>
            </w:pPr>
            <w:r w:rsidRPr="00D84E61">
              <w:t>MPI 2025 Higher projection</w:t>
            </w:r>
          </w:p>
        </w:tc>
      </w:tr>
      <w:tr w:rsidR="00D84E61" w:rsidRPr="00D84E61" w14:paraId="52E27E8B" w14:textId="77777777" w:rsidTr="00D84E61">
        <w:tc>
          <w:tcPr>
            <w:tcW w:w="0" w:type="auto"/>
            <w:shd w:val="clear" w:color="auto" w:fill="C1DCD5"/>
          </w:tcPr>
          <w:p w14:paraId="350B28A6" w14:textId="77777777" w:rsidR="00D84E61" w:rsidRPr="00F230D1" w:rsidRDefault="00D84E61" w:rsidP="001B06F8">
            <w:pPr>
              <w:pStyle w:val="TableParagraph"/>
              <w:rPr>
                <w:b/>
              </w:rPr>
            </w:pPr>
            <w:r w:rsidRPr="00F230D1">
              <w:rPr>
                <w:b/>
              </w:rPr>
              <w:t xml:space="preserve">Net over-crediting over 2027–2031 period </w:t>
            </w:r>
          </w:p>
        </w:tc>
        <w:tc>
          <w:tcPr>
            <w:tcW w:w="2031" w:type="dxa"/>
            <w:shd w:val="clear" w:color="auto" w:fill="D4E8DE"/>
            <w:vAlign w:val="center"/>
          </w:tcPr>
          <w:p w14:paraId="08234824" w14:textId="77777777" w:rsidR="00D84E61" w:rsidRPr="00D84E61" w:rsidRDefault="00D84E61" w:rsidP="001B06F8">
            <w:pPr>
              <w:pStyle w:val="TableParagraph"/>
            </w:pPr>
            <w:r w:rsidRPr="00D84E61">
              <w:t>3.2</w:t>
            </w:r>
          </w:p>
        </w:tc>
        <w:tc>
          <w:tcPr>
            <w:tcW w:w="2032" w:type="dxa"/>
            <w:shd w:val="clear" w:color="auto" w:fill="D4E8DE"/>
            <w:vAlign w:val="center"/>
          </w:tcPr>
          <w:p w14:paraId="4C934CC4" w14:textId="77777777" w:rsidR="00D84E61" w:rsidRPr="00D84E61" w:rsidRDefault="00D84E61" w:rsidP="001B06F8">
            <w:pPr>
              <w:pStyle w:val="TableParagraph"/>
            </w:pPr>
            <w:r w:rsidRPr="00D84E61">
              <w:t>2.4</w:t>
            </w:r>
          </w:p>
        </w:tc>
        <w:tc>
          <w:tcPr>
            <w:tcW w:w="2032" w:type="dxa"/>
            <w:shd w:val="clear" w:color="auto" w:fill="D4E8DE"/>
            <w:vAlign w:val="center"/>
          </w:tcPr>
          <w:p w14:paraId="49F4E42D" w14:textId="77777777" w:rsidR="00D84E61" w:rsidRPr="00D84E61" w:rsidRDefault="00D84E61" w:rsidP="001B06F8">
            <w:pPr>
              <w:pStyle w:val="TableParagraph"/>
            </w:pPr>
            <w:r w:rsidRPr="00D84E61">
              <w:t>4.0</w:t>
            </w:r>
          </w:p>
        </w:tc>
      </w:tr>
      <w:tr w:rsidR="00D84E61" w:rsidRPr="00D84E61" w14:paraId="62EB6585" w14:textId="77777777" w:rsidTr="00D84E61">
        <w:trPr>
          <w:trHeight w:val="70"/>
        </w:trPr>
        <w:tc>
          <w:tcPr>
            <w:tcW w:w="0" w:type="auto"/>
            <w:shd w:val="clear" w:color="auto" w:fill="C1DCD5"/>
          </w:tcPr>
          <w:p w14:paraId="561D7F6C" w14:textId="77777777" w:rsidR="00D84E61" w:rsidRPr="00F230D1" w:rsidRDefault="00D84E61" w:rsidP="001B06F8">
            <w:pPr>
              <w:pStyle w:val="TableParagraph"/>
              <w:rPr>
                <w:b/>
              </w:rPr>
            </w:pPr>
            <w:r w:rsidRPr="00F230D1">
              <w:rPr>
                <w:b/>
              </w:rPr>
              <w:t>Difference to baseline projection</w:t>
            </w:r>
          </w:p>
        </w:tc>
        <w:tc>
          <w:tcPr>
            <w:tcW w:w="2031" w:type="dxa"/>
            <w:shd w:val="clear" w:color="auto" w:fill="E9F5F2"/>
            <w:vAlign w:val="center"/>
          </w:tcPr>
          <w:p w14:paraId="44AE45C6" w14:textId="77777777" w:rsidR="00D84E61" w:rsidRPr="00D84E61" w:rsidRDefault="00D84E61" w:rsidP="001B06F8">
            <w:pPr>
              <w:pStyle w:val="TableParagraph"/>
            </w:pPr>
            <w:r w:rsidRPr="00D84E61">
              <w:t>-</w:t>
            </w:r>
          </w:p>
        </w:tc>
        <w:tc>
          <w:tcPr>
            <w:tcW w:w="2032" w:type="dxa"/>
            <w:shd w:val="clear" w:color="auto" w:fill="E9F5F2"/>
            <w:vAlign w:val="center"/>
          </w:tcPr>
          <w:p w14:paraId="6CB79A37" w14:textId="5290FF46" w:rsidR="00D84E61" w:rsidRPr="00D84E61" w:rsidRDefault="702BB3F8" w:rsidP="001B06F8">
            <w:pPr>
              <w:pStyle w:val="TableParagraph"/>
            </w:pPr>
            <w:r>
              <w:t>–</w:t>
            </w:r>
            <w:r w:rsidR="00D84E61" w:rsidRPr="00D84E61">
              <w:t>0.8</w:t>
            </w:r>
          </w:p>
        </w:tc>
        <w:tc>
          <w:tcPr>
            <w:tcW w:w="2032" w:type="dxa"/>
            <w:shd w:val="clear" w:color="auto" w:fill="E9F5F2"/>
            <w:vAlign w:val="center"/>
          </w:tcPr>
          <w:p w14:paraId="5AA40F4A" w14:textId="70195246" w:rsidR="00D84E61" w:rsidRPr="00D84E61" w:rsidRDefault="00D84E61" w:rsidP="001B06F8">
            <w:pPr>
              <w:pStyle w:val="TableParagraph"/>
            </w:pPr>
            <w:r w:rsidRPr="00D84E61">
              <w:t>+0.8</w:t>
            </w:r>
          </w:p>
        </w:tc>
      </w:tr>
    </w:tbl>
    <w:p w14:paraId="68776D39" w14:textId="705CA8D9" w:rsidR="00E52215" w:rsidRDefault="00781256" w:rsidP="00386BE7">
      <w:pPr>
        <w:pStyle w:val="BodyText"/>
      </w:pPr>
      <w:r w:rsidRPr="00781256">
        <w:t>Higher rates of future planting would increase over-crediting initially, for at least the first 16 years, because all forest types are over-credited on this timeframe. This is due to the NZ ETS not accounting for emissions from initial biomass and soil carbon loss. Conversely, lower rates of future planting would initially reduce over-crediting. In the lower projection scenario, net under-crediting begins from 2031, five years earlier than in the central projection (see Figure 12).</w:t>
      </w:r>
    </w:p>
    <w:p w14:paraId="71431CFD" w14:textId="2973B473" w:rsidR="00781256" w:rsidRDefault="001415CB" w:rsidP="001415CB">
      <w:pPr>
        <w:pStyle w:val="Heading2nonumber"/>
      </w:pPr>
      <w:bookmarkStart w:id="26" w:name="_Toc227580422"/>
      <w:r>
        <w:t>Combined impact of sensitivity analysis</w:t>
      </w:r>
      <w:bookmarkEnd w:id="26"/>
    </w:p>
    <w:p w14:paraId="1EF6AF0E" w14:textId="42404221" w:rsidR="00653A7B" w:rsidRDefault="00D0209C" w:rsidP="00653A7B">
      <w:pPr>
        <w:pStyle w:val="BodyText"/>
      </w:pPr>
      <w:r>
        <w:t>We have reviewed t</w:t>
      </w:r>
      <w:r w:rsidR="00653A7B">
        <w:t xml:space="preserve">he </w:t>
      </w:r>
      <w:r w:rsidR="0064692F">
        <w:t xml:space="preserve">combined </w:t>
      </w:r>
      <w:r w:rsidR="00653A7B">
        <w:t xml:space="preserve">impact of the sensitivity analyses. For sensitivities related to low-risk units, proportion of permanent exotic forests, and future afforestation this is based on the low and high scenarios. </w:t>
      </w:r>
    </w:p>
    <w:p w14:paraId="2AE4AE03" w14:textId="78A66720" w:rsidR="001415CB" w:rsidRDefault="00653A7B" w:rsidP="00653A7B">
      <w:pPr>
        <w:pStyle w:val="BodyText"/>
      </w:pPr>
      <w:r>
        <w:t>Results are shown in Table 9, with annual results shown in Figure 15.</w:t>
      </w:r>
    </w:p>
    <w:p w14:paraId="3242D09F" w14:textId="6CFCAF1E" w:rsidR="00FF23B3" w:rsidRDefault="00FF23B3" w:rsidP="00FF23B3">
      <w:pPr>
        <w:pStyle w:val="FigureTabletitle"/>
      </w:pPr>
      <w:r>
        <w:t xml:space="preserve">Table </w:t>
      </w:r>
      <w:r>
        <w:fldChar w:fldCharType="begin"/>
      </w:r>
      <w:r>
        <w:instrText xml:space="preserve"> SEQ Table \* ARABIC </w:instrText>
      </w:r>
      <w:r>
        <w:fldChar w:fldCharType="separate"/>
      </w:r>
      <w:r w:rsidR="00792161">
        <w:rPr>
          <w:noProof/>
        </w:rPr>
        <w:t>9</w:t>
      </w:r>
      <w:r>
        <w:fldChar w:fldCharType="end"/>
      </w:r>
      <w:r>
        <w:t xml:space="preserve">: </w:t>
      </w:r>
      <w:r w:rsidRPr="004E081C">
        <w:t>Combined results of sensitivity testing on central estimate of 3.2 million over-crediting over 2027–2031 (million NZUs)</w:t>
      </w:r>
    </w:p>
    <w:tbl>
      <w:tblPr>
        <w:tblStyle w:val="GridTable5Dark-Accent11"/>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18"/>
        <w:gridCol w:w="1691"/>
        <w:gridCol w:w="2001"/>
        <w:gridCol w:w="1847"/>
      </w:tblGrid>
      <w:tr w:rsidR="005B7301" w:rsidRPr="005B7301" w14:paraId="3D8992BB" w14:textId="77777777" w:rsidTr="4D7B066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63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2060"/>
            <w:tcMar>
              <w:left w:w="105" w:type="dxa"/>
              <w:right w:w="105" w:type="dxa"/>
            </w:tcMar>
            <w:vAlign w:val="center"/>
          </w:tcPr>
          <w:p w14:paraId="7AF12922" w14:textId="77777777" w:rsidR="005B7301" w:rsidRPr="00C34F1B" w:rsidRDefault="005B7301" w:rsidP="001B06F8">
            <w:pPr>
              <w:pStyle w:val="Tableheading"/>
              <w:rPr>
                <w:lang w:val="en-GB"/>
              </w:rPr>
            </w:pPr>
            <w:r w:rsidRPr="001B06F8">
              <w:rPr>
                <w:b/>
              </w:rPr>
              <w:t>Size of technical adjustment over 2027–2031 (Million NZUs)</w:t>
            </w:r>
          </w:p>
        </w:tc>
        <w:tc>
          <w:tcPr>
            <w:tcW w:w="174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2060"/>
            <w:vAlign w:val="center"/>
          </w:tcPr>
          <w:p w14:paraId="10C3F77D" w14:textId="77777777" w:rsidR="005B7301" w:rsidRPr="001B06F8" w:rsidRDefault="005B7301" w:rsidP="001B06F8">
            <w:pPr>
              <w:pStyle w:val="Tableheading"/>
              <w:cnfStyle w:val="100000000000" w:firstRow="1" w:lastRow="0" w:firstColumn="0" w:lastColumn="0" w:oddVBand="0" w:evenVBand="0" w:oddHBand="0" w:evenHBand="0" w:firstRowFirstColumn="0" w:firstRowLastColumn="0" w:lastRowFirstColumn="0" w:lastRowLastColumn="0"/>
              <w:rPr>
                <w:lang w:val="en-GB"/>
              </w:rPr>
            </w:pPr>
            <w:r w:rsidRPr="001B06F8">
              <w:rPr>
                <w:b/>
                <w:lang w:val="en-GB"/>
              </w:rPr>
              <w:t xml:space="preserve">Central </w:t>
            </w:r>
          </w:p>
        </w:tc>
        <w:tc>
          <w:tcPr>
            <w:tcW w:w="206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2060"/>
            <w:tcMar>
              <w:left w:w="105" w:type="dxa"/>
              <w:right w:w="105" w:type="dxa"/>
            </w:tcMar>
            <w:vAlign w:val="center"/>
          </w:tcPr>
          <w:p w14:paraId="48FA2CE2" w14:textId="77777777" w:rsidR="005B7301" w:rsidRPr="00C34F1B" w:rsidRDefault="005B7301" w:rsidP="001B06F8">
            <w:pPr>
              <w:pStyle w:val="Tableheading"/>
              <w:cnfStyle w:val="100000000000" w:firstRow="1" w:lastRow="0" w:firstColumn="0" w:lastColumn="0" w:oddVBand="0" w:evenVBand="0" w:oddHBand="0" w:evenHBand="0" w:firstRowFirstColumn="0" w:firstRowLastColumn="0" w:lastRowFirstColumn="0" w:lastRowLastColumn="0"/>
              <w:rPr>
                <w:lang w:val="en-GB"/>
              </w:rPr>
            </w:pPr>
            <w:r w:rsidRPr="001B06F8">
              <w:rPr>
                <w:b/>
                <w:lang w:val="en-GB"/>
              </w:rPr>
              <w:t>Low</w:t>
            </w:r>
          </w:p>
        </w:tc>
        <w:tc>
          <w:tcPr>
            <w:tcW w:w="1904" w:type="dxa"/>
            <w:tcBorders>
              <w:top w:val="single" w:sz="6" w:space="0" w:color="FFFFFF" w:themeColor="background1"/>
              <w:left w:val="single" w:sz="6" w:space="0" w:color="FFFFFF" w:themeColor="background1"/>
              <w:bottom w:val="single" w:sz="4" w:space="0" w:color="FFFFFF" w:themeColor="background1"/>
            </w:tcBorders>
            <w:shd w:val="clear" w:color="auto" w:fill="002060"/>
            <w:vAlign w:val="center"/>
          </w:tcPr>
          <w:p w14:paraId="4098B5F7" w14:textId="77777777" w:rsidR="005B7301" w:rsidRPr="00C34F1B" w:rsidRDefault="005B7301" w:rsidP="001B06F8">
            <w:pPr>
              <w:pStyle w:val="Tableheading"/>
              <w:cnfStyle w:val="100000000000" w:firstRow="1" w:lastRow="0" w:firstColumn="0" w:lastColumn="0" w:oddVBand="0" w:evenVBand="0" w:oddHBand="0" w:evenHBand="0" w:firstRowFirstColumn="0" w:firstRowLastColumn="0" w:lastRowFirstColumn="0" w:lastRowLastColumn="0"/>
              <w:rPr>
                <w:lang w:val="en-GB"/>
              </w:rPr>
            </w:pPr>
            <w:r w:rsidRPr="001B06F8">
              <w:rPr>
                <w:b/>
                <w:lang w:val="en-GB"/>
              </w:rPr>
              <w:t xml:space="preserve">High </w:t>
            </w:r>
          </w:p>
        </w:tc>
      </w:tr>
      <w:tr w:rsidR="005B7301" w:rsidRPr="005B7301" w14:paraId="1055AEF4" w14:textId="77777777" w:rsidTr="4D7B066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FFFFFF" w:themeColor="background1"/>
              <w:left w:val="single" w:sz="6" w:space="0" w:color="FFFFFF" w:themeColor="background1"/>
              <w:bottom w:val="single" w:sz="4" w:space="0" w:color="FFFFFF" w:themeColor="background1"/>
            </w:tcBorders>
            <w:shd w:val="clear" w:color="auto" w:fill="C1DCD5"/>
            <w:tcMar>
              <w:left w:w="105" w:type="dxa"/>
              <w:right w:w="105" w:type="dxa"/>
            </w:tcMar>
          </w:tcPr>
          <w:p w14:paraId="61CEED25" w14:textId="77777777" w:rsidR="005B7301" w:rsidRPr="001B06F8" w:rsidRDefault="005B7301" w:rsidP="001B06F8">
            <w:pPr>
              <w:pStyle w:val="TableParagraph"/>
            </w:pPr>
            <w:r w:rsidRPr="002C75D4">
              <w:rPr>
                <w:color w:val="auto"/>
              </w:rPr>
              <w:t>Low-risk units</w:t>
            </w:r>
            <w:r w:rsidRPr="00714BD5">
              <w:t xml:space="preserve"> </w:t>
            </w:r>
          </w:p>
        </w:tc>
        <w:tc>
          <w:tcPr>
            <w:tcW w:w="1743" w:type="dxa"/>
            <w:tcBorders>
              <w:top w:val="single" w:sz="4" w:space="0" w:color="FFFFFF" w:themeColor="background1"/>
              <w:bottom w:val="single" w:sz="4" w:space="0" w:color="FFFFFF" w:themeColor="background1"/>
            </w:tcBorders>
            <w:shd w:val="clear" w:color="auto" w:fill="D4E8DE"/>
          </w:tcPr>
          <w:p w14:paraId="5A6C7CC8" w14:textId="77777777" w:rsidR="005B7301" w:rsidRPr="005B7301" w:rsidRDefault="005B7301" w:rsidP="001B06F8">
            <w:pPr>
              <w:pStyle w:val="TableParagraph"/>
              <w:cnfStyle w:val="000000100000" w:firstRow="0" w:lastRow="0" w:firstColumn="0" w:lastColumn="0" w:oddVBand="0" w:evenVBand="0" w:oddHBand="1" w:evenHBand="0" w:firstRowFirstColumn="0" w:firstRowLastColumn="0" w:lastRowFirstColumn="0" w:lastRowLastColumn="0"/>
            </w:pPr>
            <w:r w:rsidRPr="005B7301">
              <w:t>-</w:t>
            </w:r>
          </w:p>
        </w:tc>
        <w:tc>
          <w:tcPr>
            <w:tcW w:w="2064" w:type="dxa"/>
            <w:tcBorders>
              <w:top w:val="single" w:sz="4" w:space="0" w:color="FFFFFF" w:themeColor="background1"/>
              <w:bottom w:val="single" w:sz="4" w:space="0" w:color="FFFFFF" w:themeColor="background1"/>
            </w:tcBorders>
            <w:shd w:val="clear" w:color="auto" w:fill="D4E8DE"/>
            <w:tcMar>
              <w:left w:w="105" w:type="dxa"/>
              <w:right w:w="105" w:type="dxa"/>
            </w:tcMar>
            <w:vAlign w:val="center"/>
          </w:tcPr>
          <w:p w14:paraId="0EFBE46B" w14:textId="50BE3805" w:rsidR="005B7301" w:rsidRPr="005B7301" w:rsidRDefault="34B603B4" w:rsidP="001B06F8">
            <w:pPr>
              <w:pStyle w:val="TableParagraph"/>
              <w:cnfStyle w:val="000000100000" w:firstRow="0" w:lastRow="0" w:firstColumn="0" w:lastColumn="0" w:oddVBand="0" w:evenVBand="0" w:oddHBand="1" w:evenHBand="0" w:firstRowFirstColumn="0" w:firstRowLastColumn="0" w:lastRowFirstColumn="0" w:lastRowLastColumn="0"/>
            </w:pPr>
            <w:r>
              <w:t>–</w:t>
            </w:r>
            <w:r w:rsidR="005B7301" w:rsidRPr="005B7301">
              <w:t>0.6</w:t>
            </w:r>
          </w:p>
        </w:tc>
        <w:tc>
          <w:tcPr>
            <w:tcW w:w="1904" w:type="dxa"/>
            <w:tcBorders>
              <w:top w:val="single" w:sz="4" w:space="0" w:color="FFFFFF" w:themeColor="background1"/>
              <w:bottom w:val="single" w:sz="4" w:space="0" w:color="FFFFFF" w:themeColor="background1"/>
              <w:right w:val="nil"/>
            </w:tcBorders>
            <w:shd w:val="clear" w:color="auto" w:fill="D4E8DE"/>
            <w:vAlign w:val="center"/>
          </w:tcPr>
          <w:p w14:paraId="70769597" w14:textId="77777777" w:rsidR="005B7301" w:rsidRPr="005B7301" w:rsidRDefault="005B7301" w:rsidP="001B06F8">
            <w:pPr>
              <w:pStyle w:val="TableParagraph"/>
              <w:cnfStyle w:val="000000100000" w:firstRow="0" w:lastRow="0" w:firstColumn="0" w:lastColumn="0" w:oddVBand="0" w:evenVBand="0" w:oddHBand="1" w:evenHBand="0" w:firstRowFirstColumn="0" w:firstRowLastColumn="0" w:lastRowFirstColumn="0" w:lastRowLastColumn="0"/>
            </w:pPr>
            <w:r w:rsidRPr="005B7301">
              <w:t>+0.6</w:t>
            </w:r>
          </w:p>
        </w:tc>
      </w:tr>
      <w:tr w:rsidR="005B7301" w:rsidRPr="005B7301" w14:paraId="0E98FBC1" w14:textId="77777777" w:rsidTr="4D7B0660">
        <w:trPr>
          <w:trHeight w:val="465"/>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FFFFFF" w:themeColor="background1"/>
              <w:left w:val="single" w:sz="6" w:space="0" w:color="FFFFFF" w:themeColor="background1"/>
              <w:bottom w:val="single" w:sz="4" w:space="0" w:color="FFFFFF" w:themeColor="background1"/>
            </w:tcBorders>
            <w:shd w:val="clear" w:color="auto" w:fill="C1DCD5"/>
            <w:tcMar>
              <w:left w:w="105" w:type="dxa"/>
              <w:right w:w="105" w:type="dxa"/>
            </w:tcMar>
          </w:tcPr>
          <w:p w14:paraId="42258C19" w14:textId="77777777" w:rsidR="005B7301" w:rsidRPr="001B06F8" w:rsidRDefault="005B7301" w:rsidP="001B06F8">
            <w:pPr>
              <w:pStyle w:val="TableParagraph"/>
            </w:pPr>
            <w:r w:rsidRPr="002C75D4">
              <w:rPr>
                <w:color w:val="auto"/>
              </w:rPr>
              <w:t>Permanent/harvest</w:t>
            </w:r>
          </w:p>
        </w:tc>
        <w:tc>
          <w:tcPr>
            <w:tcW w:w="1743" w:type="dxa"/>
            <w:tcBorders>
              <w:top w:val="single" w:sz="4" w:space="0" w:color="FFFFFF" w:themeColor="background1"/>
              <w:bottom w:val="single" w:sz="4" w:space="0" w:color="FFFFFF" w:themeColor="background1"/>
            </w:tcBorders>
            <w:shd w:val="clear" w:color="auto" w:fill="E9F5F2"/>
          </w:tcPr>
          <w:p w14:paraId="357C8388" w14:textId="77777777" w:rsidR="005B7301" w:rsidRPr="005B7301" w:rsidRDefault="005B7301" w:rsidP="001B06F8">
            <w:pPr>
              <w:pStyle w:val="TableParagraph"/>
              <w:cnfStyle w:val="000000000000" w:firstRow="0" w:lastRow="0" w:firstColumn="0" w:lastColumn="0" w:oddVBand="0" w:evenVBand="0" w:oddHBand="0" w:evenHBand="0" w:firstRowFirstColumn="0" w:firstRowLastColumn="0" w:lastRowFirstColumn="0" w:lastRowLastColumn="0"/>
            </w:pPr>
            <w:r w:rsidRPr="005B7301">
              <w:t>-</w:t>
            </w:r>
          </w:p>
        </w:tc>
        <w:tc>
          <w:tcPr>
            <w:tcW w:w="2064" w:type="dxa"/>
            <w:tcBorders>
              <w:top w:val="single" w:sz="4" w:space="0" w:color="FFFFFF" w:themeColor="background1"/>
              <w:bottom w:val="single" w:sz="4" w:space="0" w:color="FFFFFF" w:themeColor="background1"/>
            </w:tcBorders>
            <w:shd w:val="clear" w:color="auto" w:fill="E9F5F2"/>
            <w:tcMar>
              <w:left w:w="105" w:type="dxa"/>
              <w:right w:w="105" w:type="dxa"/>
            </w:tcMar>
            <w:vAlign w:val="center"/>
          </w:tcPr>
          <w:p w14:paraId="04CEDA31" w14:textId="2C77E837" w:rsidR="005B7301" w:rsidRPr="005B7301" w:rsidRDefault="2D3D79B3" w:rsidP="001B06F8">
            <w:pPr>
              <w:pStyle w:val="TableParagraph"/>
              <w:cnfStyle w:val="000000000000" w:firstRow="0" w:lastRow="0" w:firstColumn="0" w:lastColumn="0" w:oddVBand="0" w:evenVBand="0" w:oddHBand="0" w:evenHBand="0" w:firstRowFirstColumn="0" w:firstRowLastColumn="0" w:lastRowFirstColumn="0" w:lastRowLastColumn="0"/>
            </w:pPr>
            <w:r>
              <w:t>–</w:t>
            </w:r>
            <w:r w:rsidR="005B7301" w:rsidRPr="005B7301">
              <w:t>0.7</w:t>
            </w:r>
          </w:p>
        </w:tc>
        <w:tc>
          <w:tcPr>
            <w:tcW w:w="1904" w:type="dxa"/>
            <w:tcBorders>
              <w:top w:val="single" w:sz="4" w:space="0" w:color="FFFFFF" w:themeColor="background1"/>
              <w:bottom w:val="single" w:sz="4" w:space="0" w:color="FFFFFF" w:themeColor="background1"/>
              <w:right w:val="nil"/>
            </w:tcBorders>
            <w:shd w:val="clear" w:color="auto" w:fill="E9F5F2"/>
            <w:vAlign w:val="center"/>
          </w:tcPr>
          <w:p w14:paraId="0E953EDA" w14:textId="77777777" w:rsidR="005B7301" w:rsidRPr="005B7301" w:rsidRDefault="005B7301" w:rsidP="001B06F8">
            <w:pPr>
              <w:pStyle w:val="TableParagraph"/>
              <w:cnfStyle w:val="000000000000" w:firstRow="0" w:lastRow="0" w:firstColumn="0" w:lastColumn="0" w:oddVBand="0" w:evenVBand="0" w:oddHBand="0" w:evenHBand="0" w:firstRowFirstColumn="0" w:firstRowLastColumn="0" w:lastRowFirstColumn="0" w:lastRowLastColumn="0"/>
            </w:pPr>
            <w:r w:rsidRPr="005B7301">
              <w:t>+0.7</w:t>
            </w:r>
          </w:p>
        </w:tc>
      </w:tr>
      <w:tr w:rsidR="005B7301" w:rsidRPr="005B7301" w14:paraId="5CC6776C" w14:textId="77777777" w:rsidTr="4D7B066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FFFFFF" w:themeColor="background1"/>
              <w:left w:val="single" w:sz="6" w:space="0" w:color="FFFFFF" w:themeColor="background1"/>
              <w:bottom w:val="single" w:sz="4" w:space="0" w:color="FFFFFF" w:themeColor="background1"/>
            </w:tcBorders>
            <w:shd w:val="clear" w:color="auto" w:fill="C1DCD5"/>
            <w:tcMar>
              <w:left w:w="105" w:type="dxa"/>
              <w:right w:w="105" w:type="dxa"/>
            </w:tcMar>
          </w:tcPr>
          <w:p w14:paraId="1DFEC454" w14:textId="77777777" w:rsidR="005B7301" w:rsidRPr="001B06F8" w:rsidRDefault="005B7301" w:rsidP="001B06F8">
            <w:pPr>
              <w:pStyle w:val="TableParagraph"/>
            </w:pPr>
            <w:r w:rsidRPr="002C75D4">
              <w:rPr>
                <w:color w:val="auto"/>
              </w:rPr>
              <w:t>Future afforestation</w:t>
            </w:r>
          </w:p>
        </w:tc>
        <w:tc>
          <w:tcPr>
            <w:tcW w:w="1743" w:type="dxa"/>
            <w:tcBorders>
              <w:top w:val="single" w:sz="4" w:space="0" w:color="FFFFFF" w:themeColor="background1"/>
              <w:bottom w:val="single" w:sz="4" w:space="0" w:color="FFFFFF" w:themeColor="background1"/>
            </w:tcBorders>
            <w:shd w:val="clear" w:color="auto" w:fill="D4E8DE"/>
          </w:tcPr>
          <w:p w14:paraId="51BE7A3F" w14:textId="77777777" w:rsidR="005B7301" w:rsidRPr="005B7301" w:rsidRDefault="005B7301" w:rsidP="001B06F8">
            <w:pPr>
              <w:pStyle w:val="TableParagraph"/>
              <w:cnfStyle w:val="000000100000" w:firstRow="0" w:lastRow="0" w:firstColumn="0" w:lastColumn="0" w:oddVBand="0" w:evenVBand="0" w:oddHBand="1" w:evenHBand="0" w:firstRowFirstColumn="0" w:firstRowLastColumn="0" w:lastRowFirstColumn="0" w:lastRowLastColumn="0"/>
            </w:pPr>
            <w:r w:rsidRPr="005B7301">
              <w:t>-</w:t>
            </w:r>
          </w:p>
        </w:tc>
        <w:tc>
          <w:tcPr>
            <w:tcW w:w="2064" w:type="dxa"/>
            <w:tcBorders>
              <w:top w:val="single" w:sz="4" w:space="0" w:color="FFFFFF" w:themeColor="background1"/>
              <w:bottom w:val="single" w:sz="4" w:space="0" w:color="FFFFFF" w:themeColor="background1"/>
            </w:tcBorders>
            <w:shd w:val="clear" w:color="auto" w:fill="D4E8DE"/>
            <w:tcMar>
              <w:left w:w="105" w:type="dxa"/>
              <w:right w:w="105" w:type="dxa"/>
            </w:tcMar>
            <w:vAlign w:val="center"/>
          </w:tcPr>
          <w:p w14:paraId="1364916A" w14:textId="0F145C00" w:rsidR="005B7301" w:rsidRPr="005B7301" w:rsidRDefault="239F478F" w:rsidP="001B06F8">
            <w:pPr>
              <w:pStyle w:val="TableParagraph"/>
              <w:cnfStyle w:val="000000100000" w:firstRow="0" w:lastRow="0" w:firstColumn="0" w:lastColumn="0" w:oddVBand="0" w:evenVBand="0" w:oddHBand="1" w:evenHBand="0" w:firstRowFirstColumn="0" w:firstRowLastColumn="0" w:lastRowFirstColumn="0" w:lastRowLastColumn="0"/>
            </w:pPr>
            <w:r>
              <w:t>–</w:t>
            </w:r>
            <w:r w:rsidR="005B7301" w:rsidRPr="005B7301">
              <w:t>0.8</w:t>
            </w:r>
          </w:p>
        </w:tc>
        <w:tc>
          <w:tcPr>
            <w:tcW w:w="1904" w:type="dxa"/>
            <w:tcBorders>
              <w:top w:val="single" w:sz="4" w:space="0" w:color="FFFFFF" w:themeColor="background1"/>
              <w:bottom w:val="single" w:sz="4" w:space="0" w:color="FFFFFF" w:themeColor="background1"/>
              <w:right w:val="nil"/>
            </w:tcBorders>
            <w:shd w:val="clear" w:color="auto" w:fill="D4E8DE"/>
            <w:vAlign w:val="center"/>
          </w:tcPr>
          <w:p w14:paraId="142B50C6" w14:textId="77777777" w:rsidR="005B7301" w:rsidRPr="005B7301" w:rsidRDefault="005B7301" w:rsidP="001B06F8">
            <w:pPr>
              <w:pStyle w:val="TableParagraph"/>
              <w:cnfStyle w:val="000000100000" w:firstRow="0" w:lastRow="0" w:firstColumn="0" w:lastColumn="0" w:oddVBand="0" w:evenVBand="0" w:oddHBand="1" w:evenHBand="0" w:firstRowFirstColumn="0" w:firstRowLastColumn="0" w:lastRowFirstColumn="0" w:lastRowLastColumn="0"/>
            </w:pPr>
            <w:r w:rsidRPr="005B7301">
              <w:t>+0.8</w:t>
            </w:r>
          </w:p>
        </w:tc>
      </w:tr>
      <w:tr w:rsidR="005B7301" w:rsidRPr="005B7301" w14:paraId="5E524F25" w14:textId="77777777" w:rsidTr="4D7B0660">
        <w:trPr>
          <w:trHeight w:val="465"/>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FFFFFF" w:themeColor="background1"/>
              <w:left w:val="single" w:sz="6" w:space="0" w:color="FFFFFF" w:themeColor="background1"/>
              <w:bottom w:val="single" w:sz="4" w:space="0" w:color="FFFFFF" w:themeColor="background1"/>
            </w:tcBorders>
            <w:shd w:val="clear" w:color="auto" w:fill="C1DCD5"/>
            <w:tcMar>
              <w:left w:w="105" w:type="dxa"/>
              <w:right w:w="105" w:type="dxa"/>
            </w:tcMar>
          </w:tcPr>
          <w:p w14:paraId="44E04C9E" w14:textId="77777777" w:rsidR="005B7301" w:rsidRPr="001B06F8" w:rsidRDefault="005B7301" w:rsidP="001B06F8">
            <w:pPr>
              <w:pStyle w:val="TableParagraph"/>
            </w:pPr>
            <w:r w:rsidRPr="002C75D4">
              <w:rPr>
                <w:color w:val="auto"/>
              </w:rPr>
              <w:t>Total difference to central estimate</w:t>
            </w:r>
          </w:p>
        </w:tc>
        <w:tc>
          <w:tcPr>
            <w:tcW w:w="1743" w:type="dxa"/>
            <w:tcBorders>
              <w:top w:val="single" w:sz="4" w:space="0" w:color="FFFFFF" w:themeColor="background1"/>
              <w:bottom w:val="single" w:sz="4" w:space="0" w:color="FFFFFF" w:themeColor="background1"/>
            </w:tcBorders>
            <w:shd w:val="clear" w:color="auto" w:fill="E9F5F2"/>
          </w:tcPr>
          <w:p w14:paraId="6BE80FD4" w14:textId="1B1A338F" w:rsidR="005B7301" w:rsidRPr="00F230D1" w:rsidRDefault="005B7301" w:rsidP="001B06F8">
            <w:pPr>
              <w:pStyle w:val="TableParagraph"/>
              <w:cnfStyle w:val="000000000000" w:firstRow="0" w:lastRow="0" w:firstColumn="0" w:lastColumn="0" w:oddVBand="0" w:evenVBand="0" w:oddHBand="0" w:evenHBand="0" w:firstRowFirstColumn="0" w:firstRowLastColumn="0" w:lastRowFirstColumn="0" w:lastRowLastColumn="0"/>
              <w:rPr>
                <w:b/>
              </w:rPr>
            </w:pPr>
          </w:p>
        </w:tc>
        <w:tc>
          <w:tcPr>
            <w:tcW w:w="2064" w:type="dxa"/>
            <w:tcBorders>
              <w:top w:val="single" w:sz="4" w:space="0" w:color="FFFFFF" w:themeColor="background1"/>
              <w:bottom w:val="single" w:sz="4" w:space="0" w:color="FFFFFF" w:themeColor="background1"/>
            </w:tcBorders>
            <w:shd w:val="clear" w:color="auto" w:fill="E9F5F2"/>
            <w:tcMar>
              <w:left w:w="105" w:type="dxa"/>
              <w:right w:w="105" w:type="dxa"/>
            </w:tcMar>
            <w:vAlign w:val="center"/>
          </w:tcPr>
          <w:p w14:paraId="40B42E54" w14:textId="57562283" w:rsidR="005B7301" w:rsidRPr="00F230D1" w:rsidRDefault="3025CD82" w:rsidP="001B06F8">
            <w:pPr>
              <w:pStyle w:val="TableParagraph"/>
              <w:cnfStyle w:val="000000000000" w:firstRow="0" w:lastRow="0" w:firstColumn="0" w:lastColumn="0" w:oddVBand="0" w:evenVBand="0" w:oddHBand="0" w:evenHBand="0" w:firstRowFirstColumn="0" w:firstRowLastColumn="0" w:lastRowFirstColumn="0" w:lastRowLastColumn="0"/>
              <w:rPr>
                <w:b/>
              </w:rPr>
            </w:pPr>
            <w:r w:rsidRPr="4D7B0660">
              <w:rPr>
                <w:b/>
                <w:bCs/>
              </w:rPr>
              <w:t>–</w:t>
            </w:r>
            <w:r w:rsidR="005B7301" w:rsidRPr="00F230D1">
              <w:rPr>
                <w:b/>
              </w:rPr>
              <w:t>2.1</w:t>
            </w:r>
          </w:p>
        </w:tc>
        <w:tc>
          <w:tcPr>
            <w:tcW w:w="1904" w:type="dxa"/>
            <w:tcBorders>
              <w:top w:val="single" w:sz="4" w:space="0" w:color="FFFFFF" w:themeColor="background1"/>
              <w:bottom w:val="single" w:sz="4" w:space="0" w:color="FFFFFF" w:themeColor="background1"/>
              <w:right w:val="nil"/>
            </w:tcBorders>
            <w:shd w:val="clear" w:color="auto" w:fill="E9F5F2"/>
            <w:vAlign w:val="center"/>
          </w:tcPr>
          <w:p w14:paraId="5B621F29" w14:textId="77777777" w:rsidR="005B7301" w:rsidRPr="00F230D1" w:rsidRDefault="005B7301" w:rsidP="001B06F8">
            <w:pPr>
              <w:pStyle w:val="TableParagraph"/>
              <w:cnfStyle w:val="000000000000" w:firstRow="0" w:lastRow="0" w:firstColumn="0" w:lastColumn="0" w:oddVBand="0" w:evenVBand="0" w:oddHBand="0" w:evenHBand="0" w:firstRowFirstColumn="0" w:firstRowLastColumn="0" w:lastRowFirstColumn="0" w:lastRowLastColumn="0"/>
              <w:rPr>
                <w:b/>
                <w:color w:val="000000"/>
              </w:rPr>
            </w:pPr>
            <w:r w:rsidRPr="00F230D1">
              <w:rPr>
                <w:b/>
                <w:color w:val="000000"/>
              </w:rPr>
              <w:t>2.0</w:t>
            </w:r>
          </w:p>
        </w:tc>
      </w:tr>
      <w:tr w:rsidR="005B7301" w:rsidRPr="005B7301" w14:paraId="2114882D" w14:textId="77777777" w:rsidTr="4D7B066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FFFFFF" w:themeColor="background1"/>
              <w:left w:val="single" w:sz="6" w:space="0" w:color="FFFFFF" w:themeColor="background1"/>
            </w:tcBorders>
            <w:shd w:val="clear" w:color="auto" w:fill="C1DCD5"/>
            <w:tcMar>
              <w:left w:w="105" w:type="dxa"/>
              <w:right w:w="105" w:type="dxa"/>
            </w:tcMar>
          </w:tcPr>
          <w:p w14:paraId="16B323D2" w14:textId="77777777" w:rsidR="005B7301" w:rsidRPr="00F230D1" w:rsidRDefault="005B7301" w:rsidP="001B06F8">
            <w:pPr>
              <w:pStyle w:val="TableParagraph"/>
            </w:pPr>
            <w:r w:rsidRPr="002C75D4">
              <w:rPr>
                <w:color w:val="auto"/>
              </w:rPr>
              <w:t>Resulting over-crediting</w:t>
            </w:r>
          </w:p>
        </w:tc>
        <w:tc>
          <w:tcPr>
            <w:tcW w:w="1743" w:type="dxa"/>
            <w:tcBorders>
              <w:top w:val="single" w:sz="4" w:space="0" w:color="FFFFFF" w:themeColor="background1"/>
              <w:bottom w:val="single" w:sz="6" w:space="0" w:color="FFFFFF" w:themeColor="background1"/>
            </w:tcBorders>
            <w:shd w:val="clear" w:color="auto" w:fill="D4E8DE"/>
          </w:tcPr>
          <w:p w14:paraId="7171FFE9" w14:textId="77777777" w:rsidR="005B7301" w:rsidRPr="00F230D1" w:rsidRDefault="005B7301" w:rsidP="001B06F8">
            <w:pPr>
              <w:pStyle w:val="TableParagraph"/>
              <w:cnfStyle w:val="000000100000" w:firstRow="0" w:lastRow="0" w:firstColumn="0" w:lastColumn="0" w:oddVBand="0" w:evenVBand="0" w:oddHBand="1" w:evenHBand="0" w:firstRowFirstColumn="0" w:firstRowLastColumn="0" w:lastRowFirstColumn="0" w:lastRowLastColumn="0"/>
              <w:rPr>
                <w:b/>
              </w:rPr>
            </w:pPr>
            <w:r w:rsidRPr="00F230D1">
              <w:rPr>
                <w:b/>
              </w:rPr>
              <w:t>3.2</w:t>
            </w:r>
          </w:p>
        </w:tc>
        <w:tc>
          <w:tcPr>
            <w:tcW w:w="2064" w:type="dxa"/>
            <w:tcBorders>
              <w:top w:val="single" w:sz="4" w:space="0" w:color="FFFFFF" w:themeColor="background1"/>
              <w:bottom w:val="nil"/>
            </w:tcBorders>
            <w:shd w:val="clear" w:color="auto" w:fill="D4E8DE"/>
            <w:tcMar>
              <w:left w:w="105" w:type="dxa"/>
              <w:right w:w="105" w:type="dxa"/>
            </w:tcMar>
            <w:vAlign w:val="center"/>
          </w:tcPr>
          <w:p w14:paraId="3D737891" w14:textId="77777777" w:rsidR="005B7301" w:rsidRPr="00F230D1" w:rsidRDefault="005B7301" w:rsidP="001B06F8">
            <w:pPr>
              <w:pStyle w:val="TableParagraph"/>
              <w:cnfStyle w:val="000000100000" w:firstRow="0" w:lastRow="0" w:firstColumn="0" w:lastColumn="0" w:oddVBand="0" w:evenVBand="0" w:oddHBand="1" w:evenHBand="0" w:firstRowFirstColumn="0" w:firstRowLastColumn="0" w:lastRowFirstColumn="0" w:lastRowLastColumn="0"/>
              <w:rPr>
                <w:b/>
              </w:rPr>
            </w:pPr>
            <w:r w:rsidRPr="00F230D1">
              <w:rPr>
                <w:b/>
              </w:rPr>
              <w:t>1.1</w:t>
            </w:r>
          </w:p>
        </w:tc>
        <w:tc>
          <w:tcPr>
            <w:tcW w:w="1904" w:type="dxa"/>
            <w:tcBorders>
              <w:top w:val="single" w:sz="4" w:space="0" w:color="FFFFFF" w:themeColor="background1"/>
              <w:bottom w:val="nil"/>
              <w:right w:val="nil"/>
            </w:tcBorders>
            <w:shd w:val="clear" w:color="auto" w:fill="D4E8DE"/>
            <w:vAlign w:val="center"/>
          </w:tcPr>
          <w:p w14:paraId="11E5344F" w14:textId="16762BC1" w:rsidR="005B7301" w:rsidRPr="00F230D1" w:rsidRDefault="005B7301" w:rsidP="001B06F8">
            <w:pPr>
              <w:pStyle w:val="TableParagraph"/>
              <w:cnfStyle w:val="000000100000" w:firstRow="0" w:lastRow="0" w:firstColumn="0" w:lastColumn="0" w:oddVBand="0" w:evenVBand="0" w:oddHBand="1" w:evenHBand="0" w:firstRowFirstColumn="0" w:firstRowLastColumn="0" w:lastRowFirstColumn="0" w:lastRowLastColumn="0"/>
              <w:rPr>
                <w:b/>
              </w:rPr>
            </w:pPr>
            <w:r w:rsidRPr="00F230D1">
              <w:rPr>
                <w:b/>
              </w:rPr>
              <w:t>5.2</w:t>
            </w:r>
          </w:p>
        </w:tc>
      </w:tr>
    </w:tbl>
    <w:p w14:paraId="38A3377D" w14:textId="02A493DF" w:rsidR="00133F55" w:rsidRDefault="00133F55" w:rsidP="00133F55">
      <w:pPr>
        <w:pStyle w:val="FigureTabletitle"/>
      </w:pPr>
      <w:r>
        <w:t xml:space="preserve">Figure </w:t>
      </w:r>
      <w:r>
        <w:fldChar w:fldCharType="begin"/>
      </w:r>
      <w:r>
        <w:instrText xml:space="preserve"> SEQ Figure \* ARABIC </w:instrText>
      </w:r>
      <w:r>
        <w:fldChar w:fldCharType="separate"/>
      </w:r>
      <w:r>
        <w:rPr>
          <w:noProof/>
        </w:rPr>
        <w:t>16</w:t>
      </w:r>
      <w:r>
        <w:fldChar w:fldCharType="end"/>
      </w:r>
      <w:r>
        <w:t xml:space="preserve">: </w:t>
      </w:r>
      <w:r w:rsidR="00932C12">
        <w:t xml:space="preserve">Annual </w:t>
      </w:r>
      <w:r w:rsidRPr="001D30B7">
        <w:t xml:space="preserve">impacts of over/under-crediting based on low, central and high </w:t>
      </w:r>
      <w:r w:rsidR="00B07501">
        <w:t xml:space="preserve">combined </w:t>
      </w:r>
      <w:r w:rsidRPr="001D30B7">
        <w:t>sensitivity testing scenarios</w:t>
      </w:r>
    </w:p>
    <w:p w14:paraId="5656A56C" w14:textId="292D9AA0" w:rsidR="00653A7B" w:rsidRDefault="006763AD" w:rsidP="00653A7B">
      <w:pPr>
        <w:pStyle w:val="BodyText"/>
        <w:rPr>
          <w:noProof/>
        </w:rPr>
      </w:pPr>
      <w:r>
        <w:rPr>
          <w:noProof/>
        </w:rPr>
        <w:drawing>
          <wp:inline distT="0" distB="0" distL="0" distR="0" wp14:anchorId="5A446EA5" wp14:editId="5C50F757">
            <wp:extent cx="5803900" cy="3596640"/>
            <wp:effectExtent l="0" t="0" r="6350" b="3810"/>
            <wp:docPr id="2272323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900" cy="3596640"/>
                    </a:xfrm>
                    <a:prstGeom prst="rect">
                      <a:avLst/>
                    </a:prstGeom>
                    <a:noFill/>
                  </pic:spPr>
                </pic:pic>
              </a:graphicData>
            </a:graphic>
          </wp:inline>
        </w:drawing>
      </w:r>
    </w:p>
    <w:p w14:paraId="54BC3AA1" w14:textId="0EE45972" w:rsidR="00133F55" w:rsidRDefault="00133F55" w:rsidP="001B06F8">
      <w:pPr>
        <w:pStyle w:val="Sourceline"/>
        <w:rPr>
          <w:szCs w:val="20"/>
        </w:rPr>
      </w:pPr>
      <w:r w:rsidRPr="005F70FC">
        <w:t xml:space="preserve">Source: </w:t>
      </w:r>
      <w:r w:rsidRPr="00133F55">
        <w:rPr>
          <w:szCs w:val="20"/>
        </w:rPr>
        <w:t>Commission analysis</w:t>
      </w:r>
    </w:p>
    <w:p w14:paraId="0E2B4B74" w14:textId="10A10472" w:rsidR="00133F55" w:rsidRDefault="00133F55" w:rsidP="00133F55">
      <w:pPr>
        <w:pStyle w:val="Heading2nonumber"/>
      </w:pPr>
      <w:bookmarkStart w:id="27" w:name="_Toc227580423"/>
      <w:r>
        <w:t xml:space="preserve">Uncertainties </w:t>
      </w:r>
      <w:r w:rsidR="00A36956">
        <w:t xml:space="preserve">related to </w:t>
      </w:r>
      <w:r>
        <w:t>carbon yield tables</w:t>
      </w:r>
      <w:bookmarkEnd w:id="27"/>
    </w:p>
    <w:p w14:paraId="7F229F9F" w14:textId="0D215762" w:rsidR="00920014" w:rsidRDefault="00920014" w:rsidP="00920014">
      <w:pPr>
        <w:pStyle w:val="BodyText"/>
      </w:pPr>
      <w:r>
        <w:t xml:space="preserve">A key input into the NZ ETS forestry model </w:t>
      </w:r>
      <w:r w:rsidR="00A52A72">
        <w:t>is</w:t>
      </w:r>
      <w:r>
        <w:t xml:space="preserve"> the </w:t>
      </w:r>
      <w:r w:rsidR="001E55ED">
        <w:t>area-weighted</w:t>
      </w:r>
      <w:r>
        <w:t xml:space="preserve"> carbon yield tables, which are used to determine the volume of units allocated in each year based on forest age. There are five input tables, each for different tree species</w:t>
      </w:r>
      <w:r w:rsidR="001500F1">
        <w:t xml:space="preserve">, which </w:t>
      </w:r>
      <w:r w:rsidR="00FF58AB">
        <w:t xml:space="preserve">aggregate the yield tables used in the NZ ETS and which </w:t>
      </w:r>
      <w:r w:rsidR="000F088C">
        <w:t>the model</w:t>
      </w:r>
      <w:r w:rsidR="001500F1">
        <w:t xml:space="preserve"> appl</w:t>
      </w:r>
      <w:r w:rsidR="000F088C">
        <w:t>ies</w:t>
      </w:r>
      <w:r w:rsidR="001500F1">
        <w:t xml:space="preserve"> across all forests registered in the </w:t>
      </w:r>
      <w:r w:rsidR="00797F01">
        <w:t>scheme</w:t>
      </w:r>
      <w:r>
        <w:t xml:space="preserve">. </w:t>
      </w:r>
    </w:p>
    <w:p w14:paraId="6E52A041" w14:textId="19848DCE" w:rsidR="00920014" w:rsidRDefault="000F36EF" w:rsidP="00920014">
      <w:pPr>
        <w:pStyle w:val="BodyText"/>
      </w:pPr>
      <w:r>
        <w:t>I</w:t>
      </w:r>
      <w:r w:rsidR="00920014">
        <w:t xml:space="preserve">n the NZ ETS, carbon yield tables are used to estimate the amount of carbon stored per hectare in forests based on different forest types, ages, and regions. There are two </w:t>
      </w:r>
      <w:r w:rsidR="005A15A9">
        <w:t xml:space="preserve">carbon measurement methods used </w:t>
      </w:r>
      <w:r w:rsidR="009B5292">
        <w:t xml:space="preserve">for forests </w:t>
      </w:r>
      <w:r w:rsidR="005A15A9">
        <w:t xml:space="preserve">in the NZ ETS and therefore two </w:t>
      </w:r>
      <w:r w:rsidR="00920014">
        <w:t>types of carbon yield tables:</w:t>
      </w:r>
    </w:p>
    <w:p w14:paraId="63D8C9BF" w14:textId="77777777" w:rsidR="00920014" w:rsidRDefault="00920014" w:rsidP="00920014">
      <w:pPr>
        <w:pStyle w:val="Bodybullets"/>
      </w:pPr>
      <w:r>
        <w:t>default yield tables, used for forests under 100 hectares</w:t>
      </w:r>
    </w:p>
    <w:p w14:paraId="4D889A32" w14:textId="3F596732" w:rsidR="00920014" w:rsidRDefault="00920014" w:rsidP="00920014">
      <w:pPr>
        <w:pStyle w:val="Bodybullets"/>
      </w:pPr>
      <w:r>
        <w:t>participant specific tables (PSTs), used for forests above 100 hectares, developed specifically for forests required to use the field measurement approach (FMA) using sample plot locations.</w:t>
      </w:r>
    </w:p>
    <w:p w14:paraId="0C904968" w14:textId="52DA52A8" w:rsidR="00920014" w:rsidRDefault="00317748" w:rsidP="00920014">
      <w:pPr>
        <w:pStyle w:val="BodyText"/>
      </w:pPr>
      <w:r>
        <w:t>In the analysis for</w:t>
      </w:r>
      <w:r w:rsidR="007043EE">
        <w:t xml:space="preserve"> this 2026 NZ ETS settings advice, our </w:t>
      </w:r>
      <w:r w:rsidR="00920014">
        <w:t>forestry model use</w:t>
      </w:r>
      <w:r w:rsidR="007043EE">
        <w:t>s</w:t>
      </w:r>
      <w:r w:rsidR="00920014">
        <w:t xml:space="preserve"> area-weighted carbon yield tables provided by MPI in November 2024. Each yield table combines an area</w:t>
      </w:r>
      <w:r w:rsidR="082C3132">
        <w:t>-</w:t>
      </w:r>
      <w:r w:rsidR="00920014">
        <w:t>weighted average of PSTs with an area weighting of participants using default tables for each species.</w:t>
      </w:r>
    </w:p>
    <w:p w14:paraId="450060C6" w14:textId="1CA1C70F" w:rsidR="00716025" w:rsidRDefault="00716025" w:rsidP="00920014">
      <w:pPr>
        <w:pStyle w:val="BodyText"/>
      </w:pPr>
      <w:r>
        <w:t xml:space="preserve">Details of how the MPI area-weighted carbon yield tables have been developed </w:t>
      </w:r>
      <w:r w:rsidR="0052437F">
        <w:t>are</w:t>
      </w:r>
      <w:r>
        <w:t xml:space="preserve"> set out in Appendix A.</w:t>
      </w:r>
    </w:p>
    <w:p w14:paraId="18340441" w14:textId="7F695178" w:rsidR="00133F55" w:rsidRDefault="00920014" w:rsidP="00920014">
      <w:pPr>
        <w:pStyle w:val="BodyText"/>
      </w:pPr>
      <w:r>
        <w:t xml:space="preserve">There are two important uncertainties </w:t>
      </w:r>
      <w:r w:rsidR="009C7231">
        <w:t xml:space="preserve">related to carbon yield tables </w:t>
      </w:r>
      <w:r w:rsidR="00E51A50">
        <w:t xml:space="preserve">that could </w:t>
      </w:r>
      <w:r w:rsidR="00BD6097">
        <w:t xml:space="preserve">affect the results of </w:t>
      </w:r>
      <w:r w:rsidR="00860620">
        <w:t>our</w:t>
      </w:r>
      <w:r>
        <w:t xml:space="preserve"> </w:t>
      </w:r>
      <w:r w:rsidR="00742001">
        <w:t>analysis –</w:t>
      </w:r>
      <w:r w:rsidR="00942B84">
        <w:t xml:space="preserve"> </w:t>
      </w:r>
      <w:r w:rsidR="00F2275C">
        <w:t>the</w:t>
      </w:r>
      <w:r w:rsidR="00942B84">
        <w:t xml:space="preserve"> </w:t>
      </w:r>
      <w:r w:rsidR="00262691">
        <w:t xml:space="preserve">weightings </w:t>
      </w:r>
      <w:r w:rsidR="0092681C">
        <w:t xml:space="preserve">of </w:t>
      </w:r>
      <w:r w:rsidR="00056706">
        <w:t>the</w:t>
      </w:r>
      <w:r w:rsidR="0092681C">
        <w:t xml:space="preserve"> carbon measurement method</w:t>
      </w:r>
      <w:r w:rsidR="00056706">
        <w:t xml:space="preserve">s (default tables versus </w:t>
      </w:r>
      <w:r w:rsidR="009E7581">
        <w:t>PSTs</w:t>
      </w:r>
      <w:r w:rsidR="00056706">
        <w:t>)</w:t>
      </w:r>
      <w:r w:rsidR="0092681C">
        <w:t xml:space="preserve"> in the </w:t>
      </w:r>
      <w:r w:rsidR="00327DEA">
        <w:t>area-weighted</w:t>
      </w:r>
      <w:r w:rsidR="0092681C">
        <w:t xml:space="preserve"> </w:t>
      </w:r>
      <w:r w:rsidR="001E6128">
        <w:t>tables</w:t>
      </w:r>
      <w:r w:rsidR="00EB3A6B">
        <w:t xml:space="preserve"> used in the model</w:t>
      </w:r>
      <w:r w:rsidR="001E6128">
        <w:t xml:space="preserve">, and </w:t>
      </w:r>
      <w:r w:rsidR="00B42113">
        <w:t>proposed</w:t>
      </w:r>
      <w:r w:rsidR="005B0B22">
        <w:t xml:space="preserve"> updates to the </w:t>
      </w:r>
      <w:r w:rsidR="00221E21">
        <w:t xml:space="preserve">NZ ETS </w:t>
      </w:r>
      <w:r w:rsidR="005B0B22">
        <w:t>default carbon yield tables that</w:t>
      </w:r>
      <w:r w:rsidR="001E6128">
        <w:t xml:space="preserve"> </w:t>
      </w:r>
      <w:r w:rsidR="00B42113">
        <w:t>are under consideration by</w:t>
      </w:r>
      <w:r w:rsidR="00262691">
        <w:t xml:space="preserve"> the </w:t>
      </w:r>
      <w:r w:rsidR="00B42113">
        <w:t>Government</w:t>
      </w:r>
      <w:r>
        <w:t>. These are discussed below.</w:t>
      </w:r>
    </w:p>
    <w:p w14:paraId="0A7D9FD2" w14:textId="1EF8B3D5" w:rsidR="00920014" w:rsidRDefault="00C13110" w:rsidP="00C13110">
      <w:pPr>
        <w:pStyle w:val="Heading3"/>
      </w:pPr>
      <w:bookmarkStart w:id="28" w:name="_Toc227580424"/>
      <w:r>
        <w:t xml:space="preserve">Weightings </w:t>
      </w:r>
      <w:r w:rsidR="005F41D2">
        <w:t>of carbon measurement methods</w:t>
      </w:r>
      <w:r>
        <w:t xml:space="preserve"> used </w:t>
      </w:r>
      <w:r w:rsidR="006920DB">
        <w:t>in</w:t>
      </w:r>
      <w:r>
        <w:t xml:space="preserve"> the area-weighted carbon yield tables</w:t>
      </w:r>
      <w:bookmarkEnd w:id="28"/>
    </w:p>
    <w:p w14:paraId="0C2560AF" w14:textId="0E8EE232" w:rsidR="00412644" w:rsidRDefault="009208DE" w:rsidP="009208DE">
      <w:pPr>
        <w:pStyle w:val="BodyText"/>
      </w:pPr>
      <w:r>
        <w:t xml:space="preserve">Participants who are subject to the FMA are generally required to undertake measurements and generate a PST for each mandatory emissions return. However, in some circumstances it is possible for a participant subject to the FMA to apply for a waiver to use the default tables. </w:t>
      </w:r>
    </w:p>
    <w:p w14:paraId="23A35316" w14:textId="5CA19F66" w:rsidR="009208DE" w:rsidRDefault="009208DE" w:rsidP="009208DE">
      <w:pPr>
        <w:pStyle w:val="BodyText"/>
      </w:pPr>
      <w:r>
        <w:t xml:space="preserve">The mix of forest area </w:t>
      </w:r>
      <w:r w:rsidR="00A04E74">
        <w:t>subject to</w:t>
      </w:r>
      <w:r>
        <w:t xml:space="preserve"> default tables versus PST</w:t>
      </w:r>
      <w:r w:rsidR="002C03FA">
        <w:t>s</w:t>
      </w:r>
      <w:r>
        <w:t xml:space="preserve"> varies over time as new forests are registered. Further to this,</w:t>
      </w:r>
      <w:r w:rsidR="000D5BEA">
        <w:t xml:space="preserve"> there is not always a current PST available for</w:t>
      </w:r>
      <w:r>
        <w:t xml:space="preserve"> forest area subject to the FMA. This could be because the participant has applied for a waiver to use the default tables, or it could be because the participant has not yet measured their forest to get an up-to-date PST for the current MERP. </w:t>
      </w:r>
    </w:p>
    <w:p w14:paraId="4BB73F7E" w14:textId="77777777" w:rsidR="009208DE" w:rsidRDefault="009208DE" w:rsidP="009208DE">
      <w:pPr>
        <w:pStyle w:val="BodyText"/>
      </w:pPr>
      <w:r>
        <w:t>This means that determining the most appropriate carbon yield table to use in the forestry model requires some judgement.</w:t>
      </w:r>
    </w:p>
    <w:p w14:paraId="500BB012" w14:textId="3B5EEA69" w:rsidR="009208DE" w:rsidRDefault="009208DE" w:rsidP="009208DE">
      <w:pPr>
        <w:pStyle w:val="BodyText"/>
      </w:pPr>
      <w:r>
        <w:t xml:space="preserve">We understand that the area-weighted yield tables supplied to us by MPI were based only on PSTs that had been approved </w:t>
      </w:r>
      <w:r w:rsidR="001530F3">
        <w:t>for use in MERP3</w:t>
      </w:r>
      <w:r w:rsidR="00AF54EA">
        <w:rPr>
          <w:rStyle w:val="FootnoteReference"/>
        </w:rPr>
        <w:footnoteReference w:id="14"/>
      </w:r>
      <w:r w:rsidR="001530F3">
        <w:t xml:space="preserve"> </w:t>
      </w:r>
      <w:r>
        <w:t xml:space="preserve">at the </w:t>
      </w:r>
      <w:r w:rsidR="00D16122">
        <w:t>date</w:t>
      </w:r>
      <w:r>
        <w:t xml:space="preserve"> the data was extracted</w:t>
      </w:r>
      <w:r w:rsidR="001530F3">
        <w:t xml:space="preserve"> (</w:t>
      </w:r>
      <w:r w:rsidR="00282DB0">
        <w:t>1 November 2024)</w:t>
      </w:r>
      <w:r>
        <w:t xml:space="preserve">. However, some participants subject to the FMA had not yet had their PSTs approved, and in the area-weighted tables they were classified as </w:t>
      </w:r>
      <w:r w:rsidR="006266C8">
        <w:t xml:space="preserve">using </w:t>
      </w:r>
      <w:r>
        <w:t xml:space="preserve">default tables. This resulted in an area weighting of approximately 35% of total </w:t>
      </w:r>
      <w:r w:rsidR="009650A7">
        <w:t xml:space="preserve">forest </w:t>
      </w:r>
      <w:r w:rsidR="00905330">
        <w:t xml:space="preserve">area </w:t>
      </w:r>
      <w:r w:rsidR="003426AF">
        <w:t>using</w:t>
      </w:r>
      <w:r>
        <w:t xml:space="preserve"> the default tables. However, additional information published by MPI shows that </w:t>
      </w:r>
      <w:r w:rsidR="00A84DC1">
        <w:t xml:space="preserve">only </w:t>
      </w:r>
      <w:r w:rsidR="008C6AA9">
        <w:t xml:space="preserve">around </w:t>
      </w:r>
      <w:r w:rsidR="009E176C">
        <w:t>20</w:t>
      </w:r>
      <w:r>
        <w:t xml:space="preserve">% of </w:t>
      </w:r>
      <w:r w:rsidR="008F0912">
        <w:t xml:space="preserve">the </w:t>
      </w:r>
      <w:r>
        <w:t xml:space="preserve">total </w:t>
      </w:r>
      <w:r w:rsidR="008F0912">
        <w:t>forest</w:t>
      </w:r>
      <w:r w:rsidDel="0046261A">
        <w:t xml:space="preserve"> </w:t>
      </w:r>
      <w:r w:rsidR="0046261A">
        <w:t xml:space="preserve">area </w:t>
      </w:r>
      <w:r w:rsidR="000D07AA">
        <w:t>registered in MERP3</w:t>
      </w:r>
      <w:r>
        <w:t xml:space="preserve"> </w:t>
      </w:r>
      <w:r w:rsidR="00C25260">
        <w:t xml:space="preserve">is </w:t>
      </w:r>
      <w:r>
        <w:t>not subject</w:t>
      </w:r>
      <w:r w:rsidR="00872BF9">
        <w:t xml:space="preserve"> to</w:t>
      </w:r>
      <w:r>
        <w:t xml:space="preserve"> the FMA</w:t>
      </w:r>
      <w:r w:rsidR="00CF0D9A">
        <w:t xml:space="preserve"> (</w:t>
      </w:r>
      <w:r w:rsidR="00005483">
        <w:t>and therefore is subject to the default tables)</w:t>
      </w:r>
      <w:r>
        <w:t>.</w:t>
      </w:r>
      <w:r w:rsidR="00366381">
        <w:fldChar w:fldCharType="begin"/>
      </w:r>
      <w:r w:rsidR="002D7255">
        <w:instrText xml:space="preserve"> ADDIN EN.CITE &lt;EndNote&gt;&lt;Cite ExcludeYear="1"&gt;&lt;Author&gt;Ministry for Primary Industries Manatu Ahu Matua&lt;/Author&gt;&lt;RecNum&gt;1572&lt;/RecNum&gt;&lt;DisplayText&gt;&lt;style face="superscript"&gt;5&lt;/style&gt;&lt;/DisplayText&gt;&lt;record&gt;&lt;rec-number&gt;1572&lt;/rec-number&gt;&lt;foreign-keys&gt;&lt;key app="EN" db-id="fwvex5fabdwzs9e9rwa55p5bvws5v2dex2zs" timestamp="1776556988" guid="490d0cea-5eae-4e4d-a916-c3c23069958f"&gt;1572&lt;/key&gt;&lt;/foreign-keys&gt;&lt;ref-type name="Web Page"&gt;12&lt;/ref-type&gt;&lt;contributors&gt;&lt;authors&gt;&lt;author&gt;Ministry for Primary Industries Manatu Ahu Matua,&lt;/author&gt;&lt;/authors&gt;&lt;/contributors&gt;&lt;titles&gt;&lt;title&gt;Application wait times and statistics for forestry in the ETS&lt;/title&gt;&lt;/titles&gt;&lt;number&gt;26 January 2026&lt;/number&gt;&lt;keywords&gt;&lt;keyword&gt;ETS26&lt;/keyword&gt;&lt;/keywords&gt;&lt;dates&gt;&lt;/dates&gt;&lt;urls&gt;&lt;related-urls&gt;&lt;url&gt;https://www.mpi.govt.nz/forestry/forestry-in-the-emissions-trading-scheme/news-and-changes-to-the-ets/application-wait-times-and-statistics-for-forestry-in-the-ets&lt;/url&gt;&lt;/related-urls&gt;&lt;/urls&gt;&lt;/record&gt;&lt;/Cite&gt;&lt;/EndNote&gt;</w:instrText>
      </w:r>
      <w:r w:rsidR="00366381">
        <w:fldChar w:fldCharType="separate"/>
      </w:r>
      <w:r w:rsidR="00AE5EFC" w:rsidRPr="00AE5EFC">
        <w:rPr>
          <w:noProof/>
          <w:vertAlign w:val="superscript"/>
        </w:rPr>
        <w:t>5</w:t>
      </w:r>
      <w:r w:rsidR="00366381">
        <w:fldChar w:fldCharType="end"/>
      </w:r>
      <w:r>
        <w:t xml:space="preserve"> </w:t>
      </w:r>
    </w:p>
    <w:p w14:paraId="6B6E8092" w14:textId="03092E20" w:rsidR="009208DE" w:rsidRDefault="009208DE" w:rsidP="009208DE">
      <w:pPr>
        <w:pStyle w:val="BodyText"/>
      </w:pPr>
      <w:r>
        <w:t>While some participants will have waivers to allow them to use the default tables despite being subject to the FMA, this is unlikely to explain the entire 1</w:t>
      </w:r>
      <w:r w:rsidR="00724B29">
        <w:t>5</w:t>
      </w:r>
      <w:r>
        <w:t xml:space="preserve">% </w:t>
      </w:r>
      <w:r w:rsidR="00E16AC2">
        <w:t>difference</w:t>
      </w:r>
      <w:r>
        <w:t xml:space="preserve">. </w:t>
      </w:r>
      <w:r w:rsidR="00925114">
        <w:t>I</w:t>
      </w:r>
      <w:r>
        <w:t xml:space="preserve">t </w:t>
      </w:r>
      <w:r w:rsidR="008A600F">
        <w:t>seems</w:t>
      </w:r>
      <w:r>
        <w:t xml:space="preserve"> likely that for a substantial proportion of the forest area, the default tables </w:t>
      </w:r>
      <w:r w:rsidR="00CD74AC">
        <w:t>were</w:t>
      </w:r>
      <w:r w:rsidDel="00CD74AC">
        <w:t xml:space="preserve"> </w:t>
      </w:r>
      <w:r>
        <w:t xml:space="preserve">used in the calculations as proxies for the PSTs which were not yet available. </w:t>
      </w:r>
    </w:p>
    <w:p w14:paraId="09475FAC" w14:textId="4AB7D493" w:rsidR="009208DE" w:rsidRDefault="009208DE" w:rsidP="009208DE">
      <w:pPr>
        <w:pStyle w:val="BodyText"/>
      </w:pPr>
      <w:r>
        <w:t xml:space="preserve">We have based our analysis on the area-weighted carbon yield tables provided by MPI, as we do not have the detailed level of information required to develop our own. </w:t>
      </w:r>
      <w:r w:rsidR="005A5656">
        <w:t>However, v</w:t>
      </w:r>
      <w:r w:rsidR="00F0041A">
        <w:t xml:space="preserve">ariation in the weightings used can significantly impact the results. </w:t>
      </w:r>
      <w:r w:rsidR="00DE5A20">
        <w:t xml:space="preserve">Because of this we </w:t>
      </w:r>
      <w:r>
        <w:t xml:space="preserve">suggest that further consideration be given to the most appropriate weightings to be used for this analysis. </w:t>
      </w:r>
    </w:p>
    <w:p w14:paraId="1598912C" w14:textId="43C207A7" w:rsidR="00C13110" w:rsidRDefault="009208DE" w:rsidP="009208DE">
      <w:pPr>
        <w:pStyle w:val="BodyText"/>
      </w:pPr>
      <w:r>
        <w:t>Table 10, below, shows the proportion of forest area assumed to use the default carbon yield tables in the area-weighted table provided by MPI. It also shows the proportion of forest area which is not subject to the FMA (and therefore automatically uses the default tables)</w:t>
      </w:r>
      <w:r w:rsidR="00C1649E">
        <w:t xml:space="preserve"> for MERP3</w:t>
      </w:r>
      <w:r>
        <w:t>. This is shown for each species and overall.</w:t>
      </w:r>
    </w:p>
    <w:p w14:paraId="3E5F6B84" w14:textId="0E1F5CB6" w:rsidR="00970868" w:rsidRDefault="00970868" w:rsidP="00970868">
      <w:pPr>
        <w:pStyle w:val="FigureTabletitle"/>
      </w:pPr>
      <w:r>
        <w:t xml:space="preserve">Table </w:t>
      </w:r>
      <w:r>
        <w:fldChar w:fldCharType="begin"/>
      </w:r>
      <w:r>
        <w:instrText xml:space="preserve"> SEQ Table \* ARABIC </w:instrText>
      </w:r>
      <w:r>
        <w:fldChar w:fldCharType="separate"/>
      </w:r>
      <w:r w:rsidR="00792161">
        <w:rPr>
          <w:noProof/>
        </w:rPr>
        <w:t>10</w:t>
      </w:r>
      <w:r>
        <w:fldChar w:fldCharType="end"/>
      </w:r>
      <w:r>
        <w:t xml:space="preserve">: </w:t>
      </w:r>
      <w:r w:rsidRPr="0077128B">
        <w:t>Comparison of proportion of forest area using default carbon yield tables</w:t>
      </w:r>
    </w:p>
    <w:tbl>
      <w:tblPr>
        <w:tblStyle w:val="GridTable5Dark-Accent51"/>
        <w:tblW w:w="5000" w:type="pct"/>
        <w:tblLayout w:type="fixed"/>
        <w:tblCellMar>
          <w:left w:w="113" w:type="dxa"/>
          <w:right w:w="113" w:type="dxa"/>
        </w:tblCellMar>
        <w:tblLook w:val="0420" w:firstRow="1" w:lastRow="0" w:firstColumn="0" w:lastColumn="0" w:noHBand="0" w:noVBand="1"/>
      </w:tblPr>
      <w:tblGrid>
        <w:gridCol w:w="1293"/>
        <w:gridCol w:w="1293"/>
        <w:gridCol w:w="1294"/>
        <w:gridCol w:w="1296"/>
        <w:gridCol w:w="1294"/>
        <w:gridCol w:w="1294"/>
        <w:gridCol w:w="1296"/>
      </w:tblGrid>
      <w:tr w:rsidR="00B2470A" w:rsidRPr="00E337FD" w14:paraId="63CFA31B" w14:textId="77777777" w:rsidTr="00004210">
        <w:trPr>
          <w:cnfStyle w:val="100000000000" w:firstRow="1" w:lastRow="0" w:firstColumn="0" w:lastColumn="0" w:oddVBand="0" w:evenVBand="0" w:oddHBand="0" w:evenHBand="0" w:firstRowFirstColumn="0" w:firstRowLastColumn="0" w:lastRowFirstColumn="0" w:lastRowLastColumn="0"/>
          <w:trHeight w:val="20"/>
        </w:trPr>
        <w:tc>
          <w:tcPr>
            <w:tcW w:w="714" w:type="pct"/>
            <w:tcBorders>
              <w:right w:val="single" w:sz="6" w:space="0" w:color="FFFFFF"/>
            </w:tcBorders>
            <w:shd w:val="clear" w:color="auto" w:fill="002060"/>
            <w:vAlign w:val="center"/>
            <w:hideMark/>
          </w:tcPr>
          <w:p w14:paraId="082711C7" w14:textId="77777777" w:rsidR="00E337FD" w:rsidRPr="00C34F1B" w:rsidRDefault="00E337FD" w:rsidP="00D20CD5">
            <w:pPr>
              <w:pStyle w:val="Tableheading"/>
            </w:pPr>
            <w:r w:rsidRPr="00A016F2">
              <w:rPr>
                <w:b/>
              </w:rPr>
              <w:t xml:space="preserve">Area weightings </w:t>
            </w:r>
          </w:p>
        </w:tc>
        <w:tc>
          <w:tcPr>
            <w:tcW w:w="714" w:type="pct"/>
            <w:tcBorders>
              <w:left w:val="single" w:sz="6" w:space="0" w:color="FFFFFF"/>
              <w:right w:val="single" w:sz="6" w:space="0" w:color="FFFFFF"/>
            </w:tcBorders>
            <w:shd w:val="clear" w:color="auto" w:fill="002060"/>
            <w:vAlign w:val="center"/>
          </w:tcPr>
          <w:p w14:paraId="5DE1BD42" w14:textId="77777777" w:rsidR="00E337FD" w:rsidRPr="00C34F1B" w:rsidRDefault="00E337FD" w:rsidP="00D20CD5">
            <w:pPr>
              <w:pStyle w:val="Tableheading"/>
              <w:jc w:val="center"/>
            </w:pPr>
            <w:r w:rsidRPr="00D20CD5">
              <w:rPr>
                <w:b/>
              </w:rPr>
              <w:t>Overall</w:t>
            </w:r>
          </w:p>
        </w:tc>
        <w:tc>
          <w:tcPr>
            <w:tcW w:w="714" w:type="pct"/>
            <w:tcBorders>
              <w:left w:val="single" w:sz="6" w:space="0" w:color="FFFFFF"/>
              <w:right w:val="single" w:sz="6" w:space="0" w:color="FFFFFF"/>
            </w:tcBorders>
            <w:shd w:val="clear" w:color="auto" w:fill="002060"/>
            <w:vAlign w:val="center"/>
          </w:tcPr>
          <w:p w14:paraId="38266F22" w14:textId="77777777" w:rsidR="00E337FD" w:rsidRPr="00C34F1B" w:rsidRDefault="00E337FD" w:rsidP="00D20CD5">
            <w:pPr>
              <w:pStyle w:val="Tableheading"/>
              <w:jc w:val="center"/>
            </w:pPr>
            <w:r w:rsidRPr="00D20CD5">
              <w:rPr>
                <w:b/>
              </w:rPr>
              <w:t>Pine</w:t>
            </w:r>
          </w:p>
        </w:tc>
        <w:tc>
          <w:tcPr>
            <w:tcW w:w="715" w:type="pct"/>
            <w:tcBorders>
              <w:left w:val="single" w:sz="6" w:space="0" w:color="FFFFFF"/>
              <w:right w:val="single" w:sz="6" w:space="0" w:color="FFFFFF"/>
            </w:tcBorders>
            <w:shd w:val="clear" w:color="auto" w:fill="002060"/>
            <w:vAlign w:val="center"/>
          </w:tcPr>
          <w:p w14:paraId="3582433E" w14:textId="77777777" w:rsidR="00E337FD" w:rsidRPr="00C34F1B" w:rsidRDefault="00E337FD" w:rsidP="00D20CD5">
            <w:pPr>
              <w:pStyle w:val="Tableheading"/>
              <w:jc w:val="center"/>
            </w:pPr>
            <w:r w:rsidRPr="00D20CD5">
              <w:rPr>
                <w:b/>
              </w:rPr>
              <w:t>Douglas Fir</w:t>
            </w:r>
          </w:p>
        </w:tc>
        <w:tc>
          <w:tcPr>
            <w:tcW w:w="714" w:type="pct"/>
            <w:tcBorders>
              <w:left w:val="single" w:sz="6" w:space="0" w:color="FFFFFF"/>
              <w:right w:val="single" w:sz="6" w:space="0" w:color="FFFFFF"/>
            </w:tcBorders>
            <w:shd w:val="clear" w:color="auto" w:fill="002060"/>
            <w:vAlign w:val="center"/>
          </w:tcPr>
          <w:p w14:paraId="615A7DD5" w14:textId="77777777" w:rsidR="00E337FD" w:rsidRPr="00C34F1B" w:rsidRDefault="00E337FD" w:rsidP="00D20CD5">
            <w:pPr>
              <w:pStyle w:val="Tableheading"/>
              <w:jc w:val="center"/>
            </w:pPr>
            <w:r w:rsidRPr="00D20CD5">
              <w:rPr>
                <w:b/>
              </w:rPr>
              <w:t>Exotic softwoods</w:t>
            </w:r>
          </w:p>
        </w:tc>
        <w:tc>
          <w:tcPr>
            <w:tcW w:w="714" w:type="pct"/>
            <w:tcBorders>
              <w:left w:val="single" w:sz="6" w:space="0" w:color="FFFFFF"/>
              <w:right w:val="single" w:sz="6" w:space="0" w:color="FFFFFF"/>
            </w:tcBorders>
            <w:shd w:val="clear" w:color="auto" w:fill="002060"/>
            <w:vAlign w:val="center"/>
          </w:tcPr>
          <w:p w14:paraId="679A4C30" w14:textId="77777777" w:rsidR="00E337FD" w:rsidRPr="00C34F1B" w:rsidRDefault="00E337FD" w:rsidP="00D20CD5">
            <w:pPr>
              <w:pStyle w:val="Tableheading"/>
              <w:jc w:val="center"/>
            </w:pPr>
            <w:r w:rsidRPr="00D20CD5">
              <w:rPr>
                <w:b/>
              </w:rPr>
              <w:t>Exotic hardwoods</w:t>
            </w:r>
          </w:p>
        </w:tc>
        <w:tc>
          <w:tcPr>
            <w:tcW w:w="715" w:type="pct"/>
            <w:tcBorders>
              <w:left w:val="single" w:sz="6" w:space="0" w:color="FFFFFF"/>
            </w:tcBorders>
            <w:shd w:val="clear" w:color="auto" w:fill="002060"/>
            <w:vAlign w:val="center"/>
          </w:tcPr>
          <w:p w14:paraId="2569B84A" w14:textId="77777777" w:rsidR="00E337FD" w:rsidRPr="00C34F1B" w:rsidRDefault="00E337FD" w:rsidP="00D20CD5">
            <w:pPr>
              <w:pStyle w:val="Tableheading"/>
              <w:jc w:val="center"/>
            </w:pPr>
            <w:r w:rsidRPr="00D20CD5">
              <w:rPr>
                <w:b/>
              </w:rPr>
              <w:t>Indigenous forest</w:t>
            </w:r>
          </w:p>
        </w:tc>
      </w:tr>
      <w:tr w:rsidR="00B2470A" w:rsidRPr="00E337FD" w14:paraId="71ACF28E" w14:textId="77777777" w:rsidTr="005132B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714" w:type="pct"/>
            <w:shd w:val="clear" w:color="auto" w:fill="C1DCD5"/>
            <w:vAlign w:val="center"/>
          </w:tcPr>
          <w:p w14:paraId="2FB133CD" w14:textId="05664EF2" w:rsidR="00E337FD" w:rsidRPr="00D20CD5" w:rsidRDefault="00E337FD" w:rsidP="005132B4">
            <w:pPr>
              <w:spacing w:before="0"/>
              <w:rPr>
                <w:b/>
              </w:rPr>
            </w:pPr>
            <w:r w:rsidRPr="00D20CD5">
              <w:rPr>
                <w:b/>
                <w:lang w:val="en-NZ" w:eastAsia="en-US"/>
              </w:rPr>
              <w:t>MPI %</w:t>
            </w:r>
            <w:r w:rsidRPr="005132B4">
              <w:rPr>
                <w:rFonts w:cs="Calibri"/>
                <w:b/>
                <w:sz w:val="22"/>
                <w:szCs w:val="22"/>
                <w:lang w:val="en-GB" w:eastAsia="en-GB"/>
              </w:rPr>
              <w:t xml:space="preserve"> </w:t>
            </w:r>
            <w:r w:rsidRPr="00D20CD5">
              <w:rPr>
                <w:b/>
                <w:lang w:val="en-NZ" w:eastAsia="en-US"/>
              </w:rPr>
              <w:t>o</w:t>
            </w:r>
            <w:r w:rsidR="005132B4">
              <w:rPr>
                <w:b/>
              </w:rPr>
              <w:t>n</w:t>
            </w:r>
            <w:r w:rsidRPr="00D20CD5">
              <w:rPr>
                <w:b/>
                <w:lang w:val="en-NZ" w:eastAsia="en-US"/>
              </w:rPr>
              <w:t xml:space="preserve"> default</w:t>
            </w:r>
            <w:r w:rsidR="00E56FE4">
              <w:rPr>
                <w:b/>
              </w:rPr>
              <w:t xml:space="preserve"> tables</w:t>
            </w:r>
          </w:p>
        </w:tc>
        <w:tc>
          <w:tcPr>
            <w:tcW w:w="714" w:type="pct"/>
            <w:shd w:val="clear" w:color="auto" w:fill="D4E8DE"/>
            <w:vAlign w:val="center"/>
          </w:tcPr>
          <w:p w14:paraId="3C1D1604" w14:textId="77777777" w:rsidR="00E337FD" w:rsidRPr="00E337FD" w:rsidRDefault="00E337FD" w:rsidP="00D20CD5">
            <w:pPr>
              <w:pStyle w:val="TableParagraph"/>
              <w:jc w:val="center"/>
            </w:pPr>
            <w:r w:rsidRPr="00E337FD">
              <w:t>35%</w:t>
            </w:r>
          </w:p>
        </w:tc>
        <w:tc>
          <w:tcPr>
            <w:tcW w:w="714" w:type="pct"/>
            <w:shd w:val="clear" w:color="auto" w:fill="D4E8DE"/>
            <w:vAlign w:val="center"/>
          </w:tcPr>
          <w:p w14:paraId="42E2696D" w14:textId="77777777" w:rsidR="00E337FD" w:rsidRPr="00E337FD" w:rsidRDefault="00E337FD" w:rsidP="00D20CD5">
            <w:pPr>
              <w:pStyle w:val="TableParagraph"/>
              <w:jc w:val="center"/>
              <w:rPr>
                <w:lang w:eastAsia="en-GB"/>
              </w:rPr>
            </w:pPr>
            <w:r w:rsidRPr="00E337FD">
              <w:t>30%</w:t>
            </w:r>
          </w:p>
        </w:tc>
        <w:tc>
          <w:tcPr>
            <w:tcW w:w="715" w:type="pct"/>
            <w:shd w:val="clear" w:color="auto" w:fill="D4E8DE"/>
            <w:vAlign w:val="center"/>
          </w:tcPr>
          <w:p w14:paraId="02F34980" w14:textId="77777777" w:rsidR="00E337FD" w:rsidRPr="00E337FD" w:rsidRDefault="00E337FD" w:rsidP="00D20CD5">
            <w:pPr>
              <w:pStyle w:val="TableParagraph"/>
              <w:jc w:val="center"/>
              <w:rPr>
                <w:lang w:eastAsia="en-GB"/>
              </w:rPr>
            </w:pPr>
            <w:r w:rsidRPr="00E337FD">
              <w:t>13%</w:t>
            </w:r>
          </w:p>
        </w:tc>
        <w:tc>
          <w:tcPr>
            <w:tcW w:w="714" w:type="pct"/>
            <w:shd w:val="clear" w:color="auto" w:fill="D4E8DE"/>
            <w:vAlign w:val="center"/>
          </w:tcPr>
          <w:p w14:paraId="4A57713E" w14:textId="77777777" w:rsidR="00E337FD" w:rsidRPr="00E337FD" w:rsidRDefault="00E337FD" w:rsidP="00D20CD5">
            <w:pPr>
              <w:pStyle w:val="TableParagraph"/>
              <w:jc w:val="center"/>
              <w:rPr>
                <w:lang w:eastAsia="en-GB"/>
              </w:rPr>
            </w:pPr>
            <w:r w:rsidRPr="00E337FD">
              <w:t>38%</w:t>
            </w:r>
          </w:p>
        </w:tc>
        <w:tc>
          <w:tcPr>
            <w:tcW w:w="714" w:type="pct"/>
            <w:shd w:val="clear" w:color="auto" w:fill="D4E8DE"/>
            <w:vAlign w:val="center"/>
          </w:tcPr>
          <w:p w14:paraId="17A024C8" w14:textId="77777777" w:rsidR="00E337FD" w:rsidRPr="00E337FD" w:rsidRDefault="00E337FD" w:rsidP="00D20CD5">
            <w:pPr>
              <w:pStyle w:val="TableParagraph"/>
              <w:jc w:val="center"/>
              <w:rPr>
                <w:lang w:eastAsia="en-GB"/>
              </w:rPr>
            </w:pPr>
            <w:r w:rsidRPr="00E337FD">
              <w:t>54%</w:t>
            </w:r>
          </w:p>
        </w:tc>
        <w:tc>
          <w:tcPr>
            <w:tcW w:w="715" w:type="pct"/>
            <w:shd w:val="clear" w:color="auto" w:fill="D4E8DE"/>
            <w:vAlign w:val="center"/>
          </w:tcPr>
          <w:p w14:paraId="75AFBB2F" w14:textId="77777777" w:rsidR="00E337FD" w:rsidRPr="00E337FD" w:rsidRDefault="00E337FD" w:rsidP="00D20CD5">
            <w:pPr>
              <w:pStyle w:val="TableParagraph"/>
              <w:jc w:val="center"/>
              <w:rPr>
                <w:lang w:eastAsia="en-GB"/>
              </w:rPr>
            </w:pPr>
            <w:r w:rsidRPr="00E337FD">
              <w:t>56%</w:t>
            </w:r>
          </w:p>
        </w:tc>
      </w:tr>
      <w:tr w:rsidR="00B2470A" w:rsidRPr="00E337FD" w14:paraId="2BAFAE56" w14:textId="77777777" w:rsidTr="00D20CD5">
        <w:trPr>
          <w:trHeight w:val="20"/>
        </w:trPr>
        <w:tc>
          <w:tcPr>
            <w:tcW w:w="0" w:type="pct"/>
            <w:shd w:val="clear" w:color="auto" w:fill="C1DCD5"/>
            <w:vAlign w:val="center"/>
          </w:tcPr>
          <w:p w14:paraId="12E234CA" w14:textId="4F26D930" w:rsidR="00E337FD" w:rsidRPr="00D20CD5" w:rsidRDefault="00E337FD" w:rsidP="00D20CD5">
            <w:pPr>
              <w:pStyle w:val="TableParagraph"/>
              <w:rPr>
                <w:b/>
              </w:rPr>
            </w:pPr>
            <w:r w:rsidRPr="00D20CD5">
              <w:rPr>
                <w:b/>
              </w:rPr>
              <w:t>% of forest area not subject to FMA</w:t>
            </w:r>
            <w:r w:rsidR="00EC7ABE">
              <w:rPr>
                <w:b/>
                <w:bCs/>
              </w:rPr>
              <w:t xml:space="preserve"> (MERP3)</w:t>
            </w:r>
          </w:p>
        </w:tc>
        <w:tc>
          <w:tcPr>
            <w:tcW w:w="0" w:type="pct"/>
            <w:shd w:val="clear" w:color="auto" w:fill="E9F5F2"/>
            <w:vAlign w:val="center"/>
          </w:tcPr>
          <w:p w14:paraId="0B0FDEF6" w14:textId="33A8EBE0" w:rsidR="00E337FD" w:rsidRPr="00E337FD" w:rsidRDefault="00B52610" w:rsidP="00D20CD5">
            <w:pPr>
              <w:pStyle w:val="TableParagraph"/>
              <w:jc w:val="center"/>
            </w:pPr>
            <w:r>
              <w:t>20</w:t>
            </w:r>
            <w:r w:rsidR="00E337FD" w:rsidRPr="00E337FD">
              <w:t>%</w:t>
            </w:r>
          </w:p>
        </w:tc>
        <w:tc>
          <w:tcPr>
            <w:tcW w:w="0" w:type="pct"/>
            <w:shd w:val="clear" w:color="auto" w:fill="E9F5F2"/>
            <w:vAlign w:val="center"/>
          </w:tcPr>
          <w:p w14:paraId="7AE931F8" w14:textId="689A725F" w:rsidR="00E337FD" w:rsidRPr="00E337FD" w:rsidRDefault="00266916" w:rsidP="00D20CD5">
            <w:pPr>
              <w:pStyle w:val="TableParagraph"/>
              <w:jc w:val="center"/>
              <w:rPr>
                <w:lang w:eastAsia="en-GB"/>
              </w:rPr>
            </w:pPr>
            <w:r>
              <w:rPr>
                <w:rFonts w:cs="Calibri"/>
                <w:color w:val="000000"/>
              </w:rPr>
              <w:t>14</w:t>
            </w:r>
            <w:r w:rsidR="00E337FD">
              <w:rPr>
                <w:rFonts w:cs="Calibri"/>
                <w:color w:val="000000"/>
              </w:rPr>
              <w:t>%</w:t>
            </w:r>
          </w:p>
        </w:tc>
        <w:tc>
          <w:tcPr>
            <w:tcW w:w="0" w:type="pct"/>
            <w:shd w:val="clear" w:color="auto" w:fill="E9F5F2"/>
            <w:vAlign w:val="center"/>
          </w:tcPr>
          <w:p w14:paraId="5F2EF68C" w14:textId="2BB52C36" w:rsidR="00E337FD" w:rsidRPr="00E337FD" w:rsidRDefault="00266916" w:rsidP="00D20CD5">
            <w:pPr>
              <w:pStyle w:val="TableParagraph"/>
              <w:jc w:val="center"/>
              <w:rPr>
                <w:lang w:eastAsia="en-GB"/>
              </w:rPr>
            </w:pPr>
            <w:r>
              <w:rPr>
                <w:rFonts w:cs="Calibri"/>
                <w:color w:val="000000"/>
              </w:rPr>
              <w:t>26</w:t>
            </w:r>
            <w:r w:rsidR="00E337FD">
              <w:rPr>
                <w:rFonts w:cs="Calibri"/>
                <w:color w:val="000000"/>
              </w:rPr>
              <w:t>%</w:t>
            </w:r>
          </w:p>
        </w:tc>
        <w:tc>
          <w:tcPr>
            <w:tcW w:w="0" w:type="pct"/>
            <w:shd w:val="clear" w:color="auto" w:fill="E9F5F2"/>
            <w:vAlign w:val="center"/>
          </w:tcPr>
          <w:p w14:paraId="27B531A7" w14:textId="7D2D8897" w:rsidR="00E337FD" w:rsidRPr="00E337FD" w:rsidRDefault="00266916" w:rsidP="00D20CD5">
            <w:pPr>
              <w:pStyle w:val="TableParagraph"/>
              <w:jc w:val="center"/>
              <w:rPr>
                <w:lang w:eastAsia="en-GB"/>
              </w:rPr>
            </w:pPr>
            <w:r>
              <w:rPr>
                <w:rFonts w:cs="Calibri"/>
                <w:color w:val="000000"/>
              </w:rPr>
              <w:t>25</w:t>
            </w:r>
            <w:r w:rsidR="00E337FD">
              <w:rPr>
                <w:rFonts w:cs="Calibri"/>
                <w:color w:val="000000"/>
              </w:rPr>
              <w:t>%</w:t>
            </w:r>
          </w:p>
        </w:tc>
        <w:tc>
          <w:tcPr>
            <w:tcW w:w="0" w:type="pct"/>
            <w:shd w:val="clear" w:color="auto" w:fill="E9F5F2"/>
            <w:vAlign w:val="center"/>
          </w:tcPr>
          <w:p w14:paraId="6D3E9082" w14:textId="30A82EC9" w:rsidR="00E337FD" w:rsidRPr="00E337FD" w:rsidRDefault="00266916" w:rsidP="00D20CD5">
            <w:pPr>
              <w:pStyle w:val="TableParagraph"/>
              <w:jc w:val="center"/>
              <w:rPr>
                <w:lang w:eastAsia="en-GB"/>
              </w:rPr>
            </w:pPr>
            <w:r>
              <w:rPr>
                <w:rFonts w:cs="Calibri"/>
                <w:color w:val="000000"/>
              </w:rPr>
              <w:t>48</w:t>
            </w:r>
            <w:r w:rsidR="00E337FD">
              <w:rPr>
                <w:rFonts w:cs="Calibri"/>
                <w:color w:val="000000"/>
              </w:rPr>
              <w:t>%</w:t>
            </w:r>
          </w:p>
        </w:tc>
        <w:tc>
          <w:tcPr>
            <w:tcW w:w="0" w:type="pct"/>
            <w:shd w:val="clear" w:color="auto" w:fill="E9F5F2"/>
            <w:vAlign w:val="center"/>
          </w:tcPr>
          <w:p w14:paraId="143AB7F3" w14:textId="172F44EC" w:rsidR="00E337FD" w:rsidRPr="00E337FD" w:rsidRDefault="00266916" w:rsidP="00D20CD5">
            <w:pPr>
              <w:pStyle w:val="TableParagraph"/>
              <w:jc w:val="center"/>
              <w:rPr>
                <w:lang w:eastAsia="en-GB"/>
              </w:rPr>
            </w:pPr>
            <w:r>
              <w:rPr>
                <w:rFonts w:cs="Calibri"/>
                <w:color w:val="000000"/>
              </w:rPr>
              <w:t>37</w:t>
            </w:r>
            <w:r w:rsidR="00E337FD">
              <w:rPr>
                <w:rFonts w:cs="Calibri"/>
                <w:color w:val="000000"/>
              </w:rPr>
              <w:t>%</w:t>
            </w:r>
          </w:p>
        </w:tc>
      </w:tr>
      <w:tr w:rsidR="00B6417F" w:rsidRPr="00E337FD" w14:paraId="4F85075C" w14:textId="77777777" w:rsidTr="00D20CD5">
        <w:trPr>
          <w:cnfStyle w:val="000000100000" w:firstRow="0" w:lastRow="0" w:firstColumn="0" w:lastColumn="0" w:oddVBand="0" w:evenVBand="0" w:oddHBand="1" w:evenHBand="0" w:firstRowFirstColumn="0" w:firstRowLastColumn="0" w:lastRowFirstColumn="0" w:lastRowLastColumn="0"/>
          <w:trHeight w:val="20"/>
        </w:trPr>
        <w:tc>
          <w:tcPr>
            <w:tcW w:w="0" w:type="pct"/>
            <w:shd w:val="clear" w:color="auto" w:fill="C1DCD5"/>
            <w:vAlign w:val="center"/>
          </w:tcPr>
          <w:p w14:paraId="0DBFD08B" w14:textId="5ECAD2E9" w:rsidR="00E337FD" w:rsidRPr="00353FA0" w:rsidRDefault="00D66952" w:rsidP="00353FA0">
            <w:pPr>
              <w:pStyle w:val="TableParagraph"/>
              <w:rPr>
                <w:b/>
              </w:rPr>
            </w:pPr>
            <w:r>
              <w:rPr>
                <w:b/>
                <w:bCs/>
              </w:rPr>
              <w:t>D</w:t>
            </w:r>
            <w:r w:rsidR="00E337FD" w:rsidRPr="00353FA0">
              <w:rPr>
                <w:b/>
                <w:bCs/>
              </w:rPr>
              <w:t>ifference</w:t>
            </w:r>
          </w:p>
        </w:tc>
        <w:tc>
          <w:tcPr>
            <w:tcW w:w="0" w:type="pct"/>
            <w:shd w:val="clear" w:color="auto" w:fill="D4E8DE"/>
            <w:vAlign w:val="center"/>
          </w:tcPr>
          <w:p w14:paraId="12B019EC" w14:textId="0BE4F7BE" w:rsidR="00E337FD" w:rsidRPr="00E337FD" w:rsidRDefault="00583D02" w:rsidP="00353FA0">
            <w:pPr>
              <w:pStyle w:val="TableParagraph"/>
              <w:jc w:val="center"/>
            </w:pPr>
            <w:r w:rsidRPr="00E337FD">
              <w:t>1</w:t>
            </w:r>
            <w:r>
              <w:t>5</w:t>
            </w:r>
            <w:r w:rsidR="00E337FD" w:rsidRPr="00E337FD">
              <w:t>%</w:t>
            </w:r>
          </w:p>
        </w:tc>
        <w:tc>
          <w:tcPr>
            <w:tcW w:w="0" w:type="pct"/>
            <w:shd w:val="clear" w:color="auto" w:fill="D4E8DE"/>
            <w:vAlign w:val="bottom"/>
          </w:tcPr>
          <w:p w14:paraId="08DF39C5" w14:textId="6A00E5B3" w:rsidR="00E337FD" w:rsidRPr="00E337FD" w:rsidRDefault="00583D02" w:rsidP="00353FA0">
            <w:pPr>
              <w:pStyle w:val="TableParagraph"/>
              <w:jc w:val="center"/>
            </w:pPr>
            <w:r>
              <w:rPr>
                <w:rFonts w:cs="Calibri"/>
                <w:color w:val="000000"/>
              </w:rPr>
              <w:t>16</w:t>
            </w:r>
            <w:r w:rsidR="00E337FD">
              <w:rPr>
                <w:rFonts w:cs="Calibri"/>
                <w:color w:val="000000"/>
              </w:rPr>
              <w:t>%</w:t>
            </w:r>
          </w:p>
        </w:tc>
        <w:tc>
          <w:tcPr>
            <w:tcW w:w="0" w:type="pct"/>
            <w:shd w:val="clear" w:color="auto" w:fill="D4E8DE"/>
            <w:vAlign w:val="bottom"/>
          </w:tcPr>
          <w:p w14:paraId="76B7F588" w14:textId="3349C7BA" w:rsidR="00E337FD" w:rsidRPr="00E337FD" w:rsidRDefault="00583D02" w:rsidP="00353FA0">
            <w:pPr>
              <w:pStyle w:val="TableParagraph"/>
              <w:jc w:val="center"/>
            </w:pPr>
            <w:r>
              <w:rPr>
                <w:rFonts w:cs="Calibri"/>
                <w:color w:val="000000"/>
              </w:rPr>
              <w:t>-14</w:t>
            </w:r>
            <w:r w:rsidR="00E337FD">
              <w:rPr>
                <w:rFonts w:cs="Calibri"/>
                <w:color w:val="000000"/>
              </w:rPr>
              <w:t>%</w:t>
            </w:r>
          </w:p>
        </w:tc>
        <w:tc>
          <w:tcPr>
            <w:tcW w:w="0" w:type="pct"/>
            <w:shd w:val="clear" w:color="auto" w:fill="D4E8DE"/>
            <w:vAlign w:val="bottom"/>
          </w:tcPr>
          <w:p w14:paraId="0A5360BD" w14:textId="3BFECE0F" w:rsidR="00E337FD" w:rsidRPr="00E337FD" w:rsidRDefault="00583D02" w:rsidP="00353FA0">
            <w:pPr>
              <w:pStyle w:val="TableParagraph"/>
              <w:jc w:val="center"/>
            </w:pPr>
            <w:r>
              <w:rPr>
                <w:rFonts w:cs="Calibri"/>
                <w:color w:val="000000"/>
              </w:rPr>
              <w:t>13</w:t>
            </w:r>
            <w:r w:rsidR="00E337FD">
              <w:rPr>
                <w:rFonts w:cs="Calibri"/>
                <w:color w:val="000000"/>
              </w:rPr>
              <w:t>%</w:t>
            </w:r>
          </w:p>
        </w:tc>
        <w:tc>
          <w:tcPr>
            <w:tcW w:w="0" w:type="pct"/>
            <w:shd w:val="clear" w:color="auto" w:fill="D4E8DE"/>
            <w:vAlign w:val="bottom"/>
          </w:tcPr>
          <w:p w14:paraId="3BB2EFBA" w14:textId="197BC622" w:rsidR="00E337FD" w:rsidRPr="00E337FD" w:rsidRDefault="00583D02" w:rsidP="00353FA0">
            <w:pPr>
              <w:pStyle w:val="TableParagraph"/>
              <w:jc w:val="center"/>
            </w:pPr>
            <w:r>
              <w:rPr>
                <w:rFonts w:cs="Calibri"/>
                <w:color w:val="000000"/>
              </w:rPr>
              <w:t>7</w:t>
            </w:r>
            <w:r w:rsidR="00E337FD">
              <w:rPr>
                <w:rFonts w:cs="Calibri"/>
                <w:color w:val="000000"/>
              </w:rPr>
              <w:t>%</w:t>
            </w:r>
          </w:p>
        </w:tc>
        <w:tc>
          <w:tcPr>
            <w:tcW w:w="0" w:type="pct"/>
            <w:shd w:val="clear" w:color="auto" w:fill="D4E8DE"/>
            <w:vAlign w:val="bottom"/>
          </w:tcPr>
          <w:p w14:paraId="5AA38DD5" w14:textId="61D4880F" w:rsidR="00E337FD" w:rsidRPr="00E337FD" w:rsidRDefault="00583D02" w:rsidP="00353FA0">
            <w:pPr>
              <w:pStyle w:val="TableParagraph"/>
              <w:jc w:val="center"/>
            </w:pPr>
            <w:r>
              <w:rPr>
                <w:rFonts w:cs="Calibri"/>
                <w:color w:val="000000"/>
              </w:rPr>
              <w:t>18</w:t>
            </w:r>
            <w:r w:rsidR="00E337FD">
              <w:rPr>
                <w:rFonts w:cs="Calibri"/>
                <w:color w:val="000000"/>
              </w:rPr>
              <w:t>%</w:t>
            </w:r>
          </w:p>
        </w:tc>
      </w:tr>
    </w:tbl>
    <w:p w14:paraId="1D896D9C" w14:textId="269706F5" w:rsidR="0053744A" w:rsidRDefault="00970868" w:rsidP="00702953">
      <w:pPr>
        <w:pStyle w:val="Sourceline"/>
        <w:rPr>
          <w:szCs w:val="20"/>
        </w:rPr>
      </w:pPr>
      <w:r w:rsidRPr="00970868">
        <w:t>*Discrepancies may exist due to rounding</w:t>
      </w:r>
    </w:p>
    <w:p w14:paraId="3CCCAA17" w14:textId="77777777" w:rsidR="00BA037D" w:rsidRPr="005F70FC" w:rsidRDefault="00BA037D" w:rsidP="005F70FC">
      <w:pPr>
        <w:pStyle w:val="BodyText"/>
      </w:pPr>
    </w:p>
    <w:p w14:paraId="1D201B30" w14:textId="79B179F3" w:rsidR="00970868" w:rsidRDefault="001550A0" w:rsidP="00970868">
      <w:pPr>
        <w:pStyle w:val="Heading3"/>
      </w:pPr>
      <w:bookmarkStart w:id="29" w:name="_Toc227580425"/>
      <w:r>
        <w:t>Potential u</w:t>
      </w:r>
      <w:r w:rsidR="00970868">
        <w:t>pdate</w:t>
      </w:r>
      <w:r>
        <w:t>s to NZ ETS</w:t>
      </w:r>
      <w:r w:rsidR="00970868">
        <w:t xml:space="preserve"> default carbon yield tables</w:t>
      </w:r>
      <w:bookmarkEnd w:id="29"/>
    </w:p>
    <w:p w14:paraId="08875A16" w14:textId="34B657EC" w:rsidR="003E0286" w:rsidRDefault="003E0286" w:rsidP="003E0286">
      <w:pPr>
        <w:pStyle w:val="BodyText"/>
      </w:pPr>
      <w:r>
        <w:t xml:space="preserve">In April 2025, MPI launched consultation on proposed updates to the default lookup tables used </w:t>
      </w:r>
      <w:r w:rsidR="00EF2DC1">
        <w:t>in the NZ ETS</w:t>
      </w:r>
      <w:r>
        <w:t xml:space="preserve"> for small-scale forests (under 100 ha).</w:t>
      </w:r>
      <w:r w:rsidR="00B353E9">
        <w:fldChar w:fldCharType="begin"/>
      </w:r>
      <w:r w:rsidR="002D7255">
        <w:instrText xml:space="preserve"> ADDIN EN.CITE &lt;EndNote&gt;&lt;Cite&gt;&lt;Author&gt;Te Uru Rākau New Zealand Forest Service&lt;/Author&gt;&lt;Year&gt;2025&lt;/Year&gt;&lt;RecNum&gt;1327&lt;/RecNum&gt;&lt;DisplayText&gt;&lt;style face="superscript"&gt;6&lt;/style&gt;&lt;/DisplayText&gt;&lt;record&gt;&lt;rec-number&gt;1327&lt;/rec-number&gt;&lt;foreign-keys&gt;&lt;key app="EN" db-id="fwvex5fabdwzs9e9rwa55p5bvws5v2dex2zs" timestamp="1773112588" guid="adb9dc49-f600-4265-8484-88c48fc780cc"&gt;1327&lt;/key&gt;&lt;/foreign-keys&gt;&lt;ref-type name="Report"&gt;27&lt;/ref-type&gt;&lt;contributors&gt;&lt;authors&gt;&lt;author&gt;Te Uru Rākau New Zealand Forest Service, &lt;/author&gt;&lt;/authors&gt;&lt;/contributors&gt;&lt;titles&gt;&lt;title&gt;Proposed changes to forestry in the New Zealand Emissions Trading Scheme (NZ ETS)&lt;/title&gt;&lt;/titles&gt;&lt;keywords&gt;&lt;keyword&gt;ETS26&lt;/keyword&gt;&lt;/keywords&gt;&lt;dates&gt;&lt;year&gt;2025&lt;/year&gt;&lt;pub-dates&gt;&lt;date&gt;April 2025&lt;/date&gt;&lt;/pub-dates&gt;&lt;/dates&gt;&lt;publisher&gt;Te Uru Rākau New Zealand Forest Service,&lt;/publisher&gt;&lt;urls&gt;&lt;related-urls&gt;&lt;url&gt;https://www.mpi.govt.nz/dmsdocument/68796-Proposed-changes-to-forestry-in-the-New-Zealand-Emissions-Trading-Scheme-NZ-ETS&lt;/url&gt;&lt;/related-urls&gt;&lt;/urls&gt;&lt;/record&gt;&lt;/Cite&gt;&lt;/EndNote&gt;</w:instrText>
      </w:r>
      <w:r w:rsidR="00B353E9">
        <w:fldChar w:fldCharType="separate"/>
      </w:r>
      <w:r w:rsidR="00AE5EFC" w:rsidRPr="00AE5EFC">
        <w:rPr>
          <w:noProof/>
          <w:vertAlign w:val="superscript"/>
        </w:rPr>
        <w:t>6</w:t>
      </w:r>
      <w:r w:rsidR="00B353E9">
        <w:fldChar w:fldCharType="end"/>
      </w:r>
      <w:r>
        <w:t xml:space="preserve">  Updates were proposed for radiata pine, exotic hardwoods, and exotic softwoods – including introducing a separate forest type for redwoods. Future updates for indigenous forests and potentially Douglas fir were also signalled. The proposed changes would be implemented in 2026 and apply from the next mandatory emissions return period (MERP5, 2026–2030).</w:t>
      </w:r>
    </w:p>
    <w:p w14:paraId="4B97A8A0" w14:textId="77777777" w:rsidR="003E0286" w:rsidRDefault="003E0286" w:rsidP="003E0286">
      <w:pPr>
        <w:pStyle w:val="BodyText"/>
      </w:pPr>
      <w:r>
        <w:t xml:space="preserve">The proposed updates would significantly increase the overall number of NZUs foresters using the default lookup tables would receive. </w:t>
      </w:r>
    </w:p>
    <w:p w14:paraId="142CE987" w14:textId="77777777" w:rsidR="003E0286" w:rsidRDefault="003E0286" w:rsidP="003E0286">
      <w:pPr>
        <w:pStyle w:val="BodyText"/>
      </w:pPr>
      <w:r>
        <w:t xml:space="preserve">If these changes are confirmed they will significantly affect the results of this analysis. </w:t>
      </w:r>
    </w:p>
    <w:p w14:paraId="1A58A9B9" w14:textId="32553D56" w:rsidR="00B647E9" w:rsidRDefault="00B647E9" w:rsidP="00561814">
      <w:pPr>
        <w:pStyle w:val="Heading3"/>
      </w:pPr>
      <w:r>
        <w:t>Potential impact of carbon yield table uncertainties</w:t>
      </w:r>
    </w:p>
    <w:p w14:paraId="788FF018" w14:textId="7CDCCB11" w:rsidR="00970868" w:rsidRDefault="003E0286" w:rsidP="003E0286">
      <w:pPr>
        <w:pStyle w:val="BodyText"/>
      </w:pPr>
      <w:r>
        <w:t xml:space="preserve">We have estimated the impact </w:t>
      </w:r>
      <w:r w:rsidR="004A4467">
        <w:t>on over-credit</w:t>
      </w:r>
      <w:r w:rsidR="00D945DB">
        <w:t xml:space="preserve">ing </w:t>
      </w:r>
      <w:r>
        <w:t>of updating the weightings used in the area-weighted carbon yield tables and/or updating the default carbon yield tables based on tables contained in the consultation document. These estimates are presented in Table 11 below.</w:t>
      </w:r>
    </w:p>
    <w:p w14:paraId="21557401" w14:textId="20B630B1" w:rsidR="00792161" w:rsidRDefault="00792161" w:rsidP="00792161">
      <w:pPr>
        <w:pStyle w:val="FigureTabletitle"/>
      </w:pPr>
      <w:r>
        <w:t xml:space="preserve">Table </w:t>
      </w:r>
      <w:r>
        <w:fldChar w:fldCharType="begin"/>
      </w:r>
      <w:r>
        <w:instrText xml:space="preserve"> SEQ Table \* ARABIC </w:instrText>
      </w:r>
      <w:r>
        <w:fldChar w:fldCharType="separate"/>
      </w:r>
      <w:r>
        <w:rPr>
          <w:noProof/>
        </w:rPr>
        <w:t>11</w:t>
      </w:r>
      <w:r>
        <w:fldChar w:fldCharType="end"/>
      </w:r>
      <w:r>
        <w:t xml:space="preserve">: </w:t>
      </w:r>
      <w:r w:rsidR="00D608A0">
        <w:t>Estimated</w:t>
      </w:r>
      <w:r w:rsidR="00F51CD8">
        <w:t xml:space="preserve"> </w:t>
      </w:r>
      <w:r w:rsidRPr="00C34479">
        <w:t xml:space="preserve">over-crediting </w:t>
      </w:r>
      <w:r w:rsidR="00D608A0">
        <w:t>over 2027–2031</w:t>
      </w:r>
      <w:r w:rsidR="00547CEA">
        <w:t xml:space="preserve"> </w:t>
      </w:r>
      <w:r w:rsidRPr="00C34479">
        <w:t>based on alternative yield table and/or area weightings</w:t>
      </w:r>
    </w:p>
    <w:tbl>
      <w:tblPr>
        <w:tblStyle w:val="GridTable5Dark-Accent12"/>
        <w:tblW w:w="5000" w:type="pct"/>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3562"/>
        <w:gridCol w:w="2200"/>
        <w:gridCol w:w="3295"/>
      </w:tblGrid>
      <w:tr w:rsidR="00A87EFD" w:rsidRPr="00A87EFD" w14:paraId="272DEC9D" w14:textId="77777777" w:rsidTr="00592BD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62" w:type="dxa"/>
            <w:tcBorders>
              <w:top w:val="single" w:sz="6" w:space="0" w:color="FFFFFF"/>
              <w:left w:val="single" w:sz="6" w:space="0" w:color="FFFFFF"/>
              <w:bottom w:val="single" w:sz="4" w:space="0" w:color="FFFFFF"/>
              <w:right w:val="single" w:sz="6" w:space="0" w:color="FFFFFF"/>
            </w:tcBorders>
            <w:shd w:val="clear" w:color="auto" w:fill="002060"/>
            <w:tcMar>
              <w:left w:w="105" w:type="dxa"/>
              <w:right w:w="105" w:type="dxa"/>
            </w:tcMar>
            <w:vAlign w:val="center"/>
          </w:tcPr>
          <w:p w14:paraId="748E34AC" w14:textId="77777777" w:rsidR="00A87EFD" w:rsidRPr="00A87EFD" w:rsidRDefault="00A87EFD" w:rsidP="000D23C8">
            <w:pPr>
              <w:pStyle w:val="Tableheading"/>
              <w:rPr>
                <w:lang w:val="en-GB"/>
              </w:rPr>
            </w:pPr>
            <w:r w:rsidRPr="00A87EFD">
              <w:t>Estimated over-crediting over 2027–2031 (Million NZUs)</w:t>
            </w:r>
          </w:p>
        </w:tc>
        <w:tc>
          <w:tcPr>
            <w:tcW w:w="2200" w:type="dxa"/>
            <w:tcBorders>
              <w:top w:val="single" w:sz="6" w:space="0" w:color="FFFFFF"/>
              <w:left w:val="single" w:sz="6" w:space="0" w:color="FFFFFF"/>
              <w:bottom w:val="single" w:sz="4" w:space="0" w:color="FFFFFF"/>
              <w:right w:val="single" w:sz="6" w:space="0" w:color="FFFFFF"/>
            </w:tcBorders>
            <w:shd w:val="clear" w:color="auto" w:fill="002060"/>
            <w:tcMar>
              <w:left w:w="105" w:type="dxa"/>
              <w:right w:w="105" w:type="dxa"/>
            </w:tcMar>
            <w:vAlign w:val="center"/>
          </w:tcPr>
          <w:p w14:paraId="0E879D34" w14:textId="77777777" w:rsidR="00A87EFD" w:rsidRPr="00BA037D" w:rsidRDefault="00A87EFD" w:rsidP="000D23C8">
            <w:pPr>
              <w:pStyle w:val="Tableheading"/>
              <w:jc w:val="center"/>
              <w:cnfStyle w:val="100000000000" w:firstRow="1" w:lastRow="0" w:firstColumn="0" w:lastColumn="0" w:oddVBand="0" w:evenVBand="0" w:oddHBand="0" w:evenHBand="0" w:firstRowFirstColumn="0" w:firstRowLastColumn="0" w:lastRowFirstColumn="0" w:lastRowLastColumn="0"/>
            </w:pPr>
            <w:r w:rsidRPr="00BA037D">
              <w:rPr>
                <w:b/>
              </w:rPr>
              <w:t>Using area weightings as provided by MPI</w:t>
            </w:r>
          </w:p>
        </w:tc>
        <w:tc>
          <w:tcPr>
            <w:tcW w:w="3295" w:type="dxa"/>
            <w:tcBorders>
              <w:top w:val="single" w:sz="6" w:space="0" w:color="FFFFFF"/>
              <w:left w:val="single" w:sz="6" w:space="0" w:color="FFFFFF"/>
              <w:bottom w:val="single" w:sz="4" w:space="0" w:color="FFFFFF"/>
            </w:tcBorders>
            <w:shd w:val="clear" w:color="auto" w:fill="002060"/>
            <w:tcMar>
              <w:left w:w="105" w:type="dxa"/>
              <w:right w:w="105" w:type="dxa"/>
            </w:tcMar>
            <w:vAlign w:val="center"/>
          </w:tcPr>
          <w:p w14:paraId="03A68AF8" w14:textId="77777777" w:rsidR="00A87EFD" w:rsidRPr="00BA037D" w:rsidRDefault="00A87EFD" w:rsidP="000D23C8">
            <w:pPr>
              <w:pStyle w:val="Tableheading"/>
              <w:jc w:val="center"/>
              <w:cnfStyle w:val="100000000000" w:firstRow="1" w:lastRow="0" w:firstColumn="0" w:lastColumn="0" w:oddVBand="0" w:evenVBand="0" w:oddHBand="0" w:evenHBand="0" w:firstRowFirstColumn="0" w:firstRowLastColumn="0" w:lastRowFirstColumn="0" w:lastRowLastColumn="0"/>
            </w:pPr>
            <w:r w:rsidRPr="00BA037D">
              <w:rPr>
                <w:b/>
              </w:rPr>
              <w:t>Using area weightings based on October 2025 registered area by carbon measurement method</w:t>
            </w:r>
          </w:p>
        </w:tc>
      </w:tr>
      <w:tr w:rsidR="00A87EFD" w:rsidRPr="00A87EFD" w14:paraId="7D00DA89" w14:textId="77777777" w:rsidTr="00592BD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62" w:type="dxa"/>
            <w:tcBorders>
              <w:top w:val="single" w:sz="4" w:space="0" w:color="FFFFFF"/>
              <w:left w:val="single" w:sz="6" w:space="0" w:color="FFFFFF"/>
            </w:tcBorders>
            <w:shd w:val="clear" w:color="auto" w:fill="C1DCD5"/>
            <w:tcMar>
              <w:left w:w="105" w:type="dxa"/>
              <w:right w:w="105" w:type="dxa"/>
            </w:tcMar>
            <w:vAlign w:val="center"/>
          </w:tcPr>
          <w:p w14:paraId="27DB166F" w14:textId="77777777" w:rsidR="00A87EFD" w:rsidRPr="000D23C8" w:rsidRDefault="00A87EFD" w:rsidP="000D23C8">
            <w:pPr>
              <w:pStyle w:val="TableParagraph"/>
              <w:rPr>
                <w:color w:val="auto"/>
              </w:rPr>
            </w:pPr>
            <w:r w:rsidRPr="000D23C8">
              <w:rPr>
                <w:color w:val="auto"/>
              </w:rPr>
              <w:t>Default carbon yield tables as in regulation</w:t>
            </w:r>
          </w:p>
        </w:tc>
        <w:tc>
          <w:tcPr>
            <w:tcW w:w="2200" w:type="dxa"/>
            <w:tcBorders>
              <w:top w:val="single" w:sz="4" w:space="0" w:color="FFFFFF"/>
              <w:bottom w:val="single" w:sz="4" w:space="0" w:color="FFFFFF"/>
            </w:tcBorders>
            <w:shd w:val="clear" w:color="auto" w:fill="D4E8DE"/>
            <w:tcMar>
              <w:left w:w="105" w:type="dxa"/>
              <w:right w:w="105" w:type="dxa"/>
            </w:tcMar>
            <w:vAlign w:val="center"/>
          </w:tcPr>
          <w:p w14:paraId="1AF85A2C" w14:textId="77777777" w:rsidR="00A87EFD" w:rsidRPr="00A87EFD" w:rsidRDefault="00A87EFD" w:rsidP="000D23C8">
            <w:pPr>
              <w:pStyle w:val="TableParagraph"/>
              <w:jc w:val="center"/>
              <w:cnfStyle w:val="000000100000" w:firstRow="0" w:lastRow="0" w:firstColumn="0" w:lastColumn="0" w:oddVBand="0" w:evenVBand="0" w:oddHBand="1" w:evenHBand="0" w:firstRowFirstColumn="0" w:firstRowLastColumn="0" w:lastRowFirstColumn="0" w:lastRowLastColumn="0"/>
            </w:pPr>
            <w:r w:rsidRPr="00A87EFD">
              <w:t>3.2 (used in our advice)</w:t>
            </w:r>
          </w:p>
        </w:tc>
        <w:tc>
          <w:tcPr>
            <w:tcW w:w="3295" w:type="dxa"/>
            <w:tcBorders>
              <w:top w:val="single" w:sz="4" w:space="0" w:color="FFFFFF"/>
              <w:bottom w:val="single" w:sz="4" w:space="0" w:color="FFFFFF"/>
              <w:right w:val="nil"/>
            </w:tcBorders>
            <w:shd w:val="clear" w:color="auto" w:fill="D4E8DE"/>
            <w:tcMar>
              <w:left w:w="105" w:type="dxa"/>
              <w:right w:w="105" w:type="dxa"/>
            </w:tcMar>
            <w:vAlign w:val="center"/>
          </w:tcPr>
          <w:p w14:paraId="44A80627" w14:textId="406238BE" w:rsidR="00A87EFD" w:rsidRPr="00A87EFD" w:rsidRDefault="00A6725A" w:rsidP="000D23C8">
            <w:pPr>
              <w:pStyle w:val="TableParagraph"/>
              <w:jc w:val="center"/>
              <w:cnfStyle w:val="000000100000" w:firstRow="0" w:lastRow="0" w:firstColumn="0" w:lastColumn="0" w:oddVBand="0" w:evenVBand="0" w:oddHBand="1" w:evenHBand="0" w:firstRowFirstColumn="0" w:firstRowLastColumn="0" w:lastRowFirstColumn="0" w:lastRowLastColumn="0"/>
            </w:pPr>
            <w:r>
              <w:t>6.9</w:t>
            </w:r>
          </w:p>
        </w:tc>
      </w:tr>
      <w:tr w:rsidR="00A87EFD" w:rsidRPr="00A87EFD" w14:paraId="43D4FE49" w14:textId="77777777" w:rsidTr="00592BDF">
        <w:trPr>
          <w:trHeight w:val="465"/>
        </w:trPr>
        <w:tc>
          <w:tcPr>
            <w:cnfStyle w:val="001000000000" w:firstRow="0" w:lastRow="0" w:firstColumn="1" w:lastColumn="0" w:oddVBand="0" w:evenVBand="0" w:oddHBand="0" w:evenHBand="0" w:firstRowFirstColumn="0" w:firstRowLastColumn="0" w:lastRowFirstColumn="0" w:lastRowLastColumn="0"/>
            <w:tcW w:w="3562" w:type="dxa"/>
            <w:tcBorders>
              <w:left w:val="single" w:sz="6" w:space="0" w:color="FFFFFF"/>
            </w:tcBorders>
            <w:shd w:val="clear" w:color="auto" w:fill="C1DCD5"/>
            <w:tcMar>
              <w:left w:w="105" w:type="dxa"/>
              <w:right w:w="105" w:type="dxa"/>
            </w:tcMar>
            <w:vAlign w:val="center"/>
          </w:tcPr>
          <w:p w14:paraId="24CCA7D7" w14:textId="77777777" w:rsidR="00A87EFD" w:rsidRPr="000D23C8" w:rsidRDefault="00A87EFD" w:rsidP="000D23C8">
            <w:pPr>
              <w:pStyle w:val="TableParagraph"/>
              <w:rPr>
                <w:color w:val="auto"/>
              </w:rPr>
            </w:pPr>
            <w:r w:rsidRPr="000D23C8">
              <w:rPr>
                <w:color w:val="auto"/>
              </w:rPr>
              <w:t>Default carbon yield tables as in 2025 consultation</w:t>
            </w:r>
          </w:p>
        </w:tc>
        <w:tc>
          <w:tcPr>
            <w:tcW w:w="2200" w:type="dxa"/>
            <w:tcBorders>
              <w:top w:val="single" w:sz="4" w:space="0" w:color="FFFFFF"/>
              <w:bottom w:val="nil"/>
            </w:tcBorders>
            <w:shd w:val="clear" w:color="auto" w:fill="E9F5F2"/>
            <w:tcMar>
              <w:left w:w="105" w:type="dxa"/>
              <w:right w:w="105" w:type="dxa"/>
            </w:tcMar>
            <w:vAlign w:val="center"/>
          </w:tcPr>
          <w:p w14:paraId="5A4FB680" w14:textId="77777777" w:rsidR="00A87EFD" w:rsidRPr="00A87EFD" w:rsidRDefault="00A87EFD" w:rsidP="000D23C8">
            <w:pPr>
              <w:pStyle w:val="TableParagraph"/>
              <w:jc w:val="center"/>
              <w:cnfStyle w:val="000000000000" w:firstRow="0" w:lastRow="0" w:firstColumn="0" w:lastColumn="0" w:oddVBand="0" w:evenVBand="0" w:oddHBand="0" w:evenHBand="0" w:firstRowFirstColumn="0" w:firstRowLastColumn="0" w:lastRowFirstColumn="0" w:lastRowLastColumn="0"/>
            </w:pPr>
            <w:r w:rsidRPr="00A87EFD">
              <w:t>6.1</w:t>
            </w:r>
          </w:p>
        </w:tc>
        <w:tc>
          <w:tcPr>
            <w:tcW w:w="3295" w:type="dxa"/>
            <w:tcBorders>
              <w:top w:val="single" w:sz="4" w:space="0" w:color="FFFFFF"/>
              <w:bottom w:val="nil"/>
              <w:right w:val="nil"/>
            </w:tcBorders>
            <w:shd w:val="clear" w:color="auto" w:fill="E9F5F2"/>
            <w:tcMar>
              <w:left w:w="105" w:type="dxa"/>
              <w:right w:w="105" w:type="dxa"/>
            </w:tcMar>
            <w:vAlign w:val="center"/>
          </w:tcPr>
          <w:p w14:paraId="3F192CB5" w14:textId="6E11F614" w:rsidR="00A87EFD" w:rsidRPr="00A87EFD" w:rsidRDefault="00A87EFD" w:rsidP="00353FA0">
            <w:pPr>
              <w:pStyle w:val="TableParagraph"/>
              <w:jc w:val="center"/>
              <w:cnfStyle w:val="000000000000" w:firstRow="0" w:lastRow="0" w:firstColumn="0" w:lastColumn="0" w:oddVBand="0" w:evenVBand="0" w:oddHBand="0" w:evenHBand="0" w:firstRowFirstColumn="0" w:firstRowLastColumn="0" w:lastRowFirstColumn="0" w:lastRowLastColumn="0"/>
            </w:pPr>
            <w:r w:rsidRPr="00A87EFD">
              <w:t>8.</w:t>
            </w:r>
            <w:r w:rsidR="00A6725A">
              <w:t>4</w:t>
            </w:r>
          </w:p>
        </w:tc>
      </w:tr>
    </w:tbl>
    <w:p w14:paraId="5A715BB3" w14:textId="45F6E7F8" w:rsidR="00A87EFD" w:rsidRDefault="00E447B9" w:rsidP="003E0286">
      <w:pPr>
        <w:pStyle w:val="BodyText"/>
      </w:pPr>
      <w:r w:rsidRPr="00E447B9">
        <w:t>As shown, potential changes to the default carbon yield tables and/or the area weightings applied have the potential to significantly impact the estimated unit over-crediting over 2027–2031.</w:t>
      </w:r>
    </w:p>
    <w:p w14:paraId="51EEC1E3" w14:textId="77777777" w:rsidR="00BA037D" w:rsidRPr="000D23C8" w:rsidRDefault="00BA037D" w:rsidP="005222CB">
      <w:pPr>
        <w:pStyle w:val="BodyText"/>
      </w:pPr>
      <w:r w:rsidRPr="00CC0D4A">
        <w:br w:type="page"/>
      </w:r>
    </w:p>
    <w:p w14:paraId="68F01F2C" w14:textId="5CACDC49" w:rsidR="00716025" w:rsidRDefault="00716025" w:rsidP="00561814">
      <w:pPr>
        <w:pStyle w:val="Heading1nonumber"/>
        <w:numPr>
          <w:ilvl w:val="0"/>
          <w:numId w:val="0"/>
        </w:numPr>
      </w:pPr>
      <w:bookmarkStart w:id="30" w:name="_Toc227580426"/>
      <w:r>
        <w:t>Appendix A: De</w:t>
      </w:r>
      <w:r w:rsidR="008F6F0E">
        <w:t>tai</w:t>
      </w:r>
      <w:r>
        <w:t xml:space="preserve">led information about how </w:t>
      </w:r>
      <w:r w:rsidR="008F6F0E">
        <w:t>area-weighted carbon yield tables have been developed (text supplied by MPI)</w:t>
      </w:r>
      <w:bookmarkEnd w:id="30"/>
    </w:p>
    <w:p w14:paraId="3D9C74DB" w14:textId="0FFB42D3" w:rsidR="00C90B8E" w:rsidRDefault="00C90B8E" w:rsidP="00AD47DC">
      <w:pPr>
        <w:pStyle w:val="BodyText"/>
      </w:pPr>
      <w:r>
        <w:t xml:space="preserve">This appendix provides additional detail about how the area-weighted carbon yield tables supplied to us by MPI have been developed. </w:t>
      </w:r>
    </w:p>
    <w:p w14:paraId="5138ED1C" w14:textId="6DD27341" w:rsidR="00AD47DC" w:rsidRDefault="00AD47DC" w:rsidP="00AD47DC">
      <w:pPr>
        <w:pStyle w:val="BodyText"/>
      </w:pPr>
      <w:r>
        <w:t>Area weighting for participant specific tables (PSTs) is based on the participant’s registered area at the time the PST was generated. The areas recorded at that time may differ significantly from areas registered today. In some cases, participant land holdings may have changed materially between measurement and PST approval or generation.</w:t>
      </w:r>
    </w:p>
    <w:p w14:paraId="0FED32CD" w14:textId="77777777" w:rsidR="00AD47DC" w:rsidRDefault="00AD47DC" w:rsidP="00AD47DC">
      <w:pPr>
        <w:pStyle w:val="BodyText"/>
      </w:pPr>
      <w:r>
        <w:t>Area weighting for default tables is based on the total area registered as at 31 December 2022 for participants who were not subject to the Field Measurement Approach (FMA) in MERP3, plus areas of forest for which FMA participants do not have a PST.</w:t>
      </w:r>
    </w:p>
    <w:p w14:paraId="19C29DF8" w14:textId="77777777" w:rsidR="00AD47DC" w:rsidRDefault="00AD47DC" w:rsidP="00AD47DC">
      <w:pPr>
        <w:pStyle w:val="BodyText"/>
      </w:pPr>
      <w:r>
        <w:t>Please note the following:</w:t>
      </w:r>
    </w:p>
    <w:p w14:paraId="5A32EF1C" w14:textId="0A92F135" w:rsidR="00AD47DC" w:rsidRDefault="00AD47DC" w:rsidP="00F95C92">
      <w:pPr>
        <w:pStyle w:val="Bodybullets"/>
        <w:ind w:left="714" w:hanging="357"/>
        <w:contextualSpacing w:val="0"/>
      </w:pPr>
      <w:r>
        <w:t>Weighting is based only on areas where the predominant species can be matched to the forest type groupings used in the PSTs (Pinus radiata, Douglas fir, exotic softwoods, exotic hardwoods, and indigenous). Areas without standardised forest types are excluded.</w:t>
      </w:r>
    </w:p>
    <w:p w14:paraId="6F0BF1F7" w14:textId="14776AB7" w:rsidR="00AD47DC" w:rsidRDefault="00AD47DC" w:rsidP="00F95C92">
      <w:pPr>
        <w:pStyle w:val="Bodybullets"/>
        <w:ind w:left="714" w:hanging="357"/>
        <w:contextualSpacing w:val="0"/>
      </w:pPr>
      <w:r>
        <w:t>Predominant species are recorded at the time of registration. Subsequent rotations may be of a different forest type and are not reflected in the data.</w:t>
      </w:r>
    </w:p>
    <w:p w14:paraId="384E870B" w14:textId="6AAFEFE2" w:rsidR="00AD47DC" w:rsidRDefault="00AD47DC" w:rsidP="00F95C92">
      <w:pPr>
        <w:pStyle w:val="Bodybullets"/>
        <w:ind w:left="714" w:hanging="357"/>
        <w:contextualSpacing w:val="0"/>
      </w:pPr>
      <w:r>
        <w:t>In this extract, it is assumed that all exotic forest area is planted. Historically, this information was not captured at registration. A small number of PSTs may include data from plots flagged as natural regeneration, which is the only point at which this information is recorded in the system used to administer the FMA.</w:t>
      </w:r>
    </w:p>
    <w:p w14:paraId="379F83A5" w14:textId="78238CDF" w:rsidR="00AD47DC" w:rsidRDefault="00AD47DC" w:rsidP="00F95C92">
      <w:pPr>
        <w:pStyle w:val="Bodybullets"/>
        <w:ind w:left="714" w:hanging="357"/>
        <w:contextualSpacing w:val="0"/>
      </w:pPr>
      <w:r>
        <w:t>PSTs are calculated using all contributing plots, with and without regeneration. While it would be possible to exclude PSTs that include any regeneration plots, doing so would also remove all other information contained in those PSTs.</w:t>
      </w:r>
    </w:p>
    <w:p w14:paraId="7D8A11D3" w14:textId="287EC18E" w:rsidR="00AD47DC" w:rsidRDefault="00AD47DC" w:rsidP="00F95C92">
      <w:pPr>
        <w:pStyle w:val="Bodybullets"/>
        <w:ind w:left="714" w:hanging="357"/>
        <w:contextualSpacing w:val="0"/>
      </w:pPr>
      <w:r>
        <w:t>PSTs may be derived from measurements taken from either very young or very old forests. Regardless, each PST extrapolates values for ages 0 to 50. Area weighting does not account for how close extrapolated values are to the actual measurement age. As a result, extrapolated values from large forests may outweigh more accurate values from smaller forests, reducing overall accuracy. In practice, participants who remain in the FMA typically update their PSTs each MERP.</w:t>
      </w:r>
    </w:p>
    <w:p w14:paraId="34DAD765" w14:textId="0EF0AF20" w:rsidR="00AD47DC" w:rsidRDefault="00AD47DC" w:rsidP="00F95C92">
      <w:pPr>
        <w:pStyle w:val="Bodybullets"/>
        <w:ind w:left="714" w:hanging="357"/>
        <w:contextualSpacing w:val="0"/>
      </w:pPr>
      <w:r>
        <w:t>When combining forest types, one limitation is that the exotic hardwood table extends only to age 35, whereas other tables extend to age 50. As a result, exotic hardwood data is included in amalgamated tables only up to and including age 35. Ages above 35 exclude both exotic hardwood carbon values and their associated area weighting factors.</w:t>
      </w:r>
    </w:p>
    <w:p w14:paraId="4A860E64" w14:textId="26CB3FE3" w:rsidR="00AD47DC" w:rsidRDefault="00AD47DC" w:rsidP="00F95C92">
      <w:pPr>
        <w:pStyle w:val="Bodybullets"/>
        <w:ind w:left="714" w:hanging="357"/>
        <w:contextualSpacing w:val="0"/>
      </w:pPr>
      <w:r>
        <w:t>Participants subject to the FMA who do not have an approved PST for MERP3 are excluded from PST weighting but included in the default table weighting.</w:t>
      </w:r>
    </w:p>
    <w:p w14:paraId="2E55D8AA" w14:textId="13E2DDDC" w:rsidR="008F6F0E" w:rsidRDefault="00AD47DC" w:rsidP="00561814">
      <w:pPr>
        <w:pStyle w:val="BodyText"/>
      </w:pPr>
      <w:r>
        <w:t>Data is as at 1 November 2024</w:t>
      </w:r>
    </w:p>
    <w:p w14:paraId="2F3CF2A3" w14:textId="77777777" w:rsidR="00DE535D" w:rsidRDefault="00DE535D">
      <w:pPr>
        <w:spacing w:before="0" w:after="0" w:line="240" w:lineRule="auto"/>
        <w:rPr>
          <w:rFonts w:eastAsiaTheme="majorEastAsia"/>
          <w:b/>
          <w:color w:val="1F3864" w:themeColor="accent1" w:themeShade="80"/>
          <w:sz w:val="44"/>
          <w:szCs w:val="44"/>
        </w:rPr>
      </w:pPr>
      <w:bookmarkStart w:id="31" w:name="_Toc227580427"/>
      <w:r>
        <w:br w:type="page"/>
      </w:r>
    </w:p>
    <w:p w14:paraId="277E0EF0" w14:textId="68719864" w:rsidR="00E40908" w:rsidRDefault="00E40908" w:rsidP="00561814">
      <w:pPr>
        <w:pStyle w:val="Heading1nonumber"/>
        <w:numPr>
          <w:ilvl w:val="0"/>
          <w:numId w:val="0"/>
        </w:numPr>
      </w:pPr>
      <w:r>
        <w:t>References</w:t>
      </w:r>
      <w:bookmarkEnd w:id="31"/>
    </w:p>
    <w:p w14:paraId="4C622C2C" w14:textId="77777777" w:rsidR="00AB0417" w:rsidRDefault="00AB0417" w:rsidP="00584A04"/>
    <w:p w14:paraId="1A4F2418" w14:textId="7D3A7246" w:rsidR="002D7255" w:rsidRPr="002D7255" w:rsidRDefault="00AB0417" w:rsidP="002D7255">
      <w:pPr>
        <w:pStyle w:val="EndNoteBibliography"/>
        <w:spacing w:after="0"/>
      </w:pPr>
      <w:r>
        <w:fldChar w:fldCharType="begin"/>
      </w:r>
      <w:r>
        <w:instrText xml:space="preserve"> ADDIN EN.REFLIST </w:instrText>
      </w:r>
      <w:r>
        <w:fldChar w:fldCharType="separate"/>
      </w:r>
      <w:r w:rsidR="002D7255" w:rsidRPr="002D7255">
        <w:t>1.</w:t>
      </w:r>
      <w:r w:rsidR="002D7255" w:rsidRPr="002D7255">
        <w:tab/>
        <w:t xml:space="preserve">Ministry for Primary Industries Manatu Ahu Matua. How to map forestry for the Emissions Trading Scheme. Updated 31 October 2025. Accessed 18 April 2026, </w:t>
      </w:r>
      <w:hyperlink r:id="rId33" w:history="1">
        <w:r w:rsidR="002D7255" w:rsidRPr="002D7255">
          <w:rPr>
            <w:rStyle w:val="Hyperlink"/>
          </w:rPr>
          <w:t>https://www.mpi.govt.nz/forestry/forestry-in-the-emissions-trading-scheme/mapping-and-managing-forest-land-in-the-ets/how-to-map-forestry-for-the-emissions-trading-scheme</w:t>
        </w:r>
      </w:hyperlink>
    </w:p>
    <w:p w14:paraId="1667464A" w14:textId="62E0D62E" w:rsidR="002D7255" w:rsidRPr="002D7255" w:rsidRDefault="002D7255" w:rsidP="002D7255">
      <w:pPr>
        <w:pStyle w:val="EndNoteBibliography"/>
        <w:spacing w:after="0"/>
      </w:pPr>
      <w:r w:rsidRPr="002D7255">
        <w:t>2.</w:t>
      </w:r>
      <w:r w:rsidRPr="002D7255">
        <w:tab/>
        <w:t xml:space="preserve">Ministry for Primary Industries Manatu Ahu Matua. How forest land is defined in the ETS. Updated 31 October 2025. Accessed 18 April 2026, </w:t>
      </w:r>
      <w:hyperlink r:id="rId34" w:history="1">
        <w:r w:rsidRPr="002D7255">
          <w:rPr>
            <w:rStyle w:val="Hyperlink"/>
          </w:rPr>
          <w:t>https://www.mpi.govt.nz/forestry/forestry-in-the-emissions-trading-scheme/about-forestry-in-the-emissions-trading-scheme-ets/how-forest-land-is-defined-in-the-ets</w:t>
        </w:r>
      </w:hyperlink>
    </w:p>
    <w:p w14:paraId="332FCCDA" w14:textId="6FDFBF11" w:rsidR="002D7255" w:rsidRPr="002D7255" w:rsidRDefault="002D7255" w:rsidP="002D7255">
      <w:pPr>
        <w:pStyle w:val="EndNoteBibliography"/>
        <w:spacing w:after="0"/>
      </w:pPr>
      <w:r w:rsidRPr="002D7255">
        <w:t>3.</w:t>
      </w:r>
      <w:r w:rsidRPr="002D7255">
        <w:tab/>
        <w:t xml:space="preserve">Ministry for the Environment. </w:t>
      </w:r>
      <w:r w:rsidRPr="002D7255">
        <w:rPr>
          <w:i/>
        </w:rPr>
        <w:t>New Zealand’s First Biennial Transparency Report under the Paris Agreement</w:t>
      </w:r>
      <w:r w:rsidRPr="002D7255">
        <w:t xml:space="preserve">. 2024. </w:t>
      </w:r>
      <w:hyperlink r:id="rId35" w:history="1">
        <w:r w:rsidRPr="002D7255">
          <w:rPr>
            <w:rStyle w:val="Hyperlink"/>
          </w:rPr>
          <w:t>https://environment.govt.nz/publications/new-zealands-first-biennial-transparency-report-under-the-paris-agreement/</w:t>
        </w:r>
      </w:hyperlink>
    </w:p>
    <w:p w14:paraId="0331578E" w14:textId="40B98A18" w:rsidR="002D7255" w:rsidRPr="002D7255" w:rsidRDefault="002D7255" w:rsidP="002D7255">
      <w:pPr>
        <w:pStyle w:val="EndNoteBibliography"/>
        <w:spacing w:after="0"/>
      </w:pPr>
      <w:r w:rsidRPr="002D7255">
        <w:t>4.</w:t>
      </w:r>
      <w:r w:rsidRPr="002D7255">
        <w:tab/>
        <w:t xml:space="preserve">Ministry for Primary Industries Manatu Ahu Matua. Averaging accounting. Updated 18 December 2025. Accessed 21 April 2026, </w:t>
      </w:r>
      <w:hyperlink r:id="rId36" w:history="1">
        <w:r w:rsidRPr="002D7255">
          <w:rPr>
            <w:rStyle w:val="Hyperlink"/>
          </w:rPr>
          <w:t>https://www.mpi.govt.nz/forestry/forestry-in-the-emissions-trading-scheme/emissions-returns-and-carbon-units-nzus-for-forestry/accounting-for-carbon-in-the-ets/averaging-accounting</w:t>
        </w:r>
      </w:hyperlink>
    </w:p>
    <w:p w14:paraId="3151D586" w14:textId="2750E1CF" w:rsidR="002D7255" w:rsidRPr="002D7255" w:rsidRDefault="002D7255" w:rsidP="002D7255">
      <w:pPr>
        <w:pStyle w:val="EndNoteBibliography"/>
        <w:spacing w:after="0"/>
      </w:pPr>
      <w:r w:rsidRPr="002D7255">
        <w:t>5.</w:t>
      </w:r>
      <w:r w:rsidRPr="002D7255">
        <w:tab/>
        <w:t xml:space="preserve">Ministry for Primary Industries Manatu Ahu Matua. Application wait times and statistics for forestry in the ETS. Accessed 26 January 2026, </w:t>
      </w:r>
      <w:hyperlink r:id="rId37" w:history="1">
        <w:r w:rsidRPr="002D7255">
          <w:rPr>
            <w:rStyle w:val="Hyperlink"/>
          </w:rPr>
          <w:t>https://www.mpi.govt.nz/forestry/forestry-in-the-emissions-trading-scheme/news-and-changes-to-the-ets/application-wait-times-and-statistics-for-forestry-in-the-ets</w:t>
        </w:r>
      </w:hyperlink>
    </w:p>
    <w:p w14:paraId="203206E2" w14:textId="143E31E7" w:rsidR="002D7255" w:rsidRPr="002D7255" w:rsidRDefault="002D7255" w:rsidP="002D7255">
      <w:pPr>
        <w:pStyle w:val="EndNoteBibliography"/>
      </w:pPr>
      <w:r w:rsidRPr="002D7255">
        <w:t>6.</w:t>
      </w:r>
      <w:r w:rsidRPr="002D7255">
        <w:tab/>
        <w:t xml:space="preserve">Te Uru Rākau New Zealand Forest Service. </w:t>
      </w:r>
      <w:r w:rsidRPr="002D7255">
        <w:rPr>
          <w:i/>
        </w:rPr>
        <w:t>Proposed changes to forestry in the New Zealand Emissions Trading Scheme (NZ ETS)</w:t>
      </w:r>
      <w:r w:rsidRPr="002D7255">
        <w:t xml:space="preserve">. 2025. April 2025. </w:t>
      </w:r>
      <w:hyperlink r:id="rId38" w:history="1">
        <w:r w:rsidRPr="002D7255">
          <w:rPr>
            <w:rStyle w:val="Hyperlink"/>
          </w:rPr>
          <w:t>https://www.mpi.govt.nz/dmsdocument/68796-Proposed-changes-to-forestry-in-the-New-Zealand-Emissions-Trading-Scheme-NZ-ETS</w:t>
        </w:r>
      </w:hyperlink>
    </w:p>
    <w:p w14:paraId="6D2E38C6" w14:textId="68C9C907" w:rsidR="00E40908" w:rsidRDefault="00AB0417" w:rsidP="00584A04">
      <w:r>
        <w:fldChar w:fldCharType="end"/>
      </w:r>
    </w:p>
    <w:sectPr w:rsidR="00E40908" w:rsidSect="00FB06BB">
      <w:pgSz w:w="11906" w:h="16838"/>
      <w:pgMar w:top="1418" w:right="1418" w:bottom="1134" w:left="1418" w:header="709"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51F8C" w14:textId="77777777" w:rsidR="00F217F8" w:rsidRDefault="00F217F8" w:rsidP="006F0BB5">
      <w:r>
        <w:separator/>
      </w:r>
    </w:p>
  </w:endnote>
  <w:endnote w:type="continuationSeparator" w:id="0">
    <w:p w14:paraId="0328CEE8" w14:textId="77777777" w:rsidR="00F217F8" w:rsidRDefault="00F217F8" w:rsidP="006F0BB5">
      <w:r>
        <w:continuationSeparator/>
      </w:r>
    </w:p>
  </w:endnote>
  <w:endnote w:type="continuationNotice" w:id="1">
    <w:p w14:paraId="55543016" w14:textId="77777777" w:rsidR="00F217F8" w:rsidRDefault="00F217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Poppins Light">
    <w:charset w:val="00"/>
    <w:family w:val="auto"/>
    <w:pitch w:val="variable"/>
    <w:sig w:usb0="00008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Montserrat">
    <w:charset w:val="00"/>
    <w:family w:val="auto"/>
    <w:pitch w:val="variable"/>
    <w:sig w:usb0="2000020F" w:usb1="00000003" w:usb2="00000000" w:usb3="00000000" w:csb0="00000197" w:csb1="00000000"/>
  </w:font>
  <w:font w:name="Ebony">
    <w:altName w:val="Cambria"/>
    <w:panose1 w:val="00000000000000000000"/>
    <w:charset w:val="4D"/>
    <w:family w:val="auto"/>
    <w:notTrueType/>
    <w:pitch w:val="variable"/>
    <w:sig w:usb0="A00000AF" w:usb1="5000205B" w:usb2="00000000" w:usb3="00000000" w:csb0="00000093" w:csb1="00000000"/>
  </w:font>
  <w:font w:name="Ebony Lt">
    <w:altName w:val="Calibri"/>
    <w:panose1 w:val="00000000000000000000"/>
    <w:charset w:val="4D"/>
    <w:family w:val="auto"/>
    <w:notTrueType/>
    <w:pitch w:val="variable"/>
    <w:sig w:usb0="A00000AF" w:usb1="5000205B" w:usb2="00000000" w:usb3="00000000" w:csb0="00000093" w:csb1="00000000"/>
  </w:font>
  <w:font w:name="Calibri-Light">
    <w:altName w:val="Calibri"/>
    <w:charset w:val="00"/>
    <w:family w:val="swiss"/>
    <w:pitch w:val="variable"/>
  </w:font>
  <w:font w:name="Arial (Body C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190987"/>
      <w:docPartObj>
        <w:docPartGallery w:val="Page Numbers (Bottom of Page)"/>
        <w:docPartUnique/>
      </w:docPartObj>
    </w:sdtPr>
    <w:sdtContent>
      <w:p w14:paraId="5EE1D924" w14:textId="5BDD2636" w:rsidR="00311C5C" w:rsidRPr="009F2752" w:rsidRDefault="00311C5C" w:rsidP="009F38CA">
        <w:pPr>
          <w:pStyle w:val="FootnoteText"/>
          <w:jc w:val="right"/>
        </w:pPr>
        <w:r w:rsidRPr="003D4844">
          <w:t>He Pou a Rangi Climate Change Commission |</w:t>
        </w:r>
        <w:r w:rsidRPr="00311C5C">
          <w:t xml:space="preserve"> NZ ETS settings 2027-2031: Technical annex </w:t>
        </w:r>
        <w:r w:rsidR="009F2752" w:rsidRPr="009F2752">
          <w:t>2</w:t>
        </w:r>
        <w:r w:rsidRPr="00311C5C">
          <w:t xml:space="preserve">   </w:t>
        </w:r>
        <w:r w:rsidRPr="003D4844">
          <w:fldChar w:fldCharType="begin"/>
        </w:r>
        <w:r w:rsidRPr="003D4844">
          <w:instrText xml:space="preserve"> PAGE   \* MERGEFORMAT </w:instrText>
        </w:r>
        <w:r w:rsidRPr="003D4844">
          <w:fldChar w:fldCharType="separate"/>
        </w:r>
        <w:r w:rsidRPr="003D4844">
          <w:t>0</w:t>
        </w:r>
        <w:r w:rsidRPr="003D4844">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399797"/>
      <w:docPartObj>
        <w:docPartGallery w:val="Page Numbers (Bottom of Page)"/>
        <w:docPartUnique/>
      </w:docPartObj>
    </w:sdtPr>
    <w:sdtContent>
      <w:p w14:paraId="5F6398F9" w14:textId="68952F82" w:rsidR="00FB06BB" w:rsidRDefault="00FB06BB" w:rsidP="7F67F22D">
        <w:pPr>
          <w:pStyle w:val="FootnoteText"/>
          <w:jc w:val="right"/>
        </w:pPr>
        <w:r w:rsidRPr="003D4844">
          <w:t>He Pou a Rangi Climate Change Commission |</w:t>
        </w:r>
        <w:r w:rsidRPr="00311C5C">
          <w:t xml:space="preserve"> NZ ETS settings 2027-2031: Technical annex </w:t>
        </w:r>
        <w:r w:rsidRPr="009F2752">
          <w:t>2</w:t>
        </w:r>
        <w:r w:rsidRPr="00311C5C">
          <w:t xml:space="preserve">   </w:t>
        </w:r>
        <w:r w:rsidRPr="003D4844">
          <w:fldChar w:fldCharType="begin"/>
        </w:r>
        <w:r w:rsidRPr="003D4844">
          <w:instrText xml:space="preserve"> PAGE   \* MERGEFORMAT </w:instrText>
        </w:r>
        <w:r w:rsidRPr="003D4844">
          <w:fldChar w:fldCharType="separate"/>
        </w:r>
        <w:r>
          <w:t>1</w:t>
        </w:r>
        <w:r w:rsidRPr="003D484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11AD9" w14:textId="77777777" w:rsidR="00F217F8" w:rsidRDefault="00F217F8" w:rsidP="006F0BB5">
      <w:r>
        <w:separator/>
      </w:r>
    </w:p>
  </w:footnote>
  <w:footnote w:type="continuationSeparator" w:id="0">
    <w:p w14:paraId="640C77FD" w14:textId="77777777" w:rsidR="00F217F8" w:rsidRDefault="00F217F8" w:rsidP="006F0BB5">
      <w:r>
        <w:continuationSeparator/>
      </w:r>
    </w:p>
  </w:footnote>
  <w:footnote w:type="continuationNotice" w:id="1">
    <w:p w14:paraId="1369D84F" w14:textId="77777777" w:rsidR="00F217F8" w:rsidRDefault="00F217F8">
      <w:pPr>
        <w:spacing w:before="0" w:after="0" w:line="240" w:lineRule="auto"/>
      </w:pPr>
    </w:p>
  </w:footnote>
  <w:footnote w:id="2">
    <w:p w14:paraId="6F50BB26" w14:textId="223A7934" w:rsidR="00034A79" w:rsidRDefault="00034A79">
      <w:pPr>
        <w:pStyle w:val="FootnoteText"/>
      </w:pPr>
      <w:r>
        <w:rPr>
          <w:rStyle w:val="FootnoteReference"/>
        </w:rPr>
        <w:footnoteRef/>
      </w:r>
      <w:r>
        <w:t xml:space="preserve"> </w:t>
      </w:r>
      <w:r w:rsidRPr="00034A79">
        <w:t xml:space="preserve">Target accounting </w:t>
      </w:r>
      <w:r w:rsidR="003C6217">
        <w:t xml:space="preserve">differs from the </w:t>
      </w:r>
      <w:r w:rsidRPr="00034A79">
        <w:t>land use, land-use change and forestry</w:t>
      </w:r>
      <w:r w:rsidR="003C6217">
        <w:t xml:space="preserve"> emissions</w:t>
      </w:r>
      <w:r w:rsidRPr="00034A79">
        <w:t xml:space="preserve"> reported in </w:t>
      </w:r>
      <w:r w:rsidR="001A23A8">
        <w:t>New Zealand’s</w:t>
      </w:r>
      <w:r w:rsidRPr="00034A79">
        <w:t xml:space="preserve"> GHG </w:t>
      </w:r>
      <w:r w:rsidR="001A23A8">
        <w:t>I</w:t>
      </w:r>
      <w:r w:rsidR="001A23A8" w:rsidRPr="00034A79">
        <w:t>nventory</w:t>
      </w:r>
      <w:r w:rsidRPr="00034A79">
        <w:t>. The inventory also reports target accounting</w:t>
      </w:r>
      <w:r w:rsidR="00006E95">
        <w:t xml:space="preserve"> emissions</w:t>
      </w:r>
      <w:r w:rsidR="00ED6B1B">
        <w:t xml:space="preserve"> in an annex</w:t>
      </w:r>
      <w:r w:rsidRPr="00034A79">
        <w:t>.</w:t>
      </w:r>
    </w:p>
  </w:footnote>
  <w:footnote w:id="3">
    <w:p w14:paraId="642E6393" w14:textId="77777777" w:rsidR="00731E10" w:rsidRDefault="00731E10">
      <w:pPr>
        <w:pStyle w:val="FootnoteText"/>
      </w:pPr>
      <w:r>
        <w:rPr>
          <w:rStyle w:val="FootnoteReference"/>
        </w:rPr>
        <w:footnoteRef/>
      </w:r>
      <w:r>
        <w:t xml:space="preserve"> For more information on </w:t>
      </w:r>
      <w:r w:rsidR="00777639">
        <w:t xml:space="preserve">forest management, see </w:t>
      </w:r>
      <w:r w:rsidR="00A22510">
        <w:t>New Zealand’s first Biennial Transparency Report (</w:t>
      </w:r>
      <w:r w:rsidR="00322B80" w:rsidRPr="00322B80">
        <w:t>https://environment.govt.nz/assets/publications/New-Zealands-first-Biennial-Transparency-Report-2024.pdf</w:t>
      </w:r>
      <w:r w:rsidR="00322B80">
        <w:t>)</w:t>
      </w:r>
    </w:p>
  </w:footnote>
  <w:footnote w:id="4">
    <w:p w14:paraId="26B8AF64" w14:textId="3D5A5DFD" w:rsidR="004A5023" w:rsidRPr="00671A53" w:rsidRDefault="004A5023" w:rsidP="004A5023">
      <w:pPr>
        <w:pStyle w:val="FootnoteText"/>
        <w:rPr>
          <w:lang w:val="en-US"/>
        </w:rPr>
      </w:pPr>
      <w:r>
        <w:rPr>
          <w:rStyle w:val="FootnoteReference"/>
        </w:rPr>
        <w:footnoteRef/>
      </w:r>
      <w:r>
        <w:t xml:space="preserve"> </w:t>
      </w:r>
      <w:r w:rsidRPr="0013263E">
        <w:t xml:space="preserve">We use the terms ‘over-crediting’ and ‘under-crediting’ </w:t>
      </w:r>
      <w:r>
        <w:t>here</w:t>
      </w:r>
      <w:r w:rsidRPr="0013263E">
        <w:t xml:space="preserve"> merely to intuitively indicate the treatment of different forests under NZ ETS accounting versus target accounting. These terms should not be taken to indicate that either accounting system is more accurate or correct, or that more or fewer units are being allocated for forestry in the NZ ETS than is appropriate</w:t>
      </w:r>
      <w:r>
        <w:t xml:space="preserve">. For clarity we also note that </w:t>
      </w:r>
      <w:r w:rsidR="001709B9">
        <w:t xml:space="preserve">forestry NZUs in the </w:t>
      </w:r>
      <w:r>
        <w:t xml:space="preserve">NZ ETS </w:t>
      </w:r>
      <w:r w:rsidR="001709B9">
        <w:t xml:space="preserve">are </w:t>
      </w:r>
      <w:r>
        <w:t>not ‘</w:t>
      </w:r>
      <w:r w:rsidR="009D2022">
        <w:t xml:space="preserve">carbon </w:t>
      </w:r>
      <w:r>
        <w:t>credits’</w:t>
      </w:r>
      <w:r w:rsidR="001709B9">
        <w:t xml:space="preserve"> </w:t>
      </w:r>
      <w:r w:rsidR="00F4581A">
        <w:t xml:space="preserve">in the way </w:t>
      </w:r>
      <w:r w:rsidR="009D2022">
        <w:t>this term is typically defined in voluntary or international carbon markets</w:t>
      </w:r>
      <w:r>
        <w:t>.</w:t>
      </w:r>
    </w:p>
  </w:footnote>
  <w:footnote w:id="5">
    <w:p w14:paraId="1F3D303C" w14:textId="3F547C43" w:rsidR="00654C69" w:rsidRDefault="00654C69">
      <w:pPr>
        <w:pStyle w:val="FootnoteText"/>
      </w:pPr>
      <w:r>
        <w:rPr>
          <w:rStyle w:val="FootnoteReference"/>
        </w:rPr>
        <w:footnoteRef/>
      </w:r>
      <w:r>
        <w:t xml:space="preserve"> </w:t>
      </w:r>
      <w:r w:rsidRPr="00FC08C1">
        <w:t>For production pine forests on stock change accounting, NZUs earned after age ~12</w:t>
      </w:r>
      <w:r w:rsidR="00D05EB6">
        <w:t>–</w:t>
      </w:r>
      <w:r w:rsidRPr="00FC08C1">
        <w:t xml:space="preserve">16 are liable for surrender when the forest is harvested. Therefore, there has generally been less incentive to register older production forests into the NZ ETS, except for managing unit flows within a forestry portfolio. Since the move to averaging accounting, there is only incentive to register a forest from 2005 or earlier if it is either a permanent forest or of a species with a longer average age, such as Douglas fir (see </w:t>
      </w:r>
      <w:fldSimple w:instr="REF _Ref214456034  \* MERGEFORMAT">
        <w:r w:rsidRPr="00FC08C1">
          <w:t>Table</w:t>
        </w:r>
        <w:r w:rsidRPr="003B7B9E">
          <w:t xml:space="preserve"> 3</w:t>
        </w:r>
      </w:fldSimple>
      <w:r w:rsidRPr="00FC08C1">
        <w:t>).</w:t>
      </w:r>
    </w:p>
  </w:footnote>
  <w:footnote w:id="6">
    <w:p w14:paraId="59334CF9" w14:textId="1E49CCE2" w:rsidR="00F1793D" w:rsidRDefault="00F1793D">
      <w:pPr>
        <w:pStyle w:val="FootnoteText"/>
      </w:pPr>
      <w:r>
        <w:rPr>
          <w:rStyle w:val="FootnoteReference"/>
        </w:rPr>
        <w:footnoteRef/>
      </w:r>
      <w:r>
        <w:t xml:space="preserve"> </w:t>
      </w:r>
      <w:r w:rsidRPr="00FC08C1">
        <w:t>Excepting more recent years (from 2020) where further registrations are highly likely still to come.</w:t>
      </w:r>
    </w:p>
  </w:footnote>
  <w:footnote w:id="7">
    <w:p w14:paraId="471FB0CC" w14:textId="7FBE8FCE" w:rsidR="00F1793D" w:rsidRDefault="00F1793D">
      <w:pPr>
        <w:pStyle w:val="FootnoteText"/>
      </w:pPr>
      <w:r>
        <w:rPr>
          <w:rStyle w:val="FootnoteReference"/>
        </w:rPr>
        <w:footnoteRef/>
      </w:r>
      <w:r>
        <w:t xml:space="preserve"> To our knowledge, detailed rules on this are not provided in the GHG inventory. </w:t>
      </w:r>
    </w:p>
  </w:footnote>
  <w:footnote w:id="8">
    <w:p w14:paraId="1513507F" w14:textId="7E34E2FB" w:rsidR="00A83127" w:rsidRPr="007F0C06" w:rsidRDefault="00A83127" w:rsidP="00A83127">
      <w:pPr>
        <w:pStyle w:val="FootnoteText"/>
        <w:rPr>
          <w:lang w:val="en-US"/>
        </w:rPr>
      </w:pPr>
      <w:r>
        <w:rPr>
          <w:rStyle w:val="FootnoteReference"/>
        </w:rPr>
        <w:footnoteRef/>
      </w:r>
      <w:r>
        <w:t xml:space="preserve"> </w:t>
      </w:r>
      <w:r>
        <w:rPr>
          <w:lang w:val="en-US"/>
        </w:rPr>
        <w:t xml:space="preserve">Afforestation on Crown-owned land is a government policy to partner with the private sector to plant trees on government-owned land. </w:t>
      </w:r>
      <w:r w:rsidR="00A325C6">
        <w:t xml:space="preserve">The </w:t>
      </w:r>
      <w:r w:rsidR="00956586">
        <w:t xml:space="preserve">Government has indicated </w:t>
      </w:r>
      <w:r w:rsidR="00A325C6">
        <w:t>that as little as possible of this new forestry should be registered in the NZ ETS.</w:t>
      </w:r>
    </w:p>
  </w:footnote>
  <w:footnote w:id="9">
    <w:p w14:paraId="54D17A00" w14:textId="77FB555B" w:rsidR="00517CD5" w:rsidRDefault="00517CD5">
      <w:pPr>
        <w:pStyle w:val="FootnoteText"/>
      </w:pPr>
      <w:r>
        <w:rPr>
          <w:rStyle w:val="FootnoteReference"/>
        </w:rPr>
        <w:footnoteRef/>
      </w:r>
      <w:r>
        <w:t xml:space="preserve"> </w:t>
      </w:r>
      <w:r w:rsidRPr="00517CD5">
        <w:t>While the 2026 settings advice covers the period out to 2031, even in the unlikely event that the permanent forest long-term average was determined to be only 40 years, this would have minimal effect on results for 2031 as it would only affect forests planted in 1990.</w:t>
      </w:r>
    </w:p>
  </w:footnote>
  <w:footnote w:id="10">
    <w:p w14:paraId="62475F1C" w14:textId="269E44FB" w:rsidR="00E53D00" w:rsidRDefault="00E53D00">
      <w:pPr>
        <w:pStyle w:val="FootnoteText"/>
      </w:pPr>
      <w:r>
        <w:rPr>
          <w:rStyle w:val="FootnoteReference"/>
        </w:rPr>
        <w:footnoteRef/>
      </w:r>
      <w:r>
        <w:t xml:space="preserve"> </w:t>
      </w:r>
      <w:r w:rsidRPr="00FC08C1">
        <w:t>The NZ ETS yield table used here is an area-weighted average across all exotic species and the two yield table approaches (default lookup tables and participant-specific tables using the field measurement approach).</w:t>
      </w:r>
    </w:p>
  </w:footnote>
  <w:footnote w:id="11">
    <w:p w14:paraId="2A276067" w14:textId="48A6EB1E" w:rsidR="009124C2" w:rsidRDefault="009124C2">
      <w:pPr>
        <w:pStyle w:val="FootnoteText"/>
      </w:pPr>
      <w:r>
        <w:rPr>
          <w:rStyle w:val="FootnoteReference"/>
        </w:rPr>
        <w:footnoteRef/>
      </w:r>
      <w:r>
        <w:t xml:space="preserve"> </w:t>
      </w:r>
      <w:r w:rsidRPr="009124C2">
        <w:t xml:space="preserve">A further confounding factor in comparing to the number of NZUs </w:t>
      </w:r>
      <w:r w:rsidR="00247791">
        <w:t>allocated</w:t>
      </w:r>
      <w:r w:rsidRPr="009124C2">
        <w:t xml:space="preserve"> is that foresters net off harvest surrenders from their unit allocations in their emissions returns, so total allocations and surrenders are not reported, just the net allocations within each Carbon Accounting Area (CAA).</w:t>
      </w:r>
    </w:p>
  </w:footnote>
  <w:footnote w:id="12">
    <w:p w14:paraId="7DF24963" w14:textId="09169C85" w:rsidR="00877D9D" w:rsidRDefault="00877D9D">
      <w:pPr>
        <w:pStyle w:val="FootnoteText"/>
      </w:pPr>
      <w:r>
        <w:rPr>
          <w:rStyle w:val="FootnoteReference"/>
        </w:rPr>
        <w:footnoteRef/>
      </w:r>
      <w:r>
        <w:t xml:space="preserve"> </w:t>
      </w:r>
      <w:r w:rsidRPr="00877D9D">
        <w:t>This means all units issued above the assumed low-risk carbon level, including any units from second and subsequent rotations.</w:t>
      </w:r>
    </w:p>
  </w:footnote>
  <w:footnote w:id="13">
    <w:p w14:paraId="0735FFC3" w14:textId="79ADB2F2" w:rsidR="00A77715" w:rsidRDefault="00A77715">
      <w:pPr>
        <w:pStyle w:val="FootnoteText"/>
      </w:pPr>
      <w:r>
        <w:rPr>
          <w:rStyle w:val="FootnoteReference"/>
        </w:rPr>
        <w:footnoteRef/>
      </w:r>
      <w:r>
        <w:t xml:space="preserve"> </w:t>
      </w:r>
      <w:r w:rsidRPr="00A77715">
        <w:t>Forests on averaging accounting may also switch to the permanent forest category at any time.</w:t>
      </w:r>
    </w:p>
  </w:footnote>
  <w:footnote w:id="14">
    <w:p w14:paraId="2EAB66CE" w14:textId="6880F53C" w:rsidR="00AF54EA" w:rsidRDefault="00AF54EA">
      <w:pPr>
        <w:pStyle w:val="FootnoteText"/>
      </w:pPr>
      <w:r>
        <w:rPr>
          <w:rStyle w:val="FootnoteReference"/>
        </w:rPr>
        <w:footnoteRef/>
      </w:r>
      <w:r>
        <w:t xml:space="preserve"> </w:t>
      </w:r>
      <w:r w:rsidR="0014100E">
        <w:t xml:space="preserve">We understand that MERP3 </w:t>
      </w:r>
      <w:r w:rsidR="004231C4">
        <w:t xml:space="preserve">data </w:t>
      </w:r>
      <w:r w:rsidR="0014100E">
        <w:t>ha</w:t>
      </w:r>
      <w:r w:rsidR="004E4691">
        <w:t>s</w:t>
      </w:r>
      <w:r w:rsidR="0014100E">
        <w:t xml:space="preserve"> been used as the subsequent </w:t>
      </w:r>
      <w:r w:rsidR="00B07A5C">
        <w:t xml:space="preserve">MERP4 has only just </w:t>
      </w:r>
      <w:r w:rsidR="00DE1794">
        <w:t xml:space="preserve">ended in December 2025, and all final emissions returns have not yet been submitted.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4396"/>
    <w:multiLevelType w:val="hybridMultilevel"/>
    <w:tmpl w:val="D34EE5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690AB1"/>
    <w:multiLevelType w:val="multilevel"/>
    <w:tmpl w:val="6FCA227A"/>
    <w:lvl w:ilvl="0">
      <w:start w:val="1"/>
      <w:numFmt w:val="decimal"/>
      <w:pStyle w:val="Heading1nonumber"/>
      <w:lvlText w:val="%1"/>
      <w:lvlJc w:val="left"/>
      <w:pPr>
        <w:ind w:left="432" w:hanging="432"/>
      </w:pPr>
    </w:lvl>
    <w:lvl w:ilvl="1">
      <w:start w:val="1"/>
      <w:numFmt w:val="decimal"/>
      <w:pStyle w:val="Heading2nonumber"/>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972646"/>
    <w:multiLevelType w:val="multilevel"/>
    <w:tmpl w:val="A24E2A86"/>
    <w:styleLink w:val="CurrentList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1F5D58"/>
    <w:multiLevelType w:val="hybridMultilevel"/>
    <w:tmpl w:val="8F8A2084"/>
    <w:lvl w:ilvl="0" w:tplc="ECDA23DE">
      <w:start w:val="1"/>
      <w:numFmt w:val="bullet"/>
      <w:pStyle w:val="Bodybullet-sub-lis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31947E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D41DAA"/>
    <w:multiLevelType w:val="multilevel"/>
    <w:tmpl w:val="B198BF9C"/>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ED07F2"/>
    <w:multiLevelType w:val="multilevel"/>
    <w:tmpl w:val="B538D98E"/>
    <w:styleLink w:val="CurrentList7"/>
    <w:lvl w:ilvl="0">
      <w:start w:val="1"/>
      <w:numFmt w:val="decimal"/>
      <w:lvlText w:val="%1."/>
      <w:lvlJc w:val="left"/>
      <w:pPr>
        <w:ind w:left="-491" w:hanging="360"/>
      </w:pPr>
      <w:rPr>
        <w:rFonts w:hint="default"/>
      </w:rPr>
    </w:lvl>
    <w:lvl w:ilvl="1">
      <w:start w:val="1"/>
      <w:numFmt w:val="decimal"/>
      <w:lvlText w:val="%1.%2."/>
      <w:lvlJc w:val="left"/>
      <w:pPr>
        <w:ind w:left="-59" w:hanging="432"/>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7" w15:restartNumberingAfterBreak="0">
    <w:nsid w:val="1FF351E8"/>
    <w:multiLevelType w:val="hybridMultilevel"/>
    <w:tmpl w:val="D5BC406C"/>
    <w:lvl w:ilvl="0" w:tplc="62D0570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79822F1"/>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3E64EB2"/>
    <w:multiLevelType w:val="hybridMultilevel"/>
    <w:tmpl w:val="7AA48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88E59A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9BC28B2"/>
    <w:multiLevelType w:val="multilevel"/>
    <w:tmpl w:val="82B60DE6"/>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CD7D0E"/>
    <w:multiLevelType w:val="hybridMultilevel"/>
    <w:tmpl w:val="74B0063C"/>
    <w:lvl w:ilvl="0" w:tplc="559A8AA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A66B9B"/>
    <w:multiLevelType w:val="hybridMultilevel"/>
    <w:tmpl w:val="204C758A"/>
    <w:lvl w:ilvl="0" w:tplc="BEA8A6D0">
      <w:start w:val="1"/>
      <w:numFmt w:val="bullet"/>
      <w:pStyle w:val="Body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F0551B1"/>
    <w:multiLevelType w:val="hybridMultilevel"/>
    <w:tmpl w:val="1102C6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1DE1E00"/>
    <w:multiLevelType w:val="multilevel"/>
    <w:tmpl w:val="B198BF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023F5B"/>
    <w:multiLevelType w:val="hybridMultilevel"/>
    <w:tmpl w:val="222EB7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1600E15"/>
    <w:multiLevelType w:val="hybridMultilevel"/>
    <w:tmpl w:val="2EDC2732"/>
    <w:lvl w:ilvl="0" w:tplc="FFFFFFFF">
      <w:start w:val="1"/>
      <w:numFmt w:val="lowerLetter"/>
      <w:lvlText w:val="(%1)"/>
      <w:lvlJc w:val="left"/>
      <w:pPr>
        <w:ind w:left="1080" w:hanging="360"/>
      </w:pPr>
      <w:rPr>
        <w:rFonts w:hint="default"/>
      </w:rPr>
    </w:lvl>
    <w:lvl w:ilvl="1" w:tplc="1409001B">
      <w:start w:val="1"/>
      <w:numFmt w:val="lowerRoman"/>
      <w:lvlText w:val="%2."/>
      <w:lvlJc w:val="right"/>
      <w:pPr>
        <w:ind w:left="1792"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7DF5984"/>
    <w:multiLevelType w:val="hybridMultilevel"/>
    <w:tmpl w:val="EFB234D0"/>
    <w:lvl w:ilvl="0" w:tplc="1C58CC64">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95A10D5"/>
    <w:multiLevelType w:val="multilevel"/>
    <w:tmpl w:val="D304EC96"/>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8A7490"/>
    <w:multiLevelType w:val="multilevel"/>
    <w:tmpl w:val="6ACEF114"/>
    <w:lvl w:ilvl="0">
      <w:start w:val="1"/>
      <w:numFmt w:val="decimal"/>
      <w:lvlText w:val="%1."/>
      <w:lvlJc w:val="left"/>
      <w:pPr>
        <w:ind w:left="-491" w:hanging="360"/>
      </w:pPr>
      <w:rPr>
        <w:rFonts w:hint="default"/>
      </w:rPr>
    </w:lvl>
    <w:lvl w:ilvl="1">
      <w:start w:val="1"/>
      <w:numFmt w:val="decimal"/>
      <w:lvlText w:val="%1.%2."/>
      <w:lvlJc w:val="left"/>
      <w:pPr>
        <w:ind w:left="-59" w:hanging="432"/>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21" w15:restartNumberingAfterBreak="0">
    <w:nsid w:val="5CD175EB"/>
    <w:multiLevelType w:val="multilevel"/>
    <w:tmpl w:val="1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ADC379C"/>
    <w:multiLevelType w:val="hybridMultilevel"/>
    <w:tmpl w:val="C298F304"/>
    <w:lvl w:ilvl="0" w:tplc="4A1C9E0C">
      <w:start w:val="1"/>
      <w:numFmt w:val="lowerLetter"/>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6B3E0166"/>
    <w:multiLevelType w:val="hybridMultilevel"/>
    <w:tmpl w:val="2BF494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A60164C"/>
    <w:multiLevelType w:val="hybridMultilevel"/>
    <w:tmpl w:val="D03C2C2C"/>
    <w:lvl w:ilvl="0" w:tplc="0B2293A6">
      <w:numFmt w:val="bullet"/>
      <w:pStyle w:val="Bullets"/>
      <w:lvlText w:val="•"/>
      <w:lvlJc w:val="left"/>
      <w:pPr>
        <w:ind w:left="780" w:hanging="780"/>
      </w:pPr>
      <w:rPr>
        <w:rFonts w:ascii="Montserrat Light" w:eastAsiaTheme="minorHAnsi" w:hAnsi="Montserrat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9B3C55"/>
    <w:multiLevelType w:val="multilevel"/>
    <w:tmpl w:val="D304EC9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39380084">
    <w:abstractNumId w:val="24"/>
  </w:num>
  <w:num w:numId="2" w16cid:durableId="879363057">
    <w:abstractNumId w:val="20"/>
  </w:num>
  <w:num w:numId="3" w16cid:durableId="2129428180">
    <w:abstractNumId w:val="2"/>
  </w:num>
  <w:num w:numId="4" w16cid:durableId="1862431739">
    <w:abstractNumId w:val="10"/>
  </w:num>
  <w:num w:numId="5" w16cid:durableId="812873191">
    <w:abstractNumId w:val="5"/>
  </w:num>
  <w:num w:numId="6" w16cid:durableId="1994019910">
    <w:abstractNumId w:val="11"/>
  </w:num>
  <w:num w:numId="7" w16cid:durableId="1268125617">
    <w:abstractNumId w:val="25"/>
  </w:num>
  <w:num w:numId="8" w16cid:durableId="7603690">
    <w:abstractNumId w:val="19"/>
  </w:num>
  <w:num w:numId="9" w16cid:durableId="25300567">
    <w:abstractNumId w:val="6"/>
  </w:num>
  <w:num w:numId="10" w16cid:durableId="688146085">
    <w:abstractNumId w:val="13"/>
  </w:num>
  <w:num w:numId="11" w16cid:durableId="1615820719">
    <w:abstractNumId w:val="18"/>
  </w:num>
  <w:num w:numId="12" w16cid:durableId="1434978351">
    <w:abstractNumId w:val="3"/>
  </w:num>
  <w:num w:numId="13" w16cid:durableId="1186602973">
    <w:abstractNumId w:val="12"/>
  </w:num>
  <w:num w:numId="14" w16cid:durableId="5252516">
    <w:abstractNumId w:val="7"/>
  </w:num>
  <w:num w:numId="15" w16cid:durableId="1091898359">
    <w:abstractNumId w:val="22"/>
  </w:num>
  <w:num w:numId="16" w16cid:durableId="2052922641">
    <w:abstractNumId w:val="17"/>
  </w:num>
  <w:num w:numId="17" w16cid:durableId="1776899761">
    <w:abstractNumId w:val="16"/>
  </w:num>
  <w:num w:numId="18" w16cid:durableId="500899611">
    <w:abstractNumId w:val="15"/>
  </w:num>
  <w:num w:numId="19" w16cid:durableId="1946426587">
    <w:abstractNumId w:val="9"/>
  </w:num>
  <w:num w:numId="20" w16cid:durableId="8531433">
    <w:abstractNumId w:val="0"/>
  </w:num>
  <w:num w:numId="21" w16cid:durableId="732974171">
    <w:abstractNumId w:val="1"/>
  </w:num>
  <w:num w:numId="22" w16cid:durableId="949505588">
    <w:abstractNumId w:val="21"/>
  </w:num>
  <w:num w:numId="23" w16cid:durableId="299696768">
    <w:abstractNumId w:val="8"/>
  </w:num>
  <w:num w:numId="24" w16cid:durableId="1873689071">
    <w:abstractNumId w:val="14"/>
  </w:num>
  <w:num w:numId="25" w16cid:durableId="2087729601">
    <w:abstractNumId w:val="23"/>
  </w:num>
  <w:num w:numId="26" w16cid:durableId="32289688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MA 11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vex5fabdwzs9e9rwa55p5bvws5v2dex2zs&quot;&gt;EndNote@climatecommission.govt.nz&lt;record-ids&gt;&lt;item&gt;404&lt;/item&gt;&lt;item&gt;1327&lt;/item&gt;&lt;item&gt;1570&lt;/item&gt;&lt;item&gt;1571&lt;/item&gt;&lt;item&gt;1572&lt;/item&gt;&lt;item&gt;1587&lt;/item&gt;&lt;/record-ids&gt;&lt;/item&gt;&lt;/Libraries&gt;"/>
  </w:docVars>
  <w:rsids>
    <w:rsidRoot w:val="000C3C21"/>
    <w:rsid w:val="00000DCB"/>
    <w:rsid w:val="00001963"/>
    <w:rsid w:val="00003728"/>
    <w:rsid w:val="000039FB"/>
    <w:rsid w:val="00004210"/>
    <w:rsid w:val="0000450F"/>
    <w:rsid w:val="0000482C"/>
    <w:rsid w:val="00004D2F"/>
    <w:rsid w:val="00005483"/>
    <w:rsid w:val="0000573D"/>
    <w:rsid w:val="000064F1"/>
    <w:rsid w:val="0000682C"/>
    <w:rsid w:val="00006D50"/>
    <w:rsid w:val="00006D76"/>
    <w:rsid w:val="00006E95"/>
    <w:rsid w:val="000074CA"/>
    <w:rsid w:val="00007EDA"/>
    <w:rsid w:val="000104A1"/>
    <w:rsid w:val="0001130A"/>
    <w:rsid w:val="00012801"/>
    <w:rsid w:val="00012C80"/>
    <w:rsid w:val="00012CA8"/>
    <w:rsid w:val="000131BF"/>
    <w:rsid w:val="000132FC"/>
    <w:rsid w:val="0001392E"/>
    <w:rsid w:val="00013994"/>
    <w:rsid w:val="000141BC"/>
    <w:rsid w:val="00014843"/>
    <w:rsid w:val="00014940"/>
    <w:rsid w:val="00014DFA"/>
    <w:rsid w:val="000153AE"/>
    <w:rsid w:val="00016BAD"/>
    <w:rsid w:val="00016F4A"/>
    <w:rsid w:val="00022671"/>
    <w:rsid w:val="00022E61"/>
    <w:rsid w:val="00023276"/>
    <w:rsid w:val="00024FD8"/>
    <w:rsid w:val="00025063"/>
    <w:rsid w:val="00026465"/>
    <w:rsid w:val="00026C51"/>
    <w:rsid w:val="00030120"/>
    <w:rsid w:val="0003222B"/>
    <w:rsid w:val="00033C19"/>
    <w:rsid w:val="0003473A"/>
    <w:rsid w:val="00034A79"/>
    <w:rsid w:val="000358D9"/>
    <w:rsid w:val="00035F84"/>
    <w:rsid w:val="00036443"/>
    <w:rsid w:val="0003677B"/>
    <w:rsid w:val="00036F5D"/>
    <w:rsid w:val="00037D4A"/>
    <w:rsid w:val="00040012"/>
    <w:rsid w:val="00040468"/>
    <w:rsid w:val="000415C8"/>
    <w:rsid w:val="00041C66"/>
    <w:rsid w:val="00045C03"/>
    <w:rsid w:val="00046317"/>
    <w:rsid w:val="00046BB8"/>
    <w:rsid w:val="00047661"/>
    <w:rsid w:val="00047C79"/>
    <w:rsid w:val="000501EB"/>
    <w:rsid w:val="0005072F"/>
    <w:rsid w:val="000511C0"/>
    <w:rsid w:val="00051B70"/>
    <w:rsid w:val="00052C72"/>
    <w:rsid w:val="000530A6"/>
    <w:rsid w:val="00054E47"/>
    <w:rsid w:val="0005538A"/>
    <w:rsid w:val="000554C6"/>
    <w:rsid w:val="00055772"/>
    <w:rsid w:val="00056525"/>
    <w:rsid w:val="00056706"/>
    <w:rsid w:val="000573DD"/>
    <w:rsid w:val="00057A5F"/>
    <w:rsid w:val="00060640"/>
    <w:rsid w:val="00060E41"/>
    <w:rsid w:val="000611C6"/>
    <w:rsid w:val="000619F3"/>
    <w:rsid w:val="00061B4F"/>
    <w:rsid w:val="0006253F"/>
    <w:rsid w:val="00062E3D"/>
    <w:rsid w:val="00062FC2"/>
    <w:rsid w:val="00064D90"/>
    <w:rsid w:val="00064EBB"/>
    <w:rsid w:val="00067688"/>
    <w:rsid w:val="00070A2D"/>
    <w:rsid w:val="00070A54"/>
    <w:rsid w:val="00070A86"/>
    <w:rsid w:val="00070CC3"/>
    <w:rsid w:val="00071C47"/>
    <w:rsid w:val="00071DDB"/>
    <w:rsid w:val="000729AF"/>
    <w:rsid w:val="000735C9"/>
    <w:rsid w:val="000748B0"/>
    <w:rsid w:val="00074DD8"/>
    <w:rsid w:val="00075214"/>
    <w:rsid w:val="000761CD"/>
    <w:rsid w:val="00077026"/>
    <w:rsid w:val="000804C3"/>
    <w:rsid w:val="000826F6"/>
    <w:rsid w:val="00082B83"/>
    <w:rsid w:val="0008333B"/>
    <w:rsid w:val="00084D2F"/>
    <w:rsid w:val="00085B86"/>
    <w:rsid w:val="000860B4"/>
    <w:rsid w:val="000860ED"/>
    <w:rsid w:val="00086B4B"/>
    <w:rsid w:val="000870FE"/>
    <w:rsid w:val="00087A97"/>
    <w:rsid w:val="00087D7C"/>
    <w:rsid w:val="00087F8C"/>
    <w:rsid w:val="000906E2"/>
    <w:rsid w:val="00090E65"/>
    <w:rsid w:val="000910A3"/>
    <w:rsid w:val="00092774"/>
    <w:rsid w:val="00092EAE"/>
    <w:rsid w:val="00092F5D"/>
    <w:rsid w:val="00092F6F"/>
    <w:rsid w:val="0009338B"/>
    <w:rsid w:val="00093BE8"/>
    <w:rsid w:val="000944DC"/>
    <w:rsid w:val="000946CA"/>
    <w:rsid w:val="00094786"/>
    <w:rsid w:val="00095442"/>
    <w:rsid w:val="00097A7D"/>
    <w:rsid w:val="00097D0F"/>
    <w:rsid w:val="00097E4C"/>
    <w:rsid w:val="000A0268"/>
    <w:rsid w:val="000A1121"/>
    <w:rsid w:val="000A24E8"/>
    <w:rsid w:val="000A2831"/>
    <w:rsid w:val="000A2B8E"/>
    <w:rsid w:val="000A4077"/>
    <w:rsid w:val="000A4E5C"/>
    <w:rsid w:val="000A682F"/>
    <w:rsid w:val="000A69E3"/>
    <w:rsid w:val="000A76CB"/>
    <w:rsid w:val="000A7873"/>
    <w:rsid w:val="000B07EF"/>
    <w:rsid w:val="000B09EA"/>
    <w:rsid w:val="000B14BC"/>
    <w:rsid w:val="000B1772"/>
    <w:rsid w:val="000B1BF2"/>
    <w:rsid w:val="000B1CC6"/>
    <w:rsid w:val="000B2002"/>
    <w:rsid w:val="000B20D7"/>
    <w:rsid w:val="000B3AF6"/>
    <w:rsid w:val="000B5518"/>
    <w:rsid w:val="000B5FE5"/>
    <w:rsid w:val="000B6C6C"/>
    <w:rsid w:val="000B73D6"/>
    <w:rsid w:val="000C0F75"/>
    <w:rsid w:val="000C1476"/>
    <w:rsid w:val="000C2931"/>
    <w:rsid w:val="000C2994"/>
    <w:rsid w:val="000C3758"/>
    <w:rsid w:val="000C37F6"/>
    <w:rsid w:val="000C3C21"/>
    <w:rsid w:val="000C40AE"/>
    <w:rsid w:val="000C40DB"/>
    <w:rsid w:val="000C47B8"/>
    <w:rsid w:val="000C5395"/>
    <w:rsid w:val="000C5585"/>
    <w:rsid w:val="000C6523"/>
    <w:rsid w:val="000C7B9C"/>
    <w:rsid w:val="000C7DBF"/>
    <w:rsid w:val="000C7E63"/>
    <w:rsid w:val="000D07AA"/>
    <w:rsid w:val="000D1883"/>
    <w:rsid w:val="000D1D83"/>
    <w:rsid w:val="000D23C8"/>
    <w:rsid w:val="000D2747"/>
    <w:rsid w:val="000D3D56"/>
    <w:rsid w:val="000D3E64"/>
    <w:rsid w:val="000D404C"/>
    <w:rsid w:val="000D46BB"/>
    <w:rsid w:val="000D4E2D"/>
    <w:rsid w:val="000D4FC5"/>
    <w:rsid w:val="000D5BEA"/>
    <w:rsid w:val="000D6325"/>
    <w:rsid w:val="000D6C05"/>
    <w:rsid w:val="000D704F"/>
    <w:rsid w:val="000D7D03"/>
    <w:rsid w:val="000E2A66"/>
    <w:rsid w:val="000E48B5"/>
    <w:rsid w:val="000E4EC9"/>
    <w:rsid w:val="000E5037"/>
    <w:rsid w:val="000E604F"/>
    <w:rsid w:val="000E6E03"/>
    <w:rsid w:val="000E720C"/>
    <w:rsid w:val="000E773F"/>
    <w:rsid w:val="000F088C"/>
    <w:rsid w:val="000F0B4B"/>
    <w:rsid w:val="000F1284"/>
    <w:rsid w:val="000F17B5"/>
    <w:rsid w:val="000F197B"/>
    <w:rsid w:val="000F2BD5"/>
    <w:rsid w:val="000F3163"/>
    <w:rsid w:val="000F36EF"/>
    <w:rsid w:val="000F3A29"/>
    <w:rsid w:val="000F533D"/>
    <w:rsid w:val="000F6147"/>
    <w:rsid w:val="000F72B3"/>
    <w:rsid w:val="000F798B"/>
    <w:rsid w:val="0010027E"/>
    <w:rsid w:val="00100D37"/>
    <w:rsid w:val="0010346B"/>
    <w:rsid w:val="00105842"/>
    <w:rsid w:val="00106195"/>
    <w:rsid w:val="001062DC"/>
    <w:rsid w:val="0011130A"/>
    <w:rsid w:val="0011213D"/>
    <w:rsid w:val="001144C5"/>
    <w:rsid w:val="00116401"/>
    <w:rsid w:val="0011646A"/>
    <w:rsid w:val="00116F87"/>
    <w:rsid w:val="001171F4"/>
    <w:rsid w:val="00120510"/>
    <w:rsid w:val="00121DCA"/>
    <w:rsid w:val="0012232B"/>
    <w:rsid w:val="00123CB8"/>
    <w:rsid w:val="00124144"/>
    <w:rsid w:val="00124876"/>
    <w:rsid w:val="00125572"/>
    <w:rsid w:val="001265A1"/>
    <w:rsid w:val="00126DE7"/>
    <w:rsid w:val="00126F08"/>
    <w:rsid w:val="00127EB3"/>
    <w:rsid w:val="001305A4"/>
    <w:rsid w:val="0013182B"/>
    <w:rsid w:val="001324D7"/>
    <w:rsid w:val="00133AAD"/>
    <w:rsid w:val="00133F55"/>
    <w:rsid w:val="001348EA"/>
    <w:rsid w:val="00134CE8"/>
    <w:rsid w:val="0013578A"/>
    <w:rsid w:val="001360A5"/>
    <w:rsid w:val="001363C9"/>
    <w:rsid w:val="00136BF9"/>
    <w:rsid w:val="00136F6F"/>
    <w:rsid w:val="001372CB"/>
    <w:rsid w:val="0014034E"/>
    <w:rsid w:val="00140859"/>
    <w:rsid w:val="0014100E"/>
    <w:rsid w:val="001410C3"/>
    <w:rsid w:val="001415CB"/>
    <w:rsid w:val="00145572"/>
    <w:rsid w:val="00147A46"/>
    <w:rsid w:val="00147E75"/>
    <w:rsid w:val="001500F1"/>
    <w:rsid w:val="00150436"/>
    <w:rsid w:val="001517EE"/>
    <w:rsid w:val="00151CDB"/>
    <w:rsid w:val="00151D0C"/>
    <w:rsid w:val="001523F6"/>
    <w:rsid w:val="001530F3"/>
    <w:rsid w:val="00153AFF"/>
    <w:rsid w:val="00154511"/>
    <w:rsid w:val="001545A7"/>
    <w:rsid w:val="001550A0"/>
    <w:rsid w:val="0015702A"/>
    <w:rsid w:val="001621E1"/>
    <w:rsid w:val="0016239B"/>
    <w:rsid w:val="00162451"/>
    <w:rsid w:val="0016286F"/>
    <w:rsid w:val="001633EC"/>
    <w:rsid w:val="001633FB"/>
    <w:rsid w:val="00163CF4"/>
    <w:rsid w:val="00163D93"/>
    <w:rsid w:val="00163D99"/>
    <w:rsid w:val="0016595B"/>
    <w:rsid w:val="00165D7B"/>
    <w:rsid w:val="0016666B"/>
    <w:rsid w:val="00166E0B"/>
    <w:rsid w:val="00167D31"/>
    <w:rsid w:val="001709B9"/>
    <w:rsid w:val="00170E57"/>
    <w:rsid w:val="00172AAF"/>
    <w:rsid w:val="00173168"/>
    <w:rsid w:val="00174E8A"/>
    <w:rsid w:val="0017505C"/>
    <w:rsid w:val="00175B03"/>
    <w:rsid w:val="00176034"/>
    <w:rsid w:val="0017652F"/>
    <w:rsid w:val="00176573"/>
    <w:rsid w:val="00176EC5"/>
    <w:rsid w:val="001772EC"/>
    <w:rsid w:val="00177A8E"/>
    <w:rsid w:val="00177EF9"/>
    <w:rsid w:val="00180D06"/>
    <w:rsid w:val="0018107D"/>
    <w:rsid w:val="00181B87"/>
    <w:rsid w:val="0018251C"/>
    <w:rsid w:val="001844C1"/>
    <w:rsid w:val="00185195"/>
    <w:rsid w:val="001852D2"/>
    <w:rsid w:val="00190754"/>
    <w:rsid w:val="0019105A"/>
    <w:rsid w:val="0019250A"/>
    <w:rsid w:val="0019283D"/>
    <w:rsid w:val="00192928"/>
    <w:rsid w:val="001930BB"/>
    <w:rsid w:val="00193B5F"/>
    <w:rsid w:val="00193B66"/>
    <w:rsid w:val="00194321"/>
    <w:rsid w:val="0019470B"/>
    <w:rsid w:val="00194E8A"/>
    <w:rsid w:val="001950E7"/>
    <w:rsid w:val="00195281"/>
    <w:rsid w:val="001952DB"/>
    <w:rsid w:val="00195712"/>
    <w:rsid w:val="00196401"/>
    <w:rsid w:val="00196653"/>
    <w:rsid w:val="00196CA3"/>
    <w:rsid w:val="00196F9E"/>
    <w:rsid w:val="001A0C72"/>
    <w:rsid w:val="001A23A8"/>
    <w:rsid w:val="001A251D"/>
    <w:rsid w:val="001A2AAF"/>
    <w:rsid w:val="001A2E9C"/>
    <w:rsid w:val="001A3B62"/>
    <w:rsid w:val="001A515F"/>
    <w:rsid w:val="001A5373"/>
    <w:rsid w:val="001A553D"/>
    <w:rsid w:val="001A5AA7"/>
    <w:rsid w:val="001A5EBB"/>
    <w:rsid w:val="001A5FC5"/>
    <w:rsid w:val="001A6187"/>
    <w:rsid w:val="001A68E1"/>
    <w:rsid w:val="001B06F8"/>
    <w:rsid w:val="001B0C05"/>
    <w:rsid w:val="001B0FB1"/>
    <w:rsid w:val="001B25D9"/>
    <w:rsid w:val="001B3087"/>
    <w:rsid w:val="001B37D4"/>
    <w:rsid w:val="001B598D"/>
    <w:rsid w:val="001B5CA6"/>
    <w:rsid w:val="001B61FD"/>
    <w:rsid w:val="001B6231"/>
    <w:rsid w:val="001B714E"/>
    <w:rsid w:val="001B729B"/>
    <w:rsid w:val="001B7732"/>
    <w:rsid w:val="001C1D74"/>
    <w:rsid w:val="001C2CCE"/>
    <w:rsid w:val="001C2FE2"/>
    <w:rsid w:val="001C3664"/>
    <w:rsid w:val="001C39BA"/>
    <w:rsid w:val="001C495A"/>
    <w:rsid w:val="001C5192"/>
    <w:rsid w:val="001C69BC"/>
    <w:rsid w:val="001C77EF"/>
    <w:rsid w:val="001D02E8"/>
    <w:rsid w:val="001D03F9"/>
    <w:rsid w:val="001D1559"/>
    <w:rsid w:val="001D1627"/>
    <w:rsid w:val="001D2B67"/>
    <w:rsid w:val="001D2C64"/>
    <w:rsid w:val="001D2F53"/>
    <w:rsid w:val="001D37C5"/>
    <w:rsid w:val="001D434D"/>
    <w:rsid w:val="001D4DF7"/>
    <w:rsid w:val="001D4EA2"/>
    <w:rsid w:val="001D5B84"/>
    <w:rsid w:val="001D5C2C"/>
    <w:rsid w:val="001D5F8B"/>
    <w:rsid w:val="001D617D"/>
    <w:rsid w:val="001D7390"/>
    <w:rsid w:val="001E17EA"/>
    <w:rsid w:val="001E1E89"/>
    <w:rsid w:val="001E31D9"/>
    <w:rsid w:val="001E3317"/>
    <w:rsid w:val="001E3490"/>
    <w:rsid w:val="001E3E24"/>
    <w:rsid w:val="001E45A3"/>
    <w:rsid w:val="001E48BD"/>
    <w:rsid w:val="001E4F94"/>
    <w:rsid w:val="001E55ED"/>
    <w:rsid w:val="001E5D43"/>
    <w:rsid w:val="001E5F13"/>
    <w:rsid w:val="001E6128"/>
    <w:rsid w:val="001F177F"/>
    <w:rsid w:val="001F17BA"/>
    <w:rsid w:val="001F1EDC"/>
    <w:rsid w:val="001F21A6"/>
    <w:rsid w:val="001F259B"/>
    <w:rsid w:val="001F261E"/>
    <w:rsid w:val="001F2B51"/>
    <w:rsid w:val="001F3EB3"/>
    <w:rsid w:val="001F480E"/>
    <w:rsid w:val="001F6500"/>
    <w:rsid w:val="001F731F"/>
    <w:rsid w:val="001F7A20"/>
    <w:rsid w:val="00200793"/>
    <w:rsid w:val="002011AA"/>
    <w:rsid w:val="002027B2"/>
    <w:rsid w:val="00203580"/>
    <w:rsid w:val="002039C5"/>
    <w:rsid w:val="00204447"/>
    <w:rsid w:val="002047B7"/>
    <w:rsid w:val="002050B1"/>
    <w:rsid w:val="0020596A"/>
    <w:rsid w:val="0020709E"/>
    <w:rsid w:val="00207B90"/>
    <w:rsid w:val="002108B3"/>
    <w:rsid w:val="00212665"/>
    <w:rsid w:val="0021298B"/>
    <w:rsid w:val="00213C4E"/>
    <w:rsid w:val="00213C88"/>
    <w:rsid w:val="00214143"/>
    <w:rsid w:val="002144F6"/>
    <w:rsid w:val="002152C2"/>
    <w:rsid w:val="00215668"/>
    <w:rsid w:val="002156D7"/>
    <w:rsid w:val="0021586A"/>
    <w:rsid w:val="00215AE0"/>
    <w:rsid w:val="00216B31"/>
    <w:rsid w:val="00217AB8"/>
    <w:rsid w:val="00217BC9"/>
    <w:rsid w:val="00217D71"/>
    <w:rsid w:val="00217E66"/>
    <w:rsid w:val="002204B6"/>
    <w:rsid w:val="00220E0A"/>
    <w:rsid w:val="00221E21"/>
    <w:rsid w:val="002228C2"/>
    <w:rsid w:val="0022428D"/>
    <w:rsid w:val="00225009"/>
    <w:rsid w:val="00225D0B"/>
    <w:rsid w:val="0022661B"/>
    <w:rsid w:val="002309AA"/>
    <w:rsid w:val="00230E36"/>
    <w:rsid w:val="002318C9"/>
    <w:rsid w:val="00232352"/>
    <w:rsid w:val="0023264C"/>
    <w:rsid w:val="00233E36"/>
    <w:rsid w:val="002345F8"/>
    <w:rsid w:val="002346FA"/>
    <w:rsid w:val="00234A2E"/>
    <w:rsid w:val="0023508F"/>
    <w:rsid w:val="00235926"/>
    <w:rsid w:val="002360D8"/>
    <w:rsid w:val="002368B4"/>
    <w:rsid w:val="00236A76"/>
    <w:rsid w:val="00236E7A"/>
    <w:rsid w:val="00240144"/>
    <w:rsid w:val="00241987"/>
    <w:rsid w:val="002419D9"/>
    <w:rsid w:val="00241FD1"/>
    <w:rsid w:val="002453EE"/>
    <w:rsid w:val="00245D71"/>
    <w:rsid w:val="002467D0"/>
    <w:rsid w:val="00247088"/>
    <w:rsid w:val="002476C9"/>
    <w:rsid w:val="0024775B"/>
    <w:rsid w:val="00247791"/>
    <w:rsid w:val="00247C57"/>
    <w:rsid w:val="00250233"/>
    <w:rsid w:val="00250A47"/>
    <w:rsid w:val="00251E06"/>
    <w:rsid w:val="00252948"/>
    <w:rsid w:val="00253222"/>
    <w:rsid w:val="00253C4B"/>
    <w:rsid w:val="00255A18"/>
    <w:rsid w:val="0025785E"/>
    <w:rsid w:val="00257952"/>
    <w:rsid w:val="00257E30"/>
    <w:rsid w:val="00260BF4"/>
    <w:rsid w:val="0026170A"/>
    <w:rsid w:val="002619C5"/>
    <w:rsid w:val="00262164"/>
    <w:rsid w:val="00262691"/>
    <w:rsid w:val="00263FED"/>
    <w:rsid w:val="0026499D"/>
    <w:rsid w:val="00265061"/>
    <w:rsid w:val="00266387"/>
    <w:rsid w:val="00266916"/>
    <w:rsid w:val="00266E10"/>
    <w:rsid w:val="00272085"/>
    <w:rsid w:val="00272566"/>
    <w:rsid w:val="0027268F"/>
    <w:rsid w:val="00272CC3"/>
    <w:rsid w:val="00272FB2"/>
    <w:rsid w:val="00274242"/>
    <w:rsid w:val="0027495A"/>
    <w:rsid w:val="00277264"/>
    <w:rsid w:val="002772DD"/>
    <w:rsid w:val="002778EA"/>
    <w:rsid w:val="002803BB"/>
    <w:rsid w:val="002808E7"/>
    <w:rsid w:val="00281667"/>
    <w:rsid w:val="00281BD2"/>
    <w:rsid w:val="00281DEC"/>
    <w:rsid w:val="00282DB0"/>
    <w:rsid w:val="002839E7"/>
    <w:rsid w:val="00285259"/>
    <w:rsid w:val="0028574E"/>
    <w:rsid w:val="0028636B"/>
    <w:rsid w:val="00286937"/>
    <w:rsid w:val="00287659"/>
    <w:rsid w:val="00291145"/>
    <w:rsid w:val="002913F2"/>
    <w:rsid w:val="0029182D"/>
    <w:rsid w:val="002920A5"/>
    <w:rsid w:val="00292CF3"/>
    <w:rsid w:val="00293092"/>
    <w:rsid w:val="00295855"/>
    <w:rsid w:val="00295C70"/>
    <w:rsid w:val="00296314"/>
    <w:rsid w:val="00296B26"/>
    <w:rsid w:val="00296CAA"/>
    <w:rsid w:val="00296FA8"/>
    <w:rsid w:val="002A053A"/>
    <w:rsid w:val="002A10F6"/>
    <w:rsid w:val="002A2C6E"/>
    <w:rsid w:val="002A2CAA"/>
    <w:rsid w:val="002A3CE1"/>
    <w:rsid w:val="002A3F08"/>
    <w:rsid w:val="002A4CA3"/>
    <w:rsid w:val="002A6B97"/>
    <w:rsid w:val="002B0441"/>
    <w:rsid w:val="002B19CF"/>
    <w:rsid w:val="002B1C37"/>
    <w:rsid w:val="002B2659"/>
    <w:rsid w:val="002B2E1B"/>
    <w:rsid w:val="002B33A7"/>
    <w:rsid w:val="002B500A"/>
    <w:rsid w:val="002B6F7C"/>
    <w:rsid w:val="002B761D"/>
    <w:rsid w:val="002C03FA"/>
    <w:rsid w:val="002C1FE9"/>
    <w:rsid w:val="002C2272"/>
    <w:rsid w:val="002C27AE"/>
    <w:rsid w:val="002C4551"/>
    <w:rsid w:val="002C4965"/>
    <w:rsid w:val="002C640E"/>
    <w:rsid w:val="002C65F6"/>
    <w:rsid w:val="002C6E7E"/>
    <w:rsid w:val="002C7540"/>
    <w:rsid w:val="002C75D4"/>
    <w:rsid w:val="002C7EBC"/>
    <w:rsid w:val="002D1E47"/>
    <w:rsid w:val="002D2065"/>
    <w:rsid w:val="002D2376"/>
    <w:rsid w:val="002D3722"/>
    <w:rsid w:val="002D3C0C"/>
    <w:rsid w:val="002D4159"/>
    <w:rsid w:val="002D540A"/>
    <w:rsid w:val="002D564A"/>
    <w:rsid w:val="002D5978"/>
    <w:rsid w:val="002D59ED"/>
    <w:rsid w:val="002D5C40"/>
    <w:rsid w:val="002D6C6D"/>
    <w:rsid w:val="002D71DA"/>
    <w:rsid w:val="002D7255"/>
    <w:rsid w:val="002D78B0"/>
    <w:rsid w:val="002E049D"/>
    <w:rsid w:val="002E0830"/>
    <w:rsid w:val="002E08EB"/>
    <w:rsid w:val="002E0A6F"/>
    <w:rsid w:val="002E100C"/>
    <w:rsid w:val="002E1BFE"/>
    <w:rsid w:val="002E2390"/>
    <w:rsid w:val="002E2B6A"/>
    <w:rsid w:val="002E2BCC"/>
    <w:rsid w:val="002E4DD3"/>
    <w:rsid w:val="002E4FA4"/>
    <w:rsid w:val="002E5885"/>
    <w:rsid w:val="002E5F17"/>
    <w:rsid w:val="002E613C"/>
    <w:rsid w:val="002E6854"/>
    <w:rsid w:val="002E6E39"/>
    <w:rsid w:val="002E6EB4"/>
    <w:rsid w:val="002E717C"/>
    <w:rsid w:val="002F17F2"/>
    <w:rsid w:val="002F1E93"/>
    <w:rsid w:val="002F2895"/>
    <w:rsid w:val="002F416A"/>
    <w:rsid w:val="002F42E7"/>
    <w:rsid w:val="002F453D"/>
    <w:rsid w:val="002F4D97"/>
    <w:rsid w:val="002F5830"/>
    <w:rsid w:val="002F714D"/>
    <w:rsid w:val="002F75CA"/>
    <w:rsid w:val="003014FC"/>
    <w:rsid w:val="00302327"/>
    <w:rsid w:val="00302B73"/>
    <w:rsid w:val="00302C27"/>
    <w:rsid w:val="003031D9"/>
    <w:rsid w:val="00303C60"/>
    <w:rsid w:val="00304236"/>
    <w:rsid w:val="00304941"/>
    <w:rsid w:val="00304EA5"/>
    <w:rsid w:val="00306325"/>
    <w:rsid w:val="00306E3B"/>
    <w:rsid w:val="00307FC0"/>
    <w:rsid w:val="00310F7C"/>
    <w:rsid w:val="0031110A"/>
    <w:rsid w:val="003112D0"/>
    <w:rsid w:val="00311C5C"/>
    <w:rsid w:val="00311F80"/>
    <w:rsid w:val="00313259"/>
    <w:rsid w:val="00314177"/>
    <w:rsid w:val="00314A7F"/>
    <w:rsid w:val="00315F47"/>
    <w:rsid w:val="003162F1"/>
    <w:rsid w:val="00316DBA"/>
    <w:rsid w:val="0031727E"/>
    <w:rsid w:val="00317748"/>
    <w:rsid w:val="00317AF8"/>
    <w:rsid w:val="00317BF8"/>
    <w:rsid w:val="003202E9"/>
    <w:rsid w:val="00321156"/>
    <w:rsid w:val="00322B80"/>
    <w:rsid w:val="00322BAF"/>
    <w:rsid w:val="00322BBB"/>
    <w:rsid w:val="00323FA7"/>
    <w:rsid w:val="003247F9"/>
    <w:rsid w:val="003266B2"/>
    <w:rsid w:val="003271BF"/>
    <w:rsid w:val="00327A94"/>
    <w:rsid w:val="00327D28"/>
    <w:rsid w:val="00327DEA"/>
    <w:rsid w:val="003307B6"/>
    <w:rsid w:val="003319C8"/>
    <w:rsid w:val="0033200D"/>
    <w:rsid w:val="00332B59"/>
    <w:rsid w:val="00332EB3"/>
    <w:rsid w:val="00333893"/>
    <w:rsid w:val="003339EF"/>
    <w:rsid w:val="00334512"/>
    <w:rsid w:val="00335332"/>
    <w:rsid w:val="00336805"/>
    <w:rsid w:val="0033684F"/>
    <w:rsid w:val="00337A88"/>
    <w:rsid w:val="00337ED0"/>
    <w:rsid w:val="00337EF8"/>
    <w:rsid w:val="00340363"/>
    <w:rsid w:val="00340C9F"/>
    <w:rsid w:val="003426AF"/>
    <w:rsid w:val="00343A35"/>
    <w:rsid w:val="003442FE"/>
    <w:rsid w:val="00344E02"/>
    <w:rsid w:val="0034553C"/>
    <w:rsid w:val="00350B70"/>
    <w:rsid w:val="00351B32"/>
    <w:rsid w:val="00352670"/>
    <w:rsid w:val="003538AB"/>
    <w:rsid w:val="00353FA0"/>
    <w:rsid w:val="00355ACF"/>
    <w:rsid w:val="00356F97"/>
    <w:rsid w:val="00357A6F"/>
    <w:rsid w:val="003602F2"/>
    <w:rsid w:val="003604AA"/>
    <w:rsid w:val="00360FDB"/>
    <w:rsid w:val="003615F9"/>
    <w:rsid w:val="00363C31"/>
    <w:rsid w:val="00364DF5"/>
    <w:rsid w:val="003655AA"/>
    <w:rsid w:val="00365B10"/>
    <w:rsid w:val="00366381"/>
    <w:rsid w:val="003670D3"/>
    <w:rsid w:val="00367FBC"/>
    <w:rsid w:val="00370FEC"/>
    <w:rsid w:val="00370FFD"/>
    <w:rsid w:val="003711F3"/>
    <w:rsid w:val="003712DB"/>
    <w:rsid w:val="00371D72"/>
    <w:rsid w:val="00371EFA"/>
    <w:rsid w:val="00371F9D"/>
    <w:rsid w:val="00372637"/>
    <w:rsid w:val="00372CAC"/>
    <w:rsid w:val="00373B20"/>
    <w:rsid w:val="00373D62"/>
    <w:rsid w:val="00373EB7"/>
    <w:rsid w:val="003743EC"/>
    <w:rsid w:val="00374F21"/>
    <w:rsid w:val="0037562A"/>
    <w:rsid w:val="003758AA"/>
    <w:rsid w:val="003761E8"/>
    <w:rsid w:val="00376BF8"/>
    <w:rsid w:val="00376F4C"/>
    <w:rsid w:val="00380573"/>
    <w:rsid w:val="00380C08"/>
    <w:rsid w:val="00380ED6"/>
    <w:rsid w:val="0038166D"/>
    <w:rsid w:val="00382324"/>
    <w:rsid w:val="00382906"/>
    <w:rsid w:val="0038460B"/>
    <w:rsid w:val="00384C4C"/>
    <w:rsid w:val="00384F96"/>
    <w:rsid w:val="0038559F"/>
    <w:rsid w:val="00385BC2"/>
    <w:rsid w:val="00386337"/>
    <w:rsid w:val="00386BE7"/>
    <w:rsid w:val="003874CB"/>
    <w:rsid w:val="00387950"/>
    <w:rsid w:val="00387A17"/>
    <w:rsid w:val="00387AF4"/>
    <w:rsid w:val="00390098"/>
    <w:rsid w:val="00391329"/>
    <w:rsid w:val="00392E52"/>
    <w:rsid w:val="003931F4"/>
    <w:rsid w:val="003933E8"/>
    <w:rsid w:val="00393F38"/>
    <w:rsid w:val="00394385"/>
    <w:rsid w:val="0039456A"/>
    <w:rsid w:val="00395A51"/>
    <w:rsid w:val="0039660E"/>
    <w:rsid w:val="00396862"/>
    <w:rsid w:val="003978A8"/>
    <w:rsid w:val="003A0042"/>
    <w:rsid w:val="003A00EF"/>
    <w:rsid w:val="003A020B"/>
    <w:rsid w:val="003A101C"/>
    <w:rsid w:val="003A10DC"/>
    <w:rsid w:val="003A2930"/>
    <w:rsid w:val="003A302D"/>
    <w:rsid w:val="003A3243"/>
    <w:rsid w:val="003A4994"/>
    <w:rsid w:val="003A49D7"/>
    <w:rsid w:val="003A49DB"/>
    <w:rsid w:val="003A4ABD"/>
    <w:rsid w:val="003A57BA"/>
    <w:rsid w:val="003A5D59"/>
    <w:rsid w:val="003A627B"/>
    <w:rsid w:val="003A63FA"/>
    <w:rsid w:val="003A6936"/>
    <w:rsid w:val="003A7077"/>
    <w:rsid w:val="003A7803"/>
    <w:rsid w:val="003A78BD"/>
    <w:rsid w:val="003A7D68"/>
    <w:rsid w:val="003B00FF"/>
    <w:rsid w:val="003B15D1"/>
    <w:rsid w:val="003B1BF5"/>
    <w:rsid w:val="003B267D"/>
    <w:rsid w:val="003B2F3F"/>
    <w:rsid w:val="003B32BD"/>
    <w:rsid w:val="003B3C13"/>
    <w:rsid w:val="003B3F5A"/>
    <w:rsid w:val="003B5A65"/>
    <w:rsid w:val="003B5BD6"/>
    <w:rsid w:val="003B65A1"/>
    <w:rsid w:val="003B7B9E"/>
    <w:rsid w:val="003C0882"/>
    <w:rsid w:val="003C0974"/>
    <w:rsid w:val="003C0AE1"/>
    <w:rsid w:val="003C1894"/>
    <w:rsid w:val="003C3230"/>
    <w:rsid w:val="003C3E8C"/>
    <w:rsid w:val="003C4EEE"/>
    <w:rsid w:val="003C533E"/>
    <w:rsid w:val="003C586D"/>
    <w:rsid w:val="003C5A1A"/>
    <w:rsid w:val="003C6217"/>
    <w:rsid w:val="003C679B"/>
    <w:rsid w:val="003C6CD8"/>
    <w:rsid w:val="003C7060"/>
    <w:rsid w:val="003C70DA"/>
    <w:rsid w:val="003C7226"/>
    <w:rsid w:val="003C74B5"/>
    <w:rsid w:val="003D09CA"/>
    <w:rsid w:val="003D1557"/>
    <w:rsid w:val="003D236A"/>
    <w:rsid w:val="003D2C6B"/>
    <w:rsid w:val="003D4844"/>
    <w:rsid w:val="003D61BA"/>
    <w:rsid w:val="003D7AC6"/>
    <w:rsid w:val="003D7BC7"/>
    <w:rsid w:val="003D7F21"/>
    <w:rsid w:val="003E0286"/>
    <w:rsid w:val="003E0778"/>
    <w:rsid w:val="003E1002"/>
    <w:rsid w:val="003E1492"/>
    <w:rsid w:val="003E1791"/>
    <w:rsid w:val="003E1887"/>
    <w:rsid w:val="003E3F71"/>
    <w:rsid w:val="003E5FB5"/>
    <w:rsid w:val="003E5FF9"/>
    <w:rsid w:val="003E6017"/>
    <w:rsid w:val="003F06E3"/>
    <w:rsid w:val="003F0FB9"/>
    <w:rsid w:val="003F2F33"/>
    <w:rsid w:val="003F3139"/>
    <w:rsid w:val="003F320F"/>
    <w:rsid w:val="003F35CC"/>
    <w:rsid w:val="003F415F"/>
    <w:rsid w:val="003F4344"/>
    <w:rsid w:val="003F4728"/>
    <w:rsid w:val="003F4A26"/>
    <w:rsid w:val="003F5AD4"/>
    <w:rsid w:val="003F6F04"/>
    <w:rsid w:val="00400177"/>
    <w:rsid w:val="0040023C"/>
    <w:rsid w:val="004004E5"/>
    <w:rsid w:val="0040103A"/>
    <w:rsid w:val="0040117A"/>
    <w:rsid w:val="00401F44"/>
    <w:rsid w:val="004024F2"/>
    <w:rsid w:val="0040384D"/>
    <w:rsid w:val="00404161"/>
    <w:rsid w:val="00404696"/>
    <w:rsid w:val="00404A6D"/>
    <w:rsid w:val="00406556"/>
    <w:rsid w:val="00406DC8"/>
    <w:rsid w:val="00407464"/>
    <w:rsid w:val="004075DF"/>
    <w:rsid w:val="00410E28"/>
    <w:rsid w:val="00411A76"/>
    <w:rsid w:val="004125BA"/>
    <w:rsid w:val="00412644"/>
    <w:rsid w:val="00412BF4"/>
    <w:rsid w:val="00412D88"/>
    <w:rsid w:val="00414B60"/>
    <w:rsid w:val="00414EDC"/>
    <w:rsid w:val="004157AB"/>
    <w:rsid w:val="00416976"/>
    <w:rsid w:val="00417FDE"/>
    <w:rsid w:val="004206D2"/>
    <w:rsid w:val="0042070B"/>
    <w:rsid w:val="00420831"/>
    <w:rsid w:val="00421794"/>
    <w:rsid w:val="00421F1C"/>
    <w:rsid w:val="00422F15"/>
    <w:rsid w:val="004231C4"/>
    <w:rsid w:val="004248A4"/>
    <w:rsid w:val="00425ECE"/>
    <w:rsid w:val="00425F5D"/>
    <w:rsid w:val="004262D4"/>
    <w:rsid w:val="0042715A"/>
    <w:rsid w:val="00430041"/>
    <w:rsid w:val="00431052"/>
    <w:rsid w:val="00431A6C"/>
    <w:rsid w:val="004325C3"/>
    <w:rsid w:val="0043262D"/>
    <w:rsid w:val="004327F4"/>
    <w:rsid w:val="004335A9"/>
    <w:rsid w:val="00434473"/>
    <w:rsid w:val="00434485"/>
    <w:rsid w:val="00434619"/>
    <w:rsid w:val="00434708"/>
    <w:rsid w:val="00434DAD"/>
    <w:rsid w:val="004351C3"/>
    <w:rsid w:val="00435796"/>
    <w:rsid w:val="004357BC"/>
    <w:rsid w:val="00435DD2"/>
    <w:rsid w:val="00436159"/>
    <w:rsid w:val="0043654A"/>
    <w:rsid w:val="00436E9F"/>
    <w:rsid w:val="0044005F"/>
    <w:rsid w:val="004400F8"/>
    <w:rsid w:val="00440A1E"/>
    <w:rsid w:val="00440E31"/>
    <w:rsid w:val="00441025"/>
    <w:rsid w:val="00441170"/>
    <w:rsid w:val="00442086"/>
    <w:rsid w:val="00442421"/>
    <w:rsid w:val="0044262B"/>
    <w:rsid w:val="0044313B"/>
    <w:rsid w:val="00443A88"/>
    <w:rsid w:val="00446A30"/>
    <w:rsid w:val="00446D48"/>
    <w:rsid w:val="0044729F"/>
    <w:rsid w:val="00447863"/>
    <w:rsid w:val="00447D19"/>
    <w:rsid w:val="00450C00"/>
    <w:rsid w:val="00451E81"/>
    <w:rsid w:val="00452079"/>
    <w:rsid w:val="00452485"/>
    <w:rsid w:val="004530A9"/>
    <w:rsid w:val="004534E1"/>
    <w:rsid w:val="004538A5"/>
    <w:rsid w:val="00453E17"/>
    <w:rsid w:val="00454738"/>
    <w:rsid w:val="00454F1C"/>
    <w:rsid w:val="00456685"/>
    <w:rsid w:val="0045757B"/>
    <w:rsid w:val="004604F2"/>
    <w:rsid w:val="00460CD5"/>
    <w:rsid w:val="004616D9"/>
    <w:rsid w:val="0046261A"/>
    <w:rsid w:val="00462DDD"/>
    <w:rsid w:val="00462E2B"/>
    <w:rsid w:val="004633DF"/>
    <w:rsid w:val="0046366F"/>
    <w:rsid w:val="0046377B"/>
    <w:rsid w:val="00465105"/>
    <w:rsid w:val="004662A6"/>
    <w:rsid w:val="00466B2E"/>
    <w:rsid w:val="00466F76"/>
    <w:rsid w:val="004672B1"/>
    <w:rsid w:val="0046745D"/>
    <w:rsid w:val="0046772C"/>
    <w:rsid w:val="00467B0C"/>
    <w:rsid w:val="00470107"/>
    <w:rsid w:val="004707F5"/>
    <w:rsid w:val="00471A82"/>
    <w:rsid w:val="00472071"/>
    <w:rsid w:val="00472896"/>
    <w:rsid w:val="00472CF1"/>
    <w:rsid w:val="00473541"/>
    <w:rsid w:val="00473F50"/>
    <w:rsid w:val="0047502D"/>
    <w:rsid w:val="004754AC"/>
    <w:rsid w:val="00475527"/>
    <w:rsid w:val="00475ECA"/>
    <w:rsid w:val="004764A0"/>
    <w:rsid w:val="00476CA8"/>
    <w:rsid w:val="00476E95"/>
    <w:rsid w:val="00477A93"/>
    <w:rsid w:val="0048009E"/>
    <w:rsid w:val="004809B1"/>
    <w:rsid w:val="00480B69"/>
    <w:rsid w:val="00481497"/>
    <w:rsid w:val="00482369"/>
    <w:rsid w:val="00482E69"/>
    <w:rsid w:val="004831F1"/>
    <w:rsid w:val="00483C5A"/>
    <w:rsid w:val="004849F1"/>
    <w:rsid w:val="004852E4"/>
    <w:rsid w:val="00485A63"/>
    <w:rsid w:val="004866F9"/>
    <w:rsid w:val="004903E1"/>
    <w:rsid w:val="00490421"/>
    <w:rsid w:val="004904B2"/>
    <w:rsid w:val="004910C7"/>
    <w:rsid w:val="0049110F"/>
    <w:rsid w:val="004931F3"/>
    <w:rsid w:val="00493E50"/>
    <w:rsid w:val="00494024"/>
    <w:rsid w:val="004945A6"/>
    <w:rsid w:val="004947FD"/>
    <w:rsid w:val="00494DA4"/>
    <w:rsid w:val="00495658"/>
    <w:rsid w:val="004965C6"/>
    <w:rsid w:val="004966D2"/>
    <w:rsid w:val="00496840"/>
    <w:rsid w:val="0049705D"/>
    <w:rsid w:val="0049782A"/>
    <w:rsid w:val="004A2D7F"/>
    <w:rsid w:val="004A30FB"/>
    <w:rsid w:val="004A4467"/>
    <w:rsid w:val="004A4A1C"/>
    <w:rsid w:val="004A4FE1"/>
    <w:rsid w:val="004A5023"/>
    <w:rsid w:val="004A6167"/>
    <w:rsid w:val="004A6494"/>
    <w:rsid w:val="004A6690"/>
    <w:rsid w:val="004A7194"/>
    <w:rsid w:val="004A74A3"/>
    <w:rsid w:val="004A74D2"/>
    <w:rsid w:val="004A786E"/>
    <w:rsid w:val="004B08BD"/>
    <w:rsid w:val="004B0C30"/>
    <w:rsid w:val="004B1F9C"/>
    <w:rsid w:val="004B2223"/>
    <w:rsid w:val="004B520B"/>
    <w:rsid w:val="004B5C8B"/>
    <w:rsid w:val="004B78F7"/>
    <w:rsid w:val="004C1206"/>
    <w:rsid w:val="004C152E"/>
    <w:rsid w:val="004C1DB0"/>
    <w:rsid w:val="004C22AE"/>
    <w:rsid w:val="004C30BF"/>
    <w:rsid w:val="004C30E9"/>
    <w:rsid w:val="004C72A3"/>
    <w:rsid w:val="004C764F"/>
    <w:rsid w:val="004D0BE9"/>
    <w:rsid w:val="004D19CD"/>
    <w:rsid w:val="004D1D1D"/>
    <w:rsid w:val="004D1D48"/>
    <w:rsid w:val="004D2839"/>
    <w:rsid w:val="004D2B06"/>
    <w:rsid w:val="004D2C1B"/>
    <w:rsid w:val="004D2D81"/>
    <w:rsid w:val="004D335B"/>
    <w:rsid w:val="004D3883"/>
    <w:rsid w:val="004D4FDF"/>
    <w:rsid w:val="004D52D0"/>
    <w:rsid w:val="004D588E"/>
    <w:rsid w:val="004D5E04"/>
    <w:rsid w:val="004D645D"/>
    <w:rsid w:val="004D71F1"/>
    <w:rsid w:val="004E0254"/>
    <w:rsid w:val="004E06F0"/>
    <w:rsid w:val="004E0A8D"/>
    <w:rsid w:val="004E10A2"/>
    <w:rsid w:val="004E14DD"/>
    <w:rsid w:val="004E1829"/>
    <w:rsid w:val="004E18F4"/>
    <w:rsid w:val="004E1F87"/>
    <w:rsid w:val="004E22CD"/>
    <w:rsid w:val="004E362B"/>
    <w:rsid w:val="004E38B3"/>
    <w:rsid w:val="004E3B0D"/>
    <w:rsid w:val="004E4691"/>
    <w:rsid w:val="004E6297"/>
    <w:rsid w:val="004E6803"/>
    <w:rsid w:val="004E6AE8"/>
    <w:rsid w:val="004E770D"/>
    <w:rsid w:val="004E7D94"/>
    <w:rsid w:val="004F10E4"/>
    <w:rsid w:val="004F1570"/>
    <w:rsid w:val="004F2D42"/>
    <w:rsid w:val="004F41C2"/>
    <w:rsid w:val="004F500B"/>
    <w:rsid w:val="004F51E5"/>
    <w:rsid w:val="004F669D"/>
    <w:rsid w:val="004F757C"/>
    <w:rsid w:val="005006C0"/>
    <w:rsid w:val="00500830"/>
    <w:rsid w:val="00500FDB"/>
    <w:rsid w:val="005013F9"/>
    <w:rsid w:val="0050141E"/>
    <w:rsid w:val="00501628"/>
    <w:rsid w:val="00501F6A"/>
    <w:rsid w:val="00504FC5"/>
    <w:rsid w:val="00505488"/>
    <w:rsid w:val="00505A0C"/>
    <w:rsid w:val="00506418"/>
    <w:rsid w:val="00506CE3"/>
    <w:rsid w:val="005077E4"/>
    <w:rsid w:val="00510331"/>
    <w:rsid w:val="00510FB1"/>
    <w:rsid w:val="005122BC"/>
    <w:rsid w:val="005123CC"/>
    <w:rsid w:val="00513284"/>
    <w:rsid w:val="005132B4"/>
    <w:rsid w:val="0051409D"/>
    <w:rsid w:val="00514A4F"/>
    <w:rsid w:val="00514F98"/>
    <w:rsid w:val="00515100"/>
    <w:rsid w:val="00515909"/>
    <w:rsid w:val="00516045"/>
    <w:rsid w:val="005160EF"/>
    <w:rsid w:val="0051632F"/>
    <w:rsid w:val="00517CD5"/>
    <w:rsid w:val="0052043E"/>
    <w:rsid w:val="005222CB"/>
    <w:rsid w:val="00523076"/>
    <w:rsid w:val="00523356"/>
    <w:rsid w:val="00523EC4"/>
    <w:rsid w:val="005241E2"/>
    <w:rsid w:val="005241E6"/>
    <w:rsid w:val="0052437F"/>
    <w:rsid w:val="00524A75"/>
    <w:rsid w:val="00524F04"/>
    <w:rsid w:val="00526CEA"/>
    <w:rsid w:val="00526DAF"/>
    <w:rsid w:val="00527510"/>
    <w:rsid w:val="005307EB"/>
    <w:rsid w:val="00532C80"/>
    <w:rsid w:val="00533F87"/>
    <w:rsid w:val="005347D6"/>
    <w:rsid w:val="00534AD1"/>
    <w:rsid w:val="00535F60"/>
    <w:rsid w:val="005360A5"/>
    <w:rsid w:val="00536795"/>
    <w:rsid w:val="0053744A"/>
    <w:rsid w:val="005401AF"/>
    <w:rsid w:val="00540D21"/>
    <w:rsid w:val="00540E8F"/>
    <w:rsid w:val="00541030"/>
    <w:rsid w:val="0054142B"/>
    <w:rsid w:val="005415C9"/>
    <w:rsid w:val="0054389A"/>
    <w:rsid w:val="00543A6E"/>
    <w:rsid w:val="00543A87"/>
    <w:rsid w:val="005440D2"/>
    <w:rsid w:val="00546024"/>
    <w:rsid w:val="0054635A"/>
    <w:rsid w:val="00547679"/>
    <w:rsid w:val="005477A5"/>
    <w:rsid w:val="00547CEA"/>
    <w:rsid w:val="005500C7"/>
    <w:rsid w:val="0055055A"/>
    <w:rsid w:val="00550FE9"/>
    <w:rsid w:val="005512EB"/>
    <w:rsid w:val="0055187F"/>
    <w:rsid w:val="00552AC7"/>
    <w:rsid w:val="00552F66"/>
    <w:rsid w:val="0055306A"/>
    <w:rsid w:val="005548E4"/>
    <w:rsid w:val="00554AC2"/>
    <w:rsid w:val="00554E4D"/>
    <w:rsid w:val="00555DFA"/>
    <w:rsid w:val="00556851"/>
    <w:rsid w:val="00556C69"/>
    <w:rsid w:val="0055723A"/>
    <w:rsid w:val="00557B45"/>
    <w:rsid w:val="00557D5A"/>
    <w:rsid w:val="00560007"/>
    <w:rsid w:val="00560385"/>
    <w:rsid w:val="00561814"/>
    <w:rsid w:val="00561888"/>
    <w:rsid w:val="00562DD5"/>
    <w:rsid w:val="005640BD"/>
    <w:rsid w:val="00564AC9"/>
    <w:rsid w:val="0056532C"/>
    <w:rsid w:val="00565DE8"/>
    <w:rsid w:val="00566791"/>
    <w:rsid w:val="005668A6"/>
    <w:rsid w:val="00567D67"/>
    <w:rsid w:val="005709EE"/>
    <w:rsid w:val="00570AC8"/>
    <w:rsid w:val="00571913"/>
    <w:rsid w:val="00571A27"/>
    <w:rsid w:val="00572177"/>
    <w:rsid w:val="005726F6"/>
    <w:rsid w:val="00573B22"/>
    <w:rsid w:val="005740A1"/>
    <w:rsid w:val="005744B9"/>
    <w:rsid w:val="00574834"/>
    <w:rsid w:val="00581DFA"/>
    <w:rsid w:val="0058214C"/>
    <w:rsid w:val="00583493"/>
    <w:rsid w:val="00583A4E"/>
    <w:rsid w:val="00583C33"/>
    <w:rsid w:val="00583C91"/>
    <w:rsid w:val="00583D02"/>
    <w:rsid w:val="00584A04"/>
    <w:rsid w:val="0058561A"/>
    <w:rsid w:val="0058641E"/>
    <w:rsid w:val="0058671E"/>
    <w:rsid w:val="00586E29"/>
    <w:rsid w:val="00587299"/>
    <w:rsid w:val="005901B5"/>
    <w:rsid w:val="00590FA5"/>
    <w:rsid w:val="0059197D"/>
    <w:rsid w:val="0059209A"/>
    <w:rsid w:val="00592BDF"/>
    <w:rsid w:val="00592CFA"/>
    <w:rsid w:val="00594126"/>
    <w:rsid w:val="00594F51"/>
    <w:rsid w:val="00595A75"/>
    <w:rsid w:val="005964AB"/>
    <w:rsid w:val="005965E9"/>
    <w:rsid w:val="0059703C"/>
    <w:rsid w:val="005A0CE7"/>
    <w:rsid w:val="005A10CE"/>
    <w:rsid w:val="005A1545"/>
    <w:rsid w:val="005A15A9"/>
    <w:rsid w:val="005A1933"/>
    <w:rsid w:val="005A1ED4"/>
    <w:rsid w:val="005A2007"/>
    <w:rsid w:val="005A2629"/>
    <w:rsid w:val="005A438A"/>
    <w:rsid w:val="005A44BD"/>
    <w:rsid w:val="005A5656"/>
    <w:rsid w:val="005A636E"/>
    <w:rsid w:val="005A67FA"/>
    <w:rsid w:val="005A6B99"/>
    <w:rsid w:val="005A6DFA"/>
    <w:rsid w:val="005A79A0"/>
    <w:rsid w:val="005B02B9"/>
    <w:rsid w:val="005B05AC"/>
    <w:rsid w:val="005B0B22"/>
    <w:rsid w:val="005B0DE5"/>
    <w:rsid w:val="005B13DA"/>
    <w:rsid w:val="005B2304"/>
    <w:rsid w:val="005B2C8A"/>
    <w:rsid w:val="005B5960"/>
    <w:rsid w:val="005B7301"/>
    <w:rsid w:val="005B788B"/>
    <w:rsid w:val="005C2669"/>
    <w:rsid w:val="005C2EED"/>
    <w:rsid w:val="005C3334"/>
    <w:rsid w:val="005C3F62"/>
    <w:rsid w:val="005C48F9"/>
    <w:rsid w:val="005C5747"/>
    <w:rsid w:val="005C57EA"/>
    <w:rsid w:val="005C5D6C"/>
    <w:rsid w:val="005C6A0A"/>
    <w:rsid w:val="005C7703"/>
    <w:rsid w:val="005C79E0"/>
    <w:rsid w:val="005C7B06"/>
    <w:rsid w:val="005D03EA"/>
    <w:rsid w:val="005D07C3"/>
    <w:rsid w:val="005D0B2F"/>
    <w:rsid w:val="005D0C96"/>
    <w:rsid w:val="005D1660"/>
    <w:rsid w:val="005D27CA"/>
    <w:rsid w:val="005D3480"/>
    <w:rsid w:val="005D3A26"/>
    <w:rsid w:val="005D4171"/>
    <w:rsid w:val="005D5563"/>
    <w:rsid w:val="005D5BAA"/>
    <w:rsid w:val="005D5F63"/>
    <w:rsid w:val="005D61B8"/>
    <w:rsid w:val="005D64DA"/>
    <w:rsid w:val="005D6B8D"/>
    <w:rsid w:val="005D6D15"/>
    <w:rsid w:val="005D715D"/>
    <w:rsid w:val="005D78D1"/>
    <w:rsid w:val="005D7A4C"/>
    <w:rsid w:val="005E1AA5"/>
    <w:rsid w:val="005E1C9B"/>
    <w:rsid w:val="005E354D"/>
    <w:rsid w:val="005E36FF"/>
    <w:rsid w:val="005E48DA"/>
    <w:rsid w:val="005E64F9"/>
    <w:rsid w:val="005E6CD9"/>
    <w:rsid w:val="005F1628"/>
    <w:rsid w:val="005F1BBF"/>
    <w:rsid w:val="005F2656"/>
    <w:rsid w:val="005F2838"/>
    <w:rsid w:val="005F29B3"/>
    <w:rsid w:val="005F37D6"/>
    <w:rsid w:val="005F4012"/>
    <w:rsid w:val="005F41D2"/>
    <w:rsid w:val="005F5017"/>
    <w:rsid w:val="005F55A7"/>
    <w:rsid w:val="005F57C0"/>
    <w:rsid w:val="005F60E3"/>
    <w:rsid w:val="005F70FC"/>
    <w:rsid w:val="005F742A"/>
    <w:rsid w:val="005F7B25"/>
    <w:rsid w:val="0060002E"/>
    <w:rsid w:val="00600B22"/>
    <w:rsid w:val="00601E6A"/>
    <w:rsid w:val="00602044"/>
    <w:rsid w:val="006020D3"/>
    <w:rsid w:val="00603B9C"/>
    <w:rsid w:val="00603DF9"/>
    <w:rsid w:val="006071F7"/>
    <w:rsid w:val="00607F32"/>
    <w:rsid w:val="00610135"/>
    <w:rsid w:val="00611114"/>
    <w:rsid w:val="006131BC"/>
    <w:rsid w:val="0061331B"/>
    <w:rsid w:val="00613FAB"/>
    <w:rsid w:val="00615589"/>
    <w:rsid w:val="00616A73"/>
    <w:rsid w:val="00616FB4"/>
    <w:rsid w:val="006175B1"/>
    <w:rsid w:val="00620677"/>
    <w:rsid w:val="00620ADA"/>
    <w:rsid w:val="00621FA2"/>
    <w:rsid w:val="00622531"/>
    <w:rsid w:val="00622915"/>
    <w:rsid w:val="00624633"/>
    <w:rsid w:val="006266C8"/>
    <w:rsid w:val="00627573"/>
    <w:rsid w:val="006275A8"/>
    <w:rsid w:val="00630D65"/>
    <w:rsid w:val="00631FD8"/>
    <w:rsid w:val="00633EEF"/>
    <w:rsid w:val="00633F27"/>
    <w:rsid w:val="00634DB7"/>
    <w:rsid w:val="00635D84"/>
    <w:rsid w:val="00635D8B"/>
    <w:rsid w:val="00635E98"/>
    <w:rsid w:val="00636665"/>
    <w:rsid w:val="00637001"/>
    <w:rsid w:val="0063719F"/>
    <w:rsid w:val="00637699"/>
    <w:rsid w:val="006403B9"/>
    <w:rsid w:val="00640663"/>
    <w:rsid w:val="006407C5"/>
    <w:rsid w:val="006408DE"/>
    <w:rsid w:val="00640E00"/>
    <w:rsid w:val="0064263B"/>
    <w:rsid w:val="00642CDE"/>
    <w:rsid w:val="00644C03"/>
    <w:rsid w:val="0064692F"/>
    <w:rsid w:val="00646EA1"/>
    <w:rsid w:val="00647ACE"/>
    <w:rsid w:val="006501BC"/>
    <w:rsid w:val="00650F97"/>
    <w:rsid w:val="00651D2D"/>
    <w:rsid w:val="00651D8E"/>
    <w:rsid w:val="00651EF4"/>
    <w:rsid w:val="00651F22"/>
    <w:rsid w:val="00652046"/>
    <w:rsid w:val="0065399D"/>
    <w:rsid w:val="00653A7B"/>
    <w:rsid w:val="00654C69"/>
    <w:rsid w:val="00654E0B"/>
    <w:rsid w:val="00657573"/>
    <w:rsid w:val="00657629"/>
    <w:rsid w:val="006576EB"/>
    <w:rsid w:val="00657A8A"/>
    <w:rsid w:val="00660852"/>
    <w:rsid w:val="0066087B"/>
    <w:rsid w:val="006618FC"/>
    <w:rsid w:val="00661F18"/>
    <w:rsid w:val="00662010"/>
    <w:rsid w:val="00663181"/>
    <w:rsid w:val="0066402E"/>
    <w:rsid w:val="00664388"/>
    <w:rsid w:val="0066493A"/>
    <w:rsid w:val="00664E39"/>
    <w:rsid w:val="00664EB3"/>
    <w:rsid w:val="006651E1"/>
    <w:rsid w:val="00666446"/>
    <w:rsid w:val="0066653B"/>
    <w:rsid w:val="00666A04"/>
    <w:rsid w:val="006671B9"/>
    <w:rsid w:val="00667459"/>
    <w:rsid w:val="00667511"/>
    <w:rsid w:val="00667802"/>
    <w:rsid w:val="00671250"/>
    <w:rsid w:val="00671A53"/>
    <w:rsid w:val="00672722"/>
    <w:rsid w:val="0067281A"/>
    <w:rsid w:val="006738A6"/>
    <w:rsid w:val="00673A2E"/>
    <w:rsid w:val="00673F43"/>
    <w:rsid w:val="00674782"/>
    <w:rsid w:val="006749EA"/>
    <w:rsid w:val="00674CA5"/>
    <w:rsid w:val="00675121"/>
    <w:rsid w:val="00675F17"/>
    <w:rsid w:val="006763AD"/>
    <w:rsid w:val="00677D08"/>
    <w:rsid w:val="00680D50"/>
    <w:rsid w:val="006818A2"/>
    <w:rsid w:val="00681955"/>
    <w:rsid w:val="006819BD"/>
    <w:rsid w:val="00681ECC"/>
    <w:rsid w:val="00683E68"/>
    <w:rsid w:val="00684DF5"/>
    <w:rsid w:val="0068582B"/>
    <w:rsid w:val="00685C4D"/>
    <w:rsid w:val="00685F77"/>
    <w:rsid w:val="00686A58"/>
    <w:rsid w:val="00686D01"/>
    <w:rsid w:val="00687F09"/>
    <w:rsid w:val="006920DB"/>
    <w:rsid w:val="00693022"/>
    <w:rsid w:val="0069435E"/>
    <w:rsid w:val="006944AE"/>
    <w:rsid w:val="006955A0"/>
    <w:rsid w:val="00695F4E"/>
    <w:rsid w:val="00696962"/>
    <w:rsid w:val="00696BA3"/>
    <w:rsid w:val="00697DB6"/>
    <w:rsid w:val="00697E4F"/>
    <w:rsid w:val="006A0540"/>
    <w:rsid w:val="006A085F"/>
    <w:rsid w:val="006A1DB4"/>
    <w:rsid w:val="006A3228"/>
    <w:rsid w:val="006A49F1"/>
    <w:rsid w:val="006A54E6"/>
    <w:rsid w:val="006A5627"/>
    <w:rsid w:val="006A68ED"/>
    <w:rsid w:val="006B0E99"/>
    <w:rsid w:val="006B1325"/>
    <w:rsid w:val="006B1408"/>
    <w:rsid w:val="006B23D1"/>
    <w:rsid w:val="006B4447"/>
    <w:rsid w:val="006B4BA7"/>
    <w:rsid w:val="006B522F"/>
    <w:rsid w:val="006C01FA"/>
    <w:rsid w:val="006C1867"/>
    <w:rsid w:val="006C2F1A"/>
    <w:rsid w:val="006C32CA"/>
    <w:rsid w:val="006C3EF7"/>
    <w:rsid w:val="006C40F3"/>
    <w:rsid w:val="006C48F7"/>
    <w:rsid w:val="006C4C81"/>
    <w:rsid w:val="006C56C2"/>
    <w:rsid w:val="006C5A81"/>
    <w:rsid w:val="006C6052"/>
    <w:rsid w:val="006C6BDB"/>
    <w:rsid w:val="006D08DB"/>
    <w:rsid w:val="006D0971"/>
    <w:rsid w:val="006D0C67"/>
    <w:rsid w:val="006D13E1"/>
    <w:rsid w:val="006D15F1"/>
    <w:rsid w:val="006D1C6A"/>
    <w:rsid w:val="006D3FD4"/>
    <w:rsid w:val="006D4808"/>
    <w:rsid w:val="006D5044"/>
    <w:rsid w:val="006D794E"/>
    <w:rsid w:val="006E176A"/>
    <w:rsid w:val="006E1794"/>
    <w:rsid w:val="006E2294"/>
    <w:rsid w:val="006E2AAA"/>
    <w:rsid w:val="006E3126"/>
    <w:rsid w:val="006E32EC"/>
    <w:rsid w:val="006E33B8"/>
    <w:rsid w:val="006E3FB9"/>
    <w:rsid w:val="006E406D"/>
    <w:rsid w:val="006E41A3"/>
    <w:rsid w:val="006E5644"/>
    <w:rsid w:val="006E59CC"/>
    <w:rsid w:val="006E6C7F"/>
    <w:rsid w:val="006F0BB5"/>
    <w:rsid w:val="006F0D8C"/>
    <w:rsid w:val="006F16B3"/>
    <w:rsid w:val="006F1B33"/>
    <w:rsid w:val="006F1D2C"/>
    <w:rsid w:val="006F29F4"/>
    <w:rsid w:val="006F3338"/>
    <w:rsid w:val="006F340F"/>
    <w:rsid w:val="006F3BA9"/>
    <w:rsid w:val="006F3C01"/>
    <w:rsid w:val="006F48E8"/>
    <w:rsid w:val="006F5581"/>
    <w:rsid w:val="006F5920"/>
    <w:rsid w:val="006F63FA"/>
    <w:rsid w:val="006F7438"/>
    <w:rsid w:val="006F75F8"/>
    <w:rsid w:val="006F7D18"/>
    <w:rsid w:val="007002A3"/>
    <w:rsid w:val="00700676"/>
    <w:rsid w:val="007010E9"/>
    <w:rsid w:val="007011F8"/>
    <w:rsid w:val="00701B9F"/>
    <w:rsid w:val="00702789"/>
    <w:rsid w:val="00702953"/>
    <w:rsid w:val="00703A15"/>
    <w:rsid w:val="00703BE7"/>
    <w:rsid w:val="00703D08"/>
    <w:rsid w:val="00703E7C"/>
    <w:rsid w:val="00703F6F"/>
    <w:rsid w:val="007043EE"/>
    <w:rsid w:val="00704430"/>
    <w:rsid w:val="007053D5"/>
    <w:rsid w:val="00706080"/>
    <w:rsid w:val="0070711E"/>
    <w:rsid w:val="00707BE7"/>
    <w:rsid w:val="00711413"/>
    <w:rsid w:val="007118A6"/>
    <w:rsid w:val="00711B2F"/>
    <w:rsid w:val="00711C78"/>
    <w:rsid w:val="00714BD5"/>
    <w:rsid w:val="00716025"/>
    <w:rsid w:val="0071630E"/>
    <w:rsid w:val="00717C60"/>
    <w:rsid w:val="00717CB6"/>
    <w:rsid w:val="00720135"/>
    <w:rsid w:val="00720BE1"/>
    <w:rsid w:val="00720DC7"/>
    <w:rsid w:val="00721977"/>
    <w:rsid w:val="00723305"/>
    <w:rsid w:val="00723442"/>
    <w:rsid w:val="00723DB7"/>
    <w:rsid w:val="00724B29"/>
    <w:rsid w:val="00726C7E"/>
    <w:rsid w:val="007270A8"/>
    <w:rsid w:val="00727BDB"/>
    <w:rsid w:val="00727D3D"/>
    <w:rsid w:val="00730414"/>
    <w:rsid w:val="00730E9C"/>
    <w:rsid w:val="00731222"/>
    <w:rsid w:val="00731E10"/>
    <w:rsid w:val="00732F68"/>
    <w:rsid w:val="00735554"/>
    <w:rsid w:val="0073571A"/>
    <w:rsid w:val="0073579D"/>
    <w:rsid w:val="00735FE9"/>
    <w:rsid w:val="0073694F"/>
    <w:rsid w:val="00737FAA"/>
    <w:rsid w:val="00741669"/>
    <w:rsid w:val="007416EA"/>
    <w:rsid w:val="00741739"/>
    <w:rsid w:val="00742001"/>
    <w:rsid w:val="00742219"/>
    <w:rsid w:val="00742B4A"/>
    <w:rsid w:val="0074415A"/>
    <w:rsid w:val="00745A9D"/>
    <w:rsid w:val="00745D01"/>
    <w:rsid w:val="0074636C"/>
    <w:rsid w:val="0074641A"/>
    <w:rsid w:val="00746421"/>
    <w:rsid w:val="00746E5D"/>
    <w:rsid w:val="007478FF"/>
    <w:rsid w:val="007508A6"/>
    <w:rsid w:val="00750ABF"/>
    <w:rsid w:val="007510D4"/>
    <w:rsid w:val="007525BB"/>
    <w:rsid w:val="00752633"/>
    <w:rsid w:val="00752AFF"/>
    <w:rsid w:val="00752DA9"/>
    <w:rsid w:val="007534B6"/>
    <w:rsid w:val="0075404A"/>
    <w:rsid w:val="0075715F"/>
    <w:rsid w:val="007577CB"/>
    <w:rsid w:val="00760031"/>
    <w:rsid w:val="00760815"/>
    <w:rsid w:val="007610EF"/>
    <w:rsid w:val="00761215"/>
    <w:rsid w:val="00761EE0"/>
    <w:rsid w:val="0076271C"/>
    <w:rsid w:val="00762A7F"/>
    <w:rsid w:val="0076430D"/>
    <w:rsid w:val="007671E8"/>
    <w:rsid w:val="00770BD7"/>
    <w:rsid w:val="007710A2"/>
    <w:rsid w:val="00771EAE"/>
    <w:rsid w:val="007729E2"/>
    <w:rsid w:val="007730C0"/>
    <w:rsid w:val="007732A6"/>
    <w:rsid w:val="00775728"/>
    <w:rsid w:val="00775ACC"/>
    <w:rsid w:val="00775E14"/>
    <w:rsid w:val="007760C5"/>
    <w:rsid w:val="007764D7"/>
    <w:rsid w:val="007769E9"/>
    <w:rsid w:val="00776DD9"/>
    <w:rsid w:val="00777639"/>
    <w:rsid w:val="0078028B"/>
    <w:rsid w:val="0078076D"/>
    <w:rsid w:val="00780B3E"/>
    <w:rsid w:val="00781256"/>
    <w:rsid w:val="00781A23"/>
    <w:rsid w:val="00783F89"/>
    <w:rsid w:val="00784DDC"/>
    <w:rsid w:val="007855A8"/>
    <w:rsid w:val="007864A3"/>
    <w:rsid w:val="00786AFA"/>
    <w:rsid w:val="00787A59"/>
    <w:rsid w:val="00790F48"/>
    <w:rsid w:val="00792161"/>
    <w:rsid w:val="00792BCD"/>
    <w:rsid w:val="007931AD"/>
    <w:rsid w:val="0079320A"/>
    <w:rsid w:val="00793404"/>
    <w:rsid w:val="00793886"/>
    <w:rsid w:val="007944C1"/>
    <w:rsid w:val="007947C9"/>
    <w:rsid w:val="00795B11"/>
    <w:rsid w:val="007964DA"/>
    <w:rsid w:val="00796C8F"/>
    <w:rsid w:val="00797026"/>
    <w:rsid w:val="00797F01"/>
    <w:rsid w:val="007A09E4"/>
    <w:rsid w:val="007A0C39"/>
    <w:rsid w:val="007A0EFD"/>
    <w:rsid w:val="007A144D"/>
    <w:rsid w:val="007A1574"/>
    <w:rsid w:val="007A28B4"/>
    <w:rsid w:val="007A425A"/>
    <w:rsid w:val="007A4ED0"/>
    <w:rsid w:val="007A57A6"/>
    <w:rsid w:val="007A6945"/>
    <w:rsid w:val="007A6BA0"/>
    <w:rsid w:val="007A7A38"/>
    <w:rsid w:val="007A7D94"/>
    <w:rsid w:val="007B0A44"/>
    <w:rsid w:val="007B0C05"/>
    <w:rsid w:val="007B0D6D"/>
    <w:rsid w:val="007B0E3F"/>
    <w:rsid w:val="007B1ABB"/>
    <w:rsid w:val="007B22BA"/>
    <w:rsid w:val="007B2BE4"/>
    <w:rsid w:val="007B371B"/>
    <w:rsid w:val="007B47F5"/>
    <w:rsid w:val="007B4F4E"/>
    <w:rsid w:val="007B52A4"/>
    <w:rsid w:val="007B5F1A"/>
    <w:rsid w:val="007B622E"/>
    <w:rsid w:val="007C0271"/>
    <w:rsid w:val="007C052D"/>
    <w:rsid w:val="007C1053"/>
    <w:rsid w:val="007C218E"/>
    <w:rsid w:val="007C24A1"/>
    <w:rsid w:val="007C40BB"/>
    <w:rsid w:val="007C43BA"/>
    <w:rsid w:val="007C4E99"/>
    <w:rsid w:val="007C51E8"/>
    <w:rsid w:val="007C54E9"/>
    <w:rsid w:val="007C55AC"/>
    <w:rsid w:val="007C5C1F"/>
    <w:rsid w:val="007C5E95"/>
    <w:rsid w:val="007C5E96"/>
    <w:rsid w:val="007C683B"/>
    <w:rsid w:val="007D0971"/>
    <w:rsid w:val="007D1884"/>
    <w:rsid w:val="007D19EC"/>
    <w:rsid w:val="007D1A62"/>
    <w:rsid w:val="007D1CDB"/>
    <w:rsid w:val="007D1E66"/>
    <w:rsid w:val="007D24CE"/>
    <w:rsid w:val="007D26A2"/>
    <w:rsid w:val="007D2B45"/>
    <w:rsid w:val="007D3910"/>
    <w:rsid w:val="007D3E70"/>
    <w:rsid w:val="007D43D6"/>
    <w:rsid w:val="007D4EB9"/>
    <w:rsid w:val="007D533D"/>
    <w:rsid w:val="007D59F1"/>
    <w:rsid w:val="007D5D8B"/>
    <w:rsid w:val="007D6288"/>
    <w:rsid w:val="007D636A"/>
    <w:rsid w:val="007D7597"/>
    <w:rsid w:val="007D7BA7"/>
    <w:rsid w:val="007E02A1"/>
    <w:rsid w:val="007E09DD"/>
    <w:rsid w:val="007E0EE3"/>
    <w:rsid w:val="007E0F5F"/>
    <w:rsid w:val="007E39BD"/>
    <w:rsid w:val="007E3E83"/>
    <w:rsid w:val="007E4417"/>
    <w:rsid w:val="007E500D"/>
    <w:rsid w:val="007E526A"/>
    <w:rsid w:val="007E56AE"/>
    <w:rsid w:val="007E67C1"/>
    <w:rsid w:val="007E751D"/>
    <w:rsid w:val="007F04DF"/>
    <w:rsid w:val="007F087D"/>
    <w:rsid w:val="007F0DB3"/>
    <w:rsid w:val="007F0FA4"/>
    <w:rsid w:val="007F1D8D"/>
    <w:rsid w:val="007F2161"/>
    <w:rsid w:val="007F2EE3"/>
    <w:rsid w:val="007F4C47"/>
    <w:rsid w:val="007F6D67"/>
    <w:rsid w:val="007F7418"/>
    <w:rsid w:val="007F778D"/>
    <w:rsid w:val="007F7D33"/>
    <w:rsid w:val="007F7ECF"/>
    <w:rsid w:val="007F7FE1"/>
    <w:rsid w:val="00801F59"/>
    <w:rsid w:val="00801FCD"/>
    <w:rsid w:val="008026D7"/>
    <w:rsid w:val="00803863"/>
    <w:rsid w:val="0080598F"/>
    <w:rsid w:val="00806210"/>
    <w:rsid w:val="00807384"/>
    <w:rsid w:val="008073C6"/>
    <w:rsid w:val="00807D66"/>
    <w:rsid w:val="008112A6"/>
    <w:rsid w:val="008137E9"/>
    <w:rsid w:val="008137FD"/>
    <w:rsid w:val="00814274"/>
    <w:rsid w:val="008162E9"/>
    <w:rsid w:val="00816C49"/>
    <w:rsid w:val="008178A6"/>
    <w:rsid w:val="00817D20"/>
    <w:rsid w:val="00821113"/>
    <w:rsid w:val="00821CB1"/>
    <w:rsid w:val="00821D82"/>
    <w:rsid w:val="008220E0"/>
    <w:rsid w:val="00823939"/>
    <w:rsid w:val="0082603D"/>
    <w:rsid w:val="00826577"/>
    <w:rsid w:val="0083067B"/>
    <w:rsid w:val="00830ADF"/>
    <w:rsid w:val="00831F7A"/>
    <w:rsid w:val="00833EF2"/>
    <w:rsid w:val="00834644"/>
    <w:rsid w:val="00835FD5"/>
    <w:rsid w:val="008360AD"/>
    <w:rsid w:val="00836BDF"/>
    <w:rsid w:val="0083773B"/>
    <w:rsid w:val="00837D34"/>
    <w:rsid w:val="00840BB4"/>
    <w:rsid w:val="00841E9D"/>
    <w:rsid w:val="0084242F"/>
    <w:rsid w:val="00842817"/>
    <w:rsid w:val="00842C41"/>
    <w:rsid w:val="00844154"/>
    <w:rsid w:val="008445E7"/>
    <w:rsid w:val="00844750"/>
    <w:rsid w:val="008447F0"/>
    <w:rsid w:val="00844DCE"/>
    <w:rsid w:val="00845224"/>
    <w:rsid w:val="00845275"/>
    <w:rsid w:val="008460E6"/>
    <w:rsid w:val="00846A4A"/>
    <w:rsid w:val="00847119"/>
    <w:rsid w:val="008472E0"/>
    <w:rsid w:val="0084768D"/>
    <w:rsid w:val="00847B6C"/>
    <w:rsid w:val="00847DDC"/>
    <w:rsid w:val="00850E57"/>
    <w:rsid w:val="00851248"/>
    <w:rsid w:val="00851832"/>
    <w:rsid w:val="00851BA5"/>
    <w:rsid w:val="00852D75"/>
    <w:rsid w:val="00853BAC"/>
    <w:rsid w:val="00853E9F"/>
    <w:rsid w:val="00854969"/>
    <w:rsid w:val="00854E85"/>
    <w:rsid w:val="00856A9D"/>
    <w:rsid w:val="00856D29"/>
    <w:rsid w:val="008570E1"/>
    <w:rsid w:val="0086032B"/>
    <w:rsid w:val="008603DD"/>
    <w:rsid w:val="00860620"/>
    <w:rsid w:val="00860EE1"/>
    <w:rsid w:val="0086123C"/>
    <w:rsid w:val="0086127D"/>
    <w:rsid w:val="008616F5"/>
    <w:rsid w:val="00861AA3"/>
    <w:rsid w:val="00861C37"/>
    <w:rsid w:val="00862AE9"/>
    <w:rsid w:val="00862EF1"/>
    <w:rsid w:val="00863701"/>
    <w:rsid w:val="00863785"/>
    <w:rsid w:val="00863CF6"/>
    <w:rsid w:val="00863DA9"/>
    <w:rsid w:val="00863DAA"/>
    <w:rsid w:val="00865F15"/>
    <w:rsid w:val="008712FE"/>
    <w:rsid w:val="00871809"/>
    <w:rsid w:val="00872629"/>
    <w:rsid w:val="00872BF9"/>
    <w:rsid w:val="00873420"/>
    <w:rsid w:val="008737E2"/>
    <w:rsid w:val="0087416A"/>
    <w:rsid w:val="00875324"/>
    <w:rsid w:val="00875AEF"/>
    <w:rsid w:val="00875AF7"/>
    <w:rsid w:val="00877D9D"/>
    <w:rsid w:val="00877E40"/>
    <w:rsid w:val="0088007A"/>
    <w:rsid w:val="00881173"/>
    <w:rsid w:val="0088124F"/>
    <w:rsid w:val="008815AC"/>
    <w:rsid w:val="0088253D"/>
    <w:rsid w:val="008825F9"/>
    <w:rsid w:val="0088382C"/>
    <w:rsid w:val="00883B85"/>
    <w:rsid w:val="00884C57"/>
    <w:rsid w:val="008878BE"/>
    <w:rsid w:val="00890C0E"/>
    <w:rsid w:val="0089109E"/>
    <w:rsid w:val="00891A07"/>
    <w:rsid w:val="008940B8"/>
    <w:rsid w:val="0089453C"/>
    <w:rsid w:val="00895274"/>
    <w:rsid w:val="00895583"/>
    <w:rsid w:val="00895986"/>
    <w:rsid w:val="00895D59"/>
    <w:rsid w:val="00895EFB"/>
    <w:rsid w:val="008964FA"/>
    <w:rsid w:val="0089723D"/>
    <w:rsid w:val="008972A9"/>
    <w:rsid w:val="008A0145"/>
    <w:rsid w:val="008A125C"/>
    <w:rsid w:val="008A19A3"/>
    <w:rsid w:val="008A1A56"/>
    <w:rsid w:val="008A2914"/>
    <w:rsid w:val="008A2AE6"/>
    <w:rsid w:val="008A3060"/>
    <w:rsid w:val="008A309D"/>
    <w:rsid w:val="008A3B83"/>
    <w:rsid w:val="008A600F"/>
    <w:rsid w:val="008A66C8"/>
    <w:rsid w:val="008A66EE"/>
    <w:rsid w:val="008A7401"/>
    <w:rsid w:val="008A76BE"/>
    <w:rsid w:val="008A7CC4"/>
    <w:rsid w:val="008B0AB3"/>
    <w:rsid w:val="008B0FE5"/>
    <w:rsid w:val="008B1904"/>
    <w:rsid w:val="008B1B10"/>
    <w:rsid w:val="008B1DE6"/>
    <w:rsid w:val="008B2032"/>
    <w:rsid w:val="008B282B"/>
    <w:rsid w:val="008B304F"/>
    <w:rsid w:val="008B33A7"/>
    <w:rsid w:val="008B3543"/>
    <w:rsid w:val="008B40A9"/>
    <w:rsid w:val="008B40D6"/>
    <w:rsid w:val="008B67D9"/>
    <w:rsid w:val="008B7750"/>
    <w:rsid w:val="008B7887"/>
    <w:rsid w:val="008B7DED"/>
    <w:rsid w:val="008C0028"/>
    <w:rsid w:val="008C0477"/>
    <w:rsid w:val="008C056A"/>
    <w:rsid w:val="008C2212"/>
    <w:rsid w:val="008C2DDE"/>
    <w:rsid w:val="008C31EE"/>
    <w:rsid w:val="008C3201"/>
    <w:rsid w:val="008C396D"/>
    <w:rsid w:val="008C4571"/>
    <w:rsid w:val="008C4CA9"/>
    <w:rsid w:val="008C4D4F"/>
    <w:rsid w:val="008C52F2"/>
    <w:rsid w:val="008C68BB"/>
    <w:rsid w:val="008C6AA9"/>
    <w:rsid w:val="008C6F83"/>
    <w:rsid w:val="008C7961"/>
    <w:rsid w:val="008C7CE9"/>
    <w:rsid w:val="008D097A"/>
    <w:rsid w:val="008D16FA"/>
    <w:rsid w:val="008D2212"/>
    <w:rsid w:val="008D25ED"/>
    <w:rsid w:val="008D2A45"/>
    <w:rsid w:val="008D2BC8"/>
    <w:rsid w:val="008D3099"/>
    <w:rsid w:val="008D3501"/>
    <w:rsid w:val="008D35F8"/>
    <w:rsid w:val="008D3714"/>
    <w:rsid w:val="008D39AB"/>
    <w:rsid w:val="008D444C"/>
    <w:rsid w:val="008D49DD"/>
    <w:rsid w:val="008D49EC"/>
    <w:rsid w:val="008D5996"/>
    <w:rsid w:val="008D5D19"/>
    <w:rsid w:val="008D6ACB"/>
    <w:rsid w:val="008D7E41"/>
    <w:rsid w:val="008E0437"/>
    <w:rsid w:val="008E0938"/>
    <w:rsid w:val="008E0C71"/>
    <w:rsid w:val="008E225F"/>
    <w:rsid w:val="008E35D6"/>
    <w:rsid w:val="008E3A6A"/>
    <w:rsid w:val="008E3D78"/>
    <w:rsid w:val="008E40DF"/>
    <w:rsid w:val="008E56EA"/>
    <w:rsid w:val="008E7564"/>
    <w:rsid w:val="008F0912"/>
    <w:rsid w:val="008F1782"/>
    <w:rsid w:val="008F250A"/>
    <w:rsid w:val="008F2868"/>
    <w:rsid w:val="008F2E19"/>
    <w:rsid w:val="008F3670"/>
    <w:rsid w:val="008F3F03"/>
    <w:rsid w:val="008F5442"/>
    <w:rsid w:val="008F6C3A"/>
    <w:rsid w:val="008F6F0E"/>
    <w:rsid w:val="008F7865"/>
    <w:rsid w:val="00900117"/>
    <w:rsid w:val="00901001"/>
    <w:rsid w:val="00901DFD"/>
    <w:rsid w:val="0090300E"/>
    <w:rsid w:val="009039EE"/>
    <w:rsid w:val="00905330"/>
    <w:rsid w:val="009060FA"/>
    <w:rsid w:val="009067AA"/>
    <w:rsid w:val="009101E0"/>
    <w:rsid w:val="009107EA"/>
    <w:rsid w:val="00910D64"/>
    <w:rsid w:val="00911281"/>
    <w:rsid w:val="0091207A"/>
    <w:rsid w:val="009124C2"/>
    <w:rsid w:val="00913EA8"/>
    <w:rsid w:val="0091422D"/>
    <w:rsid w:val="0091422E"/>
    <w:rsid w:val="0091546B"/>
    <w:rsid w:val="009168A9"/>
    <w:rsid w:val="00916EE2"/>
    <w:rsid w:val="00920014"/>
    <w:rsid w:val="009201A0"/>
    <w:rsid w:val="009208DE"/>
    <w:rsid w:val="00921E31"/>
    <w:rsid w:val="00921F26"/>
    <w:rsid w:val="00923636"/>
    <w:rsid w:val="0092492F"/>
    <w:rsid w:val="00924CDA"/>
    <w:rsid w:val="00925114"/>
    <w:rsid w:val="00925CBA"/>
    <w:rsid w:val="00926591"/>
    <w:rsid w:val="00926773"/>
    <w:rsid w:val="0092681C"/>
    <w:rsid w:val="00926B15"/>
    <w:rsid w:val="00926C11"/>
    <w:rsid w:val="00926FDF"/>
    <w:rsid w:val="009270E6"/>
    <w:rsid w:val="009305A7"/>
    <w:rsid w:val="00930650"/>
    <w:rsid w:val="00930FE8"/>
    <w:rsid w:val="00932C12"/>
    <w:rsid w:val="00932FC1"/>
    <w:rsid w:val="00933E76"/>
    <w:rsid w:val="009355A8"/>
    <w:rsid w:val="00935E8B"/>
    <w:rsid w:val="00936F78"/>
    <w:rsid w:val="009376B6"/>
    <w:rsid w:val="00937E57"/>
    <w:rsid w:val="0094042C"/>
    <w:rsid w:val="00940865"/>
    <w:rsid w:val="009418A7"/>
    <w:rsid w:val="00942B84"/>
    <w:rsid w:val="00943591"/>
    <w:rsid w:val="00943752"/>
    <w:rsid w:val="0094502B"/>
    <w:rsid w:val="00945DA2"/>
    <w:rsid w:val="00945DC1"/>
    <w:rsid w:val="00945EBE"/>
    <w:rsid w:val="00946552"/>
    <w:rsid w:val="00947A29"/>
    <w:rsid w:val="00950050"/>
    <w:rsid w:val="00951047"/>
    <w:rsid w:val="0095170A"/>
    <w:rsid w:val="00951BFE"/>
    <w:rsid w:val="0095299B"/>
    <w:rsid w:val="00953ADA"/>
    <w:rsid w:val="00956586"/>
    <w:rsid w:val="00956B8C"/>
    <w:rsid w:val="00956ED8"/>
    <w:rsid w:val="00960641"/>
    <w:rsid w:val="00960F6B"/>
    <w:rsid w:val="00961820"/>
    <w:rsid w:val="009618E2"/>
    <w:rsid w:val="009621A1"/>
    <w:rsid w:val="00962715"/>
    <w:rsid w:val="009632A3"/>
    <w:rsid w:val="009633A0"/>
    <w:rsid w:val="009635F5"/>
    <w:rsid w:val="00964B22"/>
    <w:rsid w:val="00964C98"/>
    <w:rsid w:val="009650A7"/>
    <w:rsid w:val="0096706E"/>
    <w:rsid w:val="00967768"/>
    <w:rsid w:val="00967B4D"/>
    <w:rsid w:val="00970868"/>
    <w:rsid w:val="00970CDE"/>
    <w:rsid w:val="00970D61"/>
    <w:rsid w:val="00971186"/>
    <w:rsid w:val="0097172C"/>
    <w:rsid w:val="009719D6"/>
    <w:rsid w:val="009719DA"/>
    <w:rsid w:val="00972EAA"/>
    <w:rsid w:val="00973071"/>
    <w:rsid w:val="0097325F"/>
    <w:rsid w:val="009744B4"/>
    <w:rsid w:val="00976F1F"/>
    <w:rsid w:val="00976F45"/>
    <w:rsid w:val="00977170"/>
    <w:rsid w:val="0097758A"/>
    <w:rsid w:val="00977832"/>
    <w:rsid w:val="00980DD9"/>
    <w:rsid w:val="00981B1F"/>
    <w:rsid w:val="009852F7"/>
    <w:rsid w:val="00985452"/>
    <w:rsid w:val="009871A2"/>
    <w:rsid w:val="0098747D"/>
    <w:rsid w:val="009879D7"/>
    <w:rsid w:val="0099014D"/>
    <w:rsid w:val="0099026E"/>
    <w:rsid w:val="00990421"/>
    <w:rsid w:val="00991CF0"/>
    <w:rsid w:val="0099297B"/>
    <w:rsid w:val="00992BF3"/>
    <w:rsid w:val="00992C60"/>
    <w:rsid w:val="00993307"/>
    <w:rsid w:val="009933A5"/>
    <w:rsid w:val="009943DC"/>
    <w:rsid w:val="009946A6"/>
    <w:rsid w:val="00995195"/>
    <w:rsid w:val="009953DA"/>
    <w:rsid w:val="00995D26"/>
    <w:rsid w:val="00995DB8"/>
    <w:rsid w:val="0099631C"/>
    <w:rsid w:val="00997D0F"/>
    <w:rsid w:val="00997E65"/>
    <w:rsid w:val="009A008E"/>
    <w:rsid w:val="009A1D14"/>
    <w:rsid w:val="009A395C"/>
    <w:rsid w:val="009A3A26"/>
    <w:rsid w:val="009A4A8B"/>
    <w:rsid w:val="009A4ADF"/>
    <w:rsid w:val="009A4F7D"/>
    <w:rsid w:val="009A59FE"/>
    <w:rsid w:val="009A68FA"/>
    <w:rsid w:val="009A6A21"/>
    <w:rsid w:val="009B0B87"/>
    <w:rsid w:val="009B111E"/>
    <w:rsid w:val="009B350B"/>
    <w:rsid w:val="009B3E7A"/>
    <w:rsid w:val="009B4803"/>
    <w:rsid w:val="009B51DB"/>
    <w:rsid w:val="009B5292"/>
    <w:rsid w:val="009B5553"/>
    <w:rsid w:val="009B55AB"/>
    <w:rsid w:val="009B614C"/>
    <w:rsid w:val="009B74E8"/>
    <w:rsid w:val="009B7AC1"/>
    <w:rsid w:val="009C1716"/>
    <w:rsid w:val="009C2AB9"/>
    <w:rsid w:val="009C4FE5"/>
    <w:rsid w:val="009C52FD"/>
    <w:rsid w:val="009C6181"/>
    <w:rsid w:val="009C7231"/>
    <w:rsid w:val="009C7569"/>
    <w:rsid w:val="009D042C"/>
    <w:rsid w:val="009D2022"/>
    <w:rsid w:val="009D261D"/>
    <w:rsid w:val="009D2CAC"/>
    <w:rsid w:val="009D3C73"/>
    <w:rsid w:val="009D4890"/>
    <w:rsid w:val="009D512B"/>
    <w:rsid w:val="009D5402"/>
    <w:rsid w:val="009D5599"/>
    <w:rsid w:val="009D59A7"/>
    <w:rsid w:val="009D5EB7"/>
    <w:rsid w:val="009D5F22"/>
    <w:rsid w:val="009D678B"/>
    <w:rsid w:val="009D6E42"/>
    <w:rsid w:val="009D6EAC"/>
    <w:rsid w:val="009D7562"/>
    <w:rsid w:val="009E02C3"/>
    <w:rsid w:val="009E08C7"/>
    <w:rsid w:val="009E1454"/>
    <w:rsid w:val="009E176C"/>
    <w:rsid w:val="009E1D65"/>
    <w:rsid w:val="009E4322"/>
    <w:rsid w:val="009E5234"/>
    <w:rsid w:val="009E567E"/>
    <w:rsid w:val="009E5D9F"/>
    <w:rsid w:val="009E68E7"/>
    <w:rsid w:val="009E6B94"/>
    <w:rsid w:val="009E712C"/>
    <w:rsid w:val="009E7581"/>
    <w:rsid w:val="009F2752"/>
    <w:rsid w:val="009F28E9"/>
    <w:rsid w:val="009F2E97"/>
    <w:rsid w:val="009F2FEC"/>
    <w:rsid w:val="009F384B"/>
    <w:rsid w:val="009F3886"/>
    <w:rsid w:val="009F38CA"/>
    <w:rsid w:val="009F4056"/>
    <w:rsid w:val="009F4AB7"/>
    <w:rsid w:val="009F508E"/>
    <w:rsid w:val="009F5B97"/>
    <w:rsid w:val="009F6D5B"/>
    <w:rsid w:val="009F6D8A"/>
    <w:rsid w:val="009F6DB6"/>
    <w:rsid w:val="009F6DFB"/>
    <w:rsid w:val="009F7BA1"/>
    <w:rsid w:val="00A004E2"/>
    <w:rsid w:val="00A00CAB"/>
    <w:rsid w:val="00A00E33"/>
    <w:rsid w:val="00A016F2"/>
    <w:rsid w:val="00A0203F"/>
    <w:rsid w:val="00A020D7"/>
    <w:rsid w:val="00A04E74"/>
    <w:rsid w:val="00A065BE"/>
    <w:rsid w:val="00A069DA"/>
    <w:rsid w:val="00A073D9"/>
    <w:rsid w:val="00A112B5"/>
    <w:rsid w:val="00A11883"/>
    <w:rsid w:val="00A12555"/>
    <w:rsid w:val="00A13765"/>
    <w:rsid w:val="00A13798"/>
    <w:rsid w:val="00A144F9"/>
    <w:rsid w:val="00A15A31"/>
    <w:rsid w:val="00A16277"/>
    <w:rsid w:val="00A16294"/>
    <w:rsid w:val="00A17161"/>
    <w:rsid w:val="00A17512"/>
    <w:rsid w:val="00A2006E"/>
    <w:rsid w:val="00A20716"/>
    <w:rsid w:val="00A21085"/>
    <w:rsid w:val="00A22510"/>
    <w:rsid w:val="00A22818"/>
    <w:rsid w:val="00A22F8D"/>
    <w:rsid w:val="00A22F99"/>
    <w:rsid w:val="00A236FF"/>
    <w:rsid w:val="00A24D2E"/>
    <w:rsid w:val="00A24E45"/>
    <w:rsid w:val="00A258CD"/>
    <w:rsid w:val="00A27B05"/>
    <w:rsid w:val="00A27BAF"/>
    <w:rsid w:val="00A30761"/>
    <w:rsid w:val="00A30B1A"/>
    <w:rsid w:val="00A314D9"/>
    <w:rsid w:val="00A31A7F"/>
    <w:rsid w:val="00A31AD8"/>
    <w:rsid w:val="00A31E84"/>
    <w:rsid w:val="00A325C6"/>
    <w:rsid w:val="00A3274B"/>
    <w:rsid w:val="00A32840"/>
    <w:rsid w:val="00A32D3E"/>
    <w:rsid w:val="00A3493F"/>
    <w:rsid w:val="00A34BF8"/>
    <w:rsid w:val="00A34EDA"/>
    <w:rsid w:val="00A35379"/>
    <w:rsid w:val="00A357AC"/>
    <w:rsid w:val="00A36121"/>
    <w:rsid w:val="00A36956"/>
    <w:rsid w:val="00A36B74"/>
    <w:rsid w:val="00A376E5"/>
    <w:rsid w:val="00A4174E"/>
    <w:rsid w:val="00A41F74"/>
    <w:rsid w:val="00A43602"/>
    <w:rsid w:val="00A44051"/>
    <w:rsid w:val="00A4454F"/>
    <w:rsid w:val="00A44977"/>
    <w:rsid w:val="00A47273"/>
    <w:rsid w:val="00A473EA"/>
    <w:rsid w:val="00A52A72"/>
    <w:rsid w:val="00A52D24"/>
    <w:rsid w:val="00A5414C"/>
    <w:rsid w:val="00A5415E"/>
    <w:rsid w:val="00A54993"/>
    <w:rsid w:val="00A54C77"/>
    <w:rsid w:val="00A604DD"/>
    <w:rsid w:val="00A60548"/>
    <w:rsid w:val="00A613CD"/>
    <w:rsid w:val="00A63659"/>
    <w:rsid w:val="00A637C4"/>
    <w:rsid w:val="00A64336"/>
    <w:rsid w:val="00A64BDD"/>
    <w:rsid w:val="00A65782"/>
    <w:rsid w:val="00A660A0"/>
    <w:rsid w:val="00A66A86"/>
    <w:rsid w:val="00A66C4D"/>
    <w:rsid w:val="00A6725A"/>
    <w:rsid w:val="00A719A9"/>
    <w:rsid w:val="00A71C01"/>
    <w:rsid w:val="00A72B3A"/>
    <w:rsid w:val="00A72C4D"/>
    <w:rsid w:val="00A72D4B"/>
    <w:rsid w:val="00A72DCC"/>
    <w:rsid w:val="00A7370C"/>
    <w:rsid w:val="00A741CC"/>
    <w:rsid w:val="00A74E83"/>
    <w:rsid w:val="00A75670"/>
    <w:rsid w:val="00A76489"/>
    <w:rsid w:val="00A767D5"/>
    <w:rsid w:val="00A773A3"/>
    <w:rsid w:val="00A77715"/>
    <w:rsid w:val="00A803FD"/>
    <w:rsid w:val="00A804F6"/>
    <w:rsid w:val="00A80B41"/>
    <w:rsid w:val="00A82918"/>
    <w:rsid w:val="00A83127"/>
    <w:rsid w:val="00A83382"/>
    <w:rsid w:val="00A838F7"/>
    <w:rsid w:val="00A84DC1"/>
    <w:rsid w:val="00A84EE1"/>
    <w:rsid w:val="00A85F82"/>
    <w:rsid w:val="00A862B9"/>
    <w:rsid w:val="00A866B0"/>
    <w:rsid w:val="00A87CEA"/>
    <w:rsid w:val="00A87EFD"/>
    <w:rsid w:val="00A909E3"/>
    <w:rsid w:val="00A90DDA"/>
    <w:rsid w:val="00A90F95"/>
    <w:rsid w:val="00A91906"/>
    <w:rsid w:val="00A91B66"/>
    <w:rsid w:val="00A92902"/>
    <w:rsid w:val="00A93668"/>
    <w:rsid w:val="00A9378B"/>
    <w:rsid w:val="00A9390A"/>
    <w:rsid w:val="00A9437F"/>
    <w:rsid w:val="00A950DF"/>
    <w:rsid w:val="00A951FD"/>
    <w:rsid w:val="00A95819"/>
    <w:rsid w:val="00A95929"/>
    <w:rsid w:val="00A96CB4"/>
    <w:rsid w:val="00A971FE"/>
    <w:rsid w:val="00A97AE3"/>
    <w:rsid w:val="00AA099D"/>
    <w:rsid w:val="00AA09AE"/>
    <w:rsid w:val="00AA10D0"/>
    <w:rsid w:val="00AA1245"/>
    <w:rsid w:val="00AA365B"/>
    <w:rsid w:val="00AA43B8"/>
    <w:rsid w:val="00AA4E75"/>
    <w:rsid w:val="00AA6ED6"/>
    <w:rsid w:val="00AA70D7"/>
    <w:rsid w:val="00AA72D7"/>
    <w:rsid w:val="00AA7772"/>
    <w:rsid w:val="00AA7B67"/>
    <w:rsid w:val="00AA7DEB"/>
    <w:rsid w:val="00AB0417"/>
    <w:rsid w:val="00AB09DE"/>
    <w:rsid w:val="00AB0E2A"/>
    <w:rsid w:val="00AB196B"/>
    <w:rsid w:val="00AB1F49"/>
    <w:rsid w:val="00AB321E"/>
    <w:rsid w:val="00AB4ABC"/>
    <w:rsid w:val="00AB50E6"/>
    <w:rsid w:val="00AB574F"/>
    <w:rsid w:val="00AB637F"/>
    <w:rsid w:val="00AB66FA"/>
    <w:rsid w:val="00AB6980"/>
    <w:rsid w:val="00AB6B46"/>
    <w:rsid w:val="00AB70E2"/>
    <w:rsid w:val="00AB73D4"/>
    <w:rsid w:val="00AB768E"/>
    <w:rsid w:val="00AC046A"/>
    <w:rsid w:val="00AC0D05"/>
    <w:rsid w:val="00AC0FA6"/>
    <w:rsid w:val="00AC13B5"/>
    <w:rsid w:val="00AC2555"/>
    <w:rsid w:val="00AC3F62"/>
    <w:rsid w:val="00AC4B04"/>
    <w:rsid w:val="00AC54FE"/>
    <w:rsid w:val="00AC5EE2"/>
    <w:rsid w:val="00AC6940"/>
    <w:rsid w:val="00AC732F"/>
    <w:rsid w:val="00AC78E1"/>
    <w:rsid w:val="00AD02B6"/>
    <w:rsid w:val="00AD039E"/>
    <w:rsid w:val="00AD0899"/>
    <w:rsid w:val="00AD09BB"/>
    <w:rsid w:val="00AD0DE1"/>
    <w:rsid w:val="00AD0F4D"/>
    <w:rsid w:val="00AD1AB4"/>
    <w:rsid w:val="00AD1C34"/>
    <w:rsid w:val="00AD2335"/>
    <w:rsid w:val="00AD29D4"/>
    <w:rsid w:val="00AD3A33"/>
    <w:rsid w:val="00AD42DE"/>
    <w:rsid w:val="00AD47DC"/>
    <w:rsid w:val="00AD51E7"/>
    <w:rsid w:val="00AD593A"/>
    <w:rsid w:val="00AD70E9"/>
    <w:rsid w:val="00AD731E"/>
    <w:rsid w:val="00AE31F4"/>
    <w:rsid w:val="00AE3872"/>
    <w:rsid w:val="00AE4A31"/>
    <w:rsid w:val="00AE4CF3"/>
    <w:rsid w:val="00AE5EFC"/>
    <w:rsid w:val="00AE67CD"/>
    <w:rsid w:val="00AE67F4"/>
    <w:rsid w:val="00AE7595"/>
    <w:rsid w:val="00AE7686"/>
    <w:rsid w:val="00AF04D2"/>
    <w:rsid w:val="00AF140E"/>
    <w:rsid w:val="00AF2245"/>
    <w:rsid w:val="00AF2AF6"/>
    <w:rsid w:val="00AF3A17"/>
    <w:rsid w:val="00AF3DDA"/>
    <w:rsid w:val="00AF4C04"/>
    <w:rsid w:val="00AF54EA"/>
    <w:rsid w:val="00AF5CE2"/>
    <w:rsid w:val="00AF7A9A"/>
    <w:rsid w:val="00B00738"/>
    <w:rsid w:val="00B01A38"/>
    <w:rsid w:val="00B03026"/>
    <w:rsid w:val="00B033E4"/>
    <w:rsid w:val="00B049D8"/>
    <w:rsid w:val="00B05396"/>
    <w:rsid w:val="00B056D0"/>
    <w:rsid w:val="00B06827"/>
    <w:rsid w:val="00B06AD8"/>
    <w:rsid w:val="00B07059"/>
    <w:rsid w:val="00B07501"/>
    <w:rsid w:val="00B07776"/>
    <w:rsid w:val="00B07A5C"/>
    <w:rsid w:val="00B10454"/>
    <w:rsid w:val="00B118EE"/>
    <w:rsid w:val="00B12028"/>
    <w:rsid w:val="00B12E0E"/>
    <w:rsid w:val="00B13E3C"/>
    <w:rsid w:val="00B13F69"/>
    <w:rsid w:val="00B14803"/>
    <w:rsid w:val="00B149A7"/>
    <w:rsid w:val="00B14D0D"/>
    <w:rsid w:val="00B14D19"/>
    <w:rsid w:val="00B155F4"/>
    <w:rsid w:val="00B15D9D"/>
    <w:rsid w:val="00B15E24"/>
    <w:rsid w:val="00B162A2"/>
    <w:rsid w:val="00B162F1"/>
    <w:rsid w:val="00B1751A"/>
    <w:rsid w:val="00B2165A"/>
    <w:rsid w:val="00B22CBF"/>
    <w:rsid w:val="00B23FE7"/>
    <w:rsid w:val="00B240B0"/>
    <w:rsid w:val="00B2470A"/>
    <w:rsid w:val="00B24B48"/>
    <w:rsid w:val="00B258E8"/>
    <w:rsid w:val="00B263E4"/>
    <w:rsid w:val="00B26B47"/>
    <w:rsid w:val="00B26B82"/>
    <w:rsid w:val="00B26ECC"/>
    <w:rsid w:val="00B27156"/>
    <w:rsid w:val="00B27A8F"/>
    <w:rsid w:val="00B30AFE"/>
    <w:rsid w:val="00B30E49"/>
    <w:rsid w:val="00B320E3"/>
    <w:rsid w:val="00B322A9"/>
    <w:rsid w:val="00B32BD8"/>
    <w:rsid w:val="00B3343E"/>
    <w:rsid w:val="00B34819"/>
    <w:rsid w:val="00B34843"/>
    <w:rsid w:val="00B34C35"/>
    <w:rsid w:val="00B352CA"/>
    <w:rsid w:val="00B353E9"/>
    <w:rsid w:val="00B357D5"/>
    <w:rsid w:val="00B36941"/>
    <w:rsid w:val="00B3781E"/>
    <w:rsid w:val="00B4142C"/>
    <w:rsid w:val="00B41767"/>
    <w:rsid w:val="00B42113"/>
    <w:rsid w:val="00B423A9"/>
    <w:rsid w:val="00B43B85"/>
    <w:rsid w:val="00B4429F"/>
    <w:rsid w:val="00B468E0"/>
    <w:rsid w:val="00B46E5A"/>
    <w:rsid w:val="00B47D2B"/>
    <w:rsid w:val="00B47F4F"/>
    <w:rsid w:val="00B50254"/>
    <w:rsid w:val="00B5082D"/>
    <w:rsid w:val="00B51A23"/>
    <w:rsid w:val="00B52610"/>
    <w:rsid w:val="00B52BB5"/>
    <w:rsid w:val="00B5448A"/>
    <w:rsid w:val="00B54511"/>
    <w:rsid w:val="00B54A92"/>
    <w:rsid w:val="00B566B4"/>
    <w:rsid w:val="00B56DE0"/>
    <w:rsid w:val="00B56DE9"/>
    <w:rsid w:val="00B57DA3"/>
    <w:rsid w:val="00B600A7"/>
    <w:rsid w:val="00B6184A"/>
    <w:rsid w:val="00B62450"/>
    <w:rsid w:val="00B62CBD"/>
    <w:rsid w:val="00B6335E"/>
    <w:rsid w:val="00B635CA"/>
    <w:rsid w:val="00B63FB6"/>
    <w:rsid w:val="00B6417F"/>
    <w:rsid w:val="00B64787"/>
    <w:rsid w:val="00B647E9"/>
    <w:rsid w:val="00B64CDA"/>
    <w:rsid w:val="00B65D02"/>
    <w:rsid w:val="00B66392"/>
    <w:rsid w:val="00B669AE"/>
    <w:rsid w:val="00B66C77"/>
    <w:rsid w:val="00B66E19"/>
    <w:rsid w:val="00B703DC"/>
    <w:rsid w:val="00B706E8"/>
    <w:rsid w:val="00B73377"/>
    <w:rsid w:val="00B7386F"/>
    <w:rsid w:val="00B739AF"/>
    <w:rsid w:val="00B73CAB"/>
    <w:rsid w:val="00B7423E"/>
    <w:rsid w:val="00B74D7F"/>
    <w:rsid w:val="00B75714"/>
    <w:rsid w:val="00B75728"/>
    <w:rsid w:val="00B75C4A"/>
    <w:rsid w:val="00B776B6"/>
    <w:rsid w:val="00B8038F"/>
    <w:rsid w:val="00B809E7"/>
    <w:rsid w:val="00B80E4F"/>
    <w:rsid w:val="00B82BA2"/>
    <w:rsid w:val="00B82FE8"/>
    <w:rsid w:val="00B83587"/>
    <w:rsid w:val="00B838D8"/>
    <w:rsid w:val="00B83D19"/>
    <w:rsid w:val="00B852F6"/>
    <w:rsid w:val="00B86537"/>
    <w:rsid w:val="00B87863"/>
    <w:rsid w:val="00B87878"/>
    <w:rsid w:val="00B903E4"/>
    <w:rsid w:val="00B911CF"/>
    <w:rsid w:val="00B9162A"/>
    <w:rsid w:val="00B925DC"/>
    <w:rsid w:val="00B92837"/>
    <w:rsid w:val="00B928FE"/>
    <w:rsid w:val="00B92E29"/>
    <w:rsid w:val="00B92EC1"/>
    <w:rsid w:val="00B936B3"/>
    <w:rsid w:val="00B939F0"/>
    <w:rsid w:val="00B95A22"/>
    <w:rsid w:val="00B95FF0"/>
    <w:rsid w:val="00B9660A"/>
    <w:rsid w:val="00B96F0B"/>
    <w:rsid w:val="00B973F0"/>
    <w:rsid w:val="00BA00FA"/>
    <w:rsid w:val="00BA037D"/>
    <w:rsid w:val="00BA0C2C"/>
    <w:rsid w:val="00BA11B1"/>
    <w:rsid w:val="00BA2773"/>
    <w:rsid w:val="00BA3CF5"/>
    <w:rsid w:val="00BA44CF"/>
    <w:rsid w:val="00BA45DF"/>
    <w:rsid w:val="00BA4CD6"/>
    <w:rsid w:val="00BA4D16"/>
    <w:rsid w:val="00BA4DBE"/>
    <w:rsid w:val="00BA4E1E"/>
    <w:rsid w:val="00BA4F3E"/>
    <w:rsid w:val="00BA5ABE"/>
    <w:rsid w:val="00BA5DBB"/>
    <w:rsid w:val="00BA5F34"/>
    <w:rsid w:val="00BA69C7"/>
    <w:rsid w:val="00BA7B97"/>
    <w:rsid w:val="00BB04F3"/>
    <w:rsid w:val="00BB1878"/>
    <w:rsid w:val="00BB19A8"/>
    <w:rsid w:val="00BB2BE3"/>
    <w:rsid w:val="00BB2E82"/>
    <w:rsid w:val="00BB2EAB"/>
    <w:rsid w:val="00BB38D2"/>
    <w:rsid w:val="00BB3E8D"/>
    <w:rsid w:val="00BB4452"/>
    <w:rsid w:val="00BB4B8E"/>
    <w:rsid w:val="00BB4F4B"/>
    <w:rsid w:val="00BB4FF8"/>
    <w:rsid w:val="00BB58B7"/>
    <w:rsid w:val="00BB776B"/>
    <w:rsid w:val="00BB7CA2"/>
    <w:rsid w:val="00BC0B52"/>
    <w:rsid w:val="00BC11DD"/>
    <w:rsid w:val="00BC3158"/>
    <w:rsid w:val="00BC31AE"/>
    <w:rsid w:val="00BC3C62"/>
    <w:rsid w:val="00BC3D2C"/>
    <w:rsid w:val="00BC73ED"/>
    <w:rsid w:val="00BC7808"/>
    <w:rsid w:val="00BD06F1"/>
    <w:rsid w:val="00BD098A"/>
    <w:rsid w:val="00BD0B7A"/>
    <w:rsid w:val="00BD15A3"/>
    <w:rsid w:val="00BD20E5"/>
    <w:rsid w:val="00BD2241"/>
    <w:rsid w:val="00BD24A5"/>
    <w:rsid w:val="00BD4274"/>
    <w:rsid w:val="00BD6097"/>
    <w:rsid w:val="00BD6555"/>
    <w:rsid w:val="00BD6699"/>
    <w:rsid w:val="00BD6945"/>
    <w:rsid w:val="00BD73BE"/>
    <w:rsid w:val="00BD797B"/>
    <w:rsid w:val="00BD7E33"/>
    <w:rsid w:val="00BD7F6F"/>
    <w:rsid w:val="00BD7FAD"/>
    <w:rsid w:val="00BE0311"/>
    <w:rsid w:val="00BE10F5"/>
    <w:rsid w:val="00BE12DF"/>
    <w:rsid w:val="00BE1D8E"/>
    <w:rsid w:val="00BE216F"/>
    <w:rsid w:val="00BE346F"/>
    <w:rsid w:val="00BE3650"/>
    <w:rsid w:val="00BE3D0B"/>
    <w:rsid w:val="00BE462A"/>
    <w:rsid w:val="00BE4C3C"/>
    <w:rsid w:val="00BE5E91"/>
    <w:rsid w:val="00BE5F44"/>
    <w:rsid w:val="00BF00E7"/>
    <w:rsid w:val="00BF153A"/>
    <w:rsid w:val="00BF1A38"/>
    <w:rsid w:val="00BF1A95"/>
    <w:rsid w:val="00BF2023"/>
    <w:rsid w:val="00BF2564"/>
    <w:rsid w:val="00BF345B"/>
    <w:rsid w:val="00BF3F37"/>
    <w:rsid w:val="00BF5A60"/>
    <w:rsid w:val="00BF5DCD"/>
    <w:rsid w:val="00BF6A36"/>
    <w:rsid w:val="00BF6AD3"/>
    <w:rsid w:val="00C00625"/>
    <w:rsid w:val="00C0313B"/>
    <w:rsid w:val="00C0585E"/>
    <w:rsid w:val="00C068F3"/>
    <w:rsid w:val="00C06A0C"/>
    <w:rsid w:val="00C07099"/>
    <w:rsid w:val="00C071EA"/>
    <w:rsid w:val="00C07C45"/>
    <w:rsid w:val="00C10A32"/>
    <w:rsid w:val="00C12E50"/>
    <w:rsid w:val="00C13110"/>
    <w:rsid w:val="00C14F87"/>
    <w:rsid w:val="00C15FAA"/>
    <w:rsid w:val="00C1649E"/>
    <w:rsid w:val="00C16690"/>
    <w:rsid w:val="00C16A40"/>
    <w:rsid w:val="00C16E82"/>
    <w:rsid w:val="00C16EE8"/>
    <w:rsid w:val="00C1708C"/>
    <w:rsid w:val="00C17834"/>
    <w:rsid w:val="00C17E09"/>
    <w:rsid w:val="00C17FA2"/>
    <w:rsid w:val="00C21BAA"/>
    <w:rsid w:val="00C22B89"/>
    <w:rsid w:val="00C22C5F"/>
    <w:rsid w:val="00C2401F"/>
    <w:rsid w:val="00C2439B"/>
    <w:rsid w:val="00C25260"/>
    <w:rsid w:val="00C25B43"/>
    <w:rsid w:val="00C25D4E"/>
    <w:rsid w:val="00C25DAF"/>
    <w:rsid w:val="00C261C4"/>
    <w:rsid w:val="00C26CB5"/>
    <w:rsid w:val="00C2798F"/>
    <w:rsid w:val="00C30388"/>
    <w:rsid w:val="00C30B66"/>
    <w:rsid w:val="00C30BAF"/>
    <w:rsid w:val="00C3201F"/>
    <w:rsid w:val="00C33306"/>
    <w:rsid w:val="00C3395F"/>
    <w:rsid w:val="00C34365"/>
    <w:rsid w:val="00C34F1B"/>
    <w:rsid w:val="00C3503D"/>
    <w:rsid w:val="00C3789C"/>
    <w:rsid w:val="00C37A11"/>
    <w:rsid w:val="00C40F50"/>
    <w:rsid w:val="00C41C37"/>
    <w:rsid w:val="00C431FE"/>
    <w:rsid w:val="00C435A0"/>
    <w:rsid w:val="00C441EE"/>
    <w:rsid w:val="00C46BEF"/>
    <w:rsid w:val="00C46BF7"/>
    <w:rsid w:val="00C46D62"/>
    <w:rsid w:val="00C4B8C3"/>
    <w:rsid w:val="00C506BB"/>
    <w:rsid w:val="00C50941"/>
    <w:rsid w:val="00C52295"/>
    <w:rsid w:val="00C52D0B"/>
    <w:rsid w:val="00C5337F"/>
    <w:rsid w:val="00C534CC"/>
    <w:rsid w:val="00C53EB5"/>
    <w:rsid w:val="00C54AE3"/>
    <w:rsid w:val="00C54C56"/>
    <w:rsid w:val="00C55613"/>
    <w:rsid w:val="00C563EB"/>
    <w:rsid w:val="00C60697"/>
    <w:rsid w:val="00C61045"/>
    <w:rsid w:val="00C616C3"/>
    <w:rsid w:val="00C62D06"/>
    <w:rsid w:val="00C63138"/>
    <w:rsid w:val="00C63CD3"/>
    <w:rsid w:val="00C64236"/>
    <w:rsid w:val="00C65F60"/>
    <w:rsid w:val="00C70706"/>
    <w:rsid w:val="00C70E24"/>
    <w:rsid w:val="00C71E09"/>
    <w:rsid w:val="00C7214B"/>
    <w:rsid w:val="00C72166"/>
    <w:rsid w:val="00C7279A"/>
    <w:rsid w:val="00C72825"/>
    <w:rsid w:val="00C72B6C"/>
    <w:rsid w:val="00C73D98"/>
    <w:rsid w:val="00C74221"/>
    <w:rsid w:val="00C74BC7"/>
    <w:rsid w:val="00C74EE4"/>
    <w:rsid w:val="00C75158"/>
    <w:rsid w:val="00C75337"/>
    <w:rsid w:val="00C76EE3"/>
    <w:rsid w:val="00C7760B"/>
    <w:rsid w:val="00C77726"/>
    <w:rsid w:val="00C7796B"/>
    <w:rsid w:val="00C806DC"/>
    <w:rsid w:val="00C81662"/>
    <w:rsid w:val="00C823C6"/>
    <w:rsid w:val="00C8250B"/>
    <w:rsid w:val="00C82742"/>
    <w:rsid w:val="00C82A1E"/>
    <w:rsid w:val="00C83393"/>
    <w:rsid w:val="00C839DF"/>
    <w:rsid w:val="00C85418"/>
    <w:rsid w:val="00C85429"/>
    <w:rsid w:val="00C85467"/>
    <w:rsid w:val="00C858EB"/>
    <w:rsid w:val="00C86D7E"/>
    <w:rsid w:val="00C86FEF"/>
    <w:rsid w:val="00C8772E"/>
    <w:rsid w:val="00C87F0C"/>
    <w:rsid w:val="00C900AE"/>
    <w:rsid w:val="00C90604"/>
    <w:rsid w:val="00C907C5"/>
    <w:rsid w:val="00C90998"/>
    <w:rsid w:val="00C90B8E"/>
    <w:rsid w:val="00C92F9D"/>
    <w:rsid w:val="00C93423"/>
    <w:rsid w:val="00C938FA"/>
    <w:rsid w:val="00C93973"/>
    <w:rsid w:val="00C9587B"/>
    <w:rsid w:val="00C95A9D"/>
    <w:rsid w:val="00C970A6"/>
    <w:rsid w:val="00CA0BAE"/>
    <w:rsid w:val="00CA145A"/>
    <w:rsid w:val="00CA22C9"/>
    <w:rsid w:val="00CA2858"/>
    <w:rsid w:val="00CA6EF4"/>
    <w:rsid w:val="00CB0413"/>
    <w:rsid w:val="00CB0BBE"/>
    <w:rsid w:val="00CB20B8"/>
    <w:rsid w:val="00CB24D5"/>
    <w:rsid w:val="00CB3412"/>
    <w:rsid w:val="00CB37F0"/>
    <w:rsid w:val="00CB59B8"/>
    <w:rsid w:val="00CB7BD9"/>
    <w:rsid w:val="00CC0D4A"/>
    <w:rsid w:val="00CC3797"/>
    <w:rsid w:val="00CC3CBE"/>
    <w:rsid w:val="00CC4484"/>
    <w:rsid w:val="00CC45A1"/>
    <w:rsid w:val="00CC4739"/>
    <w:rsid w:val="00CC5940"/>
    <w:rsid w:val="00CC6AF3"/>
    <w:rsid w:val="00CC6BF4"/>
    <w:rsid w:val="00CC7AFF"/>
    <w:rsid w:val="00CD08D6"/>
    <w:rsid w:val="00CD0C98"/>
    <w:rsid w:val="00CD12C6"/>
    <w:rsid w:val="00CD18A5"/>
    <w:rsid w:val="00CD4AF2"/>
    <w:rsid w:val="00CD571B"/>
    <w:rsid w:val="00CD5F0E"/>
    <w:rsid w:val="00CD62B1"/>
    <w:rsid w:val="00CD688A"/>
    <w:rsid w:val="00CD6AFB"/>
    <w:rsid w:val="00CD74AC"/>
    <w:rsid w:val="00CE10B6"/>
    <w:rsid w:val="00CE11B4"/>
    <w:rsid w:val="00CE164F"/>
    <w:rsid w:val="00CE1D7D"/>
    <w:rsid w:val="00CE3426"/>
    <w:rsid w:val="00CE356E"/>
    <w:rsid w:val="00CE3CB6"/>
    <w:rsid w:val="00CE3E91"/>
    <w:rsid w:val="00CE4E27"/>
    <w:rsid w:val="00CE525C"/>
    <w:rsid w:val="00CE5BB2"/>
    <w:rsid w:val="00CE5FC6"/>
    <w:rsid w:val="00CE64C2"/>
    <w:rsid w:val="00CE6724"/>
    <w:rsid w:val="00CE6A9F"/>
    <w:rsid w:val="00CF0D9A"/>
    <w:rsid w:val="00CF2A84"/>
    <w:rsid w:val="00CF3070"/>
    <w:rsid w:val="00CF3BD4"/>
    <w:rsid w:val="00CF5071"/>
    <w:rsid w:val="00CF5E8C"/>
    <w:rsid w:val="00CF69DC"/>
    <w:rsid w:val="00CF6EE9"/>
    <w:rsid w:val="00CF798A"/>
    <w:rsid w:val="00CF7F8E"/>
    <w:rsid w:val="00D0054E"/>
    <w:rsid w:val="00D00AEB"/>
    <w:rsid w:val="00D012DC"/>
    <w:rsid w:val="00D017D8"/>
    <w:rsid w:val="00D0209C"/>
    <w:rsid w:val="00D03C15"/>
    <w:rsid w:val="00D04643"/>
    <w:rsid w:val="00D04F10"/>
    <w:rsid w:val="00D05EB6"/>
    <w:rsid w:val="00D06121"/>
    <w:rsid w:val="00D06859"/>
    <w:rsid w:val="00D074C9"/>
    <w:rsid w:val="00D1002B"/>
    <w:rsid w:val="00D10A81"/>
    <w:rsid w:val="00D10AC2"/>
    <w:rsid w:val="00D10E39"/>
    <w:rsid w:val="00D11881"/>
    <w:rsid w:val="00D118D2"/>
    <w:rsid w:val="00D118D7"/>
    <w:rsid w:val="00D11CD1"/>
    <w:rsid w:val="00D12058"/>
    <w:rsid w:val="00D122B7"/>
    <w:rsid w:val="00D124C3"/>
    <w:rsid w:val="00D12BD0"/>
    <w:rsid w:val="00D13055"/>
    <w:rsid w:val="00D130F1"/>
    <w:rsid w:val="00D14272"/>
    <w:rsid w:val="00D14275"/>
    <w:rsid w:val="00D14A1B"/>
    <w:rsid w:val="00D15292"/>
    <w:rsid w:val="00D15833"/>
    <w:rsid w:val="00D15E27"/>
    <w:rsid w:val="00D16122"/>
    <w:rsid w:val="00D166CA"/>
    <w:rsid w:val="00D16C11"/>
    <w:rsid w:val="00D170B6"/>
    <w:rsid w:val="00D20CD5"/>
    <w:rsid w:val="00D2277C"/>
    <w:rsid w:val="00D22A65"/>
    <w:rsid w:val="00D2340A"/>
    <w:rsid w:val="00D24343"/>
    <w:rsid w:val="00D24B62"/>
    <w:rsid w:val="00D2505F"/>
    <w:rsid w:val="00D2536C"/>
    <w:rsid w:val="00D255AF"/>
    <w:rsid w:val="00D255BB"/>
    <w:rsid w:val="00D266FB"/>
    <w:rsid w:val="00D270CE"/>
    <w:rsid w:val="00D27133"/>
    <w:rsid w:val="00D2762D"/>
    <w:rsid w:val="00D30F37"/>
    <w:rsid w:val="00D314F5"/>
    <w:rsid w:val="00D31BF8"/>
    <w:rsid w:val="00D32BF7"/>
    <w:rsid w:val="00D3302B"/>
    <w:rsid w:val="00D34BC6"/>
    <w:rsid w:val="00D35675"/>
    <w:rsid w:val="00D40B2B"/>
    <w:rsid w:val="00D40E9F"/>
    <w:rsid w:val="00D4141D"/>
    <w:rsid w:val="00D41CE3"/>
    <w:rsid w:val="00D41D98"/>
    <w:rsid w:val="00D4345C"/>
    <w:rsid w:val="00D43460"/>
    <w:rsid w:val="00D436D4"/>
    <w:rsid w:val="00D4421D"/>
    <w:rsid w:val="00D44832"/>
    <w:rsid w:val="00D44B78"/>
    <w:rsid w:val="00D44BDE"/>
    <w:rsid w:val="00D454C5"/>
    <w:rsid w:val="00D4553A"/>
    <w:rsid w:val="00D45EAD"/>
    <w:rsid w:val="00D46671"/>
    <w:rsid w:val="00D46EF8"/>
    <w:rsid w:val="00D471E5"/>
    <w:rsid w:val="00D473A9"/>
    <w:rsid w:val="00D47783"/>
    <w:rsid w:val="00D502A1"/>
    <w:rsid w:val="00D50EB2"/>
    <w:rsid w:val="00D50EE2"/>
    <w:rsid w:val="00D5254C"/>
    <w:rsid w:val="00D53A70"/>
    <w:rsid w:val="00D54005"/>
    <w:rsid w:val="00D545B4"/>
    <w:rsid w:val="00D55B4B"/>
    <w:rsid w:val="00D55E37"/>
    <w:rsid w:val="00D56225"/>
    <w:rsid w:val="00D57D17"/>
    <w:rsid w:val="00D608A0"/>
    <w:rsid w:val="00D62137"/>
    <w:rsid w:val="00D6237D"/>
    <w:rsid w:val="00D628E2"/>
    <w:rsid w:val="00D64F9E"/>
    <w:rsid w:val="00D65082"/>
    <w:rsid w:val="00D6586C"/>
    <w:rsid w:val="00D65AA4"/>
    <w:rsid w:val="00D65C15"/>
    <w:rsid w:val="00D6663D"/>
    <w:rsid w:val="00D66952"/>
    <w:rsid w:val="00D6695D"/>
    <w:rsid w:val="00D67515"/>
    <w:rsid w:val="00D71596"/>
    <w:rsid w:val="00D715BF"/>
    <w:rsid w:val="00D71C6D"/>
    <w:rsid w:val="00D71E07"/>
    <w:rsid w:val="00D723BB"/>
    <w:rsid w:val="00D72AC5"/>
    <w:rsid w:val="00D748AB"/>
    <w:rsid w:val="00D74D5F"/>
    <w:rsid w:val="00D74E91"/>
    <w:rsid w:val="00D7514E"/>
    <w:rsid w:val="00D7614B"/>
    <w:rsid w:val="00D76799"/>
    <w:rsid w:val="00D76F29"/>
    <w:rsid w:val="00D77068"/>
    <w:rsid w:val="00D8259D"/>
    <w:rsid w:val="00D8376A"/>
    <w:rsid w:val="00D84E61"/>
    <w:rsid w:val="00D84FFC"/>
    <w:rsid w:val="00D85D5A"/>
    <w:rsid w:val="00D86235"/>
    <w:rsid w:val="00D874BB"/>
    <w:rsid w:val="00D87E39"/>
    <w:rsid w:val="00D87F10"/>
    <w:rsid w:val="00D87F6B"/>
    <w:rsid w:val="00D90070"/>
    <w:rsid w:val="00D92795"/>
    <w:rsid w:val="00D927A0"/>
    <w:rsid w:val="00D938F4"/>
    <w:rsid w:val="00D94362"/>
    <w:rsid w:val="00D945DB"/>
    <w:rsid w:val="00D947C4"/>
    <w:rsid w:val="00D95F50"/>
    <w:rsid w:val="00D96589"/>
    <w:rsid w:val="00D96D6E"/>
    <w:rsid w:val="00DA08A3"/>
    <w:rsid w:val="00DA08BC"/>
    <w:rsid w:val="00DA093D"/>
    <w:rsid w:val="00DA283E"/>
    <w:rsid w:val="00DA3FFE"/>
    <w:rsid w:val="00DA452D"/>
    <w:rsid w:val="00DA4991"/>
    <w:rsid w:val="00DA5158"/>
    <w:rsid w:val="00DA5347"/>
    <w:rsid w:val="00DB0001"/>
    <w:rsid w:val="00DB0BEA"/>
    <w:rsid w:val="00DB0DBF"/>
    <w:rsid w:val="00DB19D4"/>
    <w:rsid w:val="00DB251B"/>
    <w:rsid w:val="00DB26EB"/>
    <w:rsid w:val="00DB2B60"/>
    <w:rsid w:val="00DB3180"/>
    <w:rsid w:val="00DB3DE6"/>
    <w:rsid w:val="00DB46E5"/>
    <w:rsid w:val="00DB532E"/>
    <w:rsid w:val="00DB64BB"/>
    <w:rsid w:val="00DB65C6"/>
    <w:rsid w:val="00DB6C75"/>
    <w:rsid w:val="00DB76BA"/>
    <w:rsid w:val="00DC0887"/>
    <w:rsid w:val="00DC0A30"/>
    <w:rsid w:val="00DC0A4D"/>
    <w:rsid w:val="00DC0C53"/>
    <w:rsid w:val="00DC2531"/>
    <w:rsid w:val="00DC4441"/>
    <w:rsid w:val="00DC7230"/>
    <w:rsid w:val="00DC7342"/>
    <w:rsid w:val="00DC7556"/>
    <w:rsid w:val="00DC7565"/>
    <w:rsid w:val="00DC7D15"/>
    <w:rsid w:val="00DD0F10"/>
    <w:rsid w:val="00DD11D0"/>
    <w:rsid w:val="00DD20FA"/>
    <w:rsid w:val="00DD214A"/>
    <w:rsid w:val="00DD23DF"/>
    <w:rsid w:val="00DD257C"/>
    <w:rsid w:val="00DD2B0E"/>
    <w:rsid w:val="00DD30A7"/>
    <w:rsid w:val="00DD4281"/>
    <w:rsid w:val="00DD5341"/>
    <w:rsid w:val="00DD64B8"/>
    <w:rsid w:val="00DD6935"/>
    <w:rsid w:val="00DD6CC1"/>
    <w:rsid w:val="00DD701A"/>
    <w:rsid w:val="00DD79E0"/>
    <w:rsid w:val="00DD7AE0"/>
    <w:rsid w:val="00DE0CF0"/>
    <w:rsid w:val="00DE1595"/>
    <w:rsid w:val="00DE1794"/>
    <w:rsid w:val="00DE1853"/>
    <w:rsid w:val="00DE3658"/>
    <w:rsid w:val="00DE3BAE"/>
    <w:rsid w:val="00DE3F11"/>
    <w:rsid w:val="00DE47AF"/>
    <w:rsid w:val="00DE4A12"/>
    <w:rsid w:val="00DE4E57"/>
    <w:rsid w:val="00DE4F45"/>
    <w:rsid w:val="00DE5095"/>
    <w:rsid w:val="00DE535D"/>
    <w:rsid w:val="00DE5655"/>
    <w:rsid w:val="00DE5A20"/>
    <w:rsid w:val="00DE635E"/>
    <w:rsid w:val="00DE6902"/>
    <w:rsid w:val="00DE6C5D"/>
    <w:rsid w:val="00DE6FB7"/>
    <w:rsid w:val="00DE7487"/>
    <w:rsid w:val="00DF05A1"/>
    <w:rsid w:val="00DF0763"/>
    <w:rsid w:val="00DF081F"/>
    <w:rsid w:val="00DF0B80"/>
    <w:rsid w:val="00DF13E2"/>
    <w:rsid w:val="00DF251F"/>
    <w:rsid w:val="00DF3416"/>
    <w:rsid w:val="00DF3E73"/>
    <w:rsid w:val="00DF44C8"/>
    <w:rsid w:val="00DF466D"/>
    <w:rsid w:val="00DF4E7A"/>
    <w:rsid w:val="00DF5EF8"/>
    <w:rsid w:val="00DF7D1F"/>
    <w:rsid w:val="00E001CE"/>
    <w:rsid w:val="00E00EF2"/>
    <w:rsid w:val="00E01371"/>
    <w:rsid w:val="00E01496"/>
    <w:rsid w:val="00E0164F"/>
    <w:rsid w:val="00E029AD"/>
    <w:rsid w:val="00E03277"/>
    <w:rsid w:val="00E0328D"/>
    <w:rsid w:val="00E035DE"/>
    <w:rsid w:val="00E03BD6"/>
    <w:rsid w:val="00E04272"/>
    <w:rsid w:val="00E04346"/>
    <w:rsid w:val="00E049BA"/>
    <w:rsid w:val="00E054EE"/>
    <w:rsid w:val="00E05708"/>
    <w:rsid w:val="00E072A9"/>
    <w:rsid w:val="00E10D70"/>
    <w:rsid w:val="00E12DDE"/>
    <w:rsid w:val="00E12FD5"/>
    <w:rsid w:val="00E16102"/>
    <w:rsid w:val="00E16555"/>
    <w:rsid w:val="00E16AC2"/>
    <w:rsid w:val="00E16D03"/>
    <w:rsid w:val="00E17B30"/>
    <w:rsid w:val="00E20170"/>
    <w:rsid w:val="00E22098"/>
    <w:rsid w:val="00E222D8"/>
    <w:rsid w:val="00E22306"/>
    <w:rsid w:val="00E2248E"/>
    <w:rsid w:val="00E22B53"/>
    <w:rsid w:val="00E24DBE"/>
    <w:rsid w:val="00E30F9A"/>
    <w:rsid w:val="00E321F1"/>
    <w:rsid w:val="00E32E91"/>
    <w:rsid w:val="00E331A8"/>
    <w:rsid w:val="00E331EF"/>
    <w:rsid w:val="00E334AF"/>
    <w:rsid w:val="00E33542"/>
    <w:rsid w:val="00E337FD"/>
    <w:rsid w:val="00E33A70"/>
    <w:rsid w:val="00E33DE0"/>
    <w:rsid w:val="00E34B5D"/>
    <w:rsid w:val="00E36354"/>
    <w:rsid w:val="00E36AE2"/>
    <w:rsid w:val="00E37392"/>
    <w:rsid w:val="00E378C5"/>
    <w:rsid w:val="00E4087B"/>
    <w:rsid w:val="00E40908"/>
    <w:rsid w:val="00E427DB"/>
    <w:rsid w:val="00E42F5A"/>
    <w:rsid w:val="00E43112"/>
    <w:rsid w:val="00E43645"/>
    <w:rsid w:val="00E4376F"/>
    <w:rsid w:val="00E447B9"/>
    <w:rsid w:val="00E44C75"/>
    <w:rsid w:val="00E4608E"/>
    <w:rsid w:val="00E463A0"/>
    <w:rsid w:val="00E466A1"/>
    <w:rsid w:val="00E4718B"/>
    <w:rsid w:val="00E507F4"/>
    <w:rsid w:val="00E51A50"/>
    <w:rsid w:val="00E52215"/>
    <w:rsid w:val="00E52A63"/>
    <w:rsid w:val="00E52A6A"/>
    <w:rsid w:val="00E5372A"/>
    <w:rsid w:val="00E537B6"/>
    <w:rsid w:val="00E53D00"/>
    <w:rsid w:val="00E54237"/>
    <w:rsid w:val="00E54495"/>
    <w:rsid w:val="00E5486E"/>
    <w:rsid w:val="00E54E5D"/>
    <w:rsid w:val="00E55AF7"/>
    <w:rsid w:val="00E56422"/>
    <w:rsid w:val="00E56858"/>
    <w:rsid w:val="00E56FE4"/>
    <w:rsid w:val="00E57429"/>
    <w:rsid w:val="00E57CB9"/>
    <w:rsid w:val="00E6227A"/>
    <w:rsid w:val="00E62440"/>
    <w:rsid w:val="00E63E1D"/>
    <w:rsid w:val="00E640E2"/>
    <w:rsid w:val="00E65368"/>
    <w:rsid w:val="00E6577C"/>
    <w:rsid w:val="00E65CDB"/>
    <w:rsid w:val="00E67FEE"/>
    <w:rsid w:val="00E70CC6"/>
    <w:rsid w:val="00E72899"/>
    <w:rsid w:val="00E728DB"/>
    <w:rsid w:val="00E73D7D"/>
    <w:rsid w:val="00E73F09"/>
    <w:rsid w:val="00E74C8C"/>
    <w:rsid w:val="00E74F51"/>
    <w:rsid w:val="00E7546D"/>
    <w:rsid w:val="00E76AF9"/>
    <w:rsid w:val="00E779F8"/>
    <w:rsid w:val="00E77A3F"/>
    <w:rsid w:val="00E82856"/>
    <w:rsid w:val="00E82B18"/>
    <w:rsid w:val="00E83494"/>
    <w:rsid w:val="00E839CB"/>
    <w:rsid w:val="00E83EED"/>
    <w:rsid w:val="00E8543C"/>
    <w:rsid w:val="00E860A3"/>
    <w:rsid w:val="00E86484"/>
    <w:rsid w:val="00E8721C"/>
    <w:rsid w:val="00E87886"/>
    <w:rsid w:val="00E9008B"/>
    <w:rsid w:val="00E90E6A"/>
    <w:rsid w:val="00E912AB"/>
    <w:rsid w:val="00E917F5"/>
    <w:rsid w:val="00E921F8"/>
    <w:rsid w:val="00E93763"/>
    <w:rsid w:val="00E93D3C"/>
    <w:rsid w:val="00E9453C"/>
    <w:rsid w:val="00E960B4"/>
    <w:rsid w:val="00E97BB4"/>
    <w:rsid w:val="00E97C83"/>
    <w:rsid w:val="00EA0B93"/>
    <w:rsid w:val="00EA18A1"/>
    <w:rsid w:val="00EA42FE"/>
    <w:rsid w:val="00EA4C2A"/>
    <w:rsid w:val="00EA4D38"/>
    <w:rsid w:val="00EA5353"/>
    <w:rsid w:val="00EA5BAE"/>
    <w:rsid w:val="00EA61D0"/>
    <w:rsid w:val="00EA78F8"/>
    <w:rsid w:val="00EA7B6D"/>
    <w:rsid w:val="00EB05BB"/>
    <w:rsid w:val="00EB0DC9"/>
    <w:rsid w:val="00EB0E8C"/>
    <w:rsid w:val="00EB3406"/>
    <w:rsid w:val="00EB349B"/>
    <w:rsid w:val="00EB3A6B"/>
    <w:rsid w:val="00EB42B3"/>
    <w:rsid w:val="00EB5C03"/>
    <w:rsid w:val="00EB61C3"/>
    <w:rsid w:val="00EB68C4"/>
    <w:rsid w:val="00EB709F"/>
    <w:rsid w:val="00EC0B21"/>
    <w:rsid w:val="00EC3AE5"/>
    <w:rsid w:val="00EC584A"/>
    <w:rsid w:val="00EC6198"/>
    <w:rsid w:val="00EC62EE"/>
    <w:rsid w:val="00EC65B2"/>
    <w:rsid w:val="00EC6A73"/>
    <w:rsid w:val="00EC7786"/>
    <w:rsid w:val="00EC7ABE"/>
    <w:rsid w:val="00EC7D5B"/>
    <w:rsid w:val="00ED05AF"/>
    <w:rsid w:val="00ED45FD"/>
    <w:rsid w:val="00ED543F"/>
    <w:rsid w:val="00ED65AD"/>
    <w:rsid w:val="00ED6775"/>
    <w:rsid w:val="00ED6B1B"/>
    <w:rsid w:val="00ED6E70"/>
    <w:rsid w:val="00ED72DB"/>
    <w:rsid w:val="00ED7C8F"/>
    <w:rsid w:val="00ED7D8F"/>
    <w:rsid w:val="00EE1B62"/>
    <w:rsid w:val="00EE2D80"/>
    <w:rsid w:val="00EE2F03"/>
    <w:rsid w:val="00EE33B6"/>
    <w:rsid w:val="00EE359C"/>
    <w:rsid w:val="00EE3BCF"/>
    <w:rsid w:val="00EE4568"/>
    <w:rsid w:val="00EE4A67"/>
    <w:rsid w:val="00EE59CE"/>
    <w:rsid w:val="00EE600D"/>
    <w:rsid w:val="00EE66FF"/>
    <w:rsid w:val="00EE7F96"/>
    <w:rsid w:val="00EF0261"/>
    <w:rsid w:val="00EF0BC2"/>
    <w:rsid w:val="00EF0CFC"/>
    <w:rsid w:val="00EF109B"/>
    <w:rsid w:val="00EF257B"/>
    <w:rsid w:val="00EF2683"/>
    <w:rsid w:val="00EF293F"/>
    <w:rsid w:val="00EF2DC1"/>
    <w:rsid w:val="00EF36C8"/>
    <w:rsid w:val="00EF3BE4"/>
    <w:rsid w:val="00EF514A"/>
    <w:rsid w:val="00EF5203"/>
    <w:rsid w:val="00EF6A01"/>
    <w:rsid w:val="00EF6A1A"/>
    <w:rsid w:val="00EF767D"/>
    <w:rsid w:val="00EF7C3C"/>
    <w:rsid w:val="00F00189"/>
    <w:rsid w:val="00F003F4"/>
    <w:rsid w:val="00F0041A"/>
    <w:rsid w:val="00F007D5"/>
    <w:rsid w:val="00F01FD4"/>
    <w:rsid w:val="00F02EEF"/>
    <w:rsid w:val="00F03F09"/>
    <w:rsid w:val="00F04073"/>
    <w:rsid w:val="00F04E1A"/>
    <w:rsid w:val="00F0689D"/>
    <w:rsid w:val="00F07136"/>
    <w:rsid w:val="00F072FA"/>
    <w:rsid w:val="00F079BD"/>
    <w:rsid w:val="00F10DBE"/>
    <w:rsid w:val="00F110BE"/>
    <w:rsid w:val="00F114DE"/>
    <w:rsid w:val="00F11BC9"/>
    <w:rsid w:val="00F12585"/>
    <w:rsid w:val="00F12731"/>
    <w:rsid w:val="00F127AD"/>
    <w:rsid w:val="00F12AE4"/>
    <w:rsid w:val="00F142A7"/>
    <w:rsid w:val="00F14C85"/>
    <w:rsid w:val="00F1572D"/>
    <w:rsid w:val="00F15730"/>
    <w:rsid w:val="00F15B28"/>
    <w:rsid w:val="00F15E9E"/>
    <w:rsid w:val="00F16257"/>
    <w:rsid w:val="00F16394"/>
    <w:rsid w:val="00F170A0"/>
    <w:rsid w:val="00F173B6"/>
    <w:rsid w:val="00F1793D"/>
    <w:rsid w:val="00F179CA"/>
    <w:rsid w:val="00F179FB"/>
    <w:rsid w:val="00F17A52"/>
    <w:rsid w:val="00F210A0"/>
    <w:rsid w:val="00F217F8"/>
    <w:rsid w:val="00F2208E"/>
    <w:rsid w:val="00F2275C"/>
    <w:rsid w:val="00F22C60"/>
    <w:rsid w:val="00F230D1"/>
    <w:rsid w:val="00F2323E"/>
    <w:rsid w:val="00F2326C"/>
    <w:rsid w:val="00F236B3"/>
    <w:rsid w:val="00F23A09"/>
    <w:rsid w:val="00F23A8F"/>
    <w:rsid w:val="00F23D8F"/>
    <w:rsid w:val="00F245D0"/>
    <w:rsid w:val="00F24C4B"/>
    <w:rsid w:val="00F24DC1"/>
    <w:rsid w:val="00F253FA"/>
    <w:rsid w:val="00F25BF1"/>
    <w:rsid w:val="00F25C8C"/>
    <w:rsid w:val="00F25DAE"/>
    <w:rsid w:val="00F2660A"/>
    <w:rsid w:val="00F26FD2"/>
    <w:rsid w:val="00F276E8"/>
    <w:rsid w:val="00F343EF"/>
    <w:rsid w:val="00F3515C"/>
    <w:rsid w:val="00F373CD"/>
    <w:rsid w:val="00F4035A"/>
    <w:rsid w:val="00F40493"/>
    <w:rsid w:val="00F40866"/>
    <w:rsid w:val="00F41422"/>
    <w:rsid w:val="00F41A48"/>
    <w:rsid w:val="00F41BAA"/>
    <w:rsid w:val="00F421C3"/>
    <w:rsid w:val="00F42D59"/>
    <w:rsid w:val="00F43168"/>
    <w:rsid w:val="00F438B3"/>
    <w:rsid w:val="00F445FB"/>
    <w:rsid w:val="00F45477"/>
    <w:rsid w:val="00F45512"/>
    <w:rsid w:val="00F4581A"/>
    <w:rsid w:val="00F459A8"/>
    <w:rsid w:val="00F46904"/>
    <w:rsid w:val="00F46BFF"/>
    <w:rsid w:val="00F47911"/>
    <w:rsid w:val="00F5061F"/>
    <w:rsid w:val="00F50D19"/>
    <w:rsid w:val="00F51CD8"/>
    <w:rsid w:val="00F52105"/>
    <w:rsid w:val="00F531A9"/>
    <w:rsid w:val="00F53612"/>
    <w:rsid w:val="00F53F8D"/>
    <w:rsid w:val="00F541E3"/>
    <w:rsid w:val="00F541FD"/>
    <w:rsid w:val="00F54264"/>
    <w:rsid w:val="00F545BF"/>
    <w:rsid w:val="00F5524E"/>
    <w:rsid w:val="00F5592D"/>
    <w:rsid w:val="00F5662C"/>
    <w:rsid w:val="00F570F6"/>
    <w:rsid w:val="00F57639"/>
    <w:rsid w:val="00F60FC9"/>
    <w:rsid w:val="00F62B74"/>
    <w:rsid w:val="00F633B8"/>
    <w:rsid w:val="00F649C1"/>
    <w:rsid w:val="00F65095"/>
    <w:rsid w:val="00F66145"/>
    <w:rsid w:val="00F667E2"/>
    <w:rsid w:val="00F6747E"/>
    <w:rsid w:val="00F67732"/>
    <w:rsid w:val="00F67D59"/>
    <w:rsid w:val="00F70C37"/>
    <w:rsid w:val="00F7233D"/>
    <w:rsid w:val="00F72D89"/>
    <w:rsid w:val="00F73FD8"/>
    <w:rsid w:val="00F7408D"/>
    <w:rsid w:val="00F7469F"/>
    <w:rsid w:val="00F74CBB"/>
    <w:rsid w:val="00F74F2E"/>
    <w:rsid w:val="00F75135"/>
    <w:rsid w:val="00F7586D"/>
    <w:rsid w:val="00F758FF"/>
    <w:rsid w:val="00F77249"/>
    <w:rsid w:val="00F801B2"/>
    <w:rsid w:val="00F8151D"/>
    <w:rsid w:val="00F823E3"/>
    <w:rsid w:val="00F827F0"/>
    <w:rsid w:val="00F84A25"/>
    <w:rsid w:val="00F84A4E"/>
    <w:rsid w:val="00F901A4"/>
    <w:rsid w:val="00F907DE"/>
    <w:rsid w:val="00F90BA3"/>
    <w:rsid w:val="00F9125B"/>
    <w:rsid w:val="00F91434"/>
    <w:rsid w:val="00F9283D"/>
    <w:rsid w:val="00F94DD2"/>
    <w:rsid w:val="00F95339"/>
    <w:rsid w:val="00F958AA"/>
    <w:rsid w:val="00F95C92"/>
    <w:rsid w:val="00F96323"/>
    <w:rsid w:val="00F96932"/>
    <w:rsid w:val="00F96A22"/>
    <w:rsid w:val="00FA03CE"/>
    <w:rsid w:val="00FA1B7B"/>
    <w:rsid w:val="00FA22CF"/>
    <w:rsid w:val="00FA2AA9"/>
    <w:rsid w:val="00FA2F9C"/>
    <w:rsid w:val="00FA32E7"/>
    <w:rsid w:val="00FA3952"/>
    <w:rsid w:val="00FA4A80"/>
    <w:rsid w:val="00FA5444"/>
    <w:rsid w:val="00FA5784"/>
    <w:rsid w:val="00FA5C12"/>
    <w:rsid w:val="00FA5DAF"/>
    <w:rsid w:val="00FA6359"/>
    <w:rsid w:val="00FA6954"/>
    <w:rsid w:val="00FA6D4F"/>
    <w:rsid w:val="00FA714C"/>
    <w:rsid w:val="00FA72FD"/>
    <w:rsid w:val="00FA7520"/>
    <w:rsid w:val="00FB0202"/>
    <w:rsid w:val="00FB06BB"/>
    <w:rsid w:val="00FB0CA0"/>
    <w:rsid w:val="00FB0D4D"/>
    <w:rsid w:val="00FB1796"/>
    <w:rsid w:val="00FB1807"/>
    <w:rsid w:val="00FB2493"/>
    <w:rsid w:val="00FB2D35"/>
    <w:rsid w:val="00FB2EBC"/>
    <w:rsid w:val="00FB376C"/>
    <w:rsid w:val="00FB4627"/>
    <w:rsid w:val="00FB4A99"/>
    <w:rsid w:val="00FB4E20"/>
    <w:rsid w:val="00FB5835"/>
    <w:rsid w:val="00FB58D9"/>
    <w:rsid w:val="00FB5939"/>
    <w:rsid w:val="00FB5EA0"/>
    <w:rsid w:val="00FB6E58"/>
    <w:rsid w:val="00FB6E80"/>
    <w:rsid w:val="00FB78E7"/>
    <w:rsid w:val="00FC2A94"/>
    <w:rsid w:val="00FC2BCF"/>
    <w:rsid w:val="00FC3503"/>
    <w:rsid w:val="00FC35D0"/>
    <w:rsid w:val="00FC3A99"/>
    <w:rsid w:val="00FC3E07"/>
    <w:rsid w:val="00FC413E"/>
    <w:rsid w:val="00FC44B8"/>
    <w:rsid w:val="00FC4DFF"/>
    <w:rsid w:val="00FC549E"/>
    <w:rsid w:val="00FC5579"/>
    <w:rsid w:val="00FC59E0"/>
    <w:rsid w:val="00FC7135"/>
    <w:rsid w:val="00FC72E9"/>
    <w:rsid w:val="00FC788C"/>
    <w:rsid w:val="00FC79CE"/>
    <w:rsid w:val="00FD177B"/>
    <w:rsid w:val="00FD25C5"/>
    <w:rsid w:val="00FD25ED"/>
    <w:rsid w:val="00FD3279"/>
    <w:rsid w:val="00FD3AD5"/>
    <w:rsid w:val="00FD3EDB"/>
    <w:rsid w:val="00FD4323"/>
    <w:rsid w:val="00FD4AC6"/>
    <w:rsid w:val="00FD62F2"/>
    <w:rsid w:val="00FD67A7"/>
    <w:rsid w:val="00FD6C52"/>
    <w:rsid w:val="00FD6E1D"/>
    <w:rsid w:val="00FD6F5D"/>
    <w:rsid w:val="00FD7474"/>
    <w:rsid w:val="00FD7A55"/>
    <w:rsid w:val="00FE00ED"/>
    <w:rsid w:val="00FE0819"/>
    <w:rsid w:val="00FE1BE6"/>
    <w:rsid w:val="00FE1FB3"/>
    <w:rsid w:val="00FE2464"/>
    <w:rsid w:val="00FE422C"/>
    <w:rsid w:val="00FE4854"/>
    <w:rsid w:val="00FE4C9B"/>
    <w:rsid w:val="00FE55D4"/>
    <w:rsid w:val="00FE573F"/>
    <w:rsid w:val="00FF0D04"/>
    <w:rsid w:val="00FF1047"/>
    <w:rsid w:val="00FF1387"/>
    <w:rsid w:val="00FF23B3"/>
    <w:rsid w:val="00FF2610"/>
    <w:rsid w:val="00FF4E2C"/>
    <w:rsid w:val="00FF5319"/>
    <w:rsid w:val="00FF58AB"/>
    <w:rsid w:val="00FF59E3"/>
    <w:rsid w:val="00FF5F62"/>
    <w:rsid w:val="00FF6629"/>
    <w:rsid w:val="00FF6632"/>
    <w:rsid w:val="00FF6677"/>
    <w:rsid w:val="00FF6AAC"/>
    <w:rsid w:val="00FF7795"/>
    <w:rsid w:val="026ED7D8"/>
    <w:rsid w:val="02C0D4FA"/>
    <w:rsid w:val="0389E1FF"/>
    <w:rsid w:val="05196D8A"/>
    <w:rsid w:val="0546AFF9"/>
    <w:rsid w:val="082C3132"/>
    <w:rsid w:val="0927661C"/>
    <w:rsid w:val="096FA438"/>
    <w:rsid w:val="0C34BABB"/>
    <w:rsid w:val="15BAB791"/>
    <w:rsid w:val="1A45E766"/>
    <w:rsid w:val="1D6D4C29"/>
    <w:rsid w:val="1E855BC0"/>
    <w:rsid w:val="211FC120"/>
    <w:rsid w:val="237366D9"/>
    <w:rsid w:val="239F478F"/>
    <w:rsid w:val="24A6B6AB"/>
    <w:rsid w:val="295775A9"/>
    <w:rsid w:val="2AAF0C20"/>
    <w:rsid w:val="2B1E2EAD"/>
    <w:rsid w:val="2B7C9042"/>
    <w:rsid w:val="2D3D79B3"/>
    <w:rsid w:val="2E5939F6"/>
    <w:rsid w:val="2F88A06D"/>
    <w:rsid w:val="3025CD82"/>
    <w:rsid w:val="31346F06"/>
    <w:rsid w:val="33A7A3B2"/>
    <w:rsid w:val="33C3442C"/>
    <w:rsid w:val="34B603B4"/>
    <w:rsid w:val="35C8C3D1"/>
    <w:rsid w:val="36538136"/>
    <w:rsid w:val="3AB9382E"/>
    <w:rsid w:val="3CA56E8A"/>
    <w:rsid w:val="3D64CB0F"/>
    <w:rsid w:val="3F66E10C"/>
    <w:rsid w:val="4068F2BD"/>
    <w:rsid w:val="4178D6B3"/>
    <w:rsid w:val="465C1D0E"/>
    <w:rsid w:val="48032765"/>
    <w:rsid w:val="4992D0C3"/>
    <w:rsid w:val="4D32D515"/>
    <w:rsid w:val="4D7B0660"/>
    <w:rsid w:val="4E457265"/>
    <w:rsid w:val="508A334B"/>
    <w:rsid w:val="5120D449"/>
    <w:rsid w:val="51B4E403"/>
    <w:rsid w:val="521DDBEB"/>
    <w:rsid w:val="53F4DCB4"/>
    <w:rsid w:val="54939BD6"/>
    <w:rsid w:val="54C4D588"/>
    <w:rsid w:val="5520722C"/>
    <w:rsid w:val="55DB3260"/>
    <w:rsid w:val="5A1A691D"/>
    <w:rsid w:val="5B8FE0A0"/>
    <w:rsid w:val="5BE6E8F6"/>
    <w:rsid w:val="5C434158"/>
    <w:rsid w:val="5DF490B5"/>
    <w:rsid w:val="5E8F89DC"/>
    <w:rsid w:val="6073CFFD"/>
    <w:rsid w:val="60BBA5D3"/>
    <w:rsid w:val="611650D3"/>
    <w:rsid w:val="63AE3B12"/>
    <w:rsid w:val="675E379B"/>
    <w:rsid w:val="6771D315"/>
    <w:rsid w:val="6883A243"/>
    <w:rsid w:val="68A41720"/>
    <w:rsid w:val="68F5A39F"/>
    <w:rsid w:val="6A5E555A"/>
    <w:rsid w:val="6ABEFB1A"/>
    <w:rsid w:val="6AD8161D"/>
    <w:rsid w:val="6ECABAC7"/>
    <w:rsid w:val="6F13E613"/>
    <w:rsid w:val="702BB3F8"/>
    <w:rsid w:val="71ADA70D"/>
    <w:rsid w:val="746F47BC"/>
    <w:rsid w:val="753BE502"/>
    <w:rsid w:val="7589646B"/>
    <w:rsid w:val="77730A32"/>
    <w:rsid w:val="77A326A5"/>
    <w:rsid w:val="7B15101F"/>
    <w:rsid w:val="7CDDA373"/>
    <w:rsid w:val="7D244EDB"/>
    <w:rsid w:val="7D4338A6"/>
    <w:rsid w:val="7EE50CEB"/>
    <w:rsid w:val="7F67F22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24D1"/>
  <w15:chartTrackingRefBased/>
  <w15:docId w15:val="{0E173311-4838-4774-93E2-8A8357EE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4"/>
        <w:lang w:val="en-NZ"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rsid w:val="005F55A7"/>
    <w:pPr>
      <w:spacing w:before="120" w:after="120" w:line="276" w:lineRule="auto"/>
    </w:pPr>
  </w:style>
  <w:style w:type="paragraph" w:styleId="Heading1">
    <w:name w:val="heading 1"/>
    <w:aliases w:val="Heading 1 numbered"/>
    <w:basedOn w:val="Normal"/>
    <w:next w:val="Normal"/>
    <w:link w:val="Heading1Char"/>
    <w:uiPriority w:val="9"/>
    <w:rsid w:val="00AD29D4"/>
    <w:pPr>
      <w:keepNext/>
      <w:keepLines/>
      <w:spacing w:before="360"/>
      <w:outlineLvl w:val="0"/>
    </w:pPr>
    <w:rPr>
      <w:rFonts w:eastAsiaTheme="majorEastAsia"/>
      <w:b/>
      <w:color w:val="1F3864" w:themeColor="accent1" w:themeShade="80"/>
      <w:sz w:val="44"/>
      <w:szCs w:val="44"/>
    </w:rPr>
  </w:style>
  <w:style w:type="paragraph" w:styleId="Heading2">
    <w:name w:val="heading 2"/>
    <w:aliases w:val="Heading 2 numbered"/>
    <w:basedOn w:val="Normal"/>
    <w:next w:val="Normal"/>
    <w:link w:val="Heading2Char"/>
    <w:uiPriority w:val="9"/>
    <w:unhideWhenUsed/>
    <w:rsid w:val="00AD29D4"/>
    <w:pPr>
      <w:keepNext/>
      <w:keepLines/>
      <w:spacing w:before="160"/>
      <w:outlineLvl w:val="1"/>
    </w:pPr>
    <w:rPr>
      <w:rFonts w:eastAsiaTheme="majorEastAsia"/>
      <w:b/>
      <w:color w:val="1F3864" w:themeColor="accent1" w:themeShade="80"/>
      <w:sz w:val="32"/>
      <w:szCs w:val="32"/>
    </w:rPr>
  </w:style>
  <w:style w:type="paragraph" w:styleId="Heading3">
    <w:name w:val="heading 3"/>
    <w:basedOn w:val="Heading2"/>
    <w:next w:val="BodyText"/>
    <w:link w:val="Heading3Char"/>
    <w:uiPriority w:val="9"/>
    <w:unhideWhenUsed/>
    <w:qFormat/>
    <w:rsid w:val="000D4E2D"/>
    <w:pPr>
      <w:outlineLvl w:val="2"/>
    </w:pPr>
    <w:rPr>
      <w:color w:val="0F385A"/>
      <w:sz w:val="29"/>
    </w:rPr>
  </w:style>
  <w:style w:type="paragraph" w:styleId="Heading4">
    <w:name w:val="heading 4"/>
    <w:basedOn w:val="Heading3"/>
    <w:next w:val="BodyText"/>
    <w:link w:val="Heading4Char"/>
    <w:uiPriority w:val="9"/>
    <w:unhideWhenUsed/>
    <w:qFormat/>
    <w:rsid w:val="00E5372A"/>
    <w:pPr>
      <w:outlineLvl w:val="3"/>
    </w:pPr>
    <w:rPr>
      <w:color w:val="auto"/>
      <w:sz w:val="24"/>
      <w:szCs w:val="24"/>
    </w:rPr>
  </w:style>
  <w:style w:type="paragraph" w:styleId="Heading5">
    <w:name w:val="heading 5"/>
    <w:next w:val="Normal"/>
    <w:link w:val="Heading5Char"/>
    <w:uiPriority w:val="9"/>
    <w:unhideWhenUsed/>
    <w:qFormat/>
    <w:rsid w:val="00642CDE"/>
    <w:pPr>
      <w:keepNext/>
      <w:keepLines/>
      <w:spacing w:before="40"/>
      <w:outlineLvl w:val="4"/>
    </w:pPr>
    <w:rPr>
      <w:rFonts w:eastAsiaTheme="majorEastAsia"/>
      <w:b/>
      <w:bCs/>
      <w:i/>
      <w:iCs/>
      <w:szCs w:val="22"/>
    </w:rPr>
  </w:style>
  <w:style w:type="paragraph" w:styleId="Heading6">
    <w:name w:val="heading 6"/>
    <w:basedOn w:val="Normal"/>
    <w:next w:val="Normal"/>
    <w:link w:val="Heading6Char"/>
    <w:uiPriority w:val="9"/>
    <w:unhideWhenUsed/>
    <w:rsid w:val="003758A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944A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540D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0D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7686"/>
    <w:rPr>
      <w:rFonts w:eastAsiaTheme="minorEastAsia"/>
      <w:szCs w:val="22"/>
      <w:lang w:val="en-US" w:eastAsia="zh-CN"/>
    </w:rPr>
  </w:style>
  <w:style w:type="character" w:customStyle="1" w:styleId="NoSpacingChar">
    <w:name w:val="No Spacing Char"/>
    <w:basedOn w:val="DefaultParagraphFont"/>
    <w:link w:val="NoSpacing"/>
    <w:uiPriority w:val="1"/>
    <w:rsid w:val="00AE7686"/>
    <w:rPr>
      <w:rFonts w:ascii="Calibri" w:eastAsiaTheme="minorEastAsia" w:hAnsi="Calibri"/>
      <w:b w:val="0"/>
      <w:i w:val="0"/>
      <w:sz w:val="22"/>
      <w:szCs w:val="22"/>
      <w:lang w:val="en-US" w:eastAsia="zh-CN"/>
    </w:rPr>
  </w:style>
  <w:style w:type="paragraph" w:styleId="Header">
    <w:name w:val="header"/>
    <w:basedOn w:val="Normal"/>
    <w:link w:val="HeaderChar"/>
    <w:uiPriority w:val="99"/>
    <w:unhideWhenUsed/>
    <w:rsid w:val="00D50EE2"/>
    <w:pPr>
      <w:tabs>
        <w:tab w:val="center" w:pos="4513"/>
        <w:tab w:val="right" w:pos="9026"/>
      </w:tabs>
    </w:pPr>
  </w:style>
  <w:style w:type="character" w:customStyle="1" w:styleId="HeaderChar">
    <w:name w:val="Header Char"/>
    <w:basedOn w:val="DefaultParagraphFont"/>
    <w:link w:val="Header"/>
    <w:uiPriority w:val="99"/>
    <w:rsid w:val="00D50EE2"/>
    <w:rPr>
      <w:rFonts w:asciiTheme="majorHAnsi" w:hAnsiTheme="majorHAnsi" w:cs="Poppins Light"/>
      <w:b w:val="0"/>
      <w:i w:val="0"/>
      <w:color w:val="1D4A63"/>
      <w:sz w:val="20"/>
      <w:szCs w:val="20"/>
      <w:lang w:val="en-GB"/>
    </w:rPr>
  </w:style>
  <w:style w:type="paragraph" w:styleId="Footer">
    <w:name w:val="footer"/>
    <w:basedOn w:val="Normal"/>
    <w:link w:val="FooterChar"/>
    <w:uiPriority w:val="99"/>
    <w:unhideWhenUsed/>
    <w:rsid w:val="00D50EE2"/>
    <w:pPr>
      <w:tabs>
        <w:tab w:val="center" w:pos="4513"/>
        <w:tab w:val="right" w:pos="9026"/>
      </w:tabs>
    </w:pPr>
    <w:rPr>
      <w:b/>
    </w:rPr>
  </w:style>
  <w:style w:type="character" w:customStyle="1" w:styleId="FooterChar">
    <w:name w:val="Footer Char"/>
    <w:basedOn w:val="DefaultParagraphFont"/>
    <w:link w:val="Footer"/>
    <w:uiPriority w:val="99"/>
    <w:rsid w:val="00D50EE2"/>
    <w:rPr>
      <w:rFonts w:asciiTheme="majorHAnsi" w:hAnsiTheme="majorHAnsi" w:cs="Poppins Light"/>
      <w:b/>
      <w:i w:val="0"/>
      <w:color w:val="1D4A63"/>
      <w:sz w:val="20"/>
      <w:szCs w:val="20"/>
      <w:lang w:val="en-GB"/>
    </w:rPr>
  </w:style>
  <w:style w:type="paragraph" w:customStyle="1" w:styleId="BasicParagraph">
    <w:name w:val="[Basic Paragraph]"/>
    <w:basedOn w:val="Normal"/>
    <w:uiPriority w:val="99"/>
    <w:rsid w:val="00D50EE2"/>
    <w:pPr>
      <w:autoSpaceDE w:val="0"/>
      <w:autoSpaceDN w:val="0"/>
      <w:adjustRightInd w:val="0"/>
      <w:spacing w:line="288" w:lineRule="auto"/>
      <w:textAlignment w:val="center"/>
    </w:pPr>
    <w:rPr>
      <w:rFonts w:cs="Minion Pro"/>
      <w:color w:val="000000"/>
      <w:lang w:val="en-US"/>
    </w:rPr>
  </w:style>
  <w:style w:type="paragraph" w:styleId="Title">
    <w:name w:val="Title"/>
    <w:basedOn w:val="Normal"/>
    <w:next w:val="Normal"/>
    <w:link w:val="TitleChar"/>
    <w:qFormat/>
    <w:rsid w:val="00E779F8"/>
    <w:pPr>
      <w:spacing w:before="0" w:after="240"/>
      <w:contextualSpacing/>
    </w:pPr>
    <w:rPr>
      <w:rFonts w:eastAsiaTheme="majorEastAsia"/>
      <w:b/>
      <w:color w:val="1F3864" w:themeColor="accent1" w:themeShade="80"/>
      <w:spacing w:val="-10"/>
      <w:kern w:val="28"/>
      <w:sz w:val="80"/>
      <w:szCs w:val="80"/>
    </w:rPr>
  </w:style>
  <w:style w:type="character" w:customStyle="1" w:styleId="TitleChar">
    <w:name w:val="Title Char"/>
    <w:basedOn w:val="DefaultParagraphFont"/>
    <w:link w:val="Title"/>
    <w:rsid w:val="005F55A7"/>
    <w:rPr>
      <w:rFonts w:ascii="Calibri" w:eastAsiaTheme="majorEastAsia" w:hAnsi="Calibri"/>
      <w:b/>
      <w:i w:val="0"/>
      <w:color w:val="1F3864" w:themeColor="accent1" w:themeShade="80"/>
      <w:spacing w:val="-10"/>
      <w:kern w:val="28"/>
      <w:sz w:val="80"/>
      <w:szCs w:val="80"/>
    </w:rPr>
  </w:style>
  <w:style w:type="character" w:customStyle="1" w:styleId="Heading1Char">
    <w:name w:val="Heading 1 Char"/>
    <w:aliases w:val="Heading 1 numbered Char"/>
    <w:basedOn w:val="DefaultParagraphFont"/>
    <w:link w:val="Heading1"/>
    <w:uiPriority w:val="9"/>
    <w:rsid w:val="00AD29D4"/>
    <w:rPr>
      <w:rFonts w:eastAsiaTheme="majorEastAsia"/>
      <w:b/>
      <w:color w:val="1F3864" w:themeColor="accent1" w:themeShade="80"/>
      <w:sz w:val="44"/>
      <w:szCs w:val="44"/>
    </w:rPr>
  </w:style>
  <w:style w:type="paragraph" w:customStyle="1" w:styleId="Intro">
    <w:name w:val="Intro"/>
    <w:basedOn w:val="BasicParagraph"/>
    <w:qFormat/>
    <w:rsid w:val="00C10A32"/>
    <w:pPr>
      <w:spacing w:after="200" w:line="216" w:lineRule="auto"/>
    </w:pPr>
    <w:rPr>
      <w:rFonts w:eastAsia="Calibri" w:cs="Calibri"/>
      <w:color w:val="0F385A"/>
      <w:w w:val="105"/>
      <w:sz w:val="38"/>
      <w:szCs w:val="22"/>
    </w:rPr>
  </w:style>
  <w:style w:type="character" w:customStyle="1" w:styleId="Heading2Char">
    <w:name w:val="Heading 2 Char"/>
    <w:aliases w:val="Heading 2 numbered Char"/>
    <w:basedOn w:val="DefaultParagraphFont"/>
    <w:link w:val="Heading2"/>
    <w:uiPriority w:val="9"/>
    <w:rsid w:val="00AD29D4"/>
    <w:rPr>
      <w:rFonts w:ascii="Calibri" w:eastAsiaTheme="majorEastAsia" w:hAnsi="Calibri" w:cstheme="minorHAnsi"/>
      <w:b/>
      <w:i w:val="0"/>
      <w:color w:val="1F3864" w:themeColor="accent1" w:themeShade="80"/>
      <w:sz w:val="32"/>
      <w:szCs w:val="32"/>
      <w:lang w:val="en-GB"/>
    </w:rPr>
  </w:style>
  <w:style w:type="character" w:customStyle="1" w:styleId="Heading3Char">
    <w:name w:val="Heading 3 Char"/>
    <w:basedOn w:val="DefaultParagraphFont"/>
    <w:link w:val="Heading3"/>
    <w:uiPriority w:val="9"/>
    <w:rsid w:val="000D4E2D"/>
    <w:rPr>
      <w:rFonts w:asciiTheme="minorHAnsi" w:eastAsia="Calibri" w:hAnsiTheme="minorHAnsi" w:cstheme="minorHAnsi"/>
      <w:b/>
      <w:i w:val="0"/>
      <w:color w:val="0F385A"/>
      <w:sz w:val="29"/>
      <w:szCs w:val="22"/>
      <w:lang w:val="en-US"/>
    </w:rPr>
  </w:style>
  <w:style w:type="character" w:customStyle="1" w:styleId="Heading4Char">
    <w:name w:val="Heading 4 Char"/>
    <w:basedOn w:val="DefaultParagraphFont"/>
    <w:link w:val="Heading4"/>
    <w:uiPriority w:val="9"/>
    <w:rsid w:val="00E5372A"/>
    <w:rPr>
      <w:rFonts w:asciiTheme="minorHAnsi" w:eastAsia="Calibri" w:hAnsiTheme="minorHAnsi" w:cstheme="minorHAnsi"/>
      <w:b/>
      <w:i w:val="0"/>
      <w:sz w:val="24"/>
      <w:lang w:val="en-US"/>
    </w:rPr>
  </w:style>
  <w:style w:type="paragraph" w:styleId="ListParagraph">
    <w:name w:val="List Paragraph"/>
    <w:aliases w:val="Rec para,List Paragraph1,Recommendation,List Paragraph11,List Paragraph - Bullet Point,Dot pt,F5 List Paragraph,No Spacing1,List Paragraph Char Char Char,Indicator Text,Numbered Para 1,Bullet 1,MAIN CONTENT,List Paragraph12"/>
    <w:basedOn w:val="Normal"/>
    <w:link w:val="ListParagraphChar"/>
    <w:uiPriority w:val="34"/>
    <w:qFormat/>
    <w:rsid w:val="00062E3D"/>
    <w:pPr>
      <w:ind w:left="720"/>
      <w:contextualSpacing/>
    </w:pPr>
  </w:style>
  <w:style w:type="paragraph" w:customStyle="1" w:styleId="Bullets">
    <w:name w:val="Bullets"/>
    <w:basedOn w:val="ListParagraph"/>
    <w:rsid w:val="00062E3D"/>
    <w:pPr>
      <w:numPr>
        <w:numId w:val="1"/>
      </w:numPr>
      <w:ind w:left="454" w:firstLine="0"/>
    </w:pPr>
  </w:style>
  <w:style w:type="paragraph" w:customStyle="1" w:styleId="BodyBoldIndented">
    <w:name w:val="Body Bold Indented"/>
    <w:basedOn w:val="Normal"/>
    <w:rsid w:val="00062E3D"/>
    <w:pPr>
      <w:ind w:left="454"/>
    </w:pPr>
    <w:rPr>
      <w:b/>
      <w:bCs/>
    </w:rPr>
  </w:style>
  <w:style w:type="paragraph" w:customStyle="1" w:styleId="Highlight">
    <w:name w:val="Highlight"/>
    <w:basedOn w:val="BasicParagraph"/>
    <w:rsid w:val="00D50EE2"/>
    <w:rPr>
      <w:rFonts w:cstheme="majorHAnsi"/>
      <w:color w:val="1D4A63"/>
      <w:sz w:val="40"/>
      <w:szCs w:val="40"/>
    </w:rPr>
  </w:style>
  <w:style w:type="character" w:styleId="PageNumber">
    <w:name w:val="page number"/>
    <w:basedOn w:val="DefaultParagraphFont"/>
    <w:uiPriority w:val="99"/>
    <w:semiHidden/>
    <w:unhideWhenUsed/>
    <w:rsid w:val="00A258CD"/>
    <w:rPr>
      <w:rFonts w:ascii="Calibri" w:hAnsi="Calibri"/>
      <w:b w:val="0"/>
      <w:i w:val="0"/>
      <w:sz w:val="24"/>
    </w:rPr>
  </w:style>
  <w:style w:type="paragraph" w:customStyle="1" w:styleId="FooterTitle">
    <w:name w:val="Footer Title"/>
    <w:basedOn w:val="Footer"/>
    <w:rsid w:val="00D50EE2"/>
    <w:rPr>
      <w:b w:val="0"/>
    </w:rPr>
  </w:style>
  <w:style w:type="paragraph" w:customStyle="1" w:styleId="DocumentTitle">
    <w:name w:val="Document Title"/>
    <w:basedOn w:val="Normal"/>
    <w:rsid w:val="00D50EE2"/>
    <w:pPr>
      <w:autoSpaceDE w:val="0"/>
      <w:autoSpaceDN w:val="0"/>
      <w:adjustRightInd w:val="0"/>
      <w:spacing w:before="0" w:after="0" w:line="240" w:lineRule="auto"/>
      <w:textAlignment w:val="center"/>
    </w:pPr>
    <w:rPr>
      <w:rFonts w:cs="Montserrat"/>
      <w:b/>
      <w:bCs/>
      <w:color w:val="FFFFFF" w:themeColor="background1"/>
      <w:sz w:val="80"/>
      <w:szCs w:val="80"/>
      <w:lang w:val="en-US"/>
      <w14:textOutline w14:w="9525" w14:cap="flat" w14:cmpd="sng" w14:algn="ctr">
        <w14:noFill/>
        <w14:prstDash w14:val="solid"/>
        <w14:round/>
      </w14:textOutline>
    </w:rPr>
  </w:style>
  <w:style w:type="paragraph" w:styleId="Subtitle">
    <w:name w:val="Subtitle"/>
    <w:basedOn w:val="Normal"/>
    <w:next w:val="Normal"/>
    <w:link w:val="SubtitleChar"/>
    <w:uiPriority w:val="11"/>
    <w:rsid w:val="00D50EE2"/>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D50EE2"/>
    <w:rPr>
      <w:rFonts w:ascii="Calibri" w:eastAsiaTheme="minorEastAsia" w:hAnsi="Calibri"/>
      <w:b w:val="0"/>
      <w:i w:val="0"/>
      <w:color w:val="5A5A5A" w:themeColor="text1" w:themeTint="A5"/>
      <w:spacing w:val="15"/>
      <w:sz w:val="22"/>
      <w:szCs w:val="22"/>
      <w:lang w:val="en-GB"/>
    </w:rPr>
  </w:style>
  <w:style w:type="character" w:styleId="SubtleEmphasis">
    <w:name w:val="Subtle Emphasis"/>
    <w:basedOn w:val="DefaultParagraphFont"/>
    <w:uiPriority w:val="19"/>
    <w:rsid w:val="00D50EE2"/>
    <w:rPr>
      <w:rFonts w:asciiTheme="majorHAnsi" w:hAnsiTheme="majorHAnsi"/>
      <w:b w:val="0"/>
      <w:i/>
      <w:iCs/>
      <w:color w:val="404040" w:themeColor="text1" w:themeTint="BF"/>
      <w:sz w:val="24"/>
    </w:rPr>
  </w:style>
  <w:style w:type="character" w:styleId="Emphasis">
    <w:name w:val="Emphasis"/>
    <w:basedOn w:val="DefaultParagraphFont"/>
    <w:uiPriority w:val="20"/>
    <w:rsid w:val="00D50EE2"/>
    <w:rPr>
      <w:rFonts w:asciiTheme="majorHAnsi" w:hAnsiTheme="majorHAnsi"/>
      <w:b w:val="0"/>
      <w:i/>
      <w:iCs/>
      <w:sz w:val="24"/>
    </w:rPr>
  </w:style>
  <w:style w:type="character" w:styleId="Strong">
    <w:name w:val="Strong"/>
    <w:basedOn w:val="DefaultParagraphFont"/>
    <w:uiPriority w:val="22"/>
    <w:rsid w:val="00D50EE2"/>
    <w:rPr>
      <w:rFonts w:asciiTheme="majorHAnsi" w:hAnsiTheme="majorHAnsi"/>
      <w:b/>
      <w:bCs/>
      <w:i w:val="0"/>
      <w:sz w:val="24"/>
    </w:rPr>
  </w:style>
  <w:style w:type="paragraph" w:styleId="IntenseQuote">
    <w:name w:val="Intense Quote"/>
    <w:basedOn w:val="Normal"/>
    <w:next w:val="Normal"/>
    <w:link w:val="IntenseQuoteChar"/>
    <w:uiPriority w:val="30"/>
    <w:rsid w:val="00D50EE2"/>
    <w:pPr>
      <w:pBdr>
        <w:top w:val="single" w:sz="4" w:space="10" w:color="4472C4" w:themeColor="accent1"/>
        <w:bottom w:val="single" w:sz="4" w:space="10" w:color="4472C4" w:themeColor="accent1"/>
      </w:pBdr>
      <w:spacing w:before="360" w:after="360"/>
      <w:ind w:left="864" w:right="864"/>
      <w:jc w:val="center"/>
    </w:pPr>
    <w:rPr>
      <w:i/>
      <w:iCs/>
      <w:color w:val="60B9D8"/>
    </w:rPr>
  </w:style>
  <w:style w:type="character" w:customStyle="1" w:styleId="IntenseQuoteChar">
    <w:name w:val="Intense Quote Char"/>
    <w:basedOn w:val="DefaultParagraphFont"/>
    <w:link w:val="IntenseQuote"/>
    <w:uiPriority w:val="30"/>
    <w:rsid w:val="00D50EE2"/>
    <w:rPr>
      <w:rFonts w:asciiTheme="majorHAnsi" w:hAnsiTheme="majorHAnsi" w:cs="Poppins Light"/>
      <w:b w:val="0"/>
      <w:i/>
      <w:iCs/>
      <w:color w:val="60B9D8"/>
      <w:sz w:val="20"/>
      <w:szCs w:val="20"/>
      <w:lang w:val="en-GB"/>
    </w:rPr>
  </w:style>
  <w:style w:type="character" w:styleId="SubtleReference">
    <w:name w:val="Subtle Reference"/>
    <w:basedOn w:val="DefaultParagraphFont"/>
    <w:uiPriority w:val="31"/>
    <w:rsid w:val="00D50EE2"/>
    <w:rPr>
      <w:rFonts w:asciiTheme="majorHAnsi" w:hAnsiTheme="majorHAnsi"/>
      <w:b w:val="0"/>
      <w:i w:val="0"/>
      <w:smallCaps/>
      <w:color w:val="5A5A5A" w:themeColor="text1" w:themeTint="A5"/>
      <w:sz w:val="24"/>
    </w:rPr>
  </w:style>
  <w:style w:type="character" w:styleId="IntenseReference">
    <w:name w:val="Intense Reference"/>
    <w:basedOn w:val="DefaultParagraphFont"/>
    <w:uiPriority w:val="32"/>
    <w:rsid w:val="00D50EE2"/>
    <w:rPr>
      <w:rFonts w:asciiTheme="majorHAnsi" w:hAnsiTheme="majorHAnsi"/>
      <w:b/>
      <w:bCs/>
      <w:i w:val="0"/>
      <w:smallCaps/>
      <w:color w:val="60B9D8"/>
      <w:spacing w:val="5"/>
      <w:sz w:val="24"/>
    </w:rPr>
  </w:style>
  <w:style w:type="character" w:styleId="BookTitle">
    <w:name w:val="Book Title"/>
    <w:basedOn w:val="DefaultParagraphFont"/>
    <w:uiPriority w:val="33"/>
    <w:rsid w:val="00D50EE2"/>
    <w:rPr>
      <w:rFonts w:asciiTheme="majorHAnsi" w:hAnsiTheme="majorHAnsi"/>
      <w:b/>
      <w:bCs/>
      <w:i/>
      <w:iCs/>
      <w:spacing w:val="5"/>
      <w:sz w:val="24"/>
    </w:rPr>
  </w:style>
  <w:style w:type="character" w:styleId="IntenseEmphasis">
    <w:name w:val="Intense Emphasis"/>
    <w:basedOn w:val="DefaultParagraphFont"/>
    <w:uiPriority w:val="21"/>
    <w:qFormat/>
    <w:rsid w:val="000944DC"/>
    <w:rPr>
      <w:rFonts w:asciiTheme="minorHAnsi" w:hAnsiTheme="minorHAnsi" w:cs="Calibri"/>
      <w:b w:val="0"/>
      <w:i/>
      <w:iCs/>
      <w:color w:val="0F385A"/>
      <w:sz w:val="24"/>
    </w:rPr>
  </w:style>
  <w:style w:type="paragraph" w:styleId="BodyText">
    <w:name w:val="Body Text"/>
    <w:basedOn w:val="Normal"/>
    <w:link w:val="BodyTextChar"/>
    <w:uiPriority w:val="1"/>
    <w:qFormat/>
    <w:rsid w:val="00E5372A"/>
  </w:style>
  <w:style w:type="character" w:customStyle="1" w:styleId="BodyTextChar">
    <w:name w:val="Body Text Char"/>
    <w:basedOn w:val="DefaultParagraphFont"/>
    <w:link w:val="BodyText"/>
    <w:uiPriority w:val="1"/>
    <w:rsid w:val="00E5372A"/>
    <w:rPr>
      <w:rFonts w:ascii="Calibri" w:hAnsi="Calibri"/>
      <w:b w:val="0"/>
      <w:i w:val="0"/>
      <w:sz w:val="24"/>
    </w:rPr>
  </w:style>
  <w:style w:type="character" w:customStyle="1" w:styleId="Heading5Char">
    <w:name w:val="Heading 5 Char"/>
    <w:basedOn w:val="DefaultParagraphFont"/>
    <w:link w:val="Heading5"/>
    <w:uiPriority w:val="9"/>
    <w:rsid w:val="00642CDE"/>
    <w:rPr>
      <w:rFonts w:ascii="Calibri" w:eastAsiaTheme="majorEastAsia" w:hAnsi="Calibri"/>
      <w:b/>
      <w:bCs/>
      <w:i/>
      <w:iCs/>
      <w:sz w:val="24"/>
      <w:szCs w:val="22"/>
    </w:rPr>
  </w:style>
  <w:style w:type="character" w:customStyle="1" w:styleId="Heading6Char">
    <w:name w:val="Heading 6 Char"/>
    <w:basedOn w:val="DefaultParagraphFont"/>
    <w:link w:val="Heading6"/>
    <w:uiPriority w:val="9"/>
    <w:rsid w:val="003758AA"/>
    <w:rPr>
      <w:rFonts w:asciiTheme="majorHAnsi" w:eastAsiaTheme="majorEastAsia" w:hAnsiTheme="majorHAnsi" w:cstheme="majorBidi"/>
      <w:b w:val="0"/>
      <w:i w:val="0"/>
      <w:color w:val="1F3763" w:themeColor="accent1" w:themeShade="7F"/>
      <w:sz w:val="20"/>
      <w:szCs w:val="20"/>
      <w:lang w:val="en-GB"/>
    </w:rPr>
  </w:style>
  <w:style w:type="paragraph" w:styleId="Quote">
    <w:name w:val="Quote"/>
    <w:basedOn w:val="Highlight"/>
    <w:next w:val="Normal"/>
    <w:link w:val="QuoteChar"/>
    <w:uiPriority w:val="29"/>
    <w:qFormat/>
    <w:rsid w:val="000944DC"/>
    <w:pPr>
      <w:spacing w:line="216" w:lineRule="auto"/>
    </w:pPr>
    <w:rPr>
      <w:rFonts w:asciiTheme="minorHAnsi" w:hAnsiTheme="minorHAnsi" w:cstheme="minorHAnsi"/>
      <w:i/>
      <w:color w:val="0F385A"/>
      <w:sz w:val="32"/>
      <w:szCs w:val="32"/>
    </w:rPr>
  </w:style>
  <w:style w:type="character" w:customStyle="1" w:styleId="QuoteChar">
    <w:name w:val="Quote Char"/>
    <w:basedOn w:val="DefaultParagraphFont"/>
    <w:link w:val="Quote"/>
    <w:uiPriority w:val="29"/>
    <w:rsid w:val="000944DC"/>
    <w:rPr>
      <w:rFonts w:asciiTheme="minorHAnsi" w:hAnsiTheme="minorHAnsi" w:cstheme="minorHAnsi"/>
      <w:b w:val="0"/>
      <w:i/>
      <w:color w:val="0F385A"/>
      <w:sz w:val="32"/>
      <w:szCs w:val="32"/>
      <w:lang w:val="en-US"/>
    </w:rPr>
  </w:style>
  <w:style w:type="paragraph" w:customStyle="1" w:styleId="sectionheader-chapternumber">
    <w:name w:val="section header - chapter number"/>
    <w:basedOn w:val="Normal"/>
    <w:rsid w:val="003758AA"/>
    <w:rPr>
      <w:color w:val="FFFFFF" w:themeColor="background1"/>
    </w:rPr>
  </w:style>
  <w:style w:type="character" w:styleId="Hyperlink">
    <w:name w:val="Hyperlink"/>
    <w:basedOn w:val="DefaultParagraphFont"/>
    <w:uiPriority w:val="99"/>
    <w:unhideWhenUsed/>
    <w:rsid w:val="00D95F50"/>
    <w:rPr>
      <w:rFonts w:ascii="Calibri" w:hAnsi="Calibri"/>
      <w:b w:val="0"/>
      <w:i w:val="0"/>
      <w:color w:val="0563C1" w:themeColor="hyperlink"/>
      <w:sz w:val="24"/>
      <w:u w:val="single"/>
    </w:rPr>
  </w:style>
  <w:style w:type="paragraph" w:customStyle="1" w:styleId="ContentsPartheading">
    <w:name w:val="Contents Part heading"/>
    <w:basedOn w:val="Normal"/>
    <w:uiPriority w:val="99"/>
    <w:rsid w:val="00D95F50"/>
    <w:pPr>
      <w:pBdr>
        <w:bottom w:val="single" w:sz="8" w:space="8" w:color="0F385A"/>
      </w:pBdr>
      <w:tabs>
        <w:tab w:val="right" w:pos="7120"/>
      </w:tabs>
      <w:suppressAutoHyphens/>
      <w:autoSpaceDE w:val="0"/>
      <w:autoSpaceDN w:val="0"/>
      <w:adjustRightInd w:val="0"/>
      <w:spacing w:before="170" w:after="283" w:line="200" w:lineRule="atLeast"/>
      <w:textAlignment w:val="center"/>
    </w:pPr>
    <w:rPr>
      <w:rFonts w:ascii="Ebony" w:hAnsi="Ebony" w:cs="Ebony"/>
      <w:b/>
      <w:bCs/>
      <w:caps/>
      <w:color w:val="6AC07A"/>
      <w:lang w:val="en-US"/>
    </w:rPr>
  </w:style>
  <w:style w:type="paragraph" w:customStyle="1" w:styleId="Contentsbody">
    <w:name w:val="Contents body"/>
    <w:basedOn w:val="Normal"/>
    <w:uiPriority w:val="99"/>
    <w:rsid w:val="00D95F50"/>
    <w:pPr>
      <w:tabs>
        <w:tab w:val="decimal" w:leader="dot" w:pos="2740"/>
        <w:tab w:val="decimal" w:leader="dot" w:pos="4180"/>
        <w:tab w:val="right" w:pos="7160"/>
      </w:tabs>
      <w:suppressAutoHyphens/>
      <w:autoSpaceDE w:val="0"/>
      <w:autoSpaceDN w:val="0"/>
      <w:adjustRightInd w:val="0"/>
      <w:spacing w:before="0" w:after="28" w:line="280" w:lineRule="atLeast"/>
      <w:jc w:val="right"/>
      <w:textAlignment w:val="center"/>
    </w:pPr>
    <w:rPr>
      <w:rFonts w:ascii="Ebony Lt" w:hAnsi="Ebony Lt" w:cs="Ebony Lt"/>
      <w:color w:val="0F385A"/>
      <w:lang w:val="en-US"/>
    </w:rPr>
  </w:style>
  <w:style w:type="paragraph" w:customStyle="1" w:styleId="SIDEBAR-QUOTE">
    <w:name w:val="SIDEBAR - QUOTE"/>
    <w:basedOn w:val="Normal"/>
    <w:rsid w:val="00F541FD"/>
    <w:pPr>
      <w:widowControl w:val="0"/>
      <w:autoSpaceDE w:val="0"/>
      <w:autoSpaceDN w:val="0"/>
      <w:spacing w:before="215" w:after="0" w:line="204" w:lineRule="auto"/>
      <w:ind w:left="246" w:right="350" w:firstLine="13"/>
    </w:pPr>
    <w:rPr>
      <w:rFonts w:eastAsia="Calibri-Light" w:hAnsi="Calibri-Light" w:cs="Calibri-Light"/>
      <w:i/>
      <w:color w:val="89CB92"/>
      <w:sz w:val="26"/>
      <w:szCs w:val="22"/>
      <w:lang w:val="en-US"/>
    </w:rPr>
  </w:style>
  <w:style w:type="character" w:customStyle="1" w:styleId="Heading7Char">
    <w:name w:val="Heading 7 Char"/>
    <w:basedOn w:val="DefaultParagraphFont"/>
    <w:link w:val="Heading7"/>
    <w:uiPriority w:val="9"/>
    <w:rsid w:val="006944AE"/>
    <w:rPr>
      <w:rFonts w:asciiTheme="majorHAnsi" w:eastAsiaTheme="majorEastAsia" w:hAnsiTheme="majorHAnsi" w:cstheme="majorBidi"/>
      <w:b w:val="0"/>
      <w:i/>
      <w:iCs/>
      <w:color w:val="1F3763" w:themeColor="accent1" w:themeShade="7F"/>
      <w:sz w:val="20"/>
      <w:szCs w:val="20"/>
      <w:lang w:val="en-GB"/>
    </w:rPr>
  </w:style>
  <w:style w:type="paragraph" w:customStyle="1" w:styleId="TableParagraph">
    <w:name w:val="Table Paragraph"/>
    <w:basedOn w:val="Normal"/>
    <w:uiPriority w:val="1"/>
    <w:qFormat/>
    <w:rsid w:val="006E59CC"/>
    <w:pPr>
      <w:widowControl w:val="0"/>
      <w:autoSpaceDE w:val="0"/>
      <w:autoSpaceDN w:val="0"/>
    </w:pPr>
    <w:rPr>
      <w:rFonts w:eastAsia="Yu Mincho"/>
      <w:sz w:val="22"/>
      <w:szCs w:val="22"/>
      <w:lang w:val="en-GB" w:eastAsia="ja-JP"/>
    </w:rPr>
  </w:style>
  <w:style w:type="table" w:styleId="GridTable5Dark-Accent5">
    <w:name w:val="Grid Table 5 Dark Accent 5"/>
    <w:basedOn w:val="TableNormal"/>
    <w:uiPriority w:val="50"/>
    <w:rsid w:val="00642CDE"/>
    <w:pPr>
      <w:widowControl w:val="0"/>
      <w:autoSpaceDE w:val="0"/>
      <w:autoSpaceDN w:val="0"/>
    </w:pPr>
    <w:rPr>
      <w:rFonts w:cs="Arial (Body CS)"/>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5">
    <w:name w:val="List Table 4 Accent 5"/>
    <w:basedOn w:val="TableNormal"/>
    <w:uiPriority w:val="49"/>
    <w:rsid w:val="00642CDE"/>
    <w:pPr>
      <w:widowControl w:val="0"/>
      <w:autoSpaceDE w:val="0"/>
      <w:autoSpaceDN w:val="0"/>
    </w:pPr>
    <w:rPr>
      <w:rFonts w:cs="Arial (Body CS)"/>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BODYCOPY">
    <w:name w:val="P BODY COPY"/>
    <w:basedOn w:val="Normal"/>
    <w:uiPriority w:val="99"/>
    <w:rsid w:val="006944AE"/>
    <w:pPr>
      <w:suppressAutoHyphens/>
      <w:autoSpaceDE w:val="0"/>
      <w:autoSpaceDN w:val="0"/>
      <w:adjustRightInd w:val="0"/>
      <w:spacing w:before="0" w:after="170" w:line="280" w:lineRule="atLeast"/>
      <w:textAlignment w:val="center"/>
    </w:pPr>
    <w:rPr>
      <w:rFonts w:ascii="Ebony Lt" w:hAnsi="Ebony Lt" w:cs="Ebony Lt"/>
      <w:color w:val="000000"/>
      <w:lang w:val="en-US"/>
    </w:rPr>
  </w:style>
  <w:style w:type="paragraph" w:customStyle="1" w:styleId="Bodybullets">
    <w:name w:val="Body bullets"/>
    <w:basedOn w:val="ListParagraph"/>
    <w:link w:val="BodybulletsChar"/>
    <w:uiPriority w:val="5"/>
    <w:qFormat/>
    <w:rsid w:val="00D31BF8"/>
    <w:pPr>
      <w:numPr>
        <w:numId w:val="10"/>
      </w:numPr>
    </w:pPr>
  </w:style>
  <w:style w:type="paragraph" w:styleId="BalloonText">
    <w:name w:val="Balloon Text"/>
    <w:basedOn w:val="Normal"/>
    <w:link w:val="BalloonTextChar"/>
    <w:uiPriority w:val="99"/>
    <w:semiHidden/>
    <w:unhideWhenUsed/>
    <w:rsid w:val="00687F0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F09"/>
    <w:rPr>
      <w:rFonts w:ascii="Times New Roman" w:hAnsi="Times New Roman" w:cs="Times New Roman"/>
      <w:b w:val="0"/>
      <w:i w:val="0"/>
      <w:color w:val="000000" w:themeColor="text1"/>
      <w:sz w:val="18"/>
      <w:szCs w:val="18"/>
      <w:lang w:val="en-GB"/>
    </w:rPr>
  </w:style>
  <w:style w:type="paragraph" w:customStyle="1" w:styleId="Heading1nonumber">
    <w:name w:val="Heading 1 no number"/>
    <w:basedOn w:val="Heading1"/>
    <w:uiPriority w:val="1"/>
    <w:qFormat/>
    <w:rsid w:val="00061B4F"/>
    <w:pPr>
      <w:numPr>
        <w:numId w:val="21"/>
      </w:numPr>
    </w:pPr>
  </w:style>
  <w:style w:type="numbering" w:customStyle="1" w:styleId="CurrentList1">
    <w:name w:val="Current List1"/>
    <w:uiPriority w:val="99"/>
    <w:rsid w:val="00D06859"/>
    <w:pPr>
      <w:numPr>
        <w:numId w:val="3"/>
      </w:numPr>
    </w:pPr>
  </w:style>
  <w:style w:type="numbering" w:customStyle="1" w:styleId="CurrentList2">
    <w:name w:val="Current List2"/>
    <w:uiPriority w:val="99"/>
    <w:rsid w:val="00BF1A38"/>
    <w:pPr>
      <w:numPr>
        <w:numId w:val="4"/>
      </w:numPr>
    </w:pPr>
  </w:style>
  <w:style w:type="numbering" w:customStyle="1" w:styleId="CurrentList3">
    <w:name w:val="Current List3"/>
    <w:uiPriority w:val="99"/>
    <w:rsid w:val="00BF1A38"/>
    <w:pPr>
      <w:numPr>
        <w:numId w:val="5"/>
      </w:numPr>
    </w:pPr>
  </w:style>
  <w:style w:type="numbering" w:customStyle="1" w:styleId="CurrentList4">
    <w:name w:val="Current List4"/>
    <w:uiPriority w:val="99"/>
    <w:rsid w:val="00BF1A38"/>
    <w:pPr>
      <w:numPr>
        <w:numId w:val="6"/>
      </w:numPr>
    </w:pPr>
  </w:style>
  <w:style w:type="numbering" w:customStyle="1" w:styleId="CurrentList5">
    <w:name w:val="Current List5"/>
    <w:uiPriority w:val="99"/>
    <w:rsid w:val="00BF1A38"/>
    <w:pPr>
      <w:numPr>
        <w:numId w:val="7"/>
      </w:numPr>
    </w:pPr>
  </w:style>
  <w:style w:type="numbering" w:customStyle="1" w:styleId="CurrentList6">
    <w:name w:val="Current List6"/>
    <w:uiPriority w:val="99"/>
    <w:rsid w:val="00BF1A38"/>
    <w:pPr>
      <w:numPr>
        <w:numId w:val="8"/>
      </w:numPr>
    </w:pPr>
  </w:style>
  <w:style w:type="numbering" w:customStyle="1" w:styleId="CurrentList7">
    <w:name w:val="Current List7"/>
    <w:uiPriority w:val="99"/>
    <w:rsid w:val="00BF1A38"/>
    <w:pPr>
      <w:numPr>
        <w:numId w:val="9"/>
      </w:numPr>
    </w:pPr>
  </w:style>
  <w:style w:type="paragraph" w:customStyle="1" w:styleId="Heading2nonumber">
    <w:name w:val="Heading 2 no number"/>
    <w:basedOn w:val="BodyText"/>
    <w:next w:val="BodyText"/>
    <w:uiPriority w:val="2"/>
    <w:qFormat/>
    <w:rsid w:val="00642CDE"/>
    <w:pPr>
      <w:numPr>
        <w:ilvl w:val="1"/>
        <w:numId w:val="21"/>
      </w:numPr>
      <w:spacing w:before="160"/>
      <w:outlineLvl w:val="1"/>
    </w:pPr>
    <w:rPr>
      <w:rFonts w:asciiTheme="minorHAnsi" w:eastAsia="Calibri" w:hAnsiTheme="minorHAnsi" w:cstheme="minorHAnsi"/>
      <w:b/>
      <w:color w:val="00A195"/>
      <w:sz w:val="36"/>
      <w:szCs w:val="22"/>
    </w:rPr>
  </w:style>
  <w:style w:type="paragraph" w:customStyle="1" w:styleId="Tableheading">
    <w:name w:val="Table heading"/>
    <w:basedOn w:val="Heading4"/>
    <w:next w:val="TableParagraph"/>
    <w:qFormat/>
    <w:rsid w:val="009E1454"/>
    <w:pPr>
      <w:widowControl w:val="0"/>
      <w:autoSpaceDE w:val="0"/>
      <w:autoSpaceDN w:val="0"/>
      <w:spacing w:before="120"/>
    </w:pPr>
    <w:rPr>
      <w:bCs/>
      <w:color w:val="FFFFFF" w:themeColor="background1"/>
      <w:sz w:val="22"/>
      <w:szCs w:val="22"/>
      <w:lang w:val="en-US" w:eastAsia="ja-JP"/>
    </w:rPr>
  </w:style>
  <w:style w:type="character" w:customStyle="1" w:styleId="ListParagraphChar">
    <w:name w:val="List Paragraph Char"/>
    <w:aliases w:val="Rec para Char,List Paragraph1 Char,Recommendation Char,List Paragraph11 Char,List Paragraph - Bullet Point Char,Dot pt Char,F5 List Paragraph Char,No Spacing1 Char,List Paragraph Char Char Char Char,Indicator Text Char,Bullet 1 Char"/>
    <w:basedOn w:val="DefaultParagraphFont"/>
    <w:link w:val="ListParagraph"/>
    <w:uiPriority w:val="34"/>
    <w:qFormat/>
    <w:locked/>
    <w:rsid w:val="005401AF"/>
    <w:rPr>
      <w:rFonts w:ascii="Calibri" w:hAnsi="Calibri" w:cstheme="minorHAnsi"/>
      <w:b w:val="0"/>
      <w:i w:val="0"/>
      <w:color w:val="000000" w:themeColor="text1"/>
      <w:sz w:val="20"/>
      <w:szCs w:val="20"/>
      <w:lang w:val="en-GB"/>
    </w:rPr>
  </w:style>
  <w:style w:type="table" w:styleId="TableGrid">
    <w:name w:val="Table Grid"/>
    <w:basedOn w:val="TableNormal"/>
    <w:uiPriority w:val="39"/>
    <w:rsid w:val="00694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10B6"/>
    <w:rPr>
      <w:rFonts w:ascii="Calibri" w:hAnsi="Calibri"/>
      <w:b w:val="0"/>
      <w:i w:val="0"/>
      <w:sz w:val="16"/>
      <w:szCs w:val="16"/>
    </w:rPr>
  </w:style>
  <w:style w:type="paragraph" w:styleId="CommentText">
    <w:name w:val="annotation text"/>
    <w:basedOn w:val="Normal"/>
    <w:link w:val="CommentTextChar"/>
    <w:uiPriority w:val="99"/>
    <w:unhideWhenUsed/>
    <w:rsid w:val="00CE10B6"/>
    <w:pPr>
      <w:spacing w:before="0" w:after="160" w:line="240" w:lineRule="auto"/>
    </w:pPr>
    <w:rPr>
      <w:lang w:val="en-US"/>
    </w:rPr>
  </w:style>
  <w:style w:type="character" w:customStyle="1" w:styleId="CommentTextChar">
    <w:name w:val="Comment Text Char"/>
    <w:basedOn w:val="DefaultParagraphFont"/>
    <w:link w:val="CommentText"/>
    <w:uiPriority w:val="99"/>
    <w:rsid w:val="00CE10B6"/>
    <w:rPr>
      <w:rFonts w:ascii="Calibri" w:hAnsi="Calibri"/>
      <w:b w:val="0"/>
      <w:i w:val="0"/>
      <w:sz w:val="20"/>
      <w:szCs w:val="20"/>
      <w:lang w:val="en-US"/>
    </w:rPr>
  </w:style>
  <w:style w:type="character" w:styleId="Mention">
    <w:name w:val="Mention"/>
    <w:basedOn w:val="DefaultParagraphFont"/>
    <w:uiPriority w:val="99"/>
    <w:unhideWhenUsed/>
    <w:rsid w:val="00CE10B6"/>
    <w:rPr>
      <w:rFonts w:ascii="Calibri" w:hAnsi="Calibri"/>
      <w:b w:val="0"/>
      <w:i w:val="0"/>
      <w:color w:val="2B579A"/>
      <w:sz w:val="24"/>
      <w:shd w:val="clear" w:color="auto" w:fill="E1DFDD"/>
    </w:rPr>
  </w:style>
  <w:style w:type="character" w:customStyle="1" w:styleId="cf01">
    <w:name w:val="cf01"/>
    <w:basedOn w:val="DefaultParagraphFont"/>
    <w:uiPriority w:val="99"/>
    <w:rsid w:val="00CE10B6"/>
    <w:rPr>
      <w:rFonts w:ascii="Segoe UI" w:hAnsi="Segoe UI" w:cs="Segoe UI" w:hint="default"/>
      <w:b w:val="0"/>
      <w:i w:val="0"/>
      <w:sz w:val="18"/>
      <w:szCs w:val="18"/>
    </w:rPr>
  </w:style>
  <w:style w:type="paragraph" w:customStyle="1" w:styleId="CCCFigurehead">
    <w:name w:val="CCC_Figurehead"/>
    <w:basedOn w:val="Caption"/>
    <w:link w:val="CCCFigureheadChar"/>
    <w:rsid w:val="0096706E"/>
    <w:pPr>
      <w:spacing w:after="120" w:line="276" w:lineRule="auto"/>
      <w:ind w:right="556"/>
    </w:pPr>
    <w:rPr>
      <w:i w:val="0"/>
      <w:iCs w:val="0"/>
      <w:color w:val="1F3864"/>
      <w:sz w:val="20"/>
    </w:rPr>
  </w:style>
  <w:style w:type="paragraph" w:styleId="Caption">
    <w:name w:val="caption"/>
    <w:basedOn w:val="Normal"/>
    <w:next w:val="Normal"/>
    <w:link w:val="CaptionChar"/>
    <w:uiPriority w:val="35"/>
    <w:unhideWhenUsed/>
    <w:qFormat/>
    <w:rsid w:val="0096706E"/>
    <w:pPr>
      <w:spacing w:before="0" w:after="200" w:line="240" w:lineRule="auto"/>
    </w:pPr>
    <w:rPr>
      <w:i/>
      <w:iCs/>
      <w:color w:val="44546A" w:themeColor="text2"/>
      <w:sz w:val="18"/>
      <w:szCs w:val="18"/>
    </w:rPr>
  </w:style>
  <w:style w:type="paragraph" w:customStyle="1" w:styleId="FigureTabletitle">
    <w:name w:val="Figure/Table title"/>
    <w:basedOn w:val="CCCFigurehead"/>
    <w:link w:val="FigureTabletitleChar"/>
    <w:qFormat/>
    <w:rsid w:val="0003473A"/>
    <w:pPr>
      <w:keepNext/>
      <w:spacing w:before="240"/>
    </w:pPr>
    <w:rPr>
      <w:rFonts w:asciiTheme="minorHAnsi" w:hAnsiTheme="minorHAnsi"/>
      <w:b/>
      <w:bCs/>
      <w:i/>
      <w:color w:val="0F385A"/>
      <w:sz w:val="24"/>
      <w:szCs w:val="24"/>
    </w:rPr>
  </w:style>
  <w:style w:type="character" w:customStyle="1" w:styleId="CaptionChar">
    <w:name w:val="Caption Char"/>
    <w:basedOn w:val="DefaultParagraphFont"/>
    <w:link w:val="Caption"/>
    <w:uiPriority w:val="35"/>
    <w:rsid w:val="00FE422C"/>
    <w:rPr>
      <w:rFonts w:ascii="Calibri" w:hAnsi="Calibri" w:cstheme="minorHAnsi"/>
      <w:b w:val="0"/>
      <w:i/>
      <w:iCs/>
      <w:color w:val="44546A" w:themeColor="text2"/>
      <w:sz w:val="18"/>
      <w:szCs w:val="18"/>
      <w:lang w:val="en-GB"/>
    </w:rPr>
  </w:style>
  <w:style w:type="character" w:customStyle="1" w:styleId="CCCFigureheadChar">
    <w:name w:val="CCC_Figurehead Char"/>
    <w:basedOn w:val="CaptionChar"/>
    <w:link w:val="CCCFigurehead"/>
    <w:rsid w:val="00FE422C"/>
    <w:rPr>
      <w:rFonts w:ascii="Calibri" w:hAnsi="Calibri" w:cstheme="minorHAnsi"/>
      <w:b w:val="0"/>
      <w:i w:val="0"/>
      <w:iCs w:val="0"/>
      <w:color w:val="1F3864"/>
      <w:sz w:val="20"/>
      <w:szCs w:val="18"/>
      <w:lang w:val="en-GB"/>
    </w:rPr>
  </w:style>
  <w:style w:type="character" w:customStyle="1" w:styleId="FigureTabletitleChar">
    <w:name w:val="Figure/Table title Char"/>
    <w:basedOn w:val="CCCFigureheadChar"/>
    <w:link w:val="FigureTabletitle"/>
    <w:rsid w:val="005F55A7"/>
    <w:rPr>
      <w:rFonts w:asciiTheme="minorHAnsi" w:hAnsiTheme="minorHAnsi" w:cstheme="minorHAnsi"/>
      <w:b/>
      <w:bCs/>
      <w:i/>
      <w:iCs w:val="0"/>
      <w:color w:val="0F385A"/>
      <w:sz w:val="20"/>
      <w:szCs w:val="18"/>
      <w:lang w:val="en-GB"/>
    </w:rPr>
  </w:style>
  <w:style w:type="paragraph" w:customStyle="1" w:styleId="Numberlist">
    <w:name w:val="Number list"/>
    <w:basedOn w:val="Bodybullets"/>
    <w:link w:val="NumberlistChar"/>
    <w:qFormat/>
    <w:rsid w:val="00F91434"/>
    <w:pPr>
      <w:numPr>
        <w:numId w:val="11"/>
      </w:numPr>
      <w:spacing w:before="60" w:after="60"/>
      <w:contextualSpacing w:val="0"/>
    </w:pPr>
  </w:style>
  <w:style w:type="character" w:customStyle="1" w:styleId="NumberlistChar">
    <w:name w:val="Number list Char"/>
    <w:basedOn w:val="DefaultParagraphFont"/>
    <w:link w:val="Numberlist"/>
    <w:rsid w:val="00F91434"/>
  </w:style>
  <w:style w:type="paragraph" w:customStyle="1" w:styleId="Sourceline">
    <w:name w:val="Source line"/>
    <w:basedOn w:val="BodyText"/>
    <w:next w:val="BodyText"/>
    <w:link w:val="SourcelineChar"/>
    <w:qFormat/>
    <w:rsid w:val="00685F77"/>
    <w:rPr>
      <w:color w:val="000000" w:themeColor="text1"/>
      <w:sz w:val="20"/>
      <w:szCs w:val="28"/>
    </w:rPr>
  </w:style>
  <w:style w:type="character" w:customStyle="1" w:styleId="SourcelineChar">
    <w:name w:val="Source line Char"/>
    <w:basedOn w:val="BodyTextChar"/>
    <w:link w:val="Sourceline"/>
    <w:rsid w:val="00685F77"/>
    <w:rPr>
      <w:rFonts w:ascii="Calibri-Light" w:eastAsia="Calibri-Light" w:hAnsi="Calibri-Light" w:cs="Calibri-Light"/>
      <w:b w:val="0"/>
      <w:i w:val="0"/>
      <w:color w:val="000000" w:themeColor="text1"/>
      <w:sz w:val="20"/>
      <w:szCs w:val="28"/>
      <w:lang w:val="en-US"/>
    </w:rPr>
  </w:style>
  <w:style w:type="paragraph" w:customStyle="1" w:styleId="Letterlistabc">
    <w:name w:val="Letter list (abc)"/>
    <w:basedOn w:val="Numberlist"/>
    <w:link w:val="LetterlistabcChar"/>
    <w:qFormat/>
    <w:rsid w:val="00FA7520"/>
    <w:pPr>
      <w:numPr>
        <w:numId w:val="0"/>
      </w:numPr>
    </w:pPr>
    <w:rPr>
      <w:w w:val="105"/>
    </w:rPr>
  </w:style>
  <w:style w:type="character" w:customStyle="1" w:styleId="LetterlistabcChar">
    <w:name w:val="Letter list (abc) Char"/>
    <w:basedOn w:val="NumberlistChar"/>
    <w:link w:val="Letterlistabc"/>
    <w:rsid w:val="00FA7520"/>
    <w:rPr>
      <w:rFonts w:ascii="Calibri" w:hAnsi="Calibri"/>
      <w:b w:val="0"/>
      <w:i w:val="0"/>
      <w:w w:val="105"/>
      <w:sz w:val="24"/>
    </w:rPr>
  </w:style>
  <w:style w:type="paragraph" w:customStyle="1" w:styleId="Bodybullet-sub-list">
    <w:name w:val="Body bullet - sub-list"/>
    <w:basedOn w:val="Bodybullets"/>
    <w:link w:val="Bodybullet-sub-listChar"/>
    <w:uiPriority w:val="6"/>
    <w:qFormat/>
    <w:rsid w:val="00ED45FD"/>
    <w:pPr>
      <w:numPr>
        <w:numId w:val="12"/>
      </w:numPr>
      <w:spacing w:before="60" w:after="60"/>
      <w:ind w:left="1077" w:hanging="357"/>
      <w:contextualSpacing w:val="0"/>
    </w:pPr>
  </w:style>
  <w:style w:type="character" w:customStyle="1" w:styleId="BodybulletsChar">
    <w:name w:val="Body bullets Char"/>
    <w:basedOn w:val="ListParagraphChar"/>
    <w:link w:val="Bodybullets"/>
    <w:uiPriority w:val="5"/>
    <w:rsid w:val="005F55A7"/>
    <w:rPr>
      <w:rFonts w:ascii="Calibri" w:hAnsi="Calibri" w:cstheme="minorHAnsi"/>
      <w:b w:val="0"/>
      <w:i w:val="0"/>
      <w:color w:val="000000" w:themeColor="text1"/>
      <w:sz w:val="20"/>
      <w:szCs w:val="20"/>
      <w:lang w:val="en-GB"/>
    </w:rPr>
  </w:style>
  <w:style w:type="character" w:customStyle="1" w:styleId="Bodybullet-sub-listChar">
    <w:name w:val="Body bullet - sub-list Char"/>
    <w:basedOn w:val="BodybulletsChar"/>
    <w:link w:val="Bodybullet-sub-list"/>
    <w:uiPriority w:val="6"/>
    <w:rsid w:val="005F55A7"/>
    <w:rPr>
      <w:rFonts w:ascii="Calibri" w:hAnsi="Calibri" w:cstheme="minorHAnsi"/>
      <w:b w:val="0"/>
      <w:i w:val="0"/>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1363C9"/>
    <w:pPr>
      <w:spacing w:before="120" w:after="120"/>
    </w:pPr>
    <w:rPr>
      <w:b/>
      <w:bCs/>
      <w:sz w:val="20"/>
      <w:szCs w:val="20"/>
      <w:lang w:val="en-NZ"/>
    </w:rPr>
  </w:style>
  <w:style w:type="character" w:customStyle="1" w:styleId="CommentSubjectChar">
    <w:name w:val="Comment Subject Char"/>
    <w:basedOn w:val="CommentTextChar"/>
    <w:link w:val="CommentSubject"/>
    <w:uiPriority w:val="99"/>
    <w:semiHidden/>
    <w:rsid w:val="001363C9"/>
    <w:rPr>
      <w:rFonts w:ascii="Calibri" w:hAnsi="Calibri"/>
      <w:b/>
      <w:bCs/>
      <w:i w:val="0"/>
      <w:sz w:val="20"/>
      <w:szCs w:val="20"/>
      <w:lang w:val="en-US"/>
    </w:rPr>
  </w:style>
  <w:style w:type="paragraph" w:styleId="Revision">
    <w:name w:val="Revision"/>
    <w:hidden/>
    <w:uiPriority w:val="99"/>
    <w:semiHidden/>
    <w:rsid w:val="006B4447"/>
  </w:style>
  <w:style w:type="paragraph" w:customStyle="1" w:styleId="Boxtext">
    <w:name w:val="Box text"/>
    <w:basedOn w:val="BodyText"/>
    <w:qFormat/>
    <w:rsid w:val="00BE3D0B"/>
  </w:style>
  <w:style w:type="paragraph" w:styleId="NormalWeb">
    <w:name w:val="Normal (Web)"/>
    <w:basedOn w:val="Normal"/>
    <w:uiPriority w:val="99"/>
    <w:semiHidden/>
    <w:unhideWhenUsed/>
    <w:rsid w:val="00472CF1"/>
    <w:rPr>
      <w:rFonts w:ascii="Times New Roman" w:hAnsi="Times New Roman" w:cs="Times New Roman"/>
    </w:rPr>
  </w:style>
  <w:style w:type="paragraph" w:customStyle="1" w:styleId="Boxbullet">
    <w:name w:val="Box bullet"/>
    <w:basedOn w:val="Bodybullets"/>
    <w:qFormat/>
    <w:rsid w:val="00BF00E7"/>
    <w:pPr>
      <w:spacing w:before="0" w:after="0"/>
      <w:ind w:left="714" w:hanging="357"/>
    </w:pPr>
  </w:style>
  <w:style w:type="table" w:customStyle="1" w:styleId="BoxDesign">
    <w:name w:val="Box Design"/>
    <w:basedOn w:val="TableNormal"/>
    <w:uiPriority w:val="99"/>
    <w:rsid w:val="00012801"/>
    <w:rPr>
      <w:rFonts w:cs="Arial (Body CS)"/>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cPr>
      <w:shd w:val="clear" w:color="auto" w:fill="DEEBF7"/>
    </w:tcPr>
    <w:tblStylePr w:type="firstRow">
      <w:rPr>
        <w:rFonts w:ascii="Calibri" w:hAnsi="Calibri"/>
        <w:b/>
        <w:i w:val="0"/>
        <w:color w:val="FFFFFF" w:themeColor="background1"/>
        <w:sz w:val="24"/>
      </w:rPr>
      <w:tblPr>
        <w:tblCellMar>
          <w:top w:w="0" w:type="dxa"/>
          <w:left w:w="113" w:type="dxa"/>
          <w:bottom w:w="0" w:type="dxa"/>
          <w:right w:w="113" w:type="dxa"/>
        </w:tblCellMar>
      </w:tblPr>
      <w:tcPr>
        <w:shd w:val="clear" w:color="auto" w:fill="1F3764"/>
      </w:tcPr>
    </w:tblStylePr>
    <w:tblStylePr w:type="firstCol">
      <w:rPr>
        <w:rFonts w:ascii="Calibri" w:hAnsi="Calibri"/>
        <w:b w:val="0"/>
        <w:i w:val="0"/>
        <w:sz w:val="24"/>
      </w:rPr>
    </w:tblStylePr>
    <w:tblStylePr w:type="band1Horz">
      <w:rPr>
        <w:rFonts w:ascii="Calibri" w:hAnsi="Calibri"/>
        <w:b w:val="0"/>
        <w:i w:val="0"/>
        <w:sz w:val="24"/>
      </w:rPr>
    </w:tblStylePr>
    <w:tblStylePr w:type="band2Horz">
      <w:rPr>
        <w:rFonts w:ascii="Calibri" w:hAnsi="Calibri"/>
        <w:b w:val="0"/>
        <w:i w:val="0"/>
        <w:sz w:val="24"/>
      </w:rPr>
    </w:tblStylePr>
    <w:tblStylePr w:type="nwCell">
      <w:rPr>
        <w:rFonts w:ascii="Calibri" w:hAnsi="Calibri"/>
        <w:b/>
        <w:i w:val="0"/>
        <w:color w:val="FFFFFF" w:themeColor="background1"/>
        <w:sz w:val="24"/>
      </w:rPr>
    </w:tblStylePr>
  </w:style>
  <w:style w:type="table" w:styleId="PlainTable3">
    <w:name w:val="Plain Table 3"/>
    <w:basedOn w:val="TableNormal"/>
    <w:uiPriority w:val="43"/>
    <w:rsid w:val="000128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styleCCC">
    <w:name w:val="Table style CCC"/>
    <w:basedOn w:val="TableNormal"/>
    <w:uiPriority w:val="99"/>
    <w:rsid w:val="00012801"/>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F2"/>
    </w:tcPr>
    <w:tblStylePr w:type="firstRow">
      <w:rPr>
        <w:rFonts w:ascii="Calibri" w:hAnsi="Calibri"/>
        <w:b/>
        <w:i w:val="0"/>
        <w:color w:val="FFFFFF" w:themeColor="background1"/>
        <w:sz w:val="24"/>
      </w:rPr>
      <w:tblPr/>
      <w:tcPr>
        <w:tcBorders>
          <w:insideH w:val="nil"/>
          <w:insideV w:val="nil"/>
        </w:tcBorders>
        <w:shd w:val="clear" w:color="auto" w:fill="0F375A"/>
      </w:tcPr>
    </w:tblStylePr>
    <w:tblStylePr w:type="lastRow">
      <w:tblPr/>
      <w:tcPr>
        <w:tcBorders>
          <w:top w:val="nil"/>
          <w:left w:val="nil"/>
          <w:bottom w:val="nil"/>
          <w:right w:val="nil"/>
          <w:insideH w:val="nil"/>
          <w:insideV w:val="nil"/>
        </w:tcBorders>
        <w:shd w:val="clear" w:color="auto" w:fill="E9F6F2"/>
      </w:tcPr>
    </w:tblStylePr>
    <w:tblStylePr w:type="firstCol">
      <w:rPr>
        <w:rFonts w:ascii="Calibri" w:hAnsi="Calibri"/>
        <w:b/>
        <w:i w:val="0"/>
        <w:color w:val="000000" w:themeColor="text1"/>
        <w:sz w:val="24"/>
      </w:rPr>
      <w:tblPr/>
      <w:tcPr>
        <w:shd w:val="clear" w:color="auto" w:fill="C1DCD5"/>
      </w:tcPr>
    </w:tblStylePr>
    <w:tblStylePr w:type="band1Horz">
      <w:pPr>
        <w:wordWrap/>
        <w:spacing w:line="240" w:lineRule="auto"/>
      </w:pPr>
      <w:rPr>
        <w:rFonts w:ascii="Calibri" w:hAnsi="Calibri"/>
        <w:sz w:val="24"/>
      </w:rPr>
      <w:tblPr/>
      <w:tcPr>
        <w:shd w:val="clear" w:color="auto" w:fill="D5E8DF"/>
      </w:tcPr>
    </w:tblStylePr>
    <w:tblStylePr w:type="band2Horz">
      <w:tblPr/>
      <w:tcPr>
        <w:shd w:val="clear" w:color="auto" w:fill="E9F6F2"/>
      </w:tcPr>
    </w:tblStylePr>
    <w:tblStylePr w:type="nwCell">
      <w:rPr>
        <w:rFonts w:ascii="Calibri" w:hAnsi="Calibri"/>
        <w:b/>
        <w:i w:val="0"/>
        <w:color w:val="FFFFFF" w:themeColor="background1"/>
        <w:sz w:val="24"/>
      </w:rPr>
    </w:tblStylePr>
  </w:style>
  <w:style w:type="paragraph" w:styleId="FootnoteText">
    <w:name w:val="footnote text"/>
    <w:basedOn w:val="Footer"/>
    <w:link w:val="FootnoteTextChar"/>
    <w:uiPriority w:val="99"/>
    <w:unhideWhenUsed/>
    <w:qFormat/>
    <w:rsid w:val="00D130F1"/>
    <w:pPr>
      <w:spacing w:before="0" w:after="0" w:line="240" w:lineRule="auto"/>
      <w:ind w:firstLine="227"/>
    </w:pPr>
    <w:rPr>
      <w:b w:val="0"/>
      <w:sz w:val="18"/>
      <w:szCs w:val="18"/>
    </w:rPr>
  </w:style>
  <w:style w:type="character" w:customStyle="1" w:styleId="FootnoteTextChar">
    <w:name w:val="Footnote Text Char"/>
    <w:basedOn w:val="DefaultParagraphFont"/>
    <w:link w:val="FootnoteText"/>
    <w:uiPriority w:val="99"/>
    <w:rsid w:val="00F41BAA"/>
    <w:rPr>
      <w:sz w:val="18"/>
      <w:szCs w:val="18"/>
    </w:rPr>
  </w:style>
  <w:style w:type="character" w:styleId="FootnoteReference">
    <w:name w:val="footnote reference"/>
    <w:basedOn w:val="DefaultParagraphFont"/>
    <w:uiPriority w:val="99"/>
    <w:unhideWhenUsed/>
    <w:qFormat/>
    <w:rsid w:val="00F41BAA"/>
    <w:rPr>
      <w:vertAlign w:val="superscript"/>
    </w:rPr>
  </w:style>
  <w:style w:type="paragraph" w:customStyle="1" w:styleId="EndNoteBibliographyTitle">
    <w:name w:val="EndNote Bibliography Title"/>
    <w:basedOn w:val="Normal"/>
    <w:link w:val="EndNoteBibliographyTitleChar"/>
    <w:rsid w:val="002360D8"/>
    <w:pPr>
      <w:spacing w:after="0"/>
      <w:jc w:val="center"/>
    </w:pPr>
    <w:rPr>
      <w:rFonts w:cs="Calibri"/>
      <w:noProof/>
      <w:lang w:val="en-US"/>
    </w:rPr>
  </w:style>
  <w:style w:type="character" w:customStyle="1" w:styleId="EndNoteBibliographyTitleChar">
    <w:name w:val="EndNote Bibliography Title Char"/>
    <w:basedOn w:val="BodyTextChar"/>
    <w:link w:val="EndNoteBibliographyTitle"/>
    <w:rsid w:val="002360D8"/>
    <w:rPr>
      <w:rFonts w:ascii="Calibri" w:hAnsi="Calibri" w:cs="Calibri"/>
      <w:b w:val="0"/>
      <w:i w:val="0"/>
      <w:noProof/>
      <w:sz w:val="24"/>
      <w:lang w:val="en-US"/>
    </w:rPr>
  </w:style>
  <w:style w:type="paragraph" w:customStyle="1" w:styleId="EndNoteBibliography">
    <w:name w:val="EndNote Bibliography"/>
    <w:basedOn w:val="Normal"/>
    <w:link w:val="EndNoteBibliographyChar"/>
    <w:rsid w:val="002360D8"/>
    <w:pPr>
      <w:spacing w:line="240" w:lineRule="auto"/>
    </w:pPr>
    <w:rPr>
      <w:rFonts w:cs="Calibri"/>
      <w:noProof/>
      <w:lang w:val="en-US"/>
    </w:rPr>
  </w:style>
  <w:style w:type="character" w:customStyle="1" w:styleId="EndNoteBibliographyChar">
    <w:name w:val="EndNote Bibliography Char"/>
    <w:basedOn w:val="BodyTextChar"/>
    <w:link w:val="EndNoteBibliography"/>
    <w:rsid w:val="002360D8"/>
    <w:rPr>
      <w:rFonts w:ascii="Calibri" w:hAnsi="Calibri" w:cs="Calibri"/>
      <w:b w:val="0"/>
      <w:i w:val="0"/>
      <w:noProof/>
      <w:sz w:val="24"/>
      <w:lang w:val="en-US"/>
    </w:rPr>
  </w:style>
  <w:style w:type="character" w:styleId="UnresolvedMention">
    <w:name w:val="Unresolved Mention"/>
    <w:basedOn w:val="DefaultParagraphFont"/>
    <w:uiPriority w:val="99"/>
    <w:semiHidden/>
    <w:unhideWhenUsed/>
    <w:rsid w:val="002360D8"/>
    <w:rPr>
      <w:color w:val="605E5C"/>
      <w:shd w:val="clear" w:color="auto" w:fill="E1DFDD"/>
    </w:rPr>
  </w:style>
  <w:style w:type="paragraph" w:styleId="TOCHeading">
    <w:name w:val="TOC Heading"/>
    <w:basedOn w:val="Heading1"/>
    <w:next w:val="Normal"/>
    <w:uiPriority w:val="39"/>
    <w:unhideWhenUsed/>
    <w:qFormat/>
    <w:rsid w:val="00B928FE"/>
    <w:pPr>
      <w:spacing w:before="240" w:after="0" w:line="259" w:lineRule="auto"/>
      <w:outlineLvl w:val="9"/>
    </w:pPr>
    <w:rPr>
      <w:rFonts w:asciiTheme="majorHAnsi" w:hAnsiTheme="majorHAnsi" w:cstheme="majorBidi"/>
      <w:b w:val="0"/>
      <w:color w:val="2F5496" w:themeColor="accent1" w:themeShade="BF"/>
      <w:sz w:val="32"/>
      <w:szCs w:val="32"/>
      <w:lang w:eastAsia="en-NZ"/>
    </w:rPr>
  </w:style>
  <w:style w:type="table" w:customStyle="1" w:styleId="TableGrid1">
    <w:name w:val="Table Grid1"/>
    <w:basedOn w:val="TableNormal"/>
    <w:next w:val="TableGrid"/>
    <w:uiPriority w:val="39"/>
    <w:rsid w:val="00A83127"/>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16277"/>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D1559"/>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FA2AA9"/>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3E1492"/>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5640BD"/>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C7760B"/>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D84E61"/>
    <w:rPr>
      <w:rFonts w:eastAsia="Yu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5B7301"/>
    <w:rPr>
      <w:rFonts w:eastAsia="Yu Mincho"/>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BDF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3A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3A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3A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3A5D"/>
      </w:tcPr>
    </w:tblStylePr>
    <w:tblStylePr w:type="band1Vert">
      <w:tblPr/>
      <w:tcPr>
        <w:shd w:val="clear" w:color="auto" w:fill="58C0FF"/>
      </w:tcPr>
    </w:tblStylePr>
    <w:tblStylePr w:type="band1Horz">
      <w:tblPr/>
      <w:tcPr>
        <w:shd w:val="clear" w:color="auto" w:fill="58C0FF"/>
      </w:tcPr>
    </w:tblStylePr>
  </w:style>
  <w:style w:type="table" w:styleId="GridTable5Dark-Accent1">
    <w:name w:val="Grid Table 5 Dark Accent 1"/>
    <w:basedOn w:val="TableNormal"/>
    <w:uiPriority w:val="50"/>
    <w:rsid w:val="005B73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51">
    <w:name w:val="Grid Table 5 Dark - Accent 51"/>
    <w:basedOn w:val="TableNormal"/>
    <w:next w:val="GridTable5Dark-Accent5"/>
    <w:uiPriority w:val="50"/>
    <w:rsid w:val="00E337FD"/>
    <w:rPr>
      <w:rFonts w:eastAsia="Yu Mincho"/>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DB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F4D7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F4D7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F4D7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F4D7F"/>
      </w:tcPr>
    </w:tblStylePr>
    <w:tblStylePr w:type="band1Vert">
      <w:tblPr/>
      <w:tcPr>
        <w:shd w:val="clear" w:color="auto" w:fill="F8B7CB"/>
      </w:tcPr>
    </w:tblStylePr>
    <w:tblStylePr w:type="band1Horz">
      <w:tblPr/>
      <w:tcPr>
        <w:shd w:val="clear" w:color="auto" w:fill="F8B7CB"/>
      </w:tcPr>
    </w:tblStylePr>
  </w:style>
  <w:style w:type="table" w:customStyle="1" w:styleId="GridTable5Dark-Accent12">
    <w:name w:val="Grid Table 5 Dark - Accent 12"/>
    <w:basedOn w:val="TableNormal"/>
    <w:next w:val="GridTable5Dark-Accent1"/>
    <w:uiPriority w:val="50"/>
    <w:rsid w:val="00A87EFD"/>
    <w:rPr>
      <w:rFonts w:eastAsia="Yu Mincho"/>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BDF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3A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3A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3A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3A5D"/>
      </w:tcPr>
    </w:tblStylePr>
    <w:tblStylePr w:type="band1Vert">
      <w:tblPr/>
      <w:tcPr>
        <w:shd w:val="clear" w:color="auto" w:fill="58C0FF"/>
      </w:tcPr>
    </w:tblStylePr>
    <w:tblStylePr w:type="band1Horz">
      <w:tblPr/>
      <w:tcPr>
        <w:shd w:val="clear" w:color="auto" w:fill="58C0FF"/>
      </w:tcPr>
    </w:tblStylePr>
  </w:style>
  <w:style w:type="paragraph" w:styleId="TOC1">
    <w:name w:val="toc 1"/>
    <w:basedOn w:val="Normal"/>
    <w:next w:val="Normal"/>
    <w:autoRedefine/>
    <w:uiPriority w:val="39"/>
    <w:unhideWhenUsed/>
    <w:rsid w:val="00AB70E2"/>
    <w:pPr>
      <w:spacing w:after="100"/>
    </w:pPr>
    <w:rPr>
      <w:b/>
    </w:rPr>
  </w:style>
  <w:style w:type="paragraph" w:styleId="TOC2">
    <w:name w:val="toc 2"/>
    <w:basedOn w:val="Normal"/>
    <w:next w:val="Normal"/>
    <w:autoRedefine/>
    <w:uiPriority w:val="39"/>
    <w:unhideWhenUsed/>
    <w:rsid w:val="00B2470A"/>
    <w:pPr>
      <w:spacing w:after="100"/>
      <w:ind w:left="240"/>
    </w:pPr>
  </w:style>
  <w:style w:type="paragraph" w:styleId="TOC3">
    <w:name w:val="toc 3"/>
    <w:basedOn w:val="Normal"/>
    <w:next w:val="Normal"/>
    <w:autoRedefine/>
    <w:uiPriority w:val="39"/>
    <w:unhideWhenUsed/>
    <w:rsid w:val="00352670"/>
    <w:pPr>
      <w:spacing w:after="100"/>
      <w:ind w:left="595"/>
    </w:pPr>
  </w:style>
  <w:style w:type="character" w:customStyle="1" w:styleId="Heading8Char">
    <w:name w:val="Heading 8 Char"/>
    <w:basedOn w:val="DefaultParagraphFont"/>
    <w:link w:val="Heading8"/>
    <w:uiPriority w:val="9"/>
    <w:semiHidden/>
    <w:rsid w:val="00540D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0D2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606429">
      <w:bodyDiv w:val="1"/>
      <w:marLeft w:val="0"/>
      <w:marRight w:val="0"/>
      <w:marTop w:val="0"/>
      <w:marBottom w:val="0"/>
      <w:divBdr>
        <w:top w:val="none" w:sz="0" w:space="0" w:color="auto"/>
        <w:left w:val="none" w:sz="0" w:space="0" w:color="auto"/>
        <w:bottom w:val="none" w:sz="0" w:space="0" w:color="auto"/>
        <w:right w:val="none" w:sz="0" w:space="0" w:color="auto"/>
      </w:divBdr>
    </w:div>
    <w:div w:id="896358167">
      <w:bodyDiv w:val="1"/>
      <w:marLeft w:val="0"/>
      <w:marRight w:val="0"/>
      <w:marTop w:val="0"/>
      <w:marBottom w:val="0"/>
      <w:divBdr>
        <w:top w:val="none" w:sz="0" w:space="0" w:color="auto"/>
        <w:left w:val="none" w:sz="0" w:space="0" w:color="auto"/>
        <w:bottom w:val="none" w:sz="0" w:space="0" w:color="auto"/>
        <w:right w:val="none" w:sz="0" w:space="0" w:color="auto"/>
      </w:divBdr>
    </w:div>
    <w:div w:id="1265767892">
      <w:bodyDiv w:val="1"/>
      <w:marLeft w:val="0"/>
      <w:marRight w:val="0"/>
      <w:marTop w:val="0"/>
      <w:marBottom w:val="0"/>
      <w:divBdr>
        <w:top w:val="none" w:sz="0" w:space="0" w:color="auto"/>
        <w:left w:val="none" w:sz="0" w:space="0" w:color="auto"/>
        <w:bottom w:val="none" w:sz="0" w:space="0" w:color="auto"/>
        <w:right w:val="none" w:sz="0" w:space="0" w:color="auto"/>
      </w:divBdr>
    </w:div>
    <w:div w:id="1705711733">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201564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mpi.govt.nz/forestry/forestry-in-the-emissions-trading-scheme/about-forestry-in-the-emissions-trading-scheme-ets/how-forest-land-is-defined-in-the-et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mpi.govt.nz/forestry/forestry-in-the-emissions-trading-scheme/mapping-and-managing-forest-land-in-the-ets/how-to-map-forestry-for-the-emissions-trading-scheme" TargetMode="External"/><Relationship Id="rId38" Type="http://schemas.openxmlformats.org/officeDocument/2006/relationships/hyperlink" Target="https://www.mpi.govt.nz/dmsdocument/68796-Proposed-changes-to-forestry-in-the-New-Zealand-Emissions-Trading-Scheme-NZ-E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mpi.govt.nz/forestry/forestry-in-the-emissions-trading-scheme/news-and-changes-to-the-ets/application-wait-times-and-statistics-for-forestry-in-the-et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mpi.govt.nz/forestry/forestry-in-the-emissions-trading-scheme/emissions-returns-and-carbon-units-nzus-for-forestry/accounting-for-carbon-in-the-ets/averaging-accounting"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environment.govt.nz/publications/new-zealands-first-biennial-transparency-report-under-the-paris-agreement/"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CC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CC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CC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A6D186D65F6D9D40B801459892252FC9" ma:contentTypeVersion="44" ma:contentTypeDescription="Create a new document." ma:contentTypeScope="" ma:versionID="ff4adf4cdb04505329f4520580f7db58">
  <xsd:schema xmlns:xsd="http://www.w3.org/2001/XMLSchema" xmlns:xs="http://www.w3.org/2001/XMLSchema" xmlns:p="http://schemas.microsoft.com/office/2006/metadata/properties" xmlns:ns1="http://schemas.microsoft.com/sharepoint/v3" xmlns:ns2="0840200d-5ad4-4088-9410-7099857a429a" xmlns:ns3="1cac9bea-d09c-48b0-9841-7eb5347add9c" xmlns:ns4="495babcf-a1be-481b-af25-dc592bf771d3" targetNamespace="http://schemas.microsoft.com/office/2006/metadata/properties" ma:root="true" ma:fieldsID="1e71a436654391cbed7ae3361f92c5f9" ns1:_="" ns2:_="" ns3:_="" ns4:_="">
    <xsd:import namespace="http://schemas.microsoft.com/sharepoint/v3"/>
    <xsd:import namespace="0840200d-5ad4-4088-9410-7099857a429a"/>
    <xsd:import namespace="1cac9bea-d09c-48b0-9841-7eb5347add9c"/>
    <xsd:import namespace="495babcf-a1be-481b-af25-dc592bf771d3"/>
    <xsd:element name="properties">
      <xsd:complexType>
        <xsd:sequence>
          <xsd:element name="documentManagement">
            <xsd:complexType>
              <xsd:all>
                <xsd:element ref="ns1:_ExtendedDescription" minOccurs="0"/>
                <xsd:element ref="ns2:FunctionGroup" minOccurs="0"/>
                <xsd:element ref="ns2:Function" minOccurs="0"/>
                <xsd:element ref="ns2:Activity" minOccurs="0"/>
                <xsd:element ref="ns2:Subactivity" minOccurs="0"/>
                <xsd:element ref="ns2:Case" minOccurs="0"/>
                <xsd:element ref="ns2:Category1" minOccurs="0"/>
                <xsd:element ref="ns2:Category2" minOccurs="0"/>
                <xsd:element ref="ns2:Team" minOccurs="0"/>
                <xsd:element ref="ns2:Channel" minOccurs="0"/>
                <xsd:element ref="ns2:Year" minOccurs="0"/>
                <xsd:element ref="ns2:Level2" minOccurs="0"/>
                <xsd:element ref="ns2:Level3" minOccurs="0"/>
                <xsd:element ref="ns2:PRAType" minOccurs="0"/>
                <xsd:element ref="ns2:AggregationStatus" minOccurs="0"/>
                <xsd:element ref="ns2:SetLabel" minOccurs="0"/>
                <xsd:element ref="ns2:DocumentType" minOccurs="0"/>
                <xsd:element ref="ns2:ILFrom" minOccurs="0"/>
                <xsd:element ref="ns2:HarmonieUIHidden" minOccurs="0"/>
                <xsd:element ref="ns2:Narrative" minOccurs="0"/>
                <xsd:element ref="ns2:OriginalSubject" minOccurs="0"/>
                <xsd:element ref="ns2:PRADateDisposal" minOccurs="0"/>
                <xsd:element ref="ns2:PRADateTrigger" minOccurs="0"/>
                <xsd:element ref="ns2:PRAText1" minOccurs="0"/>
                <xsd:element ref="ns2:PRAText2" minOccurs="0"/>
                <xsd:element ref="ns2:PRAText4" minOccurs="0"/>
                <xsd:element ref="ns2:PRAText5" minOccurs="0"/>
                <xsd:element ref="ns2:Project" minOccurs="0"/>
                <xsd:element ref="ns2:Received" minOccurs="0"/>
                <xsd:element ref="ns2:RelatedPeople" minOccurs="0"/>
                <xsd:element ref="ns2:SecurityClassification" minOccurs="0"/>
                <xsd:element ref="ns2:Sent" minOccurs="0"/>
                <xsd:element ref="ns2:To" minOccurs="0"/>
                <xsd:element ref="ns2:zLegacyDocID" minOccurs="0"/>
                <xsd:element ref="ns2:zLegacy" minOccurs="0"/>
                <xsd:element ref="ns2:zLegacyJSON" minOccurs="0"/>
                <xsd:element ref="ns2:CC" minOccurs="0"/>
                <xsd:element ref="ns2:MailPreviewData" minOccurs="0"/>
                <xsd:element ref="ns3:SetSensitivity" minOccurs="0"/>
                <xsd:element ref="ns3:PRAText3" minOccurs="0"/>
                <xsd:element ref="ns3:Level1" minOccurs="0"/>
                <xsd:element ref="ns3:zMigrationID" minOccurs="0"/>
                <xsd:element ref="ns3:ProjectID" minOccurs="0"/>
                <xsd:element ref="ns3:zLegacyID" minOccurs="0"/>
                <xsd:element ref="ns4:MediaServiceMetadata" minOccurs="0"/>
                <xsd:element ref="ns4:MediaServiceFastMetadata" minOccurs="0"/>
                <xsd:element ref="ns4:MediaServiceSearchPropertie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8" nillable="true" ma:displayName="Description" ma:default=""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40200d-5ad4-4088-9410-7099857a429a" elementFormDefault="qualified">
    <xsd:import namespace="http://schemas.microsoft.com/office/2006/documentManagement/types"/>
    <xsd:import namespace="http://schemas.microsoft.com/office/infopath/2007/PartnerControls"/>
    <xsd:element name="FunctionGroup" ma:index="9" nillable="true" ma:displayName="Function Group" ma:default="NA" ma:hidden="true" ma:internalName="FunctionGroup" ma:readOnly="false">
      <xsd:simpleType>
        <xsd:restriction base="dms:Text">
          <xsd:maxLength value="255"/>
        </xsd:restriction>
      </xsd:simpleType>
    </xsd:element>
    <xsd:element name="Function" ma:index="10" nillable="true" ma:displayName="Function" ma:default="Advice" ma:hidden="true" ma:internalName="Function" ma:readOnly="false">
      <xsd:simpleType>
        <xsd:restriction base="dms:Text">
          <xsd:maxLength value="255"/>
        </xsd:restriction>
      </xsd:simpleType>
    </xsd:element>
    <xsd:element name="Activity" ma:index="11" nillable="true" ma:displayName="Activity" ma:default="Emissions Trading Scheme (NZETS)" ma:hidden="true" ma:internalName="Activity" ma:readOnly="false">
      <xsd:simpleType>
        <xsd:restriction base="dms:Text">
          <xsd:maxLength value="255"/>
        </xsd:restriction>
      </xsd:simpleType>
    </xsd:element>
    <xsd:element name="Subactivity" ma:index="12" nillable="true" ma:displayName="Subactivity" ma:default="Unit limits and price control settings" ma:hidden="true" ma:indexed="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Category1" ma:index="14" nillable="true" ma:displayName="Category 1" ma:default="NA" ma:hidden="true" ma:indexed="true" ma:internalName="Category1" ma:readOnly="false">
      <xsd:simpleType>
        <xsd:restriction base="dms:Text">
          <xsd:maxLength value="255"/>
        </xsd:restriction>
      </xsd:simpleType>
    </xsd:element>
    <xsd:element name="Category2" ma:index="15" nillable="true" ma:displayName="Category 2" ma:default="NA" ma:hidden="true" ma:indexed="true" ma:internalName="Category2" ma:readOnly="false">
      <xsd:simpleType>
        <xsd:restriction base="dms:Text">
          <xsd:maxLength value="255"/>
        </xsd:restriction>
      </xsd:simpleType>
    </xsd:element>
    <xsd:element name="Team" ma:index="16" nillable="true" ma:displayName="Team" ma:default="NZ ETS 2026" ma:hidden="true" ma:internalName="Team" ma:readOnly="false">
      <xsd:simpleType>
        <xsd:restriction base="dms:Text">
          <xsd:maxLength value="255"/>
        </xsd:restriction>
      </xsd:simpleType>
    </xsd:element>
    <xsd:element name="Channel" ma:index="17" nillable="true" ma:displayName="Channel" ma:default="NA" ma:hidden="true" ma:internalName="Channel" ma:readOnly="false">
      <xsd:simpleType>
        <xsd:restriction base="dms:Text">
          <xsd:maxLength value="255"/>
        </xsd:restriction>
      </xsd:simpleType>
    </xsd:element>
    <xsd:element name="Year" ma:index="18" nillable="true" ma:displayName="Year" ma:default="NA" ma:hidden="true" ma:internalName="Year" ma:readOnly="false">
      <xsd:simpleType>
        <xsd:restriction base="dms:Text">
          <xsd:maxLength value="255"/>
        </xsd:restriction>
      </xsd:simpleType>
    </xsd:element>
    <xsd:element name="Level2" ma:index="19" nillable="true" ma:displayName="Level 2" ma:default="NA" ma:hidden="true" ma:internalName="Level2" ma:readOnly="false">
      <xsd:simpleType>
        <xsd:restriction base="dms:Text">
          <xsd:maxLength value="255"/>
        </xsd:restriction>
      </xsd:simpleType>
    </xsd:element>
    <xsd:element name="Level3" ma:index="20" nillable="true" ma:displayName="Level 3" ma:default="NA" ma:hidden="true" ma:internalName="Level3" ma:readOnly="false">
      <xsd:simpleType>
        <xsd:restriction base="dms:Text">
          <xsd:maxLength value="255"/>
        </xsd:restriction>
      </xsd:simpleType>
    </xsd:element>
    <xsd:element name="PRAType" ma:index="21" nillable="true" ma:displayName="PRA Type" ma:default="Doc" ma:hidden="true" ma:indexed="true" ma:internalName="PRAType" ma:readOnly="false">
      <xsd:simpleType>
        <xsd:restriction base="dms:Text">
          <xsd:maxLength value="255"/>
        </xsd:restriction>
      </xsd:simpleType>
    </xsd:element>
    <xsd:element name="AggregationStatus" ma:index="22"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enumeration value="Normal"/>
        </xsd:restriction>
      </xsd:simpleType>
    </xsd:element>
    <xsd:element name="SetLabel" ma:index="23" nillable="true" ma:displayName="Set Label" ma:default="NOT SET" ma:hidden="true" ma:indexed="true" ma:internalName="SetLabel" ma:readOnly="false">
      <xsd:simpleType>
        <xsd:restriction base="dms:Text">
          <xsd:maxLength value="255"/>
        </xsd:restriction>
      </xsd:simpleType>
    </xsd:element>
    <xsd:element name="DocumentType" ma:index="24" nillable="true" ma:displayName="Document Type" ma:format="Dropdown" ma:hidden="true" ma:internalName="DocumentTyp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ILFrom" ma:index="25" nillable="true" ma:displayName="From" ma:hidden="true" ma:internalName="ILFrom" ma:readOnly="false">
      <xsd:simpleType>
        <xsd:restriction base="dms:Text">
          <xsd:maxLength value="255"/>
        </xsd:restriction>
      </xsd:simpleType>
    </xsd:element>
    <xsd:element name="HarmonieUIHidden" ma:index="26" nillable="true" ma:displayName="HarmonieUIHidden" ma:hidden="true" ma:internalName="HarmonieUIHidden" ma:readOnly="false">
      <xsd:simpleType>
        <xsd:restriction base="dms:Text">
          <xsd:maxLength value="255"/>
        </xsd:restriction>
      </xsd:simpleType>
    </xsd:element>
    <xsd:element name="Narrative" ma:index="27" nillable="true" ma:displayName="Narrative" ma:hidden="true" ma:internalName="Narrative" ma:readOnly="false">
      <xsd:simpleType>
        <xsd:restriction base="dms:Note"/>
      </xsd:simpleType>
    </xsd:element>
    <xsd:element name="OriginalSubject" ma:index="28" nillable="true" ma:displayName="Original Subject" ma:hidden="true" ma:internalName="OriginalSubject" ma:readOnly="false">
      <xsd:simpleType>
        <xsd:restriction base="dms:Text">
          <xsd:maxLength value="255"/>
        </xsd:restriction>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4" ma:index="33" nillable="true" ma:displayName="PRA Text 4" ma:hidden="true" ma:internalName="PRAText4" ma:readOnly="false">
      <xsd:simpleType>
        <xsd:restriction base="dms:Text">
          <xsd:maxLength value="255"/>
        </xsd:restriction>
      </xsd:simpleType>
    </xsd:element>
    <xsd:element name="PRAText5" ma:index="34" nillable="true" ma:displayName="PRA Text 5" ma:hidden="true" ma:internalName="PRAText5" ma:readOnly="false">
      <xsd:simpleType>
        <xsd:restriction base="dms:Text">
          <xsd:maxLength value="255"/>
        </xsd:restriction>
      </xsd:simpleType>
    </xsd:element>
    <xsd:element name="Project" ma:index="35" nillable="true" ma:displayName="Project" ma:default="NA" ma:hidden="true" ma:internalName="Project" ma:readOnly="false">
      <xsd:simpleType>
        <xsd:restriction base="dms:Text">
          <xsd:maxLength value="255"/>
        </xsd:restriction>
      </xsd:simpleType>
    </xsd:element>
    <xsd:element name="Received" ma:index="36" nillable="true" ma:displayName="Received" ma:format="DateOnly" ma:hidden="true" ma:internalName="Received" ma:readOnly="false">
      <xsd:simpleType>
        <xsd:restriction base="dms:DateTime"/>
      </xsd:simpleType>
    </xsd:element>
    <xsd:element name="RelatedPeople" ma:index="37" nillable="true" ma:displayName="Related People" ma:hidden="true" ma:list="UserInfo" ma:SharePointGroup="0" ma:internalName="RelatedPeop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urityClassification" ma:index="38" nillable="true" ma:displayName="Security Classification" ma:default="C2. INTERNAL" ma:format="Dropdown" ma:hidden="true" ma:internalName="SecurityClassification">
      <xsd:simpleType>
        <xsd:union memberTypes="dms:Text">
          <xsd:simpleType>
            <xsd:restriction base="dms:Choice">
              <xsd:enumeration value="C1. OPEN"/>
              <xsd:enumeration value="C2. INTERNAL"/>
              <xsd:enumeration value="C3. RESTRICTED"/>
              <xsd:enumeration value="C4. CONFIDENTIAL"/>
              <xsd:enumeration value="C2. INTERNAL"/>
            </xsd:restriction>
          </xsd:simpleType>
        </xsd:union>
      </xsd:simpleType>
    </xsd:element>
    <xsd:element name="Sent" ma:index="39" nillable="true" ma:displayName="Sent" ma:format="DateTime" ma:hidden="true" ma:internalName="Sent" ma:readOnly="false">
      <xsd:simpleType>
        <xsd:restriction base="dms:DateTime"/>
      </xsd:simpleType>
    </xsd:element>
    <xsd:element name="To" ma:index="40" nillable="true" ma:displayName="To" ma:hidden="true" ma:internalName="To" ma:readOnly="false">
      <xsd:simpleType>
        <xsd:restriction base="dms:Text">
          <xsd:maxLength value="255"/>
        </xsd:restriction>
      </xsd:simpleType>
    </xsd:element>
    <xsd:element name="zLegacyDocID" ma:index="41" nillable="true" ma:displayName="Legacy Doc ID" ma:hidden="true" ma:internalName="zLegacyDocID" ma:readOnly="false">
      <xsd:simpleType>
        <xsd:restriction base="dms:Text">
          <xsd:maxLength value="255"/>
        </xsd:restriction>
      </xsd:simpleType>
    </xsd:element>
    <xsd:element name="zLegacy" ma:index="42" nillable="true" ma:displayName="zLegacy" ma:hidden="true" ma:internalName="zLegacy" ma:readOnly="false">
      <xsd:simpleType>
        <xsd:restriction base="dms:Note"/>
      </xsd:simpleType>
    </xsd:element>
    <xsd:element name="zLegacyJSON" ma:index="43" nillable="true" ma:displayName="zLegacyJSON" ma:hidden="true" ma:internalName="zLegacyJSON" ma:readOnly="false">
      <xsd:simpleType>
        <xsd:restriction base="dms:Note"/>
      </xsd:simpleType>
    </xsd:element>
    <xsd:element name="CC" ma:index="44" nillable="true" ma:displayName="CC" ma:hidden="true" ma:internalName="CC" ma:readOnly="false">
      <xsd:simpleType>
        <xsd:restriction base="dms:Text">
          <xsd:maxLength value="255"/>
        </xsd:restriction>
      </xsd:simpleType>
    </xsd:element>
    <xsd:element name="MailPreviewData" ma:index="45" nillable="true" ma:displayName="MailPreviewData" ma:hidden="true" ma:internalName="MailPreviewData" ma:readOnly="false">
      <xsd:simpleType>
        <xsd:restriction base="dms:Note"/>
      </xsd:simpleType>
    </xsd:element>
    <xsd:element name="_dlc_DocId" ma:index="55" nillable="true" ma:displayName="Document ID Value" ma:description="The value of the document ID assigned to this item." ma:indexed="true" ma:internalName="_dlc_DocId" ma:readOnly="true">
      <xsd:simpleType>
        <xsd:restriction base="dms:Text"/>
      </xsd:simpleType>
    </xsd:element>
    <xsd:element name="_dlc_DocIdUrl" ma:index="5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ac9bea-d09c-48b0-9841-7eb5347add9c" elementFormDefault="qualified">
    <xsd:import namespace="http://schemas.microsoft.com/office/2006/documentManagement/types"/>
    <xsd:import namespace="http://schemas.microsoft.com/office/infopath/2007/PartnerControls"/>
    <xsd:element name="SetSensitivity" ma:index="46" nillable="true" ma:displayName="Set Sensitivity" ma:default="NOT SET" ma:hidden="true" ma:indexed="true" ma:internalName="SetSensitivity" ma:readOnly="false">
      <xsd:simpleType>
        <xsd:restriction base="dms:Text">
          <xsd:maxLength value="255"/>
        </xsd:restriction>
      </xsd:simpleType>
    </xsd:element>
    <xsd:element name="PRAText3" ma:index="47" nillable="true" ma:displayName="PRA Text 3" ma:hidden="true" ma:internalName="PRAText3" ma:readOnly="false">
      <xsd:simpleType>
        <xsd:restriction base="dms:Text">
          <xsd:maxLength value="255"/>
        </xsd:restriction>
      </xsd:simpleType>
    </xsd:element>
    <xsd:element name="Level1" ma:index="48" nillable="true" ma:displayName="Level 1" ma:default="NA" ma:hidden="true" ma:internalName="Level1" ma:readOnly="false">
      <xsd:simpleType>
        <xsd:restriction base="dms:Text">
          <xsd:maxLength value="255"/>
        </xsd:restriction>
      </xsd:simpleType>
    </xsd:element>
    <xsd:element name="zMigrationID" ma:index="49" nillable="true" ma:displayName="zMigrationID" ma:hidden="true" ma:indexed="true" ma:internalName="zMigrationID" ma:readOnly="false">
      <xsd:simpleType>
        <xsd:restriction base="dms:Text">
          <xsd:maxLength value="255"/>
        </xsd:restriction>
      </xsd:simpleType>
    </xsd:element>
    <xsd:element name="ProjectID" ma:index="50" nillable="true" ma:displayName="ProjectID" ma:hidden="true" ma:internalName="ProjectID" ma:readOnly="false">
      <xsd:simpleType>
        <xsd:restriction base="dms:Text">
          <xsd:maxLength value="255"/>
        </xsd:restriction>
      </xsd:simpleType>
    </xsd:element>
    <xsd:element name="zLegacyID" ma:index="51" nillable="true" ma:displayName="zLegacyID" ma:hidden="true" ma:internalName="zLegacy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5babcf-a1be-481b-af25-dc592bf771d3" elementFormDefault="qualified">
    <xsd:import namespace="http://schemas.microsoft.com/office/2006/documentManagement/types"/>
    <xsd:import namespace="http://schemas.microsoft.com/office/infopath/2007/PartnerControls"/>
    <xsd:element name="MediaServiceMetadata" ma:index="52" nillable="true" ma:displayName="MediaServiceMetadata" ma:hidden="true" ma:internalName="MediaServiceMetadata" ma:readOnly="true">
      <xsd:simpleType>
        <xsd:restriction base="dms:Note"/>
      </xsd:simpleType>
    </xsd:element>
    <xsd:element name="MediaServiceFastMetadata" ma:index="53" nillable="true" ma:displayName="MediaServiceFastMetadata" ma:hidden="true" ma:internalName="MediaServiceFastMetadata" ma:readOnly="true">
      <xsd:simpleType>
        <xsd:restriction base="dms:Note"/>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tSensitivity xmlns="1cac9bea-d09c-48b0-9841-7eb5347add9c">NOT SET</SetSensitivity>
    <zLegacyID xmlns="1cac9bea-d09c-48b0-9841-7eb5347add9c" xsi:nil="true"/>
    <Level1 xmlns="1cac9bea-d09c-48b0-9841-7eb5347add9c">NA</Level1>
    <_ExtendedDescription xmlns="http://schemas.microsoft.com/sharepoint/v3" xsi:nil="true"/>
    <ProjectID xmlns="1cac9bea-d09c-48b0-9841-7eb5347add9c" xsi:nil="true"/>
    <PRAText3 xmlns="1cac9bea-d09c-48b0-9841-7eb5347add9c" xsi:nil="true"/>
    <zMigrationID xmlns="1cac9bea-d09c-48b0-9841-7eb5347add9c" xsi:nil="true"/>
    <Subactivity xmlns="0840200d-5ad4-4088-9410-7099857a429a">Technical annexes</Subactivity>
    <PRADateDisposal xmlns="0840200d-5ad4-4088-9410-7099857a429a" xsi:nil="true"/>
    <CC xmlns="0840200d-5ad4-4088-9410-7099857a429a" xsi:nil="true"/>
    <SecurityClassification xmlns="0840200d-5ad4-4088-9410-7099857a429a">C2. INTERNAL</SecurityClassification>
    <Level2 xmlns="0840200d-5ad4-4088-9410-7099857a429a">NA</Level2>
    <PRAType xmlns="0840200d-5ad4-4088-9410-7099857a429a">Doc</PRAType>
    <Narrative xmlns="0840200d-5ad4-4088-9410-7099857a429a" xsi:nil="true"/>
    <PRADateTrigger xmlns="0840200d-5ad4-4088-9410-7099857a429a" xsi:nil="true"/>
    <Sent xmlns="0840200d-5ad4-4088-9410-7099857a429a" xsi:nil="true"/>
    <PRAText1 xmlns="0840200d-5ad4-4088-9410-7099857a429a" xsi:nil="true"/>
    <PRAText4 xmlns="0840200d-5ad4-4088-9410-7099857a429a" xsi:nil="true"/>
    <Category1 xmlns="0840200d-5ad4-4088-9410-7099857a429a">NA</Category1>
    <Level3 xmlns="0840200d-5ad4-4088-9410-7099857a429a">NA</Level3>
    <OriginalSubject xmlns="0840200d-5ad4-4088-9410-7099857a429a" xsi:nil="true"/>
    <Team xmlns="0840200d-5ad4-4088-9410-7099857a429a">NZ ETS 2026</Team>
    <Case xmlns="0840200d-5ad4-4088-9410-7099857a429a">NA</Case>
    <Category2 xmlns="0840200d-5ad4-4088-9410-7099857a429a">NA</Category2>
    <Year xmlns="0840200d-5ad4-4088-9410-7099857a429a">NA</Year>
    <ILFrom xmlns="0840200d-5ad4-4088-9410-7099857a429a" xsi:nil="true"/>
    <PRAText2 xmlns="0840200d-5ad4-4088-9410-7099857a429a" xsi:nil="true"/>
    <PRAText5 xmlns="0840200d-5ad4-4088-9410-7099857a429a" xsi:nil="true"/>
    <FunctionGroup xmlns="0840200d-5ad4-4088-9410-7099857a429a">NA</FunctionGroup>
    <Function xmlns="0840200d-5ad4-4088-9410-7099857a429a">Advice</Function>
    <RelatedPeople xmlns="0840200d-5ad4-4088-9410-7099857a429a">
      <UserInfo>
        <DisplayName/>
        <AccountId xsi:nil="true"/>
        <AccountType/>
      </UserInfo>
    </RelatedPeople>
    <Received xmlns="0840200d-5ad4-4088-9410-7099857a429a" xsi:nil="true"/>
    <zLegacyDocID xmlns="0840200d-5ad4-4088-9410-7099857a429a" xsi:nil="true"/>
    <DocumentType xmlns="0840200d-5ad4-4088-9410-7099857a429a">APPLICATION, certificate, consent related</DocumentType>
    <Activity xmlns="0840200d-5ad4-4088-9410-7099857a429a">Emissions Trading Scheme (NZETS)</Activity>
    <SetLabel xmlns="0840200d-5ad4-4088-9410-7099857a429a">NOT SET</SetLabel>
    <zLegacy xmlns="0840200d-5ad4-4088-9410-7099857a429a" xsi:nil="true"/>
    <MailPreviewData xmlns="0840200d-5ad4-4088-9410-7099857a429a" xsi:nil="true"/>
    <AggregationStatus xmlns="0840200d-5ad4-4088-9410-7099857a429a">Normal</AggregationStatus>
    <Project xmlns="0840200d-5ad4-4088-9410-7099857a429a">NA</Project>
    <zLegacyJSON xmlns="0840200d-5ad4-4088-9410-7099857a429a" xsi:nil="true"/>
    <Channel xmlns="0840200d-5ad4-4088-9410-7099857a429a">NA</Channel>
    <HarmonieUIHidden xmlns="0840200d-5ad4-4088-9410-7099857a429a" xsi:nil="true"/>
    <To xmlns="0840200d-5ad4-4088-9410-7099857a429a" xsi:nil="true"/>
    <_dlc_DocId xmlns="0840200d-5ad4-4088-9410-7099857a429a">3T2N7Z3DHK66-1104493782-2650</_dlc_DocId>
    <_dlc_DocIdUrl xmlns="0840200d-5ad4-4088-9410-7099857a429a">
      <Url>https://climatechangegovt.sharepoint.com/sites/CCRA-ETS2026/_layouts/15/DocIdRedir.aspx?ID=3T2N7Z3DHK66-1104493782-2650</Url>
      <Description>3T2N7Z3DHK66-1104493782-2650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63A4D2-F6E4-4FCC-8E3D-3689910E4468}"/>
</file>

<file path=customXml/itemProps2.xml><?xml version="1.0" encoding="utf-8"?>
<ds:datastoreItem xmlns:ds="http://schemas.openxmlformats.org/officeDocument/2006/customXml" ds:itemID="{E38EF38C-888B-4070-8B99-66E87DABC1A7}">
  <ds:schemaRefs>
    <ds:schemaRef ds:uri="http://schemas.openxmlformats.org/officeDocument/2006/bibliography"/>
  </ds:schemaRefs>
</ds:datastoreItem>
</file>

<file path=customXml/itemProps3.xml><?xml version="1.0" encoding="utf-8"?>
<ds:datastoreItem xmlns:ds="http://schemas.openxmlformats.org/officeDocument/2006/customXml" ds:itemID="{B90C9EAE-AD6B-407F-B572-21089C3C6A4E}">
  <ds:schemaRefs>
    <ds:schemaRef ds:uri="http://schemas.microsoft.com/office/2006/metadata/properties"/>
    <ds:schemaRef ds:uri="http://schemas.microsoft.com/office/infopath/2007/PartnerControls"/>
    <ds:schemaRef ds:uri="1cac9bea-d09c-48b0-9841-7eb5347add9c"/>
    <ds:schemaRef ds:uri="http://schemas.microsoft.com/sharepoint/v3"/>
    <ds:schemaRef ds:uri="0840200d-5ad4-4088-9410-7099857a429a"/>
  </ds:schemaRefs>
</ds:datastoreItem>
</file>

<file path=customXml/itemProps4.xml><?xml version="1.0" encoding="utf-8"?>
<ds:datastoreItem xmlns:ds="http://schemas.openxmlformats.org/officeDocument/2006/customXml" ds:itemID="{9D90E1AE-6637-4865-8CAD-D9BA5B55C95E}">
  <ds:schemaRefs>
    <ds:schemaRef ds:uri="http://schemas.microsoft.com/sharepoint/events"/>
  </ds:schemaRefs>
</ds:datastoreItem>
</file>

<file path=customXml/itemProps5.xml><?xml version="1.0" encoding="utf-8"?>
<ds:datastoreItem xmlns:ds="http://schemas.openxmlformats.org/officeDocument/2006/customXml" ds:itemID="{10C58ACD-95BF-4871-90F7-E3F54976DC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1</Pages>
  <Words>8929</Words>
  <Characters>50899</Characters>
  <Application>Microsoft Office Word</Application>
  <DocSecurity>4</DocSecurity>
  <Lines>424</Lines>
  <Paragraphs>119</Paragraphs>
  <ScaleCrop>false</ScaleCrop>
  <Company/>
  <LinksUpToDate>false</LinksUpToDate>
  <CharactersWithSpaces>59709</CharactersWithSpaces>
  <SharedDoc>false</SharedDoc>
  <HLinks>
    <vt:vector size="216" baseType="variant">
      <vt:variant>
        <vt:i4>5046351</vt:i4>
      </vt:variant>
      <vt:variant>
        <vt:i4>305</vt:i4>
      </vt:variant>
      <vt:variant>
        <vt:i4>0</vt:i4>
      </vt:variant>
      <vt:variant>
        <vt:i4>5</vt:i4>
      </vt:variant>
      <vt:variant>
        <vt:lpwstr>https://www.mpi.govt.nz/dmsdocument/68796-Proposed-changes-to-forestry-in-the-New-Zealand-Emissions-Trading-Scheme-NZ-ETS</vt:lpwstr>
      </vt:variant>
      <vt:variant>
        <vt:lpwstr/>
      </vt:variant>
      <vt:variant>
        <vt:i4>2949246</vt:i4>
      </vt:variant>
      <vt:variant>
        <vt:i4>302</vt:i4>
      </vt:variant>
      <vt:variant>
        <vt:i4>0</vt:i4>
      </vt:variant>
      <vt:variant>
        <vt:i4>5</vt:i4>
      </vt:variant>
      <vt:variant>
        <vt:lpwstr>https://www.mpi.govt.nz/forestry/forestry-in-the-emissions-trading-scheme/news-and-changes-to-the-ets/application-wait-times-and-statistics-for-forestry-in-the-ets</vt:lpwstr>
      </vt:variant>
      <vt:variant>
        <vt:lpwstr/>
      </vt:variant>
      <vt:variant>
        <vt:i4>65625</vt:i4>
      </vt:variant>
      <vt:variant>
        <vt:i4>299</vt:i4>
      </vt:variant>
      <vt:variant>
        <vt:i4>0</vt:i4>
      </vt:variant>
      <vt:variant>
        <vt:i4>5</vt:i4>
      </vt:variant>
      <vt:variant>
        <vt:lpwstr>https://www.mpi.govt.nz/forestry/forestry-in-the-emissions-trading-scheme/emissions-returns-and-carbon-units-nzus-for-forestry/accounting-for-carbon-in-the-ets/averaging-accounting</vt:lpwstr>
      </vt:variant>
      <vt:variant>
        <vt:lpwstr/>
      </vt:variant>
      <vt:variant>
        <vt:i4>3473443</vt:i4>
      </vt:variant>
      <vt:variant>
        <vt:i4>296</vt:i4>
      </vt:variant>
      <vt:variant>
        <vt:i4>0</vt:i4>
      </vt:variant>
      <vt:variant>
        <vt:i4>5</vt:i4>
      </vt:variant>
      <vt:variant>
        <vt:lpwstr>https://environment.govt.nz/publications/new-zealands-first-biennial-transparency-report-under-the-paris-agreement/</vt:lpwstr>
      </vt:variant>
      <vt:variant>
        <vt:lpwstr/>
      </vt:variant>
      <vt:variant>
        <vt:i4>3932263</vt:i4>
      </vt:variant>
      <vt:variant>
        <vt:i4>293</vt:i4>
      </vt:variant>
      <vt:variant>
        <vt:i4>0</vt:i4>
      </vt:variant>
      <vt:variant>
        <vt:i4>5</vt:i4>
      </vt:variant>
      <vt:variant>
        <vt:lpwstr>https://www.mpi.govt.nz/forestry/forestry-in-the-emissions-trading-scheme/about-forestry-in-the-emissions-trading-scheme-ets/how-forest-land-is-defined-in-the-ets</vt:lpwstr>
      </vt:variant>
      <vt:variant>
        <vt:lpwstr/>
      </vt:variant>
      <vt:variant>
        <vt:i4>2752560</vt:i4>
      </vt:variant>
      <vt:variant>
        <vt:i4>290</vt:i4>
      </vt:variant>
      <vt:variant>
        <vt:i4>0</vt:i4>
      </vt:variant>
      <vt:variant>
        <vt:i4>5</vt:i4>
      </vt:variant>
      <vt:variant>
        <vt:lpwstr>https://www.mpi.govt.nz/forestry/forestry-in-the-emissions-trading-scheme/mapping-and-managing-forest-land-in-the-ets/how-to-map-forestry-for-the-emissions-trading-scheme</vt:lpwstr>
      </vt:variant>
      <vt:variant>
        <vt:lpwstr/>
      </vt:variant>
      <vt:variant>
        <vt:i4>1179705</vt:i4>
      </vt:variant>
      <vt:variant>
        <vt:i4>176</vt:i4>
      </vt:variant>
      <vt:variant>
        <vt:i4>0</vt:i4>
      </vt:variant>
      <vt:variant>
        <vt:i4>5</vt:i4>
      </vt:variant>
      <vt:variant>
        <vt:lpwstr/>
      </vt:variant>
      <vt:variant>
        <vt:lpwstr>_Toc227580427</vt:lpwstr>
      </vt:variant>
      <vt:variant>
        <vt:i4>1179705</vt:i4>
      </vt:variant>
      <vt:variant>
        <vt:i4>170</vt:i4>
      </vt:variant>
      <vt:variant>
        <vt:i4>0</vt:i4>
      </vt:variant>
      <vt:variant>
        <vt:i4>5</vt:i4>
      </vt:variant>
      <vt:variant>
        <vt:lpwstr/>
      </vt:variant>
      <vt:variant>
        <vt:lpwstr>_Toc227580426</vt:lpwstr>
      </vt:variant>
      <vt:variant>
        <vt:i4>1179705</vt:i4>
      </vt:variant>
      <vt:variant>
        <vt:i4>164</vt:i4>
      </vt:variant>
      <vt:variant>
        <vt:i4>0</vt:i4>
      </vt:variant>
      <vt:variant>
        <vt:i4>5</vt:i4>
      </vt:variant>
      <vt:variant>
        <vt:lpwstr/>
      </vt:variant>
      <vt:variant>
        <vt:lpwstr>_Toc227580425</vt:lpwstr>
      </vt:variant>
      <vt:variant>
        <vt:i4>1179705</vt:i4>
      </vt:variant>
      <vt:variant>
        <vt:i4>158</vt:i4>
      </vt:variant>
      <vt:variant>
        <vt:i4>0</vt:i4>
      </vt:variant>
      <vt:variant>
        <vt:i4>5</vt:i4>
      </vt:variant>
      <vt:variant>
        <vt:lpwstr/>
      </vt:variant>
      <vt:variant>
        <vt:lpwstr>_Toc227580424</vt:lpwstr>
      </vt:variant>
      <vt:variant>
        <vt:i4>1179705</vt:i4>
      </vt:variant>
      <vt:variant>
        <vt:i4>152</vt:i4>
      </vt:variant>
      <vt:variant>
        <vt:i4>0</vt:i4>
      </vt:variant>
      <vt:variant>
        <vt:i4>5</vt:i4>
      </vt:variant>
      <vt:variant>
        <vt:lpwstr/>
      </vt:variant>
      <vt:variant>
        <vt:lpwstr>_Toc227580423</vt:lpwstr>
      </vt:variant>
      <vt:variant>
        <vt:i4>1179705</vt:i4>
      </vt:variant>
      <vt:variant>
        <vt:i4>146</vt:i4>
      </vt:variant>
      <vt:variant>
        <vt:i4>0</vt:i4>
      </vt:variant>
      <vt:variant>
        <vt:i4>5</vt:i4>
      </vt:variant>
      <vt:variant>
        <vt:lpwstr/>
      </vt:variant>
      <vt:variant>
        <vt:lpwstr>_Toc227580422</vt:lpwstr>
      </vt:variant>
      <vt:variant>
        <vt:i4>1179705</vt:i4>
      </vt:variant>
      <vt:variant>
        <vt:i4>140</vt:i4>
      </vt:variant>
      <vt:variant>
        <vt:i4>0</vt:i4>
      </vt:variant>
      <vt:variant>
        <vt:i4>5</vt:i4>
      </vt:variant>
      <vt:variant>
        <vt:lpwstr/>
      </vt:variant>
      <vt:variant>
        <vt:lpwstr>_Toc227580421</vt:lpwstr>
      </vt:variant>
      <vt:variant>
        <vt:i4>1179705</vt:i4>
      </vt:variant>
      <vt:variant>
        <vt:i4>134</vt:i4>
      </vt:variant>
      <vt:variant>
        <vt:i4>0</vt:i4>
      </vt:variant>
      <vt:variant>
        <vt:i4>5</vt:i4>
      </vt:variant>
      <vt:variant>
        <vt:lpwstr/>
      </vt:variant>
      <vt:variant>
        <vt:lpwstr>_Toc227580420</vt:lpwstr>
      </vt:variant>
      <vt:variant>
        <vt:i4>1114169</vt:i4>
      </vt:variant>
      <vt:variant>
        <vt:i4>128</vt:i4>
      </vt:variant>
      <vt:variant>
        <vt:i4>0</vt:i4>
      </vt:variant>
      <vt:variant>
        <vt:i4>5</vt:i4>
      </vt:variant>
      <vt:variant>
        <vt:lpwstr/>
      </vt:variant>
      <vt:variant>
        <vt:lpwstr>_Toc227580419</vt:lpwstr>
      </vt:variant>
      <vt:variant>
        <vt:i4>1114169</vt:i4>
      </vt:variant>
      <vt:variant>
        <vt:i4>122</vt:i4>
      </vt:variant>
      <vt:variant>
        <vt:i4>0</vt:i4>
      </vt:variant>
      <vt:variant>
        <vt:i4>5</vt:i4>
      </vt:variant>
      <vt:variant>
        <vt:lpwstr/>
      </vt:variant>
      <vt:variant>
        <vt:lpwstr>_Toc227580418</vt:lpwstr>
      </vt:variant>
      <vt:variant>
        <vt:i4>1114169</vt:i4>
      </vt:variant>
      <vt:variant>
        <vt:i4>116</vt:i4>
      </vt:variant>
      <vt:variant>
        <vt:i4>0</vt:i4>
      </vt:variant>
      <vt:variant>
        <vt:i4>5</vt:i4>
      </vt:variant>
      <vt:variant>
        <vt:lpwstr/>
      </vt:variant>
      <vt:variant>
        <vt:lpwstr>_Toc227580417</vt:lpwstr>
      </vt:variant>
      <vt:variant>
        <vt:i4>1114169</vt:i4>
      </vt:variant>
      <vt:variant>
        <vt:i4>110</vt:i4>
      </vt:variant>
      <vt:variant>
        <vt:i4>0</vt:i4>
      </vt:variant>
      <vt:variant>
        <vt:i4>5</vt:i4>
      </vt:variant>
      <vt:variant>
        <vt:lpwstr/>
      </vt:variant>
      <vt:variant>
        <vt:lpwstr>_Toc227580416</vt:lpwstr>
      </vt:variant>
      <vt:variant>
        <vt:i4>1114169</vt:i4>
      </vt:variant>
      <vt:variant>
        <vt:i4>104</vt:i4>
      </vt:variant>
      <vt:variant>
        <vt:i4>0</vt:i4>
      </vt:variant>
      <vt:variant>
        <vt:i4>5</vt:i4>
      </vt:variant>
      <vt:variant>
        <vt:lpwstr/>
      </vt:variant>
      <vt:variant>
        <vt:lpwstr>_Toc227580415</vt:lpwstr>
      </vt:variant>
      <vt:variant>
        <vt:i4>1114169</vt:i4>
      </vt:variant>
      <vt:variant>
        <vt:i4>98</vt:i4>
      </vt:variant>
      <vt:variant>
        <vt:i4>0</vt:i4>
      </vt:variant>
      <vt:variant>
        <vt:i4>5</vt:i4>
      </vt:variant>
      <vt:variant>
        <vt:lpwstr/>
      </vt:variant>
      <vt:variant>
        <vt:lpwstr>_Toc227580414</vt:lpwstr>
      </vt:variant>
      <vt:variant>
        <vt:i4>1114169</vt:i4>
      </vt:variant>
      <vt:variant>
        <vt:i4>92</vt:i4>
      </vt:variant>
      <vt:variant>
        <vt:i4>0</vt:i4>
      </vt:variant>
      <vt:variant>
        <vt:i4>5</vt:i4>
      </vt:variant>
      <vt:variant>
        <vt:lpwstr/>
      </vt:variant>
      <vt:variant>
        <vt:lpwstr>_Toc227580413</vt:lpwstr>
      </vt:variant>
      <vt:variant>
        <vt:i4>1114169</vt:i4>
      </vt:variant>
      <vt:variant>
        <vt:i4>86</vt:i4>
      </vt:variant>
      <vt:variant>
        <vt:i4>0</vt:i4>
      </vt:variant>
      <vt:variant>
        <vt:i4>5</vt:i4>
      </vt:variant>
      <vt:variant>
        <vt:lpwstr/>
      </vt:variant>
      <vt:variant>
        <vt:lpwstr>_Toc227580412</vt:lpwstr>
      </vt:variant>
      <vt:variant>
        <vt:i4>1114169</vt:i4>
      </vt:variant>
      <vt:variant>
        <vt:i4>80</vt:i4>
      </vt:variant>
      <vt:variant>
        <vt:i4>0</vt:i4>
      </vt:variant>
      <vt:variant>
        <vt:i4>5</vt:i4>
      </vt:variant>
      <vt:variant>
        <vt:lpwstr/>
      </vt:variant>
      <vt:variant>
        <vt:lpwstr>_Toc227580411</vt:lpwstr>
      </vt:variant>
      <vt:variant>
        <vt:i4>1114169</vt:i4>
      </vt:variant>
      <vt:variant>
        <vt:i4>74</vt:i4>
      </vt:variant>
      <vt:variant>
        <vt:i4>0</vt:i4>
      </vt:variant>
      <vt:variant>
        <vt:i4>5</vt:i4>
      </vt:variant>
      <vt:variant>
        <vt:lpwstr/>
      </vt:variant>
      <vt:variant>
        <vt:lpwstr>_Toc227580410</vt:lpwstr>
      </vt:variant>
      <vt:variant>
        <vt:i4>1048633</vt:i4>
      </vt:variant>
      <vt:variant>
        <vt:i4>68</vt:i4>
      </vt:variant>
      <vt:variant>
        <vt:i4>0</vt:i4>
      </vt:variant>
      <vt:variant>
        <vt:i4>5</vt:i4>
      </vt:variant>
      <vt:variant>
        <vt:lpwstr/>
      </vt:variant>
      <vt:variant>
        <vt:lpwstr>_Toc227580409</vt:lpwstr>
      </vt:variant>
      <vt:variant>
        <vt:i4>1048633</vt:i4>
      </vt:variant>
      <vt:variant>
        <vt:i4>62</vt:i4>
      </vt:variant>
      <vt:variant>
        <vt:i4>0</vt:i4>
      </vt:variant>
      <vt:variant>
        <vt:i4>5</vt:i4>
      </vt:variant>
      <vt:variant>
        <vt:lpwstr/>
      </vt:variant>
      <vt:variant>
        <vt:lpwstr>_Toc227580408</vt:lpwstr>
      </vt:variant>
      <vt:variant>
        <vt:i4>1048633</vt:i4>
      </vt:variant>
      <vt:variant>
        <vt:i4>56</vt:i4>
      </vt:variant>
      <vt:variant>
        <vt:i4>0</vt:i4>
      </vt:variant>
      <vt:variant>
        <vt:i4>5</vt:i4>
      </vt:variant>
      <vt:variant>
        <vt:lpwstr/>
      </vt:variant>
      <vt:variant>
        <vt:lpwstr>_Toc227580407</vt:lpwstr>
      </vt:variant>
      <vt:variant>
        <vt:i4>1048633</vt:i4>
      </vt:variant>
      <vt:variant>
        <vt:i4>50</vt:i4>
      </vt:variant>
      <vt:variant>
        <vt:i4>0</vt:i4>
      </vt:variant>
      <vt:variant>
        <vt:i4>5</vt:i4>
      </vt:variant>
      <vt:variant>
        <vt:lpwstr/>
      </vt:variant>
      <vt:variant>
        <vt:lpwstr>_Toc227580406</vt:lpwstr>
      </vt:variant>
      <vt:variant>
        <vt:i4>1048633</vt:i4>
      </vt:variant>
      <vt:variant>
        <vt:i4>44</vt:i4>
      </vt:variant>
      <vt:variant>
        <vt:i4>0</vt:i4>
      </vt:variant>
      <vt:variant>
        <vt:i4>5</vt:i4>
      </vt:variant>
      <vt:variant>
        <vt:lpwstr/>
      </vt:variant>
      <vt:variant>
        <vt:lpwstr>_Toc227580405</vt:lpwstr>
      </vt:variant>
      <vt:variant>
        <vt:i4>1048633</vt:i4>
      </vt:variant>
      <vt:variant>
        <vt:i4>38</vt:i4>
      </vt:variant>
      <vt:variant>
        <vt:i4>0</vt:i4>
      </vt:variant>
      <vt:variant>
        <vt:i4>5</vt:i4>
      </vt:variant>
      <vt:variant>
        <vt:lpwstr/>
      </vt:variant>
      <vt:variant>
        <vt:lpwstr>_Toc227580404</vt:lpwstr>
      </vt:variant>
      <vt:variant>
        <vt:i4>1048633</vt:i4>
      </vt:variant>
      <vt:variant>
        <vt:i4>32</vt:i4>
      </vt:variant>
      <vt:variant>
        <vt:i4>0</vt:i4>
      </vt:variant>
      <vt:variant>
        <vt:i4>5</vt:i4>
      </vt:variant>
      <vt:variant>
        <vt:lpwstr/>
      </vt:variant>
      <vt:variant>
        <vt:lpwstr>_Toc227580403</vt:lpwstr>
      </vt:variant>
      <vt:variant>
        <vt:i4>1048633</vt:i4>
      </vt:variant>
      <vt:variant>
        <vt:i4>26</vt:i4>
      </vt:variant>
      <vt:variant>
        <vt:i4>0</vt:i4>
      </vt:variant>
      <vt:variant>
        <vt:i4>5</vt:i4>
      </vt:variant>
      <vt:variant>
        <vt:lpwstr/>
      </vt:variant>
      <vt:variant>
        <vt:lpwstr>_Toc227580402</vt:lpwstr>
      </vt:variant>
      <vt:variant>
        <vt:i4>1048633</vt:i4>
      </vt:variant>
      <vt:variant>
        <vt:i4>20</vt:i4>
      </vt:variant>
      <vt:variant>
        <vt:i4>0</vt:i4>
      </vt:variant>
      <vt:variant>
        <vt:i4>5</vt:i4>
      </vt:variant>
      <vt:variant>
        <vt:lpwstr/>
      </vt:variant>
      <vt:variant>
        <vt:lpwstr>_Toc227580401</vt:lpwstr>
      </vt:variant>
      <vt:variant>
        <vt:i4>1048633</vt:i4>
      </vt:variant>
      <vt:variant>
        <vt:i4>14</vt:i4>
      </vt:variant>
      <vt:variant>
        <vt:i4>0</vt:i4>
      </vt:variant>
      <vt:variant>
        <vt:i4>5</vt:i4>
      </vt:variant>
      <vt:variant>
        <vt:lpwstr/>
      </vt:variant>
      <vt:variant>
        <vt:lpwstr>_Toc227580400</vt:lpwstr>
      </vt:variant>
      <vt:variant>
        <vt:i4>1638462</vt:i4>
      </vt:variant>
      <vt:variant>
        <vt:i4>8</vt:i4>
      </vt:variant>
      <vt:variant>
        <vt:i4>0</vt:i4>
      </vt:variant>
      <vt:variant>
        <vt:i4>5</vt:i4>
      </vt:variant>
      <vt:variant>
        <vt:lpwstr/>
      </vt:variant>
      <vt:variant>
        <vt:lpwstr>_Toc227580399</vt:lpwstr>
      </vt:variant>
      <vt:variant>
        <vt:i4>1638462</vt:i4>
      </vt:variant>
      <vt:variant>
        <vt:i4>2</vt:i4>
      </vt:variant>
      <vt:variant>
        <vt:i4>0</vt:i4>
      </vt:variant>
      <vt:variant>
        <vt:i4>5</vt:i4>
      </vt:variant>
      <vt:variant>
        <vt:lpwstr/>
      </vt:variant>
      <vt:variant>
        <vt:lpwstr>_Toc227580398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Young</dc:creator>
  <cp:keywords/>
  <dc:description/>
  <cp:lastModifiedBy>Bernard Steeds</cp:lastModifiedBy>
  <cp:revision>712</cp:revision>
  <cp:lastPrinted>2026-04-01T19:09:00Z</cp:lastPrinted>
  <dcterms:created xsi:type="dcterms:W3CDTF">2026-04-15T17:59:00Z</dcterms:created>
  <dcterms:modified xsi:type="dcterms:W3CDTF">2026-04-21T20:22:00Z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0x010100A6D186D65F6D9D40B801459892252FC9</vt:lpwstr>
  </property>
  <property fmtid="{D5CDD505-2E9C-101B-9397-08002B2CF9AE}" pid="3" name="MediaServiceImageTags">
    <vt:lpwstr/>
  </property>
  <property fmtid="{D5CDD505-2E9C-101B-9397-08002B2CF9AE}" pid="4" name="_dlc_DocId">
    <vt:lpwstr>N2HWEKUWM52S-2043556887-1296</vt:lpwstr>
  </property>
  <property fmtid="{D5CDD505-2E9C-101B-9397-08002B2CF9AE}" pid="5" name="_dlc_DocIdUrl">
    <vt:lpwstr>https://climatechangegovt.sharepoint.com/sites/Legal/_layouts/15/DocIdRedir.aspx?ID=N2HWEKUWM52S-2043556887-1296, N2HWEKUWM52S-2043556887-1296</vt:lpwstr>
  </property>
  <property fmtid="{D5CDD505-2E9C-101B-9397-08002B2CF9AE}" pid="6" name="_dlc_DocIdItemGuid">
    <vt:lpwstr>3fae637e-8397-4779-9f15-de1ef9b85bb0</vt:lpwstr>
  </property>
  <property fmtid="{D5CDD505-2E9C-101B-9397-08002B2CF9AE}" pid="7" name="ndDocumentId">
    <vt:lpwstr>3475-7623-6618</vt:lpwstr>
  </property>
</Properties>
</file>