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DCD2" w14:textId="77777777" w:rsidR="004C1B86" w:rsidRDefault="004C1B86" w:rsidP="004C1B86">
      <w:pPr>
        <w:pStyle w:val="Title"/>
      </w:pPr>
      <w:r>
        <w:rPr>
          <w:noProof/>
        </w:rPr>
        <mc:AlternateContent>
          <mc:Choice Requires="wps">
            <w:drawing>
              <wp:anchor distT="0" distB="0" distL="114300" distR="114300" simplePos="0" relativeHeight="251658241" behindDoc="0" locked="0" layoutInCell="1" allowOverlap="1" wp14:anchorId="57399CBB" wp14:editId="583E83AE">
                <wp:simplePos x="0" y="0"/>
                <wp:positionH relativeFrom="column">
                  <wp:posOffset>4248150</wp:posOffset>
                </wp:positionH>
                <wp:positionV relativeFrom="paragraph">
                  <wp:posOffset>-218067</wp:posOffset>
                </wp:positionV>
                <wp:extent cx="1600873" cy="768227"/>
                <wp:effectExtent l="0" t="0" r="0" b="0"/>
                <wp:wrapNone/>
                <wp:docPr id="6" name="Text Box 6"/>
                <wp:cNvGraphicFramePr/>
                <a:graphic xmlns:a="http://schemas.openxmlformats.org/drawingml/2006/main">
                  <a:graphicData uri="http://schemas.microsoft.com/office/word/2010/wordprocessingShape">
                    <wps:wsp>
                      <wps:cNvSpPr txBox="1"/>
                      <wps:spPr>
                        <a:xfrm>
                          <a:off x="0" y="0"/>
                          <a:ext cx="1600873" cy="768227"/>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6350">
                          <a:noFill/>
                        </a:ln>
                      </wps:spPr>
                      <wps:txbx>
                        <w:txbxContent>
                          <w:p w14:paraId="28B49B79" w14:textId="77777777" w:rsidR="004C1B86" w:rsidRDefault="004C1B86" w:rsidP="004C1B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99CBB" id="_x0000_t202" coordsize="21600,21600" o:spt="202" path="m,l,21600r21600,l21600,xe">
                <v:stroke joinstyle="miter"/>
                <v:path gradientshapeok="t" o:connecttype="rect"/>
              </v:shapetype>
              <v:shape id="Text Box 6" o:spid="_x0000_s1026" type="#_x0000_t202" style="position:absolute;margin-left:334.5pt;margin-top:-17.15pt;width:126.05pt;height: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" stroked="f" strokeweight=".5pt">
                <v:fill r:id="rId13" o:title="" recolor="t" rotate="t" type="frame"/>
                <v:textbox>
                  <w:txbxContent>
                    <w:p w14:paraId="28B49B79" w14:textId="77777777" w:rsidR="004C1B86" w:rsidRDefault="004C1B86" w:rsidP="004C1B86"/>
                  </w:txbxContent>
                </v:textbox>
              </v:shape>
            </w:pict>
          </mc:Fallback>
        </mc:AlternateContent>
      </w:r>
    </w:p>
    <w:p w14:paraId="71795833" w14:textId="77777777" w:rsidR="004C1B86" w:rsidRPr="007607B8" w:rsidRDefault="004C1B86" w:rsidP="004C1B86">
      <w:pPr>
        <w:rPr>
          <w:rFonts w:eastAsiaTheme="majorEastAsia"/>
          <w:b/>
          <w:spacing w:val="-10"/>
          <w:kern w:val="28"/>
          <w:sz w:val="56"/>
          <w:szCs w:val="56"/>
        </w:rPr>
      </w:pPr>
      <w:r>
        <w:rPr>
          <w:noProof/>
        </w:rPr>
        <mc:AlternateContent>
          <mc:Choice Requires="wpg">
            <w:drawing>
              <wp:anchor distT="0" distB="0" distL="114300" distR="114300" simplePos="0" relativeHeight="251658242" behindDoc="1" locked="0" layoutInCell="1" allowOverlap="1" wp14:anchorId="714E8A91" wp14:editId="6D26CD24">
                <wp:simplePos x="0" y="0"/>
                <wp:positionH relativeFrom="column">
                  <wp:posOffset>-212090</wp:posOffset>
                </wp:positionH>
                <wp:positionV relativeFrom="paragraph">
                  <wp:posOffset>-156845</wp:posOffset>
                </wp:positionV>
                <wp:extent cx="6188149" cy="2973927"/>
                <wp:effectExtent l="0" t="0" r="9525" b="10795"/>
                <wp:wrapNone/>
                <wp:docPr id="1905028448" name="Group 1"/>
                <wp:cNvGraphicFramePr/>
                <a:graphic xmlns:a="http://schemas.openxmlformats.org/drawingml/2006/main">
                  <a:graphicData uri="http://schemas.microsoft.com/office/word/2010/wordprocessingGroup">
                    <wpg:wgp>
                      <wpg:cNvGrpSpPr/>
                      <wpg:grpSpPr>
                        <a:xfrm>
                          <a:off x="0" y="0"/>
                          <a:ext cx="6188149" cy="2973927"/>
                          <a:chOff x="0" y="0"/>
                          <a:chExt cx="6188149" cy="2973927"/>
                        </a:xfrm>
                      </wpg:grpSpPr>
                      <wps:wsp>
                        <wps:cNvPr id="1674566071" name="docshape4"/>
                        <wps:cNvSpPr txBox="1">
                          <a:spLocks/>
                        </wps:cNvSpPr>
                        <wps:spPr bwMode="auto">
                          <a:xfrm>
                            <a:off x="0" y="0"/>
                            <a:ext cx="6188149" cy="2158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D397D" w14:textId="77777777" w:rsidR="004C1B86" w:rsidRPr="00BE2E6A" w:rsidRDefault="004C1B86" w:rsidP="004C1B86">
                              <w:pPr>
                                <w:pStyle w:val="Heading1"/>
                                <w:spacing w:before="100" w:beforeAutospacing="1" w:after="100" w:afterAutospacing="1" w:line="840" w:lineRule="exact"/>
                                <w:rPr>
                                  <w:color w:val="65FFBF"/>
                                  <w:spacing w:val="-14"/>
                                  <w:sz w:val="84"/>
                                  <w:szCs w:val="84"/>
                                </w:rPr>
                              </w:pPr>
                              <w:bookmarkStart w:id="0" w:name="_Toc227678047"/>
                              <w:bookmarkStart w:id="1" w:name="_Toc227679721"/>
                              <w:r w:rsidRPr="00BE2E6A">
                                <w:rPr>
                                  <w:color w:val="00004C"/>
                                  <w:spacing w:val="-14"/>
                                  <w:sz w:val="84"/>
                                  <w:szCs w:val="84"/>
                                </w:rPr>
                                <w:t xml:space="preserve">Advice on </w:t>
                              </w:r>
                              <w:r w:rsidRPr="00BE2E6A">
                                <w:rPr>
                                  <w:color w:val="00004C"/>
                                  <w:spacing w:val="-14"/>
                                  <w:sz w:val="84"/>
                                  <w:szCs w:val="84"/>
                                </w:rPr>
                                <w:br/>
                              </w:r>
                              <w:r w:rsidRPr="00BE2E6A">
                                <w:rPr>
                                  <w:color w:val="00B3A4"/>
                                  <w:spacing w:val="-14"/>
                                  <w:sz w:val="84"/>
                                  <w:szCs w:val="84"/>
                                </w:rPr>
                                <w:t xml:space="preserve">NZ ETS unit limits and </w:t>
                              </w:r>
                              <w:r>
                                <w:rPr>
                                  <w:color w:val="00B3A4"/>
                                  <w:spacing w:val="-14"/>
                                  <w:sz w:val="84"/>
                                  <w:szCs w:val="84"/>
                                </w:rPr>
                                <w:br/>
                              </w:r>
                              <w:r w:rsidRPr="00BE2E6A">
                                <w:rPr>
                                  <w:color w:val="00B3A4"/>
                                  <w:spacing w:val="-14"/>
                                  <w:sz w:val="84"/>
                                  <w:szCs w:val="84"/>
                                </w:rPr>
                                <w:t xml:space="preserve">price control settings </w:t>
                              </w:r>
                              <w:r w:rsidRPr="00BE2E6A">
                                <w:rPr>
                                  <w:color w:val="00B3A4"/>
                                  <w:spacing w:val="-14"/>
                                  <w:sz w:val="84"/>
                                  <w:szCs w:val="84"/>
                                </w:rPr>
                                <w:br/>
                                <w:t>for 2027–2031</w:t>
                              </w:r>
                              <w:bookmarkEnd w:id="0"/>
                              <w:bookmarkEnd w:id="1"/>
                            </w:p>
                            <w:p w14:paraId="7D5343A7" w14:textId="77777777" w:rsidR="004C1B86" w:rsidRDefault="004C1B86" w:rsidP="004C1B86">
                              <w:pPr>
                                <w:pStyle w:val="Heading4"/>
                                <w:spacing w:line="240" w:lineRule="auto"/>
                              </w:pPr>
                            </w:p>
                          </w:txbxContent>
                        </wps:txbx>
                        <wps:bodyPr rot="0" vert="horz" wrap="square" lIns="0" tIns="0" rIns="0" bIns="0" anchor="t" anchorCtr="0" upright="1">
                          <a:noAutofit/>
                        </wps:bodyPr>
                      </wps:wsp>
                      <wps:wsp>
                        <wps:cNvPr id="1347741541" name="docshape5"/>
                        <wps:cNvSpPr txBox="1">
                          <a:spLocks/>
                        </wps:cNvSpPr>
                        <wps:spPr bwMode="auto">
                          <a:xfrm>
                            <a:off x="0" y="2222205"/>
                            <a:ext cx="51460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7564D" w14:textId="77777777" w:rsidR="004C1B86" w:rsidRPr="00BE2E6A" w:rsidRDefault="004C1B86" w:rsidP="004C1B86">
                              <w:pPr>
                                <w:pStyle w:val="Heading2"/>
                                <w:rPr>
                                  <w:lang w:val="en-AU"/>
                                </w:rPr>
                              </w:pPr>
                              <w:bookmarkStart w:id="2" w:name="_Toc227678048"/>
                              <w:bookmarkStart w:id="3" w:name="_Toc227679722"/>
                              <w:r>
                                <w:rPr>
                                  <w:lang w:val="en-AU"/>
                                </w:rPr>
                                <w:t>Technical annex 3: Assessment of accordance</w:t>
                              </w:r>
                              <w:bookmarkEnd w:id="2"/>
                              <w:bookmarkEnd w:id="3"/>
                            </w:p>
                          </w:txbxContent>
                        </wps:txbx>
                        <wps:bodyPr rot="0" vert="horz" wrap="square" lIns="0" tIns="0" rIns="0" bIns="0" anchor="t" anchorCtr="0" upright="1">
                          <a:noAutofit/>
                        </wps:bodyPr>
                      </wps:wsp>
                      <wps:wsp>
                        <wps:cNvPr id="1973621103" name="docshape5"/>
                        <wps:cNvSpPr txBox="1">
                          <a:spLocks/>
                        </wps:cNvSpPr>
                        <wps:spPr bwMode="auto">
                          <a:xfrm>
                            <a:off x="0" y="2562447"/>
                            <a:ext cx="51460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6B2E4" w14:textId="77777777" w:rsidR="004C1B86" w:rsidRPr="00BE2E6A" w:rsidRDefault="004C1B86" w:rsidP="004C1B86">
                              <w:pPr>
                                <w:pStyle w:val="Heading2"/>
                                <w:rPr>
                                  <w:b w:val="0"/>
                                  <w:bCs/>
                                  <w:lang w:val="en-AU"/>
                                </w:rPr>
                              </w:pPr>
                              <w:bookmarkStart w:id="4" w:name="_Toc227678049"/>
                              <w:bookmarkStart w:id="5" w:name="_Toc227679723"/>
                              <w:r w:rsidRPr="00BE2E6A">
                                <w:rPr>
                                  <w:b w:val="0"/>
                                  <w:bCs/>
                                  <w:lang w:val="en-AU"/>
                                </w:rPr>
                                <w:t>April 2026</w:t>
                              </w:r>
                              <w:bookmarkEnd w:id="4"/>
                              <w:bookmarkEnd w:id="5"/>
                            </w:p>
                          </w:txbxContent>
                        </wps:txbx>
                        <wps:bodyPr rot="0" vert="horz" wrap="square" lIns="0" tIns="0" rIns="0" bIns="0" anchor="t" anchorCtr="0" upright="1">
                          <a:noAutofit/>
                        </wps:bodyPr>
                      </wps:wsp>
                    </wpg:wgp>
                  </a:graphicData>
                </a:graphic>
              </wp:anchor>
            </w:drawing>
          </mc:Choice>
          <mc:Fallback>
            <w:pict>
              <v:group w14:anchorId="714E8A91" id="Group 1" o:spid="_x0000_s1027" style="position:absolute;margin-left:-16.7pt;margin-top:-12.35pt;width:487.25pt;height:234.15pt;z-index:-251658238" coordsize="61881,2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">
                <v:shape id="docshape4" o:spid="_x0000_s1028" type="#_x0000_t202" style="position:absolute;width:61881;height:2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" filled="f" stroked="f">
                  <v:path arrowok="t"/>
                  <v:textbox inset="0,0,0,0">
                    <w:txbxContent>
                      <w:p w14:paraId="33BD397D" w14:textId="77777777" w:rsidR="004C1B86" w:rsidRPr="00BE2E6A" w:rsidRDefault="004C1B86" w:rsidP="004C1B86">
                        <w:pPr>
                          <w:pStyle w:val="Heading1"/>
                          <w:spacing w:before="100" w:beforeAutospacing="1" w:after="100" w:afterAutospacing="1" w:line="840" w:lineRule="exact"/>
                          <w:rPr>
                            <w:color w:val="65FFBF"/>
                            <w:spacing w:val="-14"/>
                            <w:sz w:val="84"/>
                            <w:szCs w:val="84"/>
                          </w:rPr>
                        </w:pPr>
                        <w:bookmarkStart w:id="6" w:name="_Toc227678047"/>
                        <w:bookmarkStart w:id="7" w:name="_Toc227679721"/>
                        <w:r w:rsidRPr="00BE2E6A">
                          <w:rPr>
                            <w:color w:val="00004C"/>
                            <w:spacing w:val="-14"/>
                            <w:sz w:val="84"/>
                            <w:szCs w:val="84"/>
                          </w:rPr>
                          <w:t xml:space="preserve">Advice on </w:t>
                        </w:r>
                        <w:r w:rsidRPr="00BE2E6A">
                          <w:rPr>
                            <w:color w:val="00004C"/>
                            <w:spacing w:val="-14"/>
                            <w:sz w:val="84"/>
                            <w:szCs w:val="84"/>
                          </w:rPr>
                          <w:br/>
                        </w:r>
                        <w:r w:rsidRPr="00BE2E6A">
                          <w:rPr>
                            <w:color w:val="00B3A4"/>
                            <w:spacing w:val="-14"/>
                            <w:sz w:val="84"/>
                            <w:szCs w:val="84"/>
                          </w:rPr>
                          <w:t xml:space="preserve">NZ ETS unit limits and </w:t>
                        </w:r>
                        <w:r>
                          <w:rPr>
                            <w:color w:val="00B3A4"/>
                            <w:spacing w:val="-14"/>
                            <w:sz w:val="84"/>
                            <w:szCs w:val="84"/>
                          </w:rPr>
                          <w:br/>
                        </w:r>
                        <w:r w:rsidRPr="00BE2E6A">
                          <w:rPr>
                            <w:color w:val="00B3A4"/>
                            <w:spacing w:val="-14"/>
                            <w:sz w:val="84"/>
                            <w:szCs w:val="84"/>
                          </w:rPr>
                          <w:t xml:space="preserve">price control settings </w:t>
                        </w:r>
                        <w:r w:rsidRPr="00BE2E6A">
                          <w:rPr>
                            <w:color w:val="00B3A4"/>
                            <w:spacing w:val="-14"/>
                            <w:sz w:val="84"/>
                            <w:szCs w:val="84"/>
                          </w:rPr>
                          <w:br/>
                          <w:t>for 2027–2031</w:t>
                        </w:r>
                        <w:bookmarkEnd w:id="6"/>
                        <w:bookmarkEnd w:id="7"/>
                      </w:p>
                      <w:p w14:paraId="7D5343A7" w14:textId="77777777" w:rsidR="004C1B86" w:rsidRDefault="004C1B86" w:rsidP="004C1B86">
                        <w:pPr>
                          <w:pStyle w:val="Heading4"/>
                          <w:spacing w:line="240" w:lineRule="auto"/>
                        </w:pPr>
                      </w:p>
                    </w:txbxContent>
                  </v:textbox>
                </v:shape>
                <v:shape id="docshape5" o:spid="_x0000_s1029" type="#_x0000_t202" style="position:absolute;top:22222;width:51460;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" filled="f" stroked="f">
                  <v:path arrowok="t"/>
                  <v:textbox inset="0,0,0,0">
                    <w:txbxContent>
                      <w:p w14:paraId="7E57564D" w14:textId="77777777" w:rsidR="004C1B86" w:rsidRPr="00BE2E6A" w:rsidRDefault="004C1B86" w:rsidP="004C1B86">
                        <w:pPr>
                          <w:pStyle w:val="Heading2"/>
                          <w:rPr>
                            <w:lang w:val="en-AU"/>
                          </w:rPr>
                        </w:pPr>
                        <w:bookmarkStart w:id="8" w:name="_Toc227678048"/>
                        <w:bookmarkStart w:id="9" w:name="_Toc227679722"/>
                        <w:r>
                          <w:rPr>
                            <w:lang w:val="en-AU"/>
                          </w:rPr>
                          <w:t>Technical annex 3: Assessment of accordance</w:t>
                        </w:r>
                        <w:bookmarkEnd w:id="8"/>
                        <w:bookmarkEnd w:id="9"/>
                      </w:p>
                    </w:txbxContent>
                  </v:textbox>
                </v:shape>
                <v:shape id="docshape5" o:spid="_x0000_s1030" type="#_x0000_t202" style="position:absolute;top:25624;width:5146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" filled="f" stroked="f">
                  <v:path arrowok="t"/>
                  <v:textbox inset="0,0,0,0">
                    <w:txbxContent>
                      <w:p w14:paraId="7796B2E4" w14:textId="77777777" w:rsidR="004C1B86" w:rsidRPr="00BE2E6A" w:rsidRDefault="004C1B86" w:rsidP="004C1B86">
                        <w:pPr>
                          <w:pStyle w:val="Heading2"/>
                          <w:rPr>
                            <w:b w:val="0"/>
                            <w:bCs/>
                            <w:lang w:val="en-AU"/>
                          </w:rPr>
                        </w:pPr>
                        <w:bookmarkStart w:id="10" w:name="_Toc227678049"/>
                        <w:bookmarkStart w:id="11" w:name="_Toc227679723"/>
                        <w:r w:rsidRPr="00BE2E6A">
                          <w:rPr>
                            <w:b w:val="0"/>
                            <w:bCs/>
                            <w:lang w:val="en-AU"/>
                          </w:rPr>
                          <w:t>April 2026</w:t>
                        </w:r>
                        <w:bookmarkEnd w:id="10"/>
                        <w:bookmarkEnd w:id="11"/>
                      </w:p>
                    </w:txbxContent>
                  </v:textbox>
                </v:shape>
              </v:group>
            </w:pict>
          </mc:Fallback>
        </mc:AlternateContent>
      </w:r>
      <w:r>
        <w:rPr>
          <w:noProof/>
        </w:rPr>
        <w:drawing>
          <wp:anchor distT="0" distB="0" distL="0" distR="0" simplePos="0" relativeHeight="251658240" behindDoc="1" locked="0" layoutInCell="1" allowOverlap="1" wp14:anchorId="0498D0A6" wp14:editId="272A694A">
            <wp:simplePos x="0" y="0"/>
            <wp:positionH relativeFrom="page">
              <wp:posOffset>0</wp:posOffset>
            </wp:positionH>
            <wp:positionV relativeFrom="page">
              <wp:posOffset>4963160</wp:posOffset>
            </wp:positionV>
            <wp:extent cx="7578725" cy="5698490"/>
            <wp:effectExtent l="0" t="0" r="3175" b="3810"/>
            <wp:wrapNone/>
            <wp:docPr id="7" name="image3.png" descr="A blue and green curv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A blue and green curved shap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8725" cy="5698490"/>
                    </a:xfrm>
                    <a:prstGeom prst="rect">
                      <a:avLst/>
                    </a:prstGeom>
                  </pic:spPr>
                </pic:pic>
              </a:graphicData>
            </a:graphic>
            <wp14:sizeRelH relativeFrom="margin">
              <wp14:pctWidth>0</wp14:pctWidth>
            </wp14:sizeRelH>
          </wp:anchor>
        </w:drawing>
      </w:r>
    </w:p>
    <w:p w14:paraId="098FE8AE" w14:textId="77777777" w:rsidR="004C1B86" w:rsidRDefault="004C1B86">
      <w:pPr>
        <w:spacing w:before="0" w:after="0" w:line="240" w:lineRule="auto"/>
      </w:pPr>
    </w:p>
    <w:p w14:paraId="242C6585" w14:textId="77777777" w:rsidR="004C1B86" w:rsidRDefault="004C1B86">
      <w:pPr>
        <w:spacing w:before="0" w:after="0" w:line="240" w:lineRule="auto"/>
        <w:sectPr w:rsidR="004C1B86" w:rsidSect="00C90998">
          <w:footerReference w:type="default" r:id="rId15"/>
          <w:footerReference w:type="first" r:id="rId16"/>
          <w:pgSz w:w="11906" w:h="16838"/>
          <w:pgMar w:top="1418" w:right="1418" w:bottom="1134" w:left="1418" w:header="709" w:footer="624" w:gutter="0"/>
          <w:pgNumType w:start="0"/>
          <w:cols w:space="708"/>
          <w:titlePg/>
          <w:docGrid w:linePitch="360"/>
        </w:sectPr>
      </w:pPr>
    </w:p>
    <w:bookmarkStart w:id="12" w:name="_Toc225329764" w:displacedByCustomXml="next"/>
    <w:bookmarkStart w:id="13" w:name="_Toc225320166" w:displacedByCustomXml="next"/>
    <w:sdt>
      <w:sdtPr>
        <w:rPr>
          <w:rFonts w:ascii="Calibri" w:eastAsiaTheme="minorEastAsia" w:hAnsi="Calibri" w:cstheme="minorBidi"/>
          <w:color w:val="auto"/>
          <w:sz w:val="24"/>
          <w:szCs w:val="24"/>
          <w:lang w:val="en-GB" w:eastAsia="en-US"/>
        </w:rPr>
        <w:id w:val="-992406382"/>
        <w:docPartObj>
          <w:docPartGallery w:val="Table of Contents"/>
          <w:docPartUnique/>
        </w:docPartObj>
      </w:sdtPr>
      <w:sdtEndPr>
        <w:rPr>
          <w:b/>
        </w:rPr>
      </w:sdtEndPr>
      <w:sdtContent>
        <w:p w14:paraId="2CFA53F1" w14:textId="77777777" w:rsidR="00F00771" w:rsidRPr="004C4D06" w:rsidRDefault="00F00771" w:rsidP="00F00771">
          <w:pPr>
            <w:pStyle w:val="TOCHeading"/>
            <w:rPr>
              <w:rFonts w:ascii="Calibri" w:hAnsi="Calibri" w:cs="Calibri"/>
              <w:b/>
              <w:bCs/>
              <w:sz w:val="48"/>
              <w:szCs w:val="48"/>
            </w:rPr>
          </w:pPr>
          <w:r w:rsidRPr="004C4D06">
            <w:rPr>
              <w:rFonts w:ascii="Calibri" w:hAnsi="Calibri" w:cs="Calibri"/>
              <w:b/>
              <w:bCs/>
              <w:sz w:val="48"/>
              <w:szCs w:val="48"/>
              <w:lang w:val="en-GB"/>
            </w:rPr>
            <w:t>Contents</w:t>
          </w:r>
        </w:p>
        <w:p w14:paraId="0DB9692F" w14:textId="3F6E371C" w:rsidR="00332943" w:rsidRDefault="00F00771" w:rsidP="00332943">
          <w:pPr>
            <w:pStyle w:val="TOC1"/>
            <w:tabs>
              <w:tab w:val="left" w:pos="595"/>
              <w:tab w:val="right" w:leader="dot" w:pos="9060"/>
            </w:tabs>
            <w:rPr>
              <w:rFonts w:asciiTheme="minorHAnsi" w:eastAsiaTheme="minorEastAsia" w:hAnsiTheme="minorHAnsi"/>
              <w:noProof/>
              <w:kern w:val="2"/>
              <w:lang w:eastAsia="en-NZ"/>
              <w14:ligatures w14:val="standardContextual"/>
            </w:rPr>
          </w:pPr>
          <w:r>
            <w:fldChar w:fldCharType="begin"/>
          </w:r>
          <w:r>
            <w:instrText xml:space="preserve"> TOC \o "1-3" \h \z \u </w:instrText>
          </w:r>
          <w:r>
            <w:fldChar w:fldCharType="separate"/>
          </w:r>
        </w:p>
        <w:p w14:paraId="1D04FA08" w14:textId="78D2D56D" w:rsidR="00332943" w:rsidRDefault="00332943">
          <w:pPr>
            <w:pStyle w:val="TOC1"/>
            <w:tabs>
              <w:tab w:val="right" w:leader="dot" w:pos="9060"/>
            </w:tabs>
            <w:rPr>
              <w:rFonts w:asciiTheme="minorHAnsi" w:eastAsiaTheme="minorEastAsia" w:hAnsiTheme="minorHAnsi"/>
              <w:b w:val="0"/>
              <w:noProof/>
              <w:kern w:val="2"/>
              <w:lang w:eastAsia="en-NZ"/>
              <w14:ligatures w14:val="standardContextual"/>
            </w:rPr>
          </w:pPr>
          <w:hyperlink w:anchor="_Toc227679724" w:history="1">
            <w:r w:rsidRPr="00CE4BA9">
              <w:rPr>
                <w:rStyle w:val="Hyperlink"/>
                <w:noProof/>
              </w:rPr>
              <w:t>Introduction</w:t>
            </w:r>
            <w:r>
              <w:rPr>
                <w:noProof/>
                <w:webHidden/>
              </w:rPr>
              <w:tab/>
            </w:r>
            <w:r>
              <w:rPr>
                <w:noProof/>
                <w:webHidden/>
              </w:rPr>
              <w:fldChar w:fldCharType="begin"/>
            </w:r>
            <w:r>
              <w:rPr>
                <w:noProof/>
                <w:webHidden/>
              </w:rPr>
              <w:instrText xml:space="preserve"> PAGEREF _Toc227679724 \h </w:instrText>
            </w:r>
            <w:r>
              <w:rPr>
                <w:noProof/>
                <w:webHidden/>
              </w:rPr>
            </w:r>
            <w:r>
              <w:rPr>
                <w:noProof/>
                <w:webHidden/>
              </w:rPr>
              <w:fldChar w:fldCharType="separate"/>
            </w:r>
            <w:r>
              <w:rPr>
                <w:noProof/>
                <w:webHidden/>
              </w:rPr>
              <w:t>2</w:t>
            </w:r>
            <w:r>
              <w:rPr>
                <w:noProof/>
                <w:webHidden/>
              </w:rPr>
              <w:fldChar w:fldCharType="end"/>
            </w:r>
          </w:hyperlink>
        </w:p>
        <w:p w14:paraId="62F8C318" w14:textId="3C6A289B" w:rsidR="00332943" w:rsidRDefault="00332943">
          <w:pPr>
            <w:pStyle w:val="TOC2"/>
            <w:tabs>
              <w:tab w:val="right" w:leader="dot" w:pos="9060"/>
            </w:tabs>
            <w:rPr>
              <w:rFonts w:asciiTheme="minorHAnsi" w:eastAsiaTheme="minorEastAsia" w:hAnsiTheme="minorHAnsi"/>
              <w:noProof/>
              <w:kern w:val="2"/>
              <w:lang w:eastAsia="en-NZ"/>
              <w14:ligatures w14:val="standardContextual"/>
            </w:rPr>
          </w:pPr>
          <w:hyperlink w:anchor="_Toc227679725" w:history="1">
            <w:r w:rsidRPr="00CE4BA9">
              <w:rPr>
                <w:rStyle w:val="Hyperlink"/>
                <w:noProof/>
              </w:rPr>
              <w:t>About this document</w:t>
            </w:r>
            <w:r>
              <w:rPr>
                <w:noProof/>
                <w:webHidden/>
              </w:rPr>
              <w:tab/>
            </w:r>
            <w:r>
              <w:rPr>
                <w:noProof/>
                <w:webHidden/>
              </w:rPr>
              <w:fldChar w:fldCharType="begin"/>
            </w:r>
            <w:r>
              <w:rPr>
                <w:noProof/>
                <w:webHidden/>
              </w:rPr>
              <w:instrText xml:space="preserve"> PAGEREF _Toc227679725 \h </w:instrText>
            </w:r>
            <w:r>
              <w:rPr>
                <w:noProof/>
                <w:webHidden/>
              </w:rPr>
            </w:r>
            <w:r>
              <w:rPr>
                <w:noProof/>
                <w:webHidden/>
              </w:rPr>
              <w:fldChar w:fldCharType="separate"/>
            </w:r>
            <w:r>
              <w:rPr>
                <w:noProof/>
                <w:webHidden/>
              </w:rPr>
              <w:t>2</w:t>
            </w:r>
            <w:r>
              <w:rPr>
                <w:noProof/>
                <w:webHidden/>
              </w:rPr>
              <w:fldChar w:fldCharType="end"/>
            </w:r>
          </w:hyperlink>
        </w:p>
        <w:p w14:paraId="7C6166C7" w14:textId="78BF52B5" w:rsidR="00332943" w:rsidRDefault="00332943">
          <w:pPr>
            <w:pStyle w:val="TOC1"/>
            <w:tabs>
              <w:tab w:val="right" w:leader="dot" w:pos="9060"/>
            </w:tabs>
            <w:rPr>
              <w:rFonts w:asciiTheme="minorHAnsi" w:eastAsiaTheme="minorEastAsia" w:hAnsiTheme="minorHAnsi"/>
              <w:b w:val="0"/>
              <w:noProof/>
              <w:kern w:val="2"/>
              <w:lang w:eastAsia="en-NZ"/>
              <w14:ligatures w14:val="standardContextual"/>
            </w:rPr>
          </w:pPr>
          <w:hyperlink w:anchor="_Toc227679726" w:history="1">
            <w:r w:rsidRPr="00CE4BA9">
              <w:rPr>
                <w:rStyle w:val="Hyperlink"/>
                <w:noProof/>
                <w:lang w:val="en-US"/>
              </w:rPr>
              <w:t>1. According NZ ETS settings with targets</w:t>
            </w:r>
            <w:r>
              <w:rPr>
                <w:noProof/>
                <w:webHidden/>
              </w:rPr>
              <w:tab/>
            </w:r>
            <w:r>
              <w:rPr>
                <w:noProof/>
                <w:webHidden/>
              </w:rPr>
              <w:fldChar w:fldCharType="begin"/>
            </w:r>
            <w:r>
              <w:rPr>
                <w:noProof/>
                <w:webHidden/>
              </w:rPr>
              <w:instrText xml:space="preserve"> PAGEREF _Toc227679726 \h </w:instrText>
            </w:r>
            <w:r>
              <w:rPr>
                <w:noProof/>
                <w:webHidden/>
              </w:rPr>
            </w:r>
            <w:r>
              <w:rPr>
                <w:noProof/>
                <w:webHidden/>
              </w:rPr>
              <w:fldChar w:fldCharType="separate"/>
            </w:r>
            <w:r>
              <w:rPr>
                <w:noProof/>
                <w:webHidden/>
              </w:rPr>
              <w:t>3</w:t>
            </w:r>
            <w:r>
              <w:rPr>
                <w:noProof/>
                <w:webHidden/>
              </w:rPr>
              <w:fldChar w:fldCharType="end"/>
            </w:r>
          </w:hyperlink>
        </w:p>
        <w:p w14:paraId="3FB0D22F" w14:textId="27402346" w:rsidR="00332943" w:rsidRDefault="00332943">
          <w:pPr>
            <w:pStyle w:val="TOC2"/>
            <w:tabs>
              <w:tab w:val="right" w:leader="dot" w:pos="9060"/>
            </w:tabs>
            <w:rPr>
              <w:rFonts w:asciiTheme="minorHAnsi" w:eastAsiaTheme="minorEastAsia" w:hAnsiTheme="minorHAnsi"/>
              <w:noProof/>
              <w:kern w:val="2"/>
              <w:lang w:eastAsia="en-NZ"/>
              <w14:ligatures w14:val="standardContextual"/>
            </w:rPr>
          </w:pPr>
          <w:hyperlink w:anchor="_Toc227679727" w:history="1">
            <w:r w:rsidRPr="00CE4BA9">
              <w:rPr>
                <w:rStyle w:val="Hyperlink"/>
                <w:noProof/>
              </w:rPr>
              <w:t>1.1 Approach to accordance</w:t>
            </w:r>
            <w:r>
              <w:rPr>
                <w:noProof/>
                <w:webHidden/>
              </w:rPr>
              <w:tab/>
            </w:r>
            <w:r>
              <w:rPr>
                <w:noProof/>
                <w:webHidden/>
              </w:rPr>
              <w:fldChar w:fldCharType="begin"/>
            </w:r>
            <w:r>
              <w:rPr>
                <w:noProof/>
                <w:webHidden/>
              </w:rPr>
              <w:instrText xml:space="preserve"> PAGEREF _Toc227679727 \h </w:instrText>
            </w:r>
            <w:r>
              <w:rPr>
                <w:noProof/>
                <w:webHidden/>
              </w:rPr>
            </w:r>
            <w:r>
              <w:rPr>
                <w:noProof/>
                <w:webHidden/>
              </w:rPr>
              <w:fldChar w:fldCharType="separate"/>
            </w:r>
            <w:r>
              <w:rPr>
                <w:noProof/>
                <w:webHidden/>
              </w:rPr>
              <w:t>3</w:t>
            </w:r>
            <w:r>
              <w:rPr>
                <w:noProof/>
                <w:webHidden/>
              </w:rPr>
              <w:fldChar w:fldCharType="end"/>
            </w:r>
          </w:hyperlink>
        </w:p>
        <w:p w14:paraId="7D7C3282" w14:textId="3143E386" w:rsidR="00332943" w:rsidRDefault="00332943">
          <w:pPr>
            <w:pStyle w:val="TOC2"/>
            <w:tabs>
              <w:tab w:val="right" w:leader="dot" w:pos="9060"/>
            </w:tabs>
            <w:rPr>
              <w:rFonts w:asciiTheme="minorHAnsi" w:eastAsiaTheme="minorEastAsia" w:hAnsiTheme="minorHAnsi"/>
              <w:noProof/>
              <w:kern w:val="2"/>
              <w:lang w:eastAsia="en-NZ"/>
              <w14:ligatures w14:val="standardContextual"/>
            </w:rPr>
          </w:pPr>
          <w:hyperlink w:anchor="_Toc227679728" w:history="1">
            <w:r w:rsidRPr="00CE4BA9">
              <w:rPr>
                <w:rStyle w:val="Hyperlink"/>
                <w:noProof/>
              </w:rPr>
              <w:t>1.2 Accordance assessment of the recommended settings</w:t>
            </w:r>
            <w:r>
              <w:rPr>
                <w:noProof/>
                <w:webHidden/>
              </w:rPr>
              <w:tab/>
            </w:r>
            <w:r>
              <w:rPr>
                <w:noProof/>
                <w:webHidden/>
              </w:rPr>
              <w:fldChar w:fldCharType="begin"/>
            </w:r>
            <w:r>
              <w:rPr>
                <w:noProof/>
                <w:webHidden/>
              </w:rPr>
              <w:instrText xml:space="preserve"> PAGEREF _Toc227679728 \h </w:instrText>
            </w:r>
            <w:r>
              <w:rPr>
                <w:noProof/>
                <w:webHidden/>
              </w:rPr>
            </w:r>
            <w:r>
              <w:rPr>
                <w:noProof/>
                <w:webHidden/>
              </w:rPr>
              <w:fldChar w:fldCharType="separate"/>
            </w:r>
            <w:r>
              <w:rPr>
                <w:noProof/>
                <w:webHidden/>
              </w:rPr>
              <w:t>6</w:t>
            </w:r>
            <w:r>
              <w:rPr>
                <w:noProof/>
                <w:webHidden/>
              </w:rPr>
              <w:fldChar w:fldCharType="end"/>
            </w:r>
          </w:hyperlink>
        </w:p>
        <w:p w14:paraId="20AA9279" w14:textId="0318D373" w:rsidR="00332943" w:rsidRDefault="00332943">
          <w:pPr>
            <w:pStyle w:val="TOC1"/>
            <w:tabs>
              <w:tab w:val="right" w:leader="dot" w:pos="9060"/>
            </w:tabs>
            <w:rPr>
              <w:rFonts w:asciiTheme="minorHAnsi" w:eastAsiaTheme="minorEastAsia" w:hAnsiTheme="minorHAnsi"/>
              <w:b w:val="0"/>
              <w:noProof/>
              <w:kern w:val="2"/>
              <w:lang w:eastAsia="en-NZ"/>
              <w14:ligatures w14:val="standardContextual"/>
            </w:rPr>
          </w:pPr>
          <w:hyperlink w:anchor="_Toc227679729" w:history="1">
            <w:r w:rsidRPr="00CE4BA9">
              <w:rPr>
                <w:rStyle w:val="Hyperlink"/>
                <w:noProof/>
                <w:lang w:val="en-US"/>
              </w:rPr>
              <w:t>2. Summary of how we have addressed legislative requirements and considerations</w:t>
            </w:r>
            <w:r>
              <w:rPr>
                <w:noProof/>
                <w:webHidden/>
              </w:rPr>
              <w:tab/>
            </w:r>
            <w:r>
              <w:rPr>
                <w:noProof/>
                <w:webHidden/>
              </w:rPr>
              <w:fldChar w:fldCharType="begin"/>
            </w:r>
            <w:r>
              <w:rPr>
                <w:noProof/>
                <w:webHidden/>
              </w:rPr>
              <w:instrText xml:space="preserve"> PAGEREF _Toc227679729 \h </w:instrText>
            </w:r>
            <w:r>
              <w:rPr>
                <w:noProof/>
                <w:webHidden/>
              </w:rPr>
            </w:r>
            <w:r>
              <w:rPr>
                <w:noProof/>
                <w:webHidden/>
              </w:rPr>
              <w:fldChar w:fldCharType="separate"/>
            </w:r>
            <w:r>
              <w:rPr>
                <w:noProof/>
                <w:webHidden/>
              </w:rPr>
              <w:t>15</w:t>
            </w:r>
            <w:r>
              <w:rPr>
                <w:noProof/>
                <w:webHidden/>
              </w:rPr>
              <w:fldChar w:fldCharType="end"/>
            </w:r>
          </w:hyperlink>
        </w:p>
        <w:p w14:paraId="4AC1FF80" w14:textId="15E02B5A" w:rsidR="00332943" w:rsidRDefault="00332943">
          <w:pPr>
            <w:pStyle w:val="TOC1"/>
            <w:tabs>
              <w:tab w:val="right" w:leader="dot" w:pos="9060"/>
            </w:tabs>
            <w:rPr>
              <w:rFonts w:asciiTheme="minorHAnsi" w:eastAsiaTheme="minorEastAsia" w:hAnsiTheme="minorHAnsi"/>
              <w:b w:val="0"/>
              <w:noProof/>
              <w:kern w:val="2"/>
              <w:lang w:eastAsia="en-NZ"/>
              <w14:ligatures w14:val="standardContextual"/>
            </w:rPr>
          </w:pPr>
          <w:hyperlink w:anchor="_Toc227679730" w:history="1">
            <w:r w:rsidRPr="00CE4BA9">
              <w:rPr>
                <w:rStyle w:val="Hyperlink"/>
                <w:noProof/>
              </w:rPr>
              <w:t>References</w:t>
            </w:r>
            <w:r>
              <w:rPr>
                <w:noProof/>
                <w:webHidden/>
              </w:rPr>
              <w:tab/>
            </w:r>
            <w:r>
              <w:rPr>
                <w:noProof/>
                <w:webHidden/>
              </w:rPr>
              <w:fldChar w:fldCharType="begin"/>
            </w:r>
            <w:r>
              <w:rPr>
                <w:noProof/>
                <w:webHidden/>
              </w:rPr>
              <w:instrText xml:space="preserve"> PAGEREF _Toc227679730 \h </w:instrText>
            </w:r>
            <w:r>
              <w:rPr>
                <w:noProof/>
                <w:webHidden/>
              </w:rPr>
            </w:r>
            <w:r>
              <w:rPr>
                <w:noProof/>
                <w:webHidden/>
              </w:rPr>
              <w:fldChar w:fldCharType="separate"/>
            </w:r>
            <w:r>
              <w:rPr>
                <w:noProof/>
                <w:webHidden/>
              </w:rPr>
              <w:t>20</w:t>
            </w:r>
            <w:r>
              <w:rPr>
                <w:noProof/>
                <w:webHidden/>
              </w:rPr>
              <w:fldChar w:fldCharType="end"/>
            </w:r>
          </w:hyperlink>
        </w:p>
        <w:p w14:paraId="54578F5A" w14:textId="0F73BFA6" w:rsidR="00F00771" w:rsidRDefault="00F00771" w:rsidP="00F00771">
          <w:r>
            <w:rPr>
              <w:b/>
              <w:bCs/>
              <w:lang w:val="en-GB"/>
            </w:rPr>
            <w:fldChar w:fldCharType="end"/>
          </w:r>
        </w:p>
      </w:sdtContent>
    </w:sdt>
    <w:p w14:paraId="0B95C4B8" w14:textId="77777777" w:rsidR="00F00771" w:rsidRDefault="00F00771">
      <w:pPr>
        <w:spacing w:before="0" w:after="0" w:line="240" w:lineRule="auto"/>
        <w:rPr>
          <w:rFonts w:eastAsiaTheme="majorEastAsia"/>
          <w:b/>
          <w:color w:val="1F3864" w:themeColor="accent1" w:themeShade="80"/>
          <w:sz w:val="44"/>
          <w:szCs w:val="44"/>
        </w:rPr>
      </w:pPr>
      <w:r>
        <w:br w:type="page"/>
      </w:r>
    </w:p>
    <w:p w14:paraId="635233A6" w14:textId="4EF4F754" w:rsidR="002E0A6F" w:rsidRDefault="00045C03" w:rsidP="004C30BF">
      <w:pPr>
        <w:pStyle w:val="Heading1nonumber"/>
      </w:pPr>
      <w:bookmarkStart w:id="14" w:name="_Toc227678050"/>
      <w:bookmarkStart w:id="15" w:name="_Toc227679724"/>
      <w:bookmarkEnd w:id="13"/>
      <w:bookmarkEnd w:id="12"/>
      <w:r w:rsidRPr="004C30BF">
        <w:t>Introduction</w:t>
      </w:r>
      <w:bookmarkEnd w:id="14"/>
      <w:bookmarkEnd w:id="15"/>
    </w:p>
    <w:p w14:paraId="178DE0CE" w14:textId="5375AAC0" w:rsidR="004C30BF" w:rsidRDefault="004C30BF" w:rsidP="004C30BF">
      <w:pPr>
        <w:pStyle w:val="BodyText"/>
      </w:pPr>
      <w:r>
        <w:t xml:space="preserve">This document is published by </w:t>
      </w:r>
      <w:proofErr w:type="gramStart"/>
      <w:r>
        <w:t>He</w:t>
      </w:r>
      <w:proofErr w:type="gramEnd"/>
      <w:r>
        <w:t xml:space="preserve"> Pou a Rangi Climate Change Commission as a supplementary document to our Advice on NZ ETS unit limit and price control settings (NZ ETS settings) for 202</w:t>
      </w:r>
      <w:r w:rsidR="0015702A">
        <w:t>7</w:t>
      </w:r>
      <w:r>
        <w:t>–203</w:t>
      </w:r>
      <w:r w:rsidR="0015702A">
        <w:t>1</w:t>
      </w:r>
      <w:r>
        <w:t xml:space="preserve"> (the advice report).  </w:t>
      </w:r>
    </w:p>
    <w:p w14:paraId="38F5FA54" w14:textId="77777777" w:rsidR="004C30BF" w:rsidRDefault="004C30BF" w:rsidP="004C30BF">
      <w:pPr>
        <w:pStyle w:val="BodyText"/>
      </w:pPr>
      <w:r>
        <w:t xml:space="preserve">He Pou a Rangi Climate Change Commission is an independent Crown entity established by the Climate Change Response Act 2002 (the Act) to provide expert, evidence-based advice and monitoring to successive governments on how to reduce emissions and adapt to the effects of climate change.  </w:t>
      </w:r>
    </w:p>
    <w:p w14:paraId="4F914AE5" w14:textId="77777777" w:rsidR="004C30BF" w:rsidRDefault="004C30BF" w:rsidP="00A30B1A">
      <w:pPr>
        <w:pStyle w:val="Heading2nonumber"/>
      </w:pPr>
      <w:bookmarkStart w:id="16" w:name="_Toc227679725"/>
      <w:r>
        <w:t>About this document</w:t>
      </w:r>
      <w:bookmarkEnd w:id="16"/>
      <w:r>
        <w:t xml:space="preserve">  </w:t>
      </w:r>
    </w:p>
    <w:p w14:paraId="13F31FFE" w14:textId="608ED6AB" w:rsidR="004C30BF" w:rsidRDefault="004C30BF" w:rsidP="004C30BF">
      <w:pPr>
        <w:pStyle w:val="BodyText"/>
      </w:pPr>
      <w:r>
        <w:t>As part of its responsibilities under the Act, the Commission is required to provide the Government with annual advice on the unit limits and price control settings for the New</w:t>
      </w:r>
      <w:r w:rsidR="000B3AF6">
        <w:t> </w:t>
      </w:r>
      <w:r>
        <w:t xml:space="preserve">Zealand Emissions Trading Scheme (NZ ETS settings) for five years into the future. </w:t>
      </w:r>
    </w:p>
    <w:p w14:paraId="2DB1EFBB" w14:textId="7673E4B8" w:rsidR="00062FC2" w:rsidRDefault="0020709E" w:rsidP="004C30BF">
      <w:pPr>
        <w:pStyle w:val="BodyText"/>
      </w:pPr>
      <w:r w:rsidRPr="00455A5D">
        <w:t>The Commission’s recommendations must adhere to the same requirements in the Act that apply to the Minister</w:t>
      </w:r>
      <w:r>
        <w:t>, which are set out in section 30GC of the Act</w:t>
      </w:r>
      <w:r w:rsidRPr="00455A5D">
        <w:t>.</w:t>
      </w:r>
      <w:r>
        <w:rPr>
          <w:rStyle w:val="FootnoteReference"/>
        </w:rPr>
        <w:footnoteReference w:id="2"/>
      </w:r>
      <w:r w:rsidR="00EF0BC2">
        <w:t xml:space="preserve"> </w:t>
      </w:r>
      <w:r w:rsidR="00C0585E">
        <w:t xml:space="preserve">This document sets out </w:t>
      </w:r>
      <w:r w:rsidR="000C2994">
        <w:t>how the Commission has addressed th</w:t>
      </w:r>
      <w:r w:rsidR="00A866B0">
        <w:t xml:space="preserve">ose legislative </w:t>
      </w:r>
      <w:r w:rsidR="000C2994">
        <w:t>requirements</w:t>
      </w:r>
      <w:r w:rsidR="000F17B5">
        <w:t xml:space="preserve">, as well as other </w:t>
      </w:r>
      <w:r w:rsidR="000C2994">
        <w:t xml:space="preserve">matters </w:t>
      </w:r>
      <w:r w:rsidR="000F17B5">
        <w:t xml:space="preserve">that the Act requires the Commission to consider in developing its </w:t>
      </w:r>
      <w:r w:rsidR="000C2994">
        <w:t>NZ ETS settings advice.</w:t>
      </w:r>
      <w:r w:rsidR="00D77068">
        <w:t xml:space="preserve"> </w:t>
      </w:r>
      <w:r w:rsidR="00E91540">
        <w:t xml:space="preserve">This document </w:t>
      </w:r>
      <w:r w:rsidR="00D77068">
        <w:t>contains two sections</w:t>
      </w:r>
      <w:r w:rsidR="00062FC2">
        <w:t xml:space="preserve">: </w:t>
      </w:r>
    </w:p>
    <w:p w14:paraId="4A28D22F" w14:textId="09B9BB9F" w:rsidR="00062FC2" w:rsidRPr="00C90998" w:rsidRDefault="00524A75" w:rsidP="003C70DA">
      <w:pPr>
        <w:pStyle w:val="BodyText"/>
        <w:numPr>
          <w:ilvl w:val="0"/>
          <w:numId w:val="17"/>
        </w:numPr>
        <w:rPr>
          <w:b/>
          <w:bCs/>
        </w:rPr>
      </w:pPr>
      <w:r w:rsidRPr="00C90998">
        <w:rPr>
          <w:b/>
          <w:bCs/>
        </w:rPr>
        <w:t>Assessment of Accordance</w:t>
      </w:r>
      <w:r w:rsidR="00FD3AD5" w:rsidRPr="00C90998">
        <w:rPr>
          <w:b/>
          <w:bCs/>
        </w:rPr>
        <w:t xml:space="preserve">. </w:t>
      </w:r>
    </w:p>
    <w:p w14:paraId="2EB02C8F" w14:textId="6C14B087" w:rsidR="00FD3AD5" w:rsidRDefault="005360A5" w:rsidP="00C90998">
      <w:pPr>
        <w:pStyle w:val="BodyText"/>
        <w:ind w:left="360"/>
      </w:pPr>
      <w:r>
        <w:t>The Commission must be satisfied that the recommended unit limits and pr</w:t>
      </w:r>
      <w:r w:rsidR="008D2BC8">
        <w:t>i</w:t>
      </w:r>
      <w:r>
        <w:t xml:space="preserve">ce control settings accord with emissions budgets and the 2050 target. </w:t>
      </w:r>
      <w:r w:rsidR="0058214C">
        <w:t xml:space="preserve">This section sets out in detail our assessment of how our recommendations comply with </w:t>
      </w:r>
      <w:r w:rsidR="00441025">
        <w:t>th</w:t>
      </w:r>
      <w:r w:rsidR="00F24DC1">
        <w:t>e</w:t>
      </w:r>
      <w:r w:rsidR="00441025">
        <w:t xml:space="preserve"> accordance requirement</w:t>
      </w:r>
      <w:r w:rsidR="00F24DC1">
        <w:t>s</w:t>
      </w:r>
      <w:r w:rsidR="00760815">
        <w:t xml:space="preserve"> in section 30GC of the Act</w:t>
      </w:r>
      <w:r w:rsidR="00441025">
        <w:t xml:space="preserve">.  </w:t>
      </w:r>
    </w:p>
    <w:p w14:paraId="51909BD5" w14:textId="0A2EA82C" w:rsidR="00524A75" w:rsidRPr="00C90998" w:rsidRDefault="00524A75" w:rsidP="003C70DA">
      <w:pPr>
        <w:pStyle w:val="BodyText"/>
        <w:numPr>
          <w:ilvl w:val="0"/>
          <w:numId w:val="17"/>
        </w:numPr>
        <w:rPr>
          <w:b/>
          <w:bCs/>
        </w:rPr>
      </w:pPr>
      <w:r w:rsidRPr="00C90998">
        <w:rPr>
          <w:b/>
          <w:bCs/>
        </w:rPr>
        <w:t xml:space="preserve">Summary of how </w:t>
      </w:r>
      <w:r w:rsidR="00FD3AD5" w:rsidRPr="00C90998">
        <w:rPr>
          <w:b/>
          <w:bCs/>
        </w:rPr>
        <w:t xml:space="preserve">legislative requirements and considerations have been addressed. </w:t>
      </w:r>
    </w:p>
    <w:p w14:paraId="7AD40D9A" w14:textId="28524751" w:rsidR="00F110BE" w:rsidRDefault="008D2BC8" w:rsidP="00C90998">
      <w:pPr>
        <w:pStyle w:val="BodyText"/>
        <w:ind w:left="360"/>
      </w:pPr>
      <w:r>
        <w:t xml:space="preserve">This </w:t>
      </w:r>
      <w:r w:rsidR="00D77068">
        <w:t xml:space="preserve">section </w:t>
      </w:r>
      <w:r w:rsidR="00995195">
        <w:t xml:space="preserve">sets out </w:t>
      </w:r>
      <w:r w:rsidR="001324D7">
        <w:t>the wider legal obligations on the Commission under the Act</w:t>
      </w:r>
      <w:r w:rsidR="00B22CBF">
        <w:t xml:space="preserve">. It notes in summary how </w:t>
      </w:r>
      <w:r w:rsidR="009F3DB0">
        <w:t xml:space="preserve">we have addressed </w:t>
      </w:r>
      <w:r w:rsidR="00B22CBF">
        <w:t>these obligations</w:t>
      </w:r>
      <w:r w:rsidR="00E22098">
        <w:t>, and</w:t>
      </w:r>
      <w:r w:rsidR="009F3DB0">
        <w:t>,</w:t>
      </w:r>
      <w:r w:rsidR="00232352">
        <w:t xml:space="preserve"> if relevant, </w:t>
      </w:r>
      <w:r w:rsidR="00E22098">
        <w:t xml:space="preserve">where in the advice </w:t>
      </w:r>
      <w:r w:rsidR="00232352">
        <w:t xml:space="preserve">report </w:t>
      </w:r>
      <w:r w:rsidR="0059703C">
        <w:t xml:space="preserve">further information about these matters can be found. </w:t>
      </w:r>
    </w:p>
    <w:p w14:paraId="2C5824DA" w14:textId="4C8A7A17" w:rsidR="001F6500" w:rsidRDefault="001F6500" w:rsidP="004C30BF">
      <w:pPr>
        <w:pStyle w:val="BodyText"/>
      </w:pPr>
      <w:r>
        <w:t>This document should be read alongside the Commission’s advice report on NZ ETS settings for 2027–2031.</w:t>
      </w:r>
    </w:p>
    <w:p w14:paraId="5BE9C5DD" w14:textId="4B7E69A9" w:rsidR="00F96932" w:rsidRDefault="004C30BF" w:rsidP="004C30BF">
      <w:pPr>
        <w:pStyle w:val="BodyText"/>
        <w:sectPr w:rsidR="00F96932" w:rsidSect="00491B81">
          <w:footerReference w:type="first" r:id="rId17"/>
          <w:pgSz w:w="11906" w:h="16838"/>
          <w:pgMar w:top="1418" w:right="1418" w:bottom="1134" w:left="1418" w:header="709" w:footer="624" w:gutter="0"/>
          <w:pgNumType w:start="1"/>
          <w:cols w:space="708"/>
          <w:titlePg/>
          <w:docGrid w:linePitch="360"/>
        </w:sectPr>
      </w:pPr>
      <w:r>
        <w:t xml:space="preserve"> </w:t>
      </w:r>
    </w:p>
    <w:p w14:paraId="3C201989" w14:textId="29D0A908" w:rsidR="002E0A6F" w:rsidRDefault="003266B2" w:rsidP="00F96932">
      <w:pPr>
        <w:pStyle w:val="Heading1nonumber"/>
        <w:rPr>
          <w:lang w:val="en-US"/>
        </w:rPr>
      </w:pPr>
      <w:bookmarkStart w:id="17" w:name="_Toc227679726"/>
      <w:r>
        <w:rPr>
          <w:lang w:val="en-US"/>
        </w:rPr>
        <w:t xml:space="preserve">1. </w:t>
      </w:r>
      <w:proofErr w:type="gramStart"/>
      <w:r w:rsidR="00F96932">
        <w:rPr>
          <w:lang w:val="en-US"/>
        </w:rPr>
        <w:t>According</w:t>
      </w:r>
      <w:proofErr w:type="gramEnd"/>
      <w:r w:rsidR="00F96932">
        <w:rPr>
          <w:lang w:val="en-US"/>
        </w:rPr>
        <w:t xml:space="preserve"> NZ ETS settings with targets</w:t>
      </w:r>
      <w:bookmarkEnd w:id="17"/>
    </w:p>
    <w:p w14:paraId="028645C5" w14:textId="4680522F" w:rsidR="008603DD" w:rsidRPr="008603DD" w:rsidRDefault="008603DD" w:rsidP="008603DD">
      <w:pPr>
        <w:pStyle w:val="BodyText"/>
        <w:rPr>
          <w:lang w:val="en-US"/>
        </w:rPr>
      </w:pPr>
      <w:r w:rsidRPr="008603DD">
        <w:rPr>
          <w:lang w:val="en-US"/>
        </w:rPr>
        <w:t>When recommending the unit limit and price control settings for the NZ ETS</w:t>
      </w:r>
      <w:r w:rsidR="00547679">
        <w:rPr>
          <w:lang w:val="en-US"/>
        </w:rPr>
        <w:t xml:space="preserve"> under section 5ZOA</w:t>
      </w:r>
      <w:r w:rsidRPr="008603DD">
        <w:rPr>
          <w:lang w:val="en-US"/>
        </w:rPr>
        <w:t xml:space="preserve">, the Commission must be satisfied that either: </w:t>
      </w:r>
    </w:p>
    <w:p w14:paraId="07442EFD" w14:textId="14C2D266" w:rsidR="008603DD" w:rsidRDefault="008603DD" w:rsidP="00C90998">
      <w:pPr>
        <w:pStyle w:val="Bodybullets"/>
        <w:ind w:left="714" w:hanging="357"/>
        <w:contextualSpacing w:val="0"/>
        <w:rPr>
          <w:lang w:val="en-US"/>
        </w:rPr>
      </w:pPr>
      <w:r w:rsidRPr="008603DD">
        <w:rPr>
          <w:lang w:val="en-US"/>
        </w:rPr>
        <w:t>the settings strictly accord with all emissions budgets currently in place, and with the 2050 target (collectively ‘emissions reduction targets’) (section 30</w:t>
      </w:r>
      <w:proofErr w:type="gramStart"/>
      <w:r w:rsidRPr="008603DD">
        <w:rPr>
          <w:lang w:val="en-US"/>
        </w:rPr>
        <w:t>GC(</w:t>
      </w:r>
      <w:proofErr w:type="gramEnd"/>
      <w:r w:rsidRPr="008603DD">
        <w:rPr>
          <w:lang w:val="en-US"/>
        </w:rPr>
        <w:t>2)); or</w:t>
      </w:r>
    </w:p>
    <w:p w14:paraId="5280B8F7" w14:textId="33E84DB0" w:rsidR="008603DD" w:rsidRPr="008603DD" w:rsidRDefault="008603DD" w:rsidP="00C90998">
      <w:pPr>
        <w:pStyle w:val="Bodybullets"/>
        <w:ind w:left="714" w:hanging="357"/>
        <w:contextualSpacing w:val="0"/>
        <w:rPr>
          <w:lang w:val="en-US"/>
        </w:rPr>
      </w:pPr>
      <w:proofErr w:type="gramStart"/>
      <w:r w:rsidRPr="008603DD">
        <w:rPr>
          <w:lang w:val="en-US"/>
        </w:rPr>
        <w:t>if</w:t>
      </w:r>
      <w:proofErr w:type="gramEnd"/>
      <w:r w:rsidRPr="008603DD">
        <w:rPr>
          <w:lang w:val="en-US"/>
        </w:rPr>
        <w:t xml:space="preserve"> the settings do not strictly accord with the emissions budgets, that they nevertheless still accord with the emissions budget</w:t>
      </w:r>
      <w:r w:rsidR="00476E95">
        <w:rPr>
          <w:lang w:val="en-US"/>
        </w:rPr>
        <w:t>s</w:t>
      </w:r>
      <w:r w:rsidR="00E52A6A">
        <w:rPr>
          <w:lang w:val="en-US"/>
        </w:rPr>
        <w:t xml:space="preserve">, </w:t>
      </w:r>
      <w:r w:rsidRPr="008603DD">
        <w:rPr>
          <w:lang w:val="en-US"/>
        </w:rPr>
        <w:t>and that the discrepancy is justified after considering prescribed statutory matters (section 30</w:t>
      </w:r>
      <w:proofErr w:type="gramStart"/>
      <w:r w:rsidRPr="008603DD">
        <w:rPr>
          <w:lang w:val="en-US"/>
        </w:rPr>
        <w:t>GC(</w:t>
      </w:r>
      <w:proofErr w:type="gramEnd"/>
      <w:r w:rsidRPr="008603DD">
        <w:rPr>
          <w:lang w:val="en-US"/>
        </w:rPr>
        <w:t xml:space="preserve">3)). </w:t>
      </w:r>
    </w:p>
    <w:p w14:paraId="0CE41E56" w14:textId="3E71721C" w:rsidR="00F96932" w:rsidRPr="007628D3" w:rsidRDefault="008603DD" w:rsidP="008603DD">
      <w:pPr>
        <w:pStyle w:val="BodyText"/>
      </w:pPr>
      <w:r w:rsidRPr="3446831A">
        <w:t>For clarity, the specific obligations from sections 30</w:t>
      </w:r>
      <w:proofErr w:type="gramStart"/>
      <w:r w:rsidRPr="3446831A">
        <w:t>GC(</w:t>
      </w:r>
      <w:proofErr w:type="gramEnd"/>
      <w:r w:rsidRPr="3446831A">
        <w:t>1</w:t>
      </w:r>
      <w:r w:rsidR="00E57D4D" w:rsidRPr="3446831A">
        <w:t>)–(</w:t>
      </w:r>
      <w:r w:rsidRPr="3446831A">
        <w:t>3) are set out in Box 1 below.</w:t>
      </w:r>
      <w:r w:rsidR="00F210A0" w:rsidRPr="3446831A">
        <w:rPr>
          <w:rStyle w:val="FootnoteReference"/>
        </w:rPr>
        <w:footnoteReference w:id="3"/>
      </w:r>
    </w:p>
    <w:tbl>
      <w:tblPr>
        <w:tblStyle w:val="TableGrid"/>
        <w:tblW w:w="0" w:type="auto"/>
        <w:tblLook w:val="04A0" w:firstRow="1" w:lastRow="0" w:firstColumn="1" w:lastColumn="0" w:noHBand="0" w:noVBand="1"/>
      </w:tblPr>
      <w:tblGrid>
        <w:gridCol w:w="9060"/>
      </w:tblGrid>
      <w:tr w:rsidR="00926B15" w:rsidRPr="00EF7923" w14:paraId="345222B0" w14:textId="77777777">
        <w:tc>
          <w:tcPr>
            <w:tcW w:w="9060" w:type="dxa"/>
            <w:shd w:val="clear" w:color="auto" w:fill="1F3864" w:themeFill="accent1" w:themeFillShade="80"/>
          </w:tcPr>
          <w:p w14:paraId="042C58AA" w14:textId="77777777" w:rsidR="00926B15" w:rsidRPr="00EF7923" w:rsidRDefault="00926B15">
            <w:pPr>
              <w:keepNext/>
              <w:rPr>
                <w:b/>
                <w:sz w:val="22"/>
                <w:szCs w:val="22"/>
              </w:rPr>
            </w:pPr>
            <w:r w:rsidRPr="00EF7923">
              <w:rPr>
                <w:b/>
                <w:color w:val="FFFFFF" w:themeColor="background1"/>
                <w:sz w:val="22"/>
                <w:szCs w:val="22"/>
              </w:rPr>
              <w:t xml:space="preserve">Box </w:t>
            </w:r>
            <w:r w:rsidRPr="00EF7923">
              <w:rPr>
                <w:b/>
                <w:sz w:val="22"/>
                <w:szCs w:val="22"/>
              </w:rPr>
              <w:t xml:space="preserve">1. Requirement that NZ ETS settings accord with emissions reduction targets  </w:t>
            </w:r>
          </w:p>
        </w:tc>
      </w:tr>
      <w:tr w:rsidR="00926B15" w:rsidRPr="00EF7923" w14:paraId="7C149C3B" w14:textId="77777777">
        <w:tc>
          <w:tcPr>
            <w:tcW w:w="9060" w:type="dxa"/>
            <w:shd w:val="clear" w:color="auto" w:fill="DEEAF6" w:themeFill="accent5" w:themeFillTint="33"/>
          </w:tcPr>
          <w:p w14:paraId="4E0984DE" w14:textId="77777777" w:rsidR="00926B15" w:rsidRPr="00314A7F" w:rsidRDefault="00926B15">
            <w:pPr>
              <w:rPr>
                <w:b/>
                <w:bCs/>
                <w:sz w:val="22"/>
                <w:szCs w:val="22"/>
              </w:rPr>
            </w:pPr>
            <w:r w:rsidRPr="00314A7F">
              <w:rPr>
                <w:b/>
                <w:bCs/>
                <w:sz w:val="22"/>
                <w:szCs w:val="22"/>
              </w:rPr>
              <w:t>Section 30GC Requirements for regulations about limits and price control settings for units</w:t>
            </w:r>
          </w:p>
          <w:p w14:paraId="5E3B04B3" w14:textId="77777777" w:rsidR="00926B15" w:rsidRPr="00314A7F" w:rsidRDefault="00926B15" w:rsidP="003C70DA">
            <w:pPr>
              <w:pStyle w:val="ListParagraph"/>
              <w:numPr>
                <w:ilvl w:val="0"/>
                <w:numId w:val="13"/>
              </w:numPr>
              <w:spacing w:before="0"/>
              <w:contextualSpacing w:val="0"/>
              <w:rPr>
                <w:sz w:val="22"/>
                <w:szCs w:val="22"/>
              </w:rPr>
            </w:pPr>
            <w:r w:rsidRPr="00314A7F">
              <w:rPr>
                <w:sz w:val="22"/>
                <w:szCs w:val="22"/>
              </w:rPr>
              <w:t xml:space="preserve">The Minister must comply with this section in— </w:t>
            </w:r>
          </w:p>
          <w:p w14:paraId="19302EE1" w14:textId="77777777" w:rsidR="00926B15" w:rsidRPr="00314A7F" w:rsidRDefault="00926B15" w:rsidP="003C70DA">
            <w:pPr>
              <w:pStyle w:val="ListParagraph"/>
              <w:numPr>
                <w:ilvl w:val="0"/>
                <w:numId w:val="14"/>
              </w:numPr>
              <w:spacing w:before="0"/>
              <w:contextualSpacing w:val="0"/>
              <w:rPr>
                <w:sz w:val="22"/>
                <w:szCs w:val="22"/>
              </w:rPr>
            </w:pPr>
            <w:r w:rsidRPr="00314A7F">
              <w:rPr>
                <w:sz w:val="22"/>
                <w:szCs w:val="22"/>
              </w:rPr>
              <w:t>recommending under section 30</w:t>
            </w:r>
            <w:proofErr w:type="gramStart"/>
            <w:r w:rsidRPr="00314A7F">
              <w:rPr>
                <w:sz w:val="22"/>
                <w:szCs w:val="22"/>
              </w:rPr>
              <w:t>GB(</w:t>
            </w:r>
            <w:proofErr w:type="gramEnd"/>
            <w:r w:rsidRPr="00314A7F">
              <w:rPr>
                <w:sz w:val="22"/>
                <w:szCs w:val="22"/>
              </w:rPr>
              <w:t xml:space="preserve">2), (3), or (4)(b) the making of regulations that prescribe individual limits, overall limits, or price control settings; and </w:t>
            </w:r>
          </w:p>
          <w:p w14:paraId="68833E22" w14:textId="77777777" w:rsidR="00926B15" w:rsidRPr="00314A7F" w:rsidRDefault="00926B15" w:rsidP="003C70DA">
            <w:pPr>
              <w:pStyle w:val="ListParagraph"/>
              <w:numPr>
                <w:ilvl w:val="0"/>
                <w:numId w:val="14"/>
              </w:numPr>
              <w:spacing w:before="0"/>
              <w:contextualSpacing w:val="0"/>
              <w:rPr>
                <w:sz w:val="22"/>
                <w:szCs w:val="22"/>
              </w:rPr>
            </w:pPr>
            <w:r w:rsidRPr="00314A7F">
              <w:rPr>
                <w:sz w:val="22"/>
                <w:szCs w:val="22"/>
              </w:rPr>
              <w:t xml:space="preserve">considering under section 30GB(4)(a) whether to recommend prescribing new individual limits, overall limits, and price control settings for the 2 calendar years before a further calendar year. </w:t>
            </w:r>
          </w:p>
          <w:p w14:paraId="0DF39ABC" w14:textId="77777777" w:rsidR="00926B15" w:rsidRPr="009D512B" w:rsidRDefault="00926B15" w:rsidP="003C70DA">
            <w:pPr>
              <w:pStyle w:val="ListParagraph"/>
              <w:numPr>
                <w:ilvl w:val="0"/>
                <w:numId w:val="13"/>
              </w:numPr>
              <w:spacing w:before="0"/>
              <w:contextualSpacing w:val="0"/>
              <w:rPr>
                <w:sz w:val="22"/>
                <w:szCs w:val="22"/>
              </w:rPr>
            </w:pPr>
            <w:r w:rsidRPr="00314A7F">
              <w:rPr>
                <w:sz w:val="22"/>
                <w:szCs w:val="22"/>
              </w:rPr>
              <w:t>The Minister must be satisfied that the limits and price control settings are in accordance with</w:t>
            </w:r>
            <w:r w:rsidRPr="009D512B">
              <w:rPr>
                <w:sz w:val="22"/>
                <w:szCs w:val="22"/>
              </w:rPr>
              <w:t xml:space="preserve">— </w:t>
            </w:r>
          </w:p>
          <w:p w14:paraId="3306C048" w14:textId="77777777" w:rsidR="009D512B" w:rsidRDefault="00926B15" w:rsidP="003C70DA">
            <w:pPr>
              <w:pStyle w:val="ListParagraph"/>
              <w:numPr>
                <w:ilvl w:val="0"/>
                <w:numId w:val="15"/>
              </w:numPr>
              <w:spacing w:before="0"/>
              <w:contextualSpacing w:val="0"/>
              <w:rPr>
                <w:sz w:val="22"/>
                <w:szCs w:val="22"/>
              </w:rPr>
            </w:pPr>
            <w:r w:rsidRPr="009D512B">
              <w:rPr>
                <w:sz w:val="22"/>
                <w:szCs w:val="22"/>
              </w:rPr>
              <w:t>the emissions budget</w:t>
            </w:r>
            <w:r w:rsidR="00C83393" w:rsidRPr="009D512B">
              <w:rPr>
                <w:sz w:val="22"/>
                <w:szCs w:val="22"/>
              </w:rPr>
              <w:t xml:space="preserve"> </w:t>
            </w:r>
            <w:r w:rsidRPr="009D512B">
              <w:rPr>
                <w:sz w:val="22"/>
                <w:szCs w:val="22"/>
              </w:rPr>
              <w:t xml:space="preserve">that applies to— </w:t>
            </w:r>
          </w:p>
          <w:p w14:paraId="0C4C7DBA" w14:textId="77777777" w:rsidR="00E74F51" w:rsidRDefault="009D512B" w:rsidP="003C70DA">
            <w:pPr>
              <w:pStyle w:val="ListParagraph"/>
              <w:numPr>
                <w:ilvl w:val="1"/>
                <w:numId w:val="16"/>
              </w:numPr>
              <w:spacing w:before="0"/>
              <w:contextualSpacing w:val="0"/>
              <w:rPr>
                <w:sz w:val="22"/>
                <w:szCs w:val="22"/>
              </w:rPr>
            </w:pPr>
            <w:r w:rsidRPr="009D512B">
              <w:rPr>
                <w:sz w:val="22"/>
                <w:szCs w:val="22"/>
              </w:rPr>
              <w:t xml:space="preserve">the period for which the limits or price control settings are being prescribed; or </w:t>
            </w:r>
          </w:p>
          <w:p w14:paraId="240594BB" w14:textId="496D9727" w:rsidR="003F06E3" w:rsidRPr="00E74F51" w:rsidRDefault="009D512B" w:rsidP="003C70DA">
            <w:pPr>
              <w:pStyle w:val="ListParagraph"/>
              <w:numPr>
                <w:ilvl w:val="1"/>
                <w:numId w:val="16"/>
              </w:numPr>
              <w:spacing w:before="0"/>
              <w:contextualSpacing w:val="0"/>
              <w:rPr>
                <w:sz w:val="22"/>
                <w:szCs w:val="22"/>
              </w:rPr>
            </w:pPr>
            <w:r w:rsidRPr="00E74F51">
              <w:rPr>
                <w:sz w:val="22"/>
                <w:szCs w:val="22"/>
              </w:rPr>
              <w:t>any period after that, if a budget or contribution exists for that period; and</w:t>
            </w:r>
          </w:p>
          <w:p w14:paraId="1FB8FAD0" w14:textId="7A9D74E8" w:rsidR="00926B15" w:rsidRPr="009D512B" w:rsidRDefault="00926B15" w:rsidP="003C70DA">
            <w:pPr>
              <w:pStyle w:val="ListParagraph"/>
              <w:numPr>
                <w:ilvl w:val="0"/>
                <w:numId w:val="15"/>
              </w:numPr>
              <w:spacing w:before="0"/>
              <w:contextualSpacing w:val="0"/>
              <w:rPr>
                <w:sz w:val="22"/>
                <w:szCs w:val="22"/>
              </w:rPr>
            </w:pPr>
            <w:r w:rsidRPr="009D512B">
              <w:rPr>
                <w:sz w:val="22"/>
                <w:szCs w:val="22"/>
              </w:rPr>
              <w:t xml:space="preserve">the 2050 target. </w:t>
            </w:r>
          </w:p>
          <w:p w14:paraId="167AB23D" w14:textId="584D75C2" w:rsidR="00926B15" w:rsidRPr="00EF7923" w:rsidRDefault="00926B15" w:rsidP="003C70DA">
            <w:pPr>
              <w:pStyle w:val="ListParagraph"/>
              <w:numPr>
                <w:ilvl w:val="0"/>
                <w:numId w:val="13"/>
              </w:numPr>
              <w:spacing w:before="0"/>
              <w:contextualSpacing w:val="0"/>
              <w:rPr>
                <w:sz w:val="22"/>
                <w:szCs w:val="22"/>
              </w:rPr>
            </w:pPr>
            <w:r w:rsidRPr="00E74F51">
              <w:rPr>
                <w:sz w:val="22"/>
                <w:szCs w:val="22"/>
              </w:rPr>
              <w:t xml:space="preserve">However, they need not strictly accord with the budgets </w:t>
            </w:r>
            <w:proofErr w:type="gramStart"/>
            <w:r w:rsidRPr="00E74F51">
              <w:rPr>
                <w:sz w:val="22"/>
                <w:szCs w:val="22"/>
              </w:rPr>
              <w:t>as long as</w:t>
            </w:r>
            <w:proofErr w:type="gramEnd"/>
            <w:r w:rsidRPr="00E74F51">
              <w:rPr>
                <w:sz w:val="22"/>
                <w:szCs w:val="22"/>
              </w:rPr>
              <w:t xml:space="preserve"> the Minister is satisfied that the discrepancy is justified, after considering the other matters under this section.</w:t>
            </w:r>
          </w:p>
        </w:tc>
      </w:tr>
    </w:tbl>
    <w:p w14:paraId="42DE715B" w14:textId="4FD47AE3" w:rsidR="004C152E" w:rsidRDefault="004C152E" w:rsidP="00D04F10">
      <w:pPr>
        <w:pStyle w:val="BodyText"/>
      </w:pPr>
    </w:p>
    <w:p w14:paraId="70A5BE7C" w14:textId="2875D5EC" w:rsidR="00DC0A30" w:rsidRDefault="003266B2" w:rsidP="00A252A0">
      <w:pPr>
        <w:pStyle w:val="Heading2nonumber"/>
        <w:keepNext/>
      </w:pPr>
      <w:bookmarkStart w:id="18" w:name="_Toc227679727"/>
      <w:r>
        <w:t xml:space="preserve">1.1 </w:t>
      </w:r>
      <w:r w:rsidR="00DC0A30">
        <w:t>Approach to accordance</w:t>
      </w:r>
      <w:bookmarkEnd w:id="18"/>
    </w:p>
    <w:p w14:paraId="52501CB9" w14:textId="39EB668B" w:rsidR="00236A76" w:rsidRPr="00916EE2" w:rsidRDefault="00236A76" w:rsidP="00236A76">
      <w:pPr>
        <w:pStyle w:val="BodyText"/>
      </w:pPr>
      <w:r w:rsidRPr="00916EE2">
        <w:t>We understand that ‘strict accordance’ equates to settings with a high probability of constraining emissions to the levels required for meeting emissions reduction targets. The Commission is permitted to recommend settings that do not provide this, with respect to the emissions budgets in place, but in such case the settings must nevertheless accord – i.e. there must still be a good probability that the settings will achieve what is necessary, or the discrepancy must be one that can be made up for elsewhere. The deviation from strict accordance must also be justified, after considering the matters set out in sections 30</w:t>
      </w:r>
      <w:proofErr w:type="gramStart"/>
      <w:r w:rsidRPr="00916EE2">
        <w:t>GC(</w:t>
      </w:r>
      <w:proofErr w:type="gramEnd"/>
      <w:r w:rsidRPr="00916EE2">
        <w:t xml:space="preserve">5) and (6). </w:t>
      </w:r>
    </w:p>
    <w:p w14:paraId="666AD78C" w14:textId="77777777" w:rsidR="00236A76" w:rsidRPr="00916EE2" w:rsidRDefault="00236A76" w:rsidP="00236A76">
      <w:pPr>
        <w:pStyle w:val="BodyText"/>
      </w:pPr>
      <w:r w:rsidRPr="00916EE2">
        <w:t xml:space="preserve">Assessing accordance must be done by considering the whole package of settings, i.e. the unit limits and the price control settings together, because their effects on emissions are interdependent. </w:t>
      </w:r>
    </w:p>
    <w:p w14:paraId="2BDBF6BE" w14:textId="462DA12F" w:rsidR="00236A76" w:rsidRPr="00916EE2" w:rsidRDefault="00236A76" w:rsidP="00236A76">
      <w:pPr>
        <w:pStyle w:val="BodyText"/>
      </w:pPr>
      <w:r w:rsidRPr="00916EE2">
        <w:t>Determining the extent to which potential NZ ETS settings accord with emissions reduction targets requires</w:t>
      </w:r>
      <w:r w:rsidR="008C4AA5">
        <w:t xml:space="preserve"> us to</w:t>
      </w:r>
      <w:r w:rsidRPr="00916EE2">
        <w:t xml:space="preserve"> consider the likelihood </w:t>
      </w:r>
      <w:r w:rsidR="0001073F">
        <w:t xml:space="preserve">that targets will be </w:t>
      </w:r>
      <w:r w:rsidRPr="00916EE2">
        <w:t>achiev</w:t>
      </w:r>
      <w:r w:rsidR="0001073F">
        <w:t>ed</w:t>
      </w:r>
      <w:r w:rsidRPr="00916EE2">
        <w:t xml:space="preserve">, including assessing the risks and mitigations. This necessarily involves considering projections of emissions and factors affecting emissions for some years into the future, which are inherently uncertain. This requires us to make reasonable judgements and assumptions about Aotearoa New Zealand’s future emissions trends, and the effects of policies and other factors on emissions, based on the best available evidence. </w:t>
      </w:r>
    </w:p>
    <w:p w14:paraId="3095AB8B" w14:textId="77777777" w:rsidR="00236A76" w:rsidRPr="00916EE2" w:rsidRDefault="00236A76" w:rsidP="00236A76">
      <w:pPr>
        <w:pStyle w:val="BodyText"/>
      </w:pPr>
      <w:r w:rsidRPr="00916EE2">
        <w:t xml:space="preserve">We have therefore assessed the accordance of our recommended settings by drawing on a range of analysis and evidence, and considering all matters prescribed by the Act. </w:t>
      </w:r>
    </w:p>
    <w:p w14:paraId="4AF7F956" w14:textId="3156BEA2" w:rsidR="00DD701A" w:rsidRPr="00F9125B" w:rsidRDefault="00DD701A" w:rsidP="00236A76">
      <w:pPr>
        <w:pStyle w:val="BodyText"/>
      </w:pPr>
      <w:r w:rsidRPr="00F9125B">
        <w:t xml:space="preserve">In </w:t>
      </w:r>
      <w:r w:rsidR="00F9125B" w:rsidRPr="00F9125B">
        <w:t>determining</w:t>
      </w:r>
      <w:r w:rsidRPr="00F9125B">
        <w:t xml:space="preserve"> the NZ ETS emissions caps to use for the second and third emissions budget periods, we have considered projected emissions trends, including those to which the NZ ETS does and does not apply (s30GC(5)(a))</w:t>
      </w:r>
      <w:r w:rsidR="008D16FA" w:rsidRPr="00F9125B">
        <w:t xml:space="preserve">. We have also considered the forecast availability and cost of ways to reduce emissions (s30GC(d)). </w:t>
      </w:r>
    </w:p>
    <w:p w14:paraId="78E2C923" w14:textId="385374BC" w:rsidR="00236A76" w:rsidRPr="006819BD" w:rsidRDefault="00D6663D" w:rsidP="00236A76">
      <w:pPr>
        <w:pStyle w:val="BodyText"/>
        <w:rPr>
          <w:highlight w:val="yellow"/>
        </w:rPr>
      </w:pPr>
      <w:r w:rsidRPr="00F9125B">
        <w:t xml:space="preserve">For determining unit limits we have used the unit limit methodology that has been developed over several years for the purpose of aligning </w:t>
      </w:r>
      <w:r w:rsidR="00F66145" w:rsidRPr="00F9125B">
        <w:t xml:space="preserve">the unit limits with emissions reduction targets. </w:t>
      </w:r>
      <w:r w:rsidR="00236A76" w:rsidRPr="00F9125B">
        <w:t xml:space="preserve">This methodology has been designed to factor in various matters that we must consider under the Act. For example, it incorporates </w:t>
      </w:r>
      <w:r w:rsidR="00236A76" w:rsidRPr="00B258E8">
        <w:t>the proper functioning of the NZ ETS (s30GC(b))</w:t>
      </w:r>
      <w:r w:rsidR="008D0F49">
        <w:t xml:space="preserve"> </w:t>
      </w:r>
      <w:r w:rsidR="00ED6B82">
        <w:t>(</w:t>
      </w:r>
      <w:r w:rsidR="0056106D">
        <w:t xml:space="preserve">such as </w:t>
      </w:r>
      <w:r w:rsidR="00236A76" w:rsidRPr="00B258E8">
        <w:t xml:space="preserve">in </w:t>
      </w:r>
      <w:r w:rsidR="00236A76" w:rsidRPr="00AB2CB3">
        <w:rPr>
          <w:i/>
          <w:iCs/>
        </w:rPr>
        <w:t xml:space="preserve">step </w:t>
      </w:r>
      <w:r w:rsidR="008162E9" w:rsidRPr="00AB2CB3">
        <w:rPr>
          <w:i/>
          <w:iCs/>
        </w:rPr>
        <w:t>2</w:t>
      </w:r>
      <w:r w:rsidR="00126F08" w:rsidRPr="00AB2CB3">
        <w:rPr>
          <w:i/>
          <w:iCs/>
        </w:rPr>
        <w:t>: account for industrial allocation</w:t>
      </w:r>
      <w:r w:rsidR="00236A76" w:rsidRPr="00B258E8">
        <w:t>)</w:t>
      </w:r>
      <w:r w:rsidR="00ED6B82">
        <w:t>,</w:t>
      </w:r>
      <w:r w:rsidR="008F5072">
        <w:rPr>
          <w:rStyle w:val="FootnoteReference"/>
        </w:rPr>
        <w:footnoteReference w:id="4"/>
      </w:r>
      <w:r w:rsidR="005B08D3">
        <w:t xml:space="preserve"> </w:t>
      </w:r>
      <w:r w:rsidR="00E054EE" w:rsidDel="00FB2EBC">
        <w:t>and</w:t>
      </w:r>
      <w:r w:rsidR="00236A76" w:rsidRPr="00B258E8">
        <w:t xml:space="preserve"> international climate change obligations and contracts for accessing emissions reductions in other carbon markets (s30GC(c))</w:t>
      </w:r>
      <w:r w:rsidR="00BD6945">
        <w:t xml:space="preserve"> </w:t>
      </w:r>
      <w:r w:rsidR="00236A76" w:rsidRPr="00B258E8">
        <w:t xml:space="preserve">(in </w:t>
      </w:r>
      <w:r w:rsidR="00236A76" w:rsidRPr="00AB2CB3">
        <w:rPr>
          <w:i/>
          <w:iCs/>
        </w:rPr>
        <w:t>step</w:t>
      </w:r>
      <w:r w:rsidR="00B258E8" w:rsidRPr="00AB2CB3">
        <w:rPr>
          <w:i/>
          <w:iCs/>
        </w:rPr>
        <w:t xml:space="preserve"> 4</w:t>
      </w:r>
      <w:r w:rsidR="00D454C5" w:rsidRPr="00AB2CB3">
        <w:rPr>
          <w:i/>
          <w:iCs/>
        </w:rPr>
        <w:t>: set limit on approved overseas units</w:t>
      </w:r>
      <w:r w:rsidR="00E054EE">
        <w:t>).</w:t>
      </w:r>
      <w:r w:rsidR="00236A76" w:rsidRPr="006819BD">
        <w:rPr>
          <w:highlight w:val="yellow"/>
        </w:rPr>
        <w:t xml:space="preserve">  </w:t>
      </w:r>
    </w:p>
    <w:p w14:paraId="2F4B3528" w14:textId="71423866" w:rsidR="00236A76" w:rsidRPr="00D44832" w:rsidRDefault="00236A76" w:rsidP="00236A76">
      <w:pPr>
        <w:pStyle w:val="BodyText"/>
      </w:pPr>
      <w:r w:rsidRPr="00D44832">
        <w:t xml:space="preserve">For the price control settings, we have drawn on modelling, </w:t>
      </w:r>
      <w:r w:rsidR="006E41A3">
        <w:t xml:space="preserve">including modelling we commissioned </w:t>
      </w:r>
      <w:r w:rsidRPr="00D44832">
        <w:t xml:space="preserve">from Concept Consulting and modelling undertaken by the government, to inform our judgements about the emissions prices needed to meet targets. We considered the government’s recent </w:t>
      </w:r>
      <w:r w:rsidR="006B6889">
        <w:t xml:space="preserve">2025 </w:t>
      </w:r>
      <w:r w:rsidRPr="00D44832">
        <w:t>emissions projections (s30GC(5)(a)), and research and analysis of the cost of specific mitigation options such as afforestation and the decarbonisation of industrial process heat (s30GC(5)(d)). We looked at how the NZ ETS was functioning (s30GC(5)</w:t>
      </w:r>
      <w:r w:rsidR="00BD6945">
        <w:t>(</w:t>
      </w:r>
      <w:r w:rsidRPr="00D44832">
        <w:t>b</w:t>
      </w:r>
      <w:r w:rsidR="00BD6945">
        <w:t>)</w:t>
      </w:r>
      <w:r w:rsidRPr="00D44832">
        <w:t xml:space="preserve">), including by gathering information and insights from engaging with NZ ETS market participants. We examined evidence available about international emissions prices and the cost of offshore mitigation (s30GC(6)(b) and s30GC(5)(c)), and about the impacts of emissions prices on households and the economy (s30GC(6)(a)). We also factored forecast inflation into the price levels of the price control </w:t>
      </w:r>
      <w:r w:rsidR="001F4A7E" w:rsidRPr="00D44832">
        <w:t>settings and</w:t>
      </w:r>
      <w:r w:rsidRPr="00D44832">
        <w:t xml:space="preserve"> considered the effect of the NZ ETS emissions price itself on inflation (s30GC(6)(c)). </w:t>
      </w:r>
    </w:p>
    <w:p w14:paraId="734319AB" w14:textId="26CA0785" w:rsidR="00236A76" w:rsidRPr="006819BD" w:rsidRDefault="00236A76" w:rsidP="00236A76">
      <w:pPr>
        <w:pStyle w:val="BodyText"/>
        <w:rPr>
          <w:highlight w:val="yellow"/>
        </w:rPr>
      </w:pPr>
      <w:r w:rsidRPr="00895EFB">
        <w:t xml:space="preserve">These are examples, not an exhaustive account of how these matters have been considered as required by the Act. </w:t>
      </w:r>
      <w:r w:rsidR="00C806DC">
        <w:t xml:space="preserve">More information can be found </w:t>
      </w:r>
      <w:r w:rsidR="00AC6940">
        <w:t xml:space="preserve">in table </w:t>
      </w:r>
      <w:r w:rsidR="00603B9C">
        <w:t>2</w:t>
      </w:r>
      <w:r w:rsidR="00AC6940">
        <w:t xml:space="preserve"> </w:t>
      </w:r>
      <w:r w:rsidR="00C806DC">
        <w:t xml:space="preserve">in the </w:t>
      </w:r>
      <w:r w:rsidR="00603B9C">
        <w:t xml:space="preserve">next </w:t>
      </w:r>
      <w:r w:rsidR="00C806DC">
        <w:t>section</w:t>
      </w:r>
      <w:r w:rsidR="00603B9C">
        <w:t xml:space="preserve"> of this document</w:t>
      </w:r>
      <w:r w:rsidR="00AC6940">
        <w:t xml:space="preserve">; </w:t>
      </w:r>
      <w:r w:rsidR="00895EFB" w:rsidRPr="0049782A">
        <w:t xml:space="preserve">the main advice report, in particular </w:t>
      </w:r>
      <w:r w:rsidR="00895EFB" w:rsidRPr="0049782A">
        <w:rPr>
          <w:i/>
          <w:iCs/>
        </w:rPr>
        <w:t xml:space="preserve">chapter 4: Unit limits, </w:t>
      </w:r>
      <w:r w:rsidR="0049782A" w:rsidRPr="0049782A">
        <w:rPr>
          <w:i/>
          <w:iCs/>
        </w:rPr>
        <w:t>Chapter</w:t>
      </w:r>
      <w:r w:rsidR="00895EFB" w:rsidRPr="0049782A">
        <w:rPr>
          <w:i/>
          <w:iCs/>
        </w:rPr>
        <w:t xml:space="preserve"> 5: Price control settings, and Chapter 6: Discussion and recommendation</w:t>
      </w:r>
      <w:r w:rsidR="0049782A" w:rsidRPr="0049782A">
        <w:rPr>
          <w:i/>
          <w:iCs/>
        </w:rPr>
        <w:t>s</w:t>
      </w:r>
      <w:r w:rsidR="00AC6940">
        <w:t>;</w:t>
      </w:r>
      <w:r w:rsidRPr="0049782A">
        <w:t xml:space="preserve"> </w:t>
      </w:r>
      <w:r w:rsidR="00AC6940">
        <w:t xml:space="preserve">and </w:t>
      </w:r>
      <w:r w:rsidRPr="00C806DC">
        <w:rPr>
          <w:i/>
          <w:iCs/>
        </w:rPr>
        <w:t>Technical Annex 1: Unit limit</w:t>
      </w:r>
      <w:r w:rsidR="00895EFB" w:rsidRPr="00C806DC">
        <w:rPr>
          <w:i/>
          <w:iCs/>
        </w:rPr>
        <w:t xml:space="preserve"> settings</w:t>
      </w:r>
      <w:r w:rsidRPr="0049782A">
        <w:t xml:space="preserve">. </w:t>
      </w:r>
    </w:p>
    <w:p w14:paraId="703CA2AA" w14:textId="77777777" w:rsidR="00236A76" w:rsidRPr="00DA283E" w:rsidRDefault="00236A76" w:rsidP="00236A76">
      <w:pPr>
        <w:pStyle w:val="BodyText"/>
      </w:pPr>
      <w:r w:rsidRPr="00DA283E">
        <w:t xml:space="preserve">Where possible, we have incorporated uncertainty into our consideration of these matters and our judgements about the settings. </w:t>
      </w:r>
    </w:p>
    <w:p w14:paraId="325A8FD3" w14:textId="2F8F5208" w:rsidR="00DC0A30" w:rsidRPr="00DC0A30" w:rsidRDefault="00236A76" w:rsidP="00236A76">
      <w:pPr>
        <w:pStyle w:val="BodyText"/>
      </w:pPr>
      <w:r w:rsidRPr="00DA283E">
        <w:t xml:space="preserve">In determining our recommendations, we </w:t>
      </w:r>
      <w:r w:rsidRPr="0055306A">
        <w:t>applied an adaptive management lens to</w:t>
      </w:r>
      <w:r w:rsidRPr="00DA283E">
        <w:t xml:space="preserve"> consider the uncertainties inherent in the data and information we use, and how the settings could be updated as this information changes over time. This can be seen throughout the advice</w:t>
      </w:r>
      <w:r w:rsidR="002E0830">
        <w:t xml:space="preserve"> </w:t>
      </w:r>
      <w:r w:rsidR="00B24B48">
        <w:t xml:space="preserve">report </w:t>
      </w:r>
      <w:r w:rsidR="002E0830">
        <w:t xml:space="preserve">and particularly in </w:t>
      </w:r>
      <w:r w:rsidR="002E0830">
        <w:rPr>
          <w:i/>
          <w:iCs/>
        </w:rPr>
        <w:t xml:space="preserve">Chapter 6: Discussion and recommendations. </w:t>
      </w:r>
      <w:r w:rsidRPr="00A31AD8">
        <w:t xml:space="preserve">We consider this to be consistent with the system for managing the settings established by the Act, which provides for the settings to be </w:t>
      </w:r>
      <w:r w:rsidR="007B22BA">
        <w:t xml:space="preserve">reviewed, updated and </w:t>
      </w:r>
      <w:r w:rsidRPr="00A31AD8">
        <w:t>extended each year.</w:t>
      </w:r>
    </w:p>
    <w:p w14:paraId="6FD3FE8A" w14:textId="77777777" w:rsidR="0046772C" w:rsidRDefault="0046772C">
      <w:pPr>
        <w:spacing w:before="0" w:after="0" w:line="240" w:lineRule="auto"/>
        <w:rPr>
          <w:color w:val="FF0000"/>
        </w:rPr>
        <w:sectPr w:rsidR="0046772C" w:rsidSect="00C90998">
          <w:pgSz w:w="11906" w:h="16838"/>
          <w:pgMar w:top="1418" w:right="1418" w:bottom="1134" w:left="1418" w:header="709" w:footer="624" w:gutter="0"/>
          <w:cols w:space="708"/>
          <w:titlePg/>
          <w:docGrid w:linePitch="360"/>
        </w:sectPr>
      </w:pPr>
    </w:p>
    <w:p w14:paraId="4D8CAA8D" w14:textId="0A7E266B" w:rsidR="00BF345B" w:rsidRDefault="003266B2" w:rsidP="00C90998">
      <w:pPr>
        <w:pStyle w:val="Heading2nonumber"/>
      </w:pPr>
      <w:bookmarkStart w:id="19" w:name="_Toc227679728"/>
      <w:r>
        <w:t xml:space="preserve">1.2 </w:t>
      </w:r>
      <w:r w:rsidR="00BF345B">
        <w:t>Accordance assessment of the recommended settings</w:t>
      </w:r>
      <w:bookmarkEnd w:id="19"/>
    </w:p>
    <w:p w14:paraId="72742026" w14:textId="2FE753F3" w:rsidR="0075404A" w:rsidRDefault="00E16102" w:rsidP="00E16102">
      <w:pPr>
        <w:pStyle w:val="BodyText"/>
      </w:pPr>
      <w:r w:rsidRPr="00E16102">
        <w:t xml:space="preserve">Table </w:t>
      </w:r>
      <w:r w:rsidR="00CD571B">
        <w:t>2</w:t>
      </w:r>
      <w:r w:rsidRPr="00E16102">
        <w:t xml:space="preserve"> below contains our assessment of how the Commission’s recommended unit limits and price control settings for the NZ ETS accord with emissions budget</w:t>
      </w:r>
      <w:r>
        <w:t>s a</w:t>
      </w:r>
      <w:r w:rsidRPr="00E16102">
        <w:t xml:space="preserve">nd the 2050 target. Where relevant, it provides our justifications for discrepancies from strict accordance and cites the most important matters from the Act supporting the justification. </w:t>
      </w:r>
    </w:p>
    <w:p w14:paraId="20E30A63" w14:textId="551AB46E" w:rsidR="00EC7D5B" w:rsidRDefault="00667511" w:rsidP="00A24E45">
      <w:pPr>
        <w:pStyle w:val="BodyText"/>
      </w:pPr>
      <w:r>
        <w:t xml:space="preserve">Throughout the table we refer to the </w:t>
      </w:r>
      <w:r w:rsidR="009B51DB">
        <w:t>2025 government emissions projections. The specific projection we have used is the “with additional measures”</w:t>
      </w:r>
      <w:r w:rsidR="00A24E45">
        <w:t xml:space="preserve"> (WAM)</w:t>
      </w:r>
      <w:r w:rsidR="009B51DB">
        <w:t xml:space="preserve"> central projection. </w:t>
      </w:r>
      <w:r w:rsidR="002360D8">
        <w:t>According to the Ministry for the Environment, this</w:t>
      </w:r>
      <w:r w:rsidR="009B51DB">
        <w:t xml:space="preserve"> </w:t>
      </w:r>
      <w:r w:rsidR="002360D8">
        <w:t>shows the impact of the additional emissions reductions policies generated by the policies and measures in the final second emissions reduction plan.</w:t>
      </w:r>
      <w:r w:rsidR="002360D8">
        <w:fldChar w:fldCharType="begin"/>
      </w:r>
      <w:r w:rsidR="005B1D5D">
        <w:instrText xml:space="preserve"> ADDIN EN.CITE &lt;EndNote&gt;&lt;Cite&gt;&lt;Author&gt;Ministry for the Environment Manatū Mō Te Taiao&lt;/Author&gt;&lt;Year&gt;2026&lt;/Year&gt;&lt;RecNum&gt;1439&lt;/RecNum&gt;&lt;DisplayText&gt;&lt;style face="superscript"&gt;1&lt;/style&gt;&lt;/DisplayText&gt;&lt;record&gt;&lt;rec-number&gt;1439&lt;/rec-number&gt;&lt;foreign-keys&gt;&lt;key app="EN" db-id="fwvex5fabdwzs9e9rwa55p5bvws5v2dex2zs" timestamp="1774405993" guid="93066bd3-772d-49ee-9f2a-825501168d8a"&gt;1439&lt;/key&gt;&lt;/foreign-keys&gt;&lt;ref-type name="Web Page"&gt;12&lt;/ref-type&gt;&lt;contributors&gt;&lt;authors&gt;&lt;author&gt;Ministry for the Environment Manatū Mō Te Taiao, &lt;/author&gt;&lt;/authors&gt;&lt;/contributors&gt;&lt;titles&gt;&lt;title&gt;New Zealand&amp;apos;s projected greenhouse gas emissions to 2050&lt;/title&gt;&lt;/titles&gt;&lt;number&gt;25 March 2026&lt;/number&gt;&lt;dates&gt;&lt;year&gt;2026&lt;/year&gt;&lt;pub-dates&gt;&lt;date&gt;29 January 2026&lt;/date&gt;&lt;/pub-dates&gt;&lt;/dates&gt;&lt;urls&gt;&lt;related-urls&gt;&lt;url&gt;https://environment.govt.nz/what-government-is-doing/areas-of-work/climate-change/emissions-reductions/emissions-reduction-targets/new-zealands-projected-greenhouse-gas-emissions-to-2050/&lt;/url&gt;&lt;/related-urls&gt;&lt;/urls&gt;&lt;/record&gt;&lt;/Cite&gt;&lt;/EndNote&gt;</w:instrText>
      </w:r>
      <w:r w:rsidR="002360D8">
        <w:fldChar w:fldCharType="separate"/>
      </w:r>
      <w:r w:rsidR="002360D8" w:rsidRPr="002360D8">
        <w:rPr>
          <w:noProof/>
          <w:vertAlign w:val="superscript"/>
        </w:rPr>
        <w:t>1</w:t>
      </w:r>
      <w:r w:rsidR="002360D8">
        <w:fldChar w:fldCharType="end"/>
      </w:r>
      <w:r w:rsidR="002360D8">
        <w:t xml:space="preserve"> </w:t>
      </w:r>
    </w:p>
    <w:p w14:paraId="03E9364B" w14:textId="61443D51" w:rsidR="00C90998" w:rsidRDefault="00307FC0" w:rsidP="00A24E45">
      <w:pPr>
        <w:pStyle w:val="BodyText"/>
      </w:pPr>
      <w:r>
        <w:t xml:space="preserve">We note that </w:t>
      </w:r>
      <w:r w:rsidR="00482E69">
        <w:t xml:space="preserve">the </w:t>
      </w:r>
      <w:r w:rsidR="00A24E45">
        <w:t xml:space="preserve">latest emissions projections use a scenario-based approach to agricultural emissions from 2030 onwards. This differs </w:t>
      </w:r>
      <w:r w:rsidR="00EF6598">
        <w:t xml:space="preserve">from </w:t>
      </w:r>
      <w:r w:rsidR="00A24E45">
        <w:t xml:space="preserve">the government emissions projections prepared in previous years. Rather than providing a single WAM projection for agricultural emissions estimating likely future policy impact, the projections included three scenarios (named A, B and C). </w:t>
      </w:r>
      <w:r w:rsidR="00BD6945">
        <w:t xml:space="preserve">There is uncertainty about which </w:t>
      </w:r>
      <w:r w:rsidR="00064EBB">
        <w:t>of these three scenarios</w:t>
      </w:r>
      <w:r w:rsidR="00B355ED">
        <w:t xml:space="preserve"> the Government</w:t>
      </w:r>
      <w:r w:rsidR="00BC719A">
        <w:t xml:space="preserve"> prefers</w:t>
      </w:r>
      <w:r w:rsidR="00064EBB">
        <w:t>, or what policies the Government will adopt to realise it</w:t>
      </w:r>
      <w:r w:rsidR="00DB3180">
        <w:t>s preferred scenario</w:t>
      </w:r>
      <w:r w:rsidR="00A24E45">
        <w:t>.</w:t>
      </w:r>
      <w:r w:rsidR="005B2304">
        <w:t xml:space="preserve"> </w:t>
      </w:r>
    </w:p>
    <w:p w14:paraId="3B800B4C" w14:textId="11F12ECF" w:rsidR="00667511" w:rsidRDefault="00A24E45" w:rsidP="00A24E45">
      <w:pPr>
        <w:pStyle w:val="BodyText"/>
      </w:pPr>
      <w:r>
        <w:t>Based on the information available,</w:t>
      </w:r>
      <w:r w:rsidR="00194321">
        <w:t xml:space="preserve"> </w:t>
      </w:r>
      <w:proofErr w:type="gramStart"/>
      <w:r w:rsidR="00194321">
        <w:t>in particular the</w:t>
      </w:r>
      <w:proofErr w:type="gramEnd"/>
      <w:r w:rsidR="00194321">
        <w:t xml:space="preserve"> fact that </w:t>
      </w:r>
      <w:r w:rsidR="00921F26">
        <w:t xml:space="preserve">the WAM scenario B has been used in the WAM central projection, </w:t>
      </w:r>
      <w:r>
        <w:t>we have interpreted the WAM scenario B for agricultural emissions as the policy goal that the Government is working towards.</w:t>
      </w:r>
      <w:r w:rsidR="00C17FA2">
        <w:t xml:space="preserve"> As we have noted in </w:t>
      </w:r>
      <w:r w:rsidR="00F15E9E" w:rsidRPr="00C90998">
        <w:rPr>
          <w:i/>
          <w:iCs/>
        </w:rPr>
        <w:t>Chapter</w:t>
      </w:r>
      <w:r w:rsidR="00384F96">
        <w:rPr>
          <w:i/>
          <w:iCs/>
        </w:rPr>
        <w:t> </w:t>
      </w:r>
      <w:r w:rsidR="00F15E9E" w:rsidRPr="00C90998">
        <w:rPr>
          <w:i/>
          <w:iCs/>
        </w:rPr>
        <w:t>3: The NZ ETS emissions cap</w:t>
      </w:r>
      <w:r w:rsidR="00F15E9E">
        <w:t xml:space="preserve"> of </w:t>
      </w:r>
      <w:r w:rsidR="00C17FA2">
        <w:t xml:space="preserve">the </w:t>
      </w:r>
      <w:r w:rsidR="001B714E">
        <w:t xml:space="preserve">advice </w:t>
      </w:r>
      <w:r w:rsidR="00C17FA2">
        <w:t xml:space="preserve">report, </w:t>
      </w:r>
      <w:r w:rsidR="00BE12DF">
        <w:t xml:space="preserve">if the Government is not aiming to achieve the WAM scenario B, it should clarify what its policy goals </w:t>
      </w:r>
      <w:r w:rsidR="00DB19D4">
        <w:t xml:space="preserve">for agricultural emissions are and </w:t>
      </w:r>
      <w:r w:rsidR="007707ED">
        <w:t xml:space="preserve">it should </w:t>
      </w:r>
      <w:r w:rsidR="00DB19D4">
        <w:t xml:space="preserve">use </w:t>
      </w:r>
      <w:r w:rsidR="00B155F4">
        <w:t xml:space="preserve">the corresponding agricultural emissions scenario </w:t>
      </w:r>
      <w:r w:rsidR="00F15E9E">
        <w:t>when making decisions about the NZ ETS settings</w:t>
      </w:r>
      <w:r w:rsidR="00E22306">
        <w:t xml:space="preserve"> </w:t>
      </w:r>
      <w:r w:rsidR="00E22306" w:rsidRPr="00E22306">
        <w:rPr>
          <w:lang w:val="mi-NZ"/>
        </w:rPr>
        <w:t>for 2027</w:t>
      </w:r>
      <w:r w:rsidR="00051B70">
        <w:rPr>
          <w:lang w:val="mi-NZ"/>
        </w:rPr>
        <w:t>–</w:t>
      </w:r>
      <w:r w:rsidR="00E22306" w:rsidRPr="00E22306">
        <w:rPr>
          <w:lang w:val="mi-NZ"/>
        </w:rPr>
        <w:t>2031 and when assessing whether those settings accord with emissions budgets and the 2050 target</w:t>
      </w:r>
      <w:r w:rsidR="00F15E9E">
        <w:t xml:space="preserve">. </w:t>
      </w:r>
      <w:r w:rsidR="00B155F4">
        <w:t xml:space="preserve"> </w:t>
      </w:r>
      <w:r>
        <w:t xml:space="preserve"> </w:t>
      </w:r>
    </w:p>
    <w:p w14:paraId="443F5428" w14:textId="2C553A6F" w:rsidR="004B5C8B" w:rsidRDefault="004B5C8B" w:rsidP="004B5C8B">
      <w:pPr>
        <w:pStyle w:val="FigureTabletitle"/>
      </w:pPr>
      <w:r>
        <w:t xml:space="preserve">Table 2: </w:t>
      </w:r>
      <w:r w:rsidR="00BF2564">
        <w:t>Accordance assessment of the recommended settings</w:t>
      </w:r>
    </w:p>
    <w:tbl>
      <w:tblPr>
        <w:tblStyle w:val="BoxDesign"/>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20" w:firstRow="1" w:lastRow="0" w:firstColumn="0" w:lastColumn="0" w:noHBand="0" w:noVBand="1"/>
      </w:tblPr>
      <w:tblGrid>
        <w:gridCol w:w="8926"/>
        <w:gridCol w:w="5634"/>
      </w:tblGrid>
      <w:tr w:rsidR="0075404A" w:rsidRPr="00367FBC" w14:paraId="4C65113C" w14:textId="77777777" w:rsidTr="00C90998">
        <w:trPr>
          <w:cnfStyle w:val="100000000000" w:firstRow="1" w:lastRow="0" w:firstColumn="0" w:lastColumn="0" w:oddVBand="0" w:evenVBand="0" w:oddHBand="0" w:evenHBand="0" w:firstRowFirstColumn="0" w:firstRowLastColumn="0" w:lastRowFirstColumn="0" w:lastRowLastColumn="0"/>
          <w:tblHeader/>
        </w:trPr>
        <w:tc>
          <w:tcPr>
            <w:tcW w:w="8926" w:type="dxa"/>
          </w:tcPr>
          <w:p w14:paraId="0A391A28" w14:textId="229623C1" w:rsidR="0075404A" w:rsidRPr="00367FBC" w:rsidRDefault="003B2F3F" w:rsidP="004118BD">
            <w:pPr>
              <w:pStyle w:val="Tableheading"/>
              <w:ind w:left="0"/>
              <w:rPr>
                <w:b/>
                <w:bCs w:val="0"/>
                <w:sz w:val="22"/>
                <w:szCs w:val="18"/>
              </w:rPr>
            </w:pPr>
            <w:r w:rsidRPr="00367FBC">
              <w:rPr>
                <w:b/>
                <w:bCs w:val="0"/>
                <w:sz w:val="22"/>
                <w:szCs w:val="18"/>
              </w:rPr>
              <w:t>Summary analysis of the accordance of the recommended settings for 2027-2031 with targets</w:t>
            </w:r>
          </w:p>
        </w:tc>
        <w:tc>
          <w:tcPr>
            <w:tcW w:w="5634" w:type="dxa"/>
          </w:tcPr>
          <w:p w14:paraId="4BAD24AE" w14:textId="3375C2B8" w:rsidR="0075404A" w:rsidRPr="00367FBC" w:rsidRDefault="003B2F3F" w:rsidP="004118BD">
            <w:pPr>
              <w:pStyle w:val="Tableheading"/>
              <w:ind w:left="0"/>
              <w:rPr>
                <w:b/>
                <w:bCs w:val="0"/>
                <w:sz w:val="22"/>
                <w:szCs w:val="18"/>
                <w:highlight w:val="yellow"/>
              </w:rPr>
            </w:pPr>
            <w:r w:rsidRPr="00367FBC">
              <w:rPr>
                <w:b/>
                <w:bCs w:val="0"/>
                <w:sz w:val="22"/>
                <w:szCs w:val="18"/>
              </w:rPr>
              <w:t>Conclusion, with justification for any discrepancies</w:t>
            </w:r>
          </w:p>
        </w:tc>
      </w:tr>
      <w:tr w:rsidR="0075404A" w:rsidRPr="00367FBC" w14:paraId="78055176" w14:textId="77777777" w:rsidTr="00696962">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14560" w:type="dxa"/>
            <w:gridSpan w:val="2"/>
            <w:shd w:val="clear" w:color="auto" w:fill="D4E8DE"/>
          </w:tcPr>
          <w:p w14:paraId="5C530575" w14:textId="65486EC1" w:rsidR="0075404A" w:rsidRPr="00367FBC" w:rsidRDefault="006426C6">
            <w:pPr>
              <w:pStyle w:val="Boxtext"/>
              <w:spacing w:after="60"/>
              <w:rPr>
                <w:sz w:val="22"/>
                <w:szCs w:val="18"/>
              </w:rPr>
            </w:pPr>
            <w:r>
              <w:rPr>
                <w:sz w:val="22"/>
                <w:szCs w:val="18"/>
              </w:rPr>
              <w:t>The first e</w:t>
            </w:r>
            <w:r w:rsidRPr="00367FBC">
              <w:rPr>
                <w:sz w:val="22"/>
                <w:szCs w:val="18"/>
              </w:rPr>
              <w:t xml:space="preserve">missions </w:t>
            </w:r>
            <w:r w:rsidR="003B2F3F" w:rsidRPr="00367FBC">
              <w:rPr>
                <w:sz w:val="22"/>
                <w:szCs w:val="18"/>
              </w:rPr>
              <w:t>budget (2022</w:t>
            </w:r>
            <w:r w:rsidR="00634DB7" w:rsidRPr="00367FBC">
              <w:rPr>
                <w:sz w:val="22"/>
                <w:szCs w:val="18"/>
              </w:rPr>
              <w:t>–</w:t>
            </w:r>
            <w:r w:rsidR="003B2F3F" w:rsidRPr="00367FBC">
              <w:rPr>
                <w:sz w:val="22"/>
                <w:szCs w:val="18"/>
              </w:rPr>
              <w:t>2025)</w:t>
            </w:r>
          </w:p>
        </w:tc>
      </w:tr>
      <w:tr w:rsidR="003B2F3F" w:rsidRPr="00367FBC" w14:paraId="288C97C1" w14:textId="77777777" w:rsidTr="00C90998">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Height w:val="567"/>
        </w:trPr>
        <w:tc>
          <w:tcPr>
            <w:tcW w:w="8926" w:type="dxa"/>
            <w:shd w:val="clear" w:color="auto" w:fill="auto"/>
          </w:tcPr>
          <w:p w14:paraId="5DC1EDE8" w14:textId="1BB428C5" w:rsidR="003B2F3F" w:rsidRPr="00367FBC" w:rsidRDefault="00F41A48" w:rsidP="00A72D4B">
            <w:pPr>
              <w:pStyle w:val="Boxtext"/>
              <w:rPr>
                <w:sz w:val="22"/>
                <w:szCs w:val="18"/>
              </w:rPr>
            </w:pPr>
            <w:r w:rsidRPr="00367FBC">
              <w:rPr>
                <w:sz w:val="22"/>
                <w:szCs w:val="18"/>
              </w:rPr>
              <w:t xml:space="preserve">Not applicable. The first emissions budget has now finished. </w:t>
            </w:r>
          </w:p>
        </w:tc>
        <w:tc>
          <w:tcPr>
            <w:tcW w:w="5634" w:type="dxa"/>
            <w:shd w:val="clear" w:color="auto" w:fill="auto"/>
          </w:tcPr>
          <w:p w14:paraId="73D0B3BF" w14:textId="5F409FC0" w:rsidR="003B2F3F" w:rsidRPr="00367FBC" w:rsidRDefault="003247F9" w:rsidP="00F41A48">
            <w:pPr>
              <w:pStyle w:val="BodyText"/>
              <w:rPr>
                <w:sz w:val="22"/>
                <w:szCs w:val="18"/>
              </w:rPr>
            </w:pPr>
            <w:r w:rsidRPr="00367FBC">
              <w:rPr>
                <w:sz w:val="22"/>
                <w:szCs w:val="18"/>
              </w:rPr>
              <w:t xml:space="preserve">Not applicable. </w:t>
            </w:r>
          </w:p>
        </w:tc>
      </w:tr>
      <w:tr w:rsidR="0075404A" w:rsidRPr="00367FBC" w14:paraId="7FA9821D" w14:textId="77777777" w:rsidTr="00696962">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14560" w:type="dxa"/>
            <w:gridSpan w:val="2"/>
            <w:shd w:val="clear" w:color="auto" w:fill="D4E8DE"/>
          </w:tcPr>
          <w:p w14:paraId="4DFD0B5B" w14:textId="3DB3312F" w:rsidR="0075404A" w:rsidRPr="00367FBC" w:rsidRDefault="006426C6">
            <w:pPr>
              <w:pStyle w:val="Boxtext"/>
              <w:spacing w:after="60"/>
              <w:rPr>
                <w:sz w:val="22"/>
                <w:szCs w:val="18"/>
              </w:rPr>
            </w:pPr>
            <w:r>
              <w:rPr>
                <w:sz w:val="22"/>
                <w:szCs w:val="18"/>
              </w:rPr>
              <w:t>The second e</w:t>
            </w:r>
            <w:r w:rsidRPr="00367FBC">
              <w:rPr>
                <w:sz w:val="22"/>
                <w:szCs w:val="18"/>
              </w:rPr>
              <w:t xml:space="preserve">missions </w:t>
            </w:r>
            <w:r w:rsidR="00634DB7" w:rsidRPr="00367FBC">
              <w:rPr>
                <w:sz w:val="22"/>
                <w:szCs w:val="18"/>
              </w:rPr>
              <w:t>budget (2026–2030)</w:t>
            </w:r>
          </w:p>
        </w:tc>
      </w:tr>
      <w:tr w:rsidR="00033C19" w:rsidRPr="00367FBC" w14:paraId="14F659F0" w14:textId="77777777" w:rsidTr="00C90998">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926" w:type="dxa"/>
            <w:shd w:val="clear" w:color="auto" w:fill="auto"/>
          </w:tcPr>
          <w:p w14:paraId="34A37985" w14:textId="1777A211" w:rsidR="00F53F8D" w:rsidRPr="00367FBC" w:rsidRDefault="00213C4E" w:rsidP="00F53F8D">
            <w:pPr>
              <w:pStyle w:val="BodyText"/>
              <w:rPr>
                <w:sz w:val="22"/>
                <w:szCs w:val="18"/>
                <w:highlight w:val="yellow"/>
              </w:rPr>
            </w:pPr>
            <w:r w:rsidRPr="00367FBC">
              <w:rPr>
                <w:sz w:val="22"/>
                <w:szCs w:val="18"/>
              </w:rPr>
              <w:t xml:space="preserve">Our recommended settings </w:t>
            </w:r>
            <w:r w:rsidR="00607743">
              <w:rPr>
                <w:sz w:val="22"/>
                <w:szCs w:val="18"/>
              </w:rPr>
              <w:t xml:space="preserve">are </w:t>
            </w:r>
            <w:r w:rsidRPr="00367FBC">
              <w:rPr>
                <w:sz w:val="22"/>
                <w:szCs w:val="18"/>
              </w:rPr>
              <w:t xml:space="preserve">based </w:t>
            </w:r>
            <w:r w:rsidR="00482369" w:rsidRPr="00367FBC">
              <w:rPr>
                <w:sz w:val="22"/>
                <w:szCs w:val="18"/>
              </w:rPr>
              <w:t xml:space="preserve">on an </w:t>
            </w:r>
            <w:r w:rsidR="00776DD9" w:rsidRPr="00367FBC">
              <w:rPr>
                <w:sz w:val="22"/>
                <w:szCs w:val="18"/>
              </w:rPr>
              <w:t xml:space="preserve">NZ ETS </w:t>
            </w:r>
            <w:r w:rsidR="003D2899">
              <w:rPr>
                <w:sz w:val="22"/>
                <w:szCs w:val="18"/>
              </w:rPr>
              <w:t>emissions</w:t>
            </w:r>
            <w:r w:rsidR="00776DD9" w:rsidRPr="00367FBC">
              <w:rPr>
                <w:sz w:val="22"/>
                <w:szCs w:val="18"/>
              </w:rPr>
              <w:t xml:space="preserve"> cap for the second emission budget period </w:t>
            </w:r>
            <w:r w:rsidR="00482369" w:rsidRPr="00367FBC">
              <w:rPr>
                <w:sz w:val="22"/>
                <w:szCs w:val="18"/>
              </w:rPr>
              <w:t xml:space="preserve">which aligns with </w:t>
            </w:r>
            <w:r w:rsidR="00F53F8D" w:rsidRPr="00367FBC">
              <w:rPr>
                <w:sz w:val="22"/>
                <w:szCs w:val="18"/>
              </w:rPr>
              <w:t>the 2025 government emissions projections. This is lower than the notified level of the second emissions budget. Aligning the settings with an emissions constraint that is more stringent than the budget increases the probability that the budget will be met.</w:t>
            </w:r>
          </w:p>
          <w:p w14:paraId="7E79BEF3" w14:textId="0D0903BE" w:rsidR="00F53F8D" w:rsidRPr="00367FBC" w:rsidRDefault="00F53F8D" w:rsidP="00F53F8D">
            <w:pPr>
              <w:pStyle w:val="BodyText"/>
              <w:rPr>
                <w:sz w:val="22"/>
                <w:szCs w:val="18"/>
              </w:rPr>
            </w:pPr>
            <w:r w:rsidRPr="00367FBC">
              <w:rPr>
                <w:sz w:val="22"/>
                <w:szCs w:val="18"/>
              </w:rPr>
              <w:t>There is a surplus of units in the NZ ETS, which poses a risk</w:t>
            </w:r>
            <w:r w:rsidR="006072B7">
              <w:rPr>
                <w:sz w:val="22"/>
                <w:szCs w:val="18"/>
              </w:rPr>
              <w:t xml:space="preserve"> that the scheme will allow emissions </w:t>
            </w:r>
            <w:r w:rsidRPr="00367FBC">
              <w:rPr>
                <w:sz w:val="22"/>
                <w:szCs w:val="18"/>
              </w:rPr>
              <w:t>exceed</w:t>
            </w:r>
            <w:r w:rsidR="008870B9">
              <w:rPr>
                <w:sz w:val="22"/>
                <w:szCs w:val="18"/>
              </w:rPr>
              <w:t>ing</w:t>
            </w:r>
            <w:r w:rsidRPr="00367FBC">
              <w:rPr>
                <w:sz w:val="22"/>
                <w:szCs w:val="18"/>
              </w:rPr>
              <w:t xml:space="preserve"> the second emissions budget</w:t>
            </w:r>
            <w:r w:rsidR="00911281">
              <w:rPr>
                <w:sz w:val="22"/>
                <w:szCs w:val="18"/>
              </w:rPr>
              <w:t xml:space="preserve">, as discussed in </w:t>
            </w:r>
            <w:r w:rsidR="00911281" w:rsidRPr="00C90998">
              <w:rPr>
                <w:i/>
                <w:iCs/>
                <w:sz w:val="22"/>
                <w:szCs w:val="18"/>
              </w:rPr>
              <w:t>Chapter 4: Unit limits</w:t>
            </w:r>
            <w:r w:rsidR="00911281">
              <w:rPr>
                <w:sz w:val="22"/>
                <w:szCs w:val="18"/>
              </w:rPr>
              <w:t xml:space="preserve"> in the advice report</w:t>
            </w:r>
            <w:r w:rsidRPr="00367FBC">
              <w:rPr>
                <w:sz w:val="22"/>
                <w:szCs w:val="18"/>
              </w:rPr>
              <w:t>. We have recommended maintain</w:t>
            </w:r>
            <w:r w:rsidR="00720DC7" w:rsidRPr="00367FBC">
              <w:rPr>
                <w:sz w:val="22"/>
                <w:szCs w:val="18"/>
              </w:rPr>
              <w:t>ing</w:t>
            </w:r>
            <w:r w:rsidRPr="00367FBC">
              <w:rPr>
                <w:sz w:val="22"/>
                <w:szCs w:val="18"/>
              </w:rPr>
              <w:t xml:space="preserve"> the status quo auction volumes for 2027</w:t>
            </w:r>
            <w:r w:rsidR="00703F6F">
              <w:rPr>
                <w:sz w:val="22"/>
                <w:szCs w:val="18"/>
              </w:rPr>
              <w:t>–</w:t>
            </w:r>
            <w:r w:rsidRPr="00367FBC">
              <w:rPr>
                <w:sz w:val="22"/>
                <w:szCs w:val="18"/>
              </w:rPr>
              <w:t xml:space="preserve">2030, which imply a surplus volume that is close to the top end of our estimated </w:t>
            </w:r>
            <w:r w:rsidR="00720DC7" w:rsidRPr="00367FBC">
              <w:rPr>
                <w:sz w:val="22"/>
                <w:szCs w:val="18"/>
              </w:rPr>
              <w:t xml:space="preserve">surplus uncertainty </w:t>
            </w:r>
            <w:r w:rsidRPr="00367FBC">
              <w:rPr>
                <w:sz w:val="22"/>
                <w:szCs w:val="18"/>
              </w:rPr>
              <w:t xml:space="preserve">range. This mitigates the risk the surplus volume poses and increases the likelihood that the surplus is drawn down by 2030, the final year of the budget. </w:t>
            </w:r>
          </w:p>
          <w:p w14:paraId="1F9F761A" w14:textId="13D0D29F" w:rsidR="00F53F8D" w:rsidRPr="00367FBC" w:rsidRDefault="00F53F8D" w:rsidP="00F53F8D">
            <w:pPr>
              <w:pStyle w:val="BodyText"/>
              <w:rPr>
                <w:sz w:val="22"/>
                <w:szCs w:val="18"/>
              </w:rPr>
            </w:pPr>
            <w:r w:rsidRPr="00367FBC">
              <w:rPr>
                <w:sz w:val="22"/>
                <w:szCs w:val="18"/>
              </w:rPr>
              <w:t xml:space="preserve">There are still risks to achieving the second emissions budget, but these risks can be managed. Key uncertainties relate to the forecast of emissions not covered by the NZ ETS, and to the estimated surplus units: </w:t>
            </w:r>
          </w:p>
          <w:p w14:paraId="438286CE" w14:textId="2714473E" w:rsidR="00F53F8D" w:rsidRPr="00367FBC" w:rsidRDefault="00F53F8D" w:rsidP="00DE7487">
            <w:pPr>
              <w:pStyle w:val="Bodybullets"/>
              <w:ind w:left="714" w:hanging="357"/>
              <w:contextualSpacing w:val="0"/>
              <w:rPr>
                <w:sz w:val="22"/>
                <w:szCs w:val="18"/>
              </w:rPr>
            </w:pPr>
            <w:r w:rsidRPr="00367FBC">
              <w:rPr>
                <w:sz w:val="22"/>
                <w:szCs w:val="18"/>
              </w:rPr>
              <w:t xml:space="preserve">If emissions outside the NZ ETS (mainly biogenic methane and nitrous oxide emissions from agriculture) turn out </w:t>
            </w:r>
            <w:proofErr w:type="gramStart"/>
            <w:r w:rsidRPr="00367FBC">
              <w:rPr>
                <w:sz w:val="22"/>
                <w:szCs w:val="18"/>
              </w:rPr>
              <w:t>in reality to</w:t>
            </w:r>
            <w:proofErr w:type="gramEnd"/>
            <w:r w:rsidRPr="00367FBC">
              <w:rPr>
                <w:sz w:val="22"/>
                <w:szCs w:val="18"/>
              </w:rPr>
              <w:t xml:space="preserve"> be higher than forecast, sectors within the NZ ETS would have to reduce emissions by more to enable the second emissions budget to be met. </w:t>
            </w:r>
          </w:p>
          <w:p w14:paraId="017A71FE" w14:textId="2DE13F01" w:rsidR="00F53F8D" w:rsidRPr="00367FBC" w:rsidRDefault="00F53F8D" w:rsidP="00DE7487">
            <w:pPr>
              <w:pStyle w:val="Bodybullets"/>
              <w:ind w:left="714" w:hanging="357"/>
              <w:contextualSpacing w:val="0"/>
              <w:rPr>
                <w:sz w:val="22"/>
                <w:szCs w:val="18"/>
              </w:rPr>
            </w:pPr>
            <w:r w:rsidRPr="00367FBC">
              <w:rPr>
                <w:sz w:val="22"/>
                <w:szCs w:val="18"/>
              </w:rPr>
              <w:t>If the surplus is higher than the volume implied by maintaining the status quo auction volumes, more units could be available for use by emitters and could allow emissions above the emissions cap for 2026-2030. We note</w:t>
            </w:r>
            <w:r w:rsidR="00BC2493">
              <w:rPr>
                <w:sz w:val="22"/>
                <w:szCs w:val="18"/>
              </w:rPr>
              <w:t>,</w:t>
            </w:r>
            <w:r w:rsidRPr="00367FBC">
              <w:rPr>
                <w:sz w:val="22"/>
                <w:szCs w:val="18"/>
              </w:rPr>
              <w:t xml:space="preserve"> however, that the surplus volume implied by the status quo auction volumes is at the top end of our estimated surplus uncertainty range,</w:t>
            </w:r>
            <w:r w:rsidR="00852D75">
              <w:rPr>
                <w:sz w:val="22"/>
                <w:szCs w:val="18"/>
              </w:rPr>
              <w:t xml:space="preserve"> so</w:t>
            </w:r>
            <w:r w:rsidRPr="00367FBC">
              <w:rPr>
                <w:sz w:val="22"/>
                <w:szCs w:val="18"/>
              </w:rPr>
              <w:t xml:space="preserve"> </w:t>
            </w:r>
            <w:r w:rsidR="00567D67">
              <w:rPr>
                <w:sz w:val="22"/>
                <w:szCs w:val="18"/>
              </w:rPr>
              <w:t xml:space="preserve">we consider </w:t>
            </w:r>
            <w:r w:rsidRPr="00367FBC">
              <w:rPr>
                <w:sz w:val="22"/>
                <w:szCs w:val="18"/>
              </w:rPr>
              <w:t xml:space="preserve">this risk </w:t>
            </w:r>
            <w:r w:rsidR="00852D75">
              <w:rPr>
                <w:sz w:val="22"/>
                <w:szCs w:val="18"/>
              </w:rPr>
              <w:t xml:space="preserve">to be </w:t>
            </w:r>
            <w:r w:rsidRPr="00367FBC">
              <w:rPr>
                <w:sz w:val="22"/>
                <w:szCs w:val="18"/>
              </w:rPr>
              <w:t>relatively low.</w:t>
            </w:r>
            <w:r w:rsidR="0060002E">
              <w:rPr>
                <w:sz w:val="22"/>
                <w:szCs w:val="18"/>
              </w:rPr>
              <w:t xml:space="preserve"> </w:t>
            </w:r>
            <w:r w:rsidR="002B761D">
              <w:rPr>
                <w:sz w:val="22"/>
                <w:szCs w:val="18"/>
              </w:rPr>
              <w:t xml:space="preserve">In addition, </w:t>
            </w:r>
            <w:r w:rsidR="009A3A26">
              <w:rPr>
                <w:sz w:val="22"/>
                <w:szCs w:val="18"/>
              </w:rPr>
              <w:t xml:space="preserve">as </w:t>
            </w:r>
            <w:r w:rsidR="005D5BAA">
              <w:rPr>
                <w:sz w:val="22"/>
                <w:szCs w:val="18"/>
              </w:rPr>
              <w:t xml:space="preserve">described </w:t>
            </w:r>
            <w:r w:rsidR="009A3A26">
              <w:rPr>
                <w:sz w:val="22"/>
                <w:szCs w:val="18"/>
              </w:rPr>
              <w:t>below</w:t>
            </w:r>
            <w:r w:rsidR="007D1E66">
              <w:rPr>
                <w:sz w:val="22"/>
                <w:szCs w:val="18"/>
              </w:rPr>
              <w:t>,</w:t>
            </w:r>
            <w:r w:rsidR="009A3A26">
              <w:rPr>
                <w:sz w:val="22"/>
                <w:szCs w:val="18"/>
              </w:rPr>
              <w:t xml:space="preserve"> </w:t>
            </w:r>
            <w:r w:rsidR="002B761D">
              <w:rPr>
                <w:sz w:val="22"/>
                <w:szCs w:val="18"/>
              </w:rPr>
              <w:t>t</w:t>
            </w:r>
            <w:r w:rsidR="0060002E">
              <w:rPr>
                <w:sz w:val="22"/>
                <w:szCs w:val="18"/>
              </w:rPr>
              <w:t xml:space="preserve">he </w:t>
            </w:r>
            <w:r w:rsidR="005D5BAA">
              <w:rPr>
                <w:sz w:val="22"/>
                <w:szCs w:val="18"/>
              </w:rPr>
              <w:t>auction reserve price (</w:t>
            </w:r>
            <w:r w:rsidR="00752633">
              <w:rPr>
                <w:sz w:val="22"/>
                <w:szCs w:val="18"/>
              </w:rPr>
              <w:t>ARP</w:t>
            </w:r>
            <w:r w:rsidR="005D5BAA">
              <w:rPr>
                <w:sz w:val="22"/>
                <w:szCs w:val="18"/>
              </w:rPr>
              <w:t>)</w:t>
            </w:r>
            <w:r w:rsidRPr="00367FBC">
              <w:rPr>
                <w:sz w:val="22"/>
                <w:szCs w:val="18"/>
              </w:rPr>
              <w:t xml:space="preserve"> </w:t>
            </w:r>
            <w:r w:rsidR="009A3A26">
              <w:rPr>
                <w:sz w:val="22"/>
                <w:szCs w:val="18"/>
              </w:rPr>
              <w:t>provides a</w:t>
            </w:r>
            <w:r w:rsidR="001D4DF7">
              <w:rPr>
                <w:sz w:val="22"/>
                <w:szCs w:val="18"/>
              </w:rPr>
              <w:t xml:space="preserve"> further </w:t>
            </w:r>
            <w:r w:rsidR="009A3A26">
              <w:rPr>
                <w:sz w:val="22"/>
                <w:szCs w:val="18"/>
              </w:rPr>
              <w:t xml:space="preserve">safeguard </w:t>
            </w:r>
            <w:r w:rsidR="003A3243">
              <w:rPr>
                <w:sz w:val="22"/>
                <w:szCs w:val="18"/>
              </w:rPr>
              <w:t xml:space="preserve">that </w:t>
            </w:r>
            <w:r w:rsidR="001D4DF7">
              <w:rPr>
                <w:sz w:val="22"/>
                <w:szCs w:val="18"/>
              </w:rPr>
              <w:t xml:space="preserve">may prevent units from entering the market in the case that the surplus is larger </w:t>
            </w:r>
            <w:r w:rsidR="00FB5835">
              <w:rPr>
                <w:sz w:val="22"/>
                <w:szCs w:val="18"/>
              </w:rPr>
              <w:t>than</w:t>
            </w:r>
            <w:r w:rsidR="0091422D">
              <w:rPr>
                <w:sz w:val="22"/>
                <w:szCs w:val="18"/>
              </w:rPr>
              <w:t xml:space="preserve"> we have estimated. </w:t>
            </w:r>
          </w:p>
          <w:p w14:paraId="5173D8FE" w14:textId="3DD330B3" w:rsidR="00F53F8D" w:rsidRPr="00367FBC" w:rsidRDefault="00F53F8D" w:rsidP="00F53F8D">
            <w:pPr>
              <w:pStyle w:val="BodyText"/>
              <w:rPr>
                <w:sz w:val="22"/>
                <w:szCs w:val="18"/>
              </w:rPr>
            </w:pPr>
            <w:r w:rsidRPr="00367FBC">
              <w:rPr>
                <w:sz w:val="22"/>
                <w:szCs w:val="18"/>
              </w:rPr>
              <w:t>As noted above, the emissions cap for the NZ ETS is based on emissions projections which, overall, are 4 Mt</w:t>
            </w:r>
            <w:r w:rsidR="007011F8">
              <w:rPr>
                <w:sz w:val="22"/>
                <w:szCs w:val="18"/>
              </w:rPr>
              <w:t>C</w:t>
            </w:r>
            <w:r w:rsidR="00AD731E">
              <w:rPr>
                <w:sz w:val="22"/>
                <w:szCs w:val="18"/>
              </w:rPr>
              <w:t>O</w:t>
            </w:r>
            <w:r w:rsidR="007011F8" w:rsidRPr="0042546B">
              <w:rPr>
                <w:sz w:val="22"/>
                <w:szCs w:val="18"/>
                <w:vertAlign w:val="subscript"/>
              </w:rPr>
              <w:t>2</w:t>
            </w:r>
            <w:r w:rsidR="007011F8">
              <w:rPr>
                <w:sz w:val="22"/>
                <w:szCs w:val="18"/>
              </w:rPr>
              <w:t>e</w:t>
            </w:r>
            <w:r w:rsidRPr="00367FBC">
              <w:rPr>
                <w:sz w:val="22"/>
                <w:szCs w:val="18"/>
              </w:rPr>
              <w:t xml:space="preserve"> below the level of the second emissions budget. This provides some buffer for emissions outside the NZ ETS to be higher than expected while still meeting the second emissions budget. </w:t>
            </w:r>
          </w:p>
          <w:p w14:paraId="735B00DD" w14:textId="68F798AC" w:rsidR="00D1002B" w:rsidRDefault="00F53F8D" w:rsidP="00F53F8D">
            <w:pPr>
              <w:pStyle w:val="BodyText"/>
              <w:rPr>
                <w:sz w:val="22"/>
                <w:szCs w:val="18"/>
              </w:rPr>
            </w:pPr>
            <w:r w:rsidRPr="00367FBC">
              <w:rPr>
                <w:sz w:val="22"/>
                <w:szCs w:val="18"/>
              </w:rPr>
              <w:t>The auction reserve price (ARP) levels we recommend for 2027</w:t>
            </w:r>
            <w:r w:rsidR="00A75670">
              <w:rPr>
                <w:sz w:val="22"/>
                <w:szCs w:val="18"/>
              </w:rPr>
              <w:t>–</w:t>
            </w:r>
            <w:r w:rsidRPr="00367FBC">
              <w:rPr>
                <w:sz w:val="22"/>
                <w:szCs w:val="18"/>
              </w:rPr>
              <w:t xml:space="preserve">2030 are in line with the minimum prices we have assessed as necessary to support achievement of the second emissions budget. This is based on the lower bound of the cost of gross emission reductions in Aotearoa New Zealand, rather than costs related to forestry – because </w:t>
            </w:r>
            <w:r w:rsidR="003B5BD6" w:rsidRPr="00367FBC">
              <w:rPr>
                <w:sz w:val="22"/>
                <w:szCs w:val="18"/>
              </w:rPr>
              <w:t>it is now t</w:t>
            </w:r>
            <w:r w:rsidRPr="00367FBC">
              <w:rPr>
                <w:sz w:val="22"/>
                <w:szCs w:val="18"/>
              </w:rPr>
              <w:t xml:space="preserve">oo late for further forest planting to assist with meeting the second emissions budget. </w:t>
            </w:r>
          </w:p>
          <w:p w14:paraId="64585932" w14:textId="7DA8F8D7" w:rsidR="00F53F8D" w:rsidRPr="00367FBC" w:rsidRDefault="00F53F8D" w:rsidP="00F53F8D">
            <w:pPr>
              <w:pStyle w:val="BodyText"/>
              <w:rPr>
                <w:sz w:val="22"/>
                <w:szCs w:val="18"/>
                <w:highlight w:val="yellow"/>
              </w:rPr>
            </w:pPr>
            <w:r w:rsidRPr="00367FBC">
              <w:rPr>
                <w:sz w:val="22"/>
                <w:szCs w:val="18"/>
              </w:rPr>
              <w:t>The ARP</w:t>
            </w:r>
            <w:r w:rsidR="008E40DF">
              <w:rPr>
                <w:sz w:val="22"/>
                <w:szCs w:val="18"/>
              </w:rPr>
              <w:t xml:space="preserve"> </w:t>
            </w:r>
            <w:r w:rsidR="003F2F33">
              <w:rPr>
                <w:sz w:val="22"/>
                <w:szCs w:val="18"/>
              </w:rPr>
              <w:t xml:space="preserve">prevents </w:t>
            </w:r>
            <w:r w:rsidR="00F173B6">
              <w:rPr>
                <w:sz w:val="22"/>
                <w:szCs w:val="18"/>
              </w:rPr>
              <w:t>additional</w:t>
            </w:r>
            <w:r w:rsidR="003F2F33">
              <w:rPr>
                <w:sz w:val="22"/>
                <w:szCs w:val="18"/>
              </w:rPr>
              <w:t xml:space="preserve"> units from </w:t>
            </w:r>
            <w:r w:rsidR="00F173B6">
              <w:rPr>
                <w:sz w:val="22"/>
                <w:szCs w:val="18"/>
              </w:rPr>
              <w:t xml:space="preserve">being sold into </w:t>
            </w:r>
            <w:r w:rsidR="003F2F33">
              <w:rPr>
                <w:sz w:val="22"/>
                <w:szCs w:val="18"/>
              </w:rPr>
              <w:t>the market</w:t>
            </w:r>
            <w:r w:rsidR="00F173B6">
              <w:rPr>
                <w:sz w:val="22"/>
                <w:szCs w:val="18"/>
              </w:rPr>
              <w:t xml:space="preserve"> when </w:t>
            </w:r>
            <w:r w:rsidR="00F26FD2">
              <w:rPr>
                <w:sz w:val="22"/>
                <w:szCs w:val="18"/>
              </w:rPr>
              <w:t xml:space="preserve">prices are below the ARP level, </w:t>
            </w:r>
            <w:r w:rsidR="00847119">
              <w:rPr>
                <w:sz w:val="22"/>
                <w:szCs w:val="18"/>
              </w:rPr>
              <w:t xml:space="preserve">so </w:t>
            </w:r>
            <w:r w:rsidR="00D1002B">
              <w:rPr>
                <w:sz w:val="22"/>
                <w:szCs w:val="18"/>
              </w:rPr>
              <w:t>i</w:t>
            </w:r>
            <w:r w:rsidR="00847119">
              <w:rPr>
                <w:sz w:val="22"/>
                <w:szCs w:val="18"/>
              </w:rPr>
              <w:t>t</w:t>
            </w:r>
            <w:r w:rsidR="00D1002B">
              <w:rPr>
                <w:sz w:val="22"/>
                <w:szCs w:val="18"/>
              </w:rPr>
              <w:t xml:space="preserve"> works together with the unit limits to </w:t>
            </w:r>
            <w:r w:rsidR="00B05396">
              <w:rPr>
                <w:sz w:val="22"/>
                <w:szCs w:val="18"/>
              </w:rPr>
              <w:t xml:space="preserve">support accordance with emissions budgets. </w:t>
            </w:r>
            <w:r w:rsidR="00A21085">
              <w:rPr>
                <w:sz w:val="22"/>
                <w:szCs w:val="18"/>
              </w:rPr>
              <w:t xml:space="preserve">The recommended unit limits are based on our estimates of </w:t>
            </w:r>
            <w:r w:rsidR="00EF0261">
              <w:rPr>
                <w:sz w:val="22"/>
                <w:szCs w:val="18"/>
              </w:rPr>
              <w:t>the surplus units in the NZ ETS market</w:t>
            </w:r>
            <w:r w:rsidR="00B703DC">
              <w:rPr>
                <w:sz w:val="22"/>
                <w:szCs w:val="18"/>
              </w:rPr>
              <w:t xml:space="preserve">. These estimates are uncertain, partly </w:t>
            </w:r>
            <w:r w:rsidR="00865F15">
              <w:rPr>
                <w:sz w:val="22"/>
                <w:szCs w:val="18"/>
              </w:rPr>
              <w:t xml:space="preserve">because the surplus is dynamic and depends on </w:t>
            </w:r>
            <w:r w:rsidR="00060E41">
              <w:rPr>
                <w:sz w:val="22"/>
                <w:szCs w:val="18"/>
              </w:rPr>
              <w:t xml:space="preserve">NZ ETS participant behaviour which is changeable. </w:t>
            </w:r>
            <w:r w:rsidR="009719D6">
              <w:rPr>
                <w:sz w:val="22"/>
                <w:szCs w:val="18"/>
              </w:rPr>
              <w:t>The ARP helps to mitigate the risk t</w:t>
            </w:r>
            <w:r w:rsidR="00D10AC2">
              <w:rPr>
                <w:sz w:val="22"/>
                <w:szCs w:val="18"/>
              </w:rPr>
              <w:t xml:space="preserve">o achieving budgets </w:t>
            </w:r>
            <w:r w:rsidR="00F114DE">
              <w:rPr>
                <w:sz w:val="22"/>
                <w:szCs w:val="18"/>
              </w:rPr>
              <w:t>from this uncertainty</w:t>
            </w:r>
            <w:r w:rsidR="006E406D">
              <w:rPr>
                <w:sz w:val="22"/>
                <w:szCs w:val="18"/>
              </w:rPr>
              <w:t xml:space="preserve">, as it can prevent </w:t>
            </w:r>
            <w:r w:rsidR="00B75C4A">
              <w:rPr>
                <w:sz w:val="22"/>
                <w:szCs w:val="18"/>
              </w:rPr>
              <w:t xml:space="preserve">units from entering the market if </w:t>
            </w:r>
            <w:r w:rsidR="00173168">
              <w:rPr>
                <w:sz w:val="22"/>
                <w:szCs w:val="18"/>
              </w:rPr>
              <w:t xml:space="preserve">more units </w:t>
            </w:r>
            <w:r w:rsidR="006E2AAA">
              <w:rPr>
                <w:sz w:val="22"/>
                <w:szCs w:val="18"/>
              </w:rPr>
              <w:t xml:space="preserve">in the market are surplus than we have estimated, causing low NZU prices. </w:t>
            </w:r>
            <w:r w:rsidR="00E5486E">
              <w:rPr>
                <w:sz w:val="22"/>
                <w:szCs w:val="18"/>
              </w:rPr>
              <w:t xml:space="preserve">In this way the ARP can also </w:t>
            </w:r>
            <w:r w:rsidRPr="00367FBC">
              <w:rPr>
                <w:sz w:val="22"/>
                <w:szCs w:val="18"/>
              </w:rPr>
              <w:t xml:space="preserve">discourage the emissions price from dropping to levels below those likely needed for meeting the second emissions budget. </w:t>
            </w:r>
          </w:p>
          <w:p w14:paraId="2C62BF10" w14:textId="3ADB4C1E" w:rsidR="00F53F8D" w:rsidRPr="00367FBC" w:rsidRDefault="00F53F8D" w:rsidP="00F53F8D">
            <w:pPr>
              <w:pStyle w:val="BodyText"/>
              <w:rPr>
                <w:sz w:val="22"/>
                <w:szCs w:val="18"/>
              </w:rPr>
            </w:pPr>
            <w:r w:rsidRPr="00367FBC">
              <w:rPr>
                <w:sz w:val="22"/>
                <w:szCs w:val="18"/>
              </w:rPr>
              <w:t>The recommended cost containment reserve (CCR) trigger prices are above the likely cost of abatement needed to meet the second emissions budget. This is based on a range of evidence generated by the Commission</w:t>
            </w:r>
            <w:r w:rsidR="00D85D5A" w:rsidRPr="00367FBC">
              <w:rPr>
                <w:sz w:val="22"/>
                <w:szCs w:val="18"/>
              </w:rPr>
              <w:fldChar w:fldCharType="begin"/>
            </w:r>
            <w:r w:rsidR="005B1D5D">
              <w:rPr>
                <w:sz w:val="22"/>
                <w:szCs w:val="18"/>
              </w:rPr>
              <w:instrText xml:space="preserve"> ADDIN EN.CITE &lt;EndNote&gt;&lt;Cite&gt;&lt;Author&gt;He Pou a Rangi Climate Change Commission&lt;/Author&gt;&lt;Year&gt;2022&lt;/Year&gt;&lt;RecNum&gt;1457&lt;/RecNum&gt;&lt;DisplayText&gt;&lt;style face="superscript"&gt;2&lt;/style&gt;&lt;/DisplayText&gt;&lt;record&gt;&lt;rec-number&gt;1457&lt;/rec-number&gt;&lt;foreign-keys&gt;&lt;key app="EN" db-id="fwvex5fabdwzs9e9rwa55p5bvws5v2dex2zs" timestamp="1774578793" guid="f2b9a805-e121-425e-bd8b-22ecc3e34c20"&gt;1457&lt;/key&gt;&lt;/foreign-keys&gt;&lt;ref-type name="Report"&gt;27&lt;/ref-type&gt;&lt;contributors&gt;&lt;authors&gt;&lt;author&gt;He Pou a Rangi Climate Change Commission,&lt;/author&gt;&lt;/authors&gt;&lt;/contributors&gt;&lt;titles&gt;&lt;title&gt;Advice on NZ ETS unit limits and price control settings for 2023-2027&lt;/title&gt;&lt;/titles&gt;&lt;keywords&gt;&lt;keyword&gt;ETS26&lt;/keyword&gt;&lt;/keywords&gt;&lt;dates&gt;&lt;year&gt;2022&lt;/year&gt;&lt;pub-dates&gt;&lt;date&gt;July 2022&lt;/date&gt;&lt;/pub-dates&gt;&lt;/dates&gt;&lt;urls&gt;&lt;related-urls&gt;&lt;url&gt;https://www.climatecommission.govt.nz/assets/ETS-advice-July-22/PDFs/NZ-ETS-settings-2023-2027-final-report-web-27-July-2022.pdf&lt;/url&gt;&lt;/related-urls&gt;&lt;/urls&gt;&lt;/record&gt;&lt;/Cite&gt;&lt;/EndNote&gt;</w:instrText>
            </w:r>
            <w:r w:rsidR="00D85D5A" w:rsidRPr="00367FBC">
              <w:rPr>
                <w:sz w:val="22"/>
                <w:szCs w:val="18"/>
              </w:rPr>
              <w:fldChar w:fldCharType="separate"/>
            </w:r>
            <w:r w:rsidR="00D85D5A" w:rsidRPr="00367FBC">
              <w:rPr>
                <w:noProof/>
                <w:sz w:val="22"/>
                <w:szCs w:val="18"/>
                <w:vertAlign w:val="superscript"/>
              </w:rPr>
              <w:t>2</w:t>
            </w:r>
            <w:r w:rsidR="00D85D5A" w:rsidRPr="00367FBC">
              <w:rPr>
                <w:sz w:val="22"/>
                <w:szCs w:val="18"/>
              </w:rPr>
              <w:fldChar w:fldCharType="end"/>
            </w:r>
            <w:r w:rsidRPr="00367FBC">
              <w:rPr>
                <w:sz w:val="22"/>
                <w:szCs w:val="18"/>
              </w:rPr>
              <w:t>, EECA</w:t>
            </w:r>
            <w:r w:rsidR="0073579D" w:rsidRPr="00367FBC">
              <w:rPr>
                <w:sz w:val="22"/>
                <w:szCs w:val="18"/>
              </w:rPr>
              <w:fldChar w:fldCharType="begin"/>
            </w:r>
            <w:r w:rsidR="005B1D5D">
              <w:rPr>
                <w:sz w:val="22"/>
                <w:szCs w:val="18"/>
              </w:rPr>
              <w:instrText xml:space="preserve"> ADDIN EN.CITE &lt;EndNote&gt;&lt;Cite&gt;&lt;Author&gt;Energy Efficiency and Conservation Authority (EECA)&lt;/Author&gt;&lt;Year&gt;2024&lt;/Year&gt;&lt;RecNum&gt;739&lt;/RecNum&gt;&lt;DisplayText&gt;&lt;style face="superscript"&gt;3&lt;/style&gt;&lt;/DisplayText&gt;&lt;record&gt;&lt;rec-number&gt;739&lt;/rec-number&gt;&lt;foreign-keys&gt;&lt;key app="EN" db-id="fwvex5fabdwzs9e9rwa55p5bvws5v2dex2zs" timestamp="1770930889" guid="86a62bc3-b6b1-464a-8862-e8f1e2d5228b"&gt;739&lt;/key&gt;&lt;/foreign-keys&gt;&lt;ref-type name="Report"&gt;27&lt;/ref-type&gt;&lt;contributors&gt;&lt;authors&gt;&lt;author&gt;Energy Efficiency and Conservation Authority (EECA),&lt;/author&gt;&lt;/authors&gt;&lt;/contributors&gt;&lt;titles&gt;&lt;title&gt;South Island Regional Energy Transition Accelerator RETA: Phase One Report&lt;/title&gt;&lt;/titles&gt;&lt;keywords&gt;&lt;keyword&gt;ETS26&lt;/keyword&gt;&lt;keyword&gt;ERM26&lt;/keyword&gt;&lt;/keywords&gt;&lt;dates&gt;&lt;year&gt;2024&lt;/year&gt;&lt;/dates&gt;&lt;publisher&gt;Energy Efficiency and Conservation Authority (EECA)&lt;/publisher&gt;&lt;urls&gt;&lt;related-urls&gt;&lt;url&gt;https://www.eeca.govt.nz/insights/eeca-insights/reta-south-island/&lt;/url&gt;&lt;/related-urls&gt;&lt;/urls&gt;&lt;/record&gt;&lt;/Cite&gt;&lt;/EndNote&gt;</w:instrText>
            </w:r>
            <w:r w:rsidR="0073579D" w:rsidRPr="00367FBC">
              <w:rPr>
                <w:sz w:val="22"/>
                <w:szCs w:val="18"/>
              </w:rPr>
              <w:fldChar w:fldCharType="separate"/>
            </w:r>
            <w:r w:rsidR="00D85D5A" w:rsidRPr="00367FBC">
              <w:rPr>
                <w:noProof/>
                <w:sz w:val="22"/>
                <w:szCs w:val="18"/>
                <w:vertAlign w:val="superscript"/>
              </w:rPr>
              <w:t>3</w:t>
            </w:r>
            <w:r w:rsidR="0073579D" w:rsidRPr="00367FBC">
              <w:rPr>
                <w:sz w:val="22"/>
                <w:szCs w:val="18"/>
              </w:rPr>
              <w:fldChar w:fldCharType="end"/>
            </w:r>
            <w:r w:rsidRPr="00367FBC">
              <w:rPr>
                <w:sz w:val="22"/>
                <w:szCs w:val="18"/>
              </w:rPr>
              <w:t>, and MfE</w:t>
            </w:r>
            <w:r w:rsidR="00133AAD" w:rsidRPr="00367FBC">
              <w:rPr>
                <w:sz w:val="22"/>
                <w:szCs w:val="18"/>
              </w:rPr>
              <w:fldChar w:fldCharType="begin"/>
            </w:r>
            <w:r w:rsidR="005B1D5D">
              <w:rPr>
                <w:sz w:val="22"/>
                <w:szCs w:val="18"/>
              </w:rPr>
              <w:instrText xml:space="preserve"> ADDIN EN.CITE &lt;EndNote&gt;&lt;Cite&gt;&lt;Author&gt;Ministry for the Environment Manatū Mō Te Taiao&lt;/Author&gt;&lt;Year&gt;2020&lt;/Year&gt;&lt;RecNum&gt;1476&lt;/RecNum&gt;&lt;DisplayText&gt;&lt;style face="superscript"&gt;4&lt;/style&gt;&lt;/DisplayText&gt;&lt;record&gt;&lt;rec-number&gt;1476&lt;/rec-number&gt;&lt;foreign-keys&gt;&lt;key app="EN" db-id="fwvex5fabdwzs9e9rwa55p5bvws5v2dex2zs" timestamp="1774834606" guid="75661568-0cce-4653-a283-b72b280e30ed"&gt;1476&lt;/key&gt;&lt;/foreign-keys&gt;&lt;ref-type name="Report"&gt;27&lt;/ref-type&gt;&lt;contributors&gt;&lt;authors&gt;&lt;author&gt;Ministry for the Environment Manatū Mō Te Taiao,&lt;/author&gt;&lt;/authors&gt;&lt;/contributors&gt;&lt;titles&gt;&lt;title&gt;Marginal abatement cost curves analysis for New Zealand&lt;/title&gt;&lt;/titles&gt;&lt;keywords&gt;&lt;keyword&gt;ETS26&lt;/keyword&gt;&lt;/keywords&gt;&lt;dates&gt;&lt;year&gt;2020&lt;/year&gt;&lt;pub-dates&gt;&lt;date&gt;January 2020&lt;/date&gt;&lt;/pub-dates&gt;&lt;/dates&gt;&lt;urls&gt;&lt;related-urls&gt;&lt;url&gt;https://environment.govt.nz/assets/publications/Files/marginal-abatement-cost-curves-analysis-2020.pdf&lt;/url&gt;&lt;/related-urls&gt;&lt;/urls&gt;&lt;/record&gt;&lt;/Cite&gt;&lt;/EndNote&gt;</w:instrText>
            </w:r>
            <w:r w:rsidR="00133AAD" w:rsidRPr="00367FBC">
              <w:rPr>
                <w:sz w:val="22"/>
                <w:szCs w:val="18"/>
              </w:rPr>
              <w:fldChar w:fldCharType="separate"/>
            </w:r>
            <w:r w:rsidR="00133AAD" w:rsidRPr="00367FBC">
              <w:rPr>
                <w:noProof/>
                <w:sz w:val="22"/>
                <w:szCs w:val="18"/>
                <w:vertAlign w:val="superscript"/>
              </w:rPr>
              <w:t>4</w:t>
            </w:r>
            <w:r w:rsidR="00133AAD" w:rsidRPr="00367FBC">
              <w:rPr>
                <w:sz w:val="22"/>
                <w:szCs w:val="18"/>
              </w:rPr>
              <w:fldChar w:fldCharType="end"/>
            </w:r>
            <w:r w:rsidRPr="00367FBC">
              <w:rPr>
                <w:sz w:val="22"/>
                <w:szCs w:val="18"/>
              </w:rPr>
              <w:t xml:space="preserve"> (see advice report for further information), which indicates that in Aotearoa New Zealand a significant amount of gross emissions reductions are economic at prices below $200/tonne. </w:t>
            </w:r>
          </w:p>
          <w:p w14:paraId="634891DE" w14:textId="2E440C32" w:rsidR="00F53F8D" w:rsidRPr="00367FBC" w:rsidRDefault="00F53F8D" w:rsidP="00F53F8D">
            <w:pPr>
              <w:pStyle w:val="BodyText"/>
              <w:rPr>
                <w:sz w:val="22"/>
                <w:szCs w:val="18"/>
              </w:rPr>
            </w:pPr>
            <w:r w:rsidRPr="00367FBC">
              <w:rPr>
                <w:sz w:val="22"/>
                <w:szCs w:val="18"/>
              </w:rPr>
              <w:t xml:space="preserve">The 2025 government emissions projections also provide assurance that the recommended CCR trigger prices are consistent with achieving the second emissions budget. This modelling projected that the second emissions budget could be met with an NZU price path rising to $80 in 2030 (in 2024 dollars). This price is comfortably below the first trigger price applying in that year ($219 in 2024 dollars), with substantial headroom for the price to range higher if necessary. </w:t>
            </w:r>
          </w:p>
          <w:p w14:paraId="139192A5" w14:textId="1ACE9AE7" w:rsidR="00033C19" w:rsidRPr="00367FBC" w:rsidRDefault="00F53F8D" w:rsidP="00F53F8D">
            <w:pPr>
              <w:pStyle w:val="BodyText"/>
              <w:rPr>
                <w:b/>
                <w:sz w:val="22"/>
                <w:szCs w:val="18"/>
                <w:highlight w:val="yellow"/>
              </w:rPr>
            </w:pPr>
            <w:r w:rsidRPr="00367FBC">
              <w:rPr>
                <w:sz w:val="22"/>
                <w:szCs w:val="18"/>
              </w:rPr>
              <w:t>Overall, we consider that the CCR trigger prices are at a high enough level that there is a very low risk that the CCR would be triggered and release more units to the market, which would be detrimental to accordance with the second emission budget.</w:t>
            </w:r>
          </w:p>
        </w:tc>
        <w:tc>
          <w:tcPr>
            <w:tcW w:w="5634" w:type="dxa"/>
            <w:shd w:val="clear" w:color="auto" w:fill="auto"/>
          </w:tcPr>
          <w:p w14:paraId="782A972C" w14:textId="163405C2" w:rsidR="00033C19" w:rsidRPr="00367FBC" w:rsidRDefault="000358D9">
            <w:pPr>
              <w:spacing w:after="160" w:line="278" w:lineRule="auto"/>
              <w:rPr>
                <w:rFonts w:cs="Calibri"/>
                <w:bCs/>
                <w:sz w:val="22"/>
                <w:szCs w:val="18"/>
              </w:rPr>
            </w:pPr>
            <w:r w:rsidRPr="00367FBC">
              <w:rPr>
                <w:rFonts w:cs="Calibri"/>
                <w:bCs/>
                <w:sz w:val="22"/>
                <w:szCs w:val="18"/>
              </w:rPr>
              <w:t>The settings strictly accord with meeting the second emissions budget. The settings provide a high probability of limiting emissions to the necessary level.</w:t>
            </w:r>
          </w:p>
        </w:tc>
      </w:tr>
      <w:tr w:rsidR="0075404A" w:rsidRPr="00367FBC" w14:paraId="5341901C" w14:textId="77777777" w:rsidTr="00696962">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14560" w:type="dxa"/>
            <w:gridSpan w:val="2"/>
            <w:shd w:val="clear" w:color="auto" w:fill="D4E8DE"/>
          </w:tcPr>
          <w:p w14:paraId="0A2F4A49" w14:textId="150A52D1" w:rsidR="0075404A" w:rsidRPr="00367FBC" w:rsidRDefault="004C186D">
            <w:pPr>
              <w:pStyle w:val="Boxtext"/>
              <w:spacing w:after="60"/>
              <w:rPr>
                <w:sz w:val="22"/>
                <w:szCs w:val="18"/>
                <w:highlight w:val="yellow"/>
              </w:rPr>
            </w:pPr>
            <w:r>
              <w:rPr>
                <w:sz w:val="22"/>
                <w:szCs w:val="18"/>
              </w:rPr>
              <w:t>The third e</w:t>
            </w:r>
            <w:r w:rsidRPr="00367FBC">
              <w:rPr>
                <w:sz w:val="22"/>
                <w:szCs w:val="18"/>
              </w:rPr>
              <w:t xml:space="preserve">missions </w:t>
            </w:r>
            <w:r w:rsidR="00033C19" w:rsidRPr="00367FBC">
              <w:rPr>
                <w:sz w:val="22"/>
                <w:szCs w:val="18"/>
              </w:rPr>
              <w:t>budget (</w:t>
            </w:r>
            <w:r w:rsidR="00B96F0B" w:rsidRPr="00367FBC">
              <w:rPr>
                <w:sz w:val="22"/>
                <w:szCs w:val="18"/>
              </w:rPr>
              <w:t>2031–2035)</w:t>
            </w:r>
          </w:p>
        </w:tc>
      </w:tr>
      <w:tr w:rsidR="0075404A" w:rsidRPr="00367FBC" w14:paraId="0FAB8E74" w14:textId="77777777" w:rsidTr="00C90998">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926" w:type="dxa"/>
            <w:shd w:val="clear" w:color="auto" w:fill="auto"/>
          </w:tcPr>
          <w:p w14:paraId="5BE18DEC" w14:textId="055749CF" w:rsidR="00F276E8" w:rsidRPr="00367FBC" w:rsidRDefault="00F276E8" w:rsidP="00F276E8">
            <w:pPr>
              <w:pStyle w:val="Boxtext"/>
              <w:spacing w:after="60"/>
              <w:rPr>
                <w:sz w:val="22"/>
                <w:szCs w:val="18"/>
              </w:rPr>
            </w:pPr>
            <w:r w:rsidRPr="00367FBC">
              <w:rPr>
                <w:sz w:val="22"/>
                <w:szCs w:val="18"/>
              </w:rPr>
              <w:t>The third emissions budget starts in 2031 and so is now included in the timeframe of the settings recommended in our advice, which cover 2027</w:t>
            </w:r>
            <w:r w:rsidR="002D3D4A">
              <w:rPr>
                <w:sz w:val="22"/>
                <w:szCs w:val="18"/>
              </w:rPr>
              <w:t>–</w:t>
            </w:r>
            <w:r w:rsidRPr="00367FBC">
              <w:rPr>
                <w:sz w:val="22"/>
                <w:szCs w:val="18"/>
              </w:rPr>
              <w:t xml:space="preserve">2031. </w:t>
            </w:r>
          </w:p>
          <w:p w14:paraId="770E8939" w14:textId="4A9E287B" w:rsidR="00F276E8" w:rsidRPr="00367FBC" w:rsidRDefault="00E30F9A" w:rsidP="00F276E8">
            <w:pPr>
              <w:pStyle w:val="Boxtext"/>
              <w:spacing w:after="60"/>
              <w:rPr>
                <w:sz w:val="22"/>
                <w:szCs w:val="18"/>
              </w:rPr>
            </w:pPr>
            <w:r w:rsidRPr="00367FBC">
              <w:rPr>
                <w:sz w:val="22"/>
                <w:szCs w:val="18"/>
              </w:rPr>
              <w:t>T</w:t>
            </w:r>
            <w:r w:rsidR="00F276E8" w:rsidRPr="00367FBC">
              <w:rPr>
                <w:sz w:val="22"/>
                <w:szCs w:val="18"/>
              </w:rPr>
              <w:t xml:space="preserve">he settings will cover </w:t>
            </w:r>
            <w:r w:rsidR="00636665" w:rsidRPr="00367FBC">
              <w:rPr>
                <w:sz w:val="22"/>
                <w:szCs w:val="18"/>
              </w:rPr>
              <w:t xml:space="preserve">only </w:t>
            </w:r>
            <w:r w:rsidR="00F276E8" w:rsidRPr="00367FBC">
              <w:rPr>
                <w:sz w:val="22"/>
                <w:szCs w:val="18"/>
              </w:rPr>
              <w:t>the first year of the third emissions budget,</w:t>
            </w:r>
            <w:r w:rsidRPr="00367FBC">
              <w:rPr>
                <w:sz w:val="22"/>
                <w:szCs w:val="18"/>
              </w:rPr>
              <w:t xml:space="preserve"> however</w:t>
            </w:r>
            <w:r w:rsidR="00F276E8" w:rsidRPr="00367FBC">
              <w:rPr>
                <w:sz w:val="22"/>
                <w:szCs w:val="18"/>
              </w:rPr>
              <w:t xml:space="preserve"> we also need to consider how the unit limits until 2030 will enable future unit limits that are consistent with meeting the third emissions budget. </w:t>
            </w:r>
          </w:p>
          <w:p w14:paraId="03B33E88" w14:textId="77777777" w:rsidR="00F276E8" w:rsidRPr="00367FBC" w:rsidRDefault="00F276E8" w:rsidP="00F276E8">
            <w:pPr>
              <w:pStyle w:val="Boxtext"/>
              <w:spacing w:after="60"/>
              <w:rPr>
                <w:sz w:val="22"/>
                <w:szCs w:val="18"/>
              </w:rPr>
            </w:pPr>
            <w:r w:rsidRPr="00367FBC">
              <w:rPr>
                <w:sz w:val="22"/>
                <w:szCs w:val="18"/>
              </w:rPr>
              <w:t xml:space="preserve">The Commission’s recommended unit limit settings until 2030 would eliminate the surplus units from the NZ ETS by 2030, based on a surplus estimate at the upper end of our estimated surplus range. If successful, this will mitigate the risk that surplus units could enable emissions above the third emissions budget. </w:t>
            </w:r>
          </w:p>
          <w:p w14:paraId="0E728D66" w14:textId="195AF8BA" w:rsidR="00F276E8" w:rsidRPr="00367FBC" w:rsidRDefault="00F276E8" w:rsidP="00F276E8">
            <w:pPr>
              <w:pStyle w:val="Boxtext"/>
              <w:spacing w:after="60"/>
              <w:rPr>
                <w:sz w:val="22"/>
                <w:szCs w:val="18"/>
              </w:rPr>
            </w:pPr>
            <w:r w:rsidRPr="00367FBC">
              <w:rPr>
                <w:sz w:val="22"/>
                <w:szCs w:val="18"/>
              </w:rPr>
              <w:t xml:space="preserve">Current projections of emissions are higher than the level of the third emissions budget over 2031-2035. </w:t>
            </w:r>
            <w:r w:rsidR="004A4A1C" w:rsidRPr="00367FBC">
              <w:rPr>
                <w:sz w:val="22"/>
                <w:szCs w:val="18"/>
              </w:rPr>
              <w:t xml:space="preserve">In determining our </w:t>
            </w:r>
            <w:r w:rsidR="00425361" w:rsidRPr="00367FBC">
              <w:rPr>
                <w:sz w:val="22"/>
                <w:szCs w:val="18"/>
              </w:rPr>
              <w:t>recommendations,</w:t>
            </w:r>
            <w:r w:rsidR="004A4A1C" w:rsidRPr="00367FBC">
              <w:rPr>
                <w:sz w:val="22"/>
                <w:szCs w:val="18"/>
              </w:rPr>
              <w:t xml:space="preserve"> w</w:t>
            </w:r>
            <w:r w:rsidR="005B13DA" w:rsidRPr="00367FBC">
              <w:rPr>
                <w:sz w:val="22"/>
                <w:szCs w:val="18"/>
              </w:rPr>
              <w:t xml:space="preserve">e </w:t>
            </w:r>
            <w:r w:rsidRPr="00367FBC">
              <w:rPr>
                <w:sz w:val="22"/>
                <w:szCs w:val="18"/>
              </w:rPr>
              <w:t xml:space="preserve">have used an emissions cap for the third emissions budget which assumes that </w:t>
            </w:r>
            <w:proofErr w:type="gramStart"/>
            <w:r w:rsidRPr="00367FBC">
              <w:rPr>
                <w:sz w:val="22"/>
                <w:szCs w:val="18"/>
              </w:rPr>
              <w:t>all of</w:t>
            </w:r>
            <w:proofErr w:type="gramEnd"/>
            <w:r w:rsidRPr="00367FBC">
              <w:rPr>
                <w:sz w:val="22"/>
                <w:szCs w:val="18"/>
              </w:rPr>
              <w:t xml:space="preserve"> the extra abatement required to meet the third emissions budgets comes from </w:t>
            </w:r>
            <w:r w:rsidR="003A4ABD">
              <w:rPr>
                <w:sz w:val="22"/>
                <w:szCs w:val="18"/>
              </w:rPr>
              <w:t xml:space="preserve">NZ </w:t>
            </w:r>
            <w:r w:rsidRPr="00367FBC">
              <w:rPr>
                <w:sz w:val="22"/>
                <w:szCs w:val="18"/>
              </w:rPr>
              <w:t>ETS sectors.</w:t>
            </w:r>
          </w:p>
          <w:p w14:paraId="5BA7390D" w14:textId="77777777" w:rsidR="00F276E8" w:rsidRPr="00367FBC" w:rsidRDefault="00F276E8" w:rsidP="00F276E8">
            <w:pPr>
              <w:pStyle w:val="Boxtext"/>
              <w:spacing w:after="60"/>
              <w:rPr>
                <w:sz w:val="22"/>
                <w:szCs w:val="18"/>
              </w:rPr>
            </w:pPr>
            <w:r w:rsidRPr="00367FBC">
              <w:rPr>
                <w:sz w:val="22"/>
                <w:szCs w:val="18"/>
              </w:rPr>
              <w:t xml:space="preserve">Although we judge that the recommended unit limits align with the third emissions budget, there are risks to meeting it. </w:t>
            </w:r>
          </w:p>
          <w:p w14:paraId="39448E00" w14:textId="1B645C0F" w:rsidR="00F276E8" w:rsidRPr="00367FBC" w:rsidRDefault="00F276E8" w:rsidP="00BE0311">
            <w:pPr>
              <w:pStyle w:val="Bodybullets"/>
              <w:ind w:left="714" w:hanging="357"/>
              <w:contextualSpacing w:val="0"/>
              <w:rPr>
                <w:sz w:val="22"/>
                <w:szCs w:val="18"/>
              </w:rPr>
            </w:pPr>
            <w:r w:rsidRPr="00367FBC">
              <w:rPr>
                <w:sz w:val="22"/>
                <w:szCs w:val="18"/>
              </w:rPr>
              <w:t>The emissions cap is based on</w:t>
            </w:r>
            <w:r w:rsidR="00EC584A">
              <w:rPr>
                <w:sz w:val="22"/>
                <w:szCs w:val="18"/>
              </w:rPr>
              <w:t xml:space="preserve"> only</w:t>
            </w:r>
            <w:r w:rsidRPr="00367FBC">
              <w:rPr>
                <w:sz w:val="22"/>
                <w:szCs w:val="18"/>
              </w:rPr>
              <w:t xml:space="preserve"> just meeting the budget and does not provide any buffer if emissions outside the </w:t>
            </w:r>
            <w:r w:rsidR="003A4ABD">
              <w:rPr>
                <w:sz w:val="22"/>
                <w:szCs w:val="18"/>
              </w:rPr>
              <w:t xml:space="preserve">NZ </w:t>
            </w:r>
            <w:r w:rsidRPr="00367FBC">
              <w:rPr>
                <w:sz w:val="22"/>
                <w:szCs w:val="18"/>
              </w:rPr>
              <w:t xml:space="preserve">ETS are higher than assumed over the third emissions budget period. </w:t>
            </w:r>
          </w:p>
          <w:p w14:paraId="16086D85" w14:textId="33AA307A" w:rsidR="00F276E8" w:rsidRPr="009D7562" w:rsidRDefault="00F276E8" w:rsidP="009D7562">
            <w:pPr>
              <w:pStyle w:val="Bodybullets"/>
              <w:ind w:left="714" w:hanging="357"/>
              <w:contextualSpacing w:val="0"/>
              <w:rPr>
                <w:sz w:val="22"/>
                <w:szCs w:val="18"/>
              </w:rPr>
            </w:pPr>
            <w:r w:rsidRPr="009D7562">
              <w:rPr>
                <w:sz w:val="22"/>
                <w:szCs w:val="18"/>
              </w:rPr>
              <w:t xml:space="preserve">The </w:t>
            </w:r>
            <w:r w:rsidR="000826F6" w:rsidRPr="009D7562">
              <w:rPr>
                <w:sz w:val="22"/>
                <w:szCs w:val="18"/>
              </w:rPr>
              <w:t>approach of providing emissions scenarios</w:t>
            </w:r>
            <w:r w:rsidR="00193B66" w:rsidRPr="009D7562">
              <w:rPr>
                <w:sz w:val="22"/>
                <w:szCs w:val="18"/>
              </w:rPr>
              <w:t xml:space="preserve"> in the 2025 government emissions projections</w:t>
            </w:r>
            <w:r w:rsidR="000826F6" w:rsidRPr="009D7562">
              <w:rPr>
                <w:sz w:val="22"/>
                <w:szCs w:val="18"/>
              </w:rPr>
              <w:t xml:space="preserve">, rather than projections of </w:t>
            </w:r>
            <w:r w:rsidR="00193B66" w:rsidRPr="009D7562">
              <w:rPr>
                <w:sz w:val="22"/>
                <w:szCs w:val="18"/>
              </w:rPr>
              <w:t>what existing and planned policy are expected to achieve</w:t>
            </w:r>
            <w:r w:rsidRPr="009D7562">
              <w:rPr>
                <w:sz w:val="22"/>
                <w:szCs w:val="18"/>
              </w:rPr>
              <w:t xml:space="preserve">, creates uncertainty about the extent to which </w:t>
            </w:r>
            <w:r w:rsidR="00C25B43">
              <w:rPr>
                <w:sz w:val="22"/>
                <w:szCs w:val="18"/>
              </w:rPr>
              <w:t>the Government</w:t>
            </w:r>
            <w:r w:rsidR="00EC584A" w:rsidRPr="009D7562">
              <w:rPr>
                <w:sz w:val="22"/>
                <w:szCs w:val="18"/>
              </w:rPr>
              <w:t xml:space="preserve"> </w:t>
            </w:r>
            <w:r w:rsidRPr="009D7562">
              <w:rPr>
                <w:sz w:val="22"/>
                <w:szCs w:val="18"/>
              </w:rPr>
              <w:t>intend</w:t>
            </w:r>
            <w:r w:rsidR="00EC584A" w:rsidRPr="009D7562">
              <w:rPr>
                <w:sz w:val="22"/>
                <w:szCs w:val="18"/>
              </w:rPr>
              <w:t>s</w:t>
            </w:r>
            <w:r w:rsidRPr="009D7562">
              <w:rPr>
                <w:sz w:val="22"/>
                <w:szCs w:val="18"/>
              </w:rPr>
              <w:t xml:space="preserve"> to constrain emissions outside the </w:t>
            </w:r>
            <w:r w:rsidR="003A4ABD" w:rsidRPr="009D7562">
              <w:rPr>
                <w:sz w:val="22"/>
                <w:szCs w:val="18"/>
              </w:rPr>
              <w:t xml:space="preserve">NZ </w:t>
            </w:r>
            <w:r w:rsidRPr="009D7562">
              <w:rPr>
                <w:sz w:val="22"/>
                <w:szCs w:val="18"/>
              </w:rPr>
              <w:t xml:space="preserve">ETS. </w:t>
            </w:r>
          </w:p>
          <w:p w14:paraId="26E84513" w14:textId="1B2C9585" w:rsidR="00F276E8" w:rsidRPr="00367FBC" w:rsidRDefault="00F276E8" w:rsidP="00F276E8">
            <w:pPr>
              <w:pStyle w:val="Boxtext"/>
              <w:spacing w:after="60"/>
              <w:rPr>
                <w:sz w:val="22"/>
                <w:szCs w:val="18"/>
                <w:highlight w:val="yellow"/>
              </w:rPr>
            </w:pPr>
            <w:r w:rsidRPr="00367FBC">
              <w:rPr>
                <w:sz w:val="22"/>
                <w:szCs w:val="18"/>
              </w:rPr>
              <w:t xml:space="preserve">As the settings period of this advice only covers the first year of the third emissions budget, there will be time to adjust the unit limits for the budget period in future. However, we also note that there is little room left to reduce the </w:t>
            </w:r>
            <w:r w:rsidR="00A604DD">
              <w:rPr>
                <w:sz w:val="22"/>
                <w:szCs w:val="18"/>
              </w:rPr>
              <w:t>unit limits</w:t>
            </w:r>
            <w:r w:rsidR="00DB3DE6">
              <w:rPr>
                <w:sz w:val="22"/>
                <w:szCs w:val="18"/>
              </w:rPr>
              <w:t xml:space="preserve"> further </w:t>
            </w:r>
            <w:r w:rsidRPr="00367FBC">
              <w:rPr>
                <w:sz w:val="22"/>
                <w:szCs w:val="18"/>
              </w:rPr>
              <w:t>for the third emissions budget period</w:t>
            </w:r>
            <w:r w:rsidR="00DB3DE6">
              <w:rPr>
                <w:sz w:val="22"/>
                <w:szCs w:val="18"/>
              </w:rPr>
              <w:t xml:space="preserve">. </w:t>
            </w:r>
            <w:r w:rsidR="00473541">
              <w:rPr>
                <w:sz w:val="22"/>
                <w:szCs w:val="18"/>
              </w:rPr>
              <w:t>According to our analysis</w:t>
            </w:r>
            <w:r w:rsidR="00DB532E">
              <w:rPr>
                <w:sz w:val="22"/>
                <w:szCs w:val="18"/>
              </w:rPr>
              <w:t xml:space="preserve"> based on the data and information currently available</w:t>
            </w:r>
            <w:r w:rsidR="00473541">
              <w:rPr>
                <w:sz w:val="22"/>
                <w:szCs w:val="18"/>
              </w:rPr>
              <w:t xml:space="preserve">, </w:t>
            </w:r>
            <w:r w:rsidR="001348EA">
              <w:rPr>
                <w:sz w:val="22"/>
                <w:szCs w:val="18"/>
              </w:rPr>
              <w:t xml:space="preserve">there is only room to </w:t>
            </w:r>
            <w:r w:rsidR="001348EA" w:rsidRPr="00B10454">
              <w:rPr>
                <w:sz w:val="22"/>
                <w:szCs w:val="18"/>
              </w:rPr>
              <w:t xml:space="preserve">auction </w:t>
            </w:r>
            <w:r w:rsidR="00DB532E" w:rsidRPr="00D50EB2">
              <w:rPr>
                <w:sz w:val="22"/>
                <w:szCs w:val="18"/>
              </w:rPr>
              <w:t xml:space="preserve">7.5 </w:t>
            </w:r>
            <w:r w:rsidR="001348EA" w:rsidRPr="00D50EB2">
              <w:rPr>
                <w:sz w:val="22"/>
                <w:szCs w:val="18"/>
              </w:rPr>
              <w:t>million NZUs</w:t>
            </w:r>
            <w:r w:rsidR="001348EA" w:rsidRPr="00B10454">
              <w:rPr>
                <w:sz w:val="22"/>
                <w:szCs w:val="18"/>
              </w:rPr>
              <w:t xml:space="preserve"> in</w:t>
            </w:r>
            <w:r w:rsidR="001348EA">
              <w:rPr>
                <w:sz w:val="22"/>
                <w:szCs w:val="18"/>
              </w:rPr>
              <w:t xml:space="preserve"> total over 2031</w:t>
            </w:r>
            <w:r w:rsidR="00353800">
              <w:rPr>
                <w:sz w:val="22"/>
                <w:szCs w:val="18"/>
              </w:rPr>
              <w:t>–</w:t>
            </w:r>
            <w:r w:rsidR="001348EA">
              <w:rPr>
                <w:sz w:val="22"/>
                <w:szCs w:val="18"/>
              </w:rPr>
              <w:t>2035,</w:t>
            </w:r>
            <w:r w:rsidR="00D8259D">
              <w:rPr>
                <w:sz w:val="22"/>
                <w:szCs w:val="18"/>
              </w:rPr>
              <w:t xml:space="preserve"> because of the rapidly decreasing trajectory of the net emissions cap for the NZ ETS and the projections of industrial allocation</w:t>
            </w:r>
            <w:r w:rsidR="00925CBA">
              <w:rPr>
                <w:sz w:val="22"/>
                <w:szCs w:val="18"/>
              </w:rPr>
              <w:t>,</w:t>
            </w:r>
            <w:r w:rsidR="00D8259D">
              <w:rPr>
                <w:sz w:val="22"/>
                <w:szCs w:val="18"/>
              </w:rPr>
              <w:t xml:space="preserve"> which take up an increasing share of the emissions cap volume over that </w:t>
            </w:r>
            <w:r w:rsidR="00C13538">
              <w:rPr>
                <w:sz w:val="22"/>
                <w:szCs w:val="18"/>
              </w:rPr>
              <w:t>five</w:t>
            </w:r>
            <w:r w:rsidR="00D8259D">
              <w:rPr>
                <w:sz w:val="22"/>
                <w:szCs w:val="18"/>
              </w:rPr>
              <w:t xml:space="preserve">-year period. </w:t>
            </w:r>
            <w:r w:rsidRPr="00367FBC">
              <w:rPr>
                <w:sz w:val="22"/>
                <w:szCs w:val="18"/>
              </w:rPr>
              <w:t>This means that</w:t>
            </w:r>
            <w:r w:rsidR="00B30E49">
              <w:rPr>
                <w:sz w:val="22"/>
                <w:szCs w:val="18"/>
              </w:rPr>
              <w:t xml:space="preserve">, given the current scope and architecture of the </w:t>
            </w:r>
            <w:r w:rsidR="00316DBA">
              <w:rPr>
                <w:sz w:val="22"/>
                <w:szCs w:val="18"/>
              </w:rPr>
              <w:t>NZ ETS,</w:t>
            </w:r>
            <w:r w:rsidRPr="00367FBC">
              <w:rPr>
                <w:sz w:val="22"/>
                <w:szCs w:val="18"/>
              </w:rPr>
              <w:t xml:space="preserve"> the ability </w:t>
            </w:r>
            <w:r w:rsidR="00390098">
              <w:rPr>
                <w:sz w:val="22"/>
                <w:szCs w:val="18"/>
              </w:rPr>
              <w:t xml:space="preserve">to adjust </w:t>
            </w:r>
            <w:r w:rsidRPr="00367FBC">
              <w:rPr>
                <w:sz w:val="22"/>
                <w:szCs w:val="18"/>
              </w:rPr>
              <w:t xml:space="preserve">the </w:t>
            </w:r>
            <w:r w:rsidR="003A4ABD">
              <w:rPr>
                <w:sz w:val="22"/>
                <w:szCs w:val="18"/>
              </w:rPr>
              <w:t xml:space="preserve">NZ </w:t>
            </w:r>
            <w:r w:rsidRPr="00367FBC">
              <w:rPr>
                <w:sz w:val="22"/>
                <w:szCs w:val="18"/>
              </w:rPr>
              <w:t xml:space="preserve">ETS </w:t>
            </w:r>
            <w:r w:rsidR="00FD7A55">
              <w:rPr>
                <w:sz w:val="22"/>
                <w:szCs w:val="18"/>
              </w:rPr>
              <w:t xml:space="preserve">settings </w:t>
            </w:r>
            <w:r w:rsidR="00316DBA">
              <w:rPr>
                <w:sz w:val="22"/>
                <w:szCs w:val="18"/>
              </w:rPr>
              <w:t>to mitigate risks to meeting the third emissions</w:t>
            </w:r>
            <w:r w:rsidR="00EC6A73">
              <w:rPr>
                <w:sz w:val="22"/>
                <w:szCs w:val="18"/>
              </w:rPr>
              <w:t xml:space="preserve"> is becoming limited. </w:t>
            </w:r>
          </w:p>
          <w:p w14:paraId="37AEAC84" w14:textId="77777777" w:rsidR="00F276E8" w:rsidRPr="00367FBC" w:rsidRDefault="00F276E8" w:rsidP="00F276E8">
            <w:pPr>
              <w:pStyle w:val="Boxtext"/>
              <w:spacing w:after="60"/>
              <w:rPr>
                <w:sz w:val="22"/>
                <w:szCs w:val="18"/>
              </w:rPr>
            </w:pPr>
            <w:r w:rsidRPr="00367FBC">
              <w:rPr>
                <w:sz w:val="22"/>
                <w:szCs w:val="18"/>
              </w:rPr>
              <w:t xml:space="preserve">We also need to consider the emissions prices that may be needed to meet the third emissions budget. The settings period covered by this advice only extends to the first year of the third emissions budget. This provides some leeway, as it means that there is still time to </w:t>
            </w:r>
            <w:proofErr w:type="gramStart"/>
            <w:r w:rsidRPr="00367FBC">
              <w:rPr>
                <w:sz w:val="22"/>
                <w:szCs w:val="18"/>
              </w:rPr>
              <w:t>make adjustments</w:t>
            </w:r>
            <w:proofErr w:type="gramEnd"/>
            <w:r w:rsidRPr="00367FBC">
              <w:rPr>
                <w:sz w:val="22"/>
                <w:szCs w:val="18"/>
              </w:rPr>
              <w:t xml:space="preserve"> in future advice if needed.  </w:t>
            </w:r>
          </w:p>
          <w:p w14:paraId="431D09C9" w14:textId="1CB9FE86" w:rsidR="00F276E8" w:rsidRPr="00367FBC" w:rsidRDefault="00F276E8" w:rsidP="00F276E8">
            <w:pPr>
              <w:pStyle w:val="Boxtext"/>
              <w:spacing w:after="60"/>
              <w:rPr>
                <w:sz w:val="22"/>
                <w:szCs w:val="18"/>
                <w:highlight w:val="yellow"/>
              </w:rPr>
            </w:pPr>
            <w:r w:rsidRPr="00367FBC">
              <w:rPr>
                <w:sz w:val="22"/>
                <w:szCs w:val="18"/>
              </w:rPr>
              <w:t xml:space="preserve">In our 2025 advice, we commissioned </w:t>
            </w:r>
            <w:r w:rsidR="00B57DA3">
              <w:rPr>
                <w:sz w:val="22"/>
                <w:szCs w:val="18"/>
              </w:rPr>
              <w:t xml:space="preserve">modelling using the </w:t>
            </w:r>
            <w:r w:rsidR="00B57DA3" w:rsidRPr="00C90998">
              <w:rPr>
                <w:i/>
                <w:iCs/>
                <w:sz w:val="22"/>
                <w:szCs w:val="18"/>
              </w:rPr>
              <w:t>Energy and Emissions in New Zealand</w:t>
            </w:r>
            <w:r w:rsidR="00B57DA3">
              <w:rPr>
                <w:sz w:val="22"/>
                <w:szCs w:val="18"/>
              </w:rPr>
              <w:t xml:space="preserve"> (</w:t>
            </w:r>
            <w:r w:rsidRPr="00367FBC">
              <w:rPr>
                <w:sz w:val="22"/>
                <w:szCs w:val="18"/>
              </w:rPr>
              <w:t>ENZ</w:t>
            </w:r>
            <w:r w:rsidR="00B57DA3">
              <w:rPr>
                <w:sz w:val="22"/>
                <w:szCs w:val="18"/>
              </w:rPr>
              <w:t>)</w:t>
            </w:r>
            <w:r w:rsidRPr="00367FBC">
              <w:rPr>
                <w:sz w:val="22"/>
                <w:szCs w:val="18"/>
              </w:rPr>
              <w:t xml:space="preserve"> model which generated shadow emissions prices necessary to meet the third emissions budgets under different emissions scenarios. This modelling found a wide range of emissions prices that could be needed to meet the budget. It indicated that under some scenarios, the price controls could need to be increased, however whether such scenarios would eventuate depended on three key uncertain factors</w:t>
            </w:r>
            <w:r w:rsidR="00FB376C">
              <w:rPr>
                <w:sz w:val="22"/>
                <w:szCs w:val="18"/>
              </w:rPr>
              <w:t xml:space="preserve"> – fossil gas prices, afforestation rates, and EV uptake</w:t>
            </w:r>
            <w:r w:rsidRPr="00367FBC">
              <w:rPr>
                <w:sz w:val="22"/>
                <w:szCs w:val="18"/>
              </w:rPr>
              <w:t xml:space="preserve">. </w:t>
            </w:r>
            <w:r w:rsidR="000C7E63" w:rsidRPr="00367FBC">
              <w:rPr>
                <w:sz w:val="22"/>
                <w:szCs w:val="18"/>
              </w:rPr>
              <w:t>T</w:t>
            </w:r>
            <w:r w:rsidRPr="00367FBC">
              <w:rPr>
                <w:sz w:val="22"/>
                <w:szCs w:val="18"/>
              </w:rPr>
              <w:t>hese uncertainties have not resolved over the last year</w:t>
            </w:r>
            <w:r w:rsidR="00837D34">
              <w:rPr>
                <w:sz w:val="22"/>
                <w:szCs w:val="18"/>
              </w:rPr>
              <w:t xml:space="preserve">, as discussed in </w:t>
            </w:r>
            <w:r w:rsidR="00837D34" w:rsidRPr="00C90998">
              <w:rPr>
                <w:i/>
                <w:iCs/>
                <w:sz w:val="22"/>
                <w:szCs w:val="18"/>
              </w:rPr>
              <w:t>Chapter 5: Price control settings</w:t>
            </w:r>
            <w:r w:rsidR="00837D34">
              <w:rPr>
                <w:sz w:val="22"/>
                <w:szCs w:val="18"/>
              </w:rPr>
              <w:t xml:space="preserve"> in the advice report</w:t>
            </w:r>
            <w:r w:rsidRPr="00367FBC">
              <w:rPr>
                <w:sz w:val="22"/>
                <w:szCs w:val="18"/>
              </w:rPr>
              <w:t xml:space="preserve">. </w:t>
            </w:r>
          </w:p>
          <w:p w14:paraId="4C0D48F3" w14:textId="58539F74" w:rsidR="00F276E8" w:rsidRPr="00367FBC" w:rsidRDefault="00F276E8" w:rsidP="00F276E8">
            <w:pPr>
              <w:pStyle w:val="Boxtext"/>
              <w:spacing w:after="60"/>
              <w:rPr>
                <w:sz w:val="22"/>
                <w:szCs w:val="18"/>
              </w:rPr>
            </w:pPr>
            <w:r w:rsidRPr="00367FBC">
              <w:rPr>
                <w:sz w:val="22"/>
                <w:szCs w:val="18"/>
              </w:rPr>
              <w:t xml:space="preserve">We considered whether higher prices potentially being needed to meet </w:t>
            </w:r>
            <w:r w:rsidR="00836BDF" w:rsidRPr="00367FBC">
              <w:rPr>
                <w:sz w:val="22"/>
                <w:szCs w:val="18"/>
              </w:rPr>
              <w:t xml:space="preserve">the third </w:t>
            </w:r>
            <w:r w:rsidRPr="00367FBC">
              <w:rPr>
                <w:sz w:val="22"/>
                <w:szCs w:val="18"/>
              </w:rPr>
              <w:t>emissions budget</w:t>
            </w:r>
            <w:r w:rsidR="00836BDF" w:rsidRPr="00367FBC">
              <w:rPr>
                <w:sz w:val="22"/>
                <w:szCs w:val="18"/>
              </w:rPr>
              <w:t xml:space="preserve"> </w:t>
            </w:r>
            <w:r w:rsidRPr="00367FBC">
              <w:rPr>
                <w:sz w:val="22"/>
                <w:szCs w:val="18"/>
              </w:rPr>
              <w:t xml:space="preserve">justifies increasing the price control settings. In line with our advice last year, our judgement is that it would be premature to increase the price control settings now, when it is very uncertain that this will </w:t>
            </w:r>
            <w:proofErr w:type="gramStart"/>
            <w:r w:rsidRPr="00367FBC">
              <w:rPr>
                <w:sz w:val="22"/>
                <w:szCs w:val="18"/>
              </w:rPr>
              <w:t>actually be</w:t>
            </w:r>
            <w:proofErr w:type="gramEnd"/>
            <w:r w:rsidRPr="00367FBC">
              <w:rPr>
                <w:sz w:val="22"/>
                <w:szCs w:val="18"/>
              </w:rPr>
              <w:t xml:space="preserve"> needed. Factors influencing this assessment included: </w:t>
            </w:r>
          </w:p>
          <w:p w14:paraId="34B45F74" w14:textId="5631C01F" w:rsidR="00F276E8" w:rsidRPr="00367FBC" w:rsidRDefault="00F276E8" w:rsidP="001B25D9">
            <w:pPr>
              <w:pStyle w:val="Bodybullets"/>
              <w:ind w:left="714" w:hanging="357"/>
              <w:contextualSpacing w:val="0"/>
              <w:rPr>
                <w:sz w:val="22"/>
                <w:szCs w:val="18"/>
              </w:rPr>
            </w:pPr>
            <w:r w:rsidRPr="00367FBC">
              <w:rPr>
                <w:sz w:val="22"/>
                <w:szCs w:val="18"/>
              </w:rPr>
              <w:t>That NZU prices are currently low compared to the price control settings (with the spot price at the time of writing being around $40, well below the $71 ARP for 2026). The current settings provide significant room for the market price to range higher to help meet the second emissions budget and lay the foundations for meeting the third emissions budget. Given uncertainty, as well as the current state of the market, it appears unlikely that the potential need for higher prices in the 2030s could start to be reflected in current NZU prices, causing the CCR to be triggered.</w:t>
            </w:r>
          </w:p>
          <w:p w14:paraId="06BEC26E" w14:textId="29029274" w:rsidR="00F276E8" w:rsidRPr="00367FBC" w:rsidRDefault="00F276E8" w:rsidP="001B25D9">
            <w:pPr>
              <w:pStyle w:val="Bodybullets"/>
              <w:ind w:left="714" w:hanging="357"/>
              <w:contextualSpacing w:val="0"/>
              <w:rPr>
                <w:sz w:val="22"/>
                <w:szCs w:val="18"/>
              </w:rPr>
            </w:pPr>
            <w:r w:rsidRPr="00367FBC">
              <w:rPr>
                <w:sz w:val="22"/>
                <w:szCs w:val="18"/>
              </w:rPr>
              <w:t>Government policy to meet the second emissions budget and contribute to meeting the third emissions budget is still evolving</w:t>
            </w:r>
            <w:r w:rsidR="00CE11B4">
              <w:rPr>
                <w:sz w:val="22"/>
                <w:szCs w:val="18"/>
              </w:rPr>
              <w:t xml:space="preserve">. There is </w:t>
            </w:r>
            <w:r w:rsidRPr="00367FBC">
              <w:rPr>
                <w:sz w:val="22"/>
                <w:szCs w:val="18"/>
              </w:rPr>
              <w:t>uncertainty over the details and likely impacts of key policies (such as that on afforestation on Crown land)</w:t>
            </w:r>
            <w:r w:rsidR="00A92902">
              <w:rPr>
                <w:sz w:val="22"/>
                <w:szCs w:val="18"/>
              </w:rPr>
              <w:t xml:space="preserve">. The </w:t>
            </w:r>
            <w:r w:rsidR="008F6C3A">
              <w:rPr>
                <w:sz w:val="22"/>
                <w:szCs w:val="18"/>
              </w:rPr>
              <w:t xml:space="preserve">Government </w:t>
            </w:r>
            <w:r w:rsidR="0023264C">
              <w:rPr>
                <w:sz w:val="22"/>
                <w:szCs w:val="18"/>
              </w:rPr>
              <w:t xml:space="preserve">may </w:t>
            </w:r>
            <w:r w:rsidR="008F6C3A">
              <w:rPr>
                <w:sz w:val="22"/>
                <w:szCs w:val="18"/>
              </w:rPr>
              <w:t xml:space="preserve">make changes and consider potential new policies as part of the adaptive management approach </w:t>
            </w:r>
            <w:r w:rsidR="00FA5444">
              <w:rPr>
                <w:sz w:val="22"/>
                <w:szCs w:val="18"/>
              </w:rPr>
              <w:t>set out in its second emissions reduction plan</w:t>
            </w:r>
            <w:r w:rsidR="00067688">
              <w:rPr>
                <w:sz w:val="22"/>
                <w:szCs w:val="18"/>
              </w:rPr>
              <w:t>,</w:t>
            </w:r>
            <w:r w:rsidR="001B598D">
              <w:rPr>
                <w:sz w:val="22"/>
                <w:szCs w:val="18"/>
              </w:rPr>
              <w:t xml:space="preserve"> which</w:t>
            </w:r>
            <w:r w:rsidR="00EC584A">
              <w:rPr>
                <w:sz w:val="22"/>
                <w:szCs w:val="18"/>
              </w:rPr>
              <w:t>,</w:t>
            </w:r>
            <w:r w:rsidR="001B598D">
              <w:rPr>
                <w:sz w:val="22"/>
                <w:szCs w:val="18"/>
              </w:rPr>
              <w:t xml:space="preserve"> while aimed at achieving the second emissions budget</w:t>
            </w:r>
            <w:r w:rsidR="00EC584A">
              <w:rPr>
                <w:sz w:val="22"/>
                <w:szCs w:val="18"/>
              </w:rPr>
              <w:t>,</w:t>
            </w:r>
            <w:r w:rsidR="001B598D">
              <w:rPr>
                <w:sz w:val="22"/>
                <w:szCs w:val="18"/>
              </w:rPr>
              <w:t xml:space="preserve"> will affect the </w:t>
            </w:r>
            <w:r w:rsidR="0023264C">
              <w:rPr>
                <w:sz w:val="22"/>
                <w:szCs w:val="18"/>
              </w:rPr>
              <w:t xml:space="preserve">outlook for meeting </w:t>
            </w:r>
            <w:r w:rsidR="001B598D">
              <w:rPr>
                <w:sz w:val="22"/>
                <w:szCs w:val="18"/>
              </w:rPr>
              <w:t>the third emissions budget.</w:t>
            </w:r>
            <w:r w:rsidR="009B3E7A">
              <w:rPr>
                <w:sz w:val="22"/>
                <w:szCs w:val="18"/>
              </w:rPr>
              <w:t xml:space="preserve"> </w:t>
            </w:r>
            <w:r w:rsidRPr="00367FBC">
              <w:rPr>
                <w:sz w:val="22"/>
                <w:szCs w:val="18"/>
              </w:rPr>
              <w:t xml:space="preserve">The Government is also not required to have a plan for meeting the third emissions budget until 2029. </w:t>
            </w:r>
          </w:p>
          <w:p w14:paraId="5F35AEE8" w14:textId="041B293C" w:rsidR="00F276E8" w:rsidRPr="00367FBC" w:rsidRDefault="00F276E8" w:rsidP="001B25D9">
            <w:pPr>
              <w:pStyle w:val="Bodybullets"/>
              <w:ind w:left="714" w:hanging="357"/>
              <w:contextualSpacing w:val="0"/>
              <w:rPr>
                <w:sz w:val="22"/>
                <w:szCs w:val="18"/>
              </w:rPr>
            </w:pPr>
            <w:r w:rsidRPr="00367FBC">
              <w:rPr>
                <w:sz w:val="22"/>
                <w:szCs w:val="18"/>
              </w:rPr>
              <w:t>The mix of actions and the associated emissions prices needed to meet the third emissions budget are currently very uncertain, but this uncertainty will reduce over the coming years.</w:t>
            </w:r>
          </w:p>
          <w:p w14:paraId="2983D5EC" w14:textId="0DAB756D" w:rsidR="00F276E8" w:rsidRDefault="00F276E8" w:rsidP="003C70DA">
            <w:pPr>
              <w:pStyle w:val="Bodybullets"/>
              <w:numPr>
                <w:ilvl w:val="1"/>
                <w:numId w:val="10"/>
              </w:numPr>
              <w:contextualSpacing w:val="0"/>
              <w:rPr>
                <w:sz w:val="22"/>
                <w:szCs w:val="18"/>
              </w:rPr>
            </w:pPr>
            <w:r w:rsidRPr="00367FBC">
              <w:rPr>
                <w:sz w:val="22"/>
                <w:szCs w:val="18"/>
              </w:rPr>
              <w:t xml:space="preserve">The likely afforestation rates until 2031 will be much clearer in </w:t>
            </w:r>
            <w:r w:rsidR="00302B73">
              <w:rPr>
                <w:sz w:val="22"/>
                <w:szCs w:val="18"/>
              </w:rPr>
              <w:t xml:space="preserve">one </w:t>
            </w:r>
            <w:r w:rsidRPr="00367FBC">
              <w:rPr>
                <w:sz w:val="22"/>
                <w:szCs w:val="18"/>
              </w:rPr>
              <w:t xml:space="preserve">to </w:t>
            </w:r>
            <w:r w:rsidR="00302B73">
              <w:rPr>
                <w:sz w:val="22"/>
                <w:szCs w:val="18"/>
              </w:rPr>
              <w:t xml:space="preserve">two </w:t>
            </w:r>
            <w:r w:rsidRPr="00367FBC">
              <w:rPr>
                <w:sz w:val="22"/>
                <w:szCs w:val="18"/>
              </w:rPr>
              <w:t xml:space="preserve">years’ time, when the impacts of key forestry-related policies become clearer and more data about planting in the years to 2031 becomes available, for example from afforestation intentions surveys. </w:t>
            </w:r>
          </w:p>
          <w:p w14:paraId="11C88896" w14:textId="3F336F28" w:rsidR="00364DF5" w:rsidRPr="00367FBC" w:rsidRDefault="001305A4" w:rsidP="003C70DA">
            <w:pPr>
              <w:pStyle w:val="Bodybullets"/>
              <w:numPr>
                <w:ilvl w:val="1"/>
                <w:numId w:val="10"/>
              </w:numPr>
              <w:contextualSpacing w:val="0"/>
              <w:rPr>
                <w:sz w:val="22"/>
                <w:szCs w:val="18"/>
              </w:rPr>
            </w:pPr>
            <w:r>
              <w:rPr>
                <w:sz w:val="22"/>
                <w:szCs w:val="18"/>
              </w:rPr>
              <w:t>The impact of recent high fossil gas prices on emissions trends</w:t>
            </w:r>
            <w:r w:rsidR="00D13055">
              <w:rPr>
                <w:sz w:val="22"/>
                <w:szCs w:val="18"/>
              </w:rPr>
              <w:t xml:space="preserve">, and the potential </w:t>
            </w:r>
            <w:r w:rsidR="00E05708">
              <w:rPr>
                <w:sz w:val="22"/>
                <w:szCs w:val="18"/>
              </w:rPr>
              <w:t>for continu</w:t>
            </w:r>
            <w:r w:rsidR="009D261D">
              <w:rPr>
                <w:sz w:val="22"/>
                <w:szCs w:val="18"/>
              </w:rPr>
              <w:t xml:space="preserve">ed </w:t>
            </w:r>
            <w:r w:rsidR="00E05708">
              <w:rPr>
                <w:sz w:val="22"/>
                <w:szCs w:val="18"/>
              </w:rPr>
              <w:t>high</w:t>
            </w:r>
            <w:r w:rsidR="00BA3CF5">
              <w:rPr>
                <w:sz w:val="22"/>
                <w:szCs w:val="18"/>
              </w:rPr>
              <w:t xml:space="preserve"> and/or increasing</w:t>
            </w:r>
            <w:r w:rsidR="00E05708">
              <w:rPr>
                <w:sz w:val="22"/>
                <w:szCs w:val="18"/>
              </w:rPr>
              <w:t xml:space="preserve"> fossil gas prices,</w:t>
            </w:r>
            <w:r w:rsidR="00FC5579">
              <w:rPr>
                <w:sz w:val="22"/>
                <w:szCs w:val="18"/>
              </w:rPr>
              <w:t xml:space="preserve"> </w:t>
            </w:r>
            <w:r>
              <w:rPr>
                <w:sz w:val="22"/>
                <w:szCs w:val="18"/>
              </w:rPr>
              <w:t xml:space="preserve">will become clearer. </w:t>
            </w:r>
            <w:r w:rsidR="006020D3">
              <w:rPr>
                <w:sz w:val="22"/>
                <w:szCs w:val="18"/>
              </w:rPr>
              <w:t xml:space="preserve">Over the past year, fossil gas reserves </w:t>
            </w:r>
            <w:r w:rsidR="00B033E4">
              <w:rPr>
                <w:sz w:val="22"/>
                <w:szCs w:val="18"/>
              </w:rPr>
              <w:t>have continued to decline faste</w:t>
            </w:r>
            <w:r w:rsidR="004E3B0D">
              <w:rPr>
                <w:sz w:val="22"/>
                <w:szCs w:val="18"/>
              </w:rPr>
              <w:t>r</w:t>
            </w:r>
            <w:r w:rsidR="00B033E4">
              <w:rPr>
                <w:sz w:val="22"/>
                <w:szCs w:val="18"/>
              </w:rPr>
              <w:t xml:space="preserve"> than previously expected, making higher fossil gas prices more likely.</w:t>
            </w:r>
            <w:r w:rsidR="00ED7C8F">
              <w:rPr>
                <w:sz w:val="22"/>
                <w:szCs w:val="18"/>
              </w:rPr>
              <w:t xml:space="preserve"> </w:t>
            </w:r>
            <w:r w:rsidR="004259F6">
              <w:rPr>
                <w:sz w:val="22"/>
                <w:szCs w:val="18"/>
              </w:rPr>
              <w:t xml:space="preserve">There is uncertainty about the possible impacts on </w:t>
            </w:r>
            <w:r w:rsidR="008A4B55">
              <w:rPr>
                <w:sz w:val="22"/>
                <w:szCs w:val="18"/>
              </w:rPr>
              <w:t>fossil gas prices if</w:t>
            </w:r>
            <w:r w:rsidR="00ED7C8F">
              <w:rPr>
                <w:sz w:val="22"/>
                <w:szCs w:val="18"/>
              </w:rPr>
              <w:t xml:space="preserve"> LNG starts to be i</w:t>
            </w:r>
            <w:r w:rsidR="00AB66FA">
              <w:rPr>
                <w:sz w:val="22"/>
                <w:szCs w:val="18"/>
              </w:rPr>
              <w:t>mported,</w:t>
            </w:r>
            <w:r w:rsidR="00410E28">
              <w:rPr>
                <w:sz w:val="22"/>
                <w:szCs w:val="18"/>
              </w:rPr>
              <w:t xml:space="preserve"> but even in this case </w:t>
            </w:r>
            <w:r w:rsidR="00CE525C">
              <w:rPr>
                <w:sz w:val="22"/>
                <w:szCs w:val="18"/>
              </w:rPr>
              <w:t xml:space="preserve">fossil gas prices would </w:t>
            </w:r>
            <w:r w:rsidR="008A4B55">
              <w:rPr>
                <w:sz w:val="22"/>
                <w:szCs w:val="18"/>
              </w:rPr>
              <w:t xml:space="preserve">likely </w:t>
            </w:r>
            <w:r w:rsidR="00CE525C">
              <w:rPr>
                <w:sz w:val="22"/>
                <w:szCs w:val="18"/>
              </w:rPr>
              <w:t xml:space="preserve">still be higher than assumed in modelling to date. </w:t>
            </w:r>
          </w:p>
          <w:p w14:paraId="498F5CF4" w14:textId="290B1512" w:rsidR="0075404A" w:rsidRPr="00367FBC" w:rsidRDefault="00F276E8" w:rsidP="00F276E8">
            <w:pPr>
              <w:pStyle w:val="Boxtext"/>
              <w:spacing w:after="60"/>
              <w:rPr>
                <w:sz w:val="22"/>
                <w:szCs w:val="18"/>
                <w:highlight w:val="yellow"/>
              </w:rPr>
            </w:pPr>
            <w:r w:rsidRPr="00367FBC">
              <w:rPr>
                <w:sz w:val="22"/>
                <w:szCs w:val="18"/>
              </w:rPr>
              <w:t xml:space="preserve">We will monitor the risk that higher prices may be needed to meet the third emissions budget. If adjustments are required to the price controls so that the NZ ETS settings can continue to accord with the third emissions budget, we can still recommend that they be made well ahead of 2031, the beginning of the </w:t>
            </w:r>
            <w:r w:rsidR="00302B73">
              <w:rPr>
                <w:sz w:val="22"/>
                <w:szCs w:val="18"/>
              </w:rPr>
              <w:t xml:space="preserve">third emissions </w:t>
            </w:r>
            <w:r w:rsidRPr="00367FBC">
              <w:rPr>
                <w:sz w:val="22"/>
                <w:szCs w:val="18"/>
              </w:rPr>
              <w:t>budget period.</w:t>
            </w:r>
          </w:p>
        </w:tc>
        <w:tc>
          <w:tcPr>
            <w:tcW w:w="5634" w:type="dxa"/>
            <w:shd w:val="clear" w:color="auto" w:fill="auto"/>
          </w:tcPr>
          <w:p w14:paraId="0F616D04" w14:textId="77777777" w:rsidR="00995D26" w:rsidRPr="00367FBC" w:rsidRDefault="00995D26" w:rsidP="00995D26">
            <w:pPr>
              <w:pStyle w:val="Boxtext"/>
              <w:spacing w:after="60"/>
              <w:rPr>
                <w:sz w:val="22"/>
                <w:szCs w:val="18"/>
              </w:rPr>
            </w:pPr>
            <w:r w:rsidRPr="00367FBC">
              <w:rPr>
                <w:sz w:val="22"/>
                <w:szCs w:val="18"/>
              </w:rPr>
              <w:t xml:space="preserve">The settings do not strictly accord, but nevertheless accord with a discrepancy, with the third emissions budget. </w:t>
            </w:r>
          </w:p>
          <w:p w14:paraId="279FE315" w14:textId="466A3A3E" w:rsidR="00995D26" w:rsidRPr="00367FBC" w:rsidRDefault="00995D26" w:rsidP="00995D26">
            <w:pPr>
              <w:pStyle w:val="Boxtext"/>
              <w:spacing w:after="60"/>
              <w:rPr>
                <w:sz w:val="22"/>
                <w:szCs w:val="18"/>
              </w:rPr>
            </w:pPr>
            <w:r w:rsidRPr="00367FBC">
              <w:rPr>
                <w:sz w:val="22"/>
                <w:szCs w:val="18"/>
              </w:rPr>
              <w:t>We consider there is a good probability that the recommended settings will enable future settings that limit emissions to the required level over 2031</w:t>
            </w:r>
            <w:r w:rsidR="00B4621B">
              <w:rPr>
                <w:sz w:val="22"/>
                <w:szCs w:val="18"/>
              </w:rPr>
              <w:t>–</w:t>
            </w:r>
            <w:r w:rsidRPr="00367FBC">
              <w:rPr>
                <w:sz w:val="22"/>
                <w:szCs w:val="18"/>
              </w:rPr>
              <w:t xml:space="preserve">2035 to meet the third emissions budget. </w:t>
            </w:r>
          </w:p>
          <w:p w14:paraId="3BD7720C" w14:textId="77777777" w:rsidR="00995D26" w:rsidRPr="00367FBC" w:rsidRDefault="00995D26" w:rsidP="00995D26">
            <w:pPr>
              <w:pStyle w:val="Boxtext"/>
              <w:spacing w:after="60"/>
              <w:rPr>
                <w:sz w:val="22"/>
                <w:szCs w:val="18"/>
              </w:rPr>
            </w:pPr>
            <w:r w:rsidRPr="00367FBC">
              <w:rPr>
                <w:sz w:val="22"/>
                <w:szCs w:val="18"/>
              </w:rPr>
              <w:t xml:space="preserve">The discrepancy from strict accordance relates to the price control settings. There is some evidence that the CCR price triggers and ARP levels may be lower than the NZU prices needed to meet the third emissions budget in some scenarios of the future. However, this is a risk that may not materialise, because there is a high level of uncertainty about whether the future will play out in line with these high emissions price scenarios. </w:t>
            </w:r>
          </w:p>
          <w:p w14:paraId="533F12E5" w14:textId="77777777" w:rsidR="00995D26" w:rsidRPr="00367FBC" w:rsidRDefault="00995D26" w:rsidP="00995D26">
            <w:pPr>
              <w:pStyle w:val="Boxtext"/>
              <w:spacing w:after="60"/>
              <w:rPr>
                <w:sz w:val="22"/>
                <w:szCs w:val="18"/>
              </w:rPr>
            </w:pPr>
            <w:r w:rsidRPr="00367FBC">
              <w:rPr>
                <w:sz w:val="22"/>
                <w:szCs w:val="18"/>
              </w:rPr>
              <w:t>We have considered all the relevant matters in the Act. We consider that this discrepancy from strict accordance is justified, by the following considerations in particular:</w:t>
            </w:r>
          </w:p>
          <w:p w14:paraId="35C4C18B" w14:textId="0A16F31E" w:rsidR="00995D26" w:rsidRPr="00367FBC" w:rsidRDefault="00995D26" w:rsidP="00C90998">
            <w:pPr>
              <w:pStyle w:val="Bodybullets"/>
              <w:ind w:left="325" w:hanging="283"/>
              <w:contextualSpacing w:val="0"/>
              <w:rPr>
                <w:sz w:val="22"/>
                <w:szCs w:val="18"/>
              </w:rPr>
            </w:pPr>
            <w:r w:rsidRPr="00367FBC">
              <w:rPr>
                <w:sz w:val="22"/>
                <w:szCs w:val="18"/>
              </w:rPr>
              <w:t xml:space="preserve">s30GC(5)(d) – the forecast availability and cost of reducing GHG emissions to meet targets. Specifically, there is large uncertainty over the costs of reductions to meet the third emissions budget, and, due to timeframes, increasing the CCR price triggers and ARP can be delayed until this uncertainty has reduced, without jeopardising achievement of the third emissions budget.  </w:t>
            </w:r>
          </w:p>
          <w:p w14:paraId="5841CFFB" w14:textId="4130C7F8" w:rsidR="00995D26" w:rsidRPr="00367FBC" w:rsidRDefault="00995D26" w:rsidP="00C90998">
            <w:pPr>
              <w:pStyle w:val="Bodybullets"/>
              <w:ind w:left="325" w:hanging="283"/>
              <w:contextualSpacing w:val="0"/>
              <w:rPr>
                <w:sz w:val="22"/>
                <w:szCs w:val="18"/>
              </w:rPr>
            </w:pPr>
            <w:r w:rsidRPr="00367FBC">
              <w:rPr>
                <w:sz w:val="22"/>
                <w:szCs w:val="18"/>
              </w:rPr>
              <w:t xml:space="preserve">s30GC(5)(b) – the proper functioning of the NZ ETS. This includes considering the importance of regulatory predictability </w:t>
            </w:r>
            <w:r w:rsidR="00DD11D0" w:rsidRPr="00367FBC">
              <w:rPr>
                <w:sz w:val="22"/>
                <w:szCs w:val="18"/>
              </w:rPr>
              <w:t>given</w:t>
            </w:r>
            <w:r w:rsidR="00ED543F" w:rsidRPr="00367FBC">
              <w:rPr>
                <w:sz w:val="22"/>
                <w:szCs w:val="18"/>
              </w:rPr>
              <w:t xml:space="preserve"> </w:t>
            </w:r>
            <w:r w:rsidR="009B74E8" w:rsidRPr="00367FBC">
              <w:rPr>
                <w:sz w:val="22"/>
                <w:szCs w:val="18"/>
              </w:rPr>
              <w:t xml:space="preserve">the </w:t>
            </w:r>
            <w:r w:rsidR="007002A3" w:rsidRPr="00367FBC">
              <w:rPr>
                <w:sz w:val="22"/>
                <w:szCs w:val="18"/>
              </w:rPr>
              <w:t>current</w:t>
            </w:r>
            <w:r w:rsidR="00087F8C" w:rsidRPr="00367FBC">
              <w:rPr>
                <w:sz w:val="22"/>
                <w:szCs w:val="18"/>
              </w:rPr>
              <w:t xml:space="preserve"> depressed and volatile</w:t>
            </w:r>
            <w:r w:rsidR="007002A3" w:rsidRPr="00367FBC">
              <w:rPr>
                <w:sz w:val="22"/>
                <w:szCs w:val="18"/>
              </w:rPr>
              <w:t xml:space="preserve"> state of the market</w:t>
            </w:r>
            <w:r w:rsidRPr="00367FBC">
              <w:rPr>
                <w:sz w:val="22"/>
                <w:szCs w:val="18"/>
              </w:rPr>
              <w:t xml:space="preserve">. We consider it important for the effectiveness of the NZ ETS that the price settings are not changed unnecessarily, and if there is a need to do so, the change should be signalled as much in advance as possible. Our advice supports this by not recommending changes to the price control settings when it is highly uncertain that this is </w:t>
            </w:r>
            <w:proofErr w:type="gramStart"/>
            <w:r w:rsidRPr="00367FBC">
              <w:rPr>
                <w:sz w:val="22"/>
                <w:szCs w:val="18"/>
              </w:rPr>
              <w:t>needed, but</w:t>
            </w:r>
            <w:proofErr w:type="gramEnd"/>
            <w:r w:rsidRPr="00367FBC">
              <w:rPr>
                <w:sz w:val="22"/>
                <w:szCs w:val="18"/>
              </w:rPr>
              <w:t xml:space="preserve"> rather signalling that depending on how key factors (such as afforestation rates) evolve over the coming years, these settings may need to be increased in future. </w:t>
            </w:r>
          </w:p>
          <w:p w14:paraId="6FD4ABE5" w14:textId="2585FCC4" w:rsidR="00995D26" w:rsidRPr="00367FBC" w:rsidRDefault="00995D26" w:rsidP="00C90998">
            <w:pPr>
              <w:pStyle w:val="Bodybullets"/>
              <w:ind w:left="325" w:hanging="283"/>
              <w:contextualSpacing w:val="0"/>
              <w:rPr>
                <w:sz w:val="22"/>
                <w:szCs w:val="18"/>
              </w:rPr>
            </w:pPr>
            <w:r w:rsidRPr="00367FBC">
              <w:rPr>
                <w:sz w:val="22"/>
                <w:szCs w:val="18"/>
              </w:rPr>
              <w:t>s30GC(5)(f) – any other matter the Commission considers relevant. We consider it relevant that the framework of the Climate Change Response Act does not require a plan be in place to meet the third emissions budget yet, and that policies will continue to evolve over time. This supports our assessment that it is acceptable to wait until some uncertainty is resolved before making a judgement that the price control settings need to increase, despite some evidence that they could be too low.</w:t>
            </w:r>
          </w:p>
          <w:p w14:paraId="4CD3569E" w14:textId="77777777" w:rsidR="00995D26" w:rsidRPr="00367FBC" w:rsidRDefault="00995D26" w:rsidP="00995D26">
            <w:pPr>
              <w:pStyle w:val="Boxtext"/>
              <w:spacing w:after="60"/>
              <w:rPr>
                <w:sz w:val="22"/>
                <w:szCs w:val="18"/>
              </w:rPr>
            </w:pPr>
            <w:r w:rsidRPr="00367FBC">
              <w:rPr>
                <w:sz w:val="22"/>
                <w:szCs w:val="18"/>
              </w:rPr>
              <w:t>We have considered the other matters included in section 30GC, and consider them to be less relevant:</w:t>
            </w:r>
          </w:p>
          <w:p w14:paraId="62AED0ED" w14:textId="4EE040A2" w:rsidR="00995D26" w:rsidRPr="00367FBC" w:rsidRDefault="00995D26" w:rsidP="00C90998">
            <w:pPr>
              <w:pStyle w:val="Bodybullets"/>
              <w:ind w:left="325" w:hanging="283"/>
              <w:contextualSpacing w:val="0"/>
              <w:rPr>
                <w:sz w:val="22"/>
                <w:szCs w:val="18"/>
              </w:rPr>
            </w:pPr>
            <w:r w:rsidRPr="00367FBC">
              <w:rPr>
                <w:sz w:val="22"/>
                <w:szCs w:val="18"/>
              </w:rPr>
              <w:t>s30GC(5)(a) – projected trends of emissions over the next five years. Projections of emissions inside and outside the NZ ETS over the next five years cover the first year of the third emissions budget period. The projections identify a gap to meet the third emissions budget. We have accounted for this in how we have determined the emissions cap for this budget period.</w:t>
            </w:r>
          </w:p>
          <w:p w14:paraId="6791F2A8" w14:textId="616A5BA1" w:rsidR="00995D26" w:rsidRPr="00367FBC" w:rsidRDefault="00995D26" w:rsidP="00C90998">
            <w:pPr>
              <w:pStyle w:val="Bodybullets"/>
              <w:ind w:left="325" w:hanging="283"/>
              <w:contextualSpacing w:val="0"/>
              <w:rPr>
                <w:sz w:val="22"/>
                <w:szCs w:val="18"/>
              </w:rPr>
            </w:pPr>
            <w:r w:rsidRPr="00367FBC">
              <w:rPr>
                <w:sz w:val="22"/>
                <w:szCs w:val="18"/>
              </w:rPr>
              <w:t xml:space="preserve">s30GC(5)(c) – international climate change agreements and offshore mitigation. Offshore mitigation is </w:t>
            </w:r>
            <w:r w:rsidR="00A76489">
              <w:rPr>
                <w:sz w:val="22"/>
                <w:szCs w:val="18"/>
              </w:rPr>
              <w:t xml:space="preserve">of limited relevance for </w:t>
            </w:r>
            <w:r w:rsidR="00540E8F">
              <w:rPr>
                <w:sz w:val="22"/>
                <w:szCs w:val="18"/>
              </w:rPr>
              <w:t xml:space="preserve">the unit limits needed for </w:t>
            </w:r>
            <w:r w:rsidRPr="00367FBC">
              <w:rPr>
                <w:sz w:val="22"/>
                <w:szCs w:val="18"/>
              </w:rPr>
              <w:t>meeting the third emissions budget, since budgets must be planned to be met domestically (s5W and s5Z)</w:t>
            </w:r>
            <w:r w:rsidR="004335A9">
              <w:rPr>
                <w:sz w:val="22"/>
                <w:szCs w:val="18"/>
              </w:rPr>
              <w:t xml:space="preserve">. However, we consider that </w:t>
            </w:r>
            <w:r w:rsidRPr="00367FBC">
              <w:rPr>
                <w:sz w:val="22"/>
                <w:szCs w:val="18"/>
              </w:rPr>
              <w:t xml:space="preserve">it is relevant to the price control triggers that may be needed. </w:t>
            </w:r>
          </w:p>
          <w:p w14:paraId="6516F9B6" w14:textId="40B0956C" w:rsidR="00995D26" w:rsidRPr="00367FBC" w:rsidRDefault="00995D26" w:rsidP="00995D26">
            <w:pPr>
              <w:pStyle w:val="Boxtext"/>
              <w:spacing w:after="60"/>
              <w:rPr>
                <w:sz w:val="22"/>
                <w:szCs w:val="18"/>
              </w:rPr>
            </w:pPr>
            <w:r w:rsidRPr="00367FBC">
              <w:rPr>
                <w:sz w:val="22"/>
                <w:szCs w:val="18"/>
              </w:rPr>
              <w:t>Th</w:t>
            </w:r>
            <w:r w:rsidR="00F343EF" w:rsidRPr="00367FBC">
              <w:rPr>
                <w:sz w:val="22"/>
                <w:szCs w:val="18"/>
              </w:rPr>
              <w:t>e</w:t>
            </w:r>
            <w:r w:rsidRPr="00367FBC">
              <w:rPr>
                <w:sz w:val="22"/>
                <w:szCs w:val="18"/>
              </w:rPr>
              <w:t xml:space="preserve"> discrepancy relates to the price control settings, to which the additional considerations in section 30</w:t>
            </w:r>
            <w:proofErr w:type="gramStart"/>
            <w:r w:rsidRPr="00367FBC">
              <w:rPr>
                <w:sz w:val="22"/>
                <w:szCs w:val="18"/>
              </w:rPr>
              <w:t>GC(</w:t>
            </w:r>
            <w:proofErr w:type="gramEnd"/>
            <w:r w:rsidRPr="00367FBC">
              <w:rPr>
                <w:sz w:val="22"/>
                <w:szCs w:val="18"/>
              </w:rPr>
              <w:t xml:space="preserve">6) also apply: </w:t>
            </w:r>
          </w:p>
          <w:p w14:paraId="3D769D6C" w14:textId="484A2C78" w:rsidR="00995D26" w:rsidRPr="00367FBC" w:rsidRDefault="00995D26" w:rsidP="00C90998">
            <w:pPr>
              <w:pStyle w:val="Bodybullets"/>
              <w:ind w:left="325" w:hanging="283"/>
              <w:contextualSpacing w:val="0"/>
              <w:rPr>
                <w:sz w:val="22"/>
                <w:szCs w:val="18"/>
              </w:rPr>
            </w:pPr>
            <w:r w:rsidRPr="00367FBC">
              <w:rPr>
                <w:sz w:val="22"/>
                <w:szCs w:val="18"/>
              </w:rPr>
              <w:t xml:space="preserve">s30GC(6)(a) – impacts on households and the economy. We have considered the impacts on households and the economy in recommending price control settings. We consider that </w:t>
            </w:r>
            <w:r w:rsidR="00E463A0">
              <w:rPr>
                <w:sz w:val="22"/>
                <w:szCs w:val="18"/>
              </w:rPr>
              <w:t xml:space="preserve">for the third emissions budget period </w:t>
            </w:r>
            <w:r w:rsidRPr="00367FBC">
              <w:rPr>
                <w:sz w:val="22"/>
                <w:szCs w:val="18"/>
              </w:rPr>
              <w:t xml:space="preserve">these impacts </w:t>
            </w:r>
            <w:r w:rsidR="00E463A0">
              <w:rPr>
                <w:sz w:val="22"/>
                <w:szCs w:val="18"/>
              </w:rPr>
              <w:t xml:space="preserve">would </w:t>
            </w:r>
            <w:r w:rsidRPr="00367FBC">
              <w:rPr>
                <w:sz w:val="22"/>
                <w:szCs w:val="18"/>
              </w:rPr>
              <w:t>best be managed using policies separate from the NZ ETS.</w:t>
            </w:r>
          </w:p>
          <w:p w14:paraId="0A821E11" w14:textId="09CEEE8C" w:rsidR="00995D26" w:rsidRPr="00367FBC" w:rsidRDefault="00995D26" w:rsidP="00C90998">
            <w:pPr>
              <w:pStyle w:val="Bodybullets"/>
              <w:ind w:left="325" w:hanging="283"/>
              <w:contextualSpacing w:val="0"/>
              <w:rPr>
                <w:sz w:val="22"/>
                <w:szCs w:val="18"/>
              </w:rPr>
            </w:pPr>
            <w:r w:rsidRPr="00367FBC">
              <w:rPr>
                <w:sz w:val="22"/>
                <w:szCs w:val="18"/>
              </w:rPr>
              <w:t>s30GC(6)(b) – level and trajectory of international emissions prices. We consider that the recommended price triggers are not out of step with the level of and trajectory of international emissions prices. The NZ ETS is not currently linked to any international emissions markets.</w:t>
            </w:r>
          </w:p>
          <w:p w14:paraId="3CC81FE2" w14:textId="25064B5B" w:rsidR="00995D26" w:rsidRPr="00367FBC" w:rsidRDefault="00995D26" w:rsidP="00C90998">
            <w:pPr>
              <w:pStyle w:val="Bodybullets"/>
              <w:ind w:left="325" w:hanging="283"/>
              <w:contextualSpacing w:val="0"/>
              <w:rPr>
                <w:sz w:val="22"/>
                <w:szCs w:val="18"/>
              </w:rPr>
            </w:pPr>
            <w:r w:rsidRPr="00367FBC">
              <w:rPr>
                <w:sz w:val="22"/>
                <w:szCs w:val="18"/>
              </w:rPr>
              <w:t xml:space="preserve">s30GC(6)(c) – inflation. We considered the impact of inflation in recommending the price control settings. We adjusted our recommended ARP and CCR price triggers for forecast inflation. We have considered the likely impacts of the NZ ETS on inflation in recommending the price control settings.  </w:t>
            </w:r>
          </w:p>
          <w:p w14:paraId="1BEDDFB3" w14:textId="78EEBB1D" w:rsidR="0075404A" w:rsidRPr="00367FBC" w:rsidRDefault="0075404A">
            <w:pPr>
              <w:pStyle w:val="Boxtext"/>
              <w:spacing w:after="60"/>
              <w:rPr>
                <w:sz w:val="22"/>
                <w:szCs w:val="18"/>
                <w:highlight w:val="yellow"/>
              </w:rPr>
            </w:pPr>
          </w:p>
        </w:tc>
      </w:tr>
      <w:tr w:rsidR="0075404A" w:rsidRPr="00367FBC" w14:paraId="672BA637" w14:textId="77777777" w:rsidTr="00696962">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14560" w:type="dxa"/>
            <w:gridSpan w:val="2"/>
            <w:shd w:val="clear" w:color="auto" w:fill="D4E8DE"/>
          </w:tcPr>
          <w:p w14:paraId="610064E6" w14:textId="2B9233D1" w:rsidR="0075404A" w:rsidRPr="00367FBC" w:rsidRDefault="00F14C85" w:rsidP="00090797">
            <w:pPr>
              <w:pStyle w:val="Boxtext"/>
              <w:keepNext/>
              <w:spacing w:after="60"/>
              <w:rPr>
                <w:sz w:val="22"/>
                <w:szCs w:val="18"/>
                <w:highlight w:val="yellow"/>
              </w:rPr>
            </w:pPr>
            <w:r w:rsidRPr="00367FBC">
              <w:rPr>
                <w:sz w:val="22"/>
                <w:szCs w:val="18"/>
              </w:rPr>
              <w:t>2050 target</w:t>
            </w:r>
          </w:p>
        </w:tc>
      </w:tr>
      <w:tr w:rsidR="0075404A" w:rsidRPr="00367FBC" w14:paraId="1A451F7B" w14:textId="77777777" w:rsidTr="00C90998">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926" w:type="dxa"/>
            <w:shd w:val="clear" w:color="auto" w:fill="auto"/>
          </w:tcPr>
          <w:p w14:paraId="2370EC8F" w14:textId="0CDB41B6" w:rsidR="00F421C3" w:rsidRPr="00367FBC" w:rsidRDefault="00F421C3" w:rsidP="00F421C3">
            <w:pPr>
              <w:pStyle w:val="Boxtext"/>
              <w:spacing w:after="60"/>
              <w:rPr>
                <w:sz w:val="22"/>
                <w:szCs w:val="18"/>
              </w:rPr>
            </w:pPr>
            <w:r w:rsidRPr="00367FBC">
              <w:rPr>
                <w:sz w:val="22"/>
                <w:szCs w:val="18"/>
              </w:rPr>
              <w:t>The recommended unit limits and price control settings are in line with what is needed to meet the first and second emissions budgets. The emissions budgets act as interim targets that step down to the 2050 target level over the coming decades. The emissions budgets that have been set were based on the Commission’s 2021 advice on the pathway to achieving the 2050 target. By according the NZ ETS settings with meeting emissions budgets, we consider that the settings also strictly accord with meeting the 2050 target.</w:t>
            </w:r>
          </w:p>
          <w:p w14:paraId="3E3001FE" w14:textId="497B084F" w:rsidR="00F421C3" w:rsidRPr="00367FBC" w:rsidRDefault="00F421C3" w:rsidP="00F421C3">
            <w:pPr>
              <w:pStyle w:val="Boxtext"/>
              <w:spacing w:after="60"/>
              <w:rPr>
                <w:sz w:val="22"/>
                <w:szCs w:val="18"/>
              </w:rPr>
            </w:pPr>
            <w:r w:rsidRPr="00367FBC">
              <w:rPr>
                <w:sz w:val="22"/>
                <w:szCs w:val="18"/>
              </w:rPr>
              <w:t>Despite the recommended settings according, but not strictly according, with the third emissions budget, we still consider that there is strict accordance with the 2050 target. This is because the 2025 government emissions projections meet the long</w:t>
            </w:r>
            <w:r w:rsidR="00D72809">
              <w:rPr>
                <w:sz w:val="22"/>
                <w:szCs w:val="18"/>
              </w:rPr>
              <w:t>-</w:t>
            </w:r>
            <w:r w:rsidRPr="00367FBC">
              <w:rPr>
                <w:sz w:val="22"/>
                <w:szCs w:val="18"/>
              </w:rPr>
              <w:t>lived gas</w:t>
            </w:r>
            <w:r w:rsidR="00447863">
              <w:rPr>
                <w:sz w:val="22"/>
                <w:szCs w:val="18"/>
              </w:rPr>
              <w:t xml:space="preserve"> component of the 2050</w:t>
            </w:r>
            <w:r w:rsidRPr="00367FBC">
              <w:rPr>
                <w:sz w:val="22"/>
                <w:szCs w:val="18"/>
              </w:rPr>
              <w:t xml:space="preserve"> target, despite not meeting the third emissions budget. As </w:t>
            </w:r>
            <w:proofErr w:type="gramStart"/>
            <w:r w:rsidRPr="00367FBC">
              <w:rPr>
                <w:sz w:val="22"/>
                <w:szCs w:val="18"/>
              </w:rPr>
              <w:t>the vast majority of</w:t>
            </w:r>
            <w:proofErr w:type="gramEnd"/>
            <w:r w:rsidRPr="00367FBC">
              <w:rPr>
                <w:sz w:val="22"/>
                <w:szCs w:val="18"/>
              </w:rPr>
              <w:t xml:space="preserve"> emissions covered by the </w:t>
            </w:r>
            <w:r w:rsidR="00DE6FB7">
              <w:rPr>
                <w:sz w:val="22"/>
                <w:szCs w:val="18"/>
              </w:rPr>
              <w:t xml:space="preserve">NZ </w:t>
            </w:r>
            <w:r w:rsidRPr="00367FBC">
              <w:rPr>
                <w:sz w:val="22"/>
                <w:szCs w:val="18"/>
              </w:rPr>
              <w:t>ETS are within the long-lived gas component of the 2050 target, we consider this the key component of the 2050 target to consider</w:t>
            </w:r>
            <w:r w:rsidR="00DE6FB7">
              <w:rPr>
                <w:sz w:val="22"/>
                <w:szCs w:val="18"/>
              </w:rPr>
              <w:t xml:space="preserve"> in assessing accordance</w:t>
            </w:r>
            <w:r w:rsidRPr="00367FBC">
              <w:rPr>
                <w:sz w:val="22"/>
                <w:szCs w:val="18"/>
              </w:rPr>
              <w:t xml:space="preserve">. </w:t>
            </w:r>
          </w:p>
          <w:p w14:paraId="52C93128" w14:textId="77777777" w:rsidR="00F421C3" w:rsidRPr="00367FBC" w:rsidRDefault="00F421C3" w:rsidP="00F421C3">
            <w:pPr>
              <w:pStyle w:val="Boxtext"/>
              <w:spacing w:after="60"/>
              <w:rPr>
                <w:sz w:val="22"/>
                <w:szCs w:val="18"/>
              </w:rPr>
            </w:pPr>
            <w:r w:rsidRPr="00367FBC">
              <w:rPr>
                <w:sz w:val="22"/>
                <w:szCs w:val="18"/>
              </w:rPr>
              <w:t xml:space="preserve">The 2050 target also includes 2030 and 2050 biogenic methane targets. </w:t>
            </w:r>
          </w:p>
          <w:p w14:paraId="0B6FBB1A" w14:textId="69099E40" w:rsidR="00F421C3" w:rsidRPr="00367FBC" w:rsidRDefault="00F421C3" w:rsidP="00F421C3">
            <w:pPr>
              <w:pStyle w:val="Boxtext"/>
              <w:spacing w:after="60"/>
              <w:rPr>
                <w:sz w:val="22"/>
                <w:szCs w:val="18"/>
              </w:rPr>
            </w:pPr>
            <w:r w:rsidRPr="00367FBC">
              <w:rPr>
                <w:sz w:val="22"/>
                <w:szCs w:val="18"/>
              </w:rPr>
              <w:t xml:space="preserve">The 2025 government emissions projections meet the 2050 biogenic methane target, but </w:t>
            </w:r>
            <w:r w:rsidR="0003677B">
              <w:rPr>
                <w:sz w:val="22"/>
                <w:szCs w:val="18"/>
              </w:rPr>
              <w:t>do not meet</w:t>
            </w:r>
            <w:r w:rsidR="0003677B" w:rsidRPr="00367FBC">
              <w:rPr>
                <w:sz w:val="22"/>
                <w:szCs w:val="18"/>
              </w:rPr>
              <w:t xml:space="preserve"> </w:t>
            </w:r>
            <w:r w:rsidRPr="00367FBC">
              <w:rPr>
                <w:sz w:val="22"/>
                <w:szCs w:val="18"/>
              </w:rPr>
              <w:t>the 2030 target</w:t>
            </w:r>
            <w:r w:rsidR="0063719F">
              <w:rPr>
                <w:sz w:val="22"/>
                <w:szCs w:val="18"/>
              </w:rPr>
              <w:t xml:space="preserve"> (i.e. emissions are </w:t>
            </w:r>
            <w:r w:rsidR="00C563EB">
              <w:rPr>
                <w:sz w:val="22"/>
                <w:szCs w:val="18"/>
              </w:rPr>
              <w:t xml:space="preserve">projected to be </w:t>
            </w:r>
            <w:r w:rsidR="0063719F">
              <w:rPr>
                <w:sz w:val="22"/>
                <w:szCs w:val="18"/>
              </w:rPr>
              <w:t>above the 2030 target level)</w:t>
            </w:r>
            <w:r w:rsidRPr="00367FBC">
              <w:rPr>
                <w:sz w:val="22"/>
                <w:szCs w:val="18"/>
              </w:rPr>
              <w:t xml:space="preserve">. There is </w:t>
            </w:r>
            <w:proofErr w:type="gramStart"/>
            <w:r w:rsidRPr="00367FBC">
              <w:rPr>
                <w:sz w:val="22"/>
                <w:szCs w:val="18"/>
              </w:rPr>
              <w:t>particular uncertainty</w:t>
            </w:r>
            <w:proofErr w:type="gramEnd"/>
            <w:r w:rsidRPr="00367FBC">
              <w:rPr>
                <w:sz w:val="22"/>
                <w:szCs w:val="18"/>
              </w:rPr>
              <w:t xml:space="preserve"> in the emissions projections for biogenic methane</w:t>
            </w:r>
            <w:r w:rsidR="00E03277">
              <w:rPr>
                <w:sz w:val="22"/>
                <w:szCs w:val="18"/>
              </w:rPr>
              <w:t xml:space="preserve"> after 2030</w:t>
            </w:r>
            <w:r w:rsidRPr="00367FBC">
              <w:rPr>
                <w:sz w:val="22"/>
                <w:szCs w:val="18"/>
              </w:rPr>
              <w:t>, with the</w:t>
            </w:r>
            <w:r w:rsidR="0088007A">
              <w:rPr>
                <w:sz w:val="22"/>
                <w:szCs w:val="18"/>
              </w:rPr>
              <w:t xml:space="preserve"> 2025</w:t>
            </w:r>
            <w:r w:rsidRPr="00367FBC">
              <w:rPr>
                <w:sz w:val="22"/>
                <w:szCs w:val="18"/>
              </w:rPr>
              <w:t xml:space="preserve"> government </w:t>
            </w:r>
            <w:r w:rsidR="0088007A">
              <w:rPr>
                <w:sz w:val="22"/>
                <w:szCs w:val="18"/>
              </w:rPr>
              <w:t xml:space="preserve">emissions projections </w:t>
            </w:r>
            <w:r w:rsidRPr="00367FBC">
              <w:rPr>
                <w:sz w:val="22"/>
                <w:szCs w:val="18"/>
              </w:rPr>
              <w:t xml:space="preserve">taking a “scenario” modelling approach rather than strictly projecting the expected emissions outcomes under their planned policy. While the central “with additional measures” emissions scenario meets the 2050 biogenic methane target, the higher “with additional measures” emissions scenario and the “with existing measures” projection do not. </w:t>
            </w:r>
            <w:proofErr w:type="gramStart"/>
            <w:r w:rsidRPr="00367FBC">
              <w:rPr>
                <w:sz w:val="22"/>
                <w:szCs w:val="18"/>
              </w:rPr>
              <w:t>This highlights</w:t>
            </w:r>
            <w:proofErr w:type="gramEnd"/>
            <w:r w:rsidRPr="00367FBC">
              <w:rPr>
                <w:sz w:val="22"/>
                <w:szCs w:val="18"/>
              </w:rPr>
              <w:t xml:space="preserve"> risks to achieving the biogenic methane components of the 2050 target. </w:t>
            </w:r>
          </w:p>
          <w:p w14:paraId="586999AE" w14:textId="55750138" w:rsidR="00F421C3" w:rsidRPr="00367FBC" w:rsidRDefault="00F520EF" w:rsidP="00F421C3">
            <w:pPr>
              <w:pStyle w:val="Boxtext"/>
              <w:spacing w:after="60"/>
              <w:rPr>
                <w:sz w:val="22"/>
                <w:szCs w:val="18"/>
              </w:rPr>
            </w:pPr>
            <w:r>
              <w:rPr>
                <w:sz w:val="22"/>
                <w:szCs w:val="18"/>
              </w:rPr>
              <w:t>The NZ ETS covers o</w:t>
            </w:r>
            <w:r w:rsidRPr="00367FBC">
              <w:rPr>
                <w:sz w:val="22"/>
                <w:szCs w:val="18"/>
              </w:rPr>
              <w:t>nly</w:t>
            </w:r>
            <w:r w:rsidR="00F421C3" w:rsidRPr="00367FBC">
              <w:rPr>
                <w:sz w:val="22"/>
                <w:szCs w:val="18"/>
              </w:rPr>
              <w:t xml:space="preserve"> a very small proportion of biogenic methane emissions</w:t>
            </w:r>
            <w:r w:rsidR="00421794">
              <w:rPr>
                <w:sz w:val="22"/>
                <w:szCs w:val="18"/>
              </w:rPr>
              <w:t xml:space="preserve">. In addition, </w:t>
            </w:r>
            <w:r w:rsidR="00046BB8">
              <w:rPr>
                <w:sz w:val="22"/>
                <w:szCs w:val="18"/>
              </w:rPr>
              <w:t xml:space="preserve">the NZ ETS </w:t>
            </w:r>
            <w:r w:rsidR="000F3A29">
              <w:rPr>
                <w:sz w:val="22"/>
                <w:szCs w:val="18"/>
              </w:rPr>
              <w:t>provid</w:t>
            </w:r>
            <w:r w:rsidR="00DE47AF">
              <w:rPr>
                <w:sz w:val="22"/>
                <w:szCs w:val="18"/>
              </w:rPr>
              <w:t xml:space="preserve">es a </w:t>
            </w:r>
            <w:r w:rsidR="00485A63">
              <w:rPr>
                <w:sz w:val="22"/>
                <w:szCs w:val="18"/>
              </w:rPr>
              <w:t xml:space="preserve">price incentive that is neutral to </w:t>
            </w:r>
            <w:r w:rsidR="0099014D">
              <w:rPr>
                <w:sz w:val="22"/>
                <w:szCs w:val="18"/>
              </w:rPr>
              <w:t xml:space="preserve">how and where </w:t>
            </w:r>
            <w:r w:rsidR="00720BE1">
              <w:rPr>
                <w:sz w:val="22"/>
                <w:szCs w:val="18"/>
              </w:rPr>
              <w:t>emissions reductions are achieve</w:t>
            </w:r>
            <w:r w:rsidR="00CD4AF2">
              <w:rPr>
                <w:sz w:val="22"/>
                <w:szCs w:val="18"/>
              </w:rPr>
              <w:t>d. B</w:t>
            </w:r>
            <w:r w:rsidR="00DA5347">
              <w:rPr>
                <w:sz w:val="22"/>
                <w:szCs w:val="18"/>
              </w:rPr>
              <w:t xml:space="preserve">y design, </w:t>
            </w:r>
            <w:r w:rsidR="00CD4AF2">
              <w:rPr>
                <w:sz w:val="22"/>
                <w:szCs w:val="18"/>
              </w:rPr>
              <w:t xml:space="preserve">the NZ ETS </w:t>
            </w:r>
            <w:r w:rsidR="00720BE1">
              <w:rPr>
                <w:sz w:val="22"/>
                <w:szCs w:val="18"/>
              </w:rPr>
              <w:t xml:space="preserve">cannot target </w:t>
            </w:r>
            <w:r w:rsidR="00DA5347">
              <w:rPr>
                <w:sz w:val="22"/>
                <w:szCs w:val="18"/>
              </w:rPr>
              <w:t>reductions in a particular sector or to a parti</w:t>
            </w:r>
            <w:r w:rsidR="003B3F5A">
              <w:rPr>
                <w:sz w:val="22"/>
                <w:szCs w:val="18"/>
              </w:rPr>
              <w:t>cular greenhouse gas.</w:t>
            </w:r>
            <w:r w:rsidR="00F421C3" w:rsidRPr="00367FBC">
              <w:rPr>
                <w:sz w:val="22"/>
                <w:szCs w:val="18"/>
              </w:rPr>
              <w:t xml:space="preserve"> </w:t>
            </w:r>
            <w:r w:rsidR="003B3F5A">
              <w:rPr>
                <w:sz w:val="22"/>
                <w:szCs w:val="18"/>
              </w:rPr>
              <w:t xml:space="preserve">Together, these features of </w:t>
            </w:r>
            <w:r w:rsidR="0000450F">
              <w:rPr>
                <w:sz w:val="22"/>
                <w:szCs w:val="18"/>
              </w:rPr>
              <w:t xml:space="preserve">the NZ ETS mean that it </w:t>
            </w:r>
            <w:r w:rsidR="00F421C3" w:rsidRPr="00367FBC">
              <w:rPr>
                <w:sz w:val="22"/>
                <w:szCs w:val="18"/>
              </w:rPr>
              <w:t xml:space="preserve">has no real ability to address any shortfall in meeting </w:t>
            </w:r>
            <w:r w:rsidR="00172AAF">
              <w:rPr>
                <w:sz w:val="22"/>
                <w:szCs w:val="18"/>
              </w:rPr>
              <w:t xml:space="preserve">the biogenic methane components of the 2050 </w:t>
            </w:r>
            <w:r w:rsidR="00F421C3" w:rsidRPr="00367FBC">
              <w:rPr>
                <w:sz w:val="22"/>
                <w:szCs w:val="18"/>
              </w:rPr>
              <w:t xml:space="preserve">target. We therefore do not consider that the risk </w:t>
            </w:r>
            <w:r w:rsidR="00BA7B97">
              <w:rPr>
                <w:sz w:val="22"/>
                <w:szCs w:val="18"/>
              </w:rPr>
              <w:t xml:space="preserve">of not </w:t>
            </w:r>
            <w:r w:rsidR="00F421C3" w:rsidRPr="00367FBC">
              <w:rPr>
                <w:sz w:val="22"/>
                <w:szCs w:val="18"/>
              </w:rPr>
              <w:t>meeting the</w:t>
            </w:r>
            <w:r w:rsidR="00BA7B97">
              <w:rPr>
                <w:sz w:val="22"/>
                <w:szCs w:val="18"/>
              </w:rPr>
              <w:t>se</w:t>
            </w:r>
            <w:r w:rsidR="00F421C3" w:rsidRPr="00367FBC">
              <w:rPr>
                <w:sz w:val="22"/>
                <w:szCs w:val="18"/>
              </w:rPr>
              <w:t xml:space="preserve"> biogenic methane targets impacts our assessment of accordance of the </w:t>
            </w:r>
            <w:r w:rsidR="00BA7B97">
              <w:rPr>
                <w:sz w:val="22"/>
                <w:szCs w:val="18"/>
              </w:rPr>
              <w:t xml:space="preserve">NZ </w:t>
            </w:r>
            <w:r w:rsidR="00F421C3" w:rsidRPr="00367FBC">
              <w:rPr>
                <w:sz w:val="22"/>
                <w:szCs w:val="18"/>
              </w:rPr>
              <w:t xml:space="preserve">ETS settings with the 2050 target. </w:t>
            </w:r>
          </w:p>
          <w:p w14:paraId="66397BC1" w14:textId="796C10DA" w:rsidR="00F421C3" w:rsidRPr="00367FBC" w:rsidRDefault="00F421C3" w:rsidP="00F421C3">
            <w:pPr>
              <w:pStyle w:val="Boxtext"/>
              <w:spacing w:after="60"/>
              <w:rPr>
                <w:sz w:val="22"/>
                <w:szCs w:val="18"/>
              </w:rPr>
            </w:pPr>
            <w:r w:rsidRPr="00367FBC">
              <w:rPr>
                <w:sz w:val="22"/>
                <w:szCs w:val="18"/>
              </w:rPr>
              <w:t xml:space="preserve">More generally, we note that considering effects of the NZ ETS settings on meeting the 2050 target involves looking 25 years into the </w:t>
            </w:r>
            <w:proofErr w:type="gramStart"/>
            <w:r w:rsidRPr="00367FBC">
              <w:rPr>
                <w:sz w:val="22"/>
                <w:szCs w:val="18"/>
              </w:rPr>
              <w:t>future, and</w:t>
            </w:r>
            <w:proofErr w:type="gramEnd"/>
            <w:r w:rsidRPr="00367FBC">
              <w:rPr>
                <w:sz w:val="22"/>
                <w:szCs w:val="18"/>
              </w:rPr>
              <w:t xml:space="preserve"> so involves high levels of uncertainty. There are many factors that will influence emissions over that period</w:t>
            </w:r>
            <w:r w:rsidR="00AA099D">
              <w:rPr>
                <w:sz w:val="22"/>
                <w:szCs w:val="18"/>
              </w:rPr>
              <w:t xml:space="preserve"> which</w:t>
            </w:r>
            <w:r w:rsidRPr="00367FBC">
              <w:rPr>
                <w:sz w:val="22"/>
                <w:szCs w:val="18"/>
              </w:rPr>
              <w:t xml:space="preserve"> the settings recommended for 2027</w:t>
            </w:r>
            <w:r w:rsidR="00F520EF">
              <w:rPr>
                <w:sz w:val="22"/>
                <w:szCs w:val="18"/>
              </w:rPr>
              <w:t>–</w:t>
            </w:r>
            <w:r w:rsidRPr="00367FBC">
              <w:rPr>
                <w:sz w:val="22"/>
                <w:szCs w:val="18"/>
              </w:rPr>
              <w:t xml:space="preserve">2031 cannot influence, due to their limited scope in time and the limited scope of the NZ ETS. </w:t>
            </w:r>
            <w:r w:rsidR="00380ED6">
              <w:rPr>
                <w:sz w:val="22"/>
                <w:szCs w:val="18"/>
              </w:rPr>
              <w:t xml:space="preserve">As noted in </w:t>
            </w:r>
            <w:r w:rsidR="00883B85" w:rsidRPr="00C90998">
              <w:rPr>
                <w:i/>
                <w:iCs/>
                <w:sz w:val="22"/>
                <w:szCs w:val="18"/>
              </w:rPr>
              <w:t>Chapter 6: Discussion and recommendations</w:t>
            </w:r>
            <w:r w:rsidR="00883B85">
              <w:rPr>
                <w:sz w:val="22"/>
                <w:szCs w:val="18"/>
              </w:rPr>
              <w:t xml:space="preserve"> in </w:t>
            </w:r>
            <w:r w:rsidR="00380ED6">
              <w:rPr>
                <w:sz w:val="22"/>
                <w:szCs w:val="18"/>
              </w:rPr>
              <w:t xml:space="preserve">the advice report, </w:t>
            </w:r>
            <w:r w:rsidR="00844750">
              <w:rPr>
                <w:sz w:val="22"/>
                <w:szCs w:val="18"/>
              </w:rPr>
              <w:t xml:space="preserve">based on </w:t>
            </w:r>
            <w:r w:rsidR="008E3D78">
              <w:rPr>
                <w:sz w:val="22"/>
                <w:szCs w:val="18"/>
              </w:rPr>
              <w:t xml:space="preserve">its </w:t>
            </w:r>
            <w:r w:rsidR="00844750">
              <w:rPr>
                <w:sz w:val="22"/>
                <w:szCs w:val="18"/>
              </w:rPr>
              <w:t>current scope and structure</w:t>
            </w:r>
            <w:r w:rsidR="008E3D78">
              <w:rPr>
                <w:sz w:val="22"/>
                <w:szCs w:val="18"/>
              </w:rPr>
              <w:t xml:space="preserve"> the NZ ETS </w:t>
            </w:r>
            <w:r w:rsidR="00945DC1">
              <w:rPr>
                <w:sz w:val="22"/>
                <w:szCs w:val="18"/>
              </w:rPr>
              <w:t xml:space="preserve">could </w:t>
            </w:r>
            <w:r w:rsidR="00A32840">
              <w:rPr>
                <w:sz w:val="22"/>
                <w:szCs w:val="18"/>
              </w:rPr>
              <w:t xml:space="preserve">lose its ability to drive further net emissions reductions </w:t>
            </w:r>
            <w:r w:rsidR="00945DC1">
              <w:rPr>
                <w:sz w:val="22"/>
                <w:szCs w:val="18"/>
              </w:rPr>
              <w:t>from the mid-2030s onwards</w:t>
            </w:r>
            <w:r w:rsidR="00B01A38">
              <w:rPr>
                <w:sz w:val="22"/>
                <w:szCs w:val="18"/>
              </w:rPr>
              <w:t>, before the long</w:t>
            </w:r>
            <w:r w:rsidR="00F520EF">
              <w:rPr>
                <w:sz w:val="22"/>
                <w:szCs w:val="18"/>
              </w:rPr>
              <w:t>-</w:t>
            </w:r>
            <w:r w:rsidR="00B01A38">
              <w:rPr>
                <w:sz w:val="22"/>
                <w:szCs w:val="18"/>
              </w:rPr>
              <w:t xml:space="preserve">lived gas component of the 2050 target has been achieved. </w:t>
            </w:r>
            <w:r w:rsidR="00B27156">
              <w:rPr>
                <w:sz w:val="22"/>
                <w:szCs w:val="18"/>
              </w:rPr>
              <w:t xml:space="preserve">There </w:t>
            </w:r>
            <w:r w:rsidR="0089109E">
              <w:rPr>
                <w:sz w:val="22"/>
                <w:szCs w:val="18"/>
              </w:rPr>
              <w:t xml:space="preserve">is </w:t>
            </w:r>
            <w:r w:rsidR="00844750">
              <w:rPr>
                <w:sz w:val="22"/>
                <w:szCs w:val="18"/>
              </w:rPr>
              <w:t xml:space="preserve">significant </w:t>
            </w:r>
            <w:r w:rsidRPr="00367FBC">
              <w:rPr>
                <w:sz w:val="22"/>
                <w:szCs w:val="18"/>
              </w:rPr>
              <w:t>uncertaint</w:t>
            </w:r>
            <w:r w:rsidR="0089109E">
              <w:rPr>
                <w:sz w:val="22"/>
                <w:szCs w:val="18"/>
              </w:rPr>
              <w:t>y</w:t>
            </w:r>
            <w:r w:rsidRPr="00367FBC">
              <w:rPr>
                <w:sz w:val="22"/>
                <w:szCs w:val="18"/>
              </w:rPr>
              <w:t xml:space="preserve"> about the effectiveness of the NZ ETS past the mid-2030s as continued industrial allocation may stop the scheme from being able to achieve net-zero emissions. There are also uncertainties about the policies applying to emissions outside the NZ ETS and the trajectory for those emissions, which are mostly methane and nitrous oxide from agriculture. </w:t>
            </w:r>
          </w:p>
          <w:p w14:paraId="25C4D0CE" w14:textId="149013F1" w:rsidR="0075404A" w:rsidRPr="00367FBC" w:rsidRDefault="00F421C3" w:rsidP="00F421C3">
            <w:pPr>
              <w:pStyle w:val="Boxtext"/>
              <w:spacing w:after="60"/>
              <w:rPr>
                <w:sz w:val="22"/>
                <w:szCs w:val="18"/>
                <w:highlight w:val="yellow"/>
              </w:rPr>
            </w:pPr>
            <w:r w:rsidRPr="00367FBC">
              <w:rPr>
                <w:sz w:val="22"/>
                <w:szCs w:val="18"/>
              </w:rPr>
              <w:t xml:space="preserve">The risks that these </w:t>
            </w:r>
            <w:r w:rsidR="00EC584A">
              <w:rPr>
                <w:sz w:val="22"/>
                <w:szCs w:val="18"/>
              </w:rPr>
              <w:t xml:space="preserve">issues </w:t>
            </w:r>
            <w:r w:rsidRPr="00367FBC">
              <w:rPr>
                <w:sz w:val="22"/>
                <w:szCs w:val="18"/>
              </w:rPr>
              <w:t>present to the achievement of the 2050 target are issues that cannot be addressed or corrected for by amending the NZ ETS unit limit and price control settings for the 2027</w:t>
            </w:r>
            <w:r w:rsidR="00D84664">
              <w:rPr>
                <w:sz w:val="22"/>
                <w:szCs w:val="18"/>
              </w:rPr>
              <w:t>–</w:t>
            </w:r>
            <w:r w:rsidRPr="00367FBC">
              <w:rPr>
                <w:sz w:val="22"/>
                <w:szCs w:val="18"/>
              </w:rPr>
              <w:t xml:space="preserve">2031 period. Therefore, we do not consider that these future challenges or policy gaps undermine </w:t>
            </w:r>
            <w:r w:rsidR="0089109E">
              <w:rPr>
                <w:sz w:val="22"/>
                <w:szCs w:val="18"/>
              </w:rPr>
              <w:t xml:space="preserve">or are relevant to </w:t>
            </w:r>
            <w:r w:rsidRPr="00367FBC">
              <w:rPr>
                <w:sz w:val="22"/>
                <w:szCs w:val="18"/>
              </w:rPr>
              <w:t>the recommended settings’ accordance with the 2050 target.</w:t>
            </w:r>
          </w:p>
        </w:tc>
        <w:tc>
          <w:tcPr>
            <w:tcW w:w="5634" w:type="dxa"/>
            <w:shd w:val="clear" w:color="auto" w:fill="auto"/>
          </w:tcPr>
          <w:p w14:paraId="0A8B3A38" w14:textId="1AA52852" w:rsidR="0075404A" w:rsidRPr="00367FBC" w:rsidRDefault="00F421C3">
            <w:pPr>
              <w:spacing w:after="160" w:line="278" w:lineRule="auto"/>
              <w:rPr>
                <w:sz w:val="22"/>
                <w:szCs w:val="18"/>
              </w:rPr>
            </w:pPr>
            <w:r w:rsidRPr="00367FBC">
              <w:rPr>
                <w:sz w:val="22"/>
                <w:szCs w:val="18"/>
              </w:rPr>
              <w:t>We assess that the recommended settings strictly accord with the 2050 target.</w:t>
            </w:r>
          </w:p>
        </w:tc>
      </w:tr>
    </w:tbl>
    <w:p w14:paraId="6303293F" w14:textId="77777777" w:rsidR="002360D8" w:rsidRDefault="002360D8" w:rsidP="00151CDB">
      <w:pPr>
        <w:spacing w:before="0" w:after="0" w:line="240" w:lineRule="auto"/>
      </w:pPr>
    </w:p>
    <w:p w14:paraId="2027DDB5" w14:textId="77777777" w:rsidR="002360D8" w:rsidRDefault="002360D8" w:rsidP="00151CDB">
      <w:pPr>
        <w:spacing w:before="0" w:after="0" w:line="240" w:lineRule="auto"/>
        <w:sectPr w:rsidR="002360D8" w:rsidSect="00C90998">
          <w:pgSz w:w="16838" w:h="11906" w:orient="landscape"/>
          <w:pgMar w:top="1418" w:right="1134" w:bottom="1418" w:left="1134" w:header="709" w:footer="624" w:gutter="0"/>
          <w:cols w:space="708"/>
          <w:titlePg/>
          <w:docGrid w:linePitch="360"/>
        </w:sectPr>
      </w:pPr>
    </w:p>
    <w:p w14:paraId="11816137" w14:textId="7CC44603" w:rsidR="00EE4568" w:rsidRDefault="00EE4568" w:rsidP="00EE4568">
      <w:pPr>
        <w:pStyle w:val="Heading1nonumber"/>
        <w:rPr>
          <w:lang w:val="en-US"/>
        </w:rPr>
      </w:pPr>
      <w:bookmarkStart w:id="20" w:name="_Toc227679729"/>
      <w:r>
        <w:rPr>
          <w:lang w:val="en-US"/>
        </w:rPr>
        <w:t xml:space="preserve">2. </w:t>
      </w:r>
      <w:r w:rsidRPr="00472160">
        <w:rPr>
          <w:lang w:val="en-US"/>
        </w:rPr>
        <w:t xml:space="preserve">Summary of how </w:t>
      </w:r>
      <w:r>
        <w:rPr>
          <w:lang w:val="en-US"/>
        </w:rPr>
        <w:t xml:space="preserve">we have addressed </w:t>
      </w:r>
      <w:r w:rsidRPr="00472160">
        <w:rPr>
          <w:lang w:val="en-US"/>
        </w:rPr>
        <w:t>legislative requirements and considerations</w:t>
      </w:r>
      <w:bookmarkEnd w:id="20"/>
    </w:p>
    <w:p w14:paraId="2B7B283D" w14:textId="77777777" w:rsidR="00EE4568" w:rsidRDefault="00EE4568" w:rsidP="00EE4568">
      <w:pPr>
        <w:pStyle w:val="BodyText"/>
      </w:pPr>
      <w:r>
        <w:t>Under the Climate Change Response Act 2002, in relation to He Pou a Rangi Climate Change Commission’s annual recommendations about NZ ETS unit limits and price control settings, the Commission has three principal obligations.</w:t>
      </w:r>
    </w:p>
    <w:p w14:paraId="2EC37AE9" w14:textId="77777777" w:rsidR="00EE4568" w:rsidRDefault="00EE4568" w:rsidP="00EE4568">
      <w:pPr>
        <w:pStyle w:val="BodyText"/>
      </w:pPr>
      <w:r>
        <w:t>The recommendations must:</w:t>
      </w:r>
    </w:p>
    <w:p w14:paraId="1C4F12D1" w14:textId="77777777" w:rsidR="00EE4568" w:rsidRDefault="00EE4568" w:rsidP="003C70DA">
      <w:pPr>
        <w:pStyle w:val="Numberlist"/>
        <w:numPr>
          <w:ilvl w:val="0"/>
          <w:numId w:val="18"/>
        </w:numPr>
      </w:pPr>
      <w:r>
        <w:t>cover the limits and price control settings for each year that the Minister must cover</w:t>
      </w:r>
    </w:p>
    <w:p w14:paraId="20918B0F" w14:textId="77777777" w:rsidR="00EE4568" w:rsidRDefault="00EE4568" w:rsidP="003C70DA">
      <w:pPr>
        <w:pStyle w:val="Numberlist"/>
        <w:numPr>
          <w:ilvl w:val="0"/>
          <w:numId w:val="18"/>
        </w:numPr>
      </w:pPr>
      <w:r>
        <w:t>be made in accordance with:</w:t>
      </w:r>
    </w:p>
    <w:p w14:paraId="0A907B98" w14:textId="77777777" w:rsidR="00EE4568" w:rsidRDefault="00EE4568" w:rsidP="003C70DA">
      <w:pPr>
        <w:pStyle w:val="Numberlist"/>
        <w:numPr>
          <w:ilvl w:val="1"/>
          <w:numId w:val="18"/>
        </w:numPr>
        <w:ind w:left="993" w:hanging="284"/>
      </w:pPr>
      <w:r>
        <w:t>the requirements of sections 30GB and 30GC (except for s30GC(5)(e)) that apply to the making of the Minister’s recommendations</w:t>
      </w:r>
    </w:p>
    <w:p w14:paraId="63E23216" w14:textId="77777777" w:rsidR="00EE4568" w:rsidRDefault="00EE4568" w:rsidP="003C70DA">
      <w:pPr>
        <w:pStyle w:val="Numberlist"/>
        <w:numPr>
          <w:ilvl w:val="1"/>
          <w:numId w:val="18"/>
        </w:numPr>
        <w:ind w:left="993" w:hanging="284"/>
      </w:pPr>
      <w:r>
        <w:t xml:space="preserve">the Commission’s other duties, for example: </w:t>
      </w:r>
    </w:p>
    <w:p w14:paraId="77A854D9" w14:textId="77777777" w:rsidR="00EE4568" w:rsidRDefault="00EE4568" w:rsidP="003C70DA">
      <w:pPr>
        <w:pStyle w:val="Numberlist"/>
        <w:numPr>
          <w:ilvl w:val="2"/>
          <w:numId w:val="18"/>
        </w:numPr>
        <w:ind w:left="1418" w:hanging="284"/>
      </w:pPr>
      <w:r>
        <w:t>to consider, where they are relevant, the matters set out in s5M of the Act</w:t>
      </w:r>
    </w:p>
    <w:p w14:paraId="0FCC0764" w14:textId="77777777" w:rsidR="00EE4568" w:rsidRDefault="00EE4568" w:rsidP="003C70DA">
      <w:pPr>
        <w:pStyle w:val="Numberlist"/>
        <w:numPr>
          <w:ilvl w:val="2"/>
          <w:numId w:val="18"/>
        </w:numPr>
        <w:ind w:left="1418" w:hanging="284"/>
      </w:pPr>
      <w:r>
        <w:t>to proactively engage and provide for public consultation where necessary (s5N)</w:t>
      </w:r>
    </w:p>
    <w:p w14:paraId="214432DD" w14:textId="77777777" w:rsidR="00EE4568" w:rsidRDefault="00EE4568" w:rsidP="003C70DA">
      <w:pPr>
        <w:pStyle w:val="Numberlist"/>
        <w:numPr>
          <w:ilvl w:val="2"/>
          <w:numId w:val="18"/>
        </w:numPr>
        <w:ind w:left="1418" w:hanging="284"/>
      </w:pPr>
      <w:r>
        <w:t>to act independently (s5O)</w:t>
      </w:r>
    </w:p>
    <w:p w14:paraId="50601037" w14:textId="77777777" w:rsidR="00EE4568" w:rsidRDefault="00EE4568" w:rsidP="003C70DA">
      <w:pPr>
        <w:pStyle w:val="Numberlist"/>
        <w:numPr>
          <w:ilvl w:val="2"/>
          <w:numId w:val="18"/>
        </w:numPr>
        <w:ind w:left="1418" w:hanging="284"/>
      </w:pPr>
      <w:r>
        <w:t>to act in a manner consistent with the purpose of the Act (s3).</w:t>
      </w:r>
    </w:p>
    <w:p w14:paraId="105AF635" w14:textId="77777777" w:rsidR="00EE4568" w:rsidRPr="004B5C8B" w:rsidRDefault="00EE4568" w:rsidP="003C70DA">
      <w:pPr>
        <w:pStyle w:val="BodyText"/>
        <w:numPr>
          <w:ilvl w:val="0"/>
          <w:numId w:val="18"/>
        </w:numPr>
      </w:pPr>
      <w:r>
        <w:t xml:space="preserve">be given to the Minister a reasonable time before the Minister is required to </w:t>
      </w:r>
      <w:r w:rsidRPr="004B5C8B">
        <w:t>recommend the making of regulations.</w:t>
      </w:r>
    </w:p>
    <w:p w14:paraId="0CA41C22" w14:textId="77777777" w:rsidR="00EE4568" w:rsidRDefault="00EE4568" w:rsidP="00EE4568">
      <w:pPr>
        <w:pStyle w:val="BodyText"/>
      </w:pPr>
      <w:r w:rsidRPr="004B5C8B">
        <w:t xml:space="preserve">Table </w:t>
      </w:r>
      <w:r>
        <w:t>2</w:t>
      </w:r>
      <w:r w:rsidRPr="004B5C8B">
        <w:t xml:space="preserve"> describes</w:t>
      </w:r>
      <w:r>
        <w:t xml:space="preserve"> the legal obligations on the Commission and where in the advice report they are addressed.</w:t>
      </w:r>
    </w:p>
    <w:p w14:paraId="0ED805C4" w14:textId="77777777" w:rsidR="00EE4568" w:rsidRPr="00157AED" w:rsidRDefault="00EE4568" w:rsidP="00EE4568">
      <w:pPr>
        <w:pStyle w:val="FigureTabletitle"/>
        <w:rPr>
          <w:sz w:val="22"/>
          <w:szCs w:val="22"/>
        </w:rPr>
      </w:pPr>
      <w:r w:rsidRPr="00157AED">
        <w:rPr>
          <w:sz w:val="22"/>
          <w:szCs w:val="22"/>
        </w:rPr>
        <w:t>Table 2: Summary of legislative requirements relevant for the Commission’s 2026 advice</w:t>
      </w:r>
    </w:p>
    <w:tbl>
      <w:tblPr>
        <w:tblStyle w:val="BoxDesign"/>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20" w:firstRow="1" w:lastRow="0" w:firstColumn="0" w:lastColumn="0" w:noHBand="0" w:noVBand="1"/>
      </w:tblPr>
      <w:tblGrid>
        <w:gridCol w:w="4390"/>
        <w:gridCol w:w="4670"/>
      </w:tblGrid>
      <w:tr w:rsidR="00EE4568" w:rsidRPr="00157AED" w14:paraId="7330F874" w14:textId="77777777">
        <w:trPr>
          <w:cnfStyle w:val="100000000000" w:firstRow="1" w:lastRow="0" w:firstColumn="0" w:lastColumn="0" w:oddVBand="0" w:evenVBand="0" w:oddHBand="0" w:evenHBand="0" w:firstRowFirstColumn="0" w:firstRowLastColumn="0" w:lastRowFirstColumn="0" w:lastRowLastColumn="0"/>
          <w:tblHeader/>
        </w:trPr>
        <w:tc>
          <w:tcPr>
            <w:tcW w:w="4390" w:type="dxa"/>
          </w:tcPr>
          <w:p w14:paraId="1061F9A3" w14:textId="77777777" w:rsidR="00EE4568" w:rsidRPr="00157AED" w:rsidRDefault="00EE4568">
            <w:pPr>
              <w:pStyle w:val="Tableheading"/>
              <w:rPr>
                <w:b/>
                <w:bCs w:val="0"/>
                <w:sz w:val="22"/>
                <w:szCs w:val="18"/>
              </w:rPr>
            </w:pPr>
            <w:r w:rsidRPr="00157AED">
              <w:rPr>
                <w:b/>
                <w:bCs w:val="0"/>
                <w:sz w:val="22"/>
                <w:szCs w:val="18"/>
              </w:rPr>
              <w:t>Obligations in the Act</w:t>
            </w:r>
          </w:p>
        </w:tc>
        <w:tc>
          <w:tcPr>
            <w:tcW w:w="4670" w:type="dxa"/>
          </w:tcPr>
          <w:p w14:paraId="19B295FE" w14:textId="77777777" w:rsidR="00EE4568" w:rsidRPr="00157AED" w:rsidRDefault="00EE4568">
            <w:pPr>
              <w:pStyle w:val="Tableheading"/>
              <w:rPr>
                <w:b/>
                <w:bCs w:val="0"/>
                <w:sz w:val="22"/>
                <w:szCs w:val="18"/>
              </w:rPr>
            </w:pPr>
            <w:r w:rsidRPr="00157AED">
              <w:rPr>
                <w:b/>
                <w:bCs w:val="0"/>
                <w:sz w:val="22"/>
                <w:szCs w:val="18"/>
              </w:rPr>
              <w:t>Where addressed</w:t>
            </w:r>
          </w:p>
        </w:tc>
      </w:tr>
      <w:tr w:rsidR="00EE4568" w:rsidRPr="00157AED" w14:paraId="15B0B0F2"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9060" w:type="dxa"/>
            <w:gridSpan w:val="2"/>
            <w:shd w:val="clear" w:color="auto" w:fill="D4E8DE"/>
          </w:tcPr>
          <w:p w14:paraId="38B86969" w14:textId="77777777" w:rsidR="00EE4568" w:rsidRPr="00157AED" w:rsidRDefault="00EE4568">
            <w:pPr>
              <w:pStyle w:val="Boxtext"/>
              <w:spacing w:after="60"/>
              <w:rPr>
                <w:b/>
                <w:sz w:val="22"/>
                <w:szCs w:val="18"/>
              </w:rPr>
            </w:pPr>
            <w:r w:rsidRPr="00157AED">
              <w:rPr>
                <w:b/>
                <w:bCs/>
                <w:sz w:val="22"/>
                <w:szCs w:val="18"/>
              </w:rPr>
              <w:t xml:space="preserve">Section 3: Purpose  </w:t>
            </w:r>
          </w:p>
        </w:tc>
      </w:tr>
      <w:tr w:rsidR="00EE4568" w:rsidRPr="00157AED" w14:paraId="690B1AD6"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390" w:type="dxa"/>
            <w:shd w:val="clear" w:color="auto" w:fill="auto"/>
          </w:tcPr>
          <w:p w14:paraId="3680F88D" w14:textId="2AA744F3" w:rsidR="00EE4568" w:rsidRPr="00157AED" w:rsidRDefault="00EE4568">
            <w:pPr>
              <w:spacing w:after="160" w:line="278" w:lineRule="auto"/>
              <w:rPr>
                <w:rFonts w:cs="Calibri"/>
                <w:b/>
                <w:sz w:val="22"/>
                <w:szCs w:val="18"/>
              </w:rPr>
            </w:pPr>
            <w:r w:rsidRPr="00157AED">
              <w:rPr>
                <w:rFonts w:cs="Calibri"/>
                <w:b/>
                <w:sz w:val="22"/>
                <w:szCs w:val="18"/>
              </w:rPr>
              <w:t>(1) (aa) provide a framework by which New Zealand can develop and implement clear and stable climate policies that –</w:t>
            </w:r>
          </w:p>
          <w:p w14:paraId="0CCBFB63" w14:textId="01F38FF2" w:rsidR="00EE4568" w:rsidRPr="00157AED" w:rsidRDefault="00EE4568">
            <w:pPr>
              <w:spacing w:after="160" w:line="278" w:lineRule="auto"/>
              <w:ind w:left="309"/>
              <w:rPr>
                <w:rFonts w:cs="Calibri"/>
                <w:b/>
                <w:sz w:val="22"/>
                <w:szCs w:val="18"/>
              </w:rPr>
            </w:pPr>
            <w:r w:rsidRPr="00157AED">
              <w:rPr>
                <w:rFonts w:cs="Calibri"/>
                <w:b/>
                <w:sz w:val="22"/>
                <w:szCs w:val="18"/>
              </w:rPr>
              <w:t>(i) contribute to the global effort under the Paris Agreement to limit the global average temperature increase to 1.5</w:t>
            </w:r>
            <w:r w:rsidRPr="00157AED">
              <w:rPr>
                <w:rFonts w:cs="Calibri"/>
                <w:b/>
                <w:sz w:val="22"/>
                <w:szCs w:val="18"/>
                <w:vertAlign w:val="superscript"/>
              </w:rPr>
              <w:t>o</w:t>
            </w:r>
            <w:r w:rsidR="00C07819" w:rsidRPr="00157AED">
              <w:rPr>
                <w:rFonts w:cs="Calibri"/>
                <w:sz w:val="22"/>
                <w:szCs w:val="18"/>
              </w:rPr>
              <w:t xml:space="preserve"> </w:t>
            </w:r>
            <w:r w:rsidRPr="00157AED">
              <w:rPr>
                <w:rFonts w:cs="Calibri"/>
                <w:b/>
                <w:sz w:val="22"/>
                <w:szCs w:val="18"/>
              </w:rPr>
              <w:t xml:space="preserve">Celsius above pre-industrial </w:t>
            </w:r>
            <w:proofErr w:type="gramStart"/>
            <w:r w:rsidRPr="00157AED">
              <w:rPr>
                <w:rFonts w:cs="Calibri"/>
                <w:b/>
                <w:sz w:val="22"/>
                <w:szCs w:val="18"/>
              </w:rPr>
              <w:t>levels;</w:t>
            </w:r>
            <w:proofErr w:type="gramEnd"/>
          </w:p>
          <w:p w14:paraId="0877C75B" w14:textId="77777777" w:rsidR="00EE4568" w:rsidRPr="00157AED" w:rsidRDefault="00EE4568">
            <w:pPr>
              <w:pStyle w:val="Boxtext"/>
              <w:spacing w:after="60"/>
              <w:rPr>
                <w:sz w:val="22"/>
                <w:szCs w:val="18"/>
              </w:rPr>
            </w:pPr>
          </w:p>
        </w:tc>
        <w:tc>
          <w:tcPr>
            <w:tcW w:w="4670" w:type="dxa"/>
            <w:vMerge w:val="restart"/>
            <w:shd w:val="clear" w:color="auto" w:fill="auto"/>
          </w:tcPr>
          <w:p w14:paraId="76279EFC" w14:textId="484B0AAF" w:rsidR="00EE4568" w:rsidRPr="00157AED" w:rsidRDefault="00EE4568">
            <w:pPr>
              <w:pStyle w:val="Boxtext"/>
              <w:spacing w:after="60"/>
              <w:rPr>
                <w:sz w:val="22"/>
                <w:szCs w:val="18"/>
              </w:rPr>
            </w:pPr>
            <w:r w:rsidRPr="00157AED">
              <w:rPr>
                <w:rFonts w:cs="Calibri"/>
                <w:sz w:val="22"/>
                <w:szCs w:val="18"/>
              </w:rPr>
              <w:t>The Act’s purpose has been considered</w:t>
            </w:r>
            <w:r w:rsidR="00092640" w:rsidRPr="00157AED">
              <w:rPr>
                <w:rFonts w:cs="Calibri"/>
                <w:b/>
                <w:sz w:val="22"/>
                <w:szCs w:val="18"/>
              </w:rPr>
              <w:t xml:space="preserve"> </w:t>
            </w:r>
            <w:r w:rsidRPr="00157AED">
              <w:rPr>
                <w:rFonts w:cs="Calibri"/>
                <w:sz w:val="22"/>
                <w:szCs w:val="18"/>
              </w:rPr>
              <w:t>in all our analysis.</w:t>
            </w:r>
            <w:r w:rsidR="00092640" w:rsidRPr="00157AED">
              <w:rPr>
                <w:rFonts w:cs="Calibri"/>
                <w:b/>
                <w:sz w:val="22"/>
                <w:szCs w:val="18"/>
              </w:rPr>
              <w:t xml:space="preserve"> </w:t>
            </w:r>
            <w:r w:rsidR="00092640" w:rsidRPr="00157AED" w:rsidDel="00092640">
              <w:rPr>
                <w:rFonts w:cs="Calibri"/>
                <w:sz w:val="22"/>
                <w:szCs w:val="18"/>
              </w:rPr>
              <w:t xml:space="preserve"> </w:t>
            </w:r>
            <w:r w:rsidRPr="00157AED">
              <w:rPr>
                <w:rFonts w:cs="Calibri"/>
                <w:sz w:val="22"/>
                <w:szCs w:val="18"/>
              </w:rPr>
              <w:t>Particularly through analysis of how to</w:t>
            </w:r>
            <w:r w:rsidR="00092640" w:rsidRPr="00157AED">
              <w:rPr>
                <w:rFonts w:cs="Calibri"/>
                <w:b/>
                <w:sz w:val="22"/>
                <w:szCs w:val="18"/>
              </w:rPr>
              <w:t xml:space="preserve"> </w:t>
            </w:r>
            <w:r w:rsidRPr="00157AED">
              <w:rPr>
                <w:rFonts w:cs="Calibri"/>
                <w:sz w:val="22"/>
                <w:szCs w:val="18"/>
              </w:rPr>
              <w:t>accord</w:t>
            </w:r>
            <w:r w:rsidR="00092640" w:rsidRPr="00157AED">
              <w:rPr>
                <w:rFonts w:cs="Calibri"/>
                <w:b/>
                <w:sz w:val="22"/>
                <w:szCs w:val="18"/>
              </w:rPr>
              <w:t xml:space="preserve"> </w:t>
            </w:r>
            <w:r w:rsidRPr="00157AED">
              <w:rPr>
                <w:rFonts w:cs="Calibri"/>
                <w:sz w:val="22"/>
                <w:szCs w:val="18"/>
              </w:rPr>
              <w:t>the settings with emissions budgets</w:t>
            </w:r>
            <w:r w:rsidR="00092640" w:rsidRPr="00157AED">
              <w:rPr>
                <w:rFonts w:cs="Calibri"/>
                <w:b/>
                <w:sz w:val="22"/>
                <w:szCs w:val="18"/>
              </w:rPr>
              <w:t xml:space="preserve"> </w:t>
            </w:r>
            <w:r w:rsidRPr="00157AED">
              <w:rPr>
                <w:rFonts w:cs="Calibri"/>
                <w:sz w:val="22"/>
                <w:szCs w:val="18"/>
              </w:rPr>
              <w:t>and</w:t>
            </w:r>
            <w:r w:rsidR="00092640" w:rsidRPr="00157AED">
              <w:rPr>
                <w:rFonts w:cs="Calibri"/>
                <w:b/>
                <w:sz w:val="22"/>
                <w:szCs w:val="18"/>
              </w:rPr>
              <w:t xml:space="preserve"> </w:t>
            </w:r>
            <w:r w:rsidRPr="00157AED">
              <w:rPr>
                <w:rFonts w:cs="Calibri"/>
                <w:sz w:val="22"/>
                <w:szCs w:val="18"/>
              </w:rPr>
              <w:t xml:space="preserve">the 2050 target, and through our consideration of matters set out in the Act discussed in this table. </w:t>
            </w:r>
          </w:p>
        </w:tc>
      </w:tr>
      <w:tr w:rsidR="00EE4568" w:rsidRPr="00157AED" w14:paraId="285C9960"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6A117628" w14:textId="77777777" w:rsidR="00EE4568" w:rsidRPr="00157AED" w:rsidRDefault="00EE4568">
            <w:pPr>
              <w:spacing w:after="160" w:line="278" w:lineRule="auto"/>
              <w:rPr>
                <w:rFonts w:cs="Calibri"/>
                <w:b/>
                <w:sz w:val="22"/>
                <w:szCs w:val="18"/>
              </w:rPr>
            </w:pPr>
            <w:r w:rsidRPr="00157AED">
              <w:rPr>
                <w:rFonts w:cs="Calibri"/>
                <w:b/>
                <w:sz w:val="22"/>
                <w:szCs w:val="18"/>
              </w:rPr>
              <w:t xml:space="preserve">(1)(b) provide for the implementation, operation, and administration of a greenhouse gas emissions trading scheme in New Zealand that supports and encourages global efforts to reduce the emission of greenhouse gases by –  </w:t>
            </w:r>
          </w:p>
          <w:p w14:paraId="3AEEC462" w14:textId="0DA42F71" w:rsidR="00EE4568" w:rsidRPr="00157AED" w:rsidRDefault="00EE4568">
            <w:pPr>
              <w:spacing w:after="160" w:line="278" w:lineRule="auto"/>
              <w:ind w:left="450"/>
              <w:rPr>
                <w:rFonts w:cs="Calibri"/>
                <w:b/>
                <w:sz w:val="22"/>
                <w:szCs w:val="18"/>
              </w:rPr>
            </w:pPr>
            <w:proofErr w:type="spellStart"/>
            <w:r w:rsidRPr="00157AED">
              <w:rPr>
                <w:rFonts w:cs="Calibri"/>
                <w:b/>
                <w:sz w:val="22"/>
                <w:szCs w:val="18"/>
              </w:rPr>
              <w:t>i</w:t>
            </w:r>
            <w:proofErr w:type="spellEnd"/>
            <w:r w:rsidRPr="00157AED">
              <w:rPr>
                <w:rFonts w:cs="Calibri"/>
                <w:b/>
                <w:sz w:val="22"/>
                <w:szCs w:val="18"/>
              </w:rPr>
              <w:t>)</w:t>
            </w:r>
            <w:r w:rsidR="00092640" w:rsidRPr="00157AED">
              <w:rPr>
                <w:rFonts w:cs="Calibri"/>
                <w:b/>
                <w:sz w:val="22"/>
                <w:szCs w:val="18"/>
              </w:rPr>
              <w:t xml:space="preserve"> </w:t>
            </w:r>
            <w:r w:rsidR="00092640" w:rsidRPr="00157AED" w:rsidDel="00092640">
              <w:rPr>
                <w:rFonts w:cs="Calibri"/>
                <w:b/>
                <w:sz w:val="22"/>
                <w:szCs w:val="18"/>
              </w:rPr>
              <w:t xml:space="preserve"> </w:t>
            </w:r>
            <w:r w:rsidRPr="00157AED">
              <w:rPr>
                <w:rFonts w:cs="Calibri"/>
                <w:b/>
                <w:sz w:val="22"/>
                <w:szCs w:val="18"/>
              </w:rPr>
              <w:t>assisting</w:t>
            </w:r>
            <w:r w:rsidR="00092640" w:rsidRPr="00157AED">
              <w:rPr>
                <w:rFonts w:cs="Calibri"/>
                <w:b/>
                <w:sz w:val="22"/>
                <w:szCs w:val="18"/>
              </w:rPr>
              <w:t xml:space="preserve"> </w:t>
            </w:r>
            <w:r w:rsidRPr="00157AED">
              <w:rPr>
                <w:rFonts w:cs="Calibri"/>
                <w:b/>
                <w:sz w:val="22"/>
                <w:szCs w:val="18"/>
              </w:rPr>
              <w:t xml:space="preserve">New Zealand to meet its international obligations under the Convention, the Protocol, and the Paris Agreement; and  </w:t>
            </w:r>
          </w:p>
          <w:p w14:paraId="74F0B3FF" w14:textId="5B896B50" w:rsidR="00EE4568" w:rsidRPr="00157AED" w:rsidRDefault="00EE4568">
            <w:pPr>
              <w:pStyle w:val="Boxtext"/>
              <w:spacing w:after="60"/>
              <w:ind w:left="450"/>
              <w:rPr>
                <w:b/>
                <w:sz w:val="22"/>
                <w:szCs w:val="18"/>
              </w:rPr>
            </w:pPr>
            <w:r w:rsidRPr="00157AED">
              <w:rPr>
                <w:rFonts w:cs="Calibri"/>
                <w:b/>
                <w:sz w:val="22"/>
                <w:szCs w:val="18"/>
              </w:rPr>
              <w:t>ii)</w:t>
            </w:r>
            <w:r w:rsidR="00092640" w:rsidRPr="00157AED">
              <w:rPr>
                <w:rFonts w:cs="Calibri"/>
                <w:b/>
                <w:sz w:val="22"/>
                <w:szCs w:val="18"/>
              </w:rPr>
              <w:t xml:space="preserve"> </w:t>
            </w:r>
            <w:r w:rsidR="00092640" w:rsidRPr="00157AED" w:rsidDel="00092640">
              <w:rPr>
                <w:rFonts w:cs="Calibri"/>
                <w:b/>
                <w:sz w:val="22"/>
                <w:szCs w:val="18"/>
              </w:rPr>
              <w:t xml:space="preserve"> </w:t>
            </w:r>
            <w:r w:rsidRPr="00157AED">
              <w:rPr>
                <w:rFonts w:cs="Calibri"/>
                <w:b/>
                <w:sz w:val="22"/>
                <w:szCs w:val="18"/>
              </w:rPr>
              <w:t>assisting</w:t>
            </w:r>
            <w:r w:rsidR="00092640" w:rsidRPr="00157AED">
              <w:rPr>
                <w:rFonts w:cs="Calibri"/>
                <w:b/>
                <w:sz w:val="22"/>
                <w:szCs w:val="18"/>
              </w:rPr>
              <w:t xml:space="preserve"> </w:t>
            </w:r>
            <w:r w:rsidRPr="00157AED">
              <w:rPr>
                <w:rFonts w:cs="Calibri"/>
                <w:b/>
                <w:sz w:val="22"/>
                <w:szCs w:val="18"/>
              </w:rPr>
              <w:t>New Zealand to meet its 2050 target and emissions budgets:</w:t>
            </w:r>
            <w:r w:rsidRPr="00157AED">
              <w:rPr>
                <w:rFonts w:cs="Calibri"/>
                <w:b/>
                <w:i/>
                <w:sz w:val="22"/>
                <w:szCs w:val="18"/>
              </w:rPr>
              <w:t xml:space="preserve">  </w:t>
            </w:r>
            <w:r w:rsidRPr="00157AED">
              <w:rPr>
                <w:rFonts w:cs="Calibri"/>
                <w:b/>
                <w:sz w:val="22"/>
                <w:szCs w:val="18"/>
              </w:rPr>
              <w:t xml:space="preserve"> </w:t>
            </w:r>
          </w:p>
        </w:tc>
        <w:tc>
          <w:tcPr>
            <w:tcW w:w="4670" w:type="dxa"/>
            <w:vMerge/>
          </w:tcPr>
          <w:p w14:paraId="51363A04" w14:textId="77777777" w:rsidR="00EE4568" w:rsidRPr="00157AED" w:rsidRDefault="00EE4568">
            <w:pPr>
              <w:pStyle w:val="Boxtext"/>
              <w:spacing w:after="60"/>
              <w:rPr>
                <w:sz w:val="22"/>
                <w:szCs w:val="18"/>
              </w:rPr>
            </w:pPr>
          </w:p>
        </w:tc>
      </w:tr>
      <w:tr w:rsidR="00EE4568" w:rsidRPr="00157AED" w14:paraId="308D6E76"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9060" w:type="dxa"/>
            <w:gridSpan w:val="2"/>
            <w:shd w:val="clear" w:color="auto" w:fill="D4E8DE"/>
          </w:tcPr>
          <w:p w14:paraId="0374BD43" w14:textId="6B78AB79" w:rsidR="00EE4568" w:rsidRPr="00157AED" w:rsidRDefault="00EE4568">
            <w:pPr>
              <w:pStyle w:val="Boxtext"/>
              <w:spacing w:after="60"/>
              <w:rPr>
                <w:sz w:val="22"/>
                <w:szCs w:val="18"/>
              </w:rPr>
            </w:pPr>
            <w:r w:rsidRPr="00157AED">
              <w:rPr>
                <w:rFonts w:cs="Calibri"/>
                <w:b/>
                <w:bCs/>
                <w:sz w:val="22"/>
                <w:szCs w:val="18"/>
              </w:rPr>
              <w:t>Section 30GC: Requirements for regulations about limits and price control settings for units</w:t>
            </w:r>
          </w:p>
        </w:tc>
      </w:tr>
      <w:tr w:rsidR="00EE4568" w:rsidRPr="00157AED" w14:paraId="1BEE7A5E"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3CD36468" w14:textId="77777777" w:rsidR="00EE4568" w:rsidRPr="00157AED" w:rsidRDefault="00EE4568">
            <w:pPr>
              <w:spacing w:after="160" w:line="278" w:lineRule="auto"/>
              <w:rPr>
                <w:rFonts w:cs="Calibri"/>
                <w:b/>
                <w:bCs/>
                <w:sz w:val="22"/>
                <w:szCs w:val="18"/>
              </w:rPr>
            </w:pPr>
            <w:r w:rsidRPr="00157AED">
              <w:rPr>
                <w:b/>
                <w:sz w:val="22"/>
                <w:szCs w:val="18"/>
              </w:rPr>
              <w:t>(5)(a) Projected trends in greenhouse gas emissions, including both emissions covered by the NZ ETS and those that are not covered</w:t>
            </w:r>
            <w:r w:rsidRPr="00157AED">
              <w:rPr>
                <w:rFonts w:cs="Calibri"/>
                <w:b/>
                <w:sz w:val="22"/>
                <w:szCs w:val="18"/>
              </w:rPr>
              <w:t xml:space="preserve">  </w:t>
            </w:r>
          </w:p>
        </w:tc>
        <w:tc>
          <w:tcPr>
            <w:tcW w:w="4670" w:type="dxa"/>
            <w:shd w:val="clear" w:color="auto" w:fill="auto"/>
          </w:tcPr>
          <w:p w14:paraId="14BFC4D2" w14:textId="77777777" w:rsidR="00EE4568" w:rsidRPr="00157AED" w:rsidRDefault="00EE4568">
            <w:pPr>
              <w:pStyle w:val="Boxtext"/>
              <w:spacing w:after="60"/>
              <w:rPr>
                <w:sz w:val="22"/>
                <w:szCs w:val="18"/>
              </w:rPr>
            </w:pPr>
            <w:r w:rsidRPr="00157AED">
              <w:rPr>
                <w:sz w:val="22"/>
                <w:szCs w:val="18"/>
              </w:rPr>
              <w:t xml:space="preserve">We consider projected trends through our analysis to determine the emissions cap, but they are also considered throughout the analysis in steps 1,2 and 3 of the unit limits method. We also considered projected trends in greenhouse gas emissions in considering what actions and NZU prices may be needed to meet future emissions targets in advising on the price control settings. </w:t>
            </w:r>
          </w:p>
        </w:tc>
      </w:tr>
      <w:tr w:rsidR="00EE4568" w:rsidRPr="00157AED" w14:paraId="4E057269"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390" w:type="dxa"/>
            <w:shd w:val="clear" w:color="auto" w:fill="auto"/>
          </w:tcPr>
          <w:p w14:paraId="26D925F7" w14:textId="77777777" w:rsidR="00EE4568" w:rsidRPr="00157AED" w:rsidRDefault="00EE4568">
            <w:pPr>
              <w:spacing w:after="160" w:line="278" w:lineRule="auto"/>
              <w:rPr>
                <w:rFonts w:cs="Calibri"/>
                <w:b/>
                <w:bCs/>
                <w:sz w:val="22"/>
                <w:szCs w:val="18"/>
              </w:rPr>
            </w:pPr>
            <w:r w:rsidRPr="00157AED">
              <w:rPr>
                <w:b/>
                <w:sz w:val="22"/>
                <w:szCs w:val="18"/>
              </w:rPr>
              <w:t xml:space="preserve">(5)(b) The proper functioning of the NZ ETS  </w:t>
            </w:r>
          </w:p>
        </w:tc>
        <w:tc>
          <w:tcPr>
            <w:tcW w:w="4670" w:type="dxa"/>
            <w:shd w:val="clear" w:color="auto" w:fill="auto"/>
          </w:tcPr>
          <w:p w14:paraId="739248F2" w14:textId="41E6C5C9" w:rsidR="00EE4568" w:rsidRPr="00157AED" w:rsidRDefault="00EE4568">
            <w:pPr>
              <w:pStyle w:val="Boxtext"/>
              <w:spacing w:after="60"/>
              <w:rPr>
                <w:sz w:val="22"/>
                <w:szCs w:val="18"/>
              </w:rPr>
            </w:pPr>
            <w:r w:rsidRPr="00157AED">
              <w:rPr>
                <w:sz w:val="22"/>
                <w:szCs w:val="18"/>
              </w:rPr>
              <w:t>We have considered the proper functioning of the NZ ETS in each of the judgements and approaches described in this advice. The settings support the ability of the NZ ETS to provide a price signal to reduce net emissions</w:t>
            </w:r>
            <w:r>
              <w:rPr>
                <w:sz w:val="22"/>
                <w:szCs w:val="18"/>
              </w:rPr>
              <w:t xml:space="preserve"> consistent with achieving the reductions needed to meet the applicable NZ ETS emissions caps</w:t>
            </w:r>
            <w:r w:rsidRPr="00157AED">
              <w:rPr>
                <w:sz w:val="22"/>
                <w:szCs w:val="18"/>
              </w:rPr>
              <w:t xml:space="preserve">. </w:t>
            </w:r>
            <w:proofErr w:type="gramStart"/>
            <w:r>
              <w:rPr>
                <w:sz w:val="22"/>
                <w:szCs w:val="18"/>
              </w:rPr>
              <w:t>In particular</w:t>
            </w:r>
            <w:r w:rsidR="00092640">
              <w:rPr>
                <w:sz w:val="22"/>
                <w:szCs w:val="18"/>
              </w:rPr>
              <w:t>,</w:t>
            </w:r>
            <w:r>
              <w:rPr>
                <w:sz w:val="22"/>
                <w:szCs w:val="18"/>
              </w:rPr>
              <w:t xml:space="preserve"> we</w:t>
            </w:r>
            <w:proofErr w:type="gramEnd"/>
            <w:r>
              <w:rPr>
                <w:sz w:val="22"/>
                <w:szCs w:val="18"/>
              </w:rPr>
              <w:t xml:space="preserve"> have considered the importance of regulatory predictability, including the need to provide advance signalling to market participants about potential changes to the NZ ETS settings. </w:t>
            </w:r>
            <w:r w:rsidRPr="00157AED">
              <w:rPr>
                <w:sz w:val="22"/>
                <w:szCs w:val="18"/>
              </w:rPr>
              <w:t>This is linked with the “clear and stable” policies</w:t>
            </w:r>
            <w:r>
              <w:rPr>
                <w:sz w:val="22"/>
                <w:szCs w:val="18"/>
              </w:rPr>
              <w:t xml:space="preserve"> aspect of the</w:t>
            </w:r>
            <w:r w:rsidRPr="00157AED">
              <w:rPr>
                <w:sz w:val="22"/>
                <w:szCs w:val="18"/>
              </w:rPr>
              <w:t xml:space="preserve"> purpose of the Act as well as the requirement that the settings accord with the emissions budgets and the 2050 target, and the rules in the Act about how the settings are managed over the rolling </w:t>
            </w:r>
            <w:r w:rsidR="003242EB">
              <w:rPr>
                <w:sz w:val="22"/>
                <w:szCs w:val="18"/>
              </w:rPr>
              <w:t>five</w:t>
            </w:r>
            <w:r w:rsidRPr="00157AED">
              <w:rPr>
                <w:sz w:val="22"/>
                <w:szCs w:val="18"/>
              </w:rPr>
              <w:t xml:space="preserve">-year period. </w:t>
            </w:r>
          </w:p>
        </w:tc>
      </w:tr>
      <w:tr w:rsidR="00EE4568" w:rsidRPr="00157AED" w14:paraId="20CA831D"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420301C8" w14:textId="77777777" w:rsidR="00EE4568" w:rsidRPr="00157AED" w:rsidRDefault="00EE4568">
            <w:pPr>
              <w:spacing w:after="160" w:line="278" w:lineRule="auto"/>
              <w:rPr>
                <w:rFonts w:cs="Calibri"/>
                <w:b/>
                <w:bCs/>
                <w:sz w:val="22"/>
                <w:szCs w:val="18"/>
              </w:rPr>
            </w:pPr>
            <w:r w:rsidRPr="00157AED">
              <w:rPr>
                <w:b/>
                <w:sz w:val="22"/>
                <w:szCs w:val="18"/>
              </w:rPr>
              <w:t xml:space="preserve">(5)(c) International climate change obligations, instruments or contracts New Zealand may have for accessing offshore mitigation from other carbon markets  </w:t>
            </w:r>
          </w:p>
        </w:tc>
        <w:tc>
          <w:tcPr>
            <w:tcW w:w="4670" w:type="dxa"/>
            <w:shd w:val="clear" w:color="auto" w:fill="auto"/>
          </w:tcPr>
          <w:p w14:paraId="0868351E" w14:textId="77777777" w:rsidR="00EE4568" w:rsidRPr="00157AED" w:rsidRDefault="00EE4568">
            <w:pPr>
              <w:pStyle w:val="Boxtext"/>
              <w:spacing w:after="60"/>
              <w:rPr>
                <w:sz w:val="22"/>
                <w:szCs w:val="18"/>
              </w:rPr>
            </w:pPr>
            <w:r w:rsidRPr="00157AED">
              <w:rPr>
                <w:sz w:val="22"/>
                <w:szCs w:val="18"/>
              </w:rPr>
              <w:t xml:space="preserve">We have taken this into account for step 4 (set approved overseas unit limits) of the unit limit method. We have also considered the potential cost of offshore mitigation in the assessment of the price control settings. </w:t>
            </w:r>
          </w:p>
        </w:tc>
      </w:tr>
      <w:tr w:rsidR="00EE4568" w:rsidRPr="00157AED" w14:paraId="70FE470E"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390" w:type="dxa"/>
            <w:shd w:val="clear" w:color="auto" w:fill="auto"/>
          </w:tcPr>
          <w:p w14:paraId="1414A064" w14:textId="77777777" w:rsidR="00EE4568" w:rsidRPr="00157AED" w:rsidRDefault="00EE4568">
            <w:pPr>
              <w:spacing w:after="160" w:line="278" w:lineRule="auto"/>
              <w:rPr>
                <w:rFonts w:cs="Calibri"/>
                <w:b/>
                <w:bCs/>
                <w:sz w:val="22"/>
                <w:szCs w:val="18"/>
              </w:rPr>
            </w:pPr>
            <w:r w:rsidRPr="00157AED">
              <w:rPr>
                <w:b/>
                <w:sz w:val="22"/>
                <w:szCs w:val="18"/>
              </w:rPr>
              <w:t xml:space="preserve">(5)(d) The forecast availability and costs of ways to reduce greenhouse gas emissions, that may be needed for New Zealand to meet its emissions reduction targets  </w:t>
            </w:r>
          </w:p>
        </w:tc>
        <w:tc>
          <w:tcPr>
            <w:tcW w:w="4670" w:type="dxa"/>
            <w:shd w:val="clear" w:color="auto" w:fill="auto"/>
          </w:tcPr>
          <w:p w14:paraId="7659E049" w14:textId="4D3E952C" w:rsidR="00EE4568" w:rsidRPr="00157AED" w:rsidRDefault="00EE4568">
            <w:pPr>
              <w:pStyle w:val="Boxtext"/>
              <w:spacing w:after="60"/>
              <w:rPr>
                <w:sz w:val="22"/>
                <w:szCs w:val="18"/>
              </w:rPr>
            </w:pPr>
            <w:r w:rsidRPr="00157AED">
              <w:rPr>
                <w:sz w:val="22"/>
                <w:szCs w:val="18"/>
              </w:rPr>
              <w:t xml:space="preserve">This is considered as part of our assessment of the NZ ETS emissions caps to use for the second and third emissions budget periods. It is also considered in our assessment of the NZU prices needed to meet emissions reduction targets in the price control settings.  </w:t>
            </w:r>
          </w:p>
        </w:tc>
      </w:tr>
      <w:tr w:rsidR="00EE4568" w:rsidRPr="00157AED" w14:paraId="14ABE70D"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9060" w:type="dxa"/>
            <w:gridSpan w:val="2"/>
            <w:shd w:val="clear" w:color="auto" w:fill="auto"/>
          </w:tcPr>
          <w:p w14:paraId="65F8CBB6" w14:textId="77777777" w:rsidR="00EE4568" w:rsidRPr="00157AED" w:rsidRDefault="00EE4568">
            <w:pPr>
              <w:spacing w:after="160" w:line="278" w:lineRule="auto"/>
              <w:rPr>
                <w:rFonts w:cs="Calibri"/>
                <w:b/>
                <w:sz w:val="22"/>
                <w:szCs w:val="18"/>
              </w:rPr>
            </w:pPr>
            <w:r w:rsidRPr="00157AED">
              <w:rPr>
                <w:rFonts w:cs="Calibri"/>
                <w:b/>
                <w:bCs/>
                <w:sz w:val="22"/>
                <w:szCs w:val="18"/>
              </w:rPr>
              <w:t>(6) In respect of the price control settings:</w:t>
            </w:r>
          </w:p>
        </w:tc>
      </w:tr>
      <w:tr w:rsidR="00EE4568" w:rsidRPr="00157AED" w14:paraId="27D8D449"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390" w:type="dxa"/>
            <w:shd w:val="clear" w:color="auto" w:fill="auto"/>
          </w:tcPr>
          <w:p w14:paraId="21CBA0B6" w14:textId="77777777" w:rsidR="00EE4568" w:rsidRPr="00157AED" w:rsidRDefault="00EE4568">
            <w:pPr>
              <w:spacing w:after="160" w:line="278" w:lineRule="auto"/>
              <w:rPr>
                <w:b/>
                <w:bCs/>
                <w:sz w:val="22"/>
                <w:szCs w:val="18"/>
              </w:rPr>
            </w:pPr>
            <w:r w:rsidRPr="00157AED">
              <w:rPr>
                <w:rFonts w:cs="Calibri"/>
                <w:b/>
                <w:sz w:val="22"/>
                <w:szCs w:val="18"/>
              </w:rPr>
              <w:t xml:space="preserve">(a) the impact of emissions prices on households and the economy  </w:t>
            </w:r>
          </w:p>
        </w:tc>
        <w:tc>
          <w:tcPr>
            <w:tcW w:w="4670" w:type="dxa"/>
            <w:shd w:val="clear" w:color="auto" w:fill="auto"/>
          </w:tcPr>
          <w:p w14:paraId="1BE1286E" w14:textId="77777777" w:rsidR="00EE4568" w:rsidRPr="00157AED" w:rsidRDefault="00EE4568">
            <w:pPr>
              <w:pStyle w:val="Boxtext"/>
              <w:spacing w:after="60"/>
              <w:rPr>
                <w:sz w:val="22"/>
                <w:szCs w:val="18"/>
              </w:rPr>
            </w:pPr>
            <w:r w:rsidRPr="00157AED">
              <w:rPr>
                <w:rFonts w:cs="Calibri"/>
                <w:sz w:val="22"/>
                <w:szCs w:val="18"/>
              </w:rPr>
              <w:t xml:space="preserve">We have considered the impact of emissions prices on households and the economy in making our recommendations on the price control settings. Our analysis on the impacts of emissions prices is included in </w:t>
            </w:r>
            <w:r w:rsidRPr="00157AED">
              <w:rPr>
                <w:rFonts w:cs="Calibri"/>
                <w:i/>
                <w:iCs/>
                <w:sz w:val="22"/>
                <w:szCs w:val="18"/>
              </w:rPr>
              <w:t xml:space="preserve">Chapter 5: Price control settings </w:t>
            </w:r>
            <w:r w:rsidRPr="00157AED">
              <w:rPr>
                <w:rFonts w:cs="Calibri"/>
                <w:sz w:val="22"/>
                <w:szCs w:val="18"/>
              </w:rPr>
              <w:t xml:space="preserve">of the advice report. </w:t>
            </w:r>
          </w:p>
        </w:tc>
      </w:tr>
      <w:tr w:rsidR="00EE4568" w:rsidRPr="00157AED" w14:paraId="53CCEEDA"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4454C392" w14:textId="77777777" w:rsidR="00EE4568" w:rsidRPr="00157AED" w:rsidRDefault="00EE4568">
            <w:pPr>
              <w:spacing w:after="160" w:line="278" w:lineRule="auto"/>
              <w:rPr>
                <w:b/>
                <w:bCs/>
                <w:sz w:val="22"/>
                <w:szCs w:val="18"/>
              </w:rPr>
            </w:pPr>
            <w:r w:rsidRPr="00157AED">
              <w:rPr>
                <w:rFonts w:cs="Calibri"/>
                <w:b/>
                <w:sz w:val="22"/>
                <w:szCs w:val="18"/>
              </w:rPr>
              <w:t xml:space="preserve">(b) the level and trajectory of international emissions prices  </w:t>
            </w:r>
          </w:p>
        </w:tc>
        <w:tc>
          <w:tcPr>
            <w:tcW w:w="4670" w:type="dxa"/>
            <w:shd w:val="clear" w:color="auto" w:fill="auto"/>
          </w:tcPr>
          <w:p w14:paraId="02DF83B8" w14:textId="1EBF8FE4" w:rsidR="00EE4568" w:rsidRPr="00157AED" w:rsidRDefault="00EE4568">
            <w:pPr>
              <w:pStyle w:val="Boxtext"/>
              <w:spacing w:after="60"/>
              <w:rPr>
                <w:sz w:val="22"/>
                <w:szCs w:val="18"/>
              </w:rPr>
            </w:pPr>
            <w:r w:rsidRPr="00157AED">
              <w:rPr>
                <w:rFonts w:cs="Calibri"/>
                <w:sz w:val="22"/>
                <w:szCs w:val="18"/>
              </w:rPr>
              <w:t>We have considered the cost of offshore mitigation, including how it may change over time, in our assessment of the</w:t>
            </w:r>
            <w:r w:rsidR="003242EB" w:rsidRPr="00157AED">
              <w:rPr>
                <w:rFonts w:cs="Calibri"/>
                <w:b/>
                <w:sz w:val="22"/>
                <w:szCs w:val="18"/>
              </w:rPr>
              <w:t xml:space="preserve"> </w:t>
            </w:r>
            <w:r w:rsidRPr="00157AED">
              <w:rPr>
                <w:rFonts w:cs="Calibri"/>
                <w:sz w:val="22"/>
                <w:szCs w:val="18"/>
              </w:rPr>
              <w:t>appropriate</w:t>
            </w:r>
            <w:r w:rsidR="003242EB" w:rsidRPr="00157AED">
              <w:rPr>
                <w:rFonts w:cs="Calibri"/>
                <w:b/>
                <w:sz w:val="22"/>
                <w:szCs w:val="18"/>
              </w:rPr>
              <w:t xml:space="preserve"> </w:t>
            </w:r>
            <w:r w:rsidRPr="00157AED">
              <w:rPr>
                <w:rFonts w:cs="Calibri"/>
                <w:sz w:val="22"/>
                <w:szCs w:val="18"/>
              </w:rPr>
              <w:t>price</w:t>
            </w:r>
            <w:r w:rsidR="003242EB" w:rsidRPr="00157AED">
              <w:rPr>
                <w:rFonts w:cs="Calibri"/>
                <w:b/>
                <w:sz w:val="22"/>
                <w:szCs w:val="18"/>
              </w:rPr>
              <w:t xml:space="preserve"> </w:t>
            </w:r>
            <w:r w:rsidRPr="00157AED">
              <w:rPr>
                <w:rFonts w:cs="Calibri"/>
                <w:sz w:val="22"/>
                <w:szCs w:val="18"/>
              </w:rPr>
              <w:t>level for the ARP. We have also reviewed</w:t>
            </w:r>
            <w:r w:rsidR="003242EB" w:rsidRPr="00157AED">
              <w:rPr>
                <w:rFonts w:cs="Calibri"/>
                <w:b/>
                <w:sz w:val="22"/>
                <w:szCs w:val="18"/>
              </w:rPr>
              <w:t xml:space="preserve"> </w:t>
            </w:r>
            <w:r w:rsidRPr="00157AED">
              <w:rPr>
                <w:rFonts w:cs="Calibri"/>
                <w:sz w:val="22"/>
                <w:szCs w:val="18"/>
              </w:rPr>
              <w:t>information on current and future possible</w:t>
            </w:r>
            <w:r w:rsidR="003242EB" w:rsidRPr="00157AED">
              <w:rPr>
                <w:rFonts w:cs="Calibri"/>
                <w:b/>
                <w:sz w:val="22"/>
                <w:szCs w:val="18"/>
              </w:rPr>
              <w:t xml:space="preserve"> </w:t>
            </w:r>
            <w:r w:rsidRPr="00157AED">
              <w:rPr>
                <w:rFonts w:cs="Calibri"/>
                <w:sz w:val="22"/>
                <w:szCs w:val="18"/>
              </w:rPr>
              <w:t>international emissions prices. We consider</w:t>
            </w:r>
            <w:r w:rsidR="003242EB" w:rsidRPr="00157AED">
              <w:rPr>
                <w:rFonts w:cs="Calibri"/>
                <w:b/>
                <w:sz w:val="22"/>
                <w:szCs w:val="18"/>
              </w:rPr>
              <w:t xml:space="preserve"> </w:t>
            </w:r>
            <w:r w:rsidRPr="00157AED">
              <w:rPr>
                <w:rFonts w:cs="Calibri"/>
                <w:sz w:val="22"/>
                <w:szCs w:val="18"/>
              </w:rPr>
              <w:t>that the recommended price control settings are still within the range of forecast</w:t>
            </w:r>
            <w:r w:rsidR="003242EB" w:rsidRPr="00157AED">
              <w:rPr>
                <w:rFonts w:cs="Calibri"/>
                <w:b/>
                <w:sz w:val="22"/>
                <w:szCs w:val="18"/>
              </w:rPr>
              <w:t xml:space="preserve"> </w:t>
            </w:r>
            <w:r w:rsidRPr="00157AED">
              <w:rPr>
                <w:rFonts w:cs="Calibri"/>
                <w:sz w:val="22"/>
                <w:szCs w:val="18"/>
              </w:rPr>
              <w:t>international emissions prices and comparable</w:t>
            </w:r>
            <w:r w:rsidR="003242EB" w:rsidRPr="00157AED">
              <w:rPr>
                <w:rFonts w:cs="Calibri"/>
                <w:b/>
                <w:sz w:val="22"/>
                <w:szCs w:val="18"/>
              </w:rPr>
              <w:t xml:space="preserve"> </w:t>
            </w:r>
            <w:r w:rsidRPr="00157AED">
              <w:rPr>
                <w:rFonts w:cs="Calibri"/>
                <w:sz w:val="22"/>
                <w:szCs w:val="18"/>
              </w:rPr>
              <w:t>to the efforts of developed country peers,</w:t>
            </w:r>
            <w:r w:rsidR="003242EB" w:rsidRPr="00157AED">
              <w:rPr>
                <w:rFonts w:cs="Calibri"/>
                <w:b/>
                <w:sz w:val="22"/>
                <w:szCs w:val="18"/>
              </w:rPr>
              <w:t xml:space="preserve"> </w:t>
            </w:r>
            <w:r w:rsidRPr="00157AED">
              <w:rPr>
                <w:rFonts w:cs="Calibri"/>
                <w:sz w:val="22"/>
                <w:szCs w:val="18"/>
              </w:rPr>
              <w:t>rather than falling behind or overtaking them.</w:t>
            </w:r>
          </w:p>
        </w:tc>
      </w:tr>
      <w:tr w:rsidR="00EE4568" w:rsidRPr="00157AED" w14:paraId="4FDF6618"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390" w:type="dxa"/>
            <w:shd w:val="clear" w:color="auto" w:fill="auto"/>
          </w:tcPr>
          <w:p w14:paraId="77F40633" w14:textId="77777777" w:rsidR="00EE4568" w:rsidRPr="00157AED" w:rsidRDefault="00EE4568">
            <w:pPr>
              <w:spacing w:after="160" w:line="278" w:lineRule="auto"/>
              <w:rPr>
                <w:b/>
                <w:bCs/>
                <w:sz w:val="22"/>
                <w:szCs w:val="18"/>
              </w:rPr>
            </w:pPr>
            <w:r w:rsidRPr="00157AED">
              <w:rPr>
                <w:rFonts w:cs="Calibri"/>
                <w:b/>
                <w:sz w:val="22"/>
                <w:szCs w:val="18"/>
              </w:rPr>
              <w:t xml:space="preserve">(c) inflation  </w:t>
            </w:r>
          </w:p>
        </w:tc>
        <w:tc>
          <w:tcPr>
            <w:tcW w:w="4670" w:type="dxa"/>
            <w:shd w:val="clear" w:color="auto" w:fill="auto"/>
          </w:tcPr>
          <w:p w14:paraId="679EBDAC" w14:textId="77777777" w:rsidR="00EE4568" w:rsidRPr="00157AED" w:rsidRDefault="00EE4568">
            <w:pPr>
              <w:pStyle w:val="Boxtext"/>
              <w:spacing w:after="60"/>
              <w:rPr>
                <w:sz w:val="22"/>
                <w:szCs w:val="18"/>
              </w:rPr>
            </w:pPr>
            <w:r w:rsidRPr="00157AED">
              <w:rPr>
                <w:sz w:val="22"/>
                <w:szCs w:val="18"/>
              </w:rPr>
              <w:t xml:space="preserve">Inflation is considered in our advice on the price control settings. The consideration of inflation is relevant in two ways: whether and how to adjust the price control settings for inflation, and the potential impact of emissions prices on inflation. Our conclusions on inflation are set out in </w:t>
            </w:r>
            <w:r w:rsidRPr="00157AED">
              <w:rPr>
                <w:rFonts w:cs="Calibri"/>
                <w:i/>
                <w:iCs/>
                <w:sz w:val="22"/>
                <w:szCs w:val="18"/>
              </w:rPr>
              <w:t xml:space="preserve">Chapter 5: Price control settings </w:t>
            </w:r>
            <w:r w:rsidRPr="00157AED">
              <w:rPr>
                <w:rFonts w:cs="Calibri"/>
                <w:sz w:val="22"/>
                <w:szCs w:val="18"/>
              </w:rPr>
              <w:t>of the advice report</w:t>
            </w:r>
            <w:r w:rsidRPr="00157AED">
              <w:rPr>
                <w:sz w:val="22"/>
                <w:szCs w:val="18"/>
              </w:rPr>
              <w:t xml:space="preserve">. </w:t>
            </w:r>
          </w:p>
        </w:tc>
      </w:tr>
      <w:tr w:rsidR="00EE4568" w:rsidRPr="00157AED" w14:paraId="22D33C0F"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9060" w:type="dxa"/>
            <w:gridSpan w:val="2"/>
            <w:shd w:val="clear" w:color="auto" w:fill="D4E8DE"/>
          </w:tcPr>
          <w:p w14:paraId="485C952A" w14:textId="0B57DEFD" w:rsidR="00EE4568" w:rsidRPr="00157AED" w:rsidRDefault="00EE4568">
            <w:pPr>
              <w:pStyle w:val="Boxtext"/>
              <w:spacing w:after="60"/>
              <w:rPr>
                <w:sz w:val="22"/>
                <w:szCs w:val="18"/>
              </w:rPr>
            </w:pPr>
            <w:r w:rsidRPr="00157AED">
              <w:rPr>
                <w:rFonts w:cs="Calibri"/>
                <w:b/>
                <w:bCs/>
                <w:sz w:val="22"/>
                <w:szCs w:val="18"/>
              </w:rPr>
              <w:t>Section 5ZOA: Recommendations about limits and price control settings for units</w:t>
            </w:r>
            <w:r w:rsidRPr="00157AED">
              <w:rPr>
                <w:rFonts w:cs="Calibri"/>
                <w:sz w:val="22"/>
                <w:szCs w:val="18"/>
              </w:rPr>
              <w:br/>
              <w:t xml:space="preserve">This is the </w:t>
            </w:r>
            <w:r w:rsidR="00EC584A">
              <w:rPr>
                <w:rFonts w:cs="Calibri"/>
                <w:sz w:val="22"/>
                <w:szCs w:val="18"/>
              </w:rPr>
              <w:t>provision containing the Commission’s duty to make recommendations</w:t>
            </w:r>
            <w:r w:rsidRPr="00157AED">
              <w:rPr>
                <w:rFonts w:cs="Calibri"/>
                <w:sz w:val="22"/>
                <w:szCs w:val="18"/>
              </w:rPr>
              <w:t>.</w:t>
            </w:r>
          </w:p>
        </w:tc>
      </w:tr>
      <w:tr w:rsidR="00EE4568" w:rsidRPr="00157AED" w14:paraId="39429E28"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9060" w:type="dxa"/>
            <w:gridSpan w:val="2"/>
            <w:shd w:val="clear" w:color="auto" w:fill="D4E8DE"/>
            <w:vAlign w:val="center"/>
          </w:tcPr>
          <w:p w14:paraId="1CB3D016" w14:textId="451255E5" w:rsidR="00EE4568" w:rsidRPr="00157AED" w:rsidRDefault="00EE4568">
            <w:pPr>
              <w:pStyle w:val="Boxtext"/>
              <w:spacing w:after="60"/>
              <w:rPr>
                <w:sz w:val="22"/>
                <w:szCs w:val="18"/>
              </w:rPr>
            </w:pPr>
            <w:r w:rsidRPr="00157AED">
              <w:rPr>
                <w:rFonts w:cs="Calibri"/>
                <w:b/>
                <w:sz w:val="22"/>
                <w:szCs w:val="18"/>
              </w:rPr>
              <w:t>Section 5M: Matters the Commission must consider, where relevant</w:t>
            </w:r>
          </w:p>
        </w:tc>
      </w:tr>
      <w:tr w:rsidR="00EE4568" w:rsidRPr="00157AED" w14:paraId="5AE530AF"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4BBA26EB" w14:textId="77777777" w:rsidR="00EE4568" w:rsidRPr="00157AED" w:rsidRDefault="00EE4568">
            <w:pPr>
              <w:pStyle w:val="Boxtext"/>
              <w:spacing w:after="60"/>
              <w:rPr>
                <w:sz w:val="22"/>
                <w:szCs w:val="18"/>
              </w:rPr>
            </w:pPr>
            <w:r w:rsidRPr="00157AED">
              <w:rPr>
                <w:rFonts w:cs="Calibri"/>
                <w:b/>
                <w:bCs/>
                <w:sz w:val="22"/>
                <w:szCs w:val="18"/>
              </w:rPr>
              <w:t xml:space="preserve">(a) Current available scientific knowledge  </w:t>
            </w:r>
          </w:p>
        </w:tc>
        <w:tc>
          <w:tcPr>
            <w:tcW w:w="4670" w:type="dxa"/>
            <w:shd w:val="clear" w:color="auto" w:fill="auto"/>
          </w:tcPr>
          <w:p w14:paraId="3F73DCAA" w14:textId="5168469E" w:rsidR="00EE4568" w:rsidRPr="00157AED" w:rsidRDefault="00EE4568">
            <w:pPr>
              <w:pStyle w:val="Boxtext"/>
              <w:spacing w:after="60"/>
              <w:rPr>
                <w:sz w:val="22"/>
                <w:szCs w:val="18"/>
              </w:rPr>
            </w:pPr>
            <w:r w:rsidRPr="00157AED">
              <w:rPr>
                <w:rFonts w:cs="Calibri"/>
                <w:sz w:val="22"/>
                <w:szCs w:val="18"/>
              </w:rPr>
              <w:t>This is accounted for through the requirement to</w:t>
            </w:r>
            <w:r w:rsidR="003242EB" w:rsidRPr="00157AED">
              <w:rPr>
                <w:rFonts w:cs="Calibri"/>
                <w:b/>
                <w:sz w:val="22"/>
                <w:szCs w:val="18"/>
              </w:rPr>
              <w:t xml:space="preserve"> </w:t>
            </w:r>
            <w:r w:rsidRPr="00157AED">
              <w:rPr>
                <w:rFonts w:cs="Calibri"/>
                <w:sz w:val="22"/>
                <w:szCs w:val="18"/>
              </w:rPr>
              <w:t>accord</w:t>
            </w:r>
            <w:r w:rsidR="003242EB" w:rsidRPr="00157AED">
              <w:rPr>
                <w:rFonts w:cs="Calibri"/>
                <w:b/>
                <w:sz w:val="22"/>
                <w:szCs w:val="18"/>
              </w:rPr>
              <w:t xml:space="preserve"> </w:t>
            </w:r>
            <w:r w:rsidRPr="00157AED">
              <w:rPr>
                <w:rFonts w:cs="Calibri"/>
                <w:sz w:val="22"/>
                <w:szCs w:val="18"/>
              </w:rPr>
              <w:t>settings with emissions budgets and the 2050 target. It is also considered in price control settings in the assessment of ways emissions budgets could be met, and the costs of different approaches</w:t>
            </w:r>
          </w:p>
        </w:tc>
      </w:tr>
      <w:tr w:rsidR="00EE4568" w:rsidRPr="00157AED" w14:paraId="02AC5F2F"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390" w:type="dxa"/>
            <w:shd w:val="clear" w:color="auto" w:fill="auto"/>
          </w:tcPr>
          <w:p w14:paraId="25899BFE" w14:textId="401ACAC7" w:rsidR="00EE4568" w:rsidRPr="00157AED" w:rsidDel="005D1101" w:rsidRDefault="00EE4568">
            <w:pPr>
              <w:pStyle w:val="Boxtext"/>
              <w:spacing w:after="60"/>
              <w:rPr>
                <w:rFonts w:cs="Calibri"/>
                <w:b/>
                <w:sz w:val="22"/>
                <w:szCs w:val="18"/>
              </w:rPr>
            </w:pPr>
            <w:r w:rsidRPr="00157AED">
              <w:rPr>
                <w:rFonts w:cs="Calibri"/>
                <w:b/>
                <w:sz w:val="22"/>
                <w:szCs w:val="18"/>
              </w:rPr>
              <w:t>(b) Existing technology and</w:t>
            </w:r>
            <w:r w:rsidR="00E7246C">
              <w:rPr>
                <w:rFonts w:cs="Calibri"/>
                <w:b/>
                <w:sz w:val="22"/>
                <w:szCs w:val="18"/>
              </w:rPr>
              <w:t xml:space="preserve"> </w:t>
            </w:r>
            <w:r w:rsidRPr="00157AED">
              <w:rPr>
                <w:rFonts w:cs="Calibri"/>
                <w:b/>
                <w:sz w:val="22"/>
                <w:szCs w:val="18"/>
              </w:rPr>
              <w:t>anticipated</w:t>
            </w:r>
            <w:r w:rsidR="00E7246C">
              <w:rPr>
                <w:rFonts w:cs="Calibri"/>
                <w:b/>
                <w:sz w:val="22"/>
                <w:szCs w:val="18"/>
              </w:rPr>
              <w:t xml:space="preserve"> </w:t>
            </w:r>
            <w:r w:rsidRPr="00157AED">
              <w:rPr>
                <w:rFonts w:cs="Calibri"/>
                <w:b/>
                <w:sz w:val="22"/>
                <w:szCs w:val="18"/>
              </w:rPr>
              <w:t xml:space="preserve">technological developments, including the costs and benefits of early adoption of these in New Zealand  </w:t>
            </w:r>
          </w:p>
        </w:tc>
        <w:tc>
          <w:tcPr>
            <w:tcW w:w="4670" w:type="dxa"/>
            <w:shd w:val="clear" w:color="auto" w:fill="auto"/>
          </w:tcPr>
          <w:p w14:paraId="3D1FA93D" w14:textId="336F65C0" w:rsidR="00EE4568" w:rsidRPr="00157AED" w:rsidDel="005D1101" w:rsidRDefault="00EE4568">
            <w:pPr>
              <w:pStyle w:val="Boxtext"/>
              <w:spacing w:after="60"/>
              <w:rPr>
                <w:rFonts w:cs="Calibri"/>
                <w:sz w:val="22"/>
                <w:szCs w:val="18"/>
              </w:rPr>
            </w:pPr>
            <w:r w:rsidRPr="00157AED">
              <w:rPr>
                <w:rFonts w:cs="Calibri"/>
                <w:sz w:val="22"/>
                <w:szCs w:val="18"/>
              </w:rPr>
              <w:t>This is considered in</w:t>
            </w:r>
            <w:r w:rsidR="003242EB" w:rsidRPr="00157AED">
              <w:rPr>
                <w:rFonts w:cs="Calibri"/>
                <w:b/>
                <w:sz w:val="22"/>
                <w:szCs w:val="18"/>
              </w:rPr>
              <w:t xml:space="preserve"> </w:t>
            </w:r>
            <w:r w:rsidRPr="00157AED">
              <w:rPr>
                <w:rFonts w:cs="Calibri"/>
                <w:sz w:val="22"/>
                <w:szCs w:val="18"/>
              </w:rPr>
              <w:t>determining</w:t>
            </w:r>
            <w:r w:rsidR="003242EB" w:rsidRPr="00157AED">
              <w:rPr>
                <w:rFonts w:cs="Calibri"/>
                <w:b/>
                <w:sz w:val="22"/>
                <w:szCs w:val="18"/>
              </w:rPr>
              <w:t xml:space="preserve"> </w:t>
            </w:r>
            <w:r w:rsidRPr="00157AED">
              <w:rPr>
                <w:rFonts w:cs="Calibri"/>
                <w:sz w:val="22"/>
                <w:szCs w:val="18"/>
              </w:rPr>
              <w:t xml:space="preserve">the emissions cap, and in the price control settings in the assessment of NZU prices that may be needed to meet emissions reduction targets.  </w:t>
            </w:r>
          </w:p>
        </w:tc>
      </w:tr>
      <w:tr w:rsidR="00EE4568" w:rsidRPr="00157AED" w14:paraId="01AF4744"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29CC2F45" w14:textId="216AC7F6" w:rsidR="00EE4568" w:rsidRPr="00157AED" w:rsidDel="005D1101" w:rsidRDefault="00EE4568">
            <w:pPr>
              <w:pStyle w:val="Boxtext"/>
              <w:spacing w:after="60"/>
              <w:rPr>
                <w:rFonts w:cs="Calibri"/>
                <w:b/>
                <w:sz w:val="22"/>
                <w:szCs w:val="18"/>
              </w:rPr>
            </w:pPr>
            <w:r w:rsidRPr="00157AED">
              <w:rPr>
                <w:rFonts w:cs="Calibri"/>
                <w:b/>
                <w:sz w:val="22"/>
                <w:szCs w:val="18"/>
              </w:rPr>
              <w:t>(c)</w:t>
            </w:r>
            <w:r w:rsidR="00D6560F" w:rsidRPr="00157AED">
              <w:rPr>
                <w:rFonts w:cs="Calibri"/>
                <w:b/>
                <w:sz w:val="22"/>
                <w:szCs w:val="18"/>
              </w:rPr>
              <w:t xml:space="preserve"> </w:t>
            </w:r>
            <w:r w:rsidR="00D6560F" w:rsidRPr="00157AED" w:rsidDel="00D6560F">
              <w:rPr>
                <w:rFonts w:cs="Calibri"/>
                <w:b/>
                <w:sz w:val="22"/>
                <w:szCs w:val="18"/>
              </w:rPr>
              <w:t xml:space="preserve"> </w:t>
            </w:r>
            <w:r w:rsidRPr="00157AED">
              <w:rPr>
                <w:rFonts w:cs="Calibri"/>
                <w:b/>
                <w:sz w:val="22"/>
                <w:szCs w:val="18"/>
              </w:rPr>
              <w:t>Likely economic</w:t>
            </w:r>
            <w:r w:rsidR="00D6560F" w:rsidRPr="00157AED">
              <w:rPr>
                <w:rFonts w:cs="Calibri"/>
                <w:b/>
                <w:sz w:val="22"/>
                <w:szCs w:val="18"/>
              </w:rPr>
              <w:t xml:space="preserve"> </w:t>
            </w:r>
            <w:r w:rsidRPr="00157AED">
              <w:rPr>
                <w:rFonts w:cs="Calibri"/>
                <w:b/>
                <w:sz w:val="22"/>
                <w:szCs w:val="18"/>
              </w:rPr>
              <w:t xml:space="preserve">effects  </w:t>
            </w:r>
          </w:p>
        </w:tc>
        <w:tc>
          <w:tcPr>
            <w:tcW w:w="4670" w:type="dxa"/>
            <w:shd w:val="clear" w:color="auto" w:fill="auto"/>
          </w:tcPr>
          <w:p w14:paraId="193E2F74" w14:textId="03E37ABB" w:rsidR="00EE4568" w:rsidRPr="00157AED" w:rsidDel="005D1101" w:rsidRDefault="00EE4568">
            <w:pPr>
              <w:pStyle w:val="Boxtext"/>
              <w:spacing w:after="60"/>
              <w:rPr>
                <w:rFonts w:cs="Calibri"/>
                <w:sz w:val="22"/>
                <w:szCs w:val="18"/>
              </w:rPr>
            </w:pPr>
            <w:r w:rsidRPr="00157AED">
              <w:rPr>
                <w:rFonts w:cs="Calibri"/>
                <w:sz w:val="22"/>
                <w:szCs w:val="18"/>
              </w:rPr>
              <w:t>Our analysis takes this matter into consideration</w:t>
            </w:r>
            <w:r w:rsidR="00EB3451" w:rsidRPr="00157AED">
              <w:rPr>
                <w:rFonts w:cs="Calibri"/>
                <w:b/>
                <w:sz w:val="22"/>
                <w:szCs w:val="18"/>
              </w:rPr>
              <w:t xml:space="preserve"> </w:t>
            </w:r>
            <w:r w:rsidRPr="00157AED">
              <w:rPr>
                <w:rFonts w:cs="Calibri"/>
                <w:sz w:val="22"/>
                <w:szCs w:val="18"/>
              </w:rPr>
              <w:t>when</w:t>
            </w:r>
            <w:r w:rsidR="00EB3451" w:rsidRPr="00157AED">
              <w:rPr>
                <w:rFonts w:cs="Calibri"/>
                <w:b/>
                <w:sz w:val="22"/>
                <w:szCs w:val="18"/>
              </w:rPr>
              <w:t xml:space="preserve"> </w:t>
            </w:r>
            <w:r w:rsidRPr="00157AED">
              <w:rPr>
                <w:rFonts w:cs="Calibri"/>
                <w:sz w:val="22"/>
                <w:szCs w:val="18"/>
              </w:rPr>
              <w:t>determining</w:t>
            </w:r>
            <w:r w:rsidR="00EB3451" w:rsidRPr="00157AED">
              <w:rPr>
                <w:rFonts w:cs="Calibri"/>
                <w:b/>
                <w:sz w:val="22"/>
                <w:szCs w:val="18"/>
              </w:rPr>
              <w:t xml:space="preserve"> </w:t>
            </w:r>
            <w:r w:rsidRPr="00157AED">
              <w:rPr>
                <w:rFonts w:cs="Calibri"/>
                <w:sz w:val="22"/>
                <w:szCs w:val="18"/>
              </w:rPr>
              <w:t xml:space="preserve">the emissions </w:t>
            </w:r>
            <w:proofErr w:type="gramStart"/>
            <w:r w:rsidRPr="00157AED">
              <w:rPr>
                <w:rFonts w:cs="Calibri"/>
                <w:sz w:val="22"/>
                <w:szCs w:val="18"/>
              </w:rPr>
              <w:t>cap,</w:t>
            </w:r>
            <w:r w:rsidR="00EB3451" w:rsidRPr="00157AED">
              <w:rPr>
                <w:rFonts w:cs="Calibri"/>
                <w:b/>
                <w:sz w:val="22"/>
                <w:szCs w:val="18"/>
              </w:rPr>
              <w:t xml:space="preserve"> </w:t>
            </w:r>
            <w:r w:rsidR="00EB3451" w:rsidRPr="00157AED" w:rsidDel="00EB3451">
              <w:rPr>
                <w:rFonts w:cs="Calibri"/>
                <w:sz w:val="22"/>
                <w:szCs w:val="18"/>
              </w:rPr>
              <w:t xml:space="preserve"> </w:t>
            </w:r>
            <w:r w:rsidRPr="00157AED">
              <w:rPr>
                <w:rFonts w:cs="Calibri"/>
                <w:sz w:val="22"/>
                <w:szCs w:val="18"/>
              </w:rPr>
              <w:t>as</w:t>
            </w:r>
            <w:proofErr w:type="gramEnd"/>
            <w:r w:rsidRPr="00157AED">
              <w:rPr>
                <w:rFonts w:cs="Calibri"/>
                <w:sz w:val="22"/>
                <w:szCs w:val="18"/>
              </w:rPr>
              <w:t xml:space="preserve"> well as in the analysis of impacts of emissions prices on households and the economy for considering the price control settings.</w:t>
            </w:r>
          </w:p>
        </w:tc>
      </w:tr>
      <w:tr w:rsidR="00EE4568" w:rsidRPr="00157AED" w14:paraId="5D7AB09E"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390" w:type="dxa"/>
            <w:shd w:val="clear" w:color="auto" w:fill="auto"/>
          </w:tcPr>
          <w:p w14:paraId="3C4DB22D" w14:textId="77777777" w:rsidR="00EE4568" w:rsidRPr="00157AED" w:rsidDel="005D1101" w:rsidRDefault="00EE4568">
            <w:pPr>
              <w:pStyle w:val="Boxtext"/>
              <w:spacing w:after="60"/>
              <w:rPr>
                <w:rFonts w:cs="Calibri"/>
                <w:b/>
                <w:sz w:val="22"/>
                <w:szCs w:val="18"/>
              </w:rPr>
            </w:pPr>
            <w:r w:rsidRPr="00157AED">
              <w:rPr>
                <w:rFonts w:cs="Calibri"/>
                <w:b/>
                <w:sz w:val="22"/>
                <w:szCs w:val="18"/>
              </w:rPr>
              <w:t xml:space="preserve">(d) Social, cultural, environmental, and ecological circumstances, including differences between sectors and regions </w:t>
            </w:r>
          </w:p>
        </w:tc>
        <w:tc>
          <w:tcPr>
            <w:tcW w:w="4670" w:type="dxa"/>
            <w:shd w:val="clear" w:color="auto" w:fill="auto"/>
          </w:tcPr>
          <w:p w14:paraId="0BB94437" w14:textId="3EB61383" w:rsidR="00EE4568" w:rsidRPr="00157AED" w:rsidDel="005D1101" w:rsidRDefault="00EE4568">
            <w:pPr>
              <w:pStyle w:val="Boxtext"/>
              <w:spacing w:after="60"/>
              <w:rPr>
                <w:rFonts w:cs="Calibri"/>
                <w:sz w:val="22"/>
                <w:szCs w:val="18"/>
              </w:rPr>
            </w:pPr>
            <w:r w:rsidRPr="00157AED">
              <w:rPr>
                <w:rFonts w:cs="Calibri"/>
                <w:sz w:val="22"/>
                <w:szCs w:val="18"/>
              </w:rPr>
              <w:t>Our analysis takes this matter into consideration</w:t>
            </w:r>
            <w:r w:rsidR="00EB3451" w:rsidRPr="00157AED">
              <w:rPr>
                <w:rFonts w:cs="Calibri"/>
                <w:b/>
                <w:sz w:val="22"/>
                <w:szCs w:val="18"/>
              </w:rPr>
              <w:t xml:space="preserve"> </w:t>
            </w:r>
            <w:r w:rsidRPr="00157AED">
              <w:rPr>
                <w:rFonts w:cs="Calibri"/>
                <w:sz w:val="22"/>
                <w:szCs w:val="18"/>
              </w:rPr>
              <w:t>when</w:t>
            </w:r>
            <w:r w:rsidR="002F1479" w:rsidRPr="00157AED">
              <w:rPr>
                <w:rFonts w:cs="Calibri"/>
                <w:b/>
                <w:sz w:val="22"/>
                <w:szCs w:val="18"/>
              </w:rPr>
              <w:t xml:space="preserve"> </w:t>
            </w:r>
            <w:r w:rsidRPr="00157AED">
              <w:rPr>
                <w:rFonts w:cs="Calibri"/>
                <w:sz w:val="22"/>
                <w:szCs w:val="18"/>
              </w:rPr>
              <w:t>determining</w:t>
            </w:r>
            <w:r w:rsidR="00EB3451" w:rsidRPr="00157AED">
              <w:rPr>
                <w:rFonts w:cs="Calibri"/>
                <w:b/>
                <w:sz w:val="22"/>
                <w:szCs w:val="18"/>
              </w:rPr>
              <w:t xml:space="preserve"> </w:t>
            </w:r>
            <w:r w:rsidRPr="00157AED">
              <w:rPr>
                <w:rFonts w:cs="Calibri"/>
                <w:sz w:val="22"/>
                <w:szCs w:val="18"/>
              </w:rPr>
              <w:t>the</w:t>
            </w:r>
            <w:r w:rsidR="002F1479" w:rsidRPr="00157AED">
              <w:rPr>
                <w:rFonts w:cs="Calibri"/>
                <w:b/>
                <w:sz w:val="22"/>
                <w:szCs w:val="18"/>
              </w:rPr>
              <w:t xml:space="preserve"> </w:t>
            </w:r>
            <w:r w:rsidRPr="00157AED">
              <w:rPr>
                <w:rFonts w:cs="Calibri"/>
                <w:sz w:val="22"/>
                <w:szCs w:val="18"/>
              </w:rPr>
              <w:t>emissions cap, as well as in the price control settings through the analysis of impacts of emissions prices on households and the economy.</w:t>
            </w:r>
            <w:r w:rsidR="002F1479" w:rsidRPr="00157AED">
              <w:rPr>
                <w:rFonts w:cs="Calibri"/>
                <w:b/>
                <w:sz w:val="22"/>
                <w:szCs w:val="18"/>
              </w:rPr>
              <w:t xml:space="preserve"> </w:t>
            </w:r>
          </w:p>
        </w:tc>
      </w:tr>
      <w:tr w:rsidR="00EE4568" w:rsidRPr="00157AED" w14:paraId="41AF8D19"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46D697E8" w14:textId="77777777" w:rsidR="00EE4568" w:rsidRPr="00157AED" w:rsidDel="005D1101" w:rsidRDefault="00EE4568">
            <w:pPr>
              <w:pStyle w:val="Boxtext"/>
              <w:spacing w:after="60"/>
              <w:rPr>
                <w:rFonts w:cs="Calibri"/>
                <w:b/>
                <w:sz w:val="22"/>
                <w:szCs w:val="18"/>
              </w:rPr>
            </w:pPr>
            <w:r w:rsidRPr="00157AED">
              <w:rPr>
                <w:rFonts w:cs="Calibri"/>
                <w:b/>
                <w:sz w:val="22"/>
                <w:szCs w:val="18"/>
              </w:rPr>
              <w:t xml:space="preserve">(e) Distribution of benefits, costs, and risks between generations </w:t>
            </w:r>
          </w:p>
        </w:tc>
        <w:tc>
          <w:tcPr>
            <w:tcW w:w="4670" w:type="dxa"/>
            <w:shd w:val="clear" w:color="auto" w:fill="auto"/>
          </w:tcPr>
          <w:p w14:paraId="318E7872" w14:textId="31034E1B" w:rsidR="00EE4568" w:rsidRPr="00157AED" w:rsidDel="005D1101" w:rsidRDefault="00EE4568">
            <w:pPr>
              <w:pStyle w:val="Boxtext"/>
              <w:spacing w:after="60"/>
              <w:rPr>
                <w:rFonts w:cs="Calibri"/>
                <w:sz w:val="22"/>
                <w:szCs w:val="18"/>
              </w:rPr>
            </w:pPr>
            <w:r w:rsidRPr="00157AED">
              <w:rPr>
                <w:rFonts w:cs="Calibri"/>
                <w:sz w:val="22"/>
                <w:szCs w:val="18"/>
              </w:rPr>
              <w:t>For this advice, we have considered this through the way we have reflected the Government’s second emissions reduction plan in our settings advice</w:t>
            </w:r>
            <w:r w:rsidR="002F1479" w:rsidRPr="00157AED">
              <w:rPr>
                <w:rFonts w:cs="Calibri"/>
                <w:b/>
                <w:sz w:val="22"/>
                <w:szCs w:val="18"/>
              </w:rPr>
              <w:t xml:space="preserve"> </w:t>
            </w:r>
            <w:r w:rsidRPr="00157AED">
              <w:rPr>
                <w:rFonts w:cs="Calibri"/>
                <w:sz w:val="22"/>
                <w:szCs w:val="18"/>
              </w:rPr>
              <w:t>(</w:t>
            </w:r>
            <w:r>
              <w:rPr>
                <w:rFonts w:cs="Calibri"/>
                <w:sz w:val="22"/>
                <w:szCs w:val="18"/>
              </w:rPr>
              <w:t xml:space="preserve">including </w:t>
            </w:r>
            <w:r w:rsidRPr="00157AED">
              <w:rPr>
                <w:rFonts w:cs="Calibri"/>
                <w:sz w:val="22"/>
                <w:szCs w:val="18"/>
              </w:rPr>
              <w:t xml:space="preserve">through </w:t>
            </w:r>
            <w:r>
              <w:rPr>
                <w:rFonts w:cs="Calibri"/>
                <w:sz w:val="22"/>
                <w:szCs w:val="18"/>
              </w:rPr>
              <w:t xml:space="preserve">our consideration of </w:t>
            </w:r>
            <w:r w:rsidRPr="00157AED">
              <w:rPr>
                <w:rFonts w:cs="Calibri"/>
                <w:sz w:val="22"/>
                <w:szCs w:val="18"/>
              </w:rPr>
              <w:t>the</w:t>
            </w:r>
            <w:r w:rsidR="002F1479" w:rsidRPr="00157AED">
              <w:rPr>
                <w:rFonts w:cs="Calibri"/>
                <w:b/>
                <w:sz w:val="22"/>
                <w:szCs w:val="18"/>
              </w:rPr>
              <w:t xml:space="preserve"> </w:t>
            </w:r>
            <w:r w:rsidRPr="00157AED">
              <w:rPr>
                <w:rFonts w:cs="Calibri"/>
                <w:sz w:val="22"/>
                <w:szCs w:val="18"/>
              </w:rPr>
              <w:t xml:space="preserve">2025 </w:t>
            </w:r>
            <w:r w:rsidR="0089109E">
              <w:rPr>
                <w:rFonts w:cs="Calibri"/>
                <w:sz w:val="22"/>
                <w:szCs w:val="18"/>
              </w:rPr>
              <w:t>G</w:t>
            </w:r>
            <w:r w:rsidRPr="00157AED">
              <w:rPr>
                <w:rFonts w:cs="Calibri"/>
                <w:sz w:val="22"/>
                <w:szCs w:val="18"/>
              </w:rPr>
              <w:t>overnment emissions</w:t>
            </w:r>
            <w:r w:rsidR="002F1479" w:rsidRPr="00157AED">
              <w:rPr>
                <w:rFonts w:cs="Calibri"/>
                <w:b/>
                <w:sz w:val="22"/>
                <w:szCs w:val="18"/>
              </w:rPr>
              <w:t xml:space="preserve"> </w:t>
            </w:r>
            <w:r w:rsidRPr="00157AED">
              <w:rPr>
                <w:rFonts w:cs="Calibri"/>
                <w:sz w:val="22"/>
                <w:szCs w:val="18"/>
              </w:rPr>
              <w:t>projections)</w:t>
            </w:r>
            <w:r>
              <w:rPr>
                <w:rFonts w:cs="Calibri"/>
                <w:sz w:val="22"/>
                <w:szCs w:val="18"/>
              </w:rPr>
              <w:t xml:space="preserve">. This reflects </w:t>
            </w:r>
            <w:r w:rsidRPr="00157AED">
              <w:rPr>
                <w:rFonts w:cs="Calibri"/>
                <w:sz w:val="22"/>
                <w:szCs w:val="18"/>
              </w:rPr>
              <w:t xml:space="preserve">that the Government was required to consider these matters in setting emissions budgets and the emissions reduction plan, and that we consider that the Commission’s </w:t>
            </w:r>
            <w:r>
              <w:rPr>
                <w:rFonts w:cs="Calibri"/>
                <w:sz w:val="22"/>
                <w:szCs w:val="18"/>
              </w:rPr>
              <w:t xml:space="preserve">recommendations </w:t>
            </w:r>
            <w:r w:rsidRPr="00157AED">
              <w:rPr>
                <w:rFonts w:cs="Calibri"/>
                <w:sz w:val="22"/>
                <w:szCs w:val="18"/>
              </w:rPr>
              <w:t>on the NZ ETS settings need to be</w:t>
            </w:r>
            <w:r w:rsidR="002F1479" w:rsidRPr="00157AED">
              <w:rPr>
                <w:rFonts w:cs="Calibri"/>
                <w:b/>
                <w:sz w:val="22"/>
                <w:szCs w:val="18"/>
              </w:rPr>
              <w:t xml:space="preserve"> </w:t>
            </w:r>
            <w:r w:rsidRPr="00157AED">
              <w:rPr>
                <w:rFonts w:cs="Calibri"/>
                <w:sz w:val="22"/>
                <w:szCs w:val="18"/>
              </w:rPr>
              <w:t>compatible with</w:t>
            </w:r>
            <w:r w:rsidR="002F1479" w:rsidRPr="00157AED">
              <w:rPr>
                <w:rFonts w:cs="Calibri"/>
                <w:b/>
                <w:sz w:val="22"/>
                <w:szCs w:val="18"/>
              </w:rPr>
              <w:t xml:space="preserve"> </w:t>
            </w:r>
            <w:r w:rsidRPr="00157AED">
              <w:rPr>
                <w:rFonts w:cs="Calibri"/>
                <w:sz w:val="22"/>
                <w:szCs w:val="18"/>
              </w:rPr>
              <w:t>the Government’s wider climate policy</w:t>
            </w:r>
            <w:r w:rsidR="002F1479" w:rsidRPr="00157AED">
              <w:rPr>
                <w:rFonts w:cs="Calibri"/>
                <w:b/>
                <w:sz w:val="22"/>
                <w:szCs w:val="18"/>
              </w:rPr>
              <w:t xml:space="preserve"> </w:t>
            </w:r>
            <w:r w:rsidRPr="00157AED">
              <w:rPr>
                <w:rFonts w:cs="Calibri"/>
                <w:sz w:val="22"/>
                <w:szCs w:val="18"/>
              </w:rPr>
              <w:t>package.</w:t>
            </w:r>
            <w:r w:rsidR="002F1479" w:rsidRPr="00157AED">
              <w:rPr>
                <w:rFonts w:cs="Calibri"/>
                <w:b/>
                <w:sz w:val="22"/>
                <w:szCs w:val="18"/>
              </w:rPr>
              <w:t xml:space="preserve"> </w:t>
            </w:r>
          </w:p>
        </w:tc>
      </w:tr>
      <w:tr w:rsidR="00EE4568" w:rsidRPr="00157AED" w14:paraId="481917AF"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390" w:type="dxa"/>
            <w:shd w:val="clear" w:color="auto" w:fill="auto"/>
          </w:tcPr>
          <w:p w14:paraId="06C4D034" w14:textId="4ABAE110" w:rsidR="00EE4568" w:rsidRPr="00157AED" w:rsidDel="005D1101" w:rsidRDefault="00EE4568">
            <w:pPr>
              <w:pStyle w:val="Boxtext"/>
              <w:spacing w:after="60"/>
              <w:rPr>
                <w:rFonts w:cs="Calibri"/>
                <w:b/>
                <w:sz w:val="22"/>
                <w:szCs w:val="18"/>
              </w:rPr>
            </w:pPr>
            <w:r w:rsidRPr="00157AED">
              <w:rPr>
                <w:rFonts w:cs="Calibri"/>
                <w:b/>
                <w:sz w:val="22"/>
                <w:szCs w:val="18"/>
              </w:rPr>
              <w:t>(f) The Crown–Māori relationship,</w:t>
            </w:r>
            <w:r w:rsidR="00D6560F" w:rsidRPr="00157AED" w:rsidDel="00D6560F">
              <w:rPr>
                <w:rFonts w:cs="Calibri"/>
                <w:b/>
                <w:sz w:val="22"/>
                <w:szCs w:val="18"/>
              </w:rPr>
              <w:t xml:space="preserve"> </w:t>
            </w:r>
            <w:proofErr w:type="spellStart"/>
            <w:r w:rsidRPr="00157AED">
              <w:rPr>
                <w:rFonts w:cs="Calibri"/>
                <w:b/>
                <w:sz w:val="22"/>
                <w:szCs w:val="18"/>
              </w:rPr>
              <w:t>te</w:t>
            </w:r>
            <w:proofErr w:type="spellEnd"/>
            <w:r w:rsidR="00D6560F" w:rsidRPr="00157AED">
              <w:rPr>
                <w:rFonts w:cs="Calibri"/>
                <w:b/>
                <w:sz w:val="22"/>
                <w:szCs w:val="18"/>
              </w:rPr>
              <w:t xml:space="preserve"> </w:t>
            </w:r>
            <w:proofErr w:type="spellStart"/>
            <w:r w:rsidRPr="00157AED">
              <w:rPr>
                <w:rFonts w:cs="Calibri"/>
                <w:b/>
                <w:sz w:val="22"/>
                <w:szCs w:val="18"/>
              </w:rPr>
              <w:t>ao</w:t>
            </w:r>
            <w:proofErr w:type="spellEnd"/>
            <w:r w:rsidR="00D6560F" w:rsidRPr="00157AED">
              <w:rPr>
                <w:rFonts w:cs="Calibri"/>
                <w:b/>
                <w:sz w:val="22"/>
                <w:szCs w:val="18"/>
              </w:rPr>
              <w:t xml:space="preserve"> </w:t>
            </w:r>
            <w:r w:rsidRPr="00157AED">
              <w:rPr>
                <w:rFonts w:cs="Calibri"/>
                <w:b/>
                <w:sz w:val="22"/>
                <w:szCs w:val="18"/>
              </w:rPr>
              <w:t>Māori, and specific effects on iwi/Māori </w:t>
            </w:r>
          </w:p>
        </w:tc>
        <w:tc>
          <w:tcPr>
            <w:tcW w:w="4670" w:type="dxa"/>
            <w:shd w:val="clear" w:color="auto" w:fill="auto"/>
            <w:vAlign w:val="center"/>
          </w:tcPr>
          <w:p w14:paraId="4773FF61" w14:textId="77777777" w:rsidR="00EE4568" w:rsidRPr="00157AED" w:rsidDel="005D1101" w:rsidRDefault="00EE4568">
            <w:pPr>
              <w:pStyle w:val="Boxtext"/>
              <w:spacing w:after="60"/>
              <w:rPr>
                <w:rFonts w:cs="Calibri"/>
                <w:sz w:val="22"/>
                <w:szCs w:val="18"/>
              </w:rPr>
            </w:pPr>
            <w:r w:rsidRPr="00157AED">
              <w:rPr>
                <w:rFonts w:cs="Calibri"/>
                <w:sz w:val="22"/>
                <w:szCs w:val="18"/>
              </w:rPr>
              <w:t xml:space="preserve">This is considered in step 3 of </w:t>
            </w:r>
            <w:r>
              <w:rPr>
                <w:rFonts w:cs="Calibri"/>
                <w:sz w:val="22"/>
                <w:szCs w:val="18"/>
              </w:rPr>
              <w:t xml:space="preserve">our </w:t>
            </w:r>
            <w:r w:rsidRPr="00157AED">
              <w:rPr>
                <w:rFonts w:cs="Calibri"/>
                <w:sz w:val="22"/>
                <w:szCs w:val="18"/>
              </w:rPr>
              <w:t>unit limits</w:t>
            </w:r>
            <w:r>
              <w:rPr>
                <w:rFonts w:cs="Calibri"/>
                <w:sz w:val="22"/>
                <w:szCs w:val="18"/>
              </w:rPr>
              <w:t xml:space="preserve"> analysis where we estimate the surplus range</w:t>
            </w:r>
            <w:r w:rsidRPr="00157AED">
              <w:rPr>
                <w:rFonts w:cs="Calibri"/>
                <w:sz w:val="22"/>
                <w:szCs w:val="18"/>
              </w:rPr>
              <w:t xml:space="preserve">, particularly in relation to the availability to the market of pre-1990 forestry units, and in our advice on the price control settings. </w:t>
            </w:r>
            <w:r w:rsidRPr="00157AED">
              <w:rPr>
                <w:rFonts w:cs="Calibri"/>
                <w:i/>
                <w:iCs/>
                <w:sz w:val="22"/>
                <w:szCs w:val="18"/>
              </w:rPr>
              <w:t>Chapter 5: Price controls</w:t>
            </w:r>
            <w:r w:rsidRPr="00157AED">
              <w:rPr>
                <w:rFonts w:cs="Calibri"/>
                <w:sz w:val="22"/>
                <w:szCs w:val="18"/>
              </w:rPr>
              <w:t xml:space="preserve"> of the advice report </w:t>
            </w:r>
            <w:proofErr w:type="gramStart"/>
            <w:r w:rsidRPr="00157AED">
              <w:rPr>
                <w:rFonts w:cs="Calibri"/>
                <w:sz w:val="22"/>
                <w:szCs w:val="18"/>
              </w:rPr>
              <w:t>contains</w:t>
            </w:r>
            <w:proofErr w:type="gramEnd"/>
            <w:r w:rsidRPr="00157AED">
              <w:rPr>
                <w:rFonts w:cs="Calibri"/>
                <w:sz w:val="22"/>
                <w:szCs w:val="18"/>
              </w:rPr>
              <w:t xml:space="preserve"> specific information related to the impacts of the NZ ETS on iwi/Māori. </w:t>
            </w:r>
          </w:p>
        </w:tc>
      </w:tr>
      <w:tr w:rsidR="00EE4568" w:rsidRPr="00157AED" w14:paraId="44F399A4"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05AE808D" w14:textId="77777777" w:rsidR="00EE4568" w:rsidRPr="00157AED" w:rsidDel="005D1101" w:rsidRDefault="00EE4568">
            <w:pPr>
              <w:pStyle w:val="Boxtext"/>
              <w:spacing w:after="60"/>
              <w:rPr>
                <w:rFonts w:cs="Calibri"/>
                <w:b/>
                <w:sz w:val="22"/>
                <w:szCs w:val="18"/>
              </w:rPr>
            </w:pPr>
            <w:r w:rsidRPr="00157AED">
              <w:rPr>
                <w:rFonts w:cs="Calibri"/>
                <w:b/>
                <w:sz w:val="22"/>
                <w:szCs w:val="18"/>
              </w:rPr>
              <w:t xml:space="preserve">(g) Responses to climate change taken or planned by parties to the Paris Agreement or to the Convention </w:t>
            </w:r>
          </w:p>
        </w:tc>
        <w:tc>
          <w:tcPr>
            <w:tcW w:w="4670" w:type="dxa"/>
            <w:shd w:val="clear" w:color="auto" w:fill="auto"/>
          </w:tcPr>
          <w:p w14:paraId="12864AE3" w14:textId="40AAA148" w:rsidR="00EE4568" w:rsidRPr="00157AED" w:rsidDel="005D1101" w:rsidRDefault="00EE4568">
            <w:pPr>
              <w:pStyle w:val="Boxtext"/>
              <w:spacing w:after="60"/>
              <w:rPr>
                <w:rFonts w:cs="Calibri"/>
                <w:sz w:val="22"/>
                <w:szCs w:val="18"/>
              </w:rPr>
            </w:pPr>
            <w:r w:rsidRPr="00157AED">
              <w:rPr>
                <w:rFonts w:cs="Calibri"/>
                <w:sz w:val="22"/>
                <w:szCs w:val="18"/>
              </w:rPr>
              <w:t>Our analysis</w:t>
            </w:r>
            <w:r w:rsidR="002F1479" w:rsidRPr="00157AED">
              <w:rPr>
                <w:rFonts w:cs="Calibri"/>
                <w:b/>
                <w:sz w:val="22"/>
                <w:szCs w:val="18"/>
              </w:rPr>
              <w:t xml:space="preserve"> </w:t>
            </w:r>
            <w:r w:rsidRPr="00157AED">
              <w:rPr>
                <w:rFonts w:cs="Calibri"/>
                <w:sz w:val="22"/>
                <w:szCs w:val="18"/>
              </w:rPr>
              <w:t>considered this</w:t>
            </w:r>
            <w:r w:rsidR="002F1479" w:rsidRPr="00157AED">
              <w:rPr>
                <w:rFonts w:cs="Calibri"/>
                <w:b/>
                <w:sz w:val="22"/>
                <w:szCs w:val="18"/>
              </w:rPr>
              <w:t xml:space="preserve"> </w:t>
            </w:r>
            <w:r w:rsidRPr="00157AED">
              <w:rPr>
                <w:rFonts w:cs="Calibri"/>
                <w:sz w:val="22"/>
                <w:szCs w:val="18"/>
              </w:rPr>
              <w:t>through the section 30GC 6(b) consideration of international emissions prices noted earlier in this table.</w:t>
            </w:r>
            <w:r w:rsidR="002F1479" w:rsidRPr="002F1479">
              <w:rPr>
                <w:rFonts w:cs="Calibri"/>
                <w:bCs/>
                <w:sz w:val="22"/>
                <w:szCs w:val="18"/>
              </w:rPr>
              <w:t xml:space="preserve"> </w:t>
            </w:r>
            <w:r w:rsidRPr="00157AED">
              <w:rPr>
                <w:rFonts w:cs="Calibri"/>
                <w:sz w:val="22"/>
                <w:szCs w:val="18"/>
              </w:rPr>
              <w:t>We have also</w:t>
            </w:r>
            <w:r w:rsidR="002F1479" w:rsidRPr="00157AED">
              <w:rPr>
                <w:rFonts w:cs="Calibri"/>
                <w:sz w:val="22"/>
                <w:szCs w:val="18"/>
              </w:rPr>
              <w:t xml:space="preserve"> </w:t>
            </w:r>
            <w:r w:rsidRPr="00157AED">
              <w:rPr>
                <w:rFonts w:cs="Calibri"/>
                <w:sz w:val="22"/>
                <w:szCs w:val="18"/>
              </w:rPr>
              <w:t>considered this in the price control settings in</w:t>
            </w:r>
            <w:r w:rsidR="002F1479" w:rsidRPr="00157AED">
              <w:rPr>
                <w:rFonts w:cs="Calibri"/>
                <w:sz w:val="22"/>
                <w:szCs w:val="18"/>
              </w:rPr>
              <w:t xml:space="preserve"> </w:t>
            </w:r>
            <w:r w:rsidRPr="00157AED">
              <w:rPr>
                <w:rFonts w:cs="Calibri"/>
                <w:sz w:val="22"/>
                <w:szCs w:val="18"/>
              </w:rPr>
              <w:t>considering the auction reserve price.</w:t>
            </w:r>
          </w:p>
        </w:tc>
      </w:tr>
      <w:tr w:rsidR="00EE4568" w:rsidRPr="00157AED" w14:paraId="2874B089"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9060" w:type="dxa"/>
            <w:gridSpan w:val="2"/>
            <w:shd w:val="clear" w:color="auto" w:fill="D4E8DE"/>
          </w:tcPr>
          <w:p w14:paraId="505A04BD" w14:textId="6CFA1501" w:rsidR="00EE4568" w:rsidRPr="00157AED" w:rsidRDefault="00EE4568">
            <w:pPr>
              <w:pStyle w:val="Boxtext"/>
              <w:spacing w:after="60"/>
              <w:rPr>
                <w:sz w:val="22"/>
                <w:szCs w:val="18"/>
              </w:rPr>
            </w:pPr>
            <w:r w:rsidRPr="00157AED">
              <w:rPr>
                <w:rFonts w:cs="Calibri"/>
                <w:b/>
                <w:bCs/>
                <w:sz w:val="22"/>
                <w:szCs w:val="18"/>
              </w:rPr>
              <w:t>Section 5N: Consultation</w:t>
            </w:r>
          </w:p>
        </w:tc>
      </w:tr>
      <w:tr w:rsidR="00EE4568" w:rsidRPr="00157AED" w14:paraId="13AE797C"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1FA54480" w14:textId="6F2EC1AC" w:rsidR="00EE4568" w:rsidRPr="00157AED" w:rsidRDefault="00EE4568">
            <w:pPr>
              <w:spacing w:after="160" w:line="278" w:lineRule="auto"/>
              <w:rPr>
                <w:rFonts w:cs="Calibri"/>
                <w:b/>
                <w:sz w:val="22"/>
                <w:szCs w:val="18"/>
              </w:rPr>
            </w:pPr>
            <w:r w:rsidRPr="00157AED">
              <w:rPr>
                <w:rFonts w:cs="Calibri"/>
                <w:b/>
                <w:sz w:val="22"/>
                <w:szCs w:val="18"/>
              </w:rPr>
              <w:t>(1) In performing its functions and duties and exercising its powers under this Act, the Commission must—</w:t>
            </w:r>
          </w:p>
          <w:p w14:paraId="224195FA" w14:textId="5104BD00" w:rsidR="00EE4568" w:rsidRPr="00157AED" w:rsidRDefault="00EE4568">
            <w:pPr>
              <w:spacing w:after="160" w:line="278" w:lineRule="auto"/>
              <w:rPr>
                <w:rFonts w:cs="Calibri"/>
                <w:b/>
                <w:sz w:val="22"/>
                <w:szCs w:val="18"/>
              </w:rPr>
            </w:pPr>
            <w:r w:rsidRPr="00157AED">
              <w:rPr>
                <w:rFonts w:cs="Calibri"/>
                <w:b/>
                <w:sz w:val="22"/>
                <w:szCs w:val="18"/>
              </w:rPr>
              <w:t>(a) proactively engage with persons the Commission considers relevant to the functions, duties, and powers; and</w:t>
            </w:r>
          </w:p>
          <w:p w14:paraId="4923697E" w14:textId="3DD389BC" w:rsidR="00EE4568" w:rsidRPr="00157AED" w:rsidRDefault="00EE4568">
            <w:pPr>
              <w:pStyle w:val="Boxtext"/>
              <w:spacing w:after="60"/>
              <w:rPr>
                <w:sz w:val="22"/>
                <w:szCs w:val="18"/>
              </w:rPr>
            </w:pPr>
            <w:r w:rsidRPr="00157AED">
              <w:rPr>
                <w:rFonts w:cs="Calibri"/>
                <w:b/>
                <w:sz w:val="22"/>
                <w:szCs w:val="18"/>
              </w:rPr>
              <w:t>(b) where the Commission considers it is necessary, provide for participation by the public.</w:t>
            </w:r>
            <w:r w:rsidR="00F74771" w:rsidRPr="00157AED">
              <w:rPr>
                <w:rFonts w:cs="Calibri"/>
                <w:b/>
                <w:sz w:val="22"/>
                <w:szCs w:val="18"/>
              </w:rPr>
              <w:t xml:space="preserve"> </w:t>
            </w:r>
          </w:p>
        </w:tc>
        <w:tc>
          <w:tcPr>
            <w:tcW w:w="4670" w:type="dxa"/>
            <w:shd w:val="clear" w:color="auto" w:fill="auto"/>
          </w:tcPr>
          <w:p w14:paraId="6E92E029" w14:textId="2B451E97" w:rsidR="00EE4568" w:rsidRPr="00157AED" w:rsidRDefault="00EE4568">
            <w:pPr>
              <w:spacing w:after="160" w:line="278" w:lineRule="auto"/>
              <w:rPr>
                <w:sz w:val="22"/>
                <w:szCs w:val="18"/>
              </w:rPr>
            </w:pPr>
            <w:r w:rsidRPr="00157AED">
              <w:rPr>
                <w:rFonts w:cs="Calibri"/>
                <w:sz w:val="22"/>
                <w:szCs w:val="18"/>
              </w:rPr>
              <w:t xml:space="preserve">In developing this advice on NZ ETS unit limits and price control settings, we considered whether it was necessary to provide for public consultation on this advice and decided that it was not. In </w:t>
            </w:r>
            <w:r w:rsidRPr="00157AED">
              <w:rPr>
                <w:rFonts w:cs="Calibri"/>
                <w:i/>
                <w:iCs/>
                <w:sz w:val="22"/>
                <w:szCs w:val="18"/>
              </w:rPr>
              <w:t>Chapter 2: Current state of the NZ ETS</w:t>
            </w:r>
            <w:r w:rsidRPr="00157AED">
              <w:rPr>
                <w:rFonts w:cs="Calibri"/>
                <w:i/>
                <w:sz w:val="22"/>
                <w:szCs w:val="18"/>
              </w:rPr>
              <w:t xml:space="preserve"> </w:t>
            </w:r>
            <w:r w:rsidRPr="00157AED">
              <w:rPr>
                <w:rFonts w:cs="Calibri"/>
                <w:iCs/>
                <w:sz w:val="22"/>
                <w:szCs w:val="18"/>
              </w:rPr>
              <w:t xml:space="preserve">of the advice report </w:t>
            </w:r>
            <w:r w:rsidRPr="00157AED">
              <w:rPr>
                <w:rFonts w:cs="Calibri"/>
                <w:sz w:val="22"/>
                <w:szCs w:val="18"/>
              </w:rPr>
              <w:t xml:space="preserve">we describe the proactive engagement we undertook to meet the requirement in s5N(1)(a). </w:t>
            </w:r>
          </w:p>
        </w:tc>
      </w:tr>
      <w:tr w:rsidR="00613FAB" w:rsidRPr="00157AED" w14:paraId="5A0C9EC2" w14:textId="77777777">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9060" w:type="dxa"/>
            <w:gridSpan w:val="2"/>
            <w:shd w:val="clear" w:color="auto" w:fill="D4E8DE"/>
          </w:tcPr>
          <w:p w14:paraId="2C2D1F0A" w14:textId="4ADCE1C1" w:rsidR="00613FAB" w:rsidRPr="00157AED" w:rsidRDefault="00613FAB">
            <w:pPr>
              <w:spacing w:after="160" w:line="278" w:lineRule="auto"/>
              <w:rPr>
                <w:rFonts w:cs="Calibri"/>
                <w:sz w:val="22"/>
                <w:szCs w:val="18"/>
              </w:rPr>
            </w:pPr>
            <w:r>
              <w:rPr>
                <w:rFonts w:cs="Calibri"/>
                <w:b/>
                <w:sz w:val="22"/>
                <w:szCs w:val="18"/>
              </w:rPr>
              <w:t>Section 5O: Commission must act independently</w:t>
            </w:r>
          </w:p>
        </w:tc>
      </w:tr>
      <w:tr w:rsidR="00680D50" w:rsidRPr="00157AED" w14:paraId="3B43AF8E" w14:textId="77777777">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tcW w:w="4390" w:type="dxa"/>
            <w:shd w:val="clear" w:color="auto" w:fill="auto"/>
          </w:tcPr>
          <w:p w14:paraId="0F21EE40" w14:textId="6E9861E7" w:rsidR="00613FAB" w:rsidRPr="00613FAB" w:rsidRDefault="00613FAB" w:rsidP="00613FAB">
            <w:pPr>
              <w:spacing w:after="160" w:line="278" w:lineRule="auto"/>
              <w:rPr>
                <w:rFonts w:cs="Calibri"/>
                <w:b/>
                <w:sz w:val="22"/>
                <w:szCs w:val="18"/>
              </w:rPr>
            </w:pPr>
            <w:r>
              <w:rPr>
                <w:rFonts w:cs="Calibri"/>
                <w:b/>
                <w:sz w:val="22"/>
                <w:szCs w:val="18"/>
              </w:rPr>
              <w:t xml:space="preserve">(1) </w:t>
            </w:r>
            <w:r w:rsidRPr="00613FAB">
              <w:rPr>
                <w:rFonts w:cs="Calibri"/>
                <w:b/>
                <w:sz w:val="22"/>
                <w:szCs w:val="18"/>
              </w:rPr>
              <w:t>The Commission must act independently in performing its functions and duties and exercising its powers under this Act.</w:t>
            </w:r>
          </w:p>
          <w:p w14:paraId="7A5CA92A" w14:textId="2BC887EB" w:rsidR="00613FAB" w:rsidRPr="00613FAB" w:rsidRDefault="00613FAB" w:rsidP="00613FAB">
            <w:pPr>
              <w:spacing w:after="160" w:line="278" w:lineRule="auto"/>
              <w:rPr>
                <w:rFonts w:cs="Calibri"/>
                <w:b/>
                <w:sz w:val="22"/>
                <w:szCs w:val="18"/>
              </w:rPr>
            </w:pPr>
            <w:r w:rsidRPr="00613FAB">
              <w:rPr>
                <w:rFonts w:cs="Calibri"/>
                <w:b/>
                <w:sz w:val="22"/>
                <w:szCs w:val="18"/>
              </w:rPr>
              <w:t>(2)</w:t>
            </w:r>
            <w:r>
              <w:rPr>
                <w:rFonts w:cs="Calibri"/>
                <w:b/>
                <w:sz w:val="22"/>
                <w:szCs w:val="18"/>
              </w:rPr>
              <w:t xml:space="preserve"> </w:t>
            </w:r>
            <w:r w:rsidRPr="00613FAB">
              <w:rPr>
                <w:rFonts w:cs="Calibri"/>
                <w:b/>
                <w:sz w:val="22"/>
                <w:szCs w:val="18"/>
              </w:rPr>
              <w:t>However, the Minister may direct the Commission to have regard to Government policy for the purposes of the Commission—</w:t>
            </w:r>
          </w:p>
          <w:p w14:paraId="3D8CC1FA" w14:textId="5C00949C" w:rsidR="00613FAB" w:rsidRPr="00613FAB" w:rsidRDefault="00613FAB" w:rsidP="00613FAB">
            <w:pPr>
              <w:spacing w:after="160" w:line="278" w:lineRule="auto"/>
              <w:rPr>
                <w:rFonts w:cs="Calibri"/>
                <w:b/>
                <w:sz w:val="22"/>
                <w:szCs w:val="18"/>
              </w:rPr>
            </w:pPr>
            <w:r w:rsidRPr="00613FAB">
              <w:rPr>
                <w:rFonts w:cs="Calibri"/>
                <w:b/>
                <w:sz w:val="22"/>
                <w:szCs w:val="18"/>
              </w:rPr>
              <w:t>(a)</w:t>
            </w:r>
            <w:r w:rsidR="00A020D7">
              <w:rPr>
                <w:rFonts w:cs="Calibri"/>
                <w:b/>
                <w:sz w:val="22"/>
                <w:szCs w:val="18"/>
              </w:rPr>
              <w:t xml:space="preserve"> </w:t>
            </w:r>
            <w:r w:rsidRPr="00613FAB">
              <w:rPr>
                <w:rFonts w:cs="Calibri"/>
                <w:b/>
                <w:sz w:val="22"/>
                <w:szCs w:val="18"/>
              </w:rPr>
              <w:t>recommending unit supply settings of the New Zealand emissions trading scheme; and</w:t>
            </w:r>
          </w:p>
          <w:p w14:paraId="3848A56E" w14:textId="459D71B2" w:rsidR="00680D50" w:rsidRPr="00157AED" w:rsidRDefault="00613FAB" w:rsidP="00A020D7">
            <w:pPr>
              <w:spacing w:after="160" w:line="278" w:lineRule="auto"/>
              <w:rPr>
                <w:rFonts w:cs="Calibri"/>
                <w:b/>
                <w:sz w:val="22"/>
                <w:szCs w:val="18"/>
              </w:rPr>
            </w:pPr>
            <w:r w:rsidRPr="00613FAB">
              <w:rPr>
                <w:rFonts w:cs="Calibri"/>
                <w:b/>
                <w:sz w:val="22"/>
                <w:szCs w:val="18"/>
              </w:rPr>
              <w:t>(b)</w:t>
            </w:r>
            <w:r w:rsidR="00A020D7">
              <w:rPr>
                <w:rFonts w:cs="Calibri"/>
                <w:b/>
                <w:sz w:val="22"/>
                <w:szCs w:val="18"/>
              </w:rPr>
              <w:t xml:space="preserve"> </w:t>
            </w:r>
            <w:r w:rsidRPr="00613FAB">
              <w:rPr>
                <w:rFonts w:cs="Calibri"/>
                <w:b/>
                <w:sz w:val="22"/>
                <w:szCs w:val="18"/>
              </w:rPr>
              <w:t>providing advice about New Zealand’s nationally determined contributions under the Paris Agreement (in a report requested under section 5K).</w:t>
            </w:r>
          </w:p>
        </w:tc>
        <w:tc>
          <w:tcPr>
            <w:tcW w:w="4670" w:type="dxa"/>
            <w:shd w:val="clear" w:color="auto" w:fill="auto"/>
          </w:tcPr>
          <w:p w14:paraId="55FF393D" w14:textId="41B15B0D" w:rsidR="00680D50" w:rsidRPr="00157AED" w:rsidRDefault="00B26B47">
            <w:pPr>
              <w:spacing w:after="160" w:line="278" w:lineRule="auto"/>
              <w:rPr>
                <w:rFonts w:cs="Calibri"/>
                <w:sz w:val="22"/>
                <w:szCs w:val="18"/>
              </w:rPr>
            </w:pPr>
            <w:r>
              <w:rPr>
                <w:rFonts w:cs="Calibri"/>
                <w:sz w:val="22"/>
                <w:szCs w:val="18"/>
              </w:rPr>
              <w:t xml:space="preserve">We have prepared our recommendations independently. </w:t>
            </w:r>
            <w:r w:rsidR="00C26CB5">
              <w:rPr>
                <w:rFonts w:cs="Calibri"/>
                <w:sz w:val="22"/>
                <w:szCs w:val="18"/>
              </w:rPr>
              <w:t xml:space="preserve">The Minister has not directed us to have regard to Government policy in preparing </w:t>
            </w:r>
            <w:r w:rsidR="00500FDB">
              <w:rPr>
                <w:rFonts w:cs="Calibri"/>
                <w:sz w:val="22"/>
                <w:szCs w:val="18"/>
              </w:rPr>
              <w:t xml:space="preserve">our </w:t>
            </w:r>
            <w:r w:rsidR="002A4CA3">
              <w:rPr>
                <w:rFonts w:cs="Calibri"/>
                <w:sz w:val="22"/>
                <w:szCs w:val="18"/>
              </w:rPr>
              <w:t xml:space="preserve">recommendations. </w:t>
            </w:r>
            <w:r w:rsidR="00964C98">
              <w:rPr>
                <w:rFonts w:cs="Calibri"/>
                <w:sz w:val="22"/>
                <w:szCs w:val="18"/>
              </w:rPr>
              <w:t xml:space="preserve"> </w:t>
            </w:r>
          </w:p>
        </w:tc>
      </w:tr>
    </w:tbl>
    <w:p w14:paraId="6CC0AA4C" w14:textId="77777777" w:rsidR="00EE4568" w:rsidRDefault="00EE4568">
      <w:pPr>
        <w:spacing w:before="0" w:after="0" w:line="240" w:lineRule="auto"/>
        <w:rPr>
          <w:rFonts w:eastAsiaTheme="majorEastAsia"/>
          <w:b/>
          <w:color w:val="1F3864" w:themeColor="accent1" w:themeShade="80"/>
          <w:sz w:val="44"/>
          <w:szCs w:val="44"/>
        </w:rPr>
      </w:pPr>
      <w:r>
        <w:br w:type="page"/>
      </w:r>
    </w:p>
    <w:p w14:paraId="6E399EFE" w14:textId="5BE7F576" w:rsidR="002360D8" w:rsidRDefault="002360D8" w:rsidP="002360D8">
      <w:pPr>
        <w:pStyle w:val="Heading1nonumber"/>
      </w:pPr>
      <w:bookmarkStart w:id="21" w:name="_Toc227679730"/>
      <w:r>
        <w:t>References</w:t>
      </w:r>
      <w:bookmarkEnd w:id="21"/>
    </w:p>
    <w:p w14:paraId="69FBCE91" w14:textId="3E08C9CE" w:rsidR="005B1D5D" w:rsidRPr="005B1D5D" w:rsidRDefault="002360D8" w:rsidP="005B1D5D">
      <w:pPr>
        <w:pStyle w:val="EndNoteBibliography"/>
        <w:spacing w:after="0"/>
      </w:pPr>
      <w:r>
        <w:fldChar w:fldCharType="begin"/>
      </w:r>
      <w:r>
        <w:instrText xml:space="preserve"> ADDIN EN.REFLIST </w:instrText>
      </w:r>
      <w:r>
        <w:fldChar w:fldCharType="separate"/>
      </w:r>
      <w:r w:rsidR="005B1D5D" w:rsidRPr="005B1D5D">
        <w:t>1.</w:t>
      </w:r>
      <w:r w:rsidR="005B1D5D" w:rsidRPr="005B1D5D">
        <w:tab/>
        <w:t xml:space="preserve">Ministry for the Environment Manatū Mō Te Taiao. New Zealand's projected greenhouse gas emissions to 2050. Updated 29 January 2026. Accessed 25 March 2026, </w:t>
      </w:r>
      <w:hyperlink r:id="rId18" w:history="1">
        <w:r w:rsidR="005B1D5D" w:rsidRPr="005B1D5D">
          <w:rPr>
            <w:rStyle w:val="Hyperlink"/>
          </w:rPr>
          <w:t>https://environment.govt.nz/what-government-is-doing/areas-of-work/climate-change/emissions-reductions/emissions-reduction-targets/new-zealands-projected-greenhouse-gas-emissions-to-2050/</w:t>
        </w:r>
      </w:hyperlink>
    </w:p>
    <w:p w14:paraId="68E5123F" w14:textId="1355FE9E" w:rsidR="005B1D5D" w:rsidRPr="005B1D5D" w:rsidRDefault="005B1D5D" w:rsidP="005B1D5D">
      <w:pPr>
        <w:pStyle w:val="EndNoteBibliography"/>
        <w:spacing w:after="0"/>
      </w:pPr>
      <w:r w:rsidRPr="005B1D5D">
        <w:t>2.</w:t>
      </w:r>
      <w:r w:rsidRPr="005B1D5D">
        <w:tab/>
        <w:t xml:space="preserve">He Pou a Rangi Climate Change Commission. </w:t>
      </w:r>
      <w:r w:rsidRPr="005B1D5D">
        <w:rPr>
          <w:i/>
        </w:rPr>
        <w:t>Advice on NZ ETS unit limits and price control settings for 2023-2027</w:t>
      </w:r>
      <w:r w:rsidRPr="005B1D5D">
        <w:t xml:space="preserve">. 2022. July 2022. </w:t>
      </w:r>
      <w:hyperlink r:id="rId19" w:history="1">
        <w:r w:rsidRPr="005B1D5D">
          <w:rPr>
            <w:rStyle w:val="Hyperlink"/>
          </w:rPr>
          <w:t>https://www.climatecommission.govt.nz/assets/ETS-advice-July-22/PDFs/NZ-ETS-settings-2023-2027-final-report-web-27-July-2022.pdf</w:t>
        </w:r>
      </w:hyperlink>
    </w:p>
    <w:p w14:paraId="311D673B" w14:textId="493459D5" w:rsidR="005B1D5D" w:rsidRPr="005B1D5D" w:rsidRDefault="005B1D5D" w:rsidP="005B1D5D">
      <w:pPr>
        <w:pStyle w:val="EndNoteBibliography"/>
        <w:spacing w:after="0"/>
      </w:pPr>
      <w:r w:rsidRPr="005B1D5D">
        <w:t>3.</w:t>
      </w:r>
      <w:r w:rsidRPr="005B1D5D">
        <w:tab/>
        <w:t xml:space="preserve">Energy Efficiency and Conservation Authority (EECA). </w:t>
      </w:r>
      <w:r w:rsidRPr="005B1D5D">
        <w:rPr>
          <w:i/>
        </w:rPr>
        <w:t>South Island Regional Energy Transition Accelerator RETA: Phase One Report</w:t>
      </w:r>
      <w:r w:rsidRPr="005B1D5D">
        <w:t xml:space="preserve">. 2024. </w:t>
      </w:r>
      <w:hyperlink r:id="rId20" w:history="1">
        <w:r w:rsidRPr="005B1D5D">
          <w:rPr>
            <w:rStyle w:val="Hyperlink"/>
          </w:rPr>
          <w:t>https://www.eeca.govt.nz/insights/eeca-insights/reta-south-island/</w:t>
        </w:r>
      </w:hyperlink>
    </w:p>
    <w:p w14:paraId="40101456" w14:textId="4C384C94" w:rsidR="005B1D5D" w:rsidRPr="005B1D5D" w:rsidRDefault="005B1D5D" w:rsidP="005B1D5D">
      <w:pPr>
        <w:pStyle w:val="EndNoteBibliography"/>
      </w:pPr>
      <w:r w:rsidRPr="005B1D5D">
        <w:t>4.</w:t>
      </w:r>
      <w:r w:rsidRPr="005B1D5D">
        <w:tab/>
        <w:t xml:space="preserve">Ministry for the Environment Manatū Mō Te Taiao. </w:t>
      </w:r>
      <w:r w:rsidRPr="005B1D5D">
        <w:rPr>
          <w:i/>
        </w:rPr>
        <w:t>Marginal abatement cost curves analysis for New Zealand</w:t>
      </w:r>
      <w:r w:rsidRPr="005B1D5D">
        <w:t xml:space="preserve">. 2020. January 2020. </w:t>
      </w:r>
      <w:hyperlink r:id="rId21" w:history="1">
        <w:r w:rsidRPr="005B1D5D">
          <w:rPr>
            <w:rStyle w:val="Hyperlink"/>
          </w:rPr>
          <w:t>https://environment.govt.nz/assets/publications/Files/marginal-abatement-cost-curves-analysis-2020.pdf</w:t>
        </w:r>
      </w:hyperlink>
    </w:p>
    <w:p w14:paraId="727B978A" w14:textId="43CD8FBD" w:rsidR="00642CDE" w:rsidRPr="00DE0CF0" w:rsidRDefault="002360D8" w:rsidP="00151CDB">
      <w:pPr>
        <w:spacing w:before="0" w:after="0" w:line="240" w:lineRule="auto"/>
      </w:pPr>
      <w:r>
        <w:fldChar w:fldCharType="end"/>
      </w:r>
    </w:p>
    <w:sectPr w:rsidR="00642CDE" w:rsidRPr="00DE0CF0" w:rsidSect="00C90998">
      <w:pgSz w:w="11906" w:h="16838" w:code="9"/>
      <w:pgMar w:top="1418" w:right="1418" w:bottom="1134" w:left="1418"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314B" w14:textId="77777777" w:rsidR="00BD36B0" w:rsidRDefault="00BD36B0" w:rsidP="006F0BB5">
      <w:r>
        <w:separator/>
      </w:r>
    </w:p>
  </w:endnote>
  <w:endnote w:type="continuationSeparator" w:id="0">
    <w:p w14:paraId="4F2D2582" w14:textId="77777777" w:rsidR="00BD36B0" w:rsidRDefault="00BD36B0" w:rsidP="006F0BB5">
      <w:r>
        <w:continuationSeparator/>
      </w:r>
    </w:p>
  </w:endnote>
  <w:endnote w:type="continuationNotice" w:id="1">
    <w:p w14:paraId="5B8E5317" w14:textId="77777777" w:rsidR="00BD36B0" w:rsidRDefault="00BD36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Poppins Light">
    <w:charset w:val="00"/>
    <w:family w:val="auto"/>
    <w:pitch w:val="variable"/>
    <w:sig w:usb0="00008007" w:usb1="00000000"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Montserrat">
    <w:charset w:val="00"/>
    <w:family w:val="auto"/>
    <w:pitch w:val="variable"/>
    <w:sig w:usb0="2000020F" w:usb1="00000003" w:usb2="00000000" w:usb3="00000000" w:csb0="00000197" w:csb1="00000000"/>
  </w:font>
  <w:font w:name="Ebony">
    <w:altName w:val="Cambria"/>
    <w:panose1 w:val="00000000000000000000"/>
    <w:charset w:val="4D"/>
    <w:family w:val="auto"/>
    <w:notTrueType/>
    <w:pitch w:val="variable"/>
    <w:sig w:usb0="A00000AF" w:usb1="5000205B" w:usb2="00000000" w:usb3="00000000" w:csb0="00000093" w:csb1="00000000"/>
  </w:font>
  <w:font w:name="Ebony Lt">
    <w:altName w:val="Calibri"/>
    <w:panose1 w:val="00000000000000000000"/>
    <w:charset w:val="4D"/>
    <w:family w:val="auto"/>
    <w:notTrueType/>
    <w:pitch w:val="variable"/>
    <w:sig w:usb0="A00000AF" w:usb1="5000205B" w:usb2="00000000" w:usb3="00000000" w:csb0="00000093" w:csb1="00000000"/>
  </w:font>
  <w:font w:name="Calibri-Light">
    <w:altName w:val="Calibri"/>
    <w:charset w:val="00"/>
    <w:family w:val="swiss"/>
    <w:pitch w:val="variable"/>
  </w:font>
  <w:font w:name="Arial (Body C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36982813"/>
      <w:docPartObj>
        <w:docPartGallery w:val="Page Numbers (Bottom of Page)"/>
        <w:docPartUnique/>
      </w:docPartObj>
    </w:sdtPr>
    <w:sdtEndPr/>
    <w:sdtContent>
      <w:p w14:paraId="5A549031" w14:textId="54C4431C" w:rsidR="00047C79" w:rsidRPr="00090797" w:rsidRDefault="00B03A74" w:rsidP="00453E17">
        <w:pPr>
          <w:pStyle w:val="Footer"/>
          <w:jc w:val="right"/>
          <w:rPr>
            <w:sz w:val="18"/>
            <w:szCs w:val="18"/>
          </w:rPr>
        </w:pPr>
        <w:r w:rsidRPr="004118BD">
          <w:rPr>
            <w:sz w:val="18"/>
            <w:szCs w:val="18"/>
          </w:rPr>
          <w:t>He Pou a Rangi Climate Change Commission</w:t>
        </w:r>
        <w:r w:rsidRPr="004118BD">
          <w:rPr>
            <w:b w:val="0"/>
            <w:bCs/>
            <w:sz w:val="18"/>
            <w:szCs w:val="18"/>
          </w:rPr>
          <w:t xml:space="preserve"> | NZ ETS settings 202</w:t>
        </w:r>
        <w:r>
          <w:rPr>
            <w:b w:val="0"/>
            <w:bCs/>
            <w:sz w:val="18"/>
            <w:szCs w:val="18"/>
          </w:rPr>
          <w:t>7</w:t>
        </w:r>
        <w:r w:rsidR="00491B81">
          <w:rPr>
            <w:b w:val="0"/>
            <w:bCs/>
            <w:sz w:val="18"/>
            <w:szCs w:val="18"/>
          </w:rPr>
          <w:t>–</w:t>
        </w:r>
        <w:r w:rsidRPr="004118BD">
          <w:rPr>
            <w:b w:val="0"/>
            <w:bCs/>
            <w:sz w:val="18"/>
            <w:szCs w:val="18"/>
          </w:rPr>
          <w:t>203</w:t>
        </w:r>
        <w:r>
          <w:rPr>
            <w:b w:val="0"/>
            <w:bCs/>
            <w:sz w:val="18"/>
            <w:szCs w:val="18"/>
          </w:rPr>
          <w:t>1</w:t>
        </w:r>
        <w:r w:rsidR="0030092B">
          <w:rPr>
            <w:b w:val="0"/>
            <w:bCs/>
            <w:sz w:val="18"/>
            <w:szCs w:val="18"/>
          </w:rPr>
          <w:t>: Technical annex 3</w:t>
        </w:r>
        <w:r w:rsidR="00116789" w:rsidRPr="004118BD">
          <w:rPr>
            <w:sz w:val="18"/>
            <w:szCs w:val="18"/>
          </w:rPr>
          <w:t xml:space="preserve">   </w:t>
        </w:r>
        <w:r w:rsidR="00BE4C3C" w:rsidRPr="004118BD">
          <w:rPr>
            <w:sz w:val="18"/>
            <w:szCs w:val="18"/>
          </w:rPr>
          <w:fldChar w:fldCharType="begin"/>
        </w:r>
        <w:r w:rsidR="00BE4C3C" w:rsidRPr="004118BD">
          <w:rPr>
            <w:sz w:val="18"/>
            <w:szCs w:val="18"/>
          </w:rPr>
          <w:instrText xml:space="preserve"> PAGE   \* MERGEFORMAT </w:instrText>
        </w:r>
        <w:r w:rsidR="00BE4C3C" w:rsidRPr="004118BD">
          <w:rPr>
            <w:sz w:val="18"/>
            <w:szCs w:val="18"/>
          </w:rPr>
          <w:fldChar w:fldCharType="separate"/>
        </w:r>
        <w:r w:rsidR="00BE4C3C" w:rsidRPr="004118BD">
          <w:rPr>
            <w:noProof/>
            <w:sz w:val="18"/>
            <w:szCs w:val="18"/>
          </w:rPr>
          <w:t>2</w:t>
        </w:r>
        <w:r w:rsidR="00BE4C3C" w:rsidRPr="004118B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CFFF" w14:textId="0A7F9B03" w:rsidR="00047C79" w:rsidRDefault="00047C79" w:rsidP="006B757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190987"/>
      <w:docPartObj>
        <w:docPartGallery w:val="Page Numbers (Bottom of Page)"/>
        <w:docPartUnique/>
      </w:docPartObj>
    </w:sdtPr>
    <w:sdtEndPr>
      <w:rPr>
        <w:sz w:val="18"/>
        <w:szCs w:val="18"/>
      </w:rPr>
    </w:sdtEndPr>
    <w:sdtContent>
      <w:p w14:paraId="7EF2BE9A" w14:textId="2844B01D" w:rsidR="00047C79" w:rsidRDefault="00491B81" w:rsidP="00453E17">
        <w:pPr>
          <w:pStyle w:val="Footer"/>
          <w:jc w:val="right"/>
        </w:pPr>
        <w:r w:rsidRPr="004A1986">
          <w:rPr>
            <w:sz w:val="18"/>
            <w:szCs w:val="18"/>
          </w:rPr>
          <w:t>He Pou a Rangi Climate Change Commission</w:t>
        </w:r>
        <w:r w:rsidRPr="004A1986">
          <w:rPr>
            <w:b w:val="0"/>
            <w:bCs/>
            <w:sz w:val="18"/>
            <w:szCs w:val="18"/>
          </w:rPr>
          <w:t xml:space="preserve"> | NZ ETS settings 202</w:t>
        </w:r>
        <w:r>
          <w:rPr>
            <w:b w:val="0"/>
            <w:bCs/>
            <w:sz w:val="18"/>
            <w:szCs w:val="18"/>
          </w:rPr>
          <w:t>7</w:t>
        </w:r>
        <w:r w:rsidRPr="004A1986">
          <w:rPr>
            <w:b w:val="0"/>
            <w:bCs/>
            <w:sz w:val="18"/>
            <w:szCs w:val="18"/>
          </w:rPr>
          <w:t>-203</w:t>
        </w:r>
        <w:r>
          <w:rPr>
            <w:b w:val="0"/>
            <w:bCs/>
            <w:sz w:val="18"/>
            <w:szCs w:val="18"/>
          </w:rPr>
          <w:t>1: Technical annex 3</w:t>
        </w:r>
        <w:r w:rsidRPr="004A1986">
          <w:rPr>
            <w:sz w:val="18"/>
            <w:szCs w:val="18"/>
          </w:rPr>
          <w:t xml:space="preserve">   </w:t>
        </w:r>
        <w:r w:rsidR="00084D2F" w:rsidRPr="00491B81">
          <w:rPr>
            <w:sz w:val="18"/>
            <w:szCs w:val="18"/>
          </w:rPr>
          <w:fldChar w:fldCharType="begin"/>
        </w:r>
        <w:r w:rsidR="00084D2F" w:rsidRPr="004118BD">
          <w:rPr>
            <w:sz w:val="18"/>
            <w:szCs w:val="18"/>
          </w:rPr>
          <w:instrText xml:space="preserve"> PAGE   \* MERGEFORMAT </w:instrText>
        </w:r>
        <w:r w:rsidR="00084D2F" w:rsidRPr="00491B81">
          <w:rPr>
            <w:sz w:val="18"/>
            <w:szCs w:val="18"/>
          </w:rPr>
          <w:fldChar w:fldCharType="separate"/>
        </w:r>
        <w:r w:rsidR="00084D2F" w:rsidRPr="004118BD">
          <w:rPr>
            <w:sz w:val="18"/>
            <w:szCs w:val="18"/>
          </w:rPr>
          <w:t>2</w:t>
        </w:r>
        <w:r w:rsidR="00084D2F" w:rsidRPr="00491B81">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0A17" w14:textId="77777777" w:rsidR="00BD36B0" w:rsidRDefault="00BD36B0" w:rsidP="006F0BB5">
      <w:r>
        <w:separator/>
      </w:r>
    </w:p>
  </w:footnote>
  <w:footnote w:type="continuationSeparator" w:id="0">
    <w:p w14:paraId="49A6C5D6" w14:textId="77777777" w:rsidR="00BD36B0" w:rsidRDefault="00BD36B0" w:rsidP="006F0BB5">
      <w:r>
        <w:continuationSeparator/>
      </w:r>
    </w:p>
  </w:footnote>
  <w:footnote w:type="continuationNotice" w:id="1">
    <w:p w14:paraId="13A6F294" w14:textId="77777777" w:rsidR="00BD36B0" w:rsidRDefault="00BD36B0">
      <w:pPr>
        <w:spacing w:before="0" w:after="0" w:line="240" w:lineRule="auto"/>
      </w:pPr>
    </w:p>
  </w:footnote>
  <w:footnote w:id="2">
    <w:p w14:paraId="3E57D3EC" w14:textId="77777777" w:rsidR="0020709E" w:rsidRDefault="0020709E" w:rsidP="0020709E">
      <w:pPr>
        <w:pStyle w:val="FootnoteText"/>
      </w:pPr>
      <w:r>
        <w:rPr>
          <w:rStyle w:val="FootnoteReference"/>
        </w:rPr>
        <w:footnoteRef/>
      </w:r>
      <w:r>
        <w:t xml:space="preserve"> Section 5ZOA also requires us to adhere to the requirements of s30GB that apply to the Minister. That section sets out the scope and timing of the unit limits and price control regulations, and when regulations may be changed. It is addressed in the main report. </w:t>
      </w:r>
    </w:p>
  </w:footnote>
  <w:footnote w:id="3">
    <w:p w14:paraId="49878122" w14:textId="08601B5A" w:rsidR="00F210A0" w:rsidRDefault="00F210A0">
      <w:pPr>
        <w:pStyle w:val="FootnoteText"/>
      </w:pPr>
      <w:r>
        <w:rPr>
          <w:rStyle w:val="FootnoteReference"/>
        </w:rPr>
        <w:footnoteRef/>
      </w:r>
      <w:r>
        <w:t xml:space="preserve"> </w:t>
      </w:r>
      <w:r w:rsidR="00434DAD">
        <w:t>Note that since our last advice on the NZ ETS settings</w:t>
      </w:r>
      <w:r w:rsidR="002011AA">
        <w:t xml:space="preserve"> the Climate Change Response Act</w:t>
      </w:r>
      <w:r w:rsidR="004E18F4">
        <w:t xml:space="preserve"> 2002</w:t>
      </w:r>
      <w:r w:rsidR="002011AA">
        <w:t xml:space="preserve"> has been amended. The Climate Change Response (2050 Target and Other Matters) Amendment Act 2025 removed the requirement for the NZ ETS settings to accord with nationally determined contributions. </w:t>
      </w:r>
    </w:p>
  </w:footnote>
  <w:footnote w:id="4">
    <w:p w14:paraId="382A3FCD" w14:textId="7AD6241F" w:rsidR="008F5072" w:rsidRDefault="008F5072" w:rsidP="008F5072">
      <w:pPr>
        <w:pStyle w:val="FootnoteText"/>
      </w:pPr>
      <w:r>
        <w:rPr>
          <w:rStyle w:val="FootnoteReference"/>
        </w:rPr>
        <w:footnoteRef/>
      </w:r>
      <w:r>
        <w:t xml:space="preserve"> T</w:t>
      </w:r>
      <w:r w:rsidRPr="00B258E8">
        <w:t>here are</w:t>
      </w:r>
      <w:r>
        <w:t xml:space="preserve"> several </w:t>
      </w:r>
      <w:r w:rsidRPr="00B258E8">
        <w:t xml:space="preserve">aspects to </w:t>
      </w:r>
      <w:r>
        <w:t xml:space="preserve">the proper functioning of the NZ </w:t>
      </w:r>
      <w:proofErr w:type="gramStart"/>
      <w:r>
        <w:t>ETS</w:t>
      </w:r>
      <w:proofErr w:type="gramEnd"/>
      <w:r>
        <w:t xml:space="preserve"> and it is considered at multiple points in our methodology. The example given here highlights</w:t>
      </w:r>
      <w:r w:rsidR="00A52851">
        <w:t xml:space="preserve"> </w:t>
      </w:r>
      <w:r>
        <w:t>that the rules applying to other parts of the NZ ETS, such as those determin</w:t>
      </w:r>
      <w:r w:rsidR="00AC6242">
        <w:t xml:space="preserve">ing </w:t>
      </w:r>
      <w:r>
        <w:t xml:space="preserve">how industrial allocation is provided, </w:t>
      </w:r>
      <w:r w:rsidR="00FA2402">
        <w:t>need to be considered as part of the proper functioning of the scheme.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4396"/>
    <w:multiLevelType w:val="hybridMultilevel"/>
    <w:tmpl w:val="D34EE5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972646"/>
    <w:multiLevelType w:val="multilevel"/>
    <w:tmpl w:val="A24E2A86"/>
    <w:styleLink w:val="CurrentList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1F5D58"/>
    <w:multiLevelType w:val="hybridMultilevel"/>
    <w:tmpl w:val="8F8A2084"/>
    <w:lvl w:ilvl="0" w:tplc="ECDA23DE">
      <w:start w:val="1"/>
      <w:numFmt w:val="bullet"/>
      <w:pStyle w:val="Bodybullet-sub-list"/>
      <w:lvlText w:val="-"/>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131947E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41DAA"/>
    <w:multiLevelType w:val="multilevel"/>
    <w:tmpl w:val="B198BF9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ED07F2"/>
    <w:multiLevelType w:val="multilevel"/>
    <w:tmpl w:val="B538D98E"/>
    <w:styleLink w:val="CurrentList7"/>
    <w:lvl w:ilvl="0">
      <w:start w:val="1"/>
      <w:numFmt w:val="decimal"/>
      <w:lvlText w:val="%1."/>
      <w:lvlJc w:val="left"/>
      <w:pPr>
        <w:ind w:left="-491" w:hanging="360"/>
      </w:pPr>
      <w:rPr>
        <w:rFonts w:hint="default"/>
      </w:rPr>
    </w:lvl>
    <w:lvl w:ilvl="1">
      <w:start w:val="1"/>
      <w:numFmt w:val="decimal"/>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6" w15:restartNumberingAfterBreak="0">
    <w:nsid w:val="1FF351E8"/>
    <w:multiLevelType w:val="hybridMultilevel"/>
    <w:tmpl w:val="D5BC406C"/>
    <w:lvl w:ilvl="0" w:tplc="62D0570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79822F1"/>
    <w:multiLevelType w:val="multilevel"/>
    <w:tmpl w:val="1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E64EB2"/>
    <w:multiLevelType w:val="hybridMultilevel"/>
    <w:tmpl w:val="7AA486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88E59A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BC28B2"/>
    <w:multiLevelType w:val="multilevel"/>
    <w:tmpl w:val="82B60DE6"/>
    <w:styleLink w:val="CurrentList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D7D0E"/>
    <w:multiLevelType w:val="hybridMultilevel"/>
    <w:tmpl w:val="74B0063C"/>
    <w:lvl w:ilvl="0" w:tplc="559A8AA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CA66B9B"/>
    <w:multiLevelType w:val="hybridMultilevel"/>
    <w:tmpl w:val="204C758A"/>
    <w:lvl w:ilvl="0" w:tplc="BEA8A6D0">
      <w:start w:val="1"/>
      <w:numFmt w:val="bullet"/>
      <w:pStyle w:val="Body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F0551B1"/>
    <w:multiLevelType w:val="hybridMultilevel"/>
    <w:tmpl w:val="1102C6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1DE1E00"/>
    <w:multiLevelType w:val="multilevel"/>
    <w:tmpl w:val="B198B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023F5B"/>
    <w:multiLevelType w:val="hybridMultilevel"/>
    <w:tmpl w:val="222EB7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1600E15"/>
    <w:multiLevelType w:val="hybridMultilevel"/>
    <w:tmpl w:val="2EDC2732"/>
    <w:lvl w:ilvl="0" w:tplc="FFFFFFFF">
      <w:start w:val="1"/>
      <w:numFmt w:val="lowerLetter"/>
      <w:lvlText w:val="(%1)"/>
      <w:lvlJc w:val="left"/>
      <w:pPr>
        <w:ind w:left="1080" w:hanging="360"/>
      </w:pPr>
      <w:rPr>
        <w:rFonts w:hint="default"/>
      </w:rPr>
    </w:lvl>
    <w:lvl w:ilvl="1" w:tplc="1409001B">
      <w:start w:val="1"/>
      <w:numFmt w:val="lowerRoman"/>
      <w:lvlText w:val="%2."/>
      <w:lvlJc w:val="right"/>
      <w:pPr>
        <w:ind w:left="1792"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7DF5984"/>
    <w:multiLevelType w:val="hybridMultilevel"/>
    <w:tmpl w:val="EFB234D0"/>
    <w:lvl w:ilvl="0" w:tplc="1C58CC64">
      <w:start w:val="1"/>
      <w:numFmt w:val="decimal"/>
      <w:pStyle w:val="Numberlist"/>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95A10D5"/>
    <w:multiLevelType w:val="multilevel"/>
    <w:tmpl w:val="D304EC96"/>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8A7490"/>
    <w:multiLevelType w:val="multilevel"/>
    <w:tmpl w:val="E86C1D8E"/>
    <w:lvl w:ilvl="0">
      <w:start w:val="1"/>
      <w:numFmt w:val="decimal"/>
      <w:pStyle w:val="Heading1"/>
      <w:lvlText w:val="%1."/>
      <w:lvlJc w:val="left"/>
      <w:pPr>
        <w:ind w:left="-491" w:hanging="360"/>
      </w:pPr>
      <w:rPr>
        <w:rFonts w:hint="default"/>
      </w:rPr>
    </w:lvl>
    <w:lvl w:ilvl="1">
      <w:start w:val="1"/>
      <w:numFmt w:val="decimal"/>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20" w15:restartNumberingAfterBreak="0">
    <w:nsid w:val="5CD175EB"/>
    <w:multiLevelType w:val="multilevel"/>
    <w:tmpl w:val="1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ADC379C"/>
    <w:multiLevelType w:val="hybridMultilevel"/>
    <w:tmpl w:val="C298F304"/>
    <w:lvl w:ilvl="0" w:tplc="4A1C9E0C">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6B3E0166"/>
    <w:multiLevelType w:val="hybridMultilevel"/>
    <w:tmpl w:val="2BF494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A60164C"/>
    <w:multiLevelType w:val="hybridMultilevel"/>
    <w:tmpl w:val="D03C2C2C"/>
    <w:lvl w:ilvl="0" w:tplc="0B2293A6">
      <w:numFmt w:val="bullet"/>
      <w:pStyle w:val="Bullets"/>
      <w:lvlText w:val="•"/>
      <w:lvlJc w:val="left"/>
      <w:pPr>
        <w:ind w:left="780" w:hanging="780"/>
      </w:pPr>
      <w:rPr>
        <w:rFonts w:ascii="Montserrat Light" w:eastAsiaTheme="minorHAnsi" w:hAnsi="Montserrat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9B3C55"/>
    <w:multiLevelType w:val="multilevel"/>
    <w:tmpl w:val="D304EC96"/>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9380084">
    <w:abstractNumId w:val="23"/>
  </w:num>
  <w:num w:numId="2" w16cid:durableId="879363057">
    <w:abstractNumId w:val="19"/>
  </w:num>
  <w:num w:numId="3" w16cid:durableId="2129428180">
    <w:abstractNumId w:val="1"/>
  </w:num>
  <w:num w:numId="4" w16cid:durableId="1862431739">
    <w:abstractNumId w:val="9"/>
  </w:num>
  <w:num w:numId="5" w16cid:durableId="812873191">
    <w:abstractNumId w:val="4"/>
  </w:num>
  <w:num w:numId="6" w16cid:durableId="1994019910">
    <w:abstractNumId w:val="10"/>
  </w:num>
  <w:num w:numId="7" w16cid:durableId="1268125617">
    <w:abstractNumId w:val="24"/>
  </w:num>
  <w:num w:numId="8" w16cid:durableId="7603690">
    <w:abstractNumId w:val="18"/>
  </w:num>
  <w:num w:numId="9" w16cid:durableId="25300567">
    <w:abstractNumId w:val="5"/>
  </w:num>
  <w:num w:numId="10" w16cid:durableId="688146085">
    <w:abstractNumId w:val="12"/>
  </w:num>
  <w:num w:numId="11" w16cid:durableId="1615820719">
    <w:abstractNumId w:val="17"/>
  </w:num>
  <w:num w:numId="12" w16cid:durableId="1434978351">
    <w:abstractNumId w:val="2"/>
  </w:num>
  <w:num w:numId="13" w16cid:durableId="1186602973">
    <w:abstractNumId w:val="11"/>
  </w:num>
  <w:num w:numId="14" w16cid:durableId="5252516">
    <w:abstractNumId w:val="6"/>
  </w:num>
  <w:num w:numId="15" w16cid:durableId="1091898359">
    <w:abstractNumId w:val="21"/>
  </w:num>
  <w:num w:numId="16" w16cid:durableId="2052922641">
    <w:abstractNumId w:val="16"/>
  </w:num>
  <w:num w:numId="17" w16cid:durableId="1776899761">
    <w:abstractNumId w:val="15"/>
  </w:num>
  <w:num w:numId="18" w16cid:durableId="500899611">
    <w:abstractNumId w:val="14"/>
  </w:num>
  <w:num w:numId="19" w16cid:durableId="1946426587">
    <w:abstractNumId w:val="8"/>
  </w:num>
  <w:num w:numId="20" w16cid:durableId="8531433">
    <w:abstractNumId w:val="0"/>
  </w:num>
  <w:num w:numId="21" w16cid:durableId="949505588">
    <w:abstractNumId w:val="20"/>
  </w:num>
  <w:num w:numId="22" w16cid:durableId="299696768">
    <w:abstractNumId w:val="7"/>
  </w:num>
  <w:num w:numId="23" w16cid:durableId="1873689071">
    <w:abstractNumId w:val="13"/>
  </w:num>
  <w:num w:numId="24" w16cid:durableId="2087729601">
    <w:abstractNumId w:val="22"/>
  </w:num>
  <w:num w:numId="25" w16cid:durableId="32289688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vex5fabdwzs9e9rwa55p5bvws5v2dex2zs&quot;&gt;EndNote@climatecommission.govt.nz&lt;record-ids&gt;&lt;item&gt;739&lt;/item&gt;&lt;item&gt;1439&lt;/item&gt;&lt;item&gt;1457&lt;/item&gt;&lt;item&gt;1476&lt;/item&gt;&lt;/record-ids&gt;&lt;/item&gt;&lt;/Libraries&gt;"/>
  </w:docVars>
  <w:rsids>
    <w:rsidRoot w:val="000C3C21"/>
    <w:rsid w:val="000009EA"/>
    <w:rsid w:val="00000DCB"/>
    <w:rsid w:val="00003728"/>
    <w:rsid w:val="0000450F"/>
    <w:rsid w:val="00007EDA"/>
    <w:rsid w:val="000104A1"/>
    <w:rsid w:val="0001073F"/>
    <w:rsid w:val="0001130A"/>
    <w:rsid w:val="00012801"/>
    <w:rsid w:val="00012C80"/>
    <w:rsid w:val="00012CA8"/>
    <w:rsid w:val="000141BC"/>
    <w:rsid w:val="00016BAD"/>
    <w:rsid w:val="00022671"/>
    <w:rsid w:val="00023276"/>
    <w:rsid w:val="00026C51"/>
    <w:rsid w:val="00033C19"/>
    <w:rsid w:val="0003473A"/>
    <w:rsid w:val="000358D9"/>
    <w:rsid w:val="0003677B"/>
    <w:rsid w:val="00045C03"/>
    <w:rsid w:val="0004613E"/>
    <w:rsid w:val="00046317"/>
    <w:rsid w:val="00046BB8"/>
    <w:rsid w:val="00047C79"/>
    <w:rsid w:val="000501EB"/>
    <w:rsid w:val="00051B70"/>
    <w:rsid w:val="00052C72"/>
    <w:rsid w:val="0005538A"/>
    <w:rsid w:val="00055772"/>
    <w:rsid w:val="00057A5F"/>
    <w:rsid w:val="00060E41"/>
    <w:rsid w:val="00061B4F"/>
    <w:rsid w:val="00062E3D"/>
    <w:rsid w:val="00062FC2"/>
    <w:rsid w:val="00063B2F"/>
    <w:rsid w:val="00064211"/>
    <w:rsid w:val="00064D90"/>
    <w:rsid w:val="00064EBB"/>
    <w:rsid w:val="00067688"/>
    <w:rsid w:val="00070A54"/>
    <w:rsid w:val="000735C9"/>
    <w:rsid w:val="00073DA6"/>
    <w:rsid w:val="000748B0"/>
    <w:rsid w:val="000826F6"/>
    <w:rsid w:val="00083B1A"/>
    <w:rsid w:val="0008453A"/>
    <w:rsid w:val="00084D2F"/>
    <w:rsid w:val="000860B4"/>
    <w:rsid w:val="000860ED"/>
    <w:rsid w:val="00086B4B"/>
    <w:rsid w:val="00087F8C"/>
    <w:rsid w:val="00090797"/>
    <w:rsid w:val="00091325"/>
    <w:rsid w:val="00092640"/>
    <w:rsid w:val="00092774"/>
    <w:rsid w:val="00092EAE"/>
    <w:rsid w:val="00092F5D"/>
    <w:rsid w:val="00092F6F"/>
    <w:rsid w:val="000944DC"/>
    <w:rsid w:val="000946CA"/>
    <w:rsid w:val="00096773"/>
    <w:rsid w:val="000A0546"/>
    <w:rsid w:val="000A2B8E"/>
    <w:rsid w:val="000A48B3"/>
    <w:rsid w:val="000A4E5C"/>
    <w:rsid w:val="000A76CB"/>
    <w:rsid w:val="000B07EF"/>
    <w:rsid w:val="000B2002"/>
    <w:rsid w:val="000B3AF6"/>
    <w:rsid w:val="000B5FE5"/>
    <w:rsid w:val="000C1476"/>
    <w:rsid w:val="000C2994"/>
    <w:rsid w:val="000C37F6"/>
    <w:rsid w:val="000C3C21"/>
    <w:rsid w:val="000C40AE"/>
    <w:rsid w:val="000C40DB"/>
    <w:rsid w:val="000C47B8"/>
    <w:rsid w:val="000C5376"/>
    <w:rsid w:val="000C5585"/>
    <w:rsid w:val="000C7E63"/>
    <w:rsid w:val="000D1883"/>
    <w:rsid w:val="000D2747"/>
    <w:rsid w:val="000D404C"/>
    <w:rsid w:val="000D46BB"/>
    <w:rsid w:val="000D4E2D"/>
    <w:rsid w:val="000D4FC5"/>
    <w:rsid w:val="000D6325"/>
    <w:rsid w:val="000D639B"/>
    <w:rsid w:val="000D704F"/>
    <w:rsid w:val="000E2A66"/>
    <w:rsid w:val="000E4EC9"/>
    <w:rsid w:val="000E773F"/>
    <w:rsid w:val="000F17B5"/>
    <w:rsid w:val="000F197B"/>
    <w:rsid w:val="000F2BD5"/>
    <w:rsid w:val="000F3A29"/>
    <w:rsid w:val="000F533D"/>
    <w:rsid w:val="000F798B"/>
    <w:rsid w:val="00102E7E"/>
    <w:rsid w:val="001074D0"/>
    <w:rsid w:val="0011213D"/>
    <w:rsid w:val="00114DDD"/>
    <w:rsid w:val="00116789"/>
    <w:rsid w:val="00116F87"/>
    <w:rsid w:val="00121DCA"/>
    <w:rsid w:val="00124144"/>
    <w:rsid w:val="00126648"/>
    <w:rsid w:val="00126F08"/>
    <w:rsid w:val="001305A4"/>
    <w:rsid w:val="001324D7"/>
    <w:rsid w:val="00133AAD"/>
    <w:rsid w:val="001348EA"/>
    <w:rsid w:val="001363C9"/>
    <w:rsid w:val="001410C3"/>
    <w:rsid w:val="00143BBD"/>
    <w:rsid w:val="00145572"/>
    <w:rsid w:val="00147A46"/>
    <w:rsid w:val="00147E75"/>
    <w:rsid w:val="001501FE"/>
    <w:rsid w:val="001517EE"/>
    <w:rsid w:val="00151CDB"/>
    <w:rsid w:val="00154511"/>
    <w:rsid w:val="001560B3"/>
    <w:rsid w:val="0015702A"/>
    <w:rsid w:val="00162747"/>
    <w:rsid w:val="0016286F"/>
    <w:rsid w:val="001633FB"/>
    <w:rsid w:val="00163CF4"/>
    <w:rsid w:val="00172AAF"/>
    <w:rsid w:val="00173168"/>
    <w:rsid w:val="00176EC5"/>
    <w:rsid w:val="0018059F"/>
    <w:rsid w:val="00180D06"/>
    <w:rsid w:val="0019105A"/>
    <w:rsid w:val="001930BB"/>
    <w:rsid w:val="00193B66"/>
    <w:rsid w:val="00194321"/>
    <w:rsid w:val="00194E97"/>
    <w:rsid w:val="00195281"/>
    <w:rsid w:val="00195712"/>
    <w:rsid w:val="001A1D41"/>
    <w:rsid w:val="001A2AAF"/>
    <w:rsid w:val="001A553D"/>
    <w:rsid w:val="001A5EBB"/>
    <w:rsid w:val="001A68E1"/>
    <w:rsid w:val="001B25D9"/>
    <w:rsid w:val="001B598D"/>
    <w:rsid w:val="001B6231"/>
    <w:rsid w:val="001B714E"/>
    <w:rsid w:val="001B729B"/>
    <w:rsid w:val="001C1D74"/>
    <w:rsid w:val="001C2FE2"/>
    <w:rsid w:val="001C39BA"/>
    <w:rsid w:val="001C495A"/>
    <w:rsid w:val="001C4F51"/>
    <w:rsid w:val="001C5192"/>
    <w:rsid w:val="001C6519"/>
    <w:rsid w:val="001D37C5"/>
    <w:rsid w:val="001D434D"/>
    <w:rsid w:val="001D4DF7"/>
    <w:rsid w:val="001D4EA2"/>
    <w:rsid w:val="001D5C2C"/>
    <w:rsid w:val="001E17EA"/>
    <w:rsid w:val="001E31D9"/>
    <w:rsid w:val="001E3490"/>
    <w:rsid w:val="001E48BD"/>
    <w:rsid w:val="001E5D43"/>
    <w:rsid w:val="001E5F13"/>
    <w:rsid w:val="001F2B51"/>
    <w:rsid w:val="001F4A7E"/>
    <w:rsid w:val="001F6500"/>
    <w:rsid w:val="001F7A20"/>
    <w:rsid w:val="002011AA"/>
    <w:rsid w:val="00203580"/>
    <w:rsid w:val="0020596A"/>
    <w:rsid w:val="0020709E"/>
    <w:rsid w:val="00207789"/>
    <w:rsid w:val="00207B90"/>
    <w:rsid w:val="00213C4E"/>
    <w:rsid w:val="00214143"/>
    <w:rsid w:val="002156D7"/>
    <w:rsid w:val="00217AB8"/>
    <w:rsid w:val="00217BC9"/>
    <w:rsid w:val="002228C2"/>
    <w:rsid w:val="00225009"/>
    <w:rsid w:val="00227B32"/>
    <w:rsid w:val="002309AA"/>
    <w:rsid w:val="002318C9"/>
    <w:rsid w:val="00232352"/>
    <w:rsid w:val="0023264C"/>
    <w:rsid w:val="002345F8"/>
    <w:rsid w:val="0023508F"/>
    <w:rsid w:val="002360D8"/>
    <w:rsid w:val="00236A76"/>
    <w:rsid w:val="00240144"/>
    <w:rsid w:val="00241987"/>
    <w:rsid w:val="002419D9"/>
    <w:rsid w:val="00241FD1"/>
    <w:rsid w:val="002457BD"/>
    <w:rsid w:val="00246FB9"/>
    <w:rsid w:val="00247088"/>
    <w:rsid w:val="0024775B"/>
    <w:rsid w:val="00250233"/>
    <w:rsid w:val="00255A18"/>
    <w:rsid w:val="0025785E"/>
    <w:rsid w:val="00257E30"/>
    <w:rsid w:val="00263FED"/>
    <w:rsid w:val="00266E10"/>
    <w:rsid w:val="00272566"/>
    <w:rsid w:val="002727B5"/>
    <w:rsid w:val="00272CC3"/>
    <w:rsid w:val="0027495A"/>
    <w:rsid w:val="002816F8"/>
    <w:rsid w:val="00281DEC"/>
    <w:rsid w:val="00283997"/>
    <w:rsid w:val="002839E7"/>
    <w:rsid w:val="00286937"/>
    <w:rsid w:val="0029182D"/>
    <w:rsid w:val="002920A5"/>
    <w:rsid w:val="00292CF3"/>
    <w:rsid w:val="002952F7"/>
    <w:rsid w:val="00295C70"/>
    <w:rsid w:val="002A3F08"/>
    <w:rsid w:val="002A4CA3"/>
    <w:rsid w:val="002B0441"/>
    <w:rsid w:val="002B19CF"/>
    <w:rsid w:val="002B761D"/>
    <w:rsid w:val="002C1FE9"/>
    <w:rsid w:val="002C4965"/>
    <w:rsid w:val="002C65F6"/>
    <w:rsid w:val="002C6E7E"/>
    <w:rsid w:val="002D2376"/>
    <w:rsid w:val="002D3D4A"/>
    <w:rsid w:val="002D540A"/>
    <w:rsid w:val="002D564A"/>
    <w:rsid w:val="002D6C6D"/>
    <w:rsid w:val="002D6EF4"/>
    <w:rsid w:val="002D7655"/>
    <w:rsid w:val="002D78B0"/>
    <w:rsid w:val="002E049D"/>
    <w:rsid w:val="002E0830"/>
    <w:rsid w:val="002E0A6F"/>
    <w:rsid w:val="002E2390"/>
    <w:rsid w:val="002E2BCC"/>
    <w:rsid w:val="002E4DD3"/>
    <w:rsid w:val="002E618B"/>
    <w:rsid w:val="002E6854"/>
    <w:rsid w:val="002E6EB4"/>
    <w:rsid w:val="002F1479"/>
    <w:rsid w:val="002F17F2"/>
    <w:rsid w:val="002F2895"/>
    <w:rsid w:val="002F42E7"/>
    <w:rsid w:val="0030092B"/>
    <w:rsid w:val="00302B73"/>
    <w:rsid w:val="00303C60"/>
    <w:rsid w:val="00304EA5"/>
    <w:rsid w:val="00306325"/>
    <w:rsid w:val="00307FC0"/>
    <w:rsid w:val="0031110A"/>
    <w:rsid w:val="00314A7F"/>
    <w:rsid w:val="00315F47"/>
    <w:rsid w:val="003162F1"/>
    <w:rsid w:val="00316DBA"/>
    <w:rsid w:val="0031727E"/>
    <w:rsid w:val="003242EB"/>
    <w:rsid w:val="003247F9"/>
    <w:rsid w:val="003266B2"/>
    <w:rsid w:val="00327A94"/>
    <w:rsid w:val="00331F60"/>
    <w:rsid w:val="0033200D"/>
    <w:rsid w:val="00332943"/>
    <w:rsid w:val="00333893"/>
    <w:rsid w:val="00334512"/>
    <w:rsid w:val="00335332"/>
    <w:rsid w:val="00337ED0"/>
    <w:rsid w:val="00337EF8"/>
    <w:rsid w:val="00342F16"/>
    <w:rsid w:val="00344E02"/>
    <w:rsid w:val="0034553C"/>
    <w:rsid w:val="00353800"/>
    <w:rsid w:val="003604AA"/>
    <w:rsid w:val="00364BA1"/>
    <w:rsid w:val="00364DF5"/>
    <w:rsid w:val="00365D19"/>
    <w:rsid w:val="00367FBC"/>
    <w:rsid w:val="00373B20"/>
    <w:rsid w:val="00373D62"/>
    <w:rsid w:val="003743EC"/>
    <w:rsid w:val="003758AA"/>
    <w:rsid w:val="00380573"/>
    <w:rsid w:val="00380ED6"/>
    <w:rsid w:val="00382324"/>
    <w:rsid w:val="00382906"/>
    <w:rsid w:val="0038460B"/>
    <w:rsid w:val="00384C4C"/>
    <w:rsid w:val="00384F96"/>
    <w:rsid w:val="0038691D"/>
    <w:rsid w:val="00387A17"/>
    <w:rsid w:val="00390098"/>
    <w:rsid w:val="00392E52"/>
    <w:rsid w:val="00394385"/>
    <w:rsid w:val="003A101C"/>
    <w:rsid w:val="003A2930"/>
    <w:rsid w:val="003A302D"/>
    <w:rsid w:val="003A3243"/>
    <w:rsid w:val="003A49DB"/>
    <w:rsid w:val="003A4ABD"/>
    <w:rsid w:val="003B0B96"/>
    <w:rsid w:val="003B15D1"/>
    <w:rsid w:val="003B2F3F"/>
    <w:rsid w:val="003B3F24"/>
    <w:rsid w:val="003B3F5A"/>
    <w:rsid w:val="003B5BD6"/>
    <w:rsid w:val="003C0882"/>
    <w:rsid w:val="003C1894"/>
    <w:rsid w:val="003C3230"/>
    <w:rsid w:val="003C679B"/>
    <w:rsid w:val="003C6CD8"/>
    <w:rsid w:val="003C7060"/>
    <w:rsid w:val="003C70DA"/>
    <w:rsid w:val="003C7226"/>
    <w:rsid w:val="003D09CA"/>
    <w:rsid w:val="003D236A"/>
    <w:rsid w:val="003D2899"/>
    <w:rsid w:val="003D4900"/>
    <w:rsid w:val="003D61BA"/>
    <w:rsid w:val="003D7169"/>
    <w:rsid w:val="003D7AC6"/>
    <w:rsid w:val="003E1002"/>
    <w:rsid w:val="003F06E3"/>
    <w:rsid w:val="003F2F33"/>
    <w:rsid w:val="003F320F"/>
    <w:rsid w:val="003F35CC"/>
    <w:rsid w:val="003F4728"/>
    <w:rsid w:val="003F4A26"/>
    <w:rsid w:val="003F5AD4"/>
    <w:rsid w:val="003F6F04"/>
    <w:rsid w:val="00400177"/>
    <w:rsid w:val="0040023C"/>
    <w:rsid w:val="0040117A"/>
    <w:rsid w:val="00401F44"/>
    <w:rsid w:val="00404161"/>
    <w:rsid w:val="0040474B"/>
    <w:rsid w:val="00404A6D"/>
    <w:rsid w:val="00406DC8"/>
    <w:rsid w:val="00407464"/>
    <w:rsid w:val="004075DF"/>
    <w:rsid w:val="00410E28"/>
    <w:rsid w:val="004118BD"/>
    <w:rsid w:val="00412D88"/>
    <w:rsid w:val="00413B4B"/>
    <w:rsid w:val="00414B60"/>
    <w:rsid w:val="00416976"/>
    <w:rsid w:val="00417FDE"/>
    <w:rsid w:val="00420831"/>
    <w:rsid w:val="00420B04"/>
    <w:rsid w:val="00421794"/>
    <w:rsid w:val="00422F15"/>
    <w:rsid w:val="00425361"/>
    <w:rsid w:val="0042546B"/>
    <w:rsid w:val="004259F6"/>
    <w:rsid w:val="00425ECE"/>
    <w:rsid w:val="00425F5D"/>
    <w:rsid w:val="00426780"/>
    <w:rsid w:val="00430041"/>
    <w:rsid w:val="0043262D"/>
    <w:rsid w:val="004327F4"/>
    <w:rsid w:val="004335A9"/>
    <w:rsid w:val="00434473"/>
    <w:rsid w:val="00434DAD"/>
    <w:rsid w:val="004357BC"/>
    <w:rsid w:val="00436E9F"/>
    <w:rsid w:val="00441025"/>
    <w:rsid w:val="00441170"/>
    <w:rsid w:val="00442086"/>
    <w:rsid w:val="00443A88"/>
    <w:rsid w:val="00446A30"/>
    <w:rsid w:val="00447863"/>
    <w:rsid w:val="00447D19"/>
    <w:rsid w:val="00452079"/>
    <w:rsid w:val="004530A9"/>
    <w:rsid w:val="00453E17"/>
    <w:rsid w:val="00456685"/>
    <w:rsid w:val="004616D9"/>
    <w:rsid w:val="00462066"/>
    <w:rsid w:val="00462DDD"/>
    <w:rsid w:val="00462E2B"/>
    <w:rsid w:val="0046366F"/>
    <w:rsid w:val="0046377B"/>
    <w:rsid w:val="00465D86"/>
    <w:rsid w:val="004662A6"/>
    <w:rsid w:val="00466B2E"/>
    <w:rsid w:val="0046745D"/>
    <w:rsid w:val="0046772C"/>
    <w:rsid w:val="004707F5"/>
    <w:rsid w:val="00471A82"/>
    <w:rsid w:val="00472CF1"/>
    <w:rsid w:val="00473541"/>
    <w:rsid w:val="00474292"/>
    <w:rsid w:val="0047502D"/>
    <w:rsid w:val="004754AC"/>
    <w:rsid w:val="00476E95"/>
    <w:rsid w:val="00480B69"/>
    <w:rsid w:val="00482369"/>
    <w:rsid w:val="00482E69"/>
    <w:rsid w:val="004831F1"/>
    <w:rsid w:val="00483C5A"/>
    <w:rsid w:val="004849F1"/>
    <w:rsid w:val="00485A63"/>
    <w:rsid w:val="004866F9"/>
    <w:rsid w:val="00487CFA"/>
    <w:rsid w:val="00490ACF"/>
    <w:rsid w:val="00491B81"/>
    <w:rsid w:val="004931F3"/>
    <w:rsid w:val="004966D2"/>
    <w:rsid w:val="0049705D"/>
    <w:rsid w:val="0049782A"/>
    <w:rsid w:val="00497ACD"/>
    <w:rsid w:val="004A14B2"/>
    <w:rsid w:val="004A30FB"/>
    <w:rsid w:val="004A4A1C"/>
    <w:rsid w:val="004A6167"/>
    <w:rsid w:val="004A6494"/>
    <w:rsid w:val="004A786E"/>
    <w:rsid w:val="004B5C8B"/>
    <w:rsid w:val="004B7D76"/>
    <w:rsid w:val="004C1206"/>
    <w:rsid w:val="004C152E"/>
    <w:rsid w:val="004C186D"/>
    <w:rsid w:val="004C1B86"/>
    <w:rsid w:val="004C22AE"/>
    <w:rsid w:val="004C30BF"/>
    <w:rsid w:val="004C72A3"/>
    <w:rsid w:val="004C7FD8"/>
    <w:rsid w:val="004D10AD"/>
    <w:rsid w:val="004D1D48"/>
    <w:rsid w:val="004D2D81"/>
    <w:rsid w:val="004D335B"/>
    <w:rsid w:val="004D3883"/>
    <w:rsid w:val="004D52D0"/>
    <w:rsid w:val="004D77FB"/>
    <w:rsid w:val="004E1829"/>
    <w:rsid w:val="004E18F4"/>
    <w:rsid w:val="004E362B"/>
    <w:rsid w:val="004E38B3"/>
    <w:rsid w:val="004E3B0D"/>
    <w:rsid w:val="004E6297"/>
    <w:rsid w:val="004F10E4"/>
    <w:rsid w:val="004F41C2"/>
    <w:rsid w:val="004F500B"/>
    <w:rsid w:val="004F73E5"/>
    <w:rsid w:val="004F757C"/>
    <w:rsid w:val="00500FDB"/>
    <w:rsid w:val="0050141E"/>
    <w:rsid w:val="00501628"/>
    <w:rsid w:val="00501F6A"/>
    <w:rsid w:val="00510FB1"/>
    <w:rsid w:val="005123CC"/>
    <w:rsid w:val="0051409D"/>
    <w:rsid w:val="00514922"/>
    <w:rsid w:val="00514F98"/>
    <w:rsid w:val="00515100"/>
    <w:rsid w:val="005160EF"/>
    <w:rsid w:val="0051632F"/>
    <w:rsid w:val="0052043E"/>
    <w:rsid w:val="00523F2B"/>
    <w:rsid w:val="00524A75"/>
    <w:rsid w:val="00524F04"/>
    <w:rsid w:val="00532C80"/>
    <w:rsid w:val="00533F87"/>
    <w:rsid w:val="005360A5"/>
    <w:rsid w:val="005401AF"/>
    <w:rsid w:val="00540E8F"/>
    <w:rsid w:val="00543A6E"/>
    <w:rsid w:val="00544ED4"/>
    <w:rsid w:val="0054635A"/>
    <w:rsid w:val="00547679"/>
    <w:rsid w:val="005477A5"/>
    <w:rsid w:val="005500C7"/>
    <w:rsid w:val="0055055A"/>
    <w:rsid w:val="0055187F"/>
    <w:rsid w:val="00552493"/>
    <w:rsid w:val="00552F66"/>
    <w:rsid w:val="0055306A"/>
    <w:rsid w:val="00554E4D"/>
    <w:rsid w:val="00556851"/>
    <w:rsid w:val="00560385"/>
    <w:rsid w:val="0056106D"/>
    <w:rsid w:val="00562DD5"/>
    <w:rsid w:val="00567D67"/>
    <w:rsid w:val="00571573"/>
    <w:rsid w:val="00581C5E"/>
    <w:rsid w:val="0058214C"/>
    <w:rsid w:val="00583493"/>
    <w:rsid w:val="00583C33"/>
    <w:rsid w:val="0058561A"/>
    <w:rsid w:val="00587DE0"/>
    <w:rsid w:val="00590FA5"/>
    <w:rsid w:val="0059197D"/>
    <w:rsid w:val="00592CFA"/>
    <w:rsid w:val="005964AB"/>
    <w:rsid w:val="0059703C"/>
    <w:rsid w:val="005A01BB"/>
    <w:rsid w:val="005A0CE7"/>
    <w:rsid w:val="005A10CE"/>
    <w:rsid w:val="005A2629"/>
    <w:rsid w:val="005A44BD"/>
    <w:rsid w:val="005A67FA"/>
    <w:rsid w:val="005B02B9"/>
    <w:rsid w:val="005B05AC"/>
    <w:rsid w:val="005B08D3"/>
    <w:rsid w:val="005B0DE5"/>
    <w:rsid w:val="005B13DA"/>
    <w:rsid w:val="005B1D5D"/>
    <w:rsid w:val="005B2304"/>
    <w:rsid w:val="005B2C8A"/>
    <w:rsid w:val="005B5933"/>
    <w:rsid w:val="005C48F9"/>
    <w:rsid w:val="005C57EA"/>
    <w:rsid w:val="005C7703"/>
    <w:rsid w:val="005D03EA"/>
    <w:rsid w:val="005D07C3"/>
    <w:rsid w:val="005D1660"/>
    <w:rsid w:val="005D3480"/>
    <w:rsid w:val="005D5BAA"/>
    <w:rsid w:val="005D6B8D"/>
    <w:rsid w:val="005E27D4"/>
    <w:rsid w:val="005E354D"/>
    <w:rsid w:val="005E4717"/>
    <w:rsid w:val="005E48DA"/>
    <w:rsid w:val="005E6CD9"/>
    <w:rsid w:val="005F1628"/>
    <w:rsid w:val="005F1BBF"/>
    <w:rsid w:val="005F2656"/>
    <w:rsid w:val="005F3D88"/>
    <w:rsid w:val="005F3E1B"/>
    <w:rsid w:val="005F496F"/>
    <w:rsid w:val="005F55A7"/>
    <w:rsid w:val="005F5BE9"/>
    <w:rsid w:val="005F7B25"/>
    <w:rsid w:val="0060002E"/>
    <w:rsid w:val="00600B22"/>
    <w:rsid w:val="00602044"/>
    <w:rsid w:val="006020D3"/>
    <w:rsid w:val="00603B9C"/>
    <w:rsid w:val="00603DF9"/>
    <w:rsid w:val="006072B7"/>
    <w:rsid w:val="00607743"/>
    <w:rsid w:val="00610135"/>
    <w:rsid w:val="00610C14"/>
    <w:rsid w:val="0061331B"/>
    <w:rsid w:val="00613FAB"/>
    <w:rsid w:val="00616A73"/>
    <w:rsid w:val="0062048D"/>
    <w:rsid w:val="00620ADA"/>
    <w:rsid w:val="00622915"/>
    <w:rsid w:val="00627573"/>
    <w:rsid w:val="00630D65"/>
    <w:rsid w:val="00633EEF"/>
    <w:rsid w:val="00634DB7"/>
    <w:rsid w:val="00636665"/>
    <w:rsid w:val="0063719F"/>
    <w:rsid w:val="006407C5"/>
    <w:rsid w:val="0064263B"/>
    <w:rsid w:val="006426C6"/>
    <w:rsid w:val="00642CDE"/>
    <w:rsid w:val="00643F6D"/>
    <w:rsid w:val="00644C03"/>
    <w:rsid w:val="00647ACE"/>
    <w:rsid w:val="00650F97"/>
    <w:rsid w:val="00651D8E"/>
    <w:rsid w:val="00651EF4"/>
    <w:rsid w:val="00652046"/>
    <w:rsid w:val="006576EB"/>
    <w:rsid w:val="0066087B"/>
    <w:rsid w:val="00660BFD"/>
    <w:rsid w:val="006618FC"/>
    <w:rsid w:val="00661F18"/>
    <w:rsid w:val="0066402E"/>
    <w:rsid w:val="0066653B"/>
    <w:rsid w:val="00667459"/>
    <w:rsid w:val="00667511"/>
    <w:rsid w:val="00671250"/>
    <w:rsid w:val="0067180C"/>
    <w:rsid w:val="00673A2E"/>
    <w:rsid w:val="00673F43"/>
    <w:rsid w:val="00674782"/>
    <w:rsid w:val="00675121"/>
    <w:rsid w:val="00677D08"/>
    <w:rsid w:val="00680D50"/>
    <w:rsid w:val="006819BD"/>
    <w:rsid w:val="00684ECE"/>
    <w:rsid w:val="0068582B"/>
    <w:rsid w:val="00685F77"/>
    <w:rsid w:val="00687F09"/>
    <w:rsid w:val="00693022"/>
    <w:rsid w:val="0069435E"/>
    <w:rsid w:val="006944AE"/>
    <w:rsid w:val="00696962"/>
    <w:rsid w:val="006A5627"/>
    <w:rsid w:val="006B4447"/>
    <w:rsid w:val="006B522F"/>
    <w:rsid w:val="006B6889"/>
    <w:rsid w:val="006B757C"/>
    <w:rsid w:val="006C0710"/>
    <w:rsid w:val="006C1867"/>
    <w:rsid w:val="006C2F1A"/>
    <w:rsid w:val="006C56C2"/>
    <w:rsid w:val="006D0FF6"/>
    <w:rsid w:val="006D4808"/>
    <w:rsid w:val="006D4B3A"/>
    <w:rsid w:val="006D5044"/>
    <w:rsid w:val="006E2AAA"/>
    <w:rsid w:val="006E3126"/>
    <w:rsid w:val="006E32EC"/>
    <w:rsid w:val="006E406D"/>
    <w:rsid w:val="006E41A3"/>
    <w:rsid w:val="006E6C7F"/>
    <w:rsid w:val="006F0BB5"/>
    <w:rsid w:val="006F16B3"/>
    <w:rsid w:val="006F1A8F"/>
    <w:rsid w:val="006F1B33"/>
    <w:rsid w:val="006F3BA9"/>
    <w:rsid w:val="006F3C01"/>
    <w:rsid w:val="006F5581"/>
    <w:rsid w:val="006F6DEB"/>
    <w:rsid w:val="006F7438"/>
    <w:rsid w:val="006F75F8"/>
    <w:rsid w:val="007002A3"/>
    <w:rsid w:val="007011F8"/>
    <w:rsid w:val="00702789"/>
    <w:rsid w:val="00703E7C"/>
    <w:rsid w:val="00703F6F"/>
    <w:rsid w:val="007053D5"/>
    <w:rsid w:val="00711C78"/>
    <w:rsid w:val="00714E57"/>
    <w:rsid w:val="00714F93"/>
    <w:rsid w:val="00720135"/>
    <w:rsid w:val="00720BE1"/>
    <w:rsid w:val="00720DC7"/>
    <w:rsid w:val="00722351"/>
    <w:rsid w:val="00723442"/>
    <w:rsid w:val="00723DB7"/>
    <w:rsid w:val="00732F68"/>
    <w:rsid w:val="00733A0E"/>
    <w:rsid w:val="00735554"/>
    <w:rsid w:val="0073579D"/>
    <w:rsid w:val="00737FAA"/>
    <w:rsid w:val="00742219"/>
    <w:rsid w:val="00742B4A"/>
    <w:rsid w:val="0074415A"/>
    <w:rsid w:val="00745A9D"/>
    <w:rsid w:val="00745D01"/>
    <w:rsid w:val="00746421"/>
    <w:rsid w:val="00746E5D"/>
    <w:rsid w:val="007478FF"/>
    <w:rsid w:val="00750ABF"/>
    <w:rsid w:val="007525BB"/>
    <w:rsid w:val="00752633"/>
    <w:rsid w:val="00752AFF"/>
    <w:rsid w:val="0075404A"/>
    <w:rsid w:val="007577CB"/>
    <w:rsid w:val="00760815"/>
    <w:rsid w:val="00760EE8"/>
    <w:rsid w:val="00761215"/>
    <w:rsid w:val="0076271C"/>
    <w:rsid w:val="007671E8"/>
    <w:rsid w:val="00767D3D"/>
    <w:rsid w:val="007707ED"/>
    <w:rsid w:val="00770BD7"/>
    <w:rsid w:val="007710A2"/>
    <w:rsid w:val="00771EAE"/>
    <w:rsid w:val="00771F49"/>
    <w:rsid w:val="007738B4"/>
    <w:rsid w:val="007764D7"/>
    <w:rsid w:val="00776DD9"/>
    <w:rsid w:val="0078028B"/>
    <w:rsid w:val="00780B3E"/>
    <w:rsid w:val="00781A23"/>
    <w:rsid w:val="00783F89"/>
    <w:rsid w:val="00786AFA"/>
    <w:rsid w:val="00790F48"/>
    <w:rsid w:val="00793404"/>
    <w:rsid w:val="00795B11"/>
    <w:rsid w:val="007964DA"/>
    <w:rsid w:val="00796C8F"/>
    <w:rsid w:val="00796D0C"/>
    <w:rsid w:val="00797026"/>
    <w:rsid w:val="007A0C39"/>
    <w:rsid w:val="007A144D"/>
    <w:rsid w:val="007A28B4"/>
    <w:rsid w:val="007A7A38"/>
    <w:rsid w:val="007A7D94"/>
    <w:rsid w:val="007B0A44"/>
    <w:rsid w:val="007B22BA"/>
    <w:rsid w:val="007B2BE4"/>
    <w:rsid w:val="007B4F4E"/>
    <w:rsid w:val="007C0271"/>
    <w:rsid w:val="007C0B83"/>
    <w:rsid w:val="007C1053"/>
    <w:rsid w:val="007C24A1"/>
    <w:rsid w:val="007C3B0D"/>
    <w:rsid w:val="007C40BB"/>
    <w:rsid w:val="007C4E99"/>
    <w:rsid w:val="007C51E8"/>
    <w:rsid w:val="007C55AC"/>
    <w:rsid w:val="007D1390"/>
    <w:rsid w:val="007D1A62"/>
    <w:rsid w:val="007D1E66"/>
    <w:rsid w:val="007D24CE"/>
    <w:rsid w:val="007D43D6"/>
    <w:rsid w:val="007D4EB9"/>
    <w:rsid w:val="007D533D"/>
    <w:rsid w:val="007E67C1"/>
    <w:rsid w:val="007E751D"/>
    <w:rsid w:val="007F04DF"/>
    <w:rsid w:val="007F11BB"/>
    <w:rsid w:val="007F1D8D"/>
    <w:rsid w:val="007F4C47"/>
    <w:rsid w:val="007F6322"/>
    <w:rsid w:val="007F6D67"/>
    <w:rsid w:val="007F7D33"/>
    <w:rsid w:val="007F7ECF"/>
    <w:rsid w:val="00801FCD"/>
    <w:rsid w:val="00803863"/>
    <w:rsid w:val="00807D66"/>
    <w:rsid w:val="00810084"/>
    <w:rsid w:val="008162E9"/>
    <w:rsid w:val="008178A6"/>
    <w:rsid w:val="00817D20"/>
    <w:rsid w:val="00821113"/>
    <w:rsid w:val="00830ADF"/>
    <w:rsid w:val="00833EF2"/>
    <w:rsid w:val="00834C4D"/>
    <w:rsid w:val="00835FD5"/>
    <w:rsid w:val="00836BDF"/>
    <w:rsid w:val="00837D34"/>
    <w:rsid w:val="00844750"/>
    <w:rsid w:val="00844DCE"/>
    <w:rsid w:val="00845224"/>
    <w:rsid w:val="00845275"/>
    <w:rsid w:val="008460E6"/>
    <w:rsid w:val="00847119"/>
    <w:rsid w:val="0084768D"/>
    <w:rsid w:val="00847DA3"/>
    <w:rsid w:val="00847DDC"/>
    <w:rsid w:val="00850E57"/>
    <w:rsid w:val="00851248"/>
    <w:rsid w:val="00852D75"/>
    <w:rsid w:val="0085351B"/>
    <w:rsid w:val="00853BAC"/>
    <w:rsid w:val="00854969"/>
    <w:rsid w:val="008603DD"/>
    <w:rsid w:val="00861AA3"/>
    <w:rsid w:val="00865F15"/>
    <w:rsid w:val="00866BBE"/>
    <w:rsid w:val="00866C4A"/>
    <w:rsid w:val="00871809"/>
    <w:rsid w:val="00872629"/>
    <w:rsid w:val="0087298A"/>
    <w:rsid w:val="0087416A"/>
    <w:rsid w:val="00875AEF"/>
    <w:rsid w:val="0088007A"/>
    <w:rsid w:val="00880BA9"/>
    <w:rsid w:val="0088124F"/>
    <w:rsid w:val="008827B9"/>
    <w:rsid w:val="00883B85"/>
    <w:rsid w:val="008841C7"/>
    <w:rsid w:val="0088449F"/>
    <w:rsid w:val="00884C57"/>
    <w:rsid w:val="008870B9"/>
    <w:rsid w:val="0089109E"/>
    <w:rsid w:val="00895D59"/>
    <w:rsid w:val="00895EFB"/>
    <w:rsid w:val="008964FA"/>
    <w:rsid w:val="0089723D"/>
    <w:rsid w:val="008A3060"/>
    <w:rsid w:val="008A39D6"/>
    <w:rsid w:val="008A4B55"/>
    <w:rsid w:val="008A7401"/>
    <w:rsid w:val="008A76BE"/>
    <w:rsid w:val="008B1567"/>
    <w:rsid w:val="008B1904"/>
    <w:rsid w:val="008B3543"/>
    <w:rsid w:val="008B40A9"/>
    <w:rsid w:val="008B5B16"/>
    <w:rsid w:val="008B67D9"/>
    <w:rsid w:val="008B7887"/>
    <w:rsid w:val="008B7DED"/>
    <w:rsid w:val="008C0477"/>
    <w:rsid w:val="008C056A"/>
    <w:rsid w:val="008C074B"/>
    <w:rsid w:val="008C4571"/>
    <w:rsid w:val="008C4AA5"/>
    <w:rsid w:val="008C4CA9"/>
    <w:rsid w:val="008C4D4F"/>
    <w:rsid w:val="008C52F2"/>
    <w:rsid w:val="008D097A"/>
    <w:rsid w:val="008D0F49"/>
    <w:rsid w:val="008D16FA"/>
    <w:rsid w:val="008D25ED"/>
    <w:rsid w:val="008D2BC8"/>
    <w:rsid w:val="008D3501"/>
    <w:rsid w:val="008D5D19"/>
    <w:rsid w:val="008E0C71"/>
    <w:rsid w:val="008E35D6"/>
    <w:rsid w:val="008E3D78"/>
    <w:rsid w:val="008E40DF"/>
    <w:rsid w:val="008F178E"/>
    <w:rsid w:val="008F250A"/>
    <w:rsid w:val="008F2A83"/>
    <w:rsid w:val="008F3670"/>
    <w:rsid w:val="008F5072"/>
    <w:rsid w:val="008F5442"/>
    <w:rsid w:val="008F6C3A"/>
    <w:rsid w:val="008F7865"/>
    <w:rsid w:val="0090300E"/>
    <w:rsid w:val="00911281"/>
    <w:rsid w:val="0091207A"/>
    <w:rsid w:val="00913EA8"/>
    <w:rsid w:val="0091422D"/>
    <w:rsid w:val="0091422E"/>
    <w:rsid w:val="0091546B"/>
    <w:rsid w:val="00916EE2"/>
    <w:rsid w:val="00921F26"/>
    <w:rsid w:val="00924CDA"/>
    <w:rsid w:val="0092582A"/>
    <w:rsid w:val="00925CBA"/>
    <w:rsid w:val="00926591"/>
    <w:rsid w:val="00926B15"/>
    <w:rsid w:val="009270E6"/>
    <w:rsid w:val="0093349E"/>
    <w:rsid w:val="00933E76"/>
    <w:rsid w:val="009355A8"/>
    <w:rsid w:val="00935E8B"/>
    <w:rsid w:val="00943752"/>
    <w:rsid w:val="00945DC1"/>
    <w:rsid w:val="00946552"/>
    <w:rsid w:val="00947A29"/>
    <w:rsid w:val="0095170A"/>
    <w:rsid w:val="00953426"/>
    <w:rsid w:val="00953ADA"/>
    <w:rsid w:val="00956B8C"/>
    <w:rsid w:val="00960641"/>
    <w:rsid w:val="009633A0"/>
    <w:rsid w:val="00964C98"/>
    <w:rsid w:val="0096706E"/>
    <w:rsid w:val="009719D6"/>
    <w:rsid w:val="00972EAA"/>
    <w:rsid w:val="00973071"/>
    <w:rsid w:val="00976F45"/>
    <w:rsid w:val="00977832"/>
    <w:rsid w:val="00985452"/>
    <w:rsid w:val="009871A2"/>
    <w:rsid w:val="0099014D"/>
    <w:rsid w:val="0099297B"/>
    <w:rsid w:val="009933A5"/>
    <w:rsid w:val="00995195"/>
    <w:rsid w:val="009953DA"/>
    <w:rsid w:val="00995D26"/>
    <w:rsid w:val="009A3A26"/>
    <w:rsid w:val="009A4A8B"/>
    <w:rsid w:val="009B14DF"/>
    <w:rsid w:val="009B3E7A"/>
    <w:rsid w:val="009B51DB"/>
    <w:rsid w:val="009B5553"/>
    <w:rsid w:val="009B5AD8"/>
    <w:rsid w:val="009B74E8"/>
    <w:rsid w:val="009B7AC1"/>
    <w:rsid w:val="009C52FD"/>
    <w:rsid w:val="009C7569"/>
    <w:rsid w:val="009D096A"/>
    <w:rsid w:val="009D0E72"/>
    <w:rsid w:val="009D261D"/>
    <w:rsid w:val="009D4890"/>
    <w:rsid w:val="009D512B"/>
    <w:rsid w:val="009D678B"/>
    <w:rsid w:val="009D6E42"/>
    <w:rsid w:val="009D71D2"/>
    <w:rsid w:val="009D7562"/>
    <w:rsid w:val="009E02C3"/>
    <w:rsid w:val="009E1D65"/>
    <w:rsid w:val="009E68E7"/>
    <w:rsid w:val="009F1568"/>
    <w:rsid w:val="009F2E97"/>
    <w:rsid w:val="009F3DB0"/>
    <w:rsid w:val="009F4056"/>
    <w:rsid w:val="009F6D5B"/>
    <w:rsid w:val="009F6D8A"/>
    <w:rsid w:val="009F7BA1"/>
    <w:rsid w:val="00A0203F"/>
    <w:rsid w:val="00A020D7"/>
    <w:rsid w:val="00A073D9"/>
    <w:rsid w:val="00A11883"/>
    <w:rsid w:val="00A123EB"/>
    <w:rsid w:val="00A12555"/>
    <w:rsid w:val="00A13798"/>
    <w:rsid w:val="00A14515"/>
    <w:rsid w:val="00A154BE"/>
    <w:rsid w:val="00A15A31"/>
    <w:rsid w:val="00A16294"/>
    <w:rsid w:val="00A2006E"/>
    <w:rsid w:val="00A20716"/>
    <w:rsid w:val="00A21085"/>
    <w:rsid w:val="00A232E9"/>
    <w:rsid w:val="00A24E45"/>
    <w:rsid w:val="00A252A0"/>
    <w:rsid w:val="00A258CD"/>
    <w:rsid w:val="00A30761"/>
    <w:rsid w:val="00A30B1A"/>
    <w:rsid w:val="00A31AD8"/>
    <w:rsid w:val="00A3274B"/>
    <w:rsid w:val="00A32840"/>
    <w:rsid w:val="00A35379"/>
    <w:rsid w:val="00A4174E"/>
    <w:rsid w:val="00A41EDA"/>
    <w:rsid w:val="00A43602"/>
    <w:rsid w:val="00A451CE"/>
    <w:rsid w:val="00A52851"/>
    <w:rsid w:val="00A52D24"/>
    <w:rsid w:val="00A5414C"/>
    <w:rsid w:val="00A54993"/>
    <w:rsid w:val="00A54C77"/>
    <w:rsid w:val="00A604DD"/>
    <w:rsid w:val="00A63B59"/>
    <w:rsid w:val="00A65782"/>
    <w:rsid w:val="00A72B3A"/>
    <w:rsid w:val="00A72D4B"/>
    <w:rsid w:val="00A72DCC"/>
    <w:rsid w:val="00A74E83"/>
    <w:rsid w:val="00A75670"/>
    <w:rsid w:val="00A76489"/>
    <w:rsid w:val="00A77845"/>
    <w:rsid w:val="00A858FC"/>
    <w:rsid w:val="00A862B9"/>
    <w:rsid w:val="00A866B0"/>
    <w:rsid w:val="00A87B05"/>
    <w:rsid w:val="00A87CEA"/>
    <w:rsid w:val="00A909E3"/>
    <w:rsid w:val="00A90F95"/>
    <w:rsid w:val="00A91906"/>
    <w:rsid w:val="00A92902"/>
    <w:rsid w:val="00A93668"/>
    <w:rsid w:val="00A9390A"/>
    <w:rsid w:val="00A95819"/>
    <w:rsid w:val="00A96CB4"/>
    <w:rsid w:val="00A971FE"/>
    <w:rsid w:val="00A97AE3"/>
    <w:rsid w:val="00AA099D"/>
    <w:rsid w:val="00AA43B8"/>
    <w:rsid w:val="00AA4E75"/>
    <w:rsid w:val="00AA6ED6"/>
    <w:rsid w:val="00AA72D7"/>
    <w:rsid w:val="00AA7772"/>
    <w:rsid w:val="00AB0E2A"/>
    <w:rsid w:val="00AB2CB3"/>
    <w:rsid w:val="00AB66FA"/>
    <w:rsid w:val="00AB6980"/>
    <w:rsid w:val="00AB6B46"/>
    <w:rsid w:val="00AB73D4"/>
    <w:rsid w:val="00AC0FA6"/>
    <w:rsid w:val="00AC2555"/>
    <w:rsid w:val="00AC54FE"/>
    <w:rsid w:val="00AC5EE2"/>
    <w:rsid w:val="00AC6242"/>
    <w:rsid w:val="00AC6940"/>
    <w:rsid w:val="00AC732F"/>
    <w:rsid w:val="00AC78E1"/>
    <w:rsid w:val="00AD0899"/>
    <w:rsid w:val="00AD09BB"/>
    <w:rsid w:val="00AD0DE1"/>
    <w:rsid w:val="00AD0F4D"/>
    <w:rsid w:val="00AD1AB4"/>
    <w:rsid w:val="00AD1C34"/>
    <w:rsid w:val="00AD2335"/>
    <w:rsid w:val="00AD29D4"/>
    <w:rsid w:val="00AD42DE"/>
    <w:rsid w:val="00AD432C"/>
    <w:rsid w:val="00AD49D1"/>
    <w:rsid w:val="00AD731E"/>
    <w:rsid w:val="00AE7686"/>
    <w:rsid w:val="00AF3DDA"/>
    <w:rsid w:val="00AF4C04"/>
    <w:rsid w:val="00AF5CE2"/>
    <w:rsid w:val="00B00738"/>
    <w:rsid w:val="00B01A38"/>
    <w:rsid w:val="00B033E4"/>
    <w:rsid w:val="00B03A74"/>
    <w:rsid w:val="00B05396"/>
    <w:rsid w:val="00B07776"/>
    <w:rsid w:val="00B10454"/>
    <w:rsid w:val="00B12028"/>
    <w:rsid w:val="00B14D0D"/>
    <w:rsid w:val="00B14D19"/>
    <w:rsid w:val="00B155F4"/>
    <w:rsid w:val="00B15D9D"/>
    <w:rsid w:val="00B171E9"/>
    <w:rsid w:val="00B1751A"/>
    <w:rsid w:val="00B22CBF"/>
    <w:rsid w:val="00B247B0"/>
    <w:rsid w:val="00B24B48"/>
    <w:rsid w:val="00B258E8"/>
    <w:rsid w:val="00B26B47"/>
    <w:rsid w:val="00B26B82"/>
    <w:rsid w:val="00B26ECC"/>
    <w:rsid w:val="00B27156"/>
    <w:rsid w:val="00B30E49"/>
    <w:rsid w:val="00B320E3"/>
    <w:rsid w:val="00B34C35"/>
    <w:rsid w:val="00B355ED"/>
    <w:rsid w:val="00B4142C"/>
    <w:rsid w:val="00B4621B"/>
    <w:rsid w:val="00B468E0"/>
    <w:rsid w:val="00B46E5A"/>
    <w:rsid w:val="00B51A23"/>
    <w:rsid w:val="00B52BB5"/>
    <w:rsid w:val="00B54A92"/>
    <w:rsid w:val="00B54CE4"/>
    <w:rsid w:val="00B56531"/>
    <w:rsid w:val="00B56DE0"/>
    <w:rsid w:val="00B56DE9"/>
    <w:rsid w:val="00B57DA3"/>
    <w:rsid w:val="00B600A7"/>
    <w:rsid w:val="00B6184A"/>
    <w:rsid w:val="00B62450"/>
    <w:rsid w:val="00B64787"/>
    <w:rsid w:val="00B703DC"/>
    <w:rsid w:val="00B73CAB"/>
    <w:rsid w:val="00B75714"/>
    <w:rsid w:val="00B75728"/>
    <w:rsid w:val="00B75C4A"/>
    <w:rsid w:val="00B7645E"/>
    <w:rsid w:val="00B8038F"/>
    <w:rsid w:val="00B82BA2"/>
    <w:rsid w:val="00B83587"/>
    <w:rsid w:val="00B86537"/>
    <w:rsid w:val="00B87878"/>
    <w:rsid w:val="00B903E4"/>
    <w:rsid w:val="00B92837"/>
    <w:rsid w:val="00B92EC1"/>
    <w:rsid w:val="00B93352"/>
    <w:rsid w:val="00B936B3"/>
    <w:rsid w:val="00B939F0"/>
    <w:rsid w:val="00B95A22"/>
    <w:rsid w:val="00B95FF0"/>
    <w:rsid w:val="00B9660A"/>
    <w:rsid w:val="00B96F0B"/>
    <w:rsid w:val="00BA11B1"/>
    <w:rsid w:val="00BA3CF5"/>
    <w:rsid w:val="00BA4CD6"/>
    <w:rsid w:val="00BA4D16"/>
    <w:rsid w:val="00BA7B97"/>
    <w:rsid w:val="00BB04F3"/>
    <w:rsid w:val="00BB123D"/>
    <w:rsid w:val="00BB2EAB"/>
    <w:rsid w:val="00BB4B8E"/>
    <w:rsid w:val="00BC0B52"/>
    <w:rsid w:val="00BC125C"/>
    <w:rsid w:val="00BC2493"/>
    <w:rsid w:val="00BC3158"/>
    <w:rsid w:val="00BC3C62"/>
    <w:rsid w:val="00BC3D2C"/>
    <w:rsid w:val="00BC719A"/>
    <w:rsid w:val="00BD20E5"/>
    <w:rsid w:val="00BD36B0"/>
    <w:rsid w:val="00BD4274"/>
    <w:rsid w:val="00BD6555"/>
    <w:rsid w:val="00BD6945"/>
    <w:rsid w:val="00BE0311"/>
    <w:rsid w:val="00BE03C7"/>
    <w:rsid w:val="00BE12DF"/>
    <w:rsid w:val="00BE1D8E"/>
    <w:rsid w:val="00BE216F"/>
    <w:rsid w:val="00BE3D0B"/>
    <w:rsid w:val="00BE462A"/>
    <w:rsid w:val="00BE4C3C"/>
    <w:rsid w:val="00BF00E7"/>
    <w:rsid w:val="00BF1928"/>
    <w:rsid w:val="00BF1A38"/>
    <w:rsid w:val="00BF1A95"/>
    <w:rsid w:val="00BF2564"/>
    <w:rsid w:val="00BF345B"/>
    <w:rsid w:val="00BF3F37"/>
    <w:rsid w:val="00BF6AD3"/>
    <w:rsid w:val="00BF7036"/>
    <w:rsid w:val="00C009D0"/>
    <w:rsid w:val="00C0585E"/>
    <w:rsid w:val="00C068F3"/>
    <w:rsid w:val="00C07819"/>
    <w:rsid w:val="00C10A32"/>
    <w:rsid w:val="00C115E8"/>
    <w:rsid w:val="00C12E50"/>
    <w:rsid w:val="00C13538"/>
    <w:rsid w:val="00C14F87"/>
    <w:rsid w:val="00C16690"/>
    <w:rsid w:val="00C1708C"/>
    <w:rsid w:val="00C17834"/>
    <w:rsid w:val="00C17E09"/>
    <w:rsid w:val="00C17FA2"/>
    <w:rsid w:val="00C2439B"/>
    <w:rsid w:val="00C25738"/>
    <w:rsid w:val="00C25B43"/>
    <w:rsid w:val="00C25D4E"/>
    <w:rsid w:val="00C26CB5"/>
    <w:rsid w:val="00C30E5A"/>
    <w:rsid w:val="00C33306"/>
    <w:rsid w:val="00C34365"/>
    <w:rsid w:val="00C3503D"/>
    <w:rsid w:val="00C46BF7"/>
    <w:rsid w:val="00C52A48"/>
    <w:rsid w:val="00C53EB5"/>
    <w:rsid w:val="00C54AE3"/>
    <w:rsid w:val="00C54C56"/>
    <w:rsid w:val="00C563EB"/>
    <w:rsid w:val="00C61045"/>
    <w:rsid w:val="00C62D06"/>
    <w:rsid w:val="00C63138"/>
    <w:rsid w:val="00C71E09"/>
    <w:rsid w:val="00C72166"/>
    <w:rsid w:val="00C7279A"/>
    <w:rsid w:val="00C73D98"/>
    <w:rsid w:val="00C74221"/>
    <w:rsid w:val="00C75494"/>
    <w:rsid w:val="00C757C7"/>
    <w:rsid w:val="00C765DF"/>
    <w:rsid w:val="00C7796B"/>
    <w:rsid w:val="00C806DC"/>
    <w:rsid w:val="00C82742"/>
    <w:rsid w:val="00C83393"/>
    <w:rsid w:val="00C837D7"/>
    <w:rsid w:val="00C858EB"/>
    <w:rsid w:val="00C86D7E"/>
    <w:rsid w:val="00C87F0C"/>
    <w:rsid w:val="00C906F1"/>
    <w:rsid w:val="00C907C5"/>
    <w:rsid w:val="00C90998"/>
    <w:rsid w:val="00C9206B"/>
    <w:rsid w:val="00C946EC"/>
    <w:rsid w:val="00C9587B"/>
    <w:rsid w:val="00C97086"/>
    <w:rsid w:val="00C97FDA"/>
    <w:rsid w:val="00CA0BAE"/>
    <w:rsid w:val="00CA145A"/>
    <w:rsid w:val="00CA22C9"/>
    <w:rsid w:val="00CA46A5"/>
    <w:rsid w:val="00CB24D5"/>
    <w:rsid w:val="00CB3412"/>
    <w:rsid w:val="00CB53B5"/>
    <w:rsid w:val="00CB59B8"/>
    <w:rsid w:val="00CC0918"/>
    <w:rsid w:val="00CC2F38"/>
    <w:rsid w:val="00CC45A1"/>
    <w:rsid w:val="00CC6AF3"/>
    <w:rsid w:val="00CC6BF4"/>
    <w:rsid w:val="00CC7AFF"/>
    <w:rsid w:val="00CD4AF2"/>
    <w:rsid w:val="00CD571B"/>
    <w:rsid w:val="00CD62B1"/>
    <w:rsid w:val="00CD6AFB"/>
    <w:rsid w:val="00CE10B6"/>
    <w:rsid w:val="00CE11B4"/>
    <w:rsid w:val="00CE525C"/>
    <w:rsid w:val="00CE5FC6"/>
    <w:rsid w:val="00CF3BD4"/>
    <w:rsid w:val="00CF3F56"/>
    <w:rsid w:val="00CF5071"/>
    <w:rsid w:val="00CF5D6F"/>
    <w:rsid w:val="00CF5E8C"/>
    <w:rsid w:val="00CF69DC"/>
    <w:rsid w:val="00CF798A"/>
    <w:rsid w:val="00D0054E"/>
    <w:rsid w:val="00D012DC"/>
    <w:rsid w:val="00D03C15"/>
    <w:rsid w:val="00D04643"/>
    <w:rsid w:val="00D04F10"/>
    <w:rsid w:val="00D06859"/>
    <w:rsid w:val="00D1002B"/>
    <w:rsid w:val="00D10540"/>
    <w:rsid w:val="00D10AC2"/>
    <w:rsid w:val="00D10E39"/>
    <w:rsid w:val="00D11881"/>
    <w:rsid w:val="00D11CD1"/>
    <w:rsid w:val="00D12058"/>
    <w:rsid w:val="00D12192"/>
    <w:rsid w:val="00D12BD0"/>
    <w:rsid w:val="00D13055"/>
    <w:rsid w:val="00D14A1B"/>
    <w:rsid w:val="00D15292"/>
    <w:rsid w:val="00D16C11"/>
    <w:rsid w:val="00D170B6"/>
    <w:rsid w:val="00D24343"/>
    <w:rsid w:val="00D2505F"/>
    <w:rsid w:val="00D255AF"/>
    <w:rsid w:val="00D27133"/>
    <w:rsid w:val="00D31BF8"/>
    <w:rsid w:val="00D3302B"/>
    <w:rsid w:val="00D43460"/>
    <w:rsid w:val="00D4421D"/>
    <w:rsid w:val="00D44832"/>
    <w:rsid w:val="00D454C5"/>
    <w:rsid w:val="00D45EAD"/>
    <w:rsid w:val="00D46EF8"/>
    <w:rsid w:val="00D500BE"/>
    <w:rsid w:val="00D50EB2"/>
    <w:rsid w:val="00D50EE2"/>
    <w:rsid w:val="00D628E2"/>
    <w:rsid w:val="00D6560F"/>
    <w:rsid w:val="00D65AA4"/>
    <w:rsid w:val="00D6663D"/>
    <w:rsid w:val="00D71596"/>
    <w:rsid w:val="00D72809"/>
    <w:rsid w:val="00D748AB"/>
    <w:rsid w:val="00D7514E"/>
    <w:rsid w:val="00D76799"/>
    <w:rsid w:val="00D77068"/>
    <w:rsid w:val="00D81B65"/>
    <w:rsid w:val="00D8259D"/>
    <w:rsid w:val="00D84664"/>
    <w:rsid w:val="00D85016"/>
    <w:rsid w:val="00D85D5A"/>
    <w:rsid w:val="00D87F10"/>
    <w:rsid w:val="00D90070"/>
    <w:rsid w:val="00D927C0"/>
    <w:rsid w:val="00D92D2C"/>
    <w:rsid w:val="00D95F50"/>
    <w:rsid w:val="00D96589"/>
    <w:rsid w:val="00D96D6E"/>
    <w:rsid w:val="00DA08A3"/>
    <w:rsid w:val="00DA1593"/>
    <w:rsid w:val="00DA2091"/>
    <w:rsid w:val="00DA283E"/>
    <w:rsid w:val="00DA3FFE"/>
    <w:rsid w:val="00DA4FEE"/>
    <w:rsid w:val="00DA5158"/>
    <w:rsid w:val="00DA5347"/>
    <w:rsid w:val="00DA610F"/>
    <w:rsid w:val="00DB05F8"/>
    <w:rsid w:val="00DB19D4"/>
    <w:rsid w:val="00DB2B60"/>
    <w:rsid w:val="00DB3180"/>
    <w:rsid w:val="00DB3DE6"/>
    <w:rsid w:val="00DB532E"/>
    <w:rsid w:val="00DB65C6"/>
    <w:rsid w:val="00DB6C75"/>
    <w:rsid w:val="00DB76BA"/>
    <w:rsid w:val="00DC0A30"/>
    <w:rsid w:val="00DC6BA8"/>
    <w:rsid w:val="00DC7230"/>
    <w:rsid w:val="00DC7556"/>
    <w:rsid w:val="00DD11D0"/>
    <w:rsid w:val="00DD2B0E"/>
    <w:rsid w:val="00DD30A7"/>
    <w:rsid w:val="00DD6935"/>
    <w:rsid w:val="00DD6CC1"/>
    <w:rsid w:val="00DD701A"/>
    <w:rsid w:val="00DD71C4"/>
    <w:rsid w:val="00DE0CF0"/>
    <w:rsid w:val="00DE3174"/>
    <w:rsid w:val="00DE47AF"/>
    <w:rsid w:val="00DE5655"/>
    <w:rsid w:val="00DE635E"/>
    <w:rsid w:val="00DE6FB7"/>
    <w:rsid w:val="00DE7487"/>
    <w:rsid w:val="00DF081F"/>
    <w:rsid w:val="00DF0B80"/>
    <w:rsid w:val="00DF45E2"/>
    <w:rsid w:val="00DF4E7A"/>
    <w:rsid w:val="00DF5EF8"/>
    <w:rsid w:val="00E00EF2"/>
    <w:rsid w:val="00E01371"/>
    <w:rsid w:val="00E0164F"/>
    <w:rsid w:val="00E029AD"/>
    <w:rsid w:val="00E03277"/>
    <w:rsid w:val="00E03BD6"/>
    <w:rsid w:val="00E04272"/>
    <w:rsid w:val="00E04B3B"/>
    <w:rsid w:val="00E054EE"/>
    <w:rsid w:val="00E05708"/>
    <w:rsid w:val="00E0694E"/>
    <w:rsid w:val="00E12FD5"/>
    <w:rsid w:val="00E16102"/>
    <w:rsid w:val="00E16D03"/>
    <w:rsid w:val="00E20489"/>
    <w:rsid w:val="00E22098"/>
    <w:rsid w:val="00E222D8"/>
    <w:rsid w:val="00E22306"/>
    <w:rsid w:val="00E22B53"/>
    <w:rsid w:val="00E30F9A"/>
    <w:rsid w:val="00E331A8"/>
    <w:rsid w:val="00E33A70"/>
    <w:rsid w:val="00E33DE0"/>
    <w:rsid w:val="00E378C5"/>
    <w:rsid w:val="00E4087B"/>
    <w:rsid w:val="00E41BDC"/>
    <w:rsid w:val="00E427DB"/>
    <w:rsid w:val="00E42F5A"/>
    <w:rsid w:val="00E43112"/>
    <w:rsid w:val="00E4376F"/>
    <w:rsid w:val="00E444A0"/>
    <w:rsid w:val="00E4608E"/>
    <w:rsid w:val="00E463A0"/>
    <w:rsid w:val="00E466A1"/>
    <w:rsid w:val="00E507F4"/>
    <w:rsid w:val="00E52A63"/>
    <w:rsid w:val="00E52A6A"/>
    <w:rsid w:val="00E5372A"/>
    <w:rsid w:val="00E5486E"/>
    <w:rsid w:val="00E56422"/>
    <w:rsid w:val="00E57429"/>
    <w:rsid w:val="00E57D4D"/>
    <w:rsid w:val="00E63E1D"/>
    <w:rsid w:val="00E640E2"/>
    <w:rsid w:val="00E6577C"/>
    <w:rsid w:val="00E67FEE"/>
    <w:rsid w:val="00E7246C"/>
    <w:rsid w:val="00E72899"/>
    <w:rsid w:val="00E728DB"/>
    <w:rsid w:val="00E73D7D"/>
    <w:rsid w:val="00E74C8C"/>
    <w:rsid w:val="00E74F51"/>
    <w:rsid w:val="00E7546D"/>
    <w:rsid w:val="00E76AF9"/>
    <w:rsid w:val="00E779F8"/>
    <w:rsid w:val="00E77CD0"/>
    <w:rsid w:val="00E8543C"/>
    <w:rsid w:val="00E86484"/>
    <w:rsid w:val="00E87886"/>
    <w:rsid w:val="00E91540"/>
    <w:rsid w:val="00E93763"/>
    <w:rsid w:val="00E960B4"/>
    <w:rsid w:val="00E97C89"/>
    <w:rsid w:val="00EA4C2A"/>
    <w:rsid w:val="00EA4D38"/>
    <w:rsid w:val="00EA5A7E"/>
    <w:rsid w:val="00EA5BAE"/>
    <w:rsid w:val="00EA61D0"/>
    <w:rsid w:val="00EB0E8C"/>
    <w:rsid w:val="00EB3451"/>
    <w:rsid w:val="00EB5C21"/>
    <w:rsid w:val="00EC0B7E"/>
    <w:rsid w:val="00EC584A"/>
    <w:rsid w:val="00EC6A73"/>
    <w:rsid w:val="00EC7786"/>
    <w:rsid w:val="00EC7D5B"/>
    <w:rsid w:val="00EC7EBE"/>
    <w:rsid w:val="00ED45FD"/>
    <w:rsid w:val="00ED543F"/>
    <w:rsid w:val="00ED6B82"/>
    <w:rsid w:val="00ED72DB"/>
    <w:rsid w:val="00ED7C8F"/>
    <w:rsid w:val="00EE1B62"/>
    <w:rsid w:val="00EE2F03"/>
    <w:rsid w:val="00EE35F7"/>
    <w:rsid w:val="00EE4568"/>
    <w:rsid w:val="00EE4A67"/>
    <w:rsid w:val="00EE66FF"/>
    <w:rsid w:val="00EE7F96"/>
    <w:rsid w:val="00EF0261"/>
    <w:rsid w:val="00EF0BC2"/>
    <w:rsid w:val="00EF0BE9"/>
    <w:rsid w:val="00EF0CFC"/>
    <w:rsid w:val="00EF109B"/>
    <w:rsid w:val="00EF6598"/>
    <w:rsid w:val="00F00189"/>
    <w:rsid w:val="00F00771"/>
    <w:rsid w:val="00F007D5"/>
    <w:rsid w:val="00F04073"/>
    <w:rsid w:val="00F04E1A"/>
    <w:rsid w:val="00F079BD"/>
    <w:rsid w:val="00F110BE"/>
    <w:rsid w:val="00F114DE"/>
    <w:rsid w:val="00F12731"/>
    <w:rsid w:val="00F127AD"/>
    <w:rsid w:val="00F14C85"/>
    <w:rsid w:val="00F15E9E"/>
    <w:rsid w:val="00F16257"/>
    <w:rsid w:val="00F16394"/>
    <w:rsid w:val="00F173B6"/>
    <w:rsid w:val="00F173CC"/>
    <w:rsid w:val="00F179CA"/>
    <w:rsid w:val="00F17A52"/>
    <w:rsid w:val="00F210A0"/>
    <w:rsid w:val="00F23A09"/>
    <w:rsid w:val="00F245D0"/>
    <w:rsid w:val="00F24DC1"/>
    <w:rsid w:val="00F2660A"/>
    <w:rsid w:val="00F26FD2"/>
    <w:rsid w:val="00F276E8"/>
    <w:rsid w:val="00F32551"/>
    <w:rsid w:val="00F343EF"/>
    <w:rsid w:val="00F41A48"/>
    <w:rsid w:val="00F41BAA"/>
    <w:rsid w:val="00F421C3"/>
    <w:rsid w:val="00F4294F"/>
    <w:rsid w:val="00F438B3"/>
    <w:rsid w:val="00F46BFF"/>
    <w:rsid w:val="00F520EF"/>
    <w:rsid w:val="00F52105"/>
    <w:rsid w:val="00F531A9"/>
    <w:rsid w:val="00F53F8D"/>
    <w:rsid w:val="00F541FD"/>
    <w:rsid w:val="00F570F6"/>
    <w:rsid w:val="00F62B74"/>
    <w:rsid w:val="00F66145"/>
    <w:rsid w:val="00F667E2"/>
    <w:rsid w:val="00F67732"/>
    <w:rsid w:val="00F7469F"/>
    <w:rsid w:val="00F74771"/>
    <w:rsid w:val="00F74F2E"/>
    <w:rsid w:val="00F812F3"/>
    <w:rsid w:val="00F84A25"/>
    <w:rsid w:val="00F90BA3"/>
    <w:rsid w:val="00F9125B"/>
    <w:rsid w:val="00F91434"/>
    <w:rsid w:val="00F9283D"/>
    <w:rsid w:val="00F95339"/>
    <w:rsid w:val="00F958AA"/>
    <w:rsid w:val="00F96932"/>
    <w:rsid w:val="00F96A22"/>
    <w:rsid w:val="00FA2402"/>
    <w:rsid w:val="00FA32E7"/>
    <w:rsid w:val="00FA4A80"/>
    <w:rsid w:val="00FA5444"/>
    <w:rsid w:val="00FA5ABC"/>
    <w:rsid w:val="00FA6954"/>
    <w:rsid w:val="00FA7009"/>
    <w:rsid w:val="00FA7520"/>
    <w:rsid w:val="00FB0CA0"/>
    <w:rsid w:val="00FB1807"/>
    <w:rsid w:val="00FB2EBC"/>
    <w:rsid w:val="00FB376C"/>
    <w:rsid w:val="00FB4A99"/>
    <w:rsid w:val="00FB5835"/>
    <w:rsid w:val="00FB58D9"/>
    <w:rsid w:val="00FB5EA0"/>
    <w:rsid w:val="00FB6AB6"/>
    <w:rsid w:val="00FC35D0"/>
    <w:rsid w:val="00FC3E07"/>
    <w:rsid w:val="00FC5579"/>
    <w:rsid w:val="00FC6887"/>
    <w:rsid w:val="00FC7135"/>
    <w:rsid w:val="00FC72E9"/>
    <w:rsid w:val="00FD25ED"/>
    <w:rsid w:val="00FD3AD5"/>
    <w:rsid w:val="00FD62F2"/>
    <w:rsid w:val="00FD67A7"/>
    <w:rsid w:val="00FD7474"/>
    <w:rsid w:val="00FD7A55"/>
    <w:rsid w:val="00FE2464"/>
    <w:rsid w:val="00FE422C"/>
    <w:rsid w:val="00FF0D04"/>
    <w:rsid w:val="00FF2610"/>
    <w:rsid w:val="00FF6632"/>
    <w:rsid w:val="00FF6677"/>
    <w:rsid w:val="00FF6AAC"/>
    <w:rsid w:val="00FF7F7E"/>
    <w:rsid w:val="0546AFF9"/>
    <w:rsid w:val="1D6D4C29"/>
    <w:rsid w:val="3446831A"/>
    <w:rsid w:val="3CA56E8A"/>
    <w:rsid w:val="3F66E10C"/>
    <w:rsid w:val="51B4E403"/>
    <w:rsid w:val="54C4D588"/>
    <w:rsid w:val="7CDDA373"/>
    <w:rsid w:val="7EE50CE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24D1"/>
  <w15:chartTrackingRefBased/>
  <w15:docId w15:val="{7B443AA4-5156-4EA0-90C1-22FBA352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NZ"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5F55A7"/>
    <w:pPr>
      <w:spacing w:before="120" w:after="120" w:line="276" w:lineRule="auto"/>
    </w:pPr>
  </w:style>
  <w:style w:type="paragraph" w:styleId="Heading1">
    <w:name w:val="heading 1"/>
    <w:aliases w:val="Heading 1 numbered"/>
    <w:basedOn w:val="Normal"/>
    <w:next w:val="Normal"/>
    <w:link w:val="Heading1Char"/>
    <w:uiPriority w:val="9"/>
    <w:rsid w:val="00AD29D4"/>
    <w:pPr>
      <w:keepNext/>
      <w:keepLines/>
      <w:numPr>
        <w:numId w:val="2"/>
      </w:numPr>
      <w:spacing w:before="360"/>
      <w:ind w:left="0" w:hanging="851"/>
      <w:outlineLvl w:val="0"/>
    </w:pPr>
    <w:rPr>
      <w:rFonts w:eastAsiaTheme="majorEastAsia"/>
      <w:b/>
      <w:color w:val="1F3864" w:themeColor="accent1" w:themeShade="80"/>
      <w:sz w:val="44"/>
      <w:szCs w:val="44"/>
    </w:rPr>
  </w:style>
  <w:style w:type="paragraph" w:styleId="Heading2">
    <w:name w:val="heading 2"/>
    <w:aliases w:val="Heading 2 numbered"/>
    <w:basedOn w:val="Normal"/>
    <w:next w:val="Normal"/>
    <w:link w:val="Heading2Char"/>
    <w:uiPriority w:val="9"/>
    <w:unhideWhenUsed/>
    <w:rsid w:val="00AD29D4"/>
    <w:pPr>
      <w:keepNext/>
      <w:keepLines/>
      <w:spacing w:before="160"/>
      <w:outlineLvl w:val="1"/>
    </w:pPr>
    <w:rPr>
      <w:rFonts w:eastAsiaTheme="majorEastAsia"/>
      <w:b/>
      <w:color w:val="1F3864" w:themeColor="accent1" w:themeShade="80"/>
      <w:sz w:val="32"/>
      <w:szCs w:val="32"/>
    </w:rPr>
  </w:style>
  <w:style w:type="paragraph" w:styleId="Heading3">
    <w:name w:val="heading 3"/>
    <w:basedOn w:val="Heading2"/>
    <w:next w:val="BodyText"/>
    <w:link w:val="Heading3Char"/>
    <w:uiPriority w:val="9"/>
    <w:unhideWhenUsed/>
    <w:qFormat/>
    <w:rsid w:val="000D4E2D"/>
    <w:pPr>
      <w:outlineLvl w:val="2"/>
    </w:pPr>
    <w:rPr>
      <w:color w:val="0F385A"/>
      <w:sz w:val="29"/>
    </w:rPr>
  </w:style>
  <w:style w:type="paragraph" w:styleId="Heading4">
    <w:name w:val="heading 4"/>
    <w:basedOn w:val="Heading3"/>
    <w:next w:val="BodyText"/>
    <w:link w:val="Heading4Char"/>
    <w:uiPriority w:val="9"/>
    <w:unhideWhenUsed/>
    <w:qFormat/>
    <w:rsid w:val="00E5372A"/>
    <w:pPr>
      <w:outlineLvl w:val="3"/>
    </w:pPr>
    <w:rPr>
      <w:color w:val="auto"/>
      <w:sz w:val="24"/>
      <w:szCs w:val="24"/>
    </w:rPr>
  </w:style>
  <w:style w:type="paragraph" w:styleId="Heading5">
    <w:name w:val="heading 5"/>
    <w:next w:val="Normal"/>
    <w:link w:val="Heading5Char"/>
    <w:uiPriority w:val="9"/>
    <w:unhideWhenUsed/>
    <w:qFormat/>
    <w:rsid w:val="00642CDE"/>
    <w:pPr>
      <w:keepNext/>
      <w:keepLines/>
      <w:spacing w:before="40"/>
      <w:outlineLvl w:val="4"/>
    </w:pPr>
    <w:rPr>
      <w:rFonts w:eastAsiaTheme="majorEastAsia"/>
      <w:b/>
      <w:bCs/>
      <w:i/>
      <w:iCs/>
      <w:szCs w:val="22"/>
    </w:rPr>
  </w:style>
  <w:style w:type="paragraph" w:styleId="Heading6">
    <w:name w:val="heading 6"/>
    <w:basedOn w:val="Normal"/>
    <w:next w:val="Normal"/>
    <w:link w:val="Heading6Char"/>
    <w:uiPriority w:val="9"/>
    <w:unhideWhenUsed/>
    <w:rsid w:val="003758A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944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F007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07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7686"/>
    <w:rPr>
      <w:rFonts w:eastAsiaTheme="minorEastAsia"/>
      <w:szCs w:val="22"/>
      <w:lang w:val="en-US" w:eastAsia="zh-CN"/>
    </w:rPr>
  </w:style>
  <w:style w:type="character" w:customStyle="1" w:styleId="NoSpacingChar">
    <w:name w:val="No Spacing Char"/>
    <w:basedOn w:val="DefaultParagraphFont"/>
    <w:link w:val="NoSpacing"/>
    <w:uiPriority w:val="1"/>
    <w:rsid w:val="00AE7686"/>
    <w:rPr>
      <w:rFonts w:ascii="Calibri" w:eastAsiaTheme="minorEastAsia" w:hAnsi="Calibri"/>
      <w:b w:val="0"/>
      <w:i w:val="0"/>
      <w:sz w:val="22"/>
      <w:szCs w:val="22"/>
      <w:lang w:val="en-US" w:eastAsia="zh-CN"/>
    </w:rPr>
  </w:style>
  <w:style w:type="paragraph" w:styleId="Header">
    <w:name w:val="header"/>
    <w:basedOn w:val="Normal"/>
    <w:link w:val="HeaderChar"/>
    <w:uiPriority w:val="99"/>
    <w:unhideWhenUsed/>
    <w:rsid w:val="00D50EE2"/>
    <w:pPr>
      <w:tabs>
        <w:tab w:val="center" w:pos="4513"/>
        <w:tab w:val="right" w:pos="9026"/>
      </w:tabs>
    </w:pPr>
  </w:style>
  <w:style w:type="character" w:customStyle="1" w:styleId="HeaderChar">
    <w:name w:val="Header Char"/>
    <w:basedOn w:val="DefaultParagraphFont"/>
    <w:link w:val="Header"/>
    <w:uiPriority w:val="99"/>
    <w:rsid w:val="00D50EE2"/>
    <w:rPr>
      <w:rFonts w:asciiTheme="majorHAnsi" w:hAnsiTheme="majorHAnsi" w:cs="Poppins Light"/>
      <w:b w:val="0"/>
      <w:i w:val="0"/>
      <w:color w:val="1D4A63"/>
      <w:sz w:val="20"/>
      <w:szCs w:val="20"/>
      <w:lang w:val="en-GB"/>
    </w:rPr>
  </w:style>
  <w:style w:type="paragraph" w:styleId="Footer">
    <w:name w:val="footer"/>
    <w:basedOn w:val="Normal"/>
    <w:link w:val="FooterChar"/>
    <w:uiPriority w:val="99"/>
    <w:unhideWhenUsed/>
    <w:rsid w:val="00D50EE2"/>
    <w:pPr>
      <w:tabs>
        <w:tab w:val="center" w:pos="4513"/>
        <w:tab w:val="right" w:pos="9026"/>
      </w:tabs>
    </w:pPr>
    <w:rPr>
      <w:b/>
    </w:rPr>
  </w:style>
  <w:style w:type="character" w:customStyle="1" w:styleId="FooterChar">
    <w:name w:val="Footer Char"/>
    <w:basedOn w:val="DefaultParagraphFont"/>
    <w:link w:val="Footer"/>
    <w:uiPriority w:val="99"/>
    <w:rsid w:val="00D50EE2"/>
    <w:rPr>
      <w:rFonts w:asciiTheme="majorHAnsi" w:hAnsiTheme="majorHAnsi" w:cs="Poppins Light"/>
      <w:b/>
      <w:i w:val="0"/>
      <w:color w:val="1D4A63"/>
      <w:sz w:val="20"/>
      <w:szCs w:val="20"/>
      <w:lang w:val="en-GB"/>
    </w:rPr>
  </w:style>
  <w:style w:type="paragraph" w:customStyle="1" w:styleId="BasicParagraph">
    <w:name w:val="[Basic Paragraph]"/>
    <w:basedOn w:val="Normal"/>
    <w:uiPriority w:val="99"/>
    <w:rsid w:val="00D50EE2"/>
    <w:pPr>
      <w:autoSpaceDE w:val="0"/>
      <w:autoSpaceDN w:val="0"/>
      <w:adjustRightInd w:val="0"/>
      <w:spacing w:line="288" w:lineRule="auto"/>
      <w:textAlignment w:val="center"/>
    </w:pPr>
    <w:rPr>
      <w:rFonts w:cs="Minion Pro"/>
      <w:color w:val="000000"/>
      <w:lang w:val="en-US"/>
    </w:rPr>
  </w:style>
  <w:style w:type="paragraph" w:styleId="Title">
    <w:name w:val="Title"/>
    <w:basedOn w:val="Normal"/>
    <w:next w:val="Normal"/>
    <w:link w:val="TitleChar"/>
    <w:uiPriority w:val="10"/>
    <w:qFormat/>
    <w:rsid w:val="00E779F8"/>
    <w:pPr>
      <w:spacing w:before="0" w:after="240"/>
      <w:contextualSpacing/>
    </w:pPr>
    <w:rPr>
      <w:rFonts w:eastAsiaTheme="majorEastAsia"/>
      <w:b/>
      <w:color w:val="1F3864" w:themeColor="accent1" w:themeShade="80"/>
      <w:spacing w:val="-10"/>
      <w:kern w:val="28"/>
      <w:sz w:val="80"/>
      <w:szCs w:val="80"/>
    </w:rPr>
  </w:style>
  <w:style w:type="character" w:customStyle="1" w:styleId="TitleChar">
    <w:name w:val="Title Char"/>
    <w:basedOn w:val="DefaultParagraphFont"/>
    <w:link w:val="Title"/>
    <w:uiPriority w:val="10"/>
    <w:rsid w:val="005F55A7"/>
    <w:rPr>
      <w:rFonts w:ascii="Calibri" w:eastAsiaTheme="majorEastAsia" w:hAnsi="Calibri"/>
      <w:b/>
      <w:i w:val="0"/>
      <w:color w:val="1F3864" w:themeColor="accent1" w:themeShade="80"/>
      <w:spacing w:val="-10"/>
      <w:kern w:val="28"/>
      <w:sz w:val="80"/>
      <w:szCs w:val="80"/>
    </w:rPr>
  </w:style>
  <w:style w:type="character" w:customStyle="1" w:styleId="Heading1Char">
    <w:name w:val="Heading 1 Char"/>
    <w:aliases w:val="Heading 1 numbered Char"/>
    <w:basedOn w:val="DefaultParagraphFont"/>
    <w:link w:val="Heading1"/>
    <w:uiPriority w:val="9"/>
    <w:rsid w:val="00AD29D4"/>
    <w:rPr>
      <w:rFonts w:eastAsiaTheme="majorEastAsia"/>
      <w:b/>
      <w:color w:val="1F3864" w:themeColor="accent1" w:themeShade="80"/>
      <w:sz w:val="44"/>
      <w:szCs w:val="44"/>
    </w:rPr>
  </w:style>
  <w:style w:type="paragraph" w:customStyle="1" w:styleId="Intro">
    <w:name w:val="Intro"/>
    <w:basedOn w:val="BasicParagraph"/>
    <w:qFormat/>
    <w:rsid w:val="00C10A32"/>
    <w:pPr>
      <w:spacing w:after="200" w:line="216" w:lineRule="auto"/>
    </w:pPr>
    <w:rPr>
      <w:rFonts w:eastAsia="Calibri" w:cs="Calibri"/>
      <w:color w:val="0F385A"/>
      <w:w w:val="105"/>
      <w:sz w:val="38"/>
      <w:szCs w:val="22"/>
    </w:rPr>
  </w:style>
  <w:style w:type="character" w:customStyle="1" w:styleId="Heading2Char">
    <w:name w:val="Heading 2 Char"/>
    <w:aliases w:val="Heading 2 numbered Char"/>
    <w:basedOn w:val="DefaultParagraphFont"/>
    <w:link w:val="Heading2"/>
    <w:uiPriority w:val="9"/>
    <w:rsid w:val="00AD29D4"/>
    <w:rPr>
      <w:rFonts w:ascii="Calibri" w:eastAsiaTheme="majorEastAsia" w:hAnsi="Calibri" w:cstheme="minorHAnsi"/>
      <w:b/>
      <w:i w:val="0"/>
      <w:color w:val="1F3864" w:themeColor="accent1" w:themeShade="80"/>
      <w:sz w:val="32"/>
      <w:szCs w:val="32"/>
      <w:lang w:val="en-GB"/>
    </w:rPr>
  </w:style>
  <w:style w:type="character" w:customStyle="1" w:styleId="Heading3Char">
    <w:name w:val="Heading 3 Char"/>
    <w:basedOn w:val="DefaultParagraphFont"/>
    <w:link w:val="Heading3"/>
    <w:uiPriority w:val="9"/>
    <w:rsid w:val="000D4E2D"/>
    <w:rPr>
      <w:rFonts w:asciiTheme="minorHAnsi" w:eastAsia="Calibri" w:hAnsiTheme="minorHAnsi" w:cstheme="minorHAnsi"/>
      <w:b/>
      <w:i w:val="0"/>
      <w:color w:val="0F385A"/>
      <w:sz w:val="29"/>
      <w:szCs w:val="22"/>
      <w:lang w:val="en-US"/>
    </w:rPr>
  </w:style>
  <w:style w:type="character" w:customStyle="1" w:styleId="Heading4Char">
    <w:name w:val="Heading 4 Char"/>
    <w:basedOn w:val="DefaultParagraphFont"/>
    <w:link w:val="Heading4"/>
    <w:uiPriority w:val="9"/>
    <w:rsid w:val="00E5372A"/>
    <w:rPr>
      <w:rFonts w:asciiTheme="minorHAnsi" w:eastAsia="Calibri" w:hAnsiTheme="minorHAnsi" w:cstheme="minorHAnsi"/>
      <w:b/>
      <w:i w:val="0"/>
      <w:sz w:val="24"/>
      <w:lang w:val="en-US"/>
    </w:rPr>
  </w:style>
  <w:style w:type="paragraph" w:styleId="ListParagraph">
    <w:name w:val="List Paragraph"/>
    <w:aliases w:val="Rec para,List Paragraph1,Recommendation,List Paragraph11,List Paragraph - Bullet Point,Dot pt,F5 List Paragraph,No Spacing1,List Paragraph Char Char Char,Indicator Text,Numbered Para 1,Bullet 1,MAIN CONTENT,List Paragraph12"/>
    <w:basedOn w:val="Normal"/>
    <w:link w:val="ListParagraphChar"/>
    <w:uiPriority w:val="34"/>
    <w:qFormat/>
    <w:rsid w:val="00062E3D"/>
    <w:pPr>
      <w:ind w:left="720"/>
      <w:contextualSpacing/>
    </w:pPr>
  </w:style>
  <w:style w:type="paragraph" w:customStyle="1" w:styleId="Bullets">
    <w:name w:val="Bullets"/>
    <w:basedOn w:val="ListParagraph"/>
    <w:qFormat/>
    <w:rsid w:val="00062E3D"/>
    <w:pPr>
      <w:numPr>
        <w:numId w:val="1"/>
      </w:numPr>
      <w:ind w:left="454" w:firstLine="0"/>
    </w:pPr>
  </w:style>
  <w:style w:type="paragraph" w:customStyle="1" w:styleId="BodyBoldIndented">
    <w:name w:val="Body Bold Indented"/>
    <w:basedOn w:val="Normal"/>
    <w:rsid w:val="00062E3D"/>
    <w:pPr>
      <w:ind w:left="454"/>
    </w:pPr>
    <w:rPr>
      <w:b/>
      <w:bCs/>
    </w:rPr>
  </w:style>
  <w:style w:type="paragraph" w:customStyle="1" w:styleId="Highlight">
    <w:name w:val="Highlight"/>
    <w:basedOn w:val="BasicParagraph"/>
    <w:rsid w:val="00D50EE2"/>
    <w:rPr>
      <w:rFonts w:cstheme="majorHAnsi"/>
      <w:color w:val="1D4A63"/>
      <w:sz w:val="40"/>
      <w:szCs w:val="40"/>
    </w:rPr>
  </w:style>
  <w:style w:type="character" w:styleId="PageNumber">
    <w:name w:val="page number"/>
    <w:basedOn w:val="DefaultParagraphFont"/>
    <w:uiPriority w:val="99"/>
    <w:semiHidden/>
    <w:unhideWhenUsed/>
    <w:rsid w:val="00A258CD"/>
    <w:rPr>
      <w:rFonts w:ascii="Calibri" w:hAnsi="Calibri"/>
      <w:b w:val="0"/>
      <w:i w:val="0"/>
      <w:sz w:val="24"/>
    </w:rPr>
  </w:style>
  <w:style w:type="paragraph" w:customStyle="1" w:styleId="FooterTitle">
    <w:name w:val="Footer Title"/>
    <w:basedOn w:val="Footer"/>
    <w:rsid w:val="00D50EE2"/>
    <w:rPr>
      <w:b w:val="0"/>
    </w:rPr>
  </w:style>
  <w:style w:type="paragraph" w:customStyle="1" w:styleId="DocumentTitle">
    <w:name w:val="Document Title"/>
    <w:basedOn w:val="Normal"/>
    <w:rsid w:val="00D50EE2"/>
    <w:pPr>
      <w:autoSpaceDE w:val="0"/>
      <w:autoSpaceDN w:val="0"/>
      <w:adjustRightInd w:val="0"/>
      <w:spacing w:before="0" w:after="0" w:line="240" w:lineRule="auto"/>
      <w:textAlignment w:val="center"/>
    </w:pPr>
    <w:rPr>
      <w:rFonts w:cs="Montserrat"/>
      <w:b/>
      <w:bCs/>
      <w:color w:val="FFFFFF" w:themeColor="background1"/>
      <w:sz w:val="80"/>
      <w:szCs w:val="80"/>
      <w:lang w:val="en-US"/>
      <w14:textOutline w14:w="9525" w14:cap="flat" w14:cmpd="sng" w14:algn="ctr">
        <w14:noFill/>
        <w14:prstDash w14:val="solid"/>
        <w14:round/>
      </w14:textOutline>
    </w:rPr>
  </w:style>
  <w:style w:type="paragraph" w:styleId="Subtitle">
    <w:name w:val="Subtitle"/>
    <w:basedOn w:val="Normal"/>
    <w:next w:val="Normal"/>
    <w:link w:val="SubtitleChar"/>
    <w:uiPriority w:val="11"/>
    <w:rsid w:val="00D50EE2"/>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D50EE2"/>
    <w:rPr>
      <w:rFonts w:ascii="Calibri" w:eastAsiaTheme="minorEastAsia" w:hAnsi="Calibri"/>
      <w:b w:val="0"/>
      <w:i w:val="0"/>
      <w:color w:val="5A5A5A" w:themeColor="text1" w:themeTint="A5"/>
      <w:spacing w:val="15"/>
      <w:sz w:val="22"/>
      <w:szCs w:val="22"/>
      <w:lang w:val="en-GB"/>
    </w:rPr>
  </w:style>
  <w:style w:type="character" w:styleId="SubtleEmphasis">
    <w:name w:val="Subtle Emphasis"/>
    <w:basedOn w:val="DefaultParagraphFont"/>
    <w:uiPriority w:val="19"/>
    <w:rsid w:val="00D50EE2"/>
    <w:rPr>
      <w:rFonts w:asciiTheme="majorHAnsi" w:hAnsiTheme="majorHAnsi"/>
      <w:b w:val="0"/>
      <w:i/>
      <w:iCs/>
      <w:color w:val="404040" w:themeColor="text1" w:themeTint="BF"/>
      <w:sz w:val="24"/>
    </w:rPr>
  </w:style>
  <w:style w:type="character" w:styleId="Emphasis">
    <w:name w:val="Emphasis"/>
    <w:basedOn w:val="DefaultParagraphFont"/>
    <w:uiPriority w:val="20"/>
    <w:rsid w:val="00D50EE2"/>
    <w:rPr>
      <w:rFonts w:asciiTheme="majorHAnsi" w:hAnsiTheme="majorHAnsi"/>
      <w:b w:val="0"/>
      <w:i/>
      <w:iCs/>
      <w:sz w:val="24"/>
    </w:rPr>
  </w:style>
  <w:style w:type="character" w:styleId="Strong">
    <w:name w:val="Strong"/>
    <w:basedOn w:val="DefaultParagraphFont"/>
    <w:uiPriority w:val="22"/>
    <w:rsid w:val="00D50EE2"/>
    <w:rPr>
      <w:rFonts w:asciiTheme="majorHAnsi" w:hAnsiTheme="majorHAnsi"/>
      <w:b/>
      <w:bCs/>
      <w:i w:val="0"/>
      <w:sz w:val="24"/>
    </w:rPr>
  </w:style>
  <w:style w:type="paragraph" w:styleId="IntenseQuote">
    <w:name w:val="Intense Quote"/>
    <w:basedOn w:val="Normal"/>
    <w:next w:val="Normal"/>
    <w:link w:val="IntenseQuoteChar"/>
    <w:uiPriority w:val="30"/>
    <w:rsid w:val="00D50EE2"/>
    <w:pPr>
      <w:pBdr>
        <w:top w:val="single" w:sz="4" w:space="10" w:color="4472C4" w:themeColor="accent1"/>
        <w:bottom w:val="single" w:sz="4" w:space="10" w:color="4472C4" w:themeColor="accent1"/>
      </w:pBdr>
      <w:spacing w:before="360" w:after="360"/>
      <w:ind w:left="864" w:right="864"/>
      <w:jc w:val="center"/>
    </w:pPr>
    <w:rPr>
      <w:i/>
      <w:iCs/>
      <w:color w:val="60B9D8"/>
    </w:rPr>
  </w:style>
  <w:style w:type="character" w:customStyle="1" w:styleId="IntenseQuoteChar">
    <w:name w:val="Intense Quote Char"/>
    <w:basedOn w:val="DefaultParagraphFont"/>
    <w:link w:val="IntenseQuote"/>
    <w:uiPriority w:val="30"/>
    <w:rsid w:val="00D50EE2"/>
    <w:rPr>
      <w:rFonts w:asciiTheme="majorHAnsi" w:hAnsiTheme="majorHAnsi" w:cs="Poppins Light"/>
      <w:b w:val="0"/>
      <w:i/>
      <w:iCs/>
      <w:color w:val="60B9D8"/>
      <w:sz w:val="20"/>
      <w:szCs w:val="20"/>
      <w:lang w:val="en-GB"/>
    </w:rPr>
  </w:style>
  <w:style w:type="character" w:styleId="SubtleReference">
    <w:name w:val="Subtle Reference"/>
    <w:basedOn w:val="DefaultParagraphFont"/>
    <w:uiPriority w:val="31"/>
    <w:rsid w:val="00D50EE2"/>
    <w:rPr>
      <w:rFonts w:asciiTheme="majorHAnsi" w:hAnsiTheme="majorHAnsi"/>
      <w:b w:val="0"/>
      <w:i w:val="0"/>
      <w:smallCaps/>
      <w:color w:val="5A5A5A" w:themeColor="text1" w:themeTint="A5"/>
      <w:sz w:val="24"/>
    </w:rPr>
  </w:style>
  <w:style w:type="character" w:styleId="IntenseReference">
    <w:name w:val="Intense Reference"/>
    <w:basedOn w:val="DefaultParagraphFont"/>
    <w:uiPriority w:val="32"/>
    <w:rsid w:val="00D50EE2"/>
    <w:rPr>
      <w:rFonts w:asciiTheme="majorHAnsi" w:hAnsiTheme="majorHAnsi"/>
      <w:b/>
      <w:bCs/>
      <w:i w:val="0"/>
      <w:smallCaps/>
      <w:color w:val="60B9D8"/>
      <w:spacing w:val="5"/>
      <w:sz w:val="24"/>
    </w:rPr>
  </w:style>
  <w:style w:type="character" w:styleId="BookTitle">
    <w:name w:val="Book Title"/>
    <w:basedOn w:val="DefaultParagraphFont"/>
    <w:uiPriority w:val="33"/>
    <w:rsid w:val="00D50EE2"/>
    <w:rPr>
      <w:rFonts w:asciiTheme="majorHAnsi" w:hAnsiTheme="majorHAnsi"/>
      <w:b/>
      <w:bCs/>
      <w:i/>
      <w:iCs/>
      <w:spacing w:val="5"/>
      <w:sz w:val="24"/>
    </w:rPr>
  </w:style>
  <w:style w:type="character" w:styleId="IntenseEmphasis">
    <w:name w:val="Intense Emphasis"/>
    <w:basedOn w:val="DefaultParagraphFont"/>
    <w:uiPriority w:val="21"/>
    <w:qFormat/>
    <w:rsid w:val="000944DC"/>
    <w:rPr>
      <w:rFonts w:asciiTheme="minorHAnsi" w:hAnsiTheme="minorHAnsi" w:cs="Calibri"/>
      <w:b w:val="0"/>
      <w:i/>
      <w:iCs/>
      <w:color w:val="0F385A"/>
      <w:sz w:val="24"/>
    </w:rPr>
  </w:style>
  <w:style w:type="paragraph" w:styleId="BodyText">
    <w:name w:val="Body Text"/>
    <w:basedOn w:val="Normal"/>
    <w:link w:val="BodyTextChar"/>
    <w:uiPriority w:val="1"/>
    <w:qFormat/>
    <w:rsid w:val="00E5372A"/>
  </w:style>
  <w:style w:type="character" w:customStyle="1" w:styleId="BodyTextChar">
    <w:name w:val="Body Text Char"/>
    <w:basedOn w:val="DefaultParagraphFont"/>
    <w:link w:val="BodyText"/>
    <w:uiPriority w:val="1"/>
    <w:rsid w:val="00E5372A"/>
    <w:rPr>
      <w:rFonts w:ascii="Calibri" w:hAnsi="Calibri"/>
      <w:b w:val="0"/>
      <w:i w:val="0"/>
      <w:sz w:val="24"/>
    </w:rPr>
  </w:style>
  <w:style w:type="character" w:customStyle="1" w:styleId="Heading5Char">
    <w:name w:val="Heading 5 Char"/>
    <w:basedOn w:val="DefaultParagraphFont"/>
    <w:link w:val="Heading5"/>
    <w:uiPriority w:val="9"/>
    <w:rsid w:val="00642CDE"/>
    <w:rPr>
      <w:rFonts w:ascii="Calibri" w:eastAsiaTheme="majorEastAsia" w:hAnsi="Calibri"/>
      <w:b/>
      <w:bCs/>
      <w:i/>
      <w:iCs/>
      <w:sz w:val="24"/>
      <w:szCs w:val="22"/>
    </w:rPr>
  </w:style>
  <w:style w:type="character" w:customStyle="1" w:styleId="Heading6Char">
    <w:name w:val="Heading 6 Char"/>
    <w:basedOn w:val="DefaultParagraphFont"/>
    <w:link w:val="Heading6"/>
    <w:uiPriority w:val="9"/>
    <w:rsid w:val="003758AA"/>
    <w:rPr>
      <w:rFonts w:asciiTheme="majorHAnsi" w:eastAsiaTheme="majorEastAsia" w:hAnsiTheme="majorHAnsi" w:cstheme="majorBidi"/>
      <w:b w:val="0"/>
      <w:i w:val="0"/>
      <w:color w:val="1F3763" w:themeColor="accent1" w:themeShade="7F"/>
      <w:sz w:val="20"/>
      <w:szCs w:val="20"/>
      <w:lang w:val="en-GB"/>
    </w:rPr>
  </w:style>
  <w:style w:type="paragraph" w:styleId="Quote">
    <w:name w:val="Quote"/>
    <w:basedOn w:val="Highlight"/>
    <w:next w:val="Normal"/>
    <w:link w:val="QuoteChar"/>
    <w:uiPriority w:val="29"/>
    <w:qFormat/>
    <w:rsid w:val="000944DC"/>
    <w:pPr>
      <w:spacing w:line="216" w:lineRule="auto"/>
    </w:pPr>
    <w:rPr>
      <w:rFonts w:asciiTheme="minorHAnsi" w:hAnsiTheme="minorHAnsi" w:cstheme="minorHAnsi"/>
      <w:i/>
      <w:color w:val="0F385A"/>
      <w:sz w:val="32"/>
      <w:szCs w:val="32"/>
    </w:rPr>
  </w:style>
  <w:style w:type="character" w:customStyle="1" w:styleId="QuoteChar">
    <w:name w:val="Quote Char"/>
    <w:basedOn w:val="DefaultParagraphFont"/>
    <w:link w:val="Quote"/>
    <w:uiPriority w:val="29"/>
    <w:rsid w:val="000944DC"/>
    <w:rPr>
      <w:rFonts w:asciiTheme="minorHAnsi" w:hAnsiTheme="minorHAnsi" w:cstheme="minorHAnsi"/>
      <w:b w:val="0"/>
      <w:i/>
      <w:color w:val="0F385A"/>
      <w:sz w:val="32"/>
      <w:szCs w:val="32"/>
      <w:lang w:val="en-US"/>
    </w:rPr>
  </w:style>
  <w:style w:type="paragraph" w:customStyle="1" w:styleId="sectionheader-chapternumber">
    <w:name w:val="section header - chapter number"/>
    <w:basedOn w:val="Normal"/>
    <w:rsid w:val="003758AA"/>
    <w:rPr>
      <w:color w:val="FFFFFF" w:themeColor="background1"/>
    </w:rPr>
  </w:style>
  <w:style w:type="character" w:styleId="Hyperlink">
    <w:name w:val="Hyperlink"/>
    <w:basedOn w:val="DefaultParagraphFont"/>
    <w:uiPriority w:val="99"/>
    <w:unhideWhenUsed/>
    <w:rsid w:val="00D95F50"/>
    <w:rPr>
      <w:rFonts w:ascii="Calibri" w:hAnsi="Calibri"/>
      <w:b w:val="0"/>
      <w:i w:val="0"/>
      <w:color w:val="0563C1" w:themeColor="hyperlink"/>
      <w:sz w:val="24"/>
      <w:u w:val="single"/>
    </w:rPr>
  </w:style>
  <w:style w:type="paragraph" w:customStyle="1" w:styleId="ContentsPartheading">
    <w:name w:val="Contents Part heading"/>
    <w:basedOn w:val="Normal"/>
    <w:uiPriority w:val="99"/>
    <w:rsid w:val="00D95F50"/>
    <w:pPr>
      <w:pBdr>
        <w:bottom w:val="single" w:sz="8" w:space="8" w:color="0F385A"/>
      </w:pBdr>
      <w:tabs>
        <w:tab w:val="right" w:pos="7120"/>
      </w:tabs>
      <w:suppressAutoHyphens/>
      <w:autoSpaceDE w:val="0"/>
      <w:autoSpaceDN w:val="0"/>
      <w:adjustRightInd w:val="0"/>
      <w:spacing w:before="170" w:after="283" w:line="200" w:lineRule="atLeast"/>
      <w:textAlignment w:val="center"/>
    </w:pPr>
    <w:rPr>
      <w:rFonts w:ascii="Ebony" w:hAnsi="Ebony" w:cs="Ebony"/>
      <w:b/>
      <w:bCs/>
      <w:caps/>
      <w:color w:val="6AC07A"/>
      <w:lang w:val="en-US"/>
    </w:rPr>
  </w:style>
  <w:style w:type="paragraph" w:customStyle="1" w:styleId="Contentsbody">
    <w:name w:val="Contents body"/>
    <w:basedOn w:val="Normal"/>
    <w:uiPriority w:val="99"/>
    <w:rsid w:val="00D95F50"/>
    <w:pPr>
      <w:tabs>
        <w:tab w:val="decimal" w:leader="dot" w:pos="2740"/>
        <w:tab w:val="decimal" w:leader="dot" w:pos="4180"/>
        <w:tab w:val="right" w:pos="7160"/>
      </w:tabs>
      <w:suppressAutoHyphens/>
      <w:autoSpaceDE w:val="0"/>
      <w:autoSpaceDN w:val="0"/>
      <w:adjustRightInd w:val="0"/>
      <w:spacing w:before="0" w:after="28" w:line="280" w:lineRule="atLeast"/>
      <w:jc w:val="right"/>
      <w:textAlignment w:val="center"/>
    </w:pPr>
    <w:rPr>
      <w:rFonts w:ascii="Ebony Lt" w:hAnsi="Ebony Lt" w:cs="Ebony Lt"/>
      <w:color w:val="0F385A"/>
      <w:lang w:val="en-US"/>
    </w:rPr>
  </w:style>
  <w:style w:type="paragraph" w:customStyle="1" w:styleId="SIDEBAR-QUOTE">
    <w:name w:val="SIDEBAR - QUOTE"/>
    <w:basedOn w:val="Normal"/>
    <w:rsid w:val="00F541FD"/>
    <w:pPr>
      <w:widowControl w:val="0"/>
      <w:autoSpaceDE w:val="0"/>
      <w:autoSpaceDN w:val="0"/>
      <w:spacing w:before="215" w:after="0" w:line="204" w:lineRule="auto"/>
      <w:ind w:left="246" w:right="350" w:firstLine="13"/>
    </w:pPr>
    <w:rPr>
      <w:rFonts w:eastAsia="Calibri-Light" w:hAnsi="Calibri-Light" w:cs="Calibri-Light"/>
      <w:i/>
      <w:color w:val="89CB92"/>
      <w:sz w:val="26"/>
      <w:szCs w:val="22"/>
      <w:lang w:val="en-US"/>
    </w:rPr>
  </w:style>
  <w:style w:type="character" w:customStyle="1" w:styleId="Heading7Char">
    <w:name w:val="Heading 7 Char"/>
    <w:basedOn w:val="DefaultParagraphFont"/>
    <w:link w:val="Heading7"/>
    <w:uiPriority w:val="9"/>
    <w:rsid w:val="006944AE"/>
    <w:rPr>
      <w:rFonts w:asciiTheme="majorHAnsi" w:eastAsiaTheme="majorEastAsia" w:hAnsiTheme="majorHAnsi" w:cstheme="majorBidi"/>
      <w:b w:val="0"/>
      <w:i/>
      <w:iCs/>
      <w:color w:val="1F3763" w:themeColor="accent1" w:themeShade="7F"/>
      <w:sz w:val="20"/>
      <w:szCs w:val="20"/>
      <w:lang w:val="en-GB"/>
    </w:rPr>
  </w:style>
  <w:style w:type="paragraph" w:customStyle="1" w:styleId="TableParagraph">
    <w:name w:val="Table Paragraph"/>
    <w:basedOn w:val="Normal"/>
    <w:uiPriority w:val="1"/>
    <w:qFormat/>
    <w:rsid w:val="007D4EB9"/>
    <w:pPr>
      <w:widowControl w:val="0"/>
      <w:autoSpaceDE w:val="0"/>
      <w:autoSpaceDN w:val="0"/>
      <w:ind w:left="170"/>
    </w:pPr>
    <w:rPr>
      <w:szCs w:val="22"/>
    </w:rPr>
  </w:style>
  <w:style w:type="table" w:styleId="GridTable5Dark-Accent5">
    <w:name w:val="Grid Table 5 Dark Accent 5"/>
    <w:basedOn w:val="TableNormal"/>
    <w:uiPriority w:val="50"/>
    <w:rsid w:val="00642CDE"/>
    <w:pPr>
      <w:widowControl w:val="0"/>
      <w:autoSpaceDE w:val="0"/>
      <w:autoSpaceDN w:val="0"/>
    </w:pPr>
    <w:rPr>
      <w:rFonts w:cs="Arial (Body CS)"/>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4-Accent5">
    <w:name w:val="List Table 4 Accent 5"/>
    <w:basedOn w:val="TableNormal"/>
    <w:uiPriority w:val="49"/>
    <w:rsid w:val="00642CDE"/>
    <w:pPr>
      <w:widowControl w:val="0"/>
      <w:autoSpaceDE w:val="0"/>
      <w:autoSpaceDN w:val="0"/>
    </w:pPr>
    <w:rPr>
      <w:rFonts w:cs="Arial (Body CS)"/>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BODYCOPY">
    <w:name w:val="P BODY COPY"/>
    <w:basedOn w:val="Normal"/>
    <w:uiPriority w:val="99"/>
    <w:rsid w:val="006944AE"/>
    <w:pPr>
      <w:suppressAutoHyphens/>
      <w:autoSpaceDE w:val="0"/>
      <w:autoSpaceDN w:val="0"/>
      <w:adjustRightInd w:val="0"/>
      <w:spacing w:before="0" w:after="170" w:line="280" w:lineRule="atLeast"/>
      <w:textAlignment w:val="center"/>
    </w:pPr>
    <w:rPr>
      <w:rFonts w:ascii="Ebony Lt" w:hAnsi="Ebony Lt" w:cs="Ebony Lt"/>
      <w:color w:val="000000"/>
      <w:lang w:val="en-US"/>
    </w:rPr>
  </w:style>
  <w:style w:type="paragraph" w:customStyle="1" w:styleId="Bodybullets">
    <w:name w:val="Body bullets"/>
    <w:basedOn w:val="ListParagraph"/>
    <w:link w:val="BodybulletsChar"/>
    <w:uiPriority w:val="5"/>
    <w:qFormat/>
    <w:rsid w:val="00D31BF8"/>
    <w:pPr>
      <w:numPr>
        <w:numId w:val="10"/>
      </w:numPr>
    </w:pPr>
  </w:style>
  <w:style w:type="paragraph" w:styleId="BalloonText">
    <w:name w:val="Balloon Text"/>
    <w:basedOn w:val="Normal"/>
    <w:link w:val="BalloonTextChar"/>
    <w:uiPriority w:val="99"/>
    <w:semiHidden/>
    <w:unhideWhenUsed/>
    <w:rsid w:val="00687F0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7F09"/>
    <w:rPr>
      <w:rFonts w:ascii="Times New Roman" w:hAnsi="Times New Roman" w:cs="Times New Roman"/>
      <w:b w:val="0"/>
      <w:i w:val="0"/>
      <w:color w:val="000000" w:themeColor="text1"/>
      <w:sz w:val="18"/>
      <w:szCs w:val="18"/>
      <w:lang w:val="en-GB"/>
    </w:rPr>
  </w:style>
  <w:style w:type="paragraph" w:customStyle="1" w:styleId="Heading1nonumber">
    <w:name w:val="Heading 1 no number"/>
    <w:basedOn w:val="Heading1"/>
    <w:uiPriority w:val="1"/>
    <w:qFormat/>
    <w:rsid w:val="00061B4F"/>
    <w:pPr>
      <w:numPr>
        <w:numId w:val="0"/>
      </w:numPr>
    </w:pPr>
  </w:style>
  <w:style w:type="numbering" w:customStyle="1" w:styleId="CurrentList1">
    <w:name w:val="Current List1"/>
    <w:uiPriority w:val="99"/>
    <w:rsid w:val="00D06859"/>
    <w:pPr>
      <w:numPr>
        <w:numId w:val="3"/>
      </w:numPr>
    </w:pPr>
  </w:style>
  <w:style w:type="numbering" w:customStyle="1" w:styleId="CurrentList2">
    <w:name w:val="Current List2"/>
    <w:uiPriority w:val="99"/>
    <w:rsid w:val="00BF1A38"/>
    <w:pPr>
      <w:numPr>
        <w:numId w:val="4"/>
      </w:numPr>
    </w:pPr>
  </w:style>
  <w:style w:type="numbering" w:customStyle="1" w:styleId="CurrentList3">
    <w:name w:val="Current List3"/>
    <w:uiPriority w:val="99"/>
    <w:rsid w:val="00BF1A38"/>
    <w:pPr>
      <w:numPr>
        <w:numId w:val="5"/>
      </w:numPr>
    </w:pPr>
  </w:style>
  <w:style w:type="numbering" w:customStyle="1" w:styleId="CurrentList4">
    <w:name w:val="Current List4"/>
    <w:uiPriority w:val="99"/>
    <w:rsid w:val="00BF1A38"/>
    <w:pPr>
      <w:numPr>
        <w:numId w:val="6"/>
      </w:numPr>
    </w:pPr>
  </w:style>
  <w:style w:type="numbering" w:customStyle="1" w:styleId="CurrentList5">
    <w:name w:val="Current List5"/>
    <w:uiPriority w:val="99"/>
    <w:rsid w:val="00BF1A38"/>
    <w:pPr>
      <w:numPr>
        <w:numId w:val="7"/>
      </w:numPr>
    </w:pPr>
  </w:style>
  <w:style w:type="numbering" w:customStyle="1" w:styleId="CurrentList6">
    <w:name w:val="Current List6"/>
    <w:uiPriority w:val="99"/>
    <w:rsid w:val="00BF1A38"/>
    <w:pPr>
      <w:numPr>
        <w:numId w:val="8"/>
      </w:numPr>
    </w:pPr>
  </w:style>
  <w:style w:type="numbering" w:customStyle="1" w:styleId="CurrentList7">
    <w:name w:val="Current List7"/>
    <w:uiPriority w:val="99"/>
    <w:rsid w:val="00BF1A38"/>
    <w:pPr>
      <w:numPr>
        <w:numId w:val="9"/>
      </w:numPr>
    </w:pPr>
  </w:style>
  <w:style w:type="paragraph" w:customStyle="1" w:styleId="Heading2nonumber">
    <w:name w:val="Heading 2 no number"/>
    <w:basedOn w:val="BodyText"/>
    <w:next w:val="BodyText"/>
    <w:uiPriority w:val="2"/>
    <w:qFormat/>
    <w:rsid w:val="00642CDE"/>
    <w:pPr>
      <w:spacing w:before="160"/>
      <w:outlineLvl w:val="1"/>
    </w:pPr>
    <w:rPr>
      <w:rFonts w:asciiTheme="minorHAnsi" w:eastAsia="Calibri" w:hAnsiTheme="minorHAnsi" w:cstheme="minorHAnsi"/>
      <w:b/>
      <w:color w:val="00A195"/>
      <w:sz w:val="36"/>
      <w:szCs w:val="22"/>
    </w:rPr>
  </w:style>
  <w:style w:type="paragraph" w:customStyle="1" w:styleId="Tableheading">
    <w:name w:val="Table heading"/>
    <w:basedOn w:val="Heading4"/>
    <w:next w:val="TableParagraph"/>
    <w:qFormat/>
    <w:rsid w:val="0046377B"/>
    <w:pPr>
      <w:widowControl w:val="0"/>
      <w:autoSpaceDE w:val="0"/>
      <w:autoSpaceDN w:val="0"/>
      <w:spacing w:before="120"/>
      <w:ind w:left="134"/>
    </w:pPr>
    <w:rPr>
      <w:bCs/>
      <w:color w:val="FFFFFF" w:themeColor="background1"/>
      <w:szCs w:val="20"/>
      <w:lang w:val="en-US"/>
    </w:rPr>
  </w:style>
  <w:style w:type="character" w:customStyle="1" w:styleId="ListParagraphChar">
    <w:name w:val="List Paragraph Char"/>
    <w:aliases w:val="Rec para Char,List Paragraph1 Char,Recommendation Char,List Paragraph11 Char,List Paragraph - Bullet Point Char,Dot pt Char,F5 List Paragraph Char,No Spacing1 Char,List Paragraph Char Char Char Char,Indicator Text Char,Bullet 1 Char"/>
    <w:basedOn w:val="DefaultParagraphFont"/>
    <w:link w:val="ListParagraph"/>
    <w:uiPriority w:val="34"/>
    <w:qFormat/>
    <w:locked/>
    <w:rsid w:val="005401AF"/>
    <w:rPr>
      <w:rFonts w:ascii="Calibri" w:hAnsi="Calibri" w:cstheme="minorHAnsi"/>
      <w:b w:val="0"/>
      <w:i w:val="0"/>
      <w:color w:val="000000" w:themeColor="text1"/>
      <w:sz w:val="20"/>
      <w:szCs w:val="20"/>
      <w:lang w:val="en-GB"/>
    </w:rPr>
  </w:style>
  <w:style w:type="table" w:styleId="TableGrid">
    <w:name w:val="Table Grid"/>
    <w:basedOn w:val="TableNormal"/>
    <w:uiPriority w:val="39"/>
    <w:rsid w:val="0069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10B6"/>
    <w:rPr>
      <w:rFonts w:ascii="Calibri" w:hAnsi="Calibri"/>
      <w:b w:val="0"/>
      <w:i w:val="0"/>
      <w:sz w:val="16"/>
      <w:szCs w:val="16"/>
    </w:rPr>
  </w:style>
  <w:style w:type="paragraph" w:styleId="CommentText">
    <w:name w:val="annotation text"/>
    <w:basedOn w:val="Normal"/>
    <w:link w:val="CommentTextChar"/>
    <w:uiPriority w:val="99"/>
    <w:unhideWhenUsed/>
    <w:rsid w:val="00CE10B6"/>
    <w:pPr>
      <w:spacing w:before="0" w:after="160" w:line="240" w:lineRule="auto"/>
    </w:pPr>
    <w:rPr>
      <w:lang w:val="en-US"/>
    </w:rPr>
  </w:style>
  <w:style w:type="character" w:customStyle="1" w:styleId="CommentTextChar">
    <w:name w:val="Comment Text Char"/>
    <w:basedOn w:val="DefaultParagraphFont"/>
    <w:link w:val="CommentText"/>
    <w:uiPriority w:val="99"/>
    <w:rsid w:val="00CE10B6"/>
    <w:rPr>
      <w:rFonts w:ascii="Calibri" w:hAnsi="Calibri"/>
      <w:b w:val="0"/>
      <w:i w:val="0"/>
      <w:sz w:val="20"/>
      <w:szCs w:val="20"/>
      <w:lang w:val="en-US"/>
    </w:rPr>
  </w:style>
  <w:style w:type="character" w:styleId="Mention">
    <w:name w:val="Mention"/>
    <w:basedOn w:val="DefaultParagraphFont"/>
    <w:uiPriority w:val="99"/>
    <w:unhideWhenUsed/>
    <w:rsid w:val="00CE10B6"/>
    <w:rPr>
      <w:rFonts w:ascii="Calibri" w:hAnsi="Calibri"/>
      <w:b w:val="0"/>
      <w:i w:val="0"/>
      <w:color w:val="2B579A"/>
      <w:sz w:val="24"/>
      <w:shd w:val="clear" w:color="auto" w:fill="E1DFDD"/>
    </w:rPr>
  </w:style>
  <w:style w:type="character" w:customStyle="1" w:styleId="cf01">
    <w:name w:val="cf01"/>
    <w:basedOn w:val="DefaultParagraphFont"/>
    <w:uiPriority w:val="99"/>
    <w:rsid w:val="00CE10B6"/>
    <w:rPr>
      <w:rFonts w:ascii="Segoe UI" w:hAnsi="Segoe UI" w:cs="Segoe UI" w:hint="default"/>
      <w:b w:val="0"/>
      <w:i w:val="0"/>
      <w:sz w:val="18"/>
      <w:szCs w:val="18"/>
    </w:rPr>
  </w:style>
  <w:style w:type="paragraph" w:customStyle="1" w:styleId="CCCFigurehead">
    <w:name w:val="CCC_Figurehead"/>
    <w:basedOn w:val="Caption"/>
    <w:link w:val="CCCFigureheadChar"/>
    <w:rsid w:val="0096706E"/>
    <w:pPr>
      <w:spacing w:after="120" w:line="276" w:lineRule="auto"/>
      <w:ind w:right="556"/>
    </w:pPr>
    <w:rPr>
      <w:i w:val="0"/>
      <w:iCs w:val="0"/>
      <w:color w:val="1F3864"/>
      <w:sz w:val="20"/>
    </w:rPr>
  </w:style>
  <w:style w:type="paragraph" w:styleId="Caption">
    <w:name w:val="caption"/>
    <w:basedOn w:val="Normal"/>
    <w:next w:val="Normal"/>
    <w:link w:val="CaptionChar"/>
    <w:uiPriority w:val="35"/>
    <w:unhideWhenUsed/>
    <w:qFormat/>
    <w:rsid w:val="0096706E"/>
    <w:pPr>
      <w:spacing w:before="0" w:after="200" w:line="240" w:lineRule="auto"/>
    </w:pPr>
    <w:rPr>
      <w:i/>
      <w:iCs/>
      <w:color w:val="44546A" w:themeColor="text2"/>
      <w:sz w:val="18"/>
      <w:szCs w:val="18"/>
    </w:rPr>
  </w:style>
  <w:style w:type="paragraph" w:customStyle="1" w:styleId="FigureTabletitle">
    <w:name w:val="Figure/Table title"/>
    <w:basedOn w:val="CCCFigurehead"/>
    <w:link w:val="FigureTabletitleChar"/>
    <w:qFormat/>
    <w:rsid w:val="0003473A"/>
    <w:pPr>
      <w:keepNext/>
      <w:spacing w:before="240"/>
    </w:pPr>
    <w:rPr>
      <w:rFonts w:asciiTheme="minorHAnsi" w:hAnsiTheme="minorHAnsi"/>
      <w:b/>
      <w:bCs/>
      <w:i/>
      <w:color w:val="0F385A"/>
      <w:sz w:val="24"/>
      <w:szCs w:val="24"/>
    </w:rPr>
  </w:style>
  <w:style w:type="character" w:customStyle="1" w:styleId="CaptionChar">
    <w:name w:val="Caption Char"/>
    <w:basedOn w:val="DefaultParagraphFont"/>
    <w:link w:val="Caption"/>
    <w:uiPriority w:val="35"/>
    <w:rsid w:val="00FE422C"/>
    <w:rPr>
      <w:rFonts w:ascii="Calibri" w:hAnsi="Calibri" w:cstheme="minorHAnsi"/>
      <w:b w:val="0"/>
      <w:i/>
      <w:iCs/>
      <w:color w:val="44546A" w:themeColor="text2"/>
      <w:sz w:val="18"/>
      <w:szCs w:val="18"/>
      <w:lang w:val="en-GB"/>
    </w:rPr>
  </w:style>
  <w:style w:type="character" w:customStyle="1" w:styleId="CCCFigureheadChar">
    <w:name w:val="CCC_Figurehead Char"/>
    <w:basedOn w:val="CaptionChar"/>
    <w:link w:val="CCCFigurehead"/>
    <w:rsid w:val="00FE422C"/>
    <w:rPr>
      <w:rFonts w:ascii="Calibri" w:hAnsi="Calibri" w:cstheme="minorHAnsi"/>
      <w:b w:val="0"/>
      <w:i w:val="0"/>
      <w:iCs w:val="0"/>
      <w:color w:val="1F3864"/>
      <w:sz w:val="20"/>
      <w:szCs w:val="18"/>
      <w:lang w:val="en-GB"/>
    </w:rPr>
  </w:style>
  <w:style w:type="character" w:customStyle="1" w:styleId="FigureTabletitleChar">
    <w:name w:val="Figure/Table title Char"/>
    <w:basedOn w:val="CCCFigureheadChar"/>
    <w:link w:val="FigureTabletitle"/>
    <w:rsid w:val="005F55A7"/>
    <w:rPr>
      <w:rFonts w:asciiTheme="minorHAnsi" w:hAnsiTheme="minorHAnsi" w:cstheme="minorHAnsi"/>
      <w:b/>
      <w:bCs/>
      <w:i/>
      <w:iCs w:val="0"/>
      <w:color w:val="0F385A"/>
      <w:sz w:val="20"/>
      <w:szCs w:val="18"/>
      <w:lang w:val="en-GB"/>
    </w:rPr>
  </w:style>
  <w:style w:type="paragraph" w:customStyle="1" w:styleId="Numberlist">
    <w:name w:val="Number list"/>
    <w:basedOn w:val="Bodybullets"/>
    <w:link w:val="NumberlistChar"/>
    <w:qFormat/>
    <w:rsid w:val="00F91434"/>
    <w:pPr>
      <w:numPr>
        <w:numId w:val="11"/>
      </w:numPr>
      <w:spacing w:before="60" w:after="60"/>
      <w:contextualSpacing w:val="0"/>
    </w:pPr>
  </w:style>
  <w:style w:type="character" w:customStyle="1" w:styleId="NumberlistChar">
    <w:name w:val="Number list Char"/>
    <w:basedOn w:val="DefaultParagraphFont"/>
    <w:link w:val="Numberlist"/>
    <w:rsid w:val="00F91434"/>
  </w:style>
  <w:style w:type="paragraph" w:customStyle="1" w:styleId="Sourceline">
    <w:name w:val="Source line"/>
    <w:basedOn w:val="BodyText"/>
    <w:next w:val="BodyText"/>
    <w:link w:val="SourcelineChar"/>
    <w:qFormat/>
    <w:rsid w:val="00685F77"/>
    <w:rPr>
      <w:color w:val="000000" w:themeColor="text1"/>
      <w:sz w:val="20"/>
      <w:szCs w:val="28"/>
    </w:rPr>
  </w:style>
  <w:style w:type="character" w:customStyle="1" w:styleId="SourcelineChar">
    <w:name w:val="Source line Char"/>
    <w:basedOn w:val="BodyTextChar"/>
    <w:link w:val="Sourceline"/>
    <w:rsid w:val="00685F77"/>
    <w:rPr>
      <w:rFonts w:ascii="Calibri-Light" w:eastAsia="Calibri-Light" w:hAnsi="Calibri-Light" w:cs="Calibri-Light"/>
      <w:b w:val="0"/>
      <w:i w:val="0"/>
      <w:color w:val="000000" w:themeColor="text1"/>
      <w:sz w:val="20"/>
      <w:szCs w:val="28"/>
      <w:lang w:val="en-US"/>
    </w:rPr>
  </w:style>
  <w:style w:type="paragraph" w:customStyle="1" w:styleId="Letterlistabc">
    <w:name w:val="Letter list (abc)"/>
    <w:basedOn w:val="Numberlist"/>
    <w:link w:val="LetterlistabcChar"/>
    <w:qFormat/>
    <w:rsid w:val="00FA7520"/>
    <w:pPr>
      <w:numPr>
        <w:numId w:val="0"/>
      </w:numPr>
    </w:pPr>
    <w:rPr>
      <w:w w:val="105"/>
    </w:rPr>
  </w:style>
  <w:style w:type="character" w:customStyle="1" w:styleId="LetterlistabcChar">
    <w:name w:val="Letter list (abc) Char"/>
    <w:basedOn w:val="NumberlistChar"/>
    <w:link w:val="Letterlistabc"/>
    <w:rsid w:val="00FA7520"/>
    <w:rPr>
      <w:rFonts w:ascii="Calibri" w:hAnsi="Calibri"/>
      <w:b w:val="0"/>
      <w:i w:val="0"/>
      <w:w w:val="105"/>
      <w:sz w:val="24"/>
    </w:rPr>
  </w:style>
  <w:style w:type="paragraph" w:customStyle="1" w:styleId="Bodybullet-sub-list">
    <w:name w:val="Body bullet - sub-list"/>
    <w:basedOn w:val="Bodybullets"/>
    <w:link w:val="Bodybullet-sub-listChar"/>
    <w:uiPriority w:val="6"/>
    <w:qFormat/>
    <w:rsid w:val="00ED45FD"/>
    <w:pPr>
      <w:numPr>
        <w:numId w:val="12"/>
      </w:numPr>
      <w:spacing w:before="60" w:after="60"/>
      <w:ind w:left="1077" w:hanging="357"/>
      <w:contextualSpacing w:val="0"/>
    </w:pPr>
  </w:style>
  <w:style w:type="character" w:customStyle="1" w:styleId="BodybulletsChar">
    <w:name w:val="Body bullets Char"/>
    <w:basedOn w:val="ListParagraphChar"/>
    <w:link w:val="Bodybullets"/>
    <w:uiPriority w:val="5"/>
    <w:rsid w:val="005F55A7"/>
    <w:rPr>
      <w:rFonts w:ascii="Calibri" w:hAnsi="Calibri" w:cstheme="minorHAnsi"/>
      <w:b w:val="0"/>
      <w:i w:val="0"/>
      <w:color w:val="000000" w:themeColor="text1"/>
      <w:sz w:val="20"/>
      <w:szCs w:val="20"/>
      <w:lang w:val="en-GB"/>
    </w:rPr>
  </w:style>
  <w:style w:type="character" w:customStyle="1" w:styleId="Bodybullet-sub-listChar">
    <w:name w:val="Body bullet - sub-list Char"/>
    <w:basedOn w:val="BodybulletsChar"/>
    <w:link w:val="Bodybullet-sub-list"/>
    <w:uiPriority w:val="6"/>
    <w:rsid w:val="005F55A7"/>
    <w:rPr>
      <w:rFonts w:ascii="Calibri" w:hAnsi="Calibri" w:cstheme="minorHAnsi"/>
      <w:b w:val="0"/>
      <w:i w:val="0"/>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1363C9"/>
    <w:pPr>
      <w:spacing w:before="120" w:after="120"/>
    </w:pPr>
    <w:rPr>
      <w:b/>
      <w:bCs/>
      <w:sz w:val="20"/>
      <w:szCs w:val="20"/>
      <w:lang w:val="en-NZ"/>
    </w:rPr>
  </w:style>
  <w:style w:type="character" w:customStyle="1" w:styleId="CommentSubjectChar">
    <w:name w:val="Comment Subject Char"/>
    <w:basedOn w:val="CommentTextChar"/>
    <w:link w:val="CommentSubject"/>
    <w:uiPriority w:val="99"/>
    <w:semiHidden/>
    <w:rsid w:val="001363C9"/>
    <w:rPr>
      <w:rFonts w:ascii="Calibri" w:hAnsi="Calibri"/>
      <w:b/>
      <w:bCs/>
      <w:i w:val="0"/>
      <w:sz w:val="20"/>
      <w:szCs w:val="20"/>
      <w:lang w:val="en-US"/>
    </w:rPr>
  </w:style>
  <w:style w:type="paragraph" w:styleId="Revision">
    <w:name w:val="Revision"/>
    <w:hidden/>
    <w:uiPriority w:val="99"/>
    <w:semiHidden/>
    <w:rsid w:val="006B4447"/>
  </w:style>
  <w:style w:type="paragraph" w:customStyle="1" w:styleId="Boxtext">
    <w:name w:val="Box text"/>
    <w:basedOn w:val="BodyText"/>
    <w:qFormat/>
    <w:rsid w:val="00BE3D0B"/>
  </w:style>
  <w:style w:type="paragraph" w:styleId="NormalWeb">
    <w:name w:val="Normal (Web)"/>
    <w:basedOn w:val="Normal"/>
    <w:uiPriority w:val="99"/>
    <w:semiHidden/>
    <w:unhideWhenUsed/>
    <w:rsid w:val="00472CF1"/>
    <w:rPr>
      <w:rFonts w:ascii="Times New Roman" w:hAnsi="Times New Roman" w:cs="Times New Roman"/>
    </w:rPr>
  </w:style>
  <w:style w:type="paragraph" w:customStyle="1" w:styleId="Boxbullet">
    <w:name w:val="Box bullet"/>
    <w:basedOn w:val="Bodybullets"/>
    <w:qFormat/>
    <w:rsid w:val="00BF00E7"/>
    <w:pPr>
      <w:spacing w:before="0" w:after="0"/>
      <w:ind w:left="714" w:hanging="357"/>
    </w:pPr>
  </w:style>
  <w:style w:type="table" w:customStyle="1" w:styleId="BoxDesign">
    <w:name w:val="Box Design"/>
    <w:basedOn w:val="TableNormal"/>
    <w:uiPriority w:val="99"/>
    <w:rsid w:val="00012801"/>
    <w:rPr>
      <w:rFonts w:cs="Arial (Body CS)"/>
      <w:color w:val="000000" w:themeColor="text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cPr>
      <w:shd w:val="clear" w:color="auto" w:fill="DEEBF7"/>
    </w:tcPr>
    <w:tblStylePr w:type="firstRow">
      <w:rPr>
        <w:rFonts w:ascii="Calibri" w:hAnsi="Calibri"/>
        <w:b/>
        <w:i w:val="0"/>
        <w:color w:val="FFFFFF" w:themeColor="background1"/>
        <w:sz w:val="24"/>
      </w:rPr>
      <w:tblPr>
        <w:tblCellMar>
          <w:top w:w="0" w:type="dxa"/>
          <w:left w:w="113" w:type="dxa"/>
          <w:bottom w:w="0" w:type="dxa"/>
          <w:right w:w="113" w:type="dxa"/>
        </w:tblCellMar>
      </w:tblPr>
      <w:tcPr>
        <w:shd w:val="clear" w:color="auto" w:fill="1F3764"/>
      </w:tcPr>
    </w:tblStylePr>
    <w:tblStylePr w:type="firstCol">
      <w:rPr>
        <w:rFonts w:ascii="Calibri" w:hAnsi="Calibri"/>
        <w:b w:val="0"/>
        <w:i w:val="0"/>
        <w:sz w:val="24"/>
      </w:rPr>
    </w:tblStylePr>
    <w:tblStylePr w:type="band1Horz">
      <w:rPr>
        <w:rFonts w:ascii="Calibri" w:hAnsi="Calibri"/>
        <w:b w:val="0"/>
        <w:i w:val="0"/>
        <w:sz w:val="24"/>
      </w:rPr>
    </w:tblStylePr>
    <w:tblStylePr w:type="band2Horz">
      <w:rPr>
        <w:rFonts w:ascii="Calibri" w:hAnsi="Calibri"/>
        <w:b w:val="0"/>
        <w:i w:val="0"/>
        <w:sz w:val="24"/>
      </w:rPr>
    </w:tblStylePr>
    <w:tblStylePr w:type="nwCell">
      <w:rPr>
        <w:rFonts w:ascii="Calibri" w:hAnsi="Calibri"/>
        <w:b/>
        <w:i w:val="0"/>
        <w:color w:val="FFFFFF" w:themeColor="background1"/>
        <w:sz w:val="24"/>
      </w:rPr>
    </w:tblStylePr>
  </w:style>
  <w:style w:type="table" w:styleId="PlainTable3">
    <w:name w:val="Plain Table 3"/>
    <w:basedOn w:val="TableNormal"/>
    <w:uiPriority w:val="43"/>
    <w:rsid w:val="000128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styleCCC">
    <w:name w:val="Table style CCC"/>
    <w:basedOn w:val="TableNormal"/>
    <w:uiPriority w:val="99"/>
    <w:rsid w:val="00012801"/>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6F2"/>
    </w:tcPr>
    <w:tblStylePr w:type="firstRow">
      <w:rPr>
        <w:rFonts w:ascii="Calibri" w:hAnsi="Calibri"/>
        <w:b/>
        <w:i w:val="0"/>
        <w:color w:val="FFFFFF" w:themeColor="background1"/>
        <w:sz w:val="24"/>
      </w:rPr>
      <w:tblPr/>
      <w:tcPr>
        <w:tcBorders>
          <w:insideH w:val="nil"/>
          <w:insideV w:val="nil"/>
        </w:tcBorders>
        <w:shd w:val="clear" w:color="auto" w:fill="0F375A"/>
      </w:tcPr>
    </w:tblStylePr>
    <w:tblStylePr w:type="lastRow">
      <w:tblPr/>
      <w:tcPr>
        <w:tcBorders>
          <w:top w:val="nil"/>
          <w:left w:val="nil"/>
          <w:bottom w:val="nil"/>
          <w:right w:val="nil"/>
          <w:insideH w:val="nil"/>
          <w:insideV w:val="nil"/>
        </w:tcBorders>
        <w:shd w:val="clear" w:color="auto" w:fill="E9F6F2"/>
      </w:tcPr>
    </w:tblStylePr>
    <w:tblStylePr w:type="firstCol">
      <w:rPr>
        <w:rFonts w:ascii="Calibri" w:hAnsi="Calibri"/>
        <w:b/>
        <w:i w:val="0"/>
        <w:color w:val="000000" w:themeColor="text1"/>
        <w:sz w:val="24"/>
      </w:rPr>
      <w:tblPr/>
      <w:tcPr>
        <w:shd w:val="clear" w:color="auto" w:fill="C1DCD5"/>
      </w:tcPr>
    </w:tblStylePr>
    <w:tblStylePr w:type="band1Horz">
      <w:pPr>
        <w:wordWrap/>
        <w:spacing w:line="240" w:lineRule="auto"/>
      </w:pPr>
      <w:rPr>
        <w:rFonts w:ascii="Calibri" w:hAnsi="Calibri"/>
        <w:sz w:val="24"/>
      </w:rPr>
      <w:tblPr/>
      <w:tcPr>
        <w:shd w:val="clear" w:color="auto" w:fill="D5E8DF"/>
      </w:tcPr>
    </w:tblStylePr>
    <w:tblStylePr w:type="band2Horz">
      <w:tblPr/>
      <w:tcPr>
        <w:shd w:val="clear" w:color="auto" w:fill="E9F6F2"/>
      </w:tcPr>
    </w:tblStylePr>
    <w:tblStylePr w:type="nwCell">
      <w:rPr>
        <w:rFonts w:ascii="Calibri" w:hAnsi="Calibri"/>
        <w:b/>
        <w:i w:val="0"/>
        <w:color w:val="FFFFFF" w:themeColor="background1"/>
        <w:sz w:val="24"/>
      </w:rPr>
    </w:tblStylePr>
  </w:style>
  <w:style w:type="paragraph" w:styleId="FootnoteText">
    <w:name w:val="footnote text"/>
    <w:basedOn w:val="Normal"/>
    <w:link w:val="FootnoteTextChar"/>
    <w:uiPriority w:val="99"/>
    <w:unhideWhenUsed/>
    <w:qFormat/>
    <w:rsid w:val="00F41BAA"/>
    <w:pPr>
      <w:spacing w:before="0" w:after="0" w:line="240" w:lineRule="auto"/>
    </w:pPr>
    <w:rPr>
      <w:sz w:val="20"/>
      <w:szCs w:val="20"/>
    </w:rPr>
  </w:style>
  <w:style w:type="character" w:customStyle="1" w:styleId="FootnoteTextChar">
    <w:name w:val="Footnote Text Char"/>
    <w:basedOn w:val="DefaultParagraphFont"/>
    <w:link w:val="FootnoteText"/>
    <w:uiPriority w:val="99"/>
    <w:rsid w:val="00F41BAA"/>
    <w:rPr>
      <w:sz w:val="20"/>
      <w:szCs w:val="20"/>
    </w:rPr>
  </w:style>
  <w:style w:type="character" w:styleId="FootnoteReference">
    <w:name w:val="footnote reference"/>
    <w:basedOn w:val="DefaultParagraphFont"/>
    <w:uiPriority w:val="99"/>
    <w:unhideWhenUsed/>
    <w:qFormat/>
    <w:rsid w:val="00F41BAA"/>
    <w:rPr>
      <w:vertAlign w:val="superscript"/>
    </w:rPr>
  </w:style>
  <w:style w:type="paragraph" w:customStyle="1" w:styleId="EndNoteBibliographyTitle">
    <w:name w:val="EndNote Bibliography Title"/>
    <w:basedOn w:val="Normal"/>
    <w:link w:val="EndNoteBibliographyTitleChar"/>
    <w:rsid w:val="002360D8"/>
    <w:pPr>
      <w:spacing w:after="0"/>
      <w:jc w:val="center"/>
    </w:pPr>
    <w:rPr>
      <w:rFonts w:cs="Calibri"/>
      <w:noProof/>
      <w:lang w:val="en-US"/>
    </w:rPr>
  </w:style>
  <w:style w:type="character" w:customStyle="1" w:styleId="EndNoteBibliographyTitleChar">
    <w:name w:val="EndNote Bibliography Title Char"/>
    <w:basedOn w:val="BodyTextChar"/>
    <w:link w:val="EndNoteBibliographyTitle"/>
    <w:rsid w:val="002360D8"/>
    <w:rPr>
      <w:rFonts w:ascii="Calibri" w:hAnsi="Calibri" w:cs="Calibri"/>
      <w:b w:val="0"/>
      <w:i w:val="0"/>
      <w:noProof/>
      <w:sz w:val="24"/>
      <w:lang w:val="en-US"/>
    </w:rPr>
  </w:style>
  <w:style w:type="paragraph" w:customStyle="1" w:styleId="EndNoteBibliography">
    <w:name w:val="EndNote Bibliography"/>
    <w:basedOn w:val="Normal"/>
    <w:link w:val="EndNoteBibliographyChar"/>
    <w:rsid w:val="002360D8"/>
    <w:pPr>
      <w:spacing w:line="240" w:lineRule="auto"/>
    </w:pPr>
    <w:rPr>
      <w:rFonts w:cs="Calibri"/>
      <w:noProof/>
      <w:lang w:val="en-US"/>
    </w:rPr>
  </w:style>
  <w:style w:type="character" w:customStyle="1" w:styleId="EndNoteBibliographyChar">
    <w:name w:val="EndNote Bibliography Char"/>
    <w:basedOn w:val="BodyTextChar"/>
    <w:link w:val="EndNoteBibliography"/>
    <w:rsid w:val="002360D8"/>
    <w:rPr>
      <w:rFonts w:ascii="Calibri" w:hAnsi="Calibri" w:cs="Calibri"/>
      <w:b w:val="0"/>
      <w:i w:val="0"/>
      <w:noProof/>
      <w:sz w:val="24"/>
      <w:lang w:val="en-US"/>
    </w:rPr>
  </w:style>
  <w:style w:type="character" w:styleId="UnresolvedMention">
    <w:name w:val="Unresolved Mention"/>
    <w:basedOn w:val="DefaultParagraphFont"/>
    <w:uiPriority w:val="99"/>
    <w:semiHidden/>
    <w:unhideWhenUsed/>
    <w:rsid w:val="002360D8"/>
    <w:rPr>
      <w:color w:val="605E5C"/>
      <w:shd w:val="clear" w:color="auto" w:fill="E1DFDD"/>
    </w:rPr>
  </w:style>
  <w:style w:type="character" w:customStyle="1" w:styleId="Heading8Char">
    <w:name w:val="Heading 8 Char"/>
    <w:basedOn w:val="DefaultParagraphFont"/>
    <w:link w:val="Heading8"/>
    <w:uiPriority w:val="9"/>
    <w:semiHidden/>
    <w:rsid w:val="00F007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077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00771"/>
    <w:pPr>
      <w:numPr>
        <w:numId w:val="0"/>
      </w:numPr>
      <w:spacing w:before="240" w:after="0" w:line="259" w:lineRule="auto"/>
      <w:outlineLvl w:val="9"/>
    </w:pPr>
    <w:rPr>
      <w:rFonts w:asciiTheme="majorHAnsi" w:hAnsiTheme="majorHAnsi" w:cstheme="majorBidi"/>
      <w:b w:val="0"/>
      <w:color w:val="2F5496" w:themeColor="accent1" w:themeShade="BF"/>
      <w:sz w:val="32"/>
      <w:szCs w:val="32"/>
      <w:lang w:eastAsia="en-NZ"/>
    </w:rPr>
  </w:style>
  <w:style w:type="table" w:customStyle="1" w:styleId="TableGrid1">
    <w:name w:val="Table Grid1"/>
    <w:basedOn w:val="TableNormal"/>
    <w:next w:val="TableGrid"/>
    <w:uiPriority w:val="39"/>
    <w:rsid w:val="00F00771"/>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F00771"/>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00771"/>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F00771"/>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F00771"/>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F00771"/>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F00771"/>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F00771"/>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11">
    <w:name w:val="Grid Table 5 Dark - Accent 11"/>
    <w:basedOn w:val="TableNormal"/>
    <w:next w:val="GridTable5Dark-Accent1"/>
    <w:uiPriority w:val="50"/>
    <w:rsid w:val="00F00771"/>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BD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A5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A5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A5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A5D"/>
      </w:tcPr>
    </w:tblStylePr>
    <w:tblStylePr w:type="band1Vert">
      <w:tblPr/>
      <w:tcPr>
        <w:shd w:val="clear" w:color="auto" w:fill="58C0FF"/>
      </w:tcPr>
    </w:tblStylePr>
    <w:tblStylePr w:type="band1Horz">
      <w:tblPr/>
      <w:tcPr>
        <w:shd w:val="clear" w:color="auto" w:fill="58C0FF"/>
      </w:tcPr>
    </w:tblStylePr>
  </w:style>
  <w:style w:type="table" w:styleId="GridTable5Dark-Accent1">
    <w:name w:val="Grid Table 5 Dark Accent 1"/>
    <w:basedOn w:val="TableNormal"/>
    <w:uiPriority w:val="50"/>
    <w:rsid w:val="00F007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
    <w:name w:val="Grid Table 5 Dark - Accent 51"/>
    <w:basedOn w:val="TableNormal"/>
    <w:next w:val="GridTable5Dark-Accent5"/>
    <w:uiPriority w:val="50"/>
    <w:rsid w:val="00F00771"/>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GridTable5Dark-Accent12">
    <w:name w:val="Grid Table 5 Dark - Accent 12"/>
    <w:basedOn w:val="TableNormal"/>
    <w:next w:val="GridTable5Dark-Accent1"/>
    <w:uiPriority w:val="50"/>
    <w:rsid w:val="00F00771"/>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BD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A5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A5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A5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A5D"/>
      </w:tcPr>
    </w:tblStylePr>
    <w:tblStylePr w:type="band1Vert">
      <w:tblPr/>
      <w:tcPr>
        <w:shd w:val="clear" w:color="auto" w:fill="58C0FF"/>
      </w:tcPr>
    </w:tblStylePr>
    <w:tblStylePr w:type="band1Horz">
      <w:tblPr/>
      <w:tcPr>
        <w:shd w:val="clear" w:color="auto" w:fill="58C0FF"/>
      </w:tcPr>
    </w:tblStylePr>
  </w:style>
  <w:style w:type="paragraph" w:styleId="TOC1">
    <w:name w:val="toc 1"/>
    <w:basedOn w:val="Normal"/>
    <w:next w:val="Normal"/>
    <w:autoRedefine/>
    <w:uiPriority w:val="39"/>
    <w:unhideWhenUsed/>
    <w:rsid w:val="00F00771"/>
    <w:pPr>
      <w:spacing w:after="100"/>
    </w:pPr>
    <w:rPr>
      <w:b/>
    </w:rPr>
  </w:style>
  <w:style w:type="paragraph" w:styleId="TOC2">
    <w:name w:val="toc 2"/>
    <w:basedOn w:val="Normal"/>
    <w:next w:val="Normal"/>
    <w:autoRedefine/>
    <w:uiPriority w:val="39"/>
    <w:unhideWhenUsed/>
    <w:rsid w:val="00F00771"/>
    <w:pPr>
      <w:spacing w:after="100"/>
      <w:ind w:left="240"/>
    </w:pPr>
  </w:style>
  <w:style w:type="paragraph" w:styleId="TOC3">
    <w:name w:val="toc 3"/>
    <w:basedOn w:val="Normal"/>
    <w:next w:val="Normal"/>
    <w:autoRedefine/>
    <w:uiPriority w:val="39"/>
    <w:unhideWhenUsed/>
    <w:rsid w:val="00F00771"/>
    <w:pPr>
      <w:spacing w:after="100"/>
      <w:ind w:left="5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11733">
      <w:bodyDiv w:val="1"/>
      <w:marLeft w:val="0"/>
      <w:marRight w:val="0"/>
      <w:marTop w:val="0"/>
      <w:marBottom w:val="0"/>
      <w:divBdr>
        <w:top w:val="none" w:sz="0" w:space="0" w:color="auto"/>
        <w:left w:val="none" w:sz="0" w:space="0" w:color="auto"/>
        <w:bottom w:val="none" w:sz="0" w:space="0" w:color="auto"/>
        <w:right w:val="none" w:sz="0" w:space="0" w:color="auto"/>
      </w:divBdr>
    </w:div>
    <w:div w:id="18014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environment.govt.nz/what-government-is-doing/areas-of-work/climate-change/emissions-reductions/emissions-reduction-targets/new-zealands-projected-greenhouse-gas-emissions-to-2050/" TargetMode="External"/><Relationship Id="rId3" Type="http://schemas.openxmlformats.org/officeDocument/2006/relationships/customXml" Target="../customXml/item3.xml"/><Relationship Id="rId21" Type="http://schemas.openxmlformats.org/officeDocument/2006/relationships/hyperlink" Target="https://environment.govt.nz/assets/publications/Files/marginal-abatement-cost-curves-analysis-2020.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eca.govt.nz/insights/eeca-insights/reta-south-islan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limatecommission.govt.nz/assets/ETS-advice-July-22/PDFs/NZ-ETS-settings-2023-2027-final-report-web-27-July-20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CC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CC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CC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6D186D65F6D9D40B801459892252FC9" ma:contentTypeVersion="44" ma:contentTypeDescription="Create a new document." ma:contentTypeScope="" ma:versionID="ff4adf4cdb04505329f4520580f7db58">
  <xsd:schema xmlns:xsd="http://www.w3.org/2001/XMLSchema" xmlns:xs="http://www.w3.org/2001/XMLSchema" xmlns:p="http://schemas.microsoft.com/office/2006/metadata/properties" xmlns:ns1="http://schemas.microsoft.com/sharepoint/v3" xmlns:ns2="0840200d-5ad4-4088-9410-7099857a429a" xmlns:ns3="1cac9bea-d09c-48b0-9841-7eb5347add9c" xmlns:ns4="495babcf-a1be-481b-af25-dc592bf771d3" targetNamespace="http://schemas.microsoft.com/office/2006/metadata/properties" ma:root="true" ma:fieldsID="1e71a436654391cbed7ae3361f92c5f9" ns1:_="" ns2:_="" ns3:_="" ns4:_="">
    <xsd:import namespace="http://schemas.microsoft.com/sharepoint/v3"/>
    <xsd:import namespace="0840200d-5ad4-4088-9410-7099857a429a"/>
    <xsd:import namespace="1cac9bea-d09c-48b0-9841-7eb5347add9c"/>
    <xsd:import namespace="495babcf-a1be-481b-af25-dc592bf771d3"/>
    <xsd:element name="properties">
      <xsd:complexType>
        <xsd:sequence>
          <xsd:element name="documentManagement">
            <xsd:complexType>
              <xsd:all>
                <xsd:element ref="ns1:_ExtendedDescription" minOccurs="0"/>
                <xsd:element ref="ns2:FunctionGroup" minOccurs="0"/>
                <xsd:element ref="ns2:Function" minOccurs="0"/>
                <xsd:element ref="ns2:Activity" minOccurs="0"/>
                <xsd:element ref="ns2:Subactivity" minOccurs="0"/>
                <xsd:element ref="ns2:Case" minOccurs="0"/>
                <xsd:element ref="ns2:Category1" minOccurs="0"/>
                <xsd:element ref="ns2:Category2" minOccurs="0"/>
                <xsd:element ref="ns2:Team" minOccurs="0"/>
                <xsd:element ref="ns2:Channel" minOccurs="0"/>
                <xsd:element ref="ns2:Year" minOccurs="0"/>
                <xsd:element ref="ns2:Level2" minOccurs="0"/>
                <xsd:element ref="ns2:Level3" minOccurs="0"/>
                <xsd:element ref="ns2:PRAType" minOccurs="0"/>
                <xsd:element ref="ns2:AggregationStatus" minOccurs="0"/>
                <xsd:element ref="ns2:SetLabel" minOccurs="0"/>
                <xsd:element ref="ns2:DocumentType" minOccurs="0"/>
                <xsd:element ref="ns2:ILFrom" minOccurs="0"/>
                <xsd:element ref="ns2:HarmonieUIHidden" minOccurs="0"/>
                <xsd:element ref="ns2:Narrative" minOccurs="0"/>
                <xsd:element ref="ns2:OriginalSubject" minOccurs="0"/>
                <xsd:element ref="ns2:PRADateDisposal" minOccurs="0"/>
                <xsd:element ref="ns2:PRADateTrigger" minOccurs="0"/>
                <xsd:element ref="ns2:PRAText1" minOccurs="0"/>
                <xsd:element ref="ns2:PRAText2" minOccurs="0"/>
                <xsd:element ref="ns2:PRAText4" minOccurs="0"/>
                <xsd:element ref="ns2:PRAText5" minOccurs="0"/>
                <xsd:element ref="ns2:Project" minOccurs="0"/>
                <xsd:element ref="ns2:Received" minOccurs="0"/>
                <xsd:element ref="ns2:RelatedPeople" minOccurs="0"/>
                <xsd:element ref="ns2:SecurityClassification" minOccurs="0"/>
                <xsd:element ref="ns2:Sent" minOccurs="0"/>
                <xsd:element ref="ns2:To" minOccurs="0"/>
                <xsd:element ref="ns2:zLegacyDocID" minOccurs="0"/>
                <xsd:element ref="ns2:zLegacy" minOccurs="0"/>
                <xsd:element ref="ns2:zLegacyJSON" minOccurs="0"/>
                <xsd:element ref="ns2:CC" minOccurs="0"/>
                <xsd:element ref="ns2:MailPreviewData" minOccurs="0"/>
                <xsd:element ref="ns3:SetSensitivity" minOccurs="0"/>
                <xsd:element ref="ns3:PRAText3" minOccurs="0"/>
                <xsd:element ref="ns3:Level1" minOccurs="0"/>
                <xsd:element ref="ns3:zMigrationID" minOccurs="0"/>
                <xsd:element ref="ns3:ProjectID" minOccurs="0"/>
                <xsd:element ref="ns3:zLegacyID" minOccurs="0"/>
                <xsd:element ref="ns4:MediaServiceMetadata" minOccurs="0"/>
                <xsd:element ref="ns4:MediaServiceFastMetadata" minOccurs="0"/>
                <xsd:element ref="ns4: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 nillable="true" ma:displayName="Description" ma:default=""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0200d-5ad4-4088-9410-7099857a429a" elementFormDefault="qualified">
    <xsd:import namespace="http://schemas.microsoft.com/office/2006/documentManagement/types"/>
    <xsd:import namespace="http://schemas.microsoft.com/office/infopath/2007/PartnerControls"/>
    <xsd:element name="FunctionGroup" ma:index="9" nillable="true" ma:displayName="Function Group" ma:default="NA" ma:hidden="true" ma:internalName="FunctionGroup" ma:readOnly="false">
      <xsd:simpleType>
        <xsd:restriction base="dms:Text">
          <xsd:maxLength value="255"/>
        </xsd:restriction>
      </xsd:simpleType>
    </xsd:element>
    <xsd:element name="Function" ma:index="10" nillable="true" ma:displayName="Function" ma:default="Advice" ma:hidden="true" ma:internalName="Function" ma:readOnly="false">
      <xsd:simpleType>
        <xsd:restriction base="dms:Text">
          <xsd:maxLength value="255"/>
        </xsd:restriction>
      </xsd:simpleType>
    </xsd:element>
    <xsd:element name="Activity" ma:index="11" nillable="true" ma:displayName="Activity" ma:default="Emissions Trading Scheme (NZETS)" ma:hidden="true" ma:internalName="Activity" ma:readOnly="false">
      <xsd:simpleType>
        <xsd:restriction base="dms:Text">
          <xsd:maxLength value="255"/>
        </xsd:restriction>
      </xsd:simpleType>
    </xsd:element>
    <xsd:element name="Subactivity" ma:index="12" nillable="true" ma:displayName="Subactivity" ma:default="Unit limits and price control settings" ma:hidden="true" ma:indexed="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Category1" ma:index="14" nillable="true" ma:displayName="Category 1" ma:default="NA" ma:hidden="true" ma:indexed="true" ma:internalName="Category1" ma:readOnly="false">
      <xsd:simpleType>
        <xsd:restriction base="dms:Text">
          <xsd:maxLength value="255"/>
        </xsd:restriction>
      </xsd:simpleType>
    </xsd:element>
    <xsd:element name="Category2" ma:index="15" nillable="true" ma:displayName="Category 2" ma:default="NA" ma:hidden="true" ma:indexed="true" ma:internalName="Category2" ma:readOnly="false">
      <xsd:simpleType>
        <xsd:restriction base="dms:Text">
          <xsd:maxLength value="255"/>
        </xsd:restriction>
      </xsd:simpleType>
    </xsd:element>
    <xsd:element name="Team" ma:index="16" nillable="true" ma:displayName="Team" ma:default="NZ ETS 2026" ma:hidden="true" ma:internalName="Team" ma:readOnly="false">
      <xsd:simpleType>
        <xsd:restriction base="dms:Text">
          <xsd:maxLength value="255"/>
        </xsd:restriction>
      </xsd:simpleType>
    </xsd:element>
    <xsd:element name="Channel" ma:index="17" nillable="true" ma:displayName="Channel" ma:default="NA" ma:hidden="true" ma:internalName="Channel" ma:readOnly="false">
      <xsd:simpleType>
        <xsd:restriction base="dms:Text">
          <xsd:maxLength value="255"/>
        </xsd:restriction>
      </xsd:simpleType>
    </xsd:element>
    <xsd:element name="Year" ma:index="18" nillable="true" ma:displayName="Year" ma:default="NA" ma:hidden="true" ma:internalName="Year" ma:readOnly="false">
      <xsd:simpleType>
        <xsd:restriction base="dms:Text">
          <xsd:maxLength value="255"/>
        </xsd:restriction>
      </xsd:simpleType>
    </xsd:element>
    <xsd:element name="Level2" ma:index="19" nillable="true" ma:displayName="Level 2" ma:default="NA" ma:hidden="true" ma:internalName="Level2" ma:readOnly="false">
      <xsd:simpleType>
        <xsd:restriction base="dms:Text">
          <xsd:maxLength value="255"/>
        </xsd:restriction>
      </xsd:simpleType>
    </xsd:element>
    <xsd:element name="Level3" ma:index="20" nillable="true" ma:displayName="Level 3" ma:default="NA" ma:hidden="true" ma:internalName="Level3"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AggregationStatus" ma:index="22"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element>
    <xsd:element name="SetLabel" ma:index="23" nillable="true" ma:displayName="Set Label" ma:default="NOT SET" ma:hidden="true" ma:indexed="true" ma:internalName="SetLabel" ma:readOnly="false">
      <xsd:simpleType>
        <xsd:restriction base="dms:Text">
          <xsd:maxLength value="255"/>
        </xsd:restriction>
      </xsd:simpleType>
    </xsd:element>
    <xsd:element name="DocumentType" ma:index="24"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ILFrom" ma:index="25" nillable="true" ma:displayName="From" ma:hidden="true" ma:internalName="ILFrom" ma:readOnly="false">
      <xsd:simpleType>
        <xsd:restriction base="dms:Text">
          <xsd:maxLength value="255"/>
        </xsd:restriction>
      </xsd:simpleType>
    </xsd:element>
    <xsd:element name="HarmonieUIHidden" ma:index="26" nillable="true" ma:displayName="HarmonieUIHidden" ma:hidden="true" ma:internalName="HarmonieUIHidden" ma:readOnly="false">
      <xsd:simpleType>
        <xsd:restriction base="dms:Text">
          <xsd:maxLength value="255"/>
        </xsd:restriction>
      </xsd:simpleType>
    </xsd:element>
    <xsd:element name="Narrative" ma:index="27" nillable="true" ma:displayName="Narrative" ma:hidden="true" ma:internalName="Narrative" ma:readOnly="false">
      <xsd:simpleType>
        <xsd:restriction base="dms:Note"/>
      </xsd:simpleType>
    </xsd:element>
    <xsd:element name="OriginalSubject" ma:index="28" nillable="true" ma:displayName="Original Subject" ma:hidden="true" ma:internalName="OriginalSubject" ma:readOnly="false">
      <xsd:simpleType>
        <xsd:restriction base="dms:Text">
          <xsd:maxLength value="255"/>
        </xsd:restriction>
      </xsd:simpleType>
    </xsd:element>
    <xsd:element name="PRADateDisposal" ma:index="29" nillable="true" ma:displayName="PRA Date Disposal" ma:format="DateOnly" ma:hidden="true" ma:internalName="PRADateDisposal" ma:readOnly="false">
      <xsd:simpleType>
        <xsd:restriction base="dms:DateTime"/>
      </xsd:simpleType>
    </xsd:element>
    <xsd:element name="PRADateTrigger" ma:index="30" nillable="true" ma:displayName="PRA Date Trigger" ma:format="DateOnly" ma:hidden="true" ma:internalName="PRADateTrigger" ma:readOnly="false">
      <xsd:simpleType>
        <xsd:restriction base="dms:DateTime"/>
      </xsd:simpleType>
    </xsd:element>
    <xsd:element name="PRAText1" ma:index="31" nillable="true" ma:displayName="PRA Text 1" ma:hidden="true" ma:internalName="PRAText1" ma:readOnly="false">
      <xsd:simpleType>
        <xsd:restriction base="dms:Text">
          <xsd:maxLength value="255"/>
        </xsd:restriction>
      </xsd:simpleType>
    </xsd:element>
    <xsd:element name="PRAText2" ma:index="32" nillable="true" ma:displayName="PRA Text 2" ma:hidden="true" ma:internalName="PRAText2" ma:readOnly="false">
      <xsd:simpleType>
        <xsd:restriction base="dms:Text">
          <xsd:maxLength value="255"/>
        </xsd:restriction>
      </xsd:simpleType>
    </xsd:element>
    <xsd:element name="PRAText4" ma:index="33" nillable="true" ma:displayName="PRA Text 4" ma:hidden="true" ma:internalName="PRAText4" ma:readOnly="false">
      <xsd:simpleType>
        <xsd:restriction base="dms:Text">
          <xsd:maxLength value="255"/>
        </xsd:restriction>
      </xsd:simpleType>
    </xsd:element>
    <xsd:element name="PRAText5" ma:index="34" nillable="true" ma:displayName="PRA Text 5" ma:hidden="true" ma:internalName="PRAText5" ma:readOnly="false">
      <xsd:simpleType>
        <xsd:restriction base="dms:Text">
          <xsd:maxLength value="255"/>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Received" ma:index="36" nillable="true" ma:displayName="Received" ma:format="DateOnly" ma:hidden="true" ma:internalName="Received" ma:readOnly="false">
      <xsd:simpleType>
        <xsd:restriction base="dms:DateTime"/>
      </xsd:simpleType>
    </xsd:element>
    <xsd:element name="RelatedPeople" ma:index="37"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38" nillable="true" ma:displayName="Security Classification" ma:default="C2. INTERNAL" ma:format="Dropdown" ma:hidden="true" ma:internalName="SecurityClassification">
      <xsd:simpleType>
        <xsd:union memberTypes="dms:Text">
          <xsd:simpleType>
            <xsd:restriction base="dms:Choice">
              <xsd:enumeration value="C1. OPEN"/>
              <xsd:enumeration value="C2. INTERNAL"/>
              <xsd:enumeration value="C3. RESTRICTED"/>
              <xsd:enumeration value="C4. CONFIDENTIAL"/>
              <xsd:enumeration value="C2. INTERNAL"/>
            </xsd:restriction>
          </xsd:simpleType>
        </xsd:union>
      </xsd:simpleType>
    </xsd:element>
    <xsd:element name="Sent" ma:index="39" nillable="true" ma:displayName="Sent" ma:format="DateTime" ma:hidden="true" ma:internalName="Sent" ma:readOnly="false">
      <xsd:simpleType>
        <xsd:restriction base="dms:DateTime"/>
      </xsd:simpleType>
    </xsd:element>
    <xsd:element name="To" ma:index="40" nillable="true" ma:displayName="To" ma:hidden="true" ma:internalName="To" ma:readOnly="false">
      <xsd:simpleType>
        <xsd:restriction base="dms:Text">
          <xsd:maxLength value="255"/>
        </xsd:restriction>
      </xsd:simpleType>
    </xsd:element>
    <xsd:element name="zLegacyDocID" ma:index="41" nillable="true" ma:displayName="Legacy Doc ID" ma:hidden="true" ma:internalName="zLegacyDocID"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CC" ma:index="44" nillable="true" ma:displayName="CC" ma:hidden="true" ma:internalName="CC" ma:readOnly="false">
      <xsd:simpleType>
        <xsd:restriction base="dms:Text">
          <xsd:maxLength value="255"/>
        </xsd:restriction>
      </xsd:simpleType>
    </xsd:element>
    <xsd:element name="MailPreviewData" ma:index="45" nillable="true" ma:displayName="MailPreviewData" ma:hidden="true" ma:internalName="MailPreviewData" ma:readOnly="false">
      <xsd:simpleType>
        <xsd:restriction base="dms:Note"/>
      </xsd:simpleType>
    </xsd:element>
    <xsd:element name="_dlc_DocId" ma:index="55" nillable="true" ma:displayName="Document ID Value" ma:description="The value of the document ID assigned to this item." ma:indexed="true"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ac9bea-d09c-48b0-9841-7eb5347add9c" elementFormDefault="qualified">
    <xsd:import namespace="http://schemas.microsoft.com/office/2006/documentManagement/types"/>
    <xsd:import namespace="http://schemas.microsoft.com/office/infopath/2007/PartnerControls"/>
    <xsd:element name="SetSensitivity" ma:index="46" nillable="true" ma:displayName="Set Sensitivity" ma:default="NOT SET" ma:hidden="true" ma:indexed="true" ma:internalName="SetSensitivity" ma:readOnly="false">
      <xsd:simpleType>
        <xsd:restriction base="dms:Text">
          <xsd:maxLength value="255"/>
        </xsd:restriction>
      </xsd:simpleType>
    </xsd:element>
    <xsd:element name="PRAText3" ma:index="47" nillable="true" ma:displayName="PRA Text 3" ma:hidden="true" ma:internalName="PRAText3" ma:readOnly="false">
      <xsd:simpleType>
        <xsd:restriction base="dms:Text">
          <xsd:maxLength value="255"/>
        </xsd:restriction>
      </xsd:simpleType>
    </xsd:element>
    <xsd:element name="Level1" ma:index="48" nillable="true" ma:displayName="Level 1" ma:default="NA" ma:hidden="true" ma:internalName="Level1" ma:readOnly="false">
      <xsd:simpleType>
        <xsd:restriction base="dms:Text">
          <xsd:maxLength value="255"/>
        </xsd:restriction>
      </xsd:simpleType>
    </xsd:element>
    <xsd:element name="zMigrationID" ma:index="49" nillable="true" ma:displayName="zMigrationID" ma:hidden="true" ma:indexed="true" ma:internalName="zMigrationID" ma:readOnly="false">
      <xsd:simpleType>
        <xsd:restriction base="dms:Text">
          <xsd:maxLength value="255"/>
        </xsd:restriction>
      </xsd:simpleType>
    </xsd:element>
    <xsd:element name="ProjectID" ma:index="50" nillable="true" ma:displayName="ProjectID" ma:hidden="true" ma:internalName="ProjectID" ma:readOnly="false">
      <xsd:simpleType>
        <xsd:restriction base="dms:Text">
          <xsd:maxLength value="255"/>
        </xsd:restriction>
      </xsd:simpleType>
    </xsd:element>
    <xsd:element name="zLegacyID" ma:index="51" nillable="true" ma:displayName="zLegacyID" ma:hidden="true" ma:internalName="zLegacy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5babcf-a1be-481b-af25-dc592bf771d3"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tSensitivity xmlns="1cac9bea-d09c-48b0-9841-7eb5347add9c">NOT SET</SetSensitivity>
    <zLegacyID xmlns="1cac9bea-d09c-48b0-9841-7eb5347add9c" xsi:nil="true"/>
    <Level1 xmlns="1cac9bea-d09c-48b0-9841-7eb5347add9c">NA</Level1>
    <_ExtendedDescription xmlns="http://schemas.microsoft.com/sharepoint/v3" xsi:nil="true"/>
    <ProjectID xmlns="1cac9bea-d09c-48b0-9841-7eb5347add9c" xsi:nil="true"/>
    <PRAText3 xmlns="1cac9bea-d09c-48b0-9841-7eb5347add9c" xsi:nil="true"/>
    <zMigrationID xmlns="1cac9bea-d09c-48b0-9841-7eb5347add9c" xsi:nil="true"/>
    <Subactivity xmlns="0840200d-5ad4-4088-9410-7099857a429a">Technical annexes</Subactivity>
    <PRADateDisposal xmlns="0840200d-5ad4-4088-9410-7099857a429a" xsi:nil="true"/>
    <CC xmlns="0840200d-5ad4-4088-9410-7099857a429a" xsi:nil="true"/>
    <SecurityClassification xmlns="0840200d-5ad4-4088-9410-7099857a429a">C2. INTERNAL</SecurityClassification>
    <Level2 xmlns="0840200d-5ad4-4088-9410-7099857a429a">NA</Level2>
    <PRAType xmlns="0840200d-5ad4-4088-9410-7099857a429a">Doc</PRAType>
    <Narrative xmlns="0840200d-5ad4-4088-9410-7099857a429a" xsi:nil="true"/>
    <PRADateTrigger xmlns="0840200d-5ad4-4088-9410-7099857a429a" xsi:nil="true"/>
    <Sent xmlns="0840200d-5ad4-4088-9410-7099857a429a" xsi:nil="true"/>
    <PRAText1 xmlns="0840200d-5ad4-4088-9410-7099857a429a" xsi:nil="true"/>
    <PRAText4 xmlns="0840200d-5ad4-4088-9410-7099857a429a" xsi:nil="true"/>
    <Category1 xmlns="0840200d-5ad4-4088-9410-7099857a429a">NA</Category1>
    <Level3 xmlns="0840200d-5ad4-4088-9410-7099857a429a">NA</Level3>
    <OriginalSubject xmlns="0840200d-5ad4-4088-9410-7099857a429a" xsi:nil="true"/>
    <Team xmlns="0840200d-5ad4-4088-9410-7099857a429a">NZ ETS 2026</Team>
    <Case xmlns="0840200d-5ad4-4088-9410-7099857a429a">NA</Case>
    <Category2 xmlns="0840200d-5ad4-4088-9410-7099857a429a">NA</Category2>
    <Year xmlns="0840200d-5ad4-4088-9410-7099857a429a">NA</Year>
    <ILFrom xmlns="0840200d-5ad4-4088-9410-7099857a429a" xsi:nil="true"/>
    <PRAText2 xmlns="0840200d-5ad4-4088-9410-7099857a429a" xsi:nil="true"/>
    <PRAText5 xmlns="0840200d-5ad4-4088-9410-7099857a429a" xsi:nil="true"/>
    <FunctionGroup xmlns="0840200d-5ad4-4088-9410-7099857a429a">NA</FunctionGroup>
    <Function xmlns="0840200d-5ad4-4088-9410-7099857a429a">Advice</Function>
    <RelatedPeople xmlns="0840200d-5ad4-4088-9410-7099857a429a">
      <UserInfo>
        <DisplayName/>
        <AccountId xsi:nil="true"/>
        <AccountType/>
      </UserInfo>
    </RelatedPeople>
    <Received xmlns="0840200d-5ad4-4088-9410-7099857a429a" xsi:nil="true"/>
    <zLegacyDocID xmlns="0840200d-5ad4-4088-9410-7099857a429a" xsi:nil="true"/>
    <DocumentType xmlns="0840200d-5ad4-4088-9410-7099857a429a">APPLICATION, certificate, consent related</DocumentType>
    <Activity xmlns="0840200d-5ad4-4088-9410-7099857a429a">Emissions Trading Scheme (NZETS)</Activity>
    <SetLabel xmlns="0840200d-5ad4-4088-9410-7099857a429a">NOT SET</SetLabel>
    <zLegacy xmlns="0840200d-5ad4-4088-9410-7099857a429a" xsi:nil="true"/>
    <MailPreviewData xmlns="0840200d-5ad4-4088-9410-7099857a429a" xsi:nil="true"/>
    <AggregationStatus xmlns="0840200d-5ad4-4088-9410-7099857a429a">Normal</AggregationStatus>
    <Project xmlns="0840200d-5ad4-4088-9410-7099857a429a">NA</Project>
    <zLegacyJSON xmlns="0840200d-5ad4-4088-9410-7099857a429a" xsi:nil="true"/>
    <Channel xmlns="0840200d-5ad4-4088-9410-7099857a429a">NA</Channel>
    <HarmonieUIHidden xmlns="0840200d-5ad4-4088-9410-7099857a429a" xsi:nil="true"/>
    <To xmlns="0840200d-5ad4-4088-9410-7099857a429a" xsi:nil="true"/>
    <_dlc_DocId xmlns="0840200d-5ad4-4088-9410-7099857a429a">3T2N7Z3DHK66-1104493782-2645</_dlc_DocId>
    <_dlc_DocIdUrl xmlns="0840200d-5ad4-4088-9410-7099857a429a">
      <Url>https://climatechangegovt.sharepoint.com/sites/CCRA-ETS2026/_layouts/15/DocIdRedir.aspx?ID=3T2N7Z3DHK66-1104493782-2645</Url>
      <Description>3T2N7Z3DHK66-1104493782-2645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96AE-E2F5-49D0-8861-E2AD9CCAD501}"/>
</file>

<file path=customXml/itemProps2.xml><?xml version="1.0" encoding="utf-8"?>
<ds:datastoreItem xmlns:ds="http://schemas.openxmlformats.org/officeDocument/2006/customXml" ds:itemID="{E38EF38C-888B-4070-8B99-66E87DABC1A7}">
  <ds:schemaRefs>
    <ds:schemaRef ds:uri="http://schemas.openxmlformats.org/officeDocument/2006/bibliography"/>
  </ds:schemaRefs>
</ds:datastoreItem>
</file>

<file path=customXml/itemProps3.xml><?xml version="1.0" encoding="utf-8"?>
<ds:datastoreItem xmlns:ds="http://schemas.openxmlformats.org/officeDocument/2006/customXml" ds:itemID="{B90C9EAE-AD6B-407F-B572-21089C3C6A4E}">
  <ds:schemaRefs>
    <ds:schemaRef ds:uri="http://schemas.microsoft.com/office/2006/metadata/properties"/>
    <ds:schemaRef ds:uri="http://schemas.microsoft.com/office/infopath/2007/PartnerControls"/>
    <ds:schemaRef ds:uri="1cac9bea-d09c-48b0-9841-7eb5347add9c"/>
    <ds:schemaRef ds:uri="http://schemas.microsoft.com/sharepoint/v3"/>
    <ds:schemaRef ds:uri="0840200d-5ad4-4088-9410-7099857a429a"/>
  </ds:schemaRefs>
</ds:datastoreItem>
</file>

<file path=customXml/itemProps4.xml><?xml version="1.0" encoding="utf-8"?>
<ds:datastoreItem xmlns:ds="http://schemas.openxmlformats.org/officeDocument/2006/customXml" ds:itemID="{9D90E1AE-6637-4865-8CAD-D9BA5B55C95E}">
  <ds:schemaRefs>
    <ds:schemaRef ds:uri="http://schemas.microsoft.com/sharepoint/events"/>
  </ds:schemaRefs>
</ds:datastoreItem>
</file>

<file path=customXml/itemProps5.xml><?xml version="1.0" encoding="utf-8"?>
<ds:datastoreItem xmlns:ds="http://schemas.openxmlformats.org/officeDocument/2006/customXml" ds:itemID="{10C58ACD-95BF-4871-90F7-E3F54976D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6943</Words>
  <Characters>39576</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46427</CharactersWithSpaces>
  <SharedDoc>false</SharedDoc>
  <HLinks>
    <vt:vector size="66" baseType="variant">
      <vt:variant>
        <vt:i4>7077937</vt:i4>
      </vt:variant>
      <vt:variant>
        <vt:i4>68</vt:i4>
      </vt:variant>
      <vt:variant>
        <vt:i4>0</vt:i4>
      </vt:variant>
      <vt:variant>
        <vt:i4>5</vt:i4>
      </vt:variant>
      <vt:variant>
        <vt:lpwstr>https://environment.govt.nz/assets/publications/Files/marginal-abatement-cost-curves-analysis-2020.pdf</vt:lpwstr>
      </vt:variant>
      <vt:variant>
        <vt:lpwstr/>
      </vt:variant>
      <vt:variant>
        <vt:i4>2293874</vt:i4>
      </vt:variant>
      <vt:variant>
        <vt:i4>65</vt:i4>
      </vt:variant>
      <vt:variant>
        <vt:i4>0</vt:i4>
      </vt:variant>
      <vt:variant>
        <vt:i4>5</vt:i4>
      </vt:variant>
      <vt:variant>
        <vt:lpwstr>https://www.eeca.govt.nz/insights/eeca-insights/reta-south-island/</vt:lpwstr>
      </vt:variant>
      <vt:variant>
        <vt:lpwstr/>
      </vt:variant>
      <vt:variant>
        <vt:i4>5963860</vt:i4>
      </vt:variant>
      <vt:variant>
        <vt:i4>62</vt:i4>
      </vt:variant>
      <vt:variant>
        <vt:i4>0</vt:i4>
      </vt:variant>
      <vt:variant>
        <vt:i4>5</vt:i4>
      </vt:variant>
      <vt:variant>
        <vt:lpwstr>https://www.climatecommission.govt.nz/assets/ETS-advice-July-22/PDFs/NZ-ETS-settings-2023-2027-final-report-web-27-July-2022.pdf</vt:lpwstr>
      </vt:variant>
      <vt:variant>
        <vt:lpwstr/>
      </vt:variant>
      <vt:variant>
        <vt:i4>2490492</vt:i4>
      </vt:variant>
      <vt:variant>
        <vt:i4>59</vt:i4>
      </vt:variant>
      <vt:variant>
        <vt:i4>0</vt:i4>
      </vt:variant>
      <vt:variant>
        <vt:i4>5</vt:i4>
      </vt:variant>
      <vt:variant>
        <vt:lpwstr>https://environment.govt.nz/what-government-is-doing/areas-of-work/climate-change/emissions-reductions/emissions-reduction-targets/new-zealands-projected-greenhouse-gas-emissions-to-2050/</vt:lpwstr>
      </vt:variant>
      <vt:variant>
        <vt:lpwstr/>
      </vt:variant>
      <vt:variant>
        <vt:i4>1638453</vt:i4>
      </vt:variant>
      <vt:variant>
        <vt:i4>38</vt:i4>
      </vt:variant>
      <vt:variant>
        <vt:i4>0</vt:i4>
      </vt:variant>
      <vt:variant>
        <vt:i4>5</vt:i4>
      </vt:variant>
      <vt:variant>
        <vt:lpwstr/>
      </vt:variant>
      <vt:variant>
        <vt:lpwstr>_Toc227679730</vt:lpwstr>
      </vt:variant>
      <vt:variant>
        <vt:i4>1572917</vt:i4>
      </vt:variant>
      <vt:variant>
        <vt:i4>32</vt:i4>
      </vt:variant>
      <vt:variant>
        <vt:i4>0</vt:i4>
      </vt:variant>
      <vt:variant>
        <vt:i4>5</vt:i4>
      </vt:variant>
      <vt:variant>
        <vt:lpwstr/>
      </vt:variant>
      <vt:variant>
        <vt:lpwstr>_Toc227679729</vt:lpwstr>
      </vt:variant>
      <vt:variant>
        <vt:i4>1572917</vt:i4>
      </vt:variant>
      <vt:variant>
        <vt:i4>26</vt:i4>
      </vt:variant>
      <vt:variant>
        <vt:i4>0</vt:i4>
      </vt:variant>
      <vt:variant>
        <vt:i4>5</vt:i4>
      </vt:variant>
      <vt:variant>
        <vt:lpwstr/>
      </vt:variant>
      <vt:variant>
        <vt:lpwstr>_Toc227679728</vt:lpwstr>
      </vt:variant>
      <vt:variant>
        <vt:i4>1572917</vt:i4>
      </vt:variant>
      <vt:variant>
        <vt:i4>20</vt:i4>
      </vt:variant>
      <vt:variant>
        <vt:i4>0</vt:i4>
      </vt:variant>
      <vt:variant>
        <vt:i4>5</vt:i4>
      </vt:variant>
      <vt:variant>
        <vt:lpwstr/>
      </vt:variant>
      <vt:variant>
        <vt:lpwstr>_Toc227679727</vt:lpwstr>
      </vt:variant>
      <vt:variant>
        <vt:i4>1572917</vt:i4>
      </vt:variant>
      <vt:variant>
        <vt:i4>14</vt:i4>
      </vt:variant>
      <vt:variant>
        <vt:i4>0</vt:i4>
      </vt:variant>
      <vt:variant>
        <vt:i4>5</vt:i4>
      </vt:variant>
      <vt:variant>
        <vt:lpwstr/>
      </vt:variant>
      <vt:variant>
        <vt:lpwstr>_Toc227679726</vt:lpwstr>
      </vt:variant>
      <vt:variant>
        <vt:i4>1572917</vt:i4>
      </vt:variant>
      <vt:variant>
        <vt:i4>8</vt:i4>
      </vt:variant>
      <vt:variant>
        <vt:i4>0</vt:i4>
      </vt:variant>
      <vt:variant>
        <vt:i4>5</vt:i4>
      </vt:variant>
      <vt:variant>
        <vt:lpwstr/>
      </vt:variant>
      <vt:variant>
        <vt:lpwstr>_Toc227679725</vt:lpwstr>
      </vt:variant>
      <vt:variant>
        <vt:i4>1572917</vt:i4>
      </vt:variant>
      <vt:variant>
        <vt:i4>2</vt:i4>
      </vt:variant>
      <vt:variant>
        <vt:i4>0</vt:i4>
      </vt:variant>
      <vt:variant>
        <vt:i4>5</vt:i4>
      </vt:variant>
      <vt:variant>
        <vt:lpwstr/>
      </vt:variant>
      <vt:variant>
        <vt:lpwstr>_Toc227679724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Young</dc:creator>
  <cp:keywords/>
  <dc:description/>
  <cp:lastModifiedBy>Gemma Freeman</cp:lastModifiedBy>
  <cp:revision>142</cp:revision>
  <cp:lastPrinted>2026-04-02T15:09:00Z</cp:lastPrinted>
  <dcterms:created xsi:type="dcterms:W3CDTF">2026-04-16T12:59:00Z</dcterms:created>
  <dcterms:modified xsi:type="dcterms:W3CDTF">2026-04-21T04:02:00Z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0x010100A6D186D65F6D9D40B801459892252FC9</vt:lpwstr>
  </property>
  <property fmtid="{D5CDD505-2E9C-101B-9397-08002B2CF9AE}" pid="3" name="MediaServiceImageTags">
    <vt:lpwstr/>
  </property>
  <property fmtid="{D5CDD505-2E9C-101B-9397-08002B2CF9AE}" pid="4" name="_dlc_DocId">
    <vt:lpwstr>N2HWEKUWM52S-2043556887-1296</vt:lpwstr>
  </property>
  <property fmtid="{D5CDD505-2E9C-101B-9397-08002B2CF9AE}" pid="5" name="_dlc_DocIdUrl">
    <vt:lpwstr>https://climatechangegovt.sharepoint.com/sites/Legal/_layouts/15/DocIdRedir.aspx?ID=N2HWEKUWM52S-2043556887-1296, N2HWEKUWM52S-2043556887-1296</vt:lpwstr>
  </property>
  <property fmtid="{D5CDD505-2E9C-101B-9397-08002B2CF9AE}" pid="6" name="_dlc_DocIdItemGuid">
    <vt:lpwstr>f5d954eb-52db-474a-8bfa-a9106d5da038</vt:lpwstr>
  </property>
  <property fmtid="{D5CDD505-2E9C-101B-9397-08002B2CF9AE}" pid="7" name="ndDocumentId">
    <vt:lpwstr>3475-7623-6618</vt:lpwstr>
  </property>
</Properties>
</file>