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182AB" w14:textId="68334394" w:rsidR="004306B2" w:rsidRDefault="00A2755A" w:rsidP="006F0BB5">
      <w:pPr>
        <w:pStyle w:val="Title"/>
      </w:pPr>
      <w:r>
        <w:rPr>
          <w:noProof/>
        </w:rPr>
        <mc:AlternateContent>
          <mc:Choice Requires="wps">
            <w:drawing>
              <wp:anchor distT="0" distB="0" distL="114300" distR="114300" simplePos="0" relativeHeight="251658242" behindDoc="1" locked="0" layoutInCell="1" allowOverlap="1" wp14:anchorId="1D2574CC" wp14:editId="1D00F381">
                <wp:simplePos x="0" y="0"/>
                <wp:positionH relativeFrom="page">
                  <wp:posOffset>747423</wp:posOffset>
                </wp:positionH>
                <wp:positionV relativeFrom="page">
                  <wp:posOffset>1924217</wp:posOffset>
                </wp:positionV>
                <wp:extent cx="5838825" cy="2512612"/>
                <wp:effectExtent l="0" t="0" r="0" b="0"/>
                <wp:wrapNone/>
                <wp:docPr id="4" name="Text Box 4" descr="P1TB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8825" cy="2512612"/>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0CE3C7E" w14:textId="5A669D86" w:rsidR="004306B2" w:rsidRDefault="004306B2" w:rsidP="00A2755A">
                            <w:pPr>
                              <w:spacing w:line="192" w:lineRule="auto"/>
                              <w:ind w:left="20"/>
                            </w:pPr>
                            <w:r>
                              <w:rPr>
                                <w:b/>
                                <w:color w:val="0F385A"/>
                                <w:spacing w:val="-18"/>
                                <w:sz w:val="97"/>
                              </w:rPr>
                              <w:t>Advice</w:t>
                            </w:r>
                            <w:r>
                              <w:rPr>
                                <w:b/>
                                <w:color w:val="0F385A"/>
                                <w:spacing w:val="-31"/>
                                <w:sz w:val="97"/>
                              </w:rPr>
                              <w:t xml:space="preserve"> </w:t>
                            </w:r>
                            <w:r>
                              <w:rPr>
                                <w:b/>
                                <w:color w:val="0F385A"/>
                                <w:spacing w:val="-5"/>
                                <w:sz w:val="97"/>
                              </w:rPr>
                              <w:t>on</w:t>
                            </w:r>
                            <w:r>
                              <w:rPr>
                                <w:b/>
                                <w:sz w:val="97"/>
                              </w:rPr>
                              <w:br/>
                            </w:r>
                            <w:r>
                              <w:rPr>
                                <w:b/>
                                <w:color w:val="00B3A5"/>
                                <w:sz w:val="97"/>
                              </w:rPr>
                              <w:t>NZ</w:t>
                            </w:r>
                            <w:r>
                              <w:rPr>
                                <w:b/>
                                <w:color w:val="00B3A5"/>
                                <w:spacing w:val="-43"/>
                                <w:sz w:val="97"/>
                              </w:rPr>
                              <w:t xml:space="preserve"> </w:t>
                            </w:r>
                            <w:r>
                              <w:rPr>
                                <w:b/>
                                <w:color w:val="00B3A5"/>
                                <w:spacing w:val="-5"/>
                                <w:sz w:val="97"/>
                              </w:rPr>
                              <w:t>ETS</w:t>
                            </w:r>
                            <w:r w:rsidR="003F6332">
                              <w:rPr>
                                <w:b/>
                                <w:color w:val="00B3A5"/>
                                <w:spacing w:val="-5"/>
                                <w:sz w:val="97"/>
                              </w:rPr>
                              <w:t xml:space="preserve"> unit limits and price control settings </w:t>
                            </w:r>
                            <w:r w:rsidR="00450FCC">
                              <w:rPr>
                                <w:b/>
                                <w:color w:val="00B3A5"/>
                                <w:spacing w:val="-5"/>
                                <w:sz w:val="97"/>
                              </w:rPr>
                              <w:t>for 2026</w:t>
                            </w:r>
                            <w:r w:rsidR="00BA14CB" w:rsidRPr="00B46A98">
                              <w:rPr>
                                <w:color w:val="00B3A5"/>
                                <w:sz w:val="97"/>
                                <w:szCs w:val="97"/>
                              </w:rPr>
                              <w:t>–</w:t>
                            </w:r>
                            <w:r w:rsidR="00450FCC">
                              <w:rPr>
                                <w:b/>
                                <w:color w:val="00B3A5"/>
                                <w:spacing w:val="-5"/>
                                <w:sz w:val="97"/>
                              </w:rPr>
                              <w:t>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574CC" id="_x0000_t202" coordsize="21600,21600" o:spt="202" path="m,l,21600r21600,l21600,xe">
                <v:stroke joinstyle="miter"/>
                <v:path gradientshapeok="t" o:connecttype="rect"/>
              </v:shapetype>
              <v:shape id="Text Box 4" o:spid="_x0000_s1026" type="#_x0000_t202" alt="P1TB3bA#y1" style="position:absolute;margin-left:58.85pt;margin-top:151.5pt;width:459.75pt;height:197.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" filled="f">
                <v:stroke opacity="0"/>
                <v:path arrowok="t"/>
                <v:textbox inset="0,0,0,0">
                  <w:txbxContent>
                    <w:p w14:paraId="20CE3C7E" w14:textId="5A669D86" w:rsidR="004306B2" w:rsidRDefault="004306B2" w:rsidP="00A2755A">
                      <w:pPr>
                        <w:spacing w:line="192" w:lineRule="auto"/>
                        <w:ind w:left="20"/>
                      </w:pPr>
                      <w:r>
                        <w:rPr>
                          <w:b/>
                          <w:color w:val="0F385A"/>
                          <w:spacing w:val="-18"/>
                          <w:sz w:val="97"/>
                        </w:rPr>
                        <w:t>Advice</w:t>
                      </w:r>
                      <w:r>
                        <w:rPr>
                          <w:b/>
                          <w:color w:val="0F385A"/>
                          <w:spacing w:val="-31"/>
                          <w:sz w:val="97"/>
                        </w:rPr>
                        <w:t xml:space="preserve"> </w:t>
                      </w:r>
                      <w:r>
                        <w:rPr>
                          <w:b/>
                          <w:color w:val="0F385A"/>
                          <w:spacing w:val="-5"/>
                          <w:sz w:val="97"/>
                        </w:rPr>
                        <w:t>on</w:t>
                      </w:r>
                      <w:r>
                        <w:rPr>
                          <w:b/>
                          <w:sz w:val="97"/>
                        </w:rPr>
                        <w:br/>
                      </w:r>
                      <w:r>
                        <w:rPr>
                          <w:b/>
                          <w:color w:val="00B3A5"/>
                          <w:sz w:val="97"/>
                        </w:rPr>
                        <w:t>NZ</w:t>
                      </w:r>
                      <w:r>
                        <w:rPr>
                          <w:b/>
                          <w:color w:val="00B3A5"/>
                          <w:spacing w:val="-43"/>
                          <w:sz w:val="97"/>
                        </w:rPr>
                        <w:t xml:space="preserve"> </w:t>
                      </w:r>
                      <w:r>
                        <w:rPr>
                          <w:b/>
                          <w:color w:val="00B3A5"/>
                          <w:spacing w:val="-5"/>
                          <w:sz w:val="97"/>
                        </w:rPr>
                        <w:t>ETS</w:t>
                      </w:r>
                      <w:r w:rsidR="003F6332">
                        <w:rPr>
                          <w:b/>
                          <w:color w:val="00B3A5"/>
                          <w:spacing w:val="-5"/>
                          <w:sz w:val="97"/>
                        </w:rPr>
                        <w:t xml:space="preserve"> unit limits and price control settings </w:t>
                      </w:r>
                      <w:r w:rsidR="00450FCC">
                        <w:rPr>
                          <w:b/>
                          <w:color w:val="00B3A5"/>
                          <w:spacing w:val="-5"/>
                          <w:sz w:val="97"/>
                        </w:rPr>
                        <w:t>for 2026</w:t>
                      </w:r>
                      <w:r w:rsidR="00BA14CB" w:rsidRPr="00B46A98">
                        <w:rPr>
                          <w:color w:val="00B3A5"/>
                          <w:sz w:val="97"/>
                          <w:szCs w:val="97"/>
                        </w:rPr>
                        <w:t>–</w:t>
                      </w:r>
                      <w:r w:rsidR="00450FCC">
                        <w:rPr>
                          <w:b/>
                          <w:color w:val="00B3A5"/>
                          <w:spacing w:val="-5"/>
                          <w:sz w:val="97"/>
                        </w:rPr>
                        <w:t>2030</w:t>
                      </w:r>
                    </w:p>
                  </w:txbxContent>
                </v:textbox>
                <w10:wrap anchorx="page" anchory="page"/>
              </v:shape>
            </w:pict>
          </mc:Fallback>
        </mc:AlternateContent>
      </w:r>
      <w:r w:rsidR="00E87A60">
        <w:rPr>
          <w:noProof/>
        </w:rPr>
        <mc:AlternateContent>
          <mc:Choice Requires="wps">
            <w:drawing>
              <wp:anchor distT="0" distB="0" distL="114300" distR="114300" simplePos="0" relativeHeight="251658240" behindDoc="1" locked="0" layoutInCell="1" allowOverlap="1" wp14:anchorId="5E1D8425" wp14:editId="476DAFAF">
                <wp:simplePos x="0" y="0"/>
                <wp:positionH relativeFrom="page">
                  <wp:posOffset>4958080</wp:posOffset>
                </wp:positionH>
                <wp:positionV relativeFrom="page">
                  <wp:posOffset>299720</wp:posOffset>
                </wp:positionV>
                <wp:extent cx="2089785" cy="411480"/>
                <wp:effectExtent l="0" t="0" r="0" b="0"/>
                <wp:wrapNone/>
                <wp:docPr id="2036142582" name="Text Box 2036142582" descr="P1TB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9785" cy="41148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F535F08" w14:textId="58C639D1" w:rsidR="00B64D66" w:rsidRPr="007E14BD" w:rsidRDefault="001E436B" w:rsidP="007E14BD">
                            <w:pPr>
                              <w:spacing w:before="160"/>
                              <w:jc w:val="right"/>
                              <w:rPr>
                                <w:color w:val="1F3864" w:themeColor="accent1" w:themeShade="80"/>
                                <w:sz w:val="28"/>
                                <w:szCs w:val="28"/>
                              </w:rPr>
                            </w:pPr>
                            <w:r w:rsidRPr="007E14BD">
                              <w:rPr>
                                <w:color w:val="1F3864" w:themeColor="accent1" w:themeShade="80"/>
                                <w:sz w:val="28"/>
                                <w:szCs w:val="28"/>
                              </w:rPr>
                              <w:t>C.31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D8425" id="Text Box 2036142582" o:spid="_x0000_s1027" type="#_x0000_t202" alt="P1TB1bA#y1" style="position:absolute;margin-left:390.4pt;margin-top:23.6pt;width:164.55pt;height:3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" filled="f">
                <v:stroke opacity="0"/>
                <v:path arrowok="t"/>
                <v:textbox inset="0,0,0,0">
                  <w:txbxContent>
                    <w:p w14:paraId="4F535F08" w14:textId="58C639D1" w:rsidR="00B64D66" w:rsidRPr="007E14BD" w:rsidRDefault="001E436B" w:rsidP="007E14BD">
                      <w:pPr>
                        <w:spacing w:before="160"/>
                        <w:jc w:val="right"/>
                        <w:rPr>
                          <w:color w:val="1F3864" w:themeColor="accent1" w:themeShade="80"/>
                          <w:sz w:val="28"/>
                          <w:szCs w:val="28"/>
                        </w:rPr>
                      </w:pPr>
                      <w:r w:rsidRPr="007E14BD">
                        <w:rPr>
                          <w:color w:val="1F3864" w:themeColor="accent1" w:themeShade="80"/>
                          <w:sz w:val="28"/>
                          <w:szCs w:val="28"/>
                        </w:rPr>
                        <w:t>C.31</w:t>
                      </w:r>
                    </w:p>
                  </w:txbxContent>
                </v:textbox>
                <w10:wrap anchorx="page" anchory="page"/>
              </v:shape>
            </w:pict>
          </mc:Fallback>
        </mc:AlternateContent>
      </w:r>
      <w:r w:rsidR="00C80EB8">
        <w:rPr>
          <w:noProof/>
        </w:rPr>
        <mc:AlternateContent>
          <mc:Choice Requires="wps">
            <w:drawing>
              <wp:anchor distT="0" distB="0" distL="114300" distR="114300" simplePos="0" relativeHeight="251658245" behindDoc="0" locked="0" layoutInCell="1" allowOverlap="1" wp14:anchorId="1500F8A8" wp14:editId="4E1B31D8">
                <wp:simplePos x="0" y="0"/>
                <wp:positionH relativeFrom="column">
                  <wp:posOffset>4141578</wp:posOffset>
                </wp:positionH>
                <wp:positionV relativeFrom="paragraph">
                  <wp:posOffset>1174</wp:posOffset>
                </wp:positionV>
                <wp:extent cx="1600873" cy="768227"/>
                <wp:effectExtent l="0" t="0" r="0" b="0"/>
                <wp:wrapNone/>
                <wp:docPr id="1763629" name="Text Box 1763629" descr="P1TB8#y1"/>
                <wp:cNvGraphicFramePr/>
                <a:graphic xmlns:a="http://schemas.openxmlformats.org/drawingml/2006/main">
                  <a:graphicData uri="http://schemas.microsoft.com/office/word/2010/wordprocessingShape">
                    <wps:wsp>
                      <wps:cNvSpPr txBox="1"/>
                      <wps:spPr>
                        <a:xfrm>
                          <a:off x="0" y="0"/>
                          <a:ext cx="1600873" cy="768227"/>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noFill/>
                        </a:ln>
                      </wps:spPr>
                      <wps:txbx>
                        <w:txbxContent>
                          <w:p w14:paraId="7335D3B6" w14:textId="77777777" w:rsidR="004306B2" w:rsidRDefault="004306B2" w:rsidP="006F0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0F8A8" id="Text Box 1763629" o:spid="_x0000_s1028" type="#_x0000_t202" alt="P1TB8#y1" style="position:absolute;margin-left:326.1pt;margin-top:.1pt;width:126.05pt;height:6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" stroked="f" strokeweight=".5pt">
                <v:fill r:id="rId13" o:title="P1TB8#y1" recolor="t" rotate="t" type="frame"/>
                <v:textbox>
                  <w:txbxContent>
                    <w:p w14:paraId="7335D3B6" w14:textId="77777777" w:rsidR="004306B2" w:rsidRDefault="004306B2" w:rsidP="006F0BB5"/>
                  </w:txbxContent>
                </v:textbox>
              </v:shape>
            </w:pict>
          </mc:Fallback>
        </mc:AlternateContent>
      </w:r>
    </w:p>
    <w:p w14:paraId="323ECF59" w14:textId="74627B0B" w:rsidR="0083796A" w:rsidRDefault="005C7A30" w:rsidP="00B24C3C">
      <w:pPr>
        <w:rPr>
          <w:b/>
        </w:rPr>
        <w:sectPr w:rsidR="0083796A" w:rsidSect="004A30FB">
          <w:footerReference w:type="even" r:id="rId14"/>
          <w:footerReference w:type="default" r:id="rId15"/>
          <w:footerReference w:type="first" r:id="rId16"/>
          <w:pgSz w:w="11906" w:h="16838"/>
          <w:pgMar w:top="1418" w:right="1418" w:bottom="1134" w:left="1418" w:header="709" w:footer="624" w:gutter="0"/>
          <w:pgNumType w:start="1"/>
          <w:cols w:space="708"/>
          <w:titlePg/>
          <w:docGrid w:linePitch="360"/>
        </w:sectPr>
      </w:pPr>
      <w:r>
        <w:rPr>
          <w:noProof/>
        </w:rPr>
        <mc:AlternateContent>
          <mc:Choice Requires="wps">
            <w:drawing>
              <wp:anchor distT="0" distB="0" distL="114300" distR="114300" simplePos="0" relativeHeight="251658243" behindDoc="1" locked="0" layoutInCell="1" allowOverlap="1" wp14:anchorId="7CAF3F71" wp14:editId="0EC908A5">
                <wp:simplePos x="0" y="0"/>
                <wp:positionH relativeFrom="page">
                  <wp:posOffset>829388</wp:posOffset>
                </wp:positionH>
                <wp:positionV relativeFrom="page">
                  <wp:posOffset>4566920</wp:posOffset>
                </wp:positionV>
                <wp:extent cx="2089785" cy="411480"/>
                <wp:effectExtent l="0" t="0" r="0" b="0"/>
                <wp:wrapNone/>
                <wp:docPr id="5" name="Text Box 5" descr="P2TB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9785" cy="41148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3A46279" w14:textId="77777777" w:rsidR="004306B2" w:rsidRPr="00A2496B" w:rsidRDefault="004306B2" w:rsidP="00A93500">
                            <w:pPr>
                              <w:spacing w:before="160"/>
                              <w:rPr>
                                <w:color w:val="1F3864" w:themeColor="accent1" w:themeShade="80"/>
                                <w:sz w:val="32"/>
                                <w:szCs w:val="32"/>
                              </w:rPr>
                            </w:pPr>
                            <w:r w:rsidRPr="00A2496B">
                              <w:rPr>
                                <w:color w:val="1F3864" w:themeColor="accent1" w:themeShade="80"/>
                                <w:sz w:val="32"/>
                                <w:szCs w:val="32"/>
                              </w:rPr>
                              <w:t>April</w:t>
                            </w:r>
                            <w:r w:rsidRPr="00A2496B">
                              <w:rPr>
                                <w:color w:val="1F3864" w:themeColor="accent1" w:themeShade="80"/>
                                <w:spacing w:val="-15"/>
                                <w:sz w:val="32"/>
                                <w:szCs w:val="32"/>
                              </w:rPr>
                              <w:t xml:space="preserve"> </w:t>
                            </w:r>
                            <w:r w:rsidRPr="00A2496B">
                              <w:rPr>
                                <w:color w:val="1F3864" w:themeColor="accent1" w:themeShade="80"/>
                                <w:spacing w:val="-4"/>
                                <w:sz w:val="32"/>
                                <w:szCs w:val="32"/>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F3F71" id="Text Box 5" o:spid="_x0000_s1029" type="#_x0000_t202" alt="P2TB4bA#y1" style="position:absolute;margin-left:65.3pt;margin-top:359.6pt;width:164.55pt;height:32.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" filled="f">
                <v:stroke opacity="0"/>
                <v:path arrowok="t"/>
                <v:textbox inset="0,0,0,0">
                  <w:txbxContent>
                    <w:p w14:paraId="23A46279" w14:textId="77777777" w:rsidR="004306B2" w:rsidRPr="00A2496B" w:rsidRDefault="004306B2" w:rsidP="00A93500">
                      <w:pPr>
                        <w:spacing w:before="160"/>
                        <w:rPr>
                          <w:color w:val="1F3864" w:themeColor="accent1" w:themeShade="80"/>
                          <w:sz w:val="32"/>
                          <w:szCs w:val="32"/>
                        </w:rPr>
                      </w:pPr>
                      <w:r w:rsidRPr="00A2496B">
                        <w:rPr>
                          <w:color w:val="1F3864" w:themeColor="accent1" w:themeShade="80"/>
                          <w:sz w:val="32"/>
                          <w:szCs w:val="32"/>
                        </w:rPr>
                        <w:t>April</w:t>
                      </w:r>
                      <w:r w:rsidRPr="00A2496B">
                        <w:rPr>
                          <w:color w:val="1F3864" w:themeColor="accent1" w:themeShade="80"/>
                          <w:spacing w:val="-15"/>
                          <w:sz w:val="32"/>
                          <w:szCs w:val="32"/>
                        </w:rPr>
                        <w:t xml:space="preserve"> </w:t>
                      </w:r>
                      <w:r w:rsidRPr="00A2496B">
                        <w:rPr>
                          <w:color w:val="1F3864" w:themeColor="accent1" w:themeShade="80"/>
                          <w:spacing w:val="-4"/>
                          <w:sz w:val="32"/>
                          <w:szCs w:val="32"/>
                        </w:rPr>
                        <w:t>2025</w:t>
                      </w:r>
                    </w:p>
                  </w:txbxContent>
                </v:textbox>
                <w10:wrap anchorx="page" anchory="page"/>
              </v:shape>
            </w:pict>
          </mc:Fallback>
        </mc:AlternateContent>
      </w:r>
      <w:r w:rsidR="00D97462">
        <w:rPr>
          <w:noProof/>
        </w:rPr>
        <w:drawing>
          <wp:anchor distT="0" distB="0" distL="0" distR="0" simplePos="0" relativeHeight="251658246" behindDoc="1" locked="0" layoutInCell="1" allowOverlap="1" wp14:anchorId="57759CF0" wp14:editId="042AF36F">
            <wp:simplePos x="0" y="0"/>
            <wp:positionH relativeFrom="page">
              <wp:align>left</wp:align>
            </wp:positionH>
            <wp:positionV relativeFrom="page">
              <wp:align>bottom</wp:align>
            </wp:positionV>
            <wp:extent cx="7578725" cy="5757545"/>
            <wp:effectExtent l="0" t="0" r="3175" b="0"/>
            <wp:wrapNone/>
            <wp:docPr id="7" name="Picture 7" descr="P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2#y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8725" cy="5757545"/>
                    </a:xfrm>
                    <a:prstGeom prst="rect">
                      <a:avLst/>
                    </a:prstGeom>
                  </pic:spPr>
                </pic:pic>
              </a:graphicData>
            </a:graphic>
            <wp14:sizeRelH relativeFrom="margin">
              <wp14:pctWidth>0</wp14:pctWidth>
            </wp14:sizeRelH>
            <wp14:sizeRelV relativeFrom="margin">
              <wp14:pctHeight>0</wp14:pctHeight>
            </wp14:sizeRelV>
          </wp:anchor>
        </w:drawing>
      </w:r>
      <w:r w:rsidR="004306B2">
        <w:br w:type="page"/>
      </w:r>
    </w:p>
    <w:p w14:paraId="19D029B7" w14:textId="6C986BB4" w:rsidR="00A062D4" w:rsidRDefault="00C364BF">
      <w:pPr>
        <w:spacing w:before="0" w:after="0" w:line="240" w:lineRule="auto"/>
        <w:sectPr w:rsidR="00A062D4" w:rsidSect="00F96A50">
          <w:footerReference w:type="even" r:id="rId18"/>
          <w:footerReference w:type="default" r:id="rId19"/>
          <w:pgSz w:w="11906" w:h="16838"/>
          <w:pgMar w:top="1418" w:right="1418" w:bottom="1134" w:left="1418" w:header="709" w:footer="624" w:gutter="0"/>
          <w:pgNumType w:start="1"/>
          <w:cols w:space="708"/>
          <w:docGrid w:linePitch="360"/>
        </w:sectPr>
      </w:pPr>
      <w:r w:rsidRPr="0074415A">
        <w:rPr>
          <w:noProof/>
        </w:rPr>
        <w:lastRenderedPageBreak/>
        <mc:AlternateContent>
          <mc:Choice Requires="wps">
            <w:drawing>
              <wp:anchor distT="0" distB="0" distL="114300" distR="114300" simplePos="0" relativeHeight="251658241" behindDoc="1" locked="0" layoutInCell="1" allowOverlap="1" wp14:anchorId="51064B42" wp14:editId="3D2CA0D5">
                <wp:simplePos x="0" y="0"/>
                <wp:positionH relativeFrom="page">
                  <wp:align>right</wp:align>
                </wp:positionH>
                <wp:positionV relativeFrom="page">
                  <wp:align>top</wp:align>
                </wp:positionV>
                <wp:extent cx="7636510" cy="10796905"/>
                <wp:effectExtent l="0" t="0" r="2540" b="4445"/>
                <wp:wrapNone/>
                <wp:docPr id="691039944" name="Rectangle 691039944" descr="P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6510" cy="10796905"/>
                        </a:xfrm>
                        <a:prstGeom prst="rect">
                          <a:avLst/>
                        </a:prstGeom>
                        <a:blipFill>
                          <a:blip r:embed="rId20"/>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D3820" id="Rectangle 691039944" o:spid="_x0000_s1026" alt="P3#y1" style="position:absolute;margin-left:550.1pt;margin-top:0;width:601.3pt;height:850.15pt;z-index:-25165823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QAAAAAAQUAAklE/9sAhAACAgIFAgUHBQUH&#10;CAcGBwgJCQgICQkLCgoKCgoLDAsLCwsLCwwMDAwMDAwMDAwMDAwMDAwMDAwMDAwMDAwMDAwMAQME&#10;BAoFCg8KCg8PDg4ODw8ODg4ODw8MDg4ODA8PDBEREREMDwwREREREQwRERERERERERERERERERER&#10;ERERERH/wAARCA20Ca8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Z6i+I+/IcY7wyot8x4jDxDvRTuQ8cPEFbrXG0N4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TVrmmBty28KuxV2KuxVutMNq7kcNopv&#10;mfE4eI96036jeJ+/HjPeVoN+q3jh8Q96OEN+sw74fFPevCG/Xbxw+NLvRwBv6w2HxpLwBv6y2Hxy&#10;jgDf1pvbD458l4A39aPhh/MFHA39b9sP5jyXw2/rft+OH8x5L4bf1seGH8x5I4F31oeByX5gI4C3&#10;9ZX3w+OPNeAt/WVw+MEcBb9dT3w+NHvXhLfrL45LxR3o4Su9RfEYeMd4Wi3yHjh4gil1claH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x/Oac5sGmSEiELg+TGRaXB8sGQIpcDXJg2hvCrsVdirsVdirsVdirsVdi&#10;rsVdirsVdirsVdirsVdirsVdirsVdirsVbqRhtFN8yO5yXEe9aXeq3icPiHvRwhv128cl4su9HCF&#10;31hsPjSXgDf1pvbJeOUcAXfWj4YfzBRwLvrftkvzHkvht/Wh4ZL8x5I4F31pffD4480cBXC5XJeO&#10;EcBXCdT3yXix714S2JVPcZLxB3ooruYPfDxDvRS7JI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Y/nNOc7FXYq7FXYq2GIyQkQhcHywZFpcHGTGQFFL61ywG0Ox&#10;V2KuxV2KuxV2KuxV2KuxV2KuxV2KuxV2KuxV2KuxV2KuxV2KuxV2KuxV2KuxV2KuxV2KuxV2KuxV&#10;2KuxVcGI75LiKKXCVh3OS8Q96OELhOw75LxZd6OALhctkvHKOANi6PgMl+YK8C4XftkvzHkjw14u&#10;h4ZL8wO5HAuF0vvkvHCOArhcKe+S8aKOArhKp75LxB3o4SuDg9xkuId6KXZJD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H85pznYq7FXYq7FXYq7FXYq7FVwYjJiZCKXB8sGRFLgwOWCQK0uySHYq7FX&#10;Yq7FXYq7FXYq7FXYq7FXYq7FXYq7FXYq7FXYq7FXYq7FXYq7FXYq7FXYq7FXYq7FXYq7FXYq7FXY&#10;q7FXYq7FXYq7FXYq7FXdMKrg5Hc5LiI6opeJmHfJeIe9HCFwuGGS8aSOALhdH2yXjnyRwLxd+2TG&#10;o8keGuF0PDJDUBHAuFypyYzhHAV4nU98l4se9HCVwkB7jJcYPVjS+tcnaH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WP5zTnOxV2Ku&#10;xV2KuxV2KuxV2KuxV2KuxVsGmEGkLg+WDIVpcHGWDIEUuBrlgNobxV2KuxV2KuxV2KuxV2KuxV2K&#10;uxV2KuxV2KuxV2KuxV2KuxV2KuxV2KuxV2KuxV2KuxV2KuxV2KuxV2KuxV2KuxV2KuxV2KuxV2Ku&#10;xV2KuxV2KuxV2KuxV2Krg5Hc5ISIRS8TMO+TGUjqjhC4XLDJjMUcAXi6PhkhqCx4F4u/bJ/mPJHh&#10;rhdL75MZwjgK8XCnvkhmijhK8SKe4yYmD1RRXA1yYNsW8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j+c05zsVdirsVdirsV&#10;dirsVdirsVdirsVdirsVdirsVdirsVdirYYjJCRCF4fLRkRS4MDlgkChdkldirsVdirsVdirsVdi&#10;rsVdirsVdirsVdirsVdirsVdirsVdirsVdirsVdirsVdirsVdirsVdirsVdirsVdirsVdirsVdir&#10;sVdirsVdirsVdirsVdirsVdirsVdirsVdirsVdirsVdirsVdirsVXByO+SEiEUvEzDvkxlI6o4Qv&#10;FywyYzljwBeLv2yY1Hkjw14uh4HLBqAjgVBcKe+TGaLHgK8SA9xkxMHqil9a5Ni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j+c05zsVdirsVdirsVdirsVdirsVdirsVdirsVd&#10;irsVdirsVdirsVdirsVdirsVdirsVdirsVdirsVdirsVdirsVdirsVdirsVdirsVdirsVdirsVdi&#10;rsVdirsVdirsVdirsVdirsVdirsVdirsVdirsVdirsVdirsVdirsVdirsVXB6ZYJ0ilQNXLxIFiu&#10;yS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qizMvfLRkIYmIKut14jLhqO9gYK&#10;6zq3fLxmBYGJCtWuXMH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x/Oac52KuxV2KuxV2KuxV2KuxV2KuxV2KuxV2KuxV2KuxV2Ku&#10;xV2KuxV2KuxV2KuxV2KuxV2KuxV2KuxV2KuxV2KuxV2KuxV2KuxV2KuxV2KuxV2KuxV2KuxV2Kux&#10;V2KuxV2KuxV2KuxV2KuxV2KuxV2KuxV2KuxV2KuxV2KuxV2KuxV2Krw9MtGSkUqBq5cJWxbyS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sMV6ZIEjkgi1dblh13y4ZyGBgFdbo&#10;Hrtl4zg82Bgrq4bocvEgeTAil2S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WP5zTnOxV2KuxV2KuxV2KuxV2KuxV2KuxV2KuxV2KuxV2KuxV2&#10;KuxV2KuxV2KuxV2KuxV2KuxV2KuxV2KuxV2KuxV2KuxV2KuxV2KuxV2KuxV2KuxV2KuxV2KuxV2K&#10;uxV2KuxV2KuxV2KuxV2KuxV2KuxV2KuxV2KuxV2KuxV2KuxV2KuxV2KuxVeHplscneilQGuXg2xb&#10;w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Cqqs7L3yyOUhiYgq63XiM&#10;yI6jvazBELMrd8vjkBYGJCpljF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j+c05zsVdirsVdirsVdirsVdirsVdirsVdirsVdirsVdirsVdirsVdirsVd&#10;irsVdirsVdirsVdirsVdirsVdirsVdirsVdirsVdirsVdirsVdirsVdirsVdirsVdirsVdirsVdi&#10;rsVdirsVdirsVdirsVdirsVdirsVdirsVdirsVdirsVdirsVdirsN0qoH8ctjk72NLwa5cDaG8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r1kKdDkxMx5IItXW6I6j&#10;L46g9WswV1uFb2zIjmBYGBCsDXLgbYt4o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Y/nNOc7FXYq7FXYq7FXYq7FXYq7FXYq7FXYq7FXYq7FXYq7FXYq7FXYq7FXYq7&#10;FXYq7FXYq7FXYq7FXYq7FXYq7FXYq7FXYq7FXYq7FXYq7FXYq7FXYq7FXYq7FXYq7FXYq7FXYq7F&#10;XYq7FXYq7FXYq7FXYq7FXYq7FXYq7FXYq7FXYq7FXYq7FXYq7FXYq4GmEGkKgfxy6OTvRSplyH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WwxXpkgaRVq63JHXf&#10;L45yGBgiFuVPXbL45wWBgVcMG6ZeCDyYU3h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WP5zTnOxV2KuxV2KuxV2KuxV2KuxV2KuxV2KuxV2KuxV2KuxV2KuxV2KuxV2KuxV2Ku&#10;xV2KuxV2KuxV2KuxV2KuxV2KuxV2KuxV2KuxV2KuxV2KuxV2KuxV2KuxV2KuxV2KuxV2KuxV2Kux&#10;V2KuxV2KuxV2KuxV2KuxV2KuxV2KuxV2KuxV2KuxV2KuxV2KuxV2Ktg0yQNIVA9cvjktFL8s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wqiEuCvXfL45iPNgYWiknD5lRyiTUYkK2&#10;XMHYq7FXYq7FXYq7FXYq7FXYq7FXYq7FXYq7FXYq7FXYq7FXYq7FXYq7FXYq7FXYq7FXYq7FXYq7&#10;FXYq7FXYq7FXYq7FXYq7FXYq7FXYq7FXYq7FXYq7FXYq7FXYq7FXYq7FXYq7FXYq7FWP5zTnO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qiv45dHJ3saVMv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qpMUy2OQxYmIKLS4Dddsy45geezUYUiOuZDW7FXYq7FXYq7F&#10;XYq7FXYq7FXYq7FXYq7FXYq7FXYq7FXYq7FXYq7FXYq7FXYq7FXYq7FXYq7FXYq7FXYq7FXYq7FX&#10;Yq7FXYq7FXYq7FXYq7FXYq7FXYq7FXYq7FXYq7FXYq7FXYqx/Oac5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rg1MnGVIVQa5kCVsW8k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q9JCnTJxmY8mJFotLoHrtmXHPfNrMESDy6Zkg21t4UOxV2KuxV2KuxV2KuxV2&#10;KuxV2KuxV2KuxV2KuxV2KuxV2KuxV2KuxV2KuxV2KuxV2KuxV2KuxV2KuxV2KuxV2KuxV2KuxV2K&#10;uxV2KuxV2KuxV2KuxV2KuxV2KuxV2KuxVj+c05z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umEGlVVeuXxnbGl+Wo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q5XKdMkJGPJBFopLrxzKjn72swRSsH6ZlCQlyaiKXZJDsVdirsVdirsVdirsVdirsVdirsV&#10;dirsVdirsVdirsVdirsVdirsVdirsVdirsVdirsVdirsVdirsVdirsVdirsVdirsVdirsVdirsVd&#10;irsVdirsVdirsVdirsVY/nNOc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vV6ZbGdIpVBrmQDbF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sM&#10;V6YQaRSJS6I65lRz1zazBFq4fpmXGYlyaiKX5JDsVdirsVdirsVdirsVdirsVdirsVdirsVdirsV&#10;dirsVdirsVdirsVdirsVdirsVdirsVdirsVdirsVdirsVdirsVdirsVdirsVdirsVdirsVdirsVd&#10;irsVY/nNOc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WwaZISp&#10;CqGrmTGVoXZJD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YNMN0qIS5I67&#10;5kxzkc2swRaSB+mZcZiXJqIpUybF2KuxV2KuxV2KuxV2KuxV2KuxV2KuxV2KuxV2KuxV2KuxV2Ku&#10;xV2KuxV2KuxV2KuxV2KuxV2KuxV2KuxV2KuxV2KuxV2KuxV2KuxV2KuxV2KuxV2KsfzmnO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qor+OZEZ97GlTLUO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3TCqIS5K9d8yI5iOe7WYIxJRJ&#10;0zLjkEmoxpUyxi7FXYq7FXYq7FXYq7FXYq7FXYq7FXYq7FXYq7FXYq7FXYq7FXYq7FXYq7FXYq7F&#10;XYq7FXYq7FXYq7FXYq7FXYq7FXYq7FXYq7FXYq7FXYq7FWP5zTnO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rlamWRnSKVQa5kA2xbw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iEuCvXfMiGYjzazC0Ykok6ZmRyCTUY0qZY&#10;xdirsVdirsVdirsVdirsVdirsVdirsVdirsVdirsVdirsVdirsVdirsVdirsVdirsVdirsVdirsV&#10;dirsVdirsVdirsVdirsVdirsVdirH85pzn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2DTJCVIVQ1cyYytC7JI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qulwU98vhmMWBhaMSYSZmQyCTSY0q5axdirsVdirsVdirsVd&#10;irsVdirsVdirsVdirsVdirsVdirsVdirsVdirsVdirsVdirsVdirsVdirsVdirsVdirsVdirsVdi&#10;rsVdirH85pzn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qq9cyIzvmxpflqH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VdLgp75fDMYsDC0Ykok6ZmwyCTSY0q5YxdirsVdirsVdirsVdirsVdirsVdirsVdirs&#10;VdirsVdirsVdirsVdirsVdirsVdirsVdirsVdirsVdirsVdirsVdirsVdirH85pzn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V6vTLYzpFKv&#10;XMjmx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qIS4K9d8&#10;yIZjHzazC0Ykok6ZmRyCTUY0qZYxdirsVdirsVdirsVdirsVdirsVdirsVdirsVdirsVdirsVdir&#10;sVdirsVdirsVdirsVdirsVdirsVdirsVdirsVdirH85pzn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2Gpk4ypCsDXMkSti3h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ohLkr13zJhmI57tZhaMSQ&#10;SdMzIzEuTURSpk2LsVdirsVdirsVdirsVdirsVdirsVdirsVdirsVdirsVdirsVdirsVdirsVdir&#10;sVdirsVdirsVdirsVdirsVY/nNOc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4GmEGkKytXMiM7RS7LEO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3TCqJjuSvXfMiGcjm1mCMSQP0zMjMS5NJFL&#10;8mh2KuxV2KuxV2KuxV2KuxV2KuxV2KuxV2KuxV2KuxV2KuxV2KuxV2KuxV2KuxV2KuxV2KuxV2Ku&#10;xV2KsfzmnO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VFfxy+M+9jSplyH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waYQaVEx3NOuZUM9c2owRisH6ZlxkJcmoil2SQ7FXYq7FXYq7F&#10;XYq7FXYq7FXYq7FXYq7FXYq7FXYq7FXYq7FXYq7FXYq7FXYq7FXYq7FXYq7FWP5zTnO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crUyyM6RSsDXMkG2L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bVivTJA0gi0XHc/zffmVDP3tRh3IsHl0zLBtrbwodirsVdirsVdirsVdirsVdir&#10;sVdirsVdirsVdirsVdirsVdirsVdirsVdirsVdirsVdirH85pzn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WwaZKMqQrA&#10;1zJErYt5J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uVynTJRkY8kEWjI7kHrtmZDPfNqMEUDXMq7anYq7FXYq7FXYq7FXYq7FXYq7FXYq7FXYq7FXYq&#10;7FXYq7FXYq7FXYq7FXYq7FXYq7FWP5zTn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wNMINIVlauZMZ2il2T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qJIY+mWRmY&#10;8mJjaMjuA/XY5mwzCXNqMKRGXtbsVdirsVdirsVdirsVdirsVdirsVdirsVdirsVdirsVdirsVdi&#10;rsVdirsVdirH85pzn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qK/jl8Z97GlTLkO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WjmMfyy6GUxYGNo2OYSfPM2G&#10;USajGlXLWDsVdirsVdirsVdirsVdirsVdirsVdirsVdirsVdirsVdirsVdirsVdirH85pzn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V6tTLYzpFKuZDF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Ex3JXrvmTDMRzazC0YkgfpmZGYlyaiKX5Ni7FXYq7F&#10;XYq7FXYq7FXYq7FXYq7FXYq7FXYq7FXYq7FXYq7FXYqx/Oac5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rlbjk4ypCqDXMkG2Le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2DTCDSouO5/m+/MuGfvajDuRYPLpmWDbU3hQ7FXYq7FXYq7FXYq7FXYq7F&#10;XYq7FXYq7FXYq7FXYq7FXYqx/Oac5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sGmSEqQrBq5kxlbF&#10;vJK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uRynTJxkY8kEWjY7gN12zMhmB5tJhSJzJa3Yq7FXYq7FXYq7FXYq7FXYq7FXYq7FXYq7FXYq7&#10;FXYqx/Oac5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6YQaVWVq5kxnbGl2T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VWOYx/LLYZDF&#10;iY2jo5hJ88zoZBJoMaVctYuxV2KuxV2KuxV2KuxV2KuxV2KuxV2KuxV2KuxVj+c05z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VVauZEZ3zY0vy1D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JjuSvXfMmGYjm1mCNVw/TM2MhLk0&#10;kUuySHYq7FXYq7FXYq7FXYq7FXYq7FXYq7FXYqx/Oac5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erZdGfexIVcv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2rFemSBrkgi0bHc165mQz3zajBFA1zKanYq7FXYq7FXYq7FXY&#10;q7FXYq7FXYq7FWP5zTnO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crUyyM6QQrdcy&#10;bti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VSOUx9MthkMWJjaOjmEnzzOhlEmkxpWy1g7FXYq7FXYq7FXYq7FXYq7FXYqx/Oac5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crUycZUhVBrmSDbFvC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RMdyV&#10;675kwzEc2swRqsH3GZsZCXJpIpdkkOxV2KuxV2KuxV2KuxV2KsfzmnO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YNMlGVIVga5lCVsW8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crFNxkhIx5IItGx3IbY7Zm&#10;wzXzaTCkTmS1uxV2KuxV2KuxV2KuxVj+c05z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YNMINIVVblmVGVoXZJD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qtHMY/ll0MpiwMbR0cok6ZnQyCTSY0qZYxdir&#10;sVdirsVdirH85pzn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phBpVZ&#10;WrmTGdsaXZND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YNMINKi47ns335lwz97UYdyLBrmYDbU3ih2KuxV2KsfzmnO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qqrVzIjO2NL8t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VRJDH0yyMzHkxMbR0cwk+eZ0Mok0mNK2XMHYq7FWP5zTnO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qitl8J97EhUy5D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qJjuCux3zKhmrm1mC&#10;OVg24zNBvk0kU3hQx/Oac5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r1amXQn3sSFXL0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r0cp0ycZGPJBFoxbkMPfMyOax5tJglGaNyn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6tTLYTpFKuZD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ofMJm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V6tTLIzpBCrmSx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Q+YTN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crUyyMqQrdcyQbY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D5hM3&#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uVu&#10;OTjKkKoNcyQbYt4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qHzCZ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tg0ycZUhWBrmSDbFvC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qHzCZ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sGmSjKkKwNcygbYt4&#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qHzCZ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tg0yQlSFYGuZQNsW8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ofMJm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WwaZIGkKwNcyhK2Le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h8wm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YN&#10;MINIVga5lRlbFvJK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h8wm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bBphBpCsDXMqMrYt5J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h8wm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YNMINIVga5lRlbFvJ&#10;K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h8wm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bBphBpCsDXMqMrYt5J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h8wm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NMINIVga5lRlbFvJK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h8wm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bB&#10;phBpCsDXMqMrYt5J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h&#10;8wm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YNMINIVga5lRlbFvJK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h8wm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bBphBpCsDXMuJti3h&#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ofMJm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2DTJA0hWBrmUDbFvC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qHzCZ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sGmSBpCsDXMoG2Le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h8wmb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YNM&#10;lGVIVga5lA2xbw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h8wmb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bBpkoypCsDXMoG2Le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h8wmb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q5Wpk4ypCt1zKBti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UPmEz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q5WplkZUhW65ks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UPmEz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XK1MshKkEK2ZLF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ofMJ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V6tTLYTp&#10;BVcyGL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qHzCZ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r1amXQn0YkKuXo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qHzCZ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URu2Xwn0YlUy5D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qHzCZ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qqtXMiE7YlflqH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h8wm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VVauZMJWxIX5Yh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D5hM3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VZWrmVGVsV2T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UPmEz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cDTCDSFdTXMqMrYt5J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UPmEz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YNMkDSFYGuZQNsW8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D5h&#10;M3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WwaZKMqQrg&#10;1zLBti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UPmEz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q5WplkZUhWzJY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ofMJm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vVqZbCVIKrmQx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qH&#10;zCZ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URu2Xwn0YlUy5D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qHzCZ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qqNXMiErYlflqH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h8wmb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VlauZUZWxXZND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qH&#10;zCZ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wNMINIVwa5lRlbFvJK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UPmEz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bBpkomkKwNcygbYt4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Q+YTN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rlbjk4ypCtm&#10;Ux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Q+YTN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erUy2EqQVXMhi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UPmEz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ojdsvhLoxKplyH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UPmEz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Vla&#10;uZMJWxK7LEO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D5hM3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dMINKrqa5lRlbBvJK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h8wm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bBpkomkKwNcygbYt4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qHzCZ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rlamWQlSCrZks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h8wmb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Xo1MuhLogquXs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mEz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VUauZEJWxK/LUO&#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D5hM3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rK3LMuMrYrskh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D5hM3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2DTJA0hWBrmUDbFvC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Q+YTN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crUycZU&#10;hWzKY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D5hM3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vRqZdCXRBVcvY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ofMJm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qq1cyYStiV+WI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qHzCZ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6Y&#10;QaVXU1zKjK2DeS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D5hM3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2DTJRNIVwa5lg2x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Q+YTN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crUyyEqQVbMli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UPmEz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qojdsvhLoxKplyHYq7FXYq7FXYq7FXYq7FXYq7FXYq7FXYq7FXYq7FXYq7FXYq7FXYq7&#10;FXYq7FXYq7FXYq7FXYq7FXYq7FXYq7FXYq7FXYq7FXYq7FXYq7FXYq7FXYq7FXYq7FXYq7FXYq7F&#10;XYq7FXYq7FXYq7FXYq7FXYq7FXYq7FXYq7FXYq7FXYq7FXYq7FXYq7FXYq7FXYq7FXYq7FXYq7FX&#10;Yq7FXYq7FXYq7FXYq7FXYq7FXYq7FXYq7FXYq7FXYq7FXYq7FXYq7FXYq7FXYq7FUPmEz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VlauZUZWxXZNDsVdirsVdirsVdirsVdirsVdirs&#10;VdirsVdirsVdirsVdirsVdirsVdirsVdirsVdirsVdirsVdirsVdirsVdirsVdirsVdirsVdirsV&#10;dirsVdirsVdirsVdirsVdirsVdirsVdirsVdirsVdirsVdirsVdirsVdirsVdirsVdirsVdirsVd&#10;irsVdirsVdirsVdirsVdirsVdirsVdirsVdirsVdirsVdirsVdirsVdirsVdirsVdirsVdirsVdi&#10;rsVdirsVdirsVQ+YTN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sGmEGkKwNcywbY&#10;t4VdirsVdirsVdirsVdirsVdirsVdirsVdirsVdirsVdirsVdirsVdirsVdirsVdirsVdirsVdir&#10;sVdirsVdirsVdirsVdirsVdirsVdirsVdirsVdirsVdirsVdirsVdirsVdirsVdirsVdirsVdirs&#10;VdirsVdirsVdirsVdirsVdirsVdirsVdirsVdirsVdirsVdirsVdirsVdirsVdirsVdirsVdirsV&#10;dirsVdirsVdirsVdirsVdirsVdirsVdirsVdirsVQ+YTN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rlamWQlSCrZksXYq7FXYq7FXYq7FXYq7FXYq7FXYq7FXYq7FXYq7FXYq7FXYq&#10;7FXYq7FXYq7FXYq7FXYq7FXYq7FXYq7FXYq7FXYq7FXYq7FXYq7FXYq7FXYq7FXYq7FXYq7FXYq7&#10;FXYq7FXYq7FXYq7FXYq7FXYq7FXYq7FXYq7FXYq7FXYq7FXYq7FXYq7FXYq7FXYq7FXYq7FXYq7F&#10;XYq7FXYq7FXYq7FXYq7FXYq7FXYq7FXYq7FXYq7FXYq7FXYq7FXYq7FXYq7FXYq7FUPmEz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VEbtl8JdGJVMuQ7FXYq7FXYq7FXYq7FXY&#10;q7FXYq7FXYq7FXYq7FXYq7FXYq7FXYq7FXYq7FXYq7FXYq7FXYq7FXYq7FXYq7FXYq7FXYq7FXYq&#10;7FXYq7FXYq7FXYq7FXYq7FXYq7FXYq7FXYq7FXYq7FXYq7FXYq7FXYq7FXYq7FXYq7FXYq7FXYq7&#10;FXYq7FXYq7FXYq7FXYq7FXYq7FXYq7FXYq7FXYq7FXYq7FXYq7FXYq7FXYq7FXYq7FXYq7FXYq7F&#10;XYq7FXYq7FXYq7FUPmEz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srVz&#10;KhK2JXZNDsVdirsVdirsVdirsVdirsVdirsVdirsVdirsVdirsVdirsVdirsVdirsVdirsVdirsV&#10;dirsVdirsVdirsVdirsVdirsVdirsVdirsVdirsVdirsVdirsVdirsVdirsVdirsVdirsVdirsVd&#10;irsVdirsVdirsVdirsVdirsVdirsVdirsVdirsVdirsVdirsVdirsVdirsVdirsVdirsVdirsVdi&#10;rsVdirsVdirsVdirsVdirsVdirsVdirsVdirsVdiqHzCZ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sGmEGkKwNcywbYt4VdirsVdirsVdirsVdirsVdirsVdirsVdirsVdir&#10;sVdirsVdirsVdirsVdirsVdirsVdirsVdirsVdirsVdirsVdirsVdirsVdirsVdirsVdirsVdirs&#10;VdirsVdirsVdirsVdirsVdirsVdirsVdirsVdirsVdirsVdirsVdirsVdirsVdirsVdirsVdirsV&#10;dirsVdirsVdirsVdirsVdirsVdirsVdirsVdirsVdirsVdirsVdirsVdirsVdirsVdiqHzCZ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rlamWQlSCrZksXYq7FXYq7FXYq&#10;7FXYq7FXYq7FXYq7FXYq7FXYq7FXYq7FXYq7FXYq7FXYq7FXYq7FXYq7FXYq7FXYq7FXYq7FXYq7&#10;FXYq7FXYq7FXYq7FXYq7FXYq7FXYq7FXYq7FXYq7FXYq7FXYq7FXYq7FXYq7FXYq7FXYq7FXYq7F&#10;XYq7FXYq7FXYq7FXYq7FXYq7FXYq7FXYq7FXYq7FXYq7FXYq7FXYq7FXYq7FXYq7FXYq7FXYq7FX&#10;Yq7FXYq7FXYq7FXYqh8wmb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VEbtl8JdGJVMuQ7FXYq7FXYq7FXYq7FXYq7FXYq7FXYq7FXYq7FXYq7FXYq7FXYq7FXYq7FXYq&#10;7FXYq7FXYq7FXYq7FXYq7FXYq7FXYq7FXYq7FXYq7FXYq7FXYq7FXYq7FXYq7FXYq7FXYq7FXYq7&#10;FXYq7FXYq7FXYq7FXYq7FXYq7FXYq7FXYq7FXYq7FXYq7FXYq7FXYq7FXYq7FXYq7FXYq7FXYq7F&#10;XYq7FXYq7FXYq7FXYq7FXYq7FXYq7FXYq7FXYq7FXYqh8wm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qsrVzKjK2K7JodirsVdirsVdirsVdirsVdirsVdirsVdir&#10;sVdirsVdirsVdirsVdirsVdirsVdirsVdirsVdirsVdirsVdirsVdirsVdirsVdirsVdirsVdirs&#10;VdirsVdirsVdirsVdirsVdirsVdirsVdirsVdirsVdirsVdirsVdirsVdirsVdirsVdirsVdirsV&#10;dirsVdirsVdirsVdirsVdirsVdirsVdirsVdirsVdirsVdirsVdirsVdirsVdirsVdiqHzCZ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tg0yUTSFYGuZQNsW8KuxV&#10;2KuxV2KuxV2KuxV2KuxV2KuxV2KuxV2KuxV2KuxV2KuxV2KuxV2KuxV2KuxV2KuxV2KuxV2KuxV2&#10;KuxV2KuxV2KuxV2KuxV2KuxV2KuxV2KuxV2KuxV2KuxV2KuxV2KuxV2KuxV2KuxV2KuxV2KuxV2K&#10;uxV2KuxV2KuxV2KuxV2KuxV2KuxV2KuxV2KuxV2KuxV2KuxV2KuxV2KuxV2KuxV2KuxV2KuxV2Ku&#10;xV2KuxV2KuxV2KuxV2KofMJm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VytTLISpBVsyWLsVdirsVdirsVdirsVdirsVdirsVdirsVdirsVdirsVdirsVdirsVd&#10;irsVdirsVdirsVdirsVdirsVdirsVdirsVdirsVdirsVdirsVdirsVdirsVdirsVdirsVdirsVdi&#10;rsVdirsVdirsVdirsVdirsVdirsVdirsVdirsVdirsVdirsVdirsVdirsVdirsVdirsVdirsVdir&#10;sVdirsVdirsVdirsVdirsVdirsVdirsVdirsVdirsVdiqHzCZ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qqNXMiEr2YlflqHYq7FXYq7FXYq7FXYq7FXYq7F&#10;XYq7FXYq7FXYq7FXYq7FXYq7FXYq7FXYq7FXYq7FXYq7FXYq7FXYq7FXYq7FXYq7FXYq7FXYq7FX&#10;Yq7FXYq7FXYq7FXYq7FXYq7FXYq7FXYq7FXYq7FXYq7FXYq7FXYq7FXYq7FXYq7FXYq7FXYq7FXY&#10;q7FXYq7FXYq7FXYq7FXYq7FXYq7FXYq7FXYq7FXYq7FXYq7FXYq7FXYq7FXYq7FXYq7FXYqh8wm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umEGlV1Ncyom&#10;2DeSV2KuxV2KuxV2KuxV2KuxV2KuxV2KuxV2KuxV2KuxV2KuxV2KuxV2KuxV2KuxV2KuxV2KuxV2&#10;KuxV2KuxV2KuxV2KuxV2KuxV2KuxV2KuxV2KuxV2KuxV2KuxV2KuxV2KuxV2KuxV2KuxV2KuxV2K&#10;uxV2KuxV2KuxV2KuxV2KuxV2KuxV2KuxV2KuxV2KuxV2KuxV2KuxV2KuxV2KuxV2KuxV2KuxV2Ku&#10;xV2KuxV2KuxV2KuxV2KuxVD5hM3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2ppk4ypCvmUxdirsVdirsVdirsVdirsVdirsVdirsVdirsVdirsVdirsVdi&#10;rsVdirsVdirsVdirsVdirsVdirsVdirsVdirsVdirsVdirsVdirsVdirsVdirsVdirsVdirsVdir&#10;sVdirsVdirsVdirsVdirsVdirsVdirsVdirsVdirsVdirsVdirsVdirsVdirsVdirsVdirsVdirs&#10;VdirsVdirsVdirsVdirsVdirsVdirsVdirsVdirsVdirsVQ+YTN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ejdsuxy6MSq5eh2KuxV2KuxV2KuxV2Ku&#10;xV2KuxV2KuxV2KuxV2KuxV2KuxV2KuxV2KuxV2KuxV2KuxV2KuxV2KuxV2KuxV2KuxV2KuxV2Kux&#10;V2KuxV2KuxV2KuxV2KuxV2KuxV2KuxV2KuxV2KuxV2KuxV2KuxV2KuxV2KuxV2KuxV2KuxV2KuxV&#10;2KuxV2KuxV2KuxV2KuxV2KuxV2KuxV2KuxV2KuxV2KuxV2KuxV2KuxV2KuxV2KuxV2KuxV2KofMJ&#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VZWr&#10;mVCVsSuyaHYq7FXYq7FXYq7FXYq7FXYq7FXYq7FXYq7FXYq7FXYq7FXYq7FXYq7FXYq7FXYq7FXY&#10;q7FXYq7FXYq7FXYq7FXYq7FXYq7FXYq7FXYq7FXYq7FXYq7FXYq7FXYq7FXYq7FXYq7FXYq7FXYq&#10;7FXYq7FXYq7FXYq7FXYq7FXYq7FXYq7FXYq7FXYq7FXYq7FXYq7FXYq7FXYq7FXYq7FXYq7FXYq7&#10;FXYq7FXYq7FXYq7FXYq7FUPmEz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YNMINIVga5lg2xbwq7FXYq7FXYq7FXYq7FXYq7FXYq7FXYq7FXYq7F&#10;XYq7FXYq7FXYq7FXYq7FXYq7FXYq7FXYq7FXYq7FXYq7FXYq7FXYq7FXYq7FXYq7FXYq7FXYq7FX&#10;Yq7FXYq7FXYq7FXYq7FXYq7FXYq7FXYq7FXYq7FXYq7FXYq7FXYq7FXYq7FXYq7FXYq7FXYq7FXY&#10;q7FXYq7FXYq7FXYq7FXYq7FXYq7FXYq7FXYq7FXYq7FXYq7FUPmEz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XK1MshKkFWzJYuxV2KuxV2Kux&#10;V2KuxV2KuxV2KuxV2KuxV2KuxV2KuxV2KuxV2KuxV2KuxV2KuxV2KuxV2KuxV2KuxV2KuxV2KuxV&#10;2KuxV2KuxV2KuxV2KuxV2KuxV2KuxV2KuxV2KuxV2KuxV2KuxV2KuxV2KuxV2KuxV2KuxV2KuxV2&#10;KuxV2KuxV2KuxV2KuxV2KuxV2KuxV2KuxV2KuxV2KuxV2KuxV2KuxV2KuxV2KuxV2KuxV2KuxVD5&#10;hM3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qo1cyYStiV+WIdirsVdirsVdirsVdirsVdirsVdirsVdirsVdirsVdirsVdirsVdirsVdirsV&#10;dirsVdirsVdirsVdirsVdirsVdirsVdirsVdirsVdirsVdirsVdirsVdirsVdirsVdirsVdirsVd&#10;irsVdirsVdirsVdirsVdirsVdirsVdirsVdirsVdirsVdirsVdirsVdirsVdirsVdirsVdirsVdi&#10;rsVdirsVdirsVdirsVdirsVQ+YTN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BphBpCuDXMuJti3hV2KuxV2KuxV2KuxV2KuxV2KuxV2KuxV&#10;2KuxV2KuxV2KuxV2KuxV2KuxV2KuxV2KuxV2KuxV2KuxV2KuxV2KuxV2KuxV2KuxV2KuxV2KuxV2&#10;KuxV2KuxV2KuxV2KuxV2KuxV2KuxV2KuxV2KuxV2KuxV2KuxV2KuxV2KuxV2KuxV2KuxV2KuxV2K&#10;uxV2KuxV2KuxV2KuxV2KuxV2KuxV2KuxV2KuxV2KuxV2KuxV2KofMJm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uU0ycJUgq2ZTF2KuxV&#10;2KuxV2KuxV2KuxV2KuxV2KuxV2KuxV2KuxV2KuxV2KuxV2KuxV2KuxV2KuxV2KuxV2KuxV2KuxV2&#10;KuxV2KuxV2KuxV2KuxV2KuxV2KuxV2KuxV2KuxV2KuxV2KuxV2KuxV2KuxV2KuxV2KuxV2KuxV2K&#10;uxV2KuxV2KuxV2KuxV2KuxV2KuxV2KuxV2KuxV2KuxV2KuxV2KuxV2KuxV2KuxV2KuxV2KuxV2Ko&#10;fMJm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VRG7Zfjl0YlUy5DsVdirsVdirsVdirsVdirsVdirsVdirsVdirsVdirsVdirsVdirsV&#10;dirsVdirsVdirsVdirsVdirsVdirsVdirsVdirsVdirsVdirsVdirsVdirsVdirsVdirsVdirsVd&#10;irsVdirsVdirsVdirsVdirsVdirsVdirsVdirsVdirsVdirsVdirsVdirsVdirsVdirsVdirsVdi&#10;rsVdirsVdirsVdirsVdirsVdiqHzCZ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q6muZcZWwbySuxV2KuxV2KuxV2KuxV2KuxV2Ku&#10;xV2KuxV2KuxV2KuxV2KuxV2KuxV2KuxV2KuxV2KuxV2KuxV2KuxV2KuxV2KuxV2KuxV2KuxV2Kux&#10;V2KuxV2KuxV2KuxV2KuxV2KuxV2KuxV2KuxV2KuxV2KuxV2KuxV2KuxV2KuxV2KuxV2KuxV2KuxV&#10;2KuxV2KuxV2KuxV2KuxV2KuxV2KuxV2KuxV2KuxV2KuxV2KuxVD5hM3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ymmTjKkK2ZTF2&#10;KuxV2KuxV2KuxV2KuxV2KuxV2KuxV2KuxV2KuxV2KuxV2KuxV2KuxV2KuxV2KuxV2KuxV2KuxV2K&#10;uxV2KuxV2KuxV2KuxV2KuxV2KuxV2KuxV2KuxV2KuxV2KuxV2KuxV2KuxV2KuxV2KuxV2KuxV2Ku&#10;xV2KuxV2KuxV2KuxV2KuxV2KuxV2KuxV2KuxV2KuxV2KuxV2KuxV2KuxV2KuxV2KuxV2KuxV2Kof&#10;MJm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VRG7Zfjl0YlUy5DsVdirsVdirsVdirsVdirsVdirsVdirsVdirsVdirsVdirsVd&#10;irsVdirsVdirsVdirsVdirsVdirsVdirsVdirsVdirsVdirsVdirsVdirsVdirsVdirsVdirsVdi&#10;rsVdirsVdirsVdirsVdirsVdirsVdirsVdirsVdirsVdirsVdirsVdirsVdirsVdirsVdirsVdir&#10;sVdirsVdirsVdirsVdirsVdiqHzCZ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qymuZcZWwXZJXYq7FXYq7FXYq7FXYq7FXY&#10;q7FXYq7FXYq7FXYq7FXYq7FXYq7FXYq7FXYq7FXYq7FXYq7FXYq7FXYq7FXYq7FXYq7FXYq7FXYq&#10;7FXYq7FXYq7FXYq7FXYq7FXYq7FXYq7FXYq7FXYq7FXYq7FXYq7FXYq7FXYq7FXYq7FXYq7FXYq7&#10;FXYq7FXYq7FXYq7FXYq7FXYq7FXYq7FXYq7FXYq7FXYq7FXYqh8wmb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mmSjKkK+&#10;ZbF2KuxV2KuxV2KuxV2KuxV2KuxV2KuxV2KuxV2KuxV2KuxV2KuxV2KuxV2KuxV2KuxV2KuxV2Ku&#10;xV2KuxV2KuxV2KuxV2KuxV2KuxV2KuxV2KuxV2KuxV2KuxV2KuxV2KuxV2KuxV2KuxV2KuxV2Kux&#10;V2KuxV2KuxV2KuxV2KuxV2KuxV2KuxV2KuxV2KuxV2KuxV2KuxV2KuxV2KuxV2KuxV2KuxV2KofM&#10;Jm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VRG7Zfjl0YlUy5DsVdirsVdirsVdirsVdirsVdirsVdirsVdirsVdirsVdi&#10;rsVdirsVdirsVdirsVdirsVdirsVdirsVdirsVdirsVdirsVdirsVdirsVdirsVdirsVdirsVdir&#10;sVdirsVdirsVdirsVdirsVdirsVdirsVdirsVdirsVdirsVdirsVdirsVdirsVdirsVdirsVdirs&#10;VdirsVdirsVdirsVdirsVdiqHzCZ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qymuZcZWwXZJXYq7FXYq7FXYq7FXYq&#10;7FXYq7FXYq7FXYq7FXYq7FXYq7FXYq7FXYq7FXYq7FXYq7FXYq7FXYq7FXYq7FXYq7FXYq7FXYq7&#10;FXYq7FXYq7FXYq7FXYq7FXYq7FXYq7FXYq7FXYq7FXYq7FXYq7FXYq7FXYq7FXYq7FXYq7FXYq7F&#10;XYq7FXYq7FXYq7FXYq7FXYq7FXYq7FXYq7FXYq7FXYq7FXYqh8wmb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mmSj&#10;KkK+ZbF2KuxV2KuxV2KuxV2KuxV2KuxV2KuxV2KuxV2KuxV2KuxV2KuxV2KuxV2KuxV2KuxV2Kux&#10;V2KuxV2KuxV2KuxV2KuxV2KuxV2KuxV2KuxV2KuxV2KuxV2KuxV2KuxV2KuxV2KuxV2KuxV2KuxV&#10;2KuxV2KuxV2KuxV2KuxV2KuxV2KuxV2KuxV2KuxV2KuxV2KuxV2KuxV2KuxV2KuxV2KuxV2KofMJ&#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VRG7Zfjl0YlUy5DsVdirsVdirsVdirsVdirsVdirsVdirsVdirsVdir&#10;sVdirsVdirsVdirsVdirsVdirsVdirsVdirsVdirsVdirsVdirsVdirsVdirsVdirsVdirsVdirs&#10;VdirsVdirsVdirsVdirsVdirsVdirsVdirsVdirsVdirsVdirsVdirsVdirsVdirsVdirsVdirsV&#10;dirsVdirsVdirsVdirsVdiqHzCZ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qymuZcZWwXZJXYq7FXYq7FXYq7&#10;FXYq7FXYq7FXYq7FXYq7FXYq7FXYq7FXYq7FXYq7FXYq7FXYq7FXYq7FXYq7FXYq7FXYq7FXYq7F&#10;XYq7FXYq7FXYq7FXYq7FXYq7FXYq7FXYq7FXYq7FXYq7FXYq7FXYq7FXYq7FXYq7FXYq7FXYq7FX&#10;Yq7FXYq7FXYq7FXYq7FXYq7FXYq7FXYq7FXYq7FXYq7FXYqh8wm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q5&#10;TTJxlSFbMpi7FXYq7FXYq7FXYq7FXYq7FXYq7FXYq7FXYq7FXYq7FXYq7FXYq7FXYq7FXYq7FXYq&#10;7FXYq7FXYq7FXYq7FXYq7FXYq7FXYq7FXYq7FXYq7FXYq7FXYq7FXYq7FXYq7FXYq7FXYq7FXYq7&#10;FXYq7FXYq7FXYq7FXYq7FXYq7FXYq7FXYq7FXYq7FXYq7FXYq7FXYq7FXYq7FXYq7FXYq7FUPmEz&#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qojdsvxy6MSqZch2KuxV2KuxV2KuxV2KuxV2KuxV2KuxV2KuxV2&#10;KuxV2KuxV2KuxV2KuxV2KuxV2KuxV2KuxV2KuxV2KuxV2KuxV2KuxV2KuxV2KuxV2KuxV2KuxV2K&#10;uxV2KuxV2KuxV2KuxV2KuxV2KuxV2KuxV2KuxV2KuxV2KuxV2KuxV2KuxV2KuxV2KuxV2KuxV2Ku&#10;xV2KuxV2KuxV2KuxV2KuxVD5hM3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CNlVwa5lRNsG8krsVdirsVd&#10;irsVdirsVdirsVdirsVdirsVdirsVdirsVdirsVdirsVdirsVdirsVdirsVdirsVdirsVdirsVdi&#10;rsVdirsVdirsVdirsVdirsVdirsVdirsVdirsVdirsVdirsVdirsVdirsVdirsVdirsVdirsVdir&#10;sVdirsVdirsVdirsVdirsVdirsVdirsVdirsVdirsVdirsVQ+YTN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cppk4SpBVsymLsVdirsVdirsVdirsVdirsVdirsVdirsVdirsVdirsVdirsVdirsVdirsVdi&#10;rsVdirsVdirsVdirsVdirsVdirsVdirsVdirsVdirsVdirsVdirsVdirsVdirsVdirsVdirsVdir&#10;sVdirsVdirsVdirsVdirsVdirsVdirsVdirsVdirsVdirsVdirsVdirsVdirsVdirsVdirsVQ+YT&#10;N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qqHMjHK9mJX5ah2KuxV2KuxV2KuxV2KuxV2KuxV2KuxV2&#10;KuxV2KuxV2KuxV2KuxV2KuxV2KuxV2KuxV2KuxV2KuxV2KuxV2KuxV2KuxV2KuxV2KuxV2KuxV2K&#10;uxV2KuxV2KuxV2KuxV2KuxV2KuxV2KuxV2KuxV2KuxV2KuxV2KuxV2KuxV2KuxV2KuxV2KuxV2Ku&#10;xV2KuxV2KuxV2KuxV2KuxVD5hM3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4GmEGkK4NcywbYt4Vdi&#10;rsVdirsVdirsVdirsVdirsVdirsVdirsVdirsVdirsVdirsVdirsVdirsVdirsVdirsVdirsVdir&#10;sVdirsVdirsVdirsVdirsVdirsVdirsVdirsVdirsVdirsVdirsVdirsVdirsVdirsVdirsVdirs&#10;VdirsVdirsVdirsVdirsVdirsVdirsVdirsVdirsVdirsVdiqHzCZ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rlamWQlSCrZksXYq7FXYq7FXYq7FXYq7FXYq7FXYq7FXYq7FXYq7FXYq7FXYq7FXYq&#10;7FXYq7FXYq7FXYq7FXYq7FXYq7FXYq7FXYq7FXYq7FXYq7FXYq7FXYq7FXYq7FXYq7FXYq7FXYq7&#10;FXYq7FXYq7FXYq7FXYq7FXYq7FXYq7FXYq7FXYq7FXYq7FXYq7FXYq7FXYq7FXYq7FXYq7FXYqh8&#10;wmb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VVauZMJWxK/LEOxV2KuxV2KuxV2KuxV2KuxV2K&#10;uxV2KuxV2KuxV2KuxV2KuxV2KuxV2KuxV2KuxV2KuxV2KuxV2KuxV2KuxV2KuxV2KuxV2KuxV2Ku&#10;xV2KuxV2KuxV2KuxV2KuxV2KuxV2KuxV2KuxV2KuxV2KuxV2KuxV2KuxV2KuxV2KuxV2KuxV2Kux&#10;V2KuxV2KuxV2KuxV2KuxV2KofMJm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WwaZIGkK4Ncyw&#10;bYuxV2KuxV2KuxV2KuxV2KuxV2KuxV2KuxV2KuxV2KuxV2KuxV2KuxV2KuxV2KuxV2KuxV2KuxV2&#10;KuxV2KuxV2KuxV2KuxV2KuxV2KuxV2KuxV2KuxV2KuxV2KuxV2KuxV2KuxV2KuxV2KuxV2KuxV2K&#10;uxV2KuxV2KuxV2KuxV2KuxV2KuxV2KuxV2KuxV2KuxV2KuxV2KofMJm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vQ5djl0YlVy9DsVdirsVdirsVdirsVdirsVdirsVdirsVdirsVdirsVdirs&#10;VdirsVdirsVdirsVdirsVdirsVdirsVdirsVdirsVdirsVdirsVdirsVdirsVdirsVdirsVdirsV&#10;dirsVdirsVdirsVdirsVdirsVdirsVdirsVdirsVdirsVdirsVdirsVdirsVdirsVdirsVdirsVQ&#10;+YTN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qymuZcZWxXZJDsVdirsVdirsVdirsVdi&#10;rsVdirsVdirsVdirsVdirsVdirsVdirsVdirsVdirsVdirsVdirsVdirsVdirsVdirsVdirsVdir&#10;sVdirsVdirsVdirsVdirsVdirsVdirsVdirsVdirsVdirsVdirsVdirsVdirsVdirsVdirsVdirs&#10;VdirsVdirsVdirsVdirsVdiqHzCZ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cppk4yp&#10;CtmUxdirsVdirsVdirsVdirsVdirsVdirsVdirsVdirsVdirsVdirsVdirsVdirsVdirsVdirsVd&#10;irsVdirsVdirsVdirsVdirsVdirsVdirsVdirsVdirsVdirsVdirsVdirsVdirsVdirsVdirsVdi&#10;rsVdirsVdirsVdirsVdirsVdirsVdirsVdirsVdirsVdirsVQ+YTN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URu2ZGOXRiVTLUOxV2KuxV2KuxV2KuxV2KuxV2KuxV2KuxV2KuxV2Kux&#10;V2KuxV2KuxV2KuxV2KuxV2KuxV2KuxV2KuxV2KuxV2KuxV2KuxV2KuxV2KuxV2KuxV2KuxV2KuxV&#10;2KuxV2KuxV2KuxV2KuxV2KuxV2KuxV2KuxV2KuxV2KuxV2KuxV2KuxV2KuxV2KuxV2KuxV2KuxVD&#10;5hM3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A0wg0hXBrmWDbFvCrsVdirsVdirsV&#10;dirsVdirsVdirsVdirsVdirsVdirsVdirsVdirsVdirsVdirsVdirsVdirsVdirsVdirsVdirsVd&#10;irsVdirsVdirsVdirsVdirsVdirsVdirsVdirsVdirsVdirsVdirsVdirsVdirsVdirsVdirsVdi&#10;rsVdirsVdirsVdirsVdirsVdiqHzCZ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ehplsJUgquZDF2KuxV2KuxV2KuxV2KuxV2KuxV2KuxV2KuxV2KuxV2KuxV2KuxV2KuxV2KuxV2Ku&#10;xV2KuxV2KuxV2KuxV2KuxV2KuxV2KuxV2KuxV2KuxV2KuxV2KuxV2KuxV2KuxV2KuxV2KuxV2Kux&#10;V2KuxV2KuxV2KuxV2KuxV2KuxV2KuxV2KuxV2KuxV2KuxV2KuxVD5hM3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VZTXMqErYldk0OxV2KuxV2KuxV2KuxV2KuxV2KuxV2KuxV2Ku&#10;xV2KuxV2KuxV2KuxV2KuxV2KuxV2KuxV2KuxV2KuxV2KuxV2KuxV2KuxV2KuxV2KuxV2KuxV2Kux&#10;V2KuxV2KuxV2KuxV2KuxV2KuxV2KuxV2KuxV2KuxV2KuxV2KuxV2KuxV2KuxV2KuxV2KuxV2KuxV&#10;D5hM3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WwaZKJpCvmWxdirsVdirsVdi&#10;rsVdirsVdirsVdirsVdirsVdirsVdirsVdirsVdirsVdirsVdirsVdirsVdirsVdirsVdirsVdir&#10;sVdirsVdirsVdirsVdirsVdirsVdirsVdirsVdirsVdirsVdirsVdirsVdirsVdirsVdirsVdirs&#10;VdirsVdirsVdirsVdirsVdiqHzCZ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UQ9svxy6MSqZch2KuxV2KuxV2KuxV2KuxV2KuxV2KuxV2KuxV2KuxV2KuxV2KuxV2KuxV2Kux&#10;V2KuxV2KuxV2KuxV2KuxV2KuxV2KuxV2KuxV2KuxV2KuxV2KuxV2KuxV2KuxV2KuxV2KuxV2KuxV&#10;2KuxV2KuxV2KuxV2KuxV2KuxV2KuxV2KuxV2KuxV2KuxV2KuxVD5hM3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phBpVcGuZcTbBvCrsVdirsVdirsVdirsVdirsVdirsVdir&#10;sVdirsVdirsVdirsVdirsVdirsVdirsVdirsVdirsVdirsVdirsVdirsVdirsVdirsVdirsVdirs&#10;VdirsVdirsVdirsVdirsVdirsVdirsVdirsVdirsVdirsVdirsVdirsVdirsVdirsVdirsVdirsV&#10;Q+YTN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chplkJUgq2ZLF2KuxV&#10;2KuxV2KuxV2KuxV2KuxV2KuxV2KuxV2KuxV2KuxV2KuxV2KuxV2KuxV2KuxV2KuxV2KuxV2KuxV2&#10;KuxV2KuxV2KuxV2KuxV2KuxV2KuxV2KuxV2KuxV2KuxV2KuxV2KuxV2KuxV2KuxVquC1dUY8QVrk&#10;MHEFdzGDjCadzGPGFprmMHiBadzGDxAtNc8fEWnepg8Rad6mDxFprnj4i07mcHiFNO5nHxCtNczg&#10;8QrTuZx4ytLcrS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VZTXMqE&#10;rYldk0OxV2KuxV2KuxV2KuxV2KuxV2KuxV2KuxV2KuxV2KuxV2KuxV2KuxV2KuxV2KuxV2KuxV2K&#10;uxV2KuxV2KuxV2KuxV2KuxV2KuxV2KuxV1cbVqowcQVrkMHEFdzGDjCaa5jB4gWnc8HiLTXqYPEW&#10;nepg8Raa5nB4hTTuZx8QrTXM4OMrTuRwcZWmqnBxFXVwWrWNpdg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tg0yU&#10;TSFfMti7FXYq7FXYq7FXYq7FXYq7FXYq7FXYq7FXYq7FXYq7FXYq7FXYq7FXYq7FXYq7FXYq7FXY&#10;q7FWq0xtXchkeIK1zGDjCaa5jB4gWnc8HiLTXqYPEWmueDxE07mcHiFaa5nBxlaa5HBxFXVyNlWs&#10;C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VRD2y/HLoxKpl&#10;yHYq7FXYq7FXYq7FXYq7FXYq7FXYq7FXYq7FXYq7FXYq7FWq4LCtchg4wmmuYyPiBadzweItNepg&#10;8Raa55HxCmmuZweIVp3I4OMrTVcHEVayK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DbCDSq4NcywbYN4VdirsVdirsV&#10;dirsVdirsVa5DBxBWuYyPGE01zGR8QLTXqYPEWmueDxE01zOR8QrTuRwcZWmq5GyrWBL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XoaZbCVIKpWmX2xa5DBxhWuYyPiBNNepkfEWmueDx&#10;Fprmcj4hTTuRwcZWmq1yNq1gS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Vp&#10;iq3mMFppb6gwcS8LXq4ONPCt9XI8aeFr1Dg4lpbzOC001XAlEI3IZdE21kUvySH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1WmNq1zGR4k0t9UYOJPCtMuDjXhaMpwcSeFb6hwcR&#10;TS3kTgtLWBXYq7FXYq7FXYq7FXYquRuJyQNIItFZc1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aWAwWmlvqDI8S8K31cHGnhaMpwcSeFaZCcHEU0tLE4LS1gV2KuxV2KuxV2KuxV2KuxV2KuxV2Kux&#10;V2KuxV2Kq8bV2y2JYSCrk2L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arTFVpcDI8QTTRlGDiTwrTLg408K31DkeJaWlicF&#10;ppbgS7FXYq7FXYq7FXYq7FXYq7FXYq7FXYq7FXYq7FXYq7FXYq7FXYq7FXYq2pphBpUUDXL2pv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Wq0xV&#10;aXAyPEmlplGDiTwrTLg408K0yE5HiKaWlicFrTWBLsVdirsVdirsVdirsVdirsVdirsVdirsVdir&#10;sVdirsVdirsVdirsVdirsVdirsVdirsVdirsVVom7ZZEsZBWyxg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VpYDBaaWmUZHiTwrTLg408K0yHI8S0tLE4LTS3Al2K&#10;uxV2KuxV2KuxV2KuxV2KuxV2KuxV2KuxV2KuxV2KuxV2KuxV2KuxV2KuxV2KuxV2KuxV2KuxV2Ku&#10;xV2KuxV2KuBpiqKU8hl4NtRFLs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tE0wWq0&#10;yAYOIJpaZcjxp4VplODiTwrC5ODiTS2tcil2KuxV2KuxV2KuxV2KuxV2KuxV2KuxV2KuxV2KuxV2&#10;KuxV2KuxV2KuxV2KuxV2KuxV2KuxV2KuxV2KuxV2KuxV2KuxV2KuxV2KuxV2KuxVUjahycTTEhEZ&#10;aw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YDBa0sMgGDiTwrTLkeNPCtMhwcSaWlicjaaW4EuxV2K&#10;uxV2KuxV2KuxV2KuxV2KuxV2KuxV2KuxV2KuxV2KuxV2KuxV2KuxV2KuxV2KuxV2KuxV2KuxV2Ku&#10;xV2KuxV2KuxV2KuxV2KuxV2KuxV2KuxV2KuxV2KolG5DLom2shfkkO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osBgtaWG&#10;QDBxJ4VplyPGnhWGQnI8TKlpYnBaWsCuxV2KuxV2KuxV2KuxV2KuxV2KuxV2KuxV2KuxV2KuxV2K&#10;uxV2KuxV2KuxV2KuxV2KuxV2KuxV2KuxV2KuxV2KuxV2KuxV2KuxV2KuxV2KuxV2KuxV2KuxV2Ku&#10;xV2KuxV2KuxVcjcTkgaQRaKy5r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aJpgtaWmQDBxJpYZcjxp4VpkJyPEmlhYnBbJrArsVdirsVdi&#10;rsVdirsVdirsVdirsVdirsVdirsVdirsVdirsVdirsVdirsVdirsVdirsVdirsVdirsVdirsVdir&#10;sVdirsVdirsVdirsVdirsVdirsVdirsVdirsVdirsVdirsVdirsVdirsVdirsVREbVy2JYEKmTY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YXAyPEmlplw&#10;caeFYZTkeJPCtLE5G00twJdirsVdirsVdirsVdirsVdirsVdirsVdirsVdirsVdirsVdirsVdirs&#10;VdirsVdirsVdirsVdirsVdirsVdirsVdirsVdirsVdirsVdirsVdirsVdirsVdirsVdirsVdirsV&#10;dirsVdirsVdirsVdirsVdirsVdirsVbU8cINIKLBrl7W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0WAwWtLDIBkeJlwrDLg408K0yE5HiTSytcil2KuxV2KuxV2KuxV2Kux&#10;V2KuxV2KuxV2KuxV2KuxV2KuxV2KuxV2KuxV2KuxV2KuxV2KuxV2KuxV2KuxV2KuxV2KuxV2KuxV&#10;2KuxV2KuxV2KuxV2KuxV2KuxV2KuxV2KuxV2KuxV2KuxV2KuxV2KuxV2KuxV2KuxV2KuxV2KuxV2&#10;KuxVWibtlkSwkFbLGL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WlwMjxJpYZcHGnhWGU&#10;5HiTwrCxORtNNYEuxV2KuxV2KuxV2KuxV2KuxV2KuxV2KuxV2KuxV2KuxV2KuxV2KuxV2KuxV2Ku&#10;xV2KuxV2KuxV2KuxV2KuxV2KuxV2KuxV2KuxV2KuxV2KuxV2KuxV2KuxV2KuxV2KuxV2KuxV2Kux&#10;V2KuxV2KuxV2KuxV2KuxV2KuxV2KuxV2KuxV2KuxV2KuxV2Ktg0xVFA8svBtqLe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6tMVWGQDI8SaWGXI8aeFYZCcjxMqWk1yKWsVdirsVdirsVdirsVdirsVdirsVd&#10;irsVdirsVdirsVdirsVdirsVdirsVdirsVdirsVdirsVdirsVdirsVdirsVdirsVdirsVdirsVdi&#10;rsVdirsVdirsVdirsVdirsVdirsVdirsVdirsVdirsVdirsVdirsVdirsVdirsVdirsVdirsVdir&#10;sVdirsVdirsVdirsVdiqrE1NsnEsZBXy1g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WiaYqtMgGR4k0sMuR42XCsMhOR4&#10;k0srXIpdirsVdirsVdirsVdirsVdirsVdirsVdirsVdirsVdirsVdirsVdirsVdirsVdirsVdirs&#10;VdirsVdirsVdirsVdirsVdirsVdirsVdirsVdirsVdirsVdirsVdirsVdirsVdirsVdirsVdirsV&#10;dirsVdirsVdirsVdirsVdirsVdirsVdirsVdirsVdirsVdirsVdirsVdirsVdirsVdiqKU8hl4Nt&#10;ZC7Ch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ommKrTIBkeJNLDLkeNlwrC5OR4k0syKXYq7FXYq7FXYq7FXYq7FXYq7FXYq7FXYq7FXY&#10;q7FXYq7FXYq7FXYq7FXYq7FXYq7FXYq7FXYq7FXYq7FXYq7FXYq7FXYq7FXYq7FXYq7FXYq7FXYq&#10;7FXYq7FXYq7FXYq7FXYq7FXYq7FXYq7FXYq7FXYq7FXYq7FXYq7FXYq7FXYq7FXYq7FXYq7FXYq7&#10;FXYq7FXYq7FXYq7FXYq7FXYq7FXYq7FXYqqRtQ5OJpiQiMtYO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rTFVhkAyJkmlhlyPGnhWFycjxMqWZFLsVd&#10;irsVdirsVdirsVdirsVdirsVdirsVdirsVdirsVdirsVdirsVdirsVdirsVdirsVdirsVdirsVdi&#10;rsVdirsVdirsVdirsVdirsVdirsVdirsVdirsVdirsVdirsVdirsVdirsVdirsVdirsVdirsVdir&#10;sVdirsVdirsVdirsVdirsVdirsVdirsVdirsVdirsVdirsVdirsVdirsVdirsVdirsVdirsVdirs&#10;VdiqJRuQy6JtrIX5JD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q0uBkeJNKZlyPGnhWGQnI8TKlla5FLsVdirsVdirsVdirsVdirsVdirsVdirsVdirsVdirsVdirs&#10;VdirsVdirsVdirsVdirsVdirsVdirsVdirsVdirsVdirsVdirsVdirsVdirsVdirsVdirsVdirsV&#10;dirsVdirsVdirsVdirsVdirsVdirsVdirsVdirsVdirsVdirsVdirsVdirsVdirsVdirsVdirsVd&#10;irsVdirsVdirsVdirsVdirsVdirsVdirsVdirsVdirsVdiq9G4nJA0ghE5c1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WmKrDIBk&#10;TJNKZlyHGy4VhYnIkppbgS7FXYq7FXYq7FXYq7FXYq7FXYq7FXYq7FXYq7FXYq7FXYq7FXYq7FXY&#10;q7FXYq7FXYq7FXYq7FXYq7FXYq7FXYq7FXYq7FXYq7FXYq7FXYq7FXYq7FXYq7FXYq7FXYq7FXYq&#10;7FXYq7FXYq7FXYq7FXYq7FXYq7FXYq7FXYq7FXYq7FXYq7FXYq7FXYq7FXYq7FXYq7FXYq7FXYq7&#10;FXYq7FXYq7FXYq7FXYq7FXYq7FXYq7FXYq7FXYq7FXYq7FXYq7FXYq7FXYquVuJwg0ghFZe1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rSwGAlNLDLkONPCpmQnI8TKlla5FL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V42rtlsSwkFXJs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6tMVWGQDImSaUzLkON&#10;lwrCxORJtNLcC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W1PHCD&#10;SCiwa5e1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tFgMBNLSmZRkTJlwrDITkDJNLCa5Fk1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qvE3bLIlhIKuWM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VpcDASmlMy5AzTwqZcnI8TK&#10;luRS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2DxwhUUDXL2pv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VhkAyJkmlMy5AzZcKwsTkSbTS3Al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WibtlkSwkFbLGL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umKqZkAyJkmlhlJyHEy4VMmuRtk1g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tg0xVFA1y8G2pvC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RNM&#10;VWGQDIGTLhUzITkTJNLCa5Bk1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VYm7ZZEsZBXyxg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WiaYqsMgGQMmXCpmQnImSaUya5Bk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A0xVFqa5eDbUW8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ommKrDIBkDJl&#10;wqZkJyJkmlMmuQZ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Vibtk4ljIK+W&#10;sH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dMVUzIBkDJPCpmQnImTKlhNcgya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BpiqKU8hl4NtRXY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qwyAZEyTSmZScgZMuFT&#10;JrkGTW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Ujam2&#10;TiWJCIy1g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tLgZEypNKRl8MiZsuFTLE5C7ZNYF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qKU8hl4NtZC7Ch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aWAwE0tKZl8MgZsuFTLk5Am2VLcC&#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VSNqbZOJYkIjLWD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aJpiqmZQMgZMuFTMhOQMrZUsyK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Up5DLwbayF2FD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qwyAZEyTSkZScgZMqUya5Bk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VSNqbZOJpiQiMtY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aW&#10;AwE0tKZl8MgZsuFTLE5Am2VLcC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UUp5DLwbayF2FD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WmKqZkAyBky4VIyE5AyZUsyK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qRtTbJxNMSERlrB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rSwXATSaU&#10;jL4ZWZMuFTJrkbZNYF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RSnkMvBtrIXYU&#10;O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xNMVUzIBkDJlwqRcnIGVsqWZFL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VI2ptk4liQiMtYO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aWC4CaTSkZfDKzJlw&#10;qZNcjbJrA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qKU8hl4&#10;NtZC7Ch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TMgGQMmQCkZCcgZWypZkU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Ujam2TiWJCIy1g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WiaYCaWlIy+GQM2XCpFicgTbNrA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qK&#10;U8hl4NtZC7Ch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YXAyJlSaUjITkDJlSn1yDJ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qkbU2ycSxIRGW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VMyAZAyZcKkXJyBNsqWZFL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qKU8hl4NtRXY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aJpgJp&#10;VIy+GQMmXCpFq5Am2bWB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VWJu2TiWMgr5aw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WlguAmk0pGWvTKzJlwqRNcgy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gaYqi1NcvBtqLe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sZwuRMqSApNI&#10;TlZkzAU8il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VibtlkSxkFfLGDsVdirsVdirsVdirsVd&#10;irsVdirsVdirsVdirsVdirsVdirsVdirsVdirsVdirsVdirsVdirsVdirsVdirsVdirsVdirsVdi&#10;rsVdirsVdirsVdirsVdirsVdirsVdirsVdirsVdirsVdirsVdirsVdirsVdirsVdirsVdirsVdir&#10;sVdirsVdirsVdirsVdirsVdirsVdirsVdirsVdirsVdirsVdirsVdirsVdirsVdirsVdirsVdirs&#10;VdirsVdirsVdirsVdirsVU2kAyBkyAUS5OQJtlS3Ip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bBpiqKBrl4NtTeFXYq7FXYq7FXYq7FXYq7FXYq7FXYq7FXYq7FXYq7FXYq7FXYq7FXYq7FX&#10;Yq7FXYq7FXYq7FXYq7FXYq7FXYq7FXYq7FXYq7FXYq7FXYq7FXYq7FXYq7FXYq7FXYq7FXYq7FXY&#10;q7FXYq7FXYq7FXYq7FXYq7FXYq7FXYq7FXYq7FXYq7FXYq7FXYq7FXYq7FXYq7FXYq7FXYq7FXYq&#10;7FXYq7FXYq7FXYq7FXYq7FXYq7FXYq7FXYq7FXYq7FXYq7FXYq4mmKqRlp0yBky4VIsWysm2VLcC&#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rRN2yyJYSCtljF2KuxV2KuxV2KuxV&#10;2KuxV2KuxV2KuxV2KuxV2KuxV2KuxV2KuxV2KuxV2KuxV2KuxV2KuxV2KuxV2KuxV2KuxV2KuxV2&#10;KuxV2KuxV2KuxV2KuxV2KuxV2KuxV2KuxV2KuxV2KuxV2KuxV2KuxV2KuxV2KuxV2KuxV2KuxV2K&#10;uxV2KuxV2KuxV2KuxV2KuxV2KuxV2KuxV2KuxV2KuxV2KuxV2KuxV2KuxV2KuxV2KuxV2KuxV2Ku&#10;xV2KuxV2KtE0xVSMvhlZkyEVItXIE2zawK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WwaYQqKBrl7U3irsVdirsVdirsVdirsVdirsVdirsVdirsVdirsVdirsVdirsVdirsV&#10;dirsVdirsVdirsVdirsVdirsVdirsVdirsVdirsVdirsVdirsVdirsVdirsVdirsVdirsVdirsVd&#10;irsVdirsVdirsVdirsVdirsVdirsVdirsVdirsVdirsVdirsVdirsVdirsVdirsVdirsVdirsVdi&#10;rsVdirsVdirsVdirsVdirsVdirsVdirsVdirsVdirRNMBNLSk0vhkDJmIqRNcrZN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rxN2yyBYSCrljF2KuxV2KuxV2Ku&#10;xV2KuxV2KuxV2KuxV2KuxV2KuxV2KuxV2KuxV2KuxV2KuxV2KuxV2KuxV2KuxV2KuxV2KuxV2Kux&#10;V2KuxV2KuxV2KuxV2KuxV2KuxV2KuxV2KuxV2KuxV2KuxV2KuxV2KuxV2KuxV2KuxV2KuxV2KuxV&#10;2KuxV2KuxV2KuxV2KuxV2KuxV2KuxV2KuxV2KuxV2KuxV2KuxV2KuxV2KuxV2KuxV2KuxV2KuxVo&#10;tTATS0otL4ZAyZiKkTXK2T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bU0wg0qLBrl7U7FXYq7FXYq7FXYq7FXYq7FXYq7FXYq7FXYq7FXYq7FXYq7FXYq7&#10;FXYq7FXYq7FXYq7FXYq7FXYq7FXYq7FXYq7FXYq7FXYq7FXYq7FXYq7FXYq7FXYq7FXYq7FXYq7F&#10;XYq7FXYq7FXYq7FXYq7FXYq7FXYq7FXYq7FXYq7FXYq7FXYq7FXYq7FXYq7FXYq7FXYq7FXYq7FX&#10;Yq7FXYq7FXYq7FXYq7FXYq7FXYq7FXYq0W44CaWlFpfDKzJmIqRNcgy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V42rtlsSwkFXJsXYq7FXYq7&#10;FXYq7FXYq7FXYq7FXYq7FXYq7FXYq7FXYq7FXYq7FXYq7FXYq7FXYq7FXYq7FXYq7FXYq7FXYq7F&#10;XYq7FXYq7FXYq7FXYq7FXYq7FXYq7FXYq7FXYq7FXYq7FXYq7FXYq7FXYq7FXYq7FXYq7FXYq7FX&#10;Yq7FXYq7FXYq7FXYq7FXYq7FXYq7FXYq7FXYq7FXYq7FXYq7FXYq7FXYq7FXYq7FXYqtLBcBNJAU&#10;mlr0ysyZAKVa5Bk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uU8ThBpBRWXtbsVdirsVdirsVdirsVdirsVdirsVdirsVdirsVdirsVdir&#10;sVdirsVdirsVdirsVdirsVdirsVdirsVdirsVdirsVdirsVdirsVdirsVdirsVdirsVdirsVdirs&#10;VdirsVdirsVdirsVdirsVdirsVdirsVdirsVdirsVdirsVdirsVdirsVdirsVdirsVdirsVdirsV&#10;dirsVdirsVdirsVdirsVdirsVaLccBNLSg0lemVmTMBTyDJ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oiNqjLYlrIVMmh2KuxV&#10;2KuxV2KuxV2KuxV2KuxV2KuxV2KuxV2KuxV2KuxV2KuxV2KuxV2KuxV2KuxV2KuxV2KuxV2KuxV2&#10;KuxV2KuxV2KuxV2KuxV2KuxV2KuxV2KuxV2KuxV2KuxV2KuxV2KuxV2KuxV2KuxV2KuxV2KuxV2K&#10;uxV2KuxV2KuxV2KuxV2KuxV2KuxV2KuxV2KuxV2KuxV2KuxV2KuxV2KuxVotTATS0otLXplZkzAU&#10;q1yDJ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rkNDkgaQUVlzW7FXYq7FXYq7FXYq7FXYq7FXYq7FXYq7FXYq7FXYq7FX&#10;Yq7FXYq7FXYq7FXYq7FXYq7FXYq7FXYq7FXYq7FXYq7FXYq7FXYq7FXYq7FXYq7FXYq7FXYq7FXY&#10;q7FXYq7FXYq7FXYq7FXYq7FXYq7FXYq7FXYq7FXYq7FXYq7FXYq7FXYq7FXYq7FXYq7FXYq7FXYq&#10;7FXYq7FXYq7FXYq0WpgJpaUWl8MrMmYipE1yDJ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Eo3IZdE21kL8kh2&#10;KuxV2KuxV2KuxV2KuxV2KuxV2KuxV2KuxV2KuxV2KuxV2KuxV2KuxV2KuxV2KuxV2KuxV2KuxV2K&#10;uxV2KuxV2KuxV2KuxV2KuxV2KuxV2KuxV2KuxV2KuxV2KuxV2KuxV2KuxV2KuxV2KuxV2KuxV2Ku&#10;xV2KuxV2KuxV2KuxV2KuxV2KuxV2KuxV2KuxV2KuxV2KuxV2KtE0wXSqTS+GQMmYiok1ytk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vjNDkomkEInLmt2KuxV2KuxV2KuxV2KuxV2KuxV2KuxV2KuxV2Kux&#10;V2KuxV2KuxV2KuxV2KuxV2KuxV2KuxV2KuxV2KuxV2KuxV2KuxV2KuxV2KuxV2KuxV2KuxV2KuxV&#10;2KuxV2KuxV2KuxV2KuxV2KuxV2KuxV2KuxV2KuxV2KuxV2KuxV2KuxV2KuxV2KuxV2KuxV2KuxV2&#10;KuxV2KuJpiqi0vhlZkyEVImuQtm1g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FIeQy8G2srsKH&#10;Yq7FXYq7FXYq7FXYq7FXYq7FXYq7FXYq7FXYq7FXYq7FXYq7FXYq7FXYq7FXYq7FXYq7FXYq7FXY&#10;q7FXYq7FXYq7FXYq7FXYq7FXYq7FXYq7FXYq7FXYq7FXYq7FXYq7FXYq7FXYq7FXYq7FXYq7FXYq&#10;7FXYq7FXYq7FXYq7FXYq7FXYq7FXYq7FXYq7FXYqpNJTpkDJkIqJauVk2zawK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qRtTbJxLEhEZawdirsVdirsVdirsVdirsVdirsVdirsVdirsVdirs&#10;VdirsVdirsVdirsVdirsVdirsVdirsVdirsVdirsVdirsVdirsVdirsVdirsVdirsVdirsVdirsV&#10;dirsVdirsVdirsVdirsVdirsVdirsVdirsVdirsVdirsVdirsVdirsVdirsVdirsVdirsVdiqm0g&#10;GQMqZAKLMWysm2VLcC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i1NcvBtqLeFX&#10;Yq7FXYq7FXYq7FXYq7FXYq7FXYq7FXYq7FXYq7FXYq7FXYq7FXYq7FXYq7FXYq7FXYq7FXYq7FXY&#10;q7FXYq7FXYq7FXYq7FXYq7FXYq7FXYq7FXYq7FXYq7FXYq7FXYq7FXYq7FXYq7FXYq7FXYq7FXYq&#10;7FXYq7FXYq7FXYq7FXYq7FXYq7FVjOFyJlSQFFnLZWTbMClmRS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VaI9ssiWMlbLGDsVdirsVdirsVdirsVdirsVdirsVdirsVdirsVd&#10;irsVdirsVdirsVdirsVdirsVdirsVdirsVdirsVdirsVdirsVdirsVdirsVdirsVdirsVdirsVdi&#10;rsVdirsVdirsVdirsVdirsVdirsVdirsVdirsVdirsVdirsVdirsVdirsVdiq1mC4CaSAotITlZl&#10;bIBTyDJ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tg0xVFA1zIam8V&#10;dirsVdirsVdirsVdirsVdirsVdirsVdirsVdirsVdirsVdirsVdirsVdirsVdirsVdirsVdirsVd&#10;irsVdirsVdirsVdirsVdirsVdirsVdirsVdirsVdirsVdirsVdirsVdirsVdirsVdirsVdirsVdi&#10;rsVdirsVdirsVdirRNMBNKotL4ZWZMxFSyDJ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XibtlkSwkFXLGLsVdirsVdirsVdirsVdirsVdirsVdirsVdirsVdi&#10;rsVdirsVdirsVdirsVdirsVdirsVdirsVdirsVdirsVdirsVdirsVdirsVdirsVdirsVdirsVdir&#10;sVdirsVdirsVdirsVdirsVdirsVdirsVdirsVdirsVdirsVdiqk0tOmVmTIRUSa5C2bWB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uU8ThBpBRWXtbsVdi&#10;rsVdirsVdirsVdirsVdirsVdirsVdirsVdirsVdirsVdirsVdirsVdirsVdirsVdirsVdirsVdir&#10;sVdirsVdirsVdirsVdirsVdirsVdirsVdirsVdirsVdirsVdirsVdirsVdirsVdirsVdirsVdirs&#10;VdiqxpOORMqSAoM3LKibZgUtwJ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REZqMtiWBCpk2LsVdirsVdirsVdirsVdirsVdirsVdirsVdirsVdi&#10;rsVdirsVdirsVdirsVdirsVdirsVdirsVdirsVdirsVdirsVdirsVdirsVdirsVdirsVdirsVdir&#10;sVdirsVdirsVdirsVdirsVdirsVdirsVdirsVWswXATSQFFpC2VGVswFPIp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XoaHJRNIIROXNbs&#10;VdirsVdirsVdirsVdirsVdirsVdirsVdirsVdirsVdirsVdirsVdirsVdirsVdirsVdirsVdirsV&#10;dirsVdirsVdirsVdirsVdirsVdirsVdirsVdirsVdirsVdirsVdirsVdirsVdirsVdirsVaJpiqk&#10;0vhlZkzEVGtcrZO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EoajLom2shfkkOxV2KuxV2KuxV2KuxV2KuxV2KuxV2KuxV2KuxV2&#10;KuxV2KuxV2KuxV2KuxV2KuxV2KuxV2KuxV2KuxV2KuxV2KuxV2KuxV2KuxV2KuxV2KuxV2KuxV2K&#10;uxV2KuxV2KuxV2KuxV2KuxV2KuxVTaSmQMmQCgW5ZWTbNrA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qpGaHJxLEojLWDsVd&#10;irsVdirsVdirsVdirsVdirsVdirsVdirsVdirsVdirsVdirsVdirsVdirsVdirsVdirsVdirsVdi&#10;rsVdirsVdirsVdirsVdirsVdirsVdirsVdirsVdirsVdirsVdirsVdirsVWs3HATSQLUGctlRlbM&#10;BZkU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FqajLwbai3hV2KuxV2KuxV2KuxV2KuxV2KuxV2KuxV2KuxV2KuxV&#10;2KuxV2KuxV2KuxV2KuxV2KuxV2KuxV2KuxV2KuxV2KuxV2KuxV2KuxV2KuxV2KuxV2KuxV2KuxV2&#10;KuxV2KuxV2KuxVommKqTS+GVmTMRUcrZO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WiPbLIljJWyxg7FXYq7&#10;FXYq7FXYq7FXYq7FXYq7FXYq7FXYq7FXYq7FXYq7FXYq7FXYq7FXYq7FXYq7FXYq7FXYq7FXYq7F&#10;XYq7FXYq7FXYq7FXYq7FXYq7FXYq7FXYq7FXYq7FXYq7FVNpOORMqSAoFuWVE2zprAl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sGmEKiwa5e1OxV2KuxV2KuxV2KuxV2KuxV2KuxV2KuxV2KuxV2KuxV2Kux&#10;V2KuxV2KuxV2KuxV2KuxV2KuxV2KuxV2KuxV2KuxV2KuxV2KuxV2KuxV2KuxV2KuxV2KuxV2KuxV&#10;otxwE0oCg0lcqMrZgKeRZO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XiNdstiWElXJsXYq7FXY&#10;q7FXYq7FXYq7FXYq7FXYq7FXYq7FXYq7FXYq7FXYq7FXYq7FXYq7FXYq7FXYq7FXYq7FXYq7FXYq&#10;7FXYq7FXYq7FXYq7FXYq7FXYq7FXYq7FXYqpNJTplZkyEVEmuVs2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XIeJwg0gorL2t2KuxV2KuxV2KuxV2KuxV2KuxV2KuxV2KuxV2KuxV2KuxV2Ku&#10;xV2KuxV2KuxV2KuxV2KuxV2KuxV2KuxV2KuxV2KuxV2KuxV2KuxV2KuxV2KuxV2KrWcLkSaSBagz&#10;lsrJtmBSzIp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qJjaoy6JtrIX5JDsVdirs&#10;VdirsVdirsVdirsVdirsVdirsVdirsVdirsVdirsVdirsVdirsVdirsVdirsVdirsVdirsVdirsV&#10;dirsVdirsVdirsVdirsVdiriaYqotL4ZWZMxFRytk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VSNqHJRLEojLmDsVdirsVdirsVdirsVdirsVdirsVdirsVdirsVdirsVdirsVd&#10;irsVdirsVdirsVdirsVdirsVdirsVdirsVdirsVdirsVdirsVdirsVWM/HImVJAUGbllRNswFuBL&#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RSnkMvBtqK7CrsVdirsVdi&#10;rsVdirsVdirsVdirsVdirsVdirsVdirsVdirsVdirsVdirsVdirsVdirsVdirsVdirsVdirsVdir&#10;sVdirsVdirRNMVUWkr0yoyZgKWQZO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WiPbLIljJWyxg7FXYq7FXYq7FXYq7FXYq7FXYq7FXYq7FXYq7FXYq7FXYq7FXYq7&#10;FXYq7FXYq7FXYq7FXYq0WC9cBNc1AtDvcgdN8xpagDlu2CCHNwxOYxzEs+AJjmzaHYq7FXYq7FXY&#10;qsZ+ORMqSAoM3LKibZ0twJ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bBphCosGuXtTsVdirsVdirsVdirsVdirsVdirsVdirsVdirsVdirsVdirsVdirsVdirs&#10;VdirsVdiqi86plMswiyESUM9yT02zFlqCeTYIIckt1zGJvm2NZFXYqnGbtxXYq7FXYq0TTFVFpK9&#10;MqMmYClkGT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V4jXbLYlhJVybF2KuxV2KuxV2KuxV2KuxV2KuxV2KuxV2KuxV2KuxV2KuxV2KuxV2KuxVazhO&#10;uRlIR5pAtDPdAdMxZajubBBDPKX6nMWWQy5tgjSnlSXYq7FXYq7FU4zduK7FXYqsZ+ORMqSAoM3L&#10;KibZgLcC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VyHicINIKKy9rdirsVdirsVdirsVdirsVdirsVdirsVdirsVdirsVdirsVdirsVUXnVPfKJZ&#10;hFmIEoV7kt02zElnJ5bNghSgTXMcm2bWBXYq7FXYq7FXYq7FU4zduK7piqi0nhlZkzAUcrZ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E&#10;oajLom2sr8kh2KuxV2KuxV2KuxV2KuxV2KuxV2KuxV2KuxV2KuxVazhOuRlIR5pAtDPdeGYstR3N&#10;gghXkL9TmJLIZc2wClmVpdirsVdirsVdirsVdirsVdiqbM3HN0TTjAWh2fllJNswKW4E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qk&#10;ZocnEsSiMtYOxV2KuxV2KuxV2KuxV2KuxV2KuxV2KuxV2KqLzqnvlEswizECUK9yW6bZiSzk8tmw&#10;QpQJrmOTbNrArsVdirsVdirsVdirsVdirsVdirsVRla5s2p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w2xVFg1y8G2ot4Vdir&#10;sVdirsVdirsVdirsVdirsVWswXrkTIDmoFoZ7oDpmLLUDo2CCGeUv1zElkMubaBSnlaXYq7FXYq7&#10;FXYq7FXYq7FXYq7FXYq7FXYq7FUZmzan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rRHtlkSwkrZYxdirsVdirsVdirsVdir&#10;sVUnmCZVLKIshElCvck9NsxJagnk2CCHJLdcxSbbGsCuxV2KuxV2KuxV2KuxV2KuxV2KuxV2KuxV&#10;2KuxV2KozNm1O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tTxOEGkFF5e1uxV2KuxV2KuxVommAmlQ73IXpvmNLUAct2wQQr&#10;zF8xJZTJsEaUspZOxV2KuxV2KuxV2KuxV2KuxV2KuxV2KuxV2KuxV2KuxV2KuxVGZs2p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ERmoy6JayqZJDsVdiqxnCdchKYjzSBaGe68MxJajubBBCs5frmLKRlzbAKW5BLsVdirs&#10;VdirsVdirsVdirsVdirsVdirsVdirsVdirsVdirsVdirsVRmbNq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XxmhyUSgh&#10;E5c1qLzqmUyzCLIRJQr3JbptmHLOTy2bRCkPWuY7N2BXYq7FXYq7FXYq7FXYq7FXYq7FXYq7FXYq&#10;7FXYq7FXYq7FXYq7FXYq7FXYqjM2bU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E0wE0qi0wHTMeWcDkzEVrTGTKpZTNIjS&#10;nlSXYq7FXYq7FXYq7FXYq7FXYq7FXYq7FXYq7FXYq7FXYq7FXYq7FXYq7FXYq7FXYq7FUZmzan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tLBeuQlIR5pAtRafwzFln7mYioFi3XMYyJ5s6prIpXLk4oK7JMXYq7FXYq7FXYq7FXYq7F&#10;XYq7FXYq7FXYq7FXYq7FXYq7FXYq7FXYq7FXYq7FXYq7FUZmzan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saQLlUsoiyAtQaYnpmJLOT&#10;y2ZiKjWuY92zdirsVdirumKqmWsHYq7FXYq7FXYq7FXYq7FXYq7FXYq7FXYq7FXYq7FXYq7FXYq7&#10;FXYq7FXYq7FXYq7FUZmzan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pNKF98x5ZgPNkIqDSlsxZZTJsEaU8pZOxV2KuxV2KuxV2KrxlgYlvCh2&#10;KuxV2KuxV2KuxV2KuxV2KuxV2KuxV2KuxV2KuxV2KuxV2KuxV2KuxV2KuxV2KozNm1O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tE0wE0qi0wHTMaWeuTM&#10;RUGctmJKZlzbAKW5BLsVdirsVdirsVdirsVdirYwhBX5YxdirsVdirsVdirsVdirsVdirsVdirsV&#10;dirsVdirsVdirsVdirsVdirsVdirsVdiqLrmx4g1N5J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0WC9cjKQjzSBag0/hmJLP3MxFQLFuuYxkTzZ01kUuxV2KuxV2&#10;KuxV2KuxV2KuxV2KuxVeN8tDFvFDsVdirsVdirsVdirsVdirsVdirsVdirsVdirsVdirsVdirsVd&#10;irsVdirsVdiqIOZR5sG64AaVvllgmim65MSBWm8mh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YzhcrlkEUgWoNMT0zElnJ5Ngiok1zHJtm7ArsVdirsVdirsVdirsVdirsVdirsVd&#10;irsVXLkooK7JsXYq7FXYq7FXYq7FXYq7FXYq7FXYq7FXYq7FXYq7FXYq7FXYq7FXYq7FXYq7FUQc&#10;yjzYOyKXYq7FXVwg0hdyywTRTdcmJArTeT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VNpAuUy&#10;yiLIRtQaUt7ZiSzGTYI0pZQydirsVdirsVdirsVdirsVdirsVdirsVdirsVdirsVd0xCqmWsHYq7&#10;FXYq7FXYq7FXYq7FXYq7FXYq7FXYq7FXYq7FXYq7FXYq7FXYq7FXYq7FUQcypc2Dsil2KuxV2Kux&#10;V2Kt1wg0hvllgmim65YJArTeS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pNMB75jyzAct2Yih2kLZiSyGTMRp&#10;ZlTJ2KuxV2KuxV2KuxV2KuxV2KuxV2KuxV2KuxV2KuxV2KuxV2KrxlgLEt4UOxV2KuxV2KuxV2Ku&#10;xV2KuxV2KuxV2KuxV2KuxV2KuxV2KuxV2KuxV2KuxVEHMqXNg7IpdirsVdirsVdirsVdirsVbrTJ&#10;A0hvlkxNFN1rlgkChvJK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6tMBNKotMB0zGlnA5MxFQZy2YkpmXNsApZkEuxV2KuxV2KuxV&#10;2KuxV2KuxV2KuxV2KuxV2KuxV2KuxV2KuxV2KuxVsYQgr8sYuxV2KuxV2KuxV2KuxV2KuxV2KuxV&#10;2KuxV2KuxV2KuxV2KuxV2KuxV2KuxVEHMqXNg7IpdirsVdirsVdirsVdirsVdirsVdirdckJEIb5&#10;ZYJopdlgNodh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tE0wE1zVRafwzFln7mwRUGYt1zElIy5swKW5FLsVdirsVdirsVdirsVdirsVdirsVdirs&#10;VdirsVdirsVdirsVdirsVdirsVdiqoMtDF2KHYq7FXYq7FXYq7FXYq7FXYq7FXYq7FXYq7FXYq7F&#10;XYq7FXYq7FXYq7FUQcypc2Dsil2KuxV2KuxV2KuxV2KuxV2KuxV2KuxV2KuxVuuTEyEUurlgmim8&#10;s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WiwXrkZSEeaQLU&#10;Gn8MxJZ+5mIqBYt1zFJvmzprAl2KuxV2KuxV2KuxV2KuxV2KuxV2KuxV2KuxV2KuxV2KuxV2KuxV&#10;2KuxV2KuxV2KuxVcuTigrskxdirsVdirsVdirsVdirsVdirsVdirsVdirsVdirsVdirsVdirsVdi&#10;rsVRBzKlzYOyKXYq7FXYq7FXYq7FXYq7FXYq7FXYq7FXYq7FXYq7FXYbVdyyYmim61ywSBRTeT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tZgvXISmI80gWoNN4ZiSz3yZiKiTX&#10;MYm2xrArsVdirsVdirsVdirsVdirsVdirsVdirsVdirsVdirsVdirsVdirsVdirsVdirsVdirsVd&#10;irhthCqmWMHYq7FXYq7FXYq7FXYq7FXYq7FXYq7FXYq7FXYq7FXYq7FXYq7FXYq7FUQcypc2Dsil&#10;2KuxV2KuxV2KuxV2KuxV2KuxV2KuxV2KuxV2KuxV2KuxV2Kt1pkgaQ3yywTRS7rlgNodh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rWcL1yEpiPNIFodpiemYc85PJsEVGtcxybZuwK7FXYq7FXY&#10;q7FXYq7FXYq7FXYq7FXYq7FXYq7FXYq7FXYq7FXYq7FXYq7FXYq7FXYq7FXYq7FXYq7FV4ywMS3h&#10;Q7FXYq7FXYq7FXYq7FXYq7FXYq7FXYq7FXYq7FXYq7FXYq7FXYq7FUQcypc2Dsil2KuxV2KuxV2K&#10;uxV2KuxV2KuxV2KuxV2KuxV2KuxV2KuxV2KuxV2KuxVuuTEiEUurlgmim8s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VjOFyuWQRSBag0xPTMOWcnls2CKjmOzdirsVdirsVdirsVdirsVdirsVdirsVdirsVd&#10;irsVdirsVdirsVdirsVdirsVdirsVdirsVdirsVdirsVdirsVbGSCCvybF2KuxV2KuxV2KuxV2Ku&#10;xV2KuxV2KuxV2KuxV2KuxV2KuxV2KuxV2Kog5lS5sHZFLsVdirsVdirsVdirsVdirsVdirsVdirs&#10;VdirsVdirsVdirsVdirsVdirsVdirumEGkLuWWCa03WuWCQLFvJK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sZwuVSyCKQL&#10;Q7TE9NsxJ5ifJsEVLMdm7FXYq7FXYq7FXYq7FXYq7FXYq7FXYq7FXYq7FXYq7FXYq7FXYq7FXYq7&#10;FXYq7FXYq7FXYq7FXYq7FXYq7FXYq7FXYq7FVTLWLsUOxV2KuxV2KuxV2KuxV2KuxV2KuxV2KuxV&#10;2KuxV2KuxV2KuxV2Kog5lS5sHZFLsVdirsVdirsVdirsVdirsVdirsVdirsVdirsVdirsVdirsVd&#10;irsVdirsVdirsVdirsVbrkhIhDfLLRNFLsmDaHY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qxpAuVTyCLIC0O0xb2zDlmMmYjSllDN2KuxV&#10;2KuxV2KuxV2KuxV2KuxV2KuxV2KuxV2KuxV2KuxV2KuxV2KuxV2KuxV2KuxV2KuxV2KuxV2KuxV2&#10;KuxV2KuxV2KuxV2KrlycWJXZJDsVdirsVdirsVdirsVdirsVdirsVdirsVdirsVdirsVdirsVdiq&#10;JOZUubBrIpdirsVdirsVdirsVdirsVdirsVdirsVdirsVdirsVdirsVdirsVdirsVdirsVdirsVd&#10;irsVdirsKruWTE0U3WuWiQKG8kh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U2kC5TP&#10;KIshG0O0pbMOeUybBGlPKWTsVdirsVdirsVdirsVdirsVdirsVdirsVdirsVdirsVdirsVdirsVd&#10;irsVdirsVdirsVdirsVdirsVdirsVdirsVdirsVdirsVdirsVdirsVdiq8ZYGLeFDsVdirsVdirs&#10;VdirsVdirsVdirsVdirsVdirsVdirsVdirsVRJzKlzYNZFLsVdirsVdirsVdirsVdirsVdirsVdi&#10;rsVdirsVdirsVdirsVdirsVdirsVdirsVdirsVdirsVdirsVdirsVdirsKruWWCaKbrXLBIFi3kl&#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U2kC5TPKIshG0O0pbMOeUybBGlPKWTsV&#10;dirsVdirsVdirsVdirsVdirsVdirsVdirsVdirsVdirsVdirsVdirsVdirsVdirsVdirsVdirsVd&#10;irsVdirsVdirsVdirsVdirsVdirsVdirsVdiq5clFBXZNi7FXYq7FXYq7FXYq7FXYq7FXYq7FXYq&#10;7FXYq7FXYq7FXYq7FUScypc2DWRS7FXYq7FXYq7FXYq7FXYq7FXYq7FXYq7FXYq7FXYq7FXYq7FX&#10;Yq7FXYq7FXYq7FXYq7FXYq7FXYq7FXYq7FXYq7FXYq7FW65MSIRS6uWCaKbyxD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uXJRQV2TYuxV2KuxV2KuxV2KuxVEnMufNgGsgl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tg5YJ0ilwNctBti3kldirsVdirsVdirsVdirsVdirsVdirsVdirsVd&#10;irsVdirsVdirsVdirsVdirsVdirsVdirsVdirsVdirsVdirsVdirsVdirsVdirsVdirsVdirsVdi&#10;rsVdirsVdirsVdirsVdirsVdirsVdirsVdirsVdirsVdirsVUHmp0zFnnrkzEUOTy65hE3zbWsC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Uy&#10;1g7FXYq7FXYq7FXYq7FUSczJ82AaytL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Krg2WCaKXZaDbF2FXYq7FXYq7FXYq7FXYq7FXYq7FXYq7FXYq7FXYq7FXYq7FXYq7FXYq7FXY&#10;q7FXYq7FXYq7FXYq7FXYq7FXYq7FXYq7FXYq7FXYq7FXYq7FXYq7FXYq7FXYq7FXYq7FXYq7FXYq&#10;7FXYq7FXYq7FXYq7FVjOEyqeQRZAWhXkL5gzyGTYBSzKmT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XjLAxLeFDsVdirsVdirsVdiqJbM&#10;yfNgGsrS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Cq4Nlon3saXZZdo&#10;dhV2KuxV2KuxV2KuxV2KuxV2KuxV2KuxV2KuxV2KuxV2KuxV2KuxV2KuxV2KuxV2KuxV2KuxV2Ku&#10;xV2KuxV2KuxV2KuxV2KuxV2KuxV2KuxV2KuxV2KuxV2KuxV2KuxV2KuxV2KuxV2KuxVommAmlQ7z&#10;eGYc898mwRUOuYjY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Vy5KKCuybF2KuxV2KuxV2KuxVEtmZPmwDWVp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WmEGkLgcuE0UuyxDsVdirsVdirsVdirsVd&#10;irsVdirsVdirsVdirsVdirsVdirsVdirsVdirsVdirsVdirsVdirsVdirsVdirsVdirsVdirsVdi&#10;rsVdirsVdirsVdirsVdirsVdirsVdirsVdirsVdiqm8oX55RPKIshG0KzluuYMpmXNtApbkE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Uy1g7FXYq7FXYq7FXYqiWzMnzYBrK0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tg0yQNIXA1y4TtFN5NDsVdirsVdirsVdirsVdirsVdirsVdirs&#10;VdirsVdirsVdirsVdirsVdirsVdirsVdirsVdirsVdirsVdirsVdirsVdirsVdirsVdirsVdirsV&#10;dirsVdirsVdirsVdirTMF65GUhHmkC0M83LpmDPMZcmwRUcx2b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XjLAxLeF&#10;DsVdirsVdirsVRLZmT5sA1la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WwaZMSpFLga5cJWhvJIdirsVdirsVdirsVdirsVdirsVdirsVdirsVdirsVdi&#10;rsVdirsVdirsVdirsVdirsVdirsVdirsVdirsVdirsVdirsVdirsVdirsVdirsVdirsVdirsVdiq&#10;i83HpmNPNXJmIoYty65hGRlzbAKayK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Vy5KKCuybF2KuxV2KuxV2Kols&#10;zJ82AaytL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q4HLBOkUu65cDbF2FXYq7FXYq7FXYq7FXYq7FXYq7FXYq7FXYq7FXYq7FXYq7FXYq7FXYq7F&#10;XYq7FXYq7FXYq7FXYq7FXYq7FXYq7FXYq7FXYq7FXYq7FXYq7FXYqtZwvXISmI80gWhXlLfLMCeU&#10;ybRGlPKWT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VMtYOxV2KuxV2KuxVEtmZPmwDWVp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Krg2WCfexpd&#10;lt2h2FXYq7FXYq7FXYq7FXYq7FXYq7FXYq7FXYq7FXYq7FXYq7FXYq7FXYq7FXYq7FXYq7FXYq7F&#10;XYq7FXYq7FXYq7FXYq7FXYq7FXYq7FVB5qdMxJ565Ngihya5hk22NYF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XjLAxLeFDsVdirsVdiqJbMyfNgGsrS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VphBpC8HLhNFN5Yh2KuxV2KuxV2KuxV2&#10;KuxV2KuxV2KuxV2KuxV2KuxV2KuxV2KuxV2KuxV2KuxV2KuxV2KuxV2KuxV2KuxV2KuxV2KuxV2K&#10;rGcJlc8gikC0K8hfMCeQybQKWZUy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XLkooK7JsXYq&#10;7FXYq7FUS2Zk+bANZWl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tg0yQlSFwNcuErRTeTQ7FXYq7FXYq7FXYq7FXYq7FXYq7FXYq&#10;7FXYq7FXYq7FXYq7FXYq7FXYq7FXYq7FXYq7FXYq7FXYq7FXYq7FXdMSaVDvN4Zhzz9zYIocmuYh&#10;NtjsC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wwhVTLGDsVdirsVdiqJbMyfNgGsrS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WwcsE6RS+tcuBti7CrsVdirsVdirsVdirsVdirsVdirsVdirsVdirsVdirsVdirsVd&#10;irsVdirsVdirsVdirsVdirsVdiqx5AmVTyCLIC0K7l8wJ5DJsApZlbJ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eMsDEt4UOxV2KuxVEtmZPmwDWVp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hVcGywT&#10;72NLstBtDsKuxV2KuxV2KuxV2KuxV2KuxV2KuxV2KuxV2KuxV2KuxV2KuxV2KuxV2KuxV2KuxV2K&#10;urTATSod5vDMOefubBFD9cxGx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cuSigrsmxdirsVdiqJbMyfNgGsrS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6tMINIXg5cJopvLEOxV2KuxV2Ku&#10;xV2KuxV2KuxV2KuxV2KuxV2KuxV2KuxV2KuxV2KuxV2KuxV2KrHkCZVPIIsgLQruXzAnMybQKWZW&#10;l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tjCFX5YwdirsVdiqJbMyfN&#10;gGsrS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2DTJiVIXA1y4StDeSQ7FXYq7FXYq7FXYq7FXYq7FXYq7F&#10;XYq7FXYq7FXYq7FXYq7FXYq6tMBNKh3m8Mw55+5sEUP1zEbH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V4ywMW8KHYq7FUS2Zk+bANZWl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cDlgnSKXZcDbF2FXYq7FXYq7FXYq7FXYq7FXYq7FXYq7FXYq7FXYq7FXYqseQJlU&#10;8giyAtCu5fMCczJtApZla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uXJxQV2SYuxV2KolszJ82AaytL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hukLg2W&#10;ifeil2WodirsVdirsVdirsVdirsVdirsVdirsVdirsVdWmAmlQ7zeGYc8/c2CKH65iNj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bGEIK/LGLsVdiqJb&#10;MyfNgGsrS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WwaZIGkLga5cJWim8mh2KuxV2KuxV&#10;2KuxV2KuxV2KuxV2KrHcJlU8gikC0K7l8wJ5DJtApZlbJ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qgy0MXYodiqJbMyfNgGsrS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WwcsE6RS/rlwNsXYVdirsVdirsVdirsVdirsVQ7zeGYc8&#10;/c2CKH65h82x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rlycWJXZJDsVRLZmT5sA1la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VXBstE+9jS7LUOxV2KuxV2KuxVazhMrnMRSBaEeQvmBPIZNoFLMqZ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tjCEFfljF&#10;2KolszJ82AaytL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YNMkDSFwNcu&#10;ErRTeTQ7FXYqoPNTpmJkzVyZiKHJrmGTba1g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Uy1g7FUS2Zk+bANZWl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sHLBOkU2XC5M5AEUhXkL/LMGeUybRGl&#10;PKWT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q9cnFiW8khEtmZPmwDWVp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UXl49MonlrkyEbQxYnMMyJbabByYkil2T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2uSigr8m&#10;xRLZmT5sA1la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WieOAmlQzy8um&#10;YU8t8m0RpRyhm7FXYq2DTCDSFwNctBtDeS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VTLWCJbMyfNgGsrS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VN5AmVTyCLIRtCsxbrmDKRlzbQKW5FLsVdirsVdir&#10;sVXA5MSY0uyy0Ow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Vw6ZMcmKLbM6fNrDWVp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iaYk0qGeavTMSebubBFQzFbHYq7FXYq7FXYq7FXYq7FXVphBpC8GuWCSKbyaH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W&#10;xkghGNmfPm1BrK0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rHcJkJzEUgWhXcvmDOZk&#10;2gUsytk7FXYq7FXYq7FXYq7FXYq7FXYq7FWwaZISpFLga5aDbFvC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RrZsZ82kNZWl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qDzU6ZjTzVyZiKHJrmITbY1gS7FXYq7FXYq7FXYq7FXYq7F&#10;XYq7FXYq7FXYquBywSY0uyx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qNbNjPm0hrK0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pm49cEp&#10;cPNQLQry8vlmDPLxNojSllLN2KuxV2KuxV2KuxV2KuxV2KuxV2KuxV2KuxV2KuxV2Ktg0wg0hcDX&#10;LRK0N5JD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qNbNjPm0hrK0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qbyBfnlM8giyEbQrMW65hSkZc20CluR&#10;S7FXYq7FXYq7FXYq7FXYq7FXYq7FXYq7FXYq7FXYq7FXYq7FXYquByYkxpdllodh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GtmxnzaQ1la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VpjdKhnmr0zEnm7mwRUMxWx2KuxV2KuxV2KuxV2KuxV2KuxV2KuxV2KuxV2&#10;KuxV2KuxV2KuxV2KuxV2KurTCDSF4NcsErRTeT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Ua2bKbSGsqS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VrOEyEpiKQLQjyF8&#10;wZ5DJtApZlbJ2KuxV2KuxV2KuxV2KuxV2KuxV2KuxV2KuxV2KuxV2KuxV2KuxV2KuxV2KuxV2Kux&#10;VsGmSEqRS/LQbYuw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U&#10;a2bKbSGsqS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ovLx6ZRPLXJkI2hia5hE22tYEuxV2KuxV2KuxV2KuxV2K&#10;uxV2KuxV2KuxV2KuxV2KuxV2KuxV2KuxV2KuxV2KuxV2KuxV2KuxQuBy0SRS7Jo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RrZsptIaypL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RNMBNK&#10;hnl5dMw55b5Noio5js3Yq7FXYq7FXYq7FXYq7FXYq7FXYq7FXYq7FXYq7FXYq7FXYq7FXYq7FXYq&#10;7FXYq7FXYq7FXYq7FXYq7FWwaZISpFLga5aDbFvC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qNbNlNpDWVJ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qx3CZXOYikC0Izl8wZTMm0CluQZOxV2KuxV2K&#10;uxV2KuxV2KuxV2KuxV2KuxV2KuxV2KuxV2KuxV2KuxV2KuxV2KuxV2KuxV2KuxV2KuxV2KuxV2Ku&#10;xVcDlgkxpdliH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jWzZTaQ1lS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VB5adMxp5a5MxFDE1zEJtsdgS7FXYq7FXYq7FXYq7FXYq7FXYq7FXYq7FXYq7FXYq7FXYq&#10;7FXYq7FXYq7FXYq7FXYq7FXYq7FXYq7FXYq7FXYq7FXYq7FWwaZIGkLga5aDbFvC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RrZsptIaypL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RNMBNKhXl5dMwp5eLk2iNKWUM3Y&#10;q7FXYq7FXYq7FXYq7FXYq7FXYq7FXYq7FXYq7FXYq7FXYq7FXYq7FXYq7FXYq7FXYq7FXYq7FXYq&#10;7FXYq7FXYq7FXYq7FXYq7FXYquBywSY0uyxD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qNbNlNpDWVJ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qx3CZXPIIpAtCM5fMGUzJuApbkEuxV2KuxV2KuxV2KuxV2KuxV2KuxV2KuxV2K&#10;uxV2KuxV2KuxV2KuxV2KuxV2KuxV2KuxV2KuxV2KuxV2KuxV2KuxV2KuxV2KuxV2KuxV2KuxVsGm&#10;EGkLga5aDbFvJK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jWzZTaQ1lS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VB5adMxp5a2DMRQ&#10;xNcxCbbHYEuxV2KuxV2KuxV2KuxV2KuxV2KuxV2KuxV2KuxV2KuxV2KuxV2KuxV2KuxV2KuxV2Ku&#10;xV2KuxV2KuxV2KuxV2KuxV2KuxV2KuxV2KuxV2KuxV2KuxV2Krg2WCTGl2WI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qNbNlNpDWVJ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aJpgJpUK8vLpmFPLxcm0RpSyhm7FXYq7FXYq7FXYq7FXYq7FXYq7&#10;FXYq7FXYq7FXYq7FXYq7FXYq7FXYq7FXYq7FXYq7FXYq7FXYq7FXYq7FXYq7FXYq7FXYq7FXYq7F&#10;XYq7FXYq7FXYq7FXYq7FWwaYQaQuBrloNsW8k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RzZsptIW5U&#10;l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rHcJlc&#10;5iKQLQjOXzBlMybQKW5Bk7FXYq7FXYq7FXYq7FXYq7FXYq7FXYq7FXYq7FXYq7FXYq7FXYq7FXYq&#10;7FXYq7FXYq7FXYq7FXYq7FXYq7FXYq7FXYq7FXYq7FXYq7FXYq7FXYq7FXYq7FXYq7FXYq7FXYqu&#10;BywSY0uyx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qObNlNpC3K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qLy8emY88tcmYihia5hk22NYEuxV2KuxV2KuxV2&#10;KuxV2KuxV2KuxV2KuxV2KuxV2KuxV2KuxV2KuxV2KuxV2KuxV2KuxV2KuxV2KuxV2KuxV2KuxV2K&#10;uxV2KuxV2KuxV2KuxV2KuxV2KuxV2KuxV2KuxV2KuxV2Ktg0wg0hcDXLgbYt4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RzZsptIW5Ul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ommJNKhpJeXTMKeW+TaIqOY7N2KuxV2KuxV2KuxV2KuxV2KuxV2KuxV2KuxV2KuxV2KuxV2K&#10;uxV2KuxV2KuxV2KuxV2KuxV2KuxV2KuxV2KuxV2KuxV2KuxV2KuxV2KuxV2KuxV2KuxV2KuxV2Ku&#10;xV2KuxV2KuxV2KuxV2KuxVcDlgkxpdliH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jmzZTaQtypL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Ws4TISmIpAtCO5fMGczJtApZlbJ2Kux&#10;V2KuxV2KuxV2KuxV2KuxV2KuxV2KuxV2KuxV2KuxV2KuxV2KuxV2KuxV2KuxV2KuxV2KuxV2KuxV&#10;2KuxV2KuxV2KuxV2KuxV2KuxV2KuxV2KuxV2KuxV2KuxV2KuxV2KuxV2KuxV2KuxV2KuxVsGmSBp&#10;FLga5aDbFvC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RzZsptIW5Ul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SeXj88pnl4WQjaFJ5Zgk221TWBLsVdirsVdirsVdirsVdirsVdirsVdirsV&#10;dirsVdirsVdirsVdirsVdirsVdirsVdirsVdirsVdirsVdirsVdirsVdirsVdirsVdirsVdirsVd&#10;irsVdirsVdirsVdirsVdirsVdirsVdirsVdirsVdirsVdirsVXA5aJMaXZND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qObNlN&#10;pC3K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DyS+GYk83QNgih8x&#10;Wx2KuxV2KuxV2KuxV2KuxV2KuxV2KuxV2KuxV2KuxV2KuxV2KuxV2KuxV2KuxV2KuxV2KuxV2Kux&#10;V2KuxV2KuxV2KuxV2KuxV2KuxV2KuxV2KuxV2KuxV2KuxV2KuxV2KuxV2KuxV2KuxV2KuxV2KuxV&#10;2KuxV2KuxV2KuxVsGmSEqRS+tctBti7C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qObNlNpC3K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pm49cBlSgWhHk5/LMGeTibRGlPKWbsVdirsVdirsVdirsVdirsVdi&#10;rsVdirsVdirsVdirsVdirsVdirsVdirsVdirsVdirsVdirsVdirsVdirsVdirsVdirsVdirsVdir&#10;sVdirsVdirsVdirsVdirsVdirsVdirsVdirsVdirsVdirsVdirsVdirsVdirsVdirsVdirsULwa5&#10;aJWim8mh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o5s2U2kLcqS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sdwmVzm&#10;IpAtCMxbMGUjJuApbkEuxV2KuxV2KuxV2KuxV2KuxV2KuxV2KuxV2KuxV2KuxV2KuxV2KuxV2Kux&#10;V2KuxV2KuxV2KuxV2KuxV2KuxV2KuxV2KuxV2KuxV2KuxV2KuxV2KuxV2KuxV2KuxV2KuxV2KuxV&#10;2KuxV2KuxV2KuxV2KuxV2KuxV2KuxV2KuxV2KuxV2KuxVsHJiVIpflgNsXY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qObNlNpC3K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Rkl47DMfJlrYMxFCk1zDJtsdgS7FXYq7FXYq7F&#10;XYq7FXYq7FXYq7FXYq7FXYq7FXYq7FXYq7FXYq7FXYq7FXYq7FXYq7FXYq7FXYq7FXYq7FXYq7FX&#10;Yq7FXYq7FXYq7FXYq7FXYq7FXYq7FXYq7FXYq7FXYq7FXYq7FXYq7FXYq7FXYq7FXYq7FXYq7FXY&#10;q7FXYq7FXYq7FXYq7FXA0wg0heDXLRK0U3kkO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" stroked="f">
                <v:fill r:id="rId21" o:title="P3#y1" recolor="t" rotate="t" type="frame"/>
                <w10:wrap anchorx="page" anchory="page"/>
              </v:rect>
            </w:pict>
          </mc:Fallback>
        </mc:AlternateContent>
      </w:r>
      <w:r w:rsidRPr="0074415A">
        <w:rPr>
          <w:noProof/>
        </w:rPr>
        <mc:AlternateContent>
          <mc:Choice Requires="wps">
            <w:drawing>
              <wp:anchor distT="0" distB="0" distL="114300" distR="114300" simplePos="0" relativeHeight="251658247" behindDoc="1" locked="0" layoutInCell="1" allowOverlap="1" wp14:anchorId="588F2A6B" wp14:editId="49404EC3">
                <wp:simplePos x="0" y="0"/>
                <wp:positionH relativeFrom="margin">
                  <wp:posOffset>-194310</wp:posOffset>
                </wp:positionH>
                <wp:positionV relativeFrom="page">
                  <wp:posOffset>4389120</wp:posOffset>
                </wp:positionV>
                <wp:extent cx="3657600" cy="5343525"/>
                <wp:effectExtent l="0" t="0" r="0" b="0"/>
                <wp:wrapNone/>
                <wp:docPr id="459463928" name="Text Box 459463928" descr="P3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0" cy="534352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34981E8E" w14:textId="7DD3B252" w:rsidR="009807D4" w:rsidRPr="000A4B8A" w:rsidRDefault="009807D4" w:rsidP="009807D4">
                            <w:pPr>
                              <w:spacing w:line="216" w:lineRule="auto"/>
                              <w:rPr>
                                <w:b/>
                                <w:color w:val="FFFFFF" w:themeColor="background1"/>
                                <w:sz w:val="30"/>
                                <w:szCs w:val="30"/>
                              </w:rPr>
                            </w:pPr>
                            <w:r w:rsidRPr="003758AA">
                              <w:rPr>
                                <w:b/>
                                <w:color w:val="FFFFFF" w:themeColor="background1"/>
                                <w:sz w:val="30"/>
                                <w:szCs w:val="30"/>
                              </w:rPr>
                              <w:t>This</w:t>
                            </w:r>
                            <w:r w:rsidRPr="003758AA">
                              <w:rPr>
                                <w:b/>
                                <w:color w:val="FFFFFF" w:themeColor="background1"/>
                                <w:spacing w:val="-5"/>
                                <w:sz w:val="30"/>
                                <w:szCs w:val="30"/>
                              </w:rPr>
                              <w:t xml:space="preserve"> </w:t>
                            </w:r>
                            <w:r w:rsidRPr="003758AA">
                              <w:rPr>
                                <w:b/>
                                <w:color w:val="FFFFFF" w:themeColor="background1"/>
                                <w:sz w:val="30"/>
                                <w:szCs w:val="30"/>
                              </w:rPr>
                              <w:t>advice</w:t>
                            </w:r>
                            <w:r w:rsidRPr="003758AA">
                              <w:rPr>
                                <w:b/>
                                <w:color w:val="FFFFFF" w:themeColor="background1"/>
                                <w:spacing w:val="-3"/>
                                <w:sz w:val="30"/>
                                <w:szCs w:val="30"/>
                              </w:rPr>
                              <w:t xml:space="preserve"> </w:t>
                            </w:r>
                            <w:r w:rsidRPr="000A4B8A">
                              <w:rPr>
                                <w:b/>
                                <w:color w:val="FFFFFF" w:themeColor="background1"/>
                                <w:sz w:val="30"/>
                                <w:szCs w:val="30"/>
                              </w:rPr>
                              <w:t>is required under section 5ZOA of the Climate Change Response Act 2002</w:t>
                            </w:r>
                          </w:p>
                          <w:p w14:paraId="4AD8FCEF" w14:textId="77777777" w:rsidR="009807D4" w:rsidRPr="00A83923" w:rsidRDefault="009807D4" w:rsidP="009807D4"/>
                          <w:p w14:paraId="016C4461" w14:textId="77777777" w:rsidR="009807D4" w:rsidRDefault="009807D4" w:rsidP="009807D4">
                            <w:pPr>
                              <w:spacing w:after="0"/>
                            </w:pPr>
                            <w:r>
                              <w:t>ISSN: 3021-1956 (Print)</w:t>
                            </w:r>
                          </w:p>
                          <w:p w14:paraId="3187F1C4" w14:textId="77777777" w:rsidR="009807D4" w:rsidRDefault="009807D4" w:rsidP="009807D4">
                            <w:pPr>
                              <w:spacing w:before="0" w:after="240"/>
                            </w:pPr>
                            <w:r>
                              <w:t>ISSN: 3021-1964 (Online)</w:t>
                            </w:r>
                          </w:p>
                          <w:p w14:paraId="4752AC58" w14:textId="77777777" w:rsidR="009807D4" w:rsidRDefault="009807D4" w:rsidP="009807D4">
                            <w:pPr>
                              <w:spacing w:line="192" w:lineRule="auto"/>
                            </w:pPr>
                            <w:r>
                              <w:rPr>
                                <w:b/>
                                <w:color w:val="0F385A"/>
                                <w:spacing w:val="-2"/>
                              </w:rPr>
                              <w:t xml:space="preserve">Disclaimer: </w:t>
                            </w:r>
                            <w:r>
                              <w:t>He Pou a Rangi Climate Change Commission (the Commission) has made every effort to ensure the material and analysis underpinning and contained in our report is accurate and correct. However, the Commission makes no warranty, representation or guarantee that the material is error-free. Potential errors that come to our attention will be assessed by the Commission, and any necessary corrections to our information will be notified via an erratum published on our website. If an error is identified that the Commission considers materially affects any part of our report, the Commission will notify the Minister of Climate Change in writing as soon as possible.</w:t>
                            </w:r>
                          </w:p>
                          <w:p w14:paraId="49AA7D87" w14:textId="77777777" w:rsidR="009807D4" w:rsidRPr="0076211C" w:rsidRDefault="009807D4" w:rsidP="009807D4">
                            <w:pPr>
                              <w:spacing w:line="192" w:lineRule="auto"/>
                              <w:rPr>
                                <w:b/>
                              </w:rPr>
                            </w:pPr>
                            <w:r w:rsidRPr="00D97462">
                              <w:rPr>
                                <w:b/>
                                <w:bCs/>
                                <w:color w:val="002060"/>
                              </w:rPr>
                              <w:t>Disclosure statement:</w:t>
                            </w:r>
                            <w:r>
                              <w:t xml:space="preserve"> As anticipated by the appointment criteria, the Climate Change Commissioners come from varying fields such as adaptation, agriculture, economics, te ao Māori and the Māori–Crown relationship. While a number of board members continue to hold roles within these fields, our advice is independent and evidence based. The Commission operates under its Interests Policy, which is derived from the Crown Entities Act 2004. You can read more about our board members on the Climate Change Commission website. The Commission regularly updates and publishes on its website a register of relevant board interests.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F2A6B" id="Text Box 459463928" o:spid="_x0000_s1030" type="#_x0000_t202" alt="P3TB7bA#y1" style="position:absolute;margin-left:-15.3pt;margin-top:345.6pt;width:4in;height:420.7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" filled="f">
                <v:stroke opacity="0"/>
                <v:path arrowok="t"/>
                <v:textbox inset="0,0,0,0">
                  <w:txbxContent>
                    <w:p w14:paraId="34981E8E" w14:textId="7DD3B252" w:rsidR="009807D4" w:rsidRPr="000A4B8A" w:rsidRDefault="009807D4" w:rsidP="009807D4">
                      <w:pPr>
                        <w:spacing w:line="216" w:lineRule="auto"/>
                        <w:rPr>
                          <w:b/>
                          <w:color w:val="FFFFFF" w:themeColor="background1"/>
                          <w:sz w:val="30"/>
                          <w:szCs w:val="30"/>
                        </w:rPr>
                      </w:pPr>
                      <w:r w:rsidRPr="003758AA">
                        <w:rPr>
                          <w:b/>
                          <w:color w:val="FFFFFF" w:themeColor="background1"/>
                          <w:sz w:val="30"/>
                          <w:szCs w:val="30"/>
                        </w:rPr>
                        <w:t>This</w:t>
                      </w:r>
                      <w:r w:rsidRPr="003758AA">
                        <w:rPr>
                          <w:b/>
                          <w:color w:val="FFFFFF" w:themeColor="background1"/>
                          <w:spacing w:val="-5"/>
                          <w:sz w:val="30"/>
                          <w:szCs w:val="30"/>
                        </w:rPr>
                        <w:t xml:space="preserve"> </w:t>
                      </w:r>
                      <w:r w:rsidRPr="003758AA">
                        <w:rPr>
                          <w:b/>
                          <w:color w:val="FFFFFF" w:themeColor="background1"/>
                          <w:sz w:val="30"/>
                          <w:szCs w:val="30"/>
                        </w:rPr>
                        <w:t>advice</w:t>
                      </w:r>
                      <w:r w:rsidRPr="003758AA">
                        <w:rPr>
                          <w:b/>
                          <w:color w:val="FFFFFF" w:themeColor="background1"/>
                          <w:spacing w:val="-3"/>
                          <w:sz w:val="30"/>
                          <w:szCs w:val="30"/>
                        </w:rPr>
                        <w:t xml:space="preserve"> </w:t>
                      </w:r>
                      <w:r w:rsidRPr="000A4B8A">
                        <w:rPr>
                          <w:b/>
                          <w:color w:val="FFFFFF" w:themeColor="background1"/>
                          <w:sz w:val="30"/>
                          <w:szCs w:val="30"/>
                        </w:rPr>
                        <w:t>is required under section 5ZOA of the Climate Change Response Act 2002</w:t>
                      </w:r>
                    </w:p>
                    <w:p w14:paraId="4AD8FCEF" w14:textId="77777777" w:rsidR="009807D4" w:rsidRPr="00A83923" w:rsidRDefault="009807D4" w:rsidP="009807D4"/>
                    <w:p w14:paraId="016C4461" w14:textId="77777777" w:rsidR="009807D4" w:rsidRDefault="009807D4" w:rsidP="009807D4">
                      <w:pPr>
                        <w:spacing w:after="0"/>
                      </w:pPr>
                      <w:r>
                        <w:t>ISSN: 3021-1956 (Print)</w:t>
                      </w:r>
                    </w:p>
                    <w:p w14:paraId="3187F1C4" w14:textId="77777777" w:rsidR="009807D4" w:rsidRDefault="009807D4" w:rsidP="009807D4">
                      <w:pPr>
                        <w:spacing w:before="0" w:after="240"/>
                      </w:pPr>
                      <w:r>
                        <w:t>ISSN: 3021-1964 (Online)</w:t>
                      </w:r>
                    </w:p>
                    <w:p w14:paraId="4752AC58" w14:textId="77777777" w:rsidR="009807D4" w:rsidRDefault="009807D4" w:rsidP="009807D4">
                      <w:pPr>
                        <w:spacing w:line="192" w:lineRule="auto"/>
                      </w:pPr>
                      <w:r>
                        <w:rPr>
                          <w:b/>
                          <w:color w:val="0F385A"/>
                          <w:spacing w:val="-2"/>
                        </w:rPr>
                        <w:t xml:space="preserve">Disclaimer: </w:t>
                      </w:r>
                      <w:r>
                        <w:t>He Pou a Rangi Climate Change Commission (the Commission) has made every effort to ensure the material and analysis underpinning and contained in our report is accurate and correct. However, the Commission makes no warranty, representation or guarantee that the material is error-free. Potential errors that come to our attention will be assessed by the Commission, and any necessary corrections to our information will be notified via an erratum published on our website. If an error is identified that the Commission considers materially affects any part of our report, the Commission will notify the Minister of Climate Change in writing as soon as possible.</w:t>
                      </w:r>
                    </w:p>
                    <w:p w14:paraId="49AA7D87" w14:textId="77777777" w:rsidR="009807D4" w:rsidRPr="0076211C" w:rsidRDefault="009807D4" w:rsidP="009807D4">
                      <w:pPr>
                        <w:spacing w:line="192" w:lineRule="auto"/>
                        <w:rPr>
                          <w:b/>
                        </w:rPr>
                      </w:pPr>
                      <w:r w:rsidRPr="00D97462">
                        <w:rPr>
                          <w:b/>
                          <w:bCs/>
                          <w:color w:val="002060"/>
                        </w:rPr>
                        <w:t>Disclosure statement:</w:t>
                      </w:r>
                      <w:r>
                        <w:t xml:space="preserve"> As anticipated by the appointment criteria, the Climate Change Commissioners come from varying fields such as adaptation, agriculture, economics, te ao Māori and the Māori–Crown relationship. While a number of board members continue to hold roles within these fields, our advice is independent and evidence based. The Commission operates under its Interests Policy, which is derived from the Crown Entities Act 2004. You can read more about our board members on the Climate Change Commission website. The Commission regularly updates and publishes on its website a register of relevant board interests.</w:t>
                      </w:r>
                    </w:p>
                  </w:txbxContent>
                </v:textbox>
                <w10:wrap anchorx="margin" anchory="page"/>
              </v:shape>
            </w:pict>
          </mc:Fallback>
        </mc:AlternateContent>
      </w:r>
      <w:r w:rsidR="00393C3C" w:rsidRPr="0074415A">
        <w:rPr>
          <w:noProof/>
        </w:rPr>
        <mc:AlternateContent>
          <mc:Choice Requires="wps">
            <w:drawing>
              <wp:anchor distT="0" distB="0" distL="114300" distR="114300" simplePos="0" relativeHeight="251658244" behindDoc="1" locked="0" layoutInCell="1" allowOverlap="1" wp14:anchorId="3B0959EA" wp14:editId="4BA5A7C4">
                <wp:simplePos x="0" y="0"/>
                <wp:positionH relativeFrom="page">
                  <wp:posOffset>426720</wp:posOffset>
                </wp:positionH>
                <wp:positionV relativeFrom="page">
                  <wp:posOffset>911225</wp:posOffset>
                </wp:positionV>
                <wp:extent cx="1828800" cy="693175"/>
                <wp:effectExtent l="0" t="0" r="0" b="0"/>
                <wp:wrapNone/>
                <wp:docPr id="151" name="Text Box 151" descr="P3TB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69317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602C6281" w14:textId="77777777" w:rsidR="004306B2" w:rsidRPr="003758AA" w:rsidRDefault="004306B2" w:rsidP="006F0BB5">
                            <w:pPr>
                              <w:rPr>
                                <w:color w:val="FFFFFF" w:themeColor="background1"/>
                                <w:spacing w:val="7"/>
                              </w:rPr>
                            </w:pPr>
                            <w:r w:rsidRPr="003758AA">
                              <w:rPr>
                                <w:color w:val="FFFFFF" w:themeColor="background1"/>
                              </w:rPr>
                              <w:t>HAERE</w:t>
                            </w:r>
                            <w:r w:rsidRPr="003758AA">
                              <w:rPr>
                                <w:color w:val="FFFFFF" w:themeColor="background1"/>
                                <w:spacing w:val="31"/>
                              </w:rPr>
                              <w:t xml:space="preserve"> </w:t>
                            </w:r>
                            <w:r w:rsidRPr="003758AA">
                              <w:rPr>
                                <w:color w:val="FFFFFF" w:themeColor="background1"/>
                              </w:rPr>
                              <w:t>MAI</w:t>
                            </w:r>
                            <w:r w:rsidRPr="003758AA">
                              <w:rPr>
                                <w:color w:val="FFFFFF" w:themeColor="background1"/>
                                <w:spacing w:val="25"/>
                              </w:rPr>
                              <w:t xml:space="preserve"> </w:t>
                            </w:r>
                            <w:r w:rsidRPr="003758AA">
                              <w:rPr>
                                <w:color w:val="FFFFFF" w:themeColor="background1"/>
                              </w:rPr>
                              <w:t>·</w:t>
                            </w:r>
                            <w:r w:rsidRPr="003758AA">
                              <w:rPr>
                                <w:color w:val="FFFFFF" w:themeColor="background1"/>
                                <w:spacing w:val="26"/>
                              </w:rPr>
                              <w:t xml:space="preserve"> </w:t>
                            </w:r>
                            <w:r w:rsidRPr="003758AA">
                              <w:rPr>
                                <w:color w:val="FFFFFF" w:themeColor="background1"/>
                                <w:spacing w:val="7"/>
                              </w:rPr>
                              <w:t>WELCOME</w:t>
                            </w:r>
                          </w:p>
                          <w:p w14:paraId="21CBDAFD" w14:textId="77777777" w:rsidR="004306B2" w:rsidRDefault="004306B2" w:rsidP="006F0BB5">
                            <w:pPr>
                              <w:rPr>
                                <w:sz w:val="28"/>
                              </w:rPr>
                            </w:pPr>
                            <w:r>
                              <w:rPr>
                                <w:noProof/>
                              </w:rPr>
                              <w:drawing>
                                <wp:inline distT="0" distB="0" distL="0" distR="0" wp14:anchorId="2F6AF386" wp14:editId="350D3897">
                                  <wp:extent cx="990600" cy="12700"/>
                                  <wp:effectExtent l="0" t="0" r="0" b="0"/>
                                  <wp:docPr id="1325054246" name="Picture 1325054246" descr="P3TB5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11799" name="Picture 1795811799" descr="P3TB5inTB1"/>
                                          <pic:cNvPicPr/>
                                        </pic:nvPicPr>
                                        <pic:blipFill>
                                          <a:blip r:embed="rId22"/>
                                          <a:stretch>
                                            <a:fillRect/>
                                          </a:stretch>
                                        </pic:blipFill>
                                        <pic:spPr>
                                          <a:xfrm>
                                            <a:off x="0" y="0"/>
                                            <a:ext cx="990600" cy="127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959EA" id="Text Box 151" o:spid="_x0000_s1031" type="#_x0000_t202" alt="P3TB5bA#y1" style="position:absolute;margin-left:33.6pt;margin-top:71.75pt;width:2in;height:54.6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" filled="f">
                <v:stroke opacity="0"/>
                <v:path arrowok="t"/>
                <v:textbox inset="0,0,0,0">
                  <w:txbxContent>
                    <w:p w14:paraId="602C6281" w14:textId="77777777" w:rsidR="004306B2" w:rsidRPr="003758AA" w:rsidRDefault="004306B2" w:rsidP="006F0BB5">
                      <w:pPr>
                        <w:rPr>
                          <w:color w:val="FFFFFF" w:themeColor="background1"/>
                          <w:spacing w:val="7"/>
                        </w:rPr>
                      </w:pPr>
                      <w:r w:rsidRPr="003758AA">
                        <w:rPr>
                          <w:color w:val="FFFFFF" w:themeColor="background1"/>
                        </w:rPr>
                        <w:t>HAERE</w:t>
                      </w:r>
                      <w:r w:rsidRPr="003758AA">
                        <w:rPr>
                          <w:color w:val="FFFFFF" w:themeColor="background1"/>
                          <w:spacing w:val="31"/>
                        </w:rPr>
                        <w:t xml:space="preserve"> </w:t>
                      </w:r>
                      <w:r w:rsidRPr="003758AA">
                        <w:rPr>
                          <w:color w:val="FFFFFF" w:themeColor="background1"/>
                        </w:rPr>
                        <w:t>MAI</w:t>
                      </w:r>
                      <w:r w:rsidRPr="003758AA">
                        <w:rPr>
                          <w:color w:val="FFFFFF" w:themeColor="background1"/>
                          <w:spacing w:val="25"/>
                        </w:rPr>
                        <w:t xml:space="preserve"> </w:t>
                      </w:r>
                      <w:r w:rsidRPr="003758AA">
                        <w:rPr>
                          <w:color w:val="FFFFFF" w:themeColor="background1"/>
                        </w:rPr>
                        <w:t>·</w:t>
                      </w:r>
                      <w:r w:rsidRPr="003758AA">
                        <w:rPr>
                          <w:color w:val="FFFFFF" w:themeColor="background1"/>
                          <w:spacing w:val="26"/>
                        </w:rPr>
                        <w:t xml:space="preserve"> </w:t>
                      </w:r>
                      <w:r w:rsidRPr="003758AA">
                        <w:rPr>
                          <w:color w:val="FFFFFF" w:themeColor="background1"/>
                          <w:spacing w:val="7"/>
                        </w:rPr>
                        <w:t>WELCOME</w:t>
                      </w:r>
                    </w:p>
                    <w:p w14:paraId="21CBDAFD" w14:textId="77777777" w:rsidR="004306B2" w:rsidRDefault="004306B2" w:rsidP="006F0BB5">
                      <w:pPr>
                        <w:rPr>
                          <w:sz w:val="28"/>
                        </w:rPr>
                      </w:pPr>
                      <w:r>
                        <w:rPr>
                          <w:noProof/>
                        </w:rPr>
                        <w:drawing>
                          <wp:inline distT="0" distB="0" distL="0" distR="0" wp14:anchorId="2F6AF386" wp14:editId="350D3897">
                            <wp:extent cx="990600" cy="12700"/>
                            <wp:effectExtent l="0" t="0" r="0" b="0"/>
                            <wp:docPr id="1325054246" name="Picture 1325054246" descr="P3TB5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11799" name="Picture 1795811799" descr="P3TB5inTB1"/>
                                    <pic:cNvPicPr/>
                                  </pic:nvPicPr>
                                  <pic:blipFill>
                                    <a:blip r:embed="rId23"/>
                                    <a:stretch>
                                      <a:fillRect/>
                                    </a:stretch>
                                  </pic:blipFill>
                                  <pic:spPr>
                                    <a:xfrm>
                                      <a:off x="0" y="0"/>
                                      <a:ext cx="990600" cy="12700"/>
                                    </a:xfrm>
                                    <a:prstGeom prst="rect">
                                      <a:avLst/>
                                    </a:prstGeom>
                                  </pic:spPr>
                                </pic:pic>
                              </a:graphicData>
                            </a:graphic>
                          </wp:inline>
                        </w:drawing>
                      </w:r>
                    </w:p>
                  </w:txbxContent>
                </v:textbox>
                <w10:wrap anchorx="page" anchory="page"/>
              </v:shape>
            </w:pict>
          </mc:Fallback>
        </mc:AlternateContent>
      </w:r>
    </w:p>
    <w:p w14:paraId="12D38BD9" w14:textId="77777777" w:rsidR="002701D2" w:rsidRDefault="002701D2" w:rsidP="002952E7">
      <w:pPr>
        <w:rPr>
          <w:b/>
          <w:color w:val="0F385A"/>
          <w:spacing w:val="-2"/>
          <w:sz w:val="80"/>
        </w:rPr>
        <w:sectPr w:rsidR="002701D2" w:rsidSect="004023EF">
          <w:footerReference w:type="default" r:id="rId24"/>
          <w:footerReference w:type="first" r:id="rId25"/>
          <w:footnotePr>
            <w:numFmt w:val="lowerRoman"/>
          </w:footnotePr>
          <w:endnotePr>
            <w:numFmt w:val="decimal"/>
          </w:endnotePr>
          <w:type w:val="continuous"/>
          <w:pgSz w:w="11906" w:h="16838"/>
          <w:pgMar w:top="1418" w:right="1418" w:bottom="1134" w:left="1418" w:header="709" w:footer="624" w:gutter="0"/>
          <w:pgNumType w:start="1"/>
          <w:cols w:space="708"/>
          <w:titlePg/>
          <w:docGrid w:linePitch="360"/>
        </w:sectPr>
      </w:pPr>
    </w:p>
    <w:p w14:paraId="2BC1D0A4" w14:textId="0768B301" w:rsidR="00802808" w:rsidRDefault="00802808" w:rsidP="00F159B9">
      <w:pPr>
        <w:spacing w:before="0" w:after="0" w:line="240" w:lineRule="auto"/>
        <w:rPr>
          <w:b/>
          <w:color w:val="0F385A"/>
          <w:spacing w:val="-2"/>
          <w:sz w:val="80"/>
        </w:rPr>
      </w:pPr>
      <w:r>
        <w:rPr>
          <w:b/>
          <w:color w:val="0F385A"/>
          <w:spacing w:val="-2"/>
          <w:sz w:val="80"/>
        </w:rPr>
        <w:lastRenderedPageBreak/>
        <w:t>Contents</w:t>
      </w:r>
    </w:p>
    <w:p w14:paraId="00413B99" w14:textId="77777777" w:rsidR="002A2E70" w:rsidRDefault="002A2E70" w:rsidP="00EA0055">
      <w:pPr>
        <w:spacing w:before="0" w:after="0"/>
      </w:pPr>
    </w:p>
    <w:p w14:paraId="75ED6C46" w14:textId="6B050059" w:rsidR="00FF4148" w:rsidRDefault="51C0B577">
      <w:pPr>
        <w:pStyle w:val="TOC2"/>
        <w:tabs>
          <w:tab w:val="right" w:leader="dot" w:pos="9060"/>
        </w:tabs>
        <w:rPr>
          <w:rFonts w:asciiTheme="minorHAnsi" w:eastAsiaTheme="minorEastAsia" w:hAnsiTheme="minorHAnsi"/>
          <w:noProof/>
          <w:kern w:val="2"/>
          <w:lang w:eastAsia="en-NZ"/>
          <w14:ligatures w14:val="standardContextual"/>
        </w:rPr>
      </w:pPr>
      <w:r>
        <w:fldChar w:fldCharType="begin"/>
      </w:r>
      <w:r w:rsidR="004B23EC">
        <w:instrText>TOC \o "1-2" \z \u \h</w:instrText>
      </w:r>
      <w:r>
        <w:fldChar w:fldCharType="separate"/>
      </w:r>
      <w:hyperlink w:anchor="_Toc195447208" w:history="1">
        <w:r w:rsidR="00FF4148" w:rsidRPr="00527107">
          <w:rPr>
            <w:rStyle w:val="Hyperlink"/>
            <w:noProof/>
          </w:rPr>
          <w:t>About He Pou a Rangi Climate Change Commission</w:t>
        </w:r>
        <w:r w:rsidR="00FF4148">
          <w:rPr>
            <w:noProof/>
            <w:webHidden/>
          </w:rPr>
          <w:tab/>
        </w:r>
        <w:r w:rsidR="00FF4148">
          <w:rPr>
            <w:noProof/>
            <w:webHidden/>
          </w:rPr>
          <w:fldChar w:fldCharType="begin"/>
        </w:r>
        <w:r w:rsidR="00FF4148">
          <w:rPr>
            <w:noProof/>
            <w:webHidden/>
          </w:rPr>
          <w:instrText xml:space="preserve"> PAGEREF _Toc195447208 \h </w:instrText>
        </w:r>
        <w:r w:rsidR="00FF4148">
          <w:rPr>
            <w:noProof/>
            <w:webHidden/>
          </w:rPr>
        </w:r>
        <w:r w:rsidR="00FF4148">
          <w:rPr>
            <w:noProof/>
            <w:webHidden/>
          </w:rPr>
          <w:fldChar w:fldCharType="separate"/>
        </w:r>
        <w:r w:rsidR="00FF4148">
          <w:rPr>
            <w:noProof/>
            <w:webHidden/>
          </w:rPr>
          <w:t>3</w:t>
        </w:r>
        <w:r w:rsidR="00FF4148">
          <w:rPr>
            <w:noProof/>
            <w:webHidden/>
          </w:rPr>
          <w:fldChar w:fldCharType="end"/>
        </w:r>
      </w:hyperlink>
    </w:p>
    <w:p w14:paraId="305F9E0F" w14:textId="7F3F7BA8" w:rsidR="00FF4148" w:rsidRDefault="00000000">
      <w:pPr>
        <w:pStyle w:val="TOC1"/>
        <w:rPr>
          <w:rFonts w:asciiTheme="minorHAnsi" w:eastAsiaTheme="minorEastAsia" w:hAnsiTheme="minorHAnsi"/>
          <w:b w:val="0"/>
          <w:color w:val="auto"/>
          <w:kern w:val="2"/>
          <w:lang w:eastAsia="en-NZ"/>
          <w14:ligatures w14:val="standardContextual"/>
        </w:rPr>
      </w:pPr>
      <w:hyperlink w:anchor="_Toc195447209" w:history="1">
        <w:r w:rsidR="00FF4148" w:rsidRPr="00527107">
          <w:rPr>
            <w:rStyle w:val="Hyperlink"/>
          </w:rPr>
          <w:t>Te whakarākei matua</w:t>
        </w:r>
        <w:r w:rsidR="00FF4148">
          <w:rPr>
            <w:webHidden/>
          </w:rPr>
          <w:tab/>
        </w:r>
        <w:r w:rsidR="00FF4148">
          <w:rPr>
            <w:webHidden/>
          </w:rPr>
          <w:fldChar w:fldCharType="begin"/>
        </w:r>
        <w:r w:rsidR="00FF4148">
          <w:rPr>
            <w:webHidden/>
          </w:rPr>
          <w:instrText xml:space="preserve"> PAGEREF _Toc195447209 \h </w:instrText>
        </w:r>
        <w:r w:rsidR="00FF4148">
          <w:rPr>
            <w:webHidden/>
          </w:rPr>
        </w:r>
        <w:r w:rsidR="00FF4148">
          <w:rPr>
            <w:webHidden/>
          </w:rPr>
          <w:fldChar w:fldCharType="separate"/>
        </w:r>
        <w:r w:rsidR="00FF4148">
          <w:rPr>
            <w:webHidden/>
          </w:rPr>
          <w:t>4</w:t>
        </w:r>
        <w:r w:rsidR="00FF4148">
          <w:rPr>
            <w:webHidden/>
          </w:rPr>
          <w:fldChar w:fldCharType="end"/>
        </w:r>
      </w:hyperlink>
    </w:p>
    <w:p w14:paraId="5F3F7D30" w14:textId="2BA81142"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10" w:history="1">
        <w:r w:rsidR="00FF4148" w:rsidRPr="00527107">
          <w:rPr>
            <w:rStyle w:val="Hyperlink"/>
            <w:noProof/>
          </w:rPr>
          <w:t>Te whakapau kaha o te Kaupapa Hokohoko ki ngā ahunga whakaheke tukuwaro</w:t>
        </w:r>
        <w:r w:rsidR="00FF4148">
          <w:rPr>
            <w:noProof/>
            <w:webHidden/>
          </w:rPr>
          <w:tab/>
        </w:r>
        <w:r w:rsidR="00FF4148">
          <w:rPr>
            <w:noProof/>
            <w:webHidden/>
          </w:rPr>
          <w:fldChar w:fldCharType="begin"/>
        </w:r>
        <w:r w:rsidR="00FF4148">
          <w:rPr>
            <w:noProof/>
            <w:webHidden/>
          </w:rPr>
          <w:instrText xml:space="preserve"> PAGEREF _Toc195447210 \h </w:instrText>
        </w:r>
        <w:r w:rsidR="00FF4148">
          <w:rPr>
            <w:noProof/>
            <w:webHidden/>
          </w:rPr>
        </w:r>
        <w:r w:rsidR="00FF4148">
          <w:rPr>
            <w:noProof/>
            <w:webHidden/>
          </w:rPr>
          <w:fldChar w:fldCharType="separate"/>
        </w:r>
        <w:r w:rsidR="00FF4148">
          <w:rPr>
            <w:noProof/>
            <w:webHidden/>
          </w:rPr>
          <w:t>4</w:t>
        </w:r>
        <w:r w:rsidR="00FF4148">
          <w:rPr>
            <w:noProof/>
            <w:webHidden/>
          </w:rPr>
          <w:fldChar w:fldCharType="end"/>
        </w:r>
      </w:hyperlink>
    </w:p>
    <w:p w14:paraId="21B28F2E" w14:textId="201D45F8"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11" w:history="1">
        <w:r w:rsidR="00FF4148" w:rsidRPr="00527107">
          <w:rPr>
            <w:rStyle w:val="Hyperlink"/>
            <w:noProof/>
          </w:rPr>
          <w:t>Te ia o ngā kōrero ki tēnei kupu akiaki</w:t>
        </w:r>
        <w:r w:rsidR="00FF4148">
          <w:rPr>
            <w:noProof/>
            <w:webHidden/>
          </w:rPr>
          <w:tab/>
        </w:r>
        <w:r w:rsidR="00FF4148">
          <w:rPr>
            <w:noProof/>
            <w:webHidden/>
          </w:rPr>
          <w:fldChar w:fldCharType="begin"/>
        </w:r>
        <w:r w:rsidR="00FF4148">
          <w:rPr>
            <w:noProof/>
            <w:webHidden/>
          </w:rPr>
          <w:instrText xml:space="preserve"> PAGEREF _Toc195447211 \h </w:instrText>
        </w:r>
        <w:r w:rsidR="00FF4148">
          <w:rPr>
            <w:noProof/>
            <w:webHidden/>
          </w:rPr>
        </w:r>
        <w:r w:rsidR="00FF4148">
          <w:rPr>
            <w:noProof/>
            <w:webHidden/>
          </w:rPr>
          <w:fldChar w:fldCharType="separate"/>
        </w:r>
        <w:r w:rsidR="00FF4148">
          <w:rPr>
            <w:noProof/>
            <w:webHidden/>
          </w:rPr>
          <w:t>6</w:t>
        </w:r>
        <w:r w:rsidR="00FF4148">
          <w:rPr>
            <w:noProof/>
            <w:webHidden/>
          </w:rPr>
          <w:fldChar w:fldCharType="end"/>
        </w:r>
      </w:hyperlink>
    </w:p>
    <w:p w14:paraId="5A2B8B09" w14:textId="2CF56078"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12" w:history="1">
        <w:r w:rsidR="00FF4148" w:rsidRPr="00527107">
          <w:rPr>
            <w:rStyle w:val="Hyperlink"/>
            <w:noProof/>
          </w:rPr>
          <w:t>Kupu akiaki ki ngā herenga tauhoko</w:t>
        </w:r>
        <w:r w:rsidR="00FF4148">
          <w:rPr>
            <w:noProof/>
            <w:webHidden/>
          </w:rPr>
          <w:tab/>
        </w:r>
        <w:r w:rsidR="00FF4148">
          <w:rPr>
            <w:noProof/>
            <w:webHidden/>
          </w:rPr>
          <w:fldChar w:fldCharType="begin"/>
        </w:r>
        <w:r w:rsidR="00FF4148">
          <w:rPr>
            <w:noProof/>
            <w:webHidden/>
          </w:rPr>
          <w:instrText xml:space="preserve"> PAGEREF _Toc195447212 \h </w:instrText>
        </w:r>
        <w:r w:rsidR="00FF4148">
          <w:rPr>
            <w:noProof/>
            <w:webHidden/>
          </w:rPr>
        </w:r>
        <w:r w:rsidR="00FF4148">
          <w:rPr>
            <w:noProof/>
            <w:webHidden/>
          </w:rPr>
          <w:fldChar w:fldCharType="separate"/>
        </w:r>
        <w:r w:rsidR="00FF4148">
          <w:rPr>
            <w:noProof/>
            <w:webHidden/>
          </w:rPr>
          <w:t>7</w:t>
        </w:r>
        <w:r w:rsidR="00FF4148">
          <w:rPr>
            <w:noProof/>
            <w:webHidden/>
          </w:rPr>
          <w:fldChar w:fldCharType="end"/>
        </w:r>
      </w:hyperlink>
    </w:p>
    <w:p w14:paraId="5381C25E" w14:textId="5BDEE3BE"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13" w:history="1">
        <w:r w:rsidR="00FF4148" w:rsidRPr="00527107">
          <w:rPr>
            <w:rStyle w:val="Hyperlink"/>
            <w:noProof/>
          </w:rPr>
          <w:t>Te kupu ki ngā whakaritenga taura-utu</w:t>
        </w:r>
        <w:r w:rsidR="00FF4148">
          <w:rPr>
            <w:noProof/>
            <w:webHidden/>
          </w:rPr>
          <w:tab/>
        </w:r>
        <w:r w:rsidR="00FF4148">
          <w:rPr>
            <w:noProof/>
            <w:webHidden/>
          </w:rPr>
          <w:fldChar w:fldCharType="begin"/>
        </w:r>
        <w:r w:rsidR="00FF4148">
          <w:rPr>
            <w:noProof/>
            <w:webHidden/>
          </w:rPr>
          <w:instrText xml:space="preserve"> PAGEREF _Toc195447213 \h </w:instrText>
        </w:r>
        <w:r w:rsidR="00FF4148">
          <w:rPr>
            <w:noProof/>
            <w:webHidden/>
          </w:rPr>
        </w:r>
        <w:r w:rsidR="00FF4148">
          <w:rPr>
            <w:noProof/>
            <w:webHidden/>
          </w:rPr>
          <w:fldChar w:fldCharType="separate"/>
        </w:r>
        <w:r w:rsidR="00FF4148">
          <w:rPr>
            <w:noProof/>
            <w:webHidden/>
          </w:rPr>
          <w:t>8</w:t>
        </w:r>
        <w:r w:rsidR="00FF4148">
          <w:rPr>
            <w:noProof/>
            <w:webHidden/>
          </w:rPr>
          <w:fldChar w:fldCharType="end"/>
        </w:r>
      </w:hyperlink>
    </w:p>
    <w:p w14:paraId="340A71C8" w14:textId="62788DF2"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14" w:history="1">
        <w:r w:rsidR="00FF4148" w:rsidRPr="00527107">
          <w:rPr>
            <w:rStyle w:val="Hyperlink"/>
            <w:noProof/>
          </w:rPr>
          <w:t>Te whakahāngai i ngā ritenga ki ngā ahunga whakaheke tukuwaro</w:t>
        </w:r>
        <w:r w:rsidR="00FF4148">
          <w:rPr>
            <w:noProof/>
            <w:webHidden/>
          </w:rPr>
          <w:tab/>
        </w:r>
        <w:r w:rsidR="00FF4148">
          <w:rPr>
            <w:noProof/>
            <w:webHidden/>
          </w:rPr>
          <w:fldChar w:fldCharType="begin"/>
        </w:r>
        <w:r w:rsidR="00FF4148">
          <w:rPr>
            <w:noProof/>
            <w:webHidden/>
          </w:rPr>
          <w:instrText xml:space="preserve"> PAGEREF _Toc195447214 \h </w:instrText>
        </w:r>
        <w:r w:rsidR="00FF4148">
          <w:rPr>
            <w:noProof/>
            <w:webHidden/>
          </w:rPr>
        </w:r>
        <w:r w:rsidR="00FF4148">
          <w:rPr>
            <w:noProof/>
            <w:webHidden/>
          </w:rPr>
          <w:fldChar w:fldCharType="separate"/>
        </w:r>
        <w:r w:rsidR="00FF4148">
          <w:rPr>
            <w:noProof/>
            <w:webHidden/>
          </w:rPr>
          <w:t>9</w:t>
        </w:r>
        <w:r w:rsidR="00FF4148">
          <w:rPr>
            <w:noProof/>
            <w:webHidden/>
          </w:rPr>
          <w:fldChar w:fldCharType="end"/>
        </w:r>
      </w:hyperlink>
    </w:p>
    <w:p w14:paraId="0FBBD323" w14:textId="2D95021C"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15" w:history="1">
        <w:r w:rsidR="00FF4148" w:rsidRPr="00527107">
          <w:rPr>
            <w:rStyle w:val="Hyperlink"/>
            <w:noProof/>
          </w:rPr>
          <w:t>Ka ahatia ngā whakaritenga o NZ ETS?</w:t>
        </w:r>
        <w:r w:rsidR="00FF4148">
          <w:rPr>
            <w:noProof/>
            <w:webHidden/>
          </w:rPr>
          <w:tab/>
        </w:r>
        <w:r w:rsidR="00FF4148">
          <w:rPr>
            <w:noProof/>
            <w:webHidden/>
          </w:rPr>
          <w:fldChar w:fldCharType="begin"/>
        </w:r>
        <w:r w:rsidR="00FF4148">
          <w:rPr>
            <w:noProof/>
            <w:webHidden/>
          </w:rPr>
          <w:instrText xml:space="preserve"> PAGEREF _Toc195447215 \h </w:instrText>
        </w:r>
        <w:r w:rsidR="00FF4148">
          <w:rPr>
            <w:noProof/>
            <w:webHidden/>
          </w:rPr>
        </w:r>
        <w:r w:rsidR="00FF4148">
          <w:rPr>
            <w:noProof/>
            <w:webHidden/>
          </w:rPr>
          <w:fldChar w:fldCharType="separate"/>
        </w:r>
        <w:r w:rsidR="00FF4148">
          <w:rPr>
            <w:noProof/>
            <w:webHidden/>
          </w:rPr>
          <w:t>9</w:t>
        </w:r>
        <w:r w:rsidR="00FF4148">
          <w:rPr>
            <w:noProof/>
            <w:webHidden/>
          </w:rPr>
          <w:fldChar w:fldCharType="end"/>
        </w:r>
      </w:hyperlink>
    </w:p>
    <w:p w14:paraId="339F9226" w14:textId="72400C9B"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16" w:history="1">
        <w:r w:rsidR="00FF4148" w:rsidRPr="00527107">
          <w:rPr>
            <w:rStyle w:val="Hyperlink"/>
            <w:noProof/>
          </w:rPr>
          <w:t>Ngā whakahau me ngā tono rahinga hokohoko</w:t>
        </w:r>
        <w:r w:rsidR="00FF4148">
          <w:rPr>
            <w:noProof/>
            <w:webHidden/>
          </w:rPr>
          <w:tab/>
        </w:r>
        <w:r w:rsidR="00FF4148">
          <w:rPr>
            <w:noProof/>
            <w:webHidden/>
          </w:rPr>
          <w:fldChar w:fldCharType="begin"/>
        </w:r>
        <w:r w:rsidR="00FF4148">
          <w:rPr>
            <w:noProof/>
            <w:webHidden/>
          </w:rPr>
          <w:instrText xml:space="preserve"> PAGEREF _Toc195447216 \h </w:instrText>
        </w:r>
        <w:r w:rsidR="00FF4148">
          <w:rPr>
            <w:noProof/>
            <w:webHidden/>
          </w:rPr>
        </w:r>
        <w:r w:rsidR="00FF4148">
          <w:rPr>
            <w:noProof/>
            <w:webHidden/>
          </w:rPr>
          <w:fldChar w:fldCharType="separate"/>
        </w:r>
        <w:r w:rsidR="00FF4148">
          <w:rPr>
            <w:noProof/>
            <w:webHidden/>
          </w:rPr>
          <w:t>10</w:t>
        </w:r>
        <w:r w:rsidR="00FF4148">
          <w:rPr>
            <w:noProof/>
            <w:webHidden/>
          </w:rPr>
          <w:fldChar w:fldCharType="end"/>
        </w:r>
      </w:hyperlink>
    </w:p>
    <w:p w14:paraId="0BB68AA2" w14:textId="28FA9D7E" w:rsidR="00FF4148" w:rsidRDefault="00000000">
      <w:pPr>
        <w:pStyle w:val="TOC1"/>
        <w:rPr>
          <w:rFonts w:asciiTheme="minorHAnsi" w:eastAsiaTheme="minorEastAsia" w:hAnsiTheme="minorHAnsi"/>
          <w:b w:val="0"/>
          <w:color w:val="auto"/>
          <w:kern w:val="2"/>
          <w:lang w:eastAsia="en-NZ"/>
          <w14:ligatures w14:val="standardContextual"/>
        </w:rPr>
      </w:pPr>
      <w:hyperlink w:anchor="_Toc195447217" w:history="1">
        <w:r w:rsidR="00FF4148" w:rsidRPr="00527107">
          <w:rPr>
            <w:rStyle w:val="Hyperlink"/>
          </w:rPr>
          <w:t>Executive summary</w:t>
        </w:r>
        <w:r w:rsidR="00FF4148">
          <w:rPr>
            <w:webHidden/>
          </w:rPr>
          <w:tab/>
        </w:r>
        <w:r w:rsidR="00FF4148">
          <w:rPr>
            <w:webHidden/>
          </w:rPr>
          <w:fldChar w:fldCharType="begin"/>
        </w:r>
        <w:r w:rsidR="00FF4148">
          <w:rPr>
            <w:webHidden/>
          </w:rPr>
          <w:instrText xml:space="preserve"> PAGEREF _Toc195447217 \h </w:instrText>
        </w:r>
        <w:r w:rsidR="00FF4148">
          <w:rPr>
            <w:webHidden/>
          </w:rPr>
        </w:r>
        <w:r w:rsidR="00FF4148">
          <w:rPr>
            <w:webHidden/>
          </w:rPr>
          <w:fldChar w:fldCharType="separate"/>
        </w:r>
        <w:r w:rsidR="00FF4148">
          <w:rPr>
            <w:webHidden/>
          </w:rPr>
          <w:t>11</w:t>
        </w:r>
        <w:r w:rsidR="00FF4148">
          <w:rPr>
            <w:webHidden/>
          </w:rPr>
          <w:fldChar w:fldCharType="end"/>
        </w:r>
      </w:hyperlink>
    </w:p>
    <w:p w14:paraId="74F11F9F" w14:textId="502498A4"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18" w:history="1">
        <w:r w:rsidR="00FF4148" w:rsidRPr="00527107">
          <w:rPr>
            <w:rStyle w:val="Hyperlink"/>
            <w:noProof/>
          </w:rPr>
          <w:t>The NZ ETS’s contribution to emissions reduction targets</w:t>
        </w:r>
        <w:r w:rsidR="00FF4148">
          <w:rPr>
            <w:noProof/>
            <w:webHidden/>
          </w:rPr>
          <w:tab/>
        </w:r>
        <w:r w:rsidR="00FF4148">
          <w:rPr>
            <w:noProof/>
            <w:webHidden/>
          </w:rPr>
          <w:fldChar w:fldCharType="begin"/>
        </w:r>
        <w:r w:rsidR="00FF4148">
          <w:rPr>
            <w:noProof/>
            <w:webHidden/>
          </w:rPr>
          <w:instrText xml:space="preserve"> PAGEREF _Toc195447218 \h </w:instrText>
        </w:r>
        <w:r w:rsidR="00FF4148">
          <w:rPr>
            <w:noProof/>
            <w:webHidden/>
          </w:rPr>
        </w:r>
        <w:r w:rsidR="00FF4148">
          <w:rPr>
            <w:noProof/>
            <w:webHidden/>
          </w:rPr>
          <w:fldChar w:fldCharType="separate"/>
        </w:r>
        <w:r w:rsidR="00FF4148">
          <w:rPr>
            <w:noProof/>
            <w:webHidden/>
          </w:rPr>
          <w:t>11</w:t>
        </w:r>
        <w:r w:rsidR="00FF4148">
          <w:rPr>
            <w:noProof/>
            <w:webHidden/>
          </w:rPr>
          <w:fldChar w:fldCharType="end"/>
        </w:r>
      </w:hyperlink>
    </w:p>
    <w:p w14:paraId="61570E7F" w14:textId="4F32B58F"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19" w:history="1">
        <w:r w:rsidR="00FF4148" w:rsidRPr="00527107">
          <w:rPr>
            <w:rStyle w:val="Hyperlink"/>
            <w:noProof/>
          </w:rPr>
          <w:t>Context for this advice</w:t>
        </w:r>
        <w:r w:rsidR="00FF4148">
          <w:rPr>
            <w:noProof/>
            <w:webHidden/>
          </w:rPr>
          <w:tab/>
        </w:r>
        <w:r w:rsidR="00FF4148">
          <w:rPr>
            <w:noProof/>
            <w:webHidden/>
          </w:rPr>
          <w:fldChar w:fldCharType="begin"/>
        </w:r>
        <w:r w:rsidR="00FF4148">
          <w:rPr>
            <w:noProof/>
            <w:webHidden/>
          </w:rPr>
          <w:instrText xml:space="preserve"> PAGEREF _Toc195447219 \h </w:instrText>
        </w:r>
        <w:r w:rsidR="00FF4148">
          <w:rPr>
            <w:noProof/>
            <w:webHidden/>
          </w:rPr>
        </w:r>
        <w:r w:rsidR="00FF4148">
          <w:rPr>
            <w:noProof/>
            <w:webHidden/>
          </w:rPr>
          <w:fldChar w:fldCharType="separate"/>
        </w:r>
        <w:r w:rsidR="00FF4148">
          <w:rPr>
            <w:noProof/>
            <w:webHidden/>
          </w:rPr>
          <w:t>13</w:t>
        </w:r>
        <w:r w:rsidR="00FF4148">
          <w:rPr>
            <w:noProof/>
            <w:webHidden/>
          </w:rPr>
          <w:fldChar w:fldCharType="end"/>
        </w:r>
      </w:hyperlink>
    </w:p>
    <w:p w14:paraId="63D4022A" w14:textId="38FBE117"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20" w:history="1">
        <w:r w:rsidR="00FF4148" w:rsidRPr="00527107">
          <w:rPr>
            <w:rStyle w:val="Hyperlink"/>
            <w:noProof/>
          </w:rPr>
          <w:t>Advice on unit limits</w:t>
        </w:r>
        <w:r w:rsidR="00FF4148">
          <w:rPr>
            <w:noProof/>
            <w:webHidden/>
          </w:rPr>
          <w:tab/>
        </w:r>
        <w:r w:rsidR="00FF4148">
          <w:rPr>
            <w:noProof/>
            <w:webHidden/>
          </w:rPr>
          <w:fldChar w:fldCharType="begin"/>
        </w:r>
        <w:r w:rsidR="00FF4148">
          <w:rPr>
            <w:noProof/>
            <w:webHidden/>
          </w:rPr>
          <w:instrText xml:space="preserve"> PAGEREF _Toc195447220 \h </w:instrText>
        </w:r>
        <w:r w:rsidR="00FF4148">
          <w:rPr>
            <w:noProof/>
            <w:webHidden/>
          </w:rPr>
        </w:r>
        <w:r w:rsidR="00FF4148">
          <w:rPr>
            <w:noProof/>
            <w:webHidden/>
          </w:rPr>
          <w:fldChar w:fldCharType="separate"/>
        </w:r>
        <w:r w:rsidR="00FF4148">
          <w:rPr>
            <w:noProof/>
            <w:webHidden/>
          </w:rPr>
          <w:t>14</w:t>
        </w:r>
        <w:r w:rsidR="00FF4148">
          <w:rPr>
            <w:noProof/>
            <w:webHidden/>
          </w:rPr>
          <w:fldChar w:fldCharType="end"/>
        </w:r>
      </w:hyperlink>
    </w:p>
    <w:p w14:paraId="5763F1E7" w14:textId="14134421"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21" w:history="1">
        <w:r w:rsidR="00FF4148" w:rsidRPr="00527107">
          <w:rPr>
            <w:rStyle w:val="Hyperlink"/>
            <w:noProof/>
          </w:rPr>
          <w:t>Advice on price control settings</w:t>
        </w:r>
        <w:r w:rsidR="00FF4148">
          <w:rPr>
            <w:noProof/>
            <w:webHidden/>
          </w:rPr>
          <w:tab/>
        </w:r>
        <w:r w:rsidR="00FF4148">
          <w:rPr>
            <w:noProof/>
            <w:webHidden/>
          </w:rPr>
          <w:fldChar w:fldCharType="begin"/>
        </w:r>
        <w:r w:rsidR="00FF4148">
          <w:rPr>
            <w:noProof/>
            <w:webHidden/>
          </w:rPr>
          <w:instrText xml:space="preserve"> PAGEREF _Toc195447221 \h </w:instrText>
        </w:r>
        <w:r w:rsidR="00FF4148">
          <w:rPr>
            <w:noProof/>
            <w:webHidden/>
          </w:rPr>
        </w:r>
        <w:r w:rsidR="00FF4148">
          <w:rPr>
            <w:noProof/>
            <w:webHidden/>
          </w:rPr>
          <w:fldChar w:fldCharType="separate"/>
        </w:r>
        <w:r w:rsidR="00FF4148">
          <w:rPr>
            <w:noProof/>
            <w:webHidden/>
          </w:rPr>
          <w:t>15</w:t>
        </w:r>
        <w:r w:rsidR="00FF4148">
          <w:rPr>
            <w:noProof/>
            <w:webHidden/>
          </w:rPr>
          <w:fldChar w:fldCharType="end"/>
        </w:r>
      </w:hyperlink>
    </w:p>
    <w:p w14:paraId="3044134B" w14:textId="1D606C26"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22" w:history="1">
        <w:r w:rsidR="00FF4148" w:rsidRPr="00527107">
          <w:rPr>
            <w:rStyle w:val="Hyperlink"/>
            <w:noProof/>
          </w:rPr>
          <w:t>Alignment of the recommended settings with emissions reduction targets</w:t>
        </w:r>
        <w:r w:rsidR="00FF4148">
          <w:rPr>
            <w:noProof/>
            <w:webHidden/>
          </w:rPr>
          <w:tab/>
        </w:r>
        <w:r w:rsidR="00FF4148">
          <w:rPr>
            <w:noProof/>
            <w:webHidden/>
          </w:rPr>
          <w:fldChar w:fldCharType="begin"/>
        </w:r>
        <w:r w:rsidR="00FF4148">
          <w:rPr>
            <w:noProof/>
            <w:webHidden/>
          </w:rPr>
          <w:instrText xml:space="preserve"> PAGEREF _Toc195447222 \h </w:instrText>
        </w:r>
        <w:r w:rsidR="00FF4148">
          <w:rPr>
            <w:noProof/>
            <w:webHidden/>
          </w:rPr>
        </w:r>
        <w:r w:rsidR="00FF4148">
          <w:rPr>
            <w:noProof/>
            <w:webHidden/>
          </w:rPr>
          <w:fldChar w:fldCharType="separate"/>
        </w:r>
        <w:r w:rsidR="00FF4148">
          <w:rPr>
            <w:noProof/>
            <w:webHidden/>
          </w:rPr>
          <w:t>16</w:t>
        </w:r>
        <w:r w:rsidR="00FF4148">
          <w:rPr>
            <w:noProof/>
            <w:webHidden/>
          </w:rPr>
          <w:fldChar w:fldCharType="end"/>
        </w:r>
      </w:hyperlink>
    </w:p>
    <w:p w14:paraId="3EA4FF0F" w14:textId="0D45A699"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23" w:history="1">
        <w:r w:rsidR="00FF4148" w:rsidRPr="00527107">
          <w:rPr>
            <w:rStyle w:val="Hyperlink"/>
            <w:noProof/>
          </w:rPr>
          <w:t>What happens next for NZ ETS settings?</w:t>
        </w:r>
        <w:r w:rsidR="00FF4148">
          <w:rPr>
            <w:noProof/>
            <w:webHidden/>
          </w:rPr>
          <w:tab/>
        </w:r>
        <w:r w:rsidR="00FF4148">
          <w:rPr>
            <w:noProof/>
            <w:webHidden/>
          </w:rPr>
          <w:fldChar w:fldCharType="begin"/>
        </w:r>
        <w:r w:rsidR="00FF4148">
          <w:rPr>
            <w:noProof/>
            <w:webHidden/>
          </w:rPr>
          <w:instrText xml:space="preserve"> PAGEREF _Toc195447223 \h </w:instrText>
        </w:r>
        <w:r w:rsidR="00FF4148">
          <w:rPr>
            <w:noProof/>
            <w:webHidden/>
          </w:rPr>
        </w:r>
        <w:r w:rsidR="00FF4148">
          <w:rPr>
            <w:noProof/>
            <w:webHidden/>
          </w:rPr>
          <w:fldChar w:fldCharType="separate"/>
        </w:r>
        <w:r w:rsidR="00FF4148">
          <w:rPr>
            <w:noProof/>
            <w:webHidden/>
          </w:rPr>
          <w:t>16</w:t>
        </w:r>
        <w:r w:rsidR="00FF4148">
          <w:rPr>
            <w:noProof/>
            <w:webHidden/>
          </w:rPr>
          <w:fldChar w:fldCharType="end"/>
        </w:r>
      </w:hyperlink>
    </w:p>
    <w:p w14:paraId="5AD9C1FB" w14:textId="603EA675"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24" w:history="1">
        <w:r w:rsidR="00FF4148" w:rsidRPr="00527107">
          <w:rPr>
            <w:rStyle w:val="Hyperlink"/>
            <w:noProof/>
          </w:rPr>
          <w:t>Recommendations and proposed auction volumes</w:t>
        </w:r>
        <w:r w:rsidR="00FF4148">
          <w:rPr>
            <w:noProof/>
            <w:webHidden/>
          </w:rPr>
          <w:tab/>
        </w:r>
        <w:r w:rsidR="00FF4148">
          <w:rPr>
            <w:noProof/>
            <w:webHidden/>
          </w:rPr>
          <w:fldChar w:fldCharType="begin"/>
        </w:r>
        <w:r w:rsidR="00FF4148">
          <w:rPr>
            <w:noProof/>
            <w:webHidden/>
          </w:rPr>
          <w:instrText xml:space="preserve"> PAGEREF _Toc195447224 \h </w:instrText>
        </w:r>
        <w:r w:rsidR="00FF4148">
          <w:rPr>
            <w:noProof/>
            <w:webHidden/>
          </w:rPr>
        </w:r>
        <w:r w:rsidR="00FF4148">
          <w:rPr>
            <w:noProof/>
            <w:webHidden/>
          </w:rPr>
          <w:fldChar w:fldCharType="separate"/>
        </w:r>
        <w:r w:rsidR="00FF4148">
          <w:rPr>
            <w:noProof/>
            <w:webHidden/>
          </w:rPr>
          <w:t>17</w:t>
        </w:r>
        <w:r w:rsidR="00FF4148">
          <w:rPr>
            <w:noProof/>
            <w:webHidden/>
          </w:rPr>
          <w:fldChar w:fldCharType="end"/>
        </w:r>
      </w:hyperlink>
    </w:p>
    <w:p w14:paraId="6EF3AAB9" w14:textId="72A079E2" w:rsidR="00FF4148" w:rsidRDefault="00000000">
      <w:pPr>
        <w:pStyle w:val="TOC1"/>
        <w:rPr>
          <w:rFonts w:asciiTheme="minorHAnsi" w:eastAsiaTheme="minorEastAsia" w:hAnsiTheme="minorHAnsi"/>
          <w:b w:val="0"/>
          <w:color w:val="auto"/>
          <w:kern w:val="2"/>
          <w:lang w:eastAsia="en-NZ"/>
          <w14:ligatures w14:val="standardContextual"/>
        </w:rPr>
      </w:pPr>
      <w:hyperlink w:anchor="_Toc195447225" w:history="1">
        <w:r w:rsidR="00FF4148" w:rsidRPr="00527107">
          <w:rPr>
            <w:rStyle w:val="Hyperlink"/>
          </w:rPr>
          <w:t>PART 1: Te taupuaki – Introduction</w:t>
        </w:r>
        <w:r w:rsidR="00FF4148">
          <w:rPr>
            <w:webHidden/>
          </w:rPr>
          <w:tab/>
        </w:r>
        <w:r w:rsidR="00FF4148">
          <w:rPr>
            <w:webHidden/>
          </w:rPr>
          <w:fldChar w:fldCharType="begin"/>
        </w:r>
        <w:r w:rsidR="00FF4148">
          <w:rPr>
            <w:webHidden/>
          </w:rPr>
          <w:instrText xml:space="preserve"> PAGEREF _Toc195447225 \h </w:instrText>
        </w:r>
        <w:r w:rsidR="00FF4148">
          <w:rPr>
            <w:webHidden/>
          </w:rPr>
        </w:r>
        <w:r w:rsidR="00FF4148">
          <w:rPr>
            <w:webHidden/>
          </w:rPr>
          <w:fldChar w:fldCharType="separate"/>
        </w:r>
        <w:r w:rsidR="00FF4148">
          <w:rPr>
            <w:webHidden/>
          </w:rPr>
          <w:t>18</w:t>
        </w:r>
        <w:r w:rsidR="00FF4148">
          <w:rPr>
            <w:webHidden/>
          </w:rPr>
          <w:fldChar w:fldCharType="end"/>
        </w:r>
      </w:hyperlink>
    </w:p>
    <w:p w14:paraId="14E974AB" w14:textId="575BD557"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26" w:history="1">
        <w:r w:rsidR="00FF4148" w:rsidRPr="00527107">
          <w:rPr>
            <w:rStyle w:val="Hyperlink"/>
            <w:noProof/>
          </w:rPr>
          <w:t>About the New Zealand Emissions Trading Scheme</w:t>
        </w:r>
        <w:r w:rsidR="00FF4148">
          <w:rPr>
            <w:noProof/>
            <w:webHidden/>
          </w:rPr>
          <w:tab/>
        </w:r>
        <w:r w:rsidR="00FF4148">
          <w:rPr>
            <w:noProof/>
            <w:webHidden/>
          </w:rPr>
          <w:fldChar w:fldCharType="begin"/>
        </w:r>
        <w:r w:rsidR="00FF4148">
          <w:rPr>
            <w:noProof/>
            <w:webHidden/>
          </w:rPr>
          <w:instrText xml:space="preserve"> PAGEREF _Toc195447226 \h </w:instrText>
        </w:r>
        <w:r w:rsidR="00FF4148">
          <w:rPr>
            <w:noProof/>
            <w:webHidden/>
          </w:rPr>
        </w:r>
        <w:r w:rsidR="00FF4148">
          <w:rPr>
            <w:noProof/>
            <w:webHidden/>
          </w:rPr>
          <w:fldChar w:fldCharType="separate"/>
        </w:r>
        <w:r w:rsidR="00FF4148">
          <w:rPr>
            <w:noProof/>
            <w:webHidden/>
          </w:rPr>
          <w:t>18</w:t>
        </w:r>
        <w:r w:rsidR="00FF4148">
          <w:rPr>
            <w:noProof/>
            <w:webHidden/>
          </w:rPr>
          <w:fldChar w:fldCharType="end"/>
        </w:r>
      </w:hyperlink>
    </w:p>
    <w:p w14:paraId="5B2D8887" w14:textId="3FE1D3CA"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27" w:history="1">
        <w:r w:rsidR="00FF4148" w:rsidRPr="00527107">
          <w:rPr>
            <w:rStyle w:val="Hyperlink"/>
            <w:noProof/>
          </w:rPr>
          <w:t>About this advice</w:t>
        </w:r>
        <w:r w:rsidR="00FF4148">
          <w:rPr>
            <w:noProof/>
            <w:webHidden/>
          </w:rPr>
          <w:tab/>
        </w:r>
        <w:r w:rsidR="00FF4148">
          <w:rPr>
            <w:noProof/>
            <w:webHidden/>
          </w:rPr>
          <w:fldChar w:fldCharType="begin"/>
        </w:r>
        <w:r w:rsidR="00FF4148">
          <w:rPr>
            <w:noProof/>
            <w:webHidden/>
          </w:rPr>
          <w:instrText xml:space="preserve"> PAGEREF _Toc195447227 \h </w:instrText>
        </w:r>
        <w:r w:rsidR="00FF4148">
          <w:rPr>
            <w:noProof/>
            <w:webHidden/>
          </w:rPr>
        </w:r>
        <w:r w:rsidR="00FF4148">
          <w:rPr>
            <w:noProof/>
            <w:webHidden/>
          </w:rPr>
          <w:fldChar w:fldCharType="separate"/>
        </w:r>
        <w:r w:rsidR="00FF4148">
          <w:rPr>
            <w:noProof/>
            <w:webHidden/>
          </w:rPr>
          <w:t>19</w:t>
        </w:r>
        <w:r w:rsidR="00FF4148">
          <w:rPr>
            <w:noProof/>
            <w:webHidden/>
          </w:rPr>
          <w:fldChar w:fldCharType="end"/>
        </w:r>
      </w:hyperlink>
    </w:p>
    <w:p w14:paraId="7CDB9D06" w14:textId="2FA6049E" w:rsidR="00FF4148" w:rsidRDefault="00000000">
      <w:pPr>
        <w:pStyle w:val="TOC1"/>
        <w:rPr>
          <w:rFonts w:asciiTheme="minorHAnsi" w:eastAsiaTheme="minorEastAsia" w:hAnsiTheme="minorHAnsi"/>
          <w:b w:val="0"/>
          <w:color w:val="auto"/>
          <w:kern w:val="2"/>
          <w:lang w:eastAsia="en-NZ"/>
          <w14:ligatures w14:val="standardContextual"/>
        </w:rPr>
      </w:pPr>
      <w:hyperlink w:anchor="_Toc195447228" w:history="1">
        <w:r w:rsidR="00FF4148" w:rsidRPr="00527107">
          <w:rPr>
            <w:rStyle w:val="Hyperlink"/>
          </w:rPr>
          <w:t>PART 2: Te hanga me te haepapa o NZ ETS – Current state and role of the NZ ETS</w:t>
        </w:r>
        <w:r w:rsidR="00FF4148">
          <w:rPr>
            <w:webHidden/>
          </w:rPr>
          <w:tab/>
        </w:r>
        <w:r w:rsidR="00FF4148">
          <w:rPr>
            <w:webHidden/>
          </w:rPr>
          <w:fldChar w:fldCharType="begin"/>
        </w:r>
        <w:r w:rsidR="00FF4148">
          <w:rPr>
            <w:webHidden/>
          </w:rPr>
          <w:instrText xml:space="preserve"> PAGEREF _Toc195447228 \h </w:instrText>
        </w:r>
        <w:r w:rsidR="00FF4148">
          <w:rPr>
            <w:webHidden/>
          </w:rPr>
        </w:r>
        <w:r w:rsidR="00FF4148">
          <w:rPr>
            <w:webHidden/>
          </w:rPr>
          <w:fldChar w:fldCharType="separate"/>
        </w:r>
        <w:r w:rsidR="00FF4148">
          <w:rPr>
            <w:webHidden/>
          </w:rPr>
          <w:t>23</w:t>
        </w:r>
        <w:r w:rsidR="00FF4148">
          <w:rPr>
            <w:webHidden/>
          </w:rPr>
          <w:fldChar w:fldCharType="end"/>
        </w:r>
      </w:hyperlink>
    </w:p>
    <w:p w14:paraId="1023E44C" w14:textId="4669B3A1"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29" w:history="1">
        <w:r w:rsidR="00FF4148" w:rsidRPr="00527107">
          <w:rPr>
            <w:rStyle w:val="Hyperlink"/>
            <w:noProof/>
          </w:rPr>
          <w:t>The wider context for this advice</w:t>
        </w:r>
        <w:r w:rsidR="00FF4148">
          <w:rPr>
            <w:noProof/>
            <w:webHidden/>
          </w:rPr>
          <w:tab/>
        </w:r>
        <w:r w:rsidR="00FF4148">
          <w:rPr>
            <w:noProof/>
            <w:webHidden/>
          </w:rPr>
          <w:fldChar w:fldCharType="begin"/>
        </w:r>
        <w:r w:rsidR="00FF4148">
          <w:rPr>
            <w:noProof/>
            <w:webHidden/>
          </w:rPr>
          <w:instrText xml:space="preserve"> PAGEREF _Toc195447229 \h </w:instrText>
        </w:r>
        <w:r w:rsidR="00FF4148">
          <w:rPr>
            <w:noProof/>
            <w:webHidden/>
          </w:rPr>
        </w:r>
        <w:r w:rsidR="00FF4148">
          <w:rPr>
            <w:noProof/>
            <w:webHidden/>
          </w:rPr>
          <w:fldChar w:fldCharType="separate"/>
        </w:r>
        <w:r w:rsidR="00FF4148">
          <w:rPr>
            <w:noProof/>
            <w:webHidden/>
          </w:rPr>
          <w:t>23</w:t>
        </w:r>
        <w:r w:rsidR="00FF4148">
          <w:rPr>
            <w:noProof/>
            <w:webHidden/>
          </w:rPr>
          <w:fldChar w:fldCharType="end"/>
        </w:r>
      </w:hyperlink>
    </w:p>
    <w:p w14:paraId="4BF9E77D" w14:textId="7BD3E526"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30" w:history="1">
        <w:r w:rsidR="00FF4148" w:rsidRPr="00527107">
          <w:rPr>
            <w:rStyle w:val="Hyperlink"/>
            <w:noProof/>
          </w:rPr>
          <w:t>Key themes from engagement</w:t>
        </w:r>
        <w:r w:rsidR="00FF4148">
          <w:rPr>
            <w:noProof/>
            <w:webHidden/>
          </w:rPr>
          <w:tab/>
        </w:r>
        <w:r w:rsidR="00FF4148">
          <w:rPr>
            <w:noProof/>
            <w:webHidden/>
          </w:rPr>
          <w:fldChar w:fldCharType="begin"/>
        </w:r>
        <w:r w:rsidR="00FF4148">
          <w:rPr>
            <w:noProof/>
            <w:webHidden/>
          </w:rPr>
          <w:instrText xml:space="preserve"> PAGEREF _Toc195447230 \h </w:instrText>
        </w:r>
        <w:r w:rsidR="00FF4148">
          <w:rPr>
            <w:noProof/>
            <w:webHidden/>
          </w:rPr>
        </w:r>
        <w:r w:rsidR="00FF4148">
          <w:rPr>
            <w:noProof/>
            <w:webHidden/>
          </w:rPr>
          <w:fldChar w:fldCharType="separate"/>
        </w:r>
        <w:r w:rsidR="00FF4148">
          <w:rPr>
            <w:noProof/>
            <w:webHidden/>
          </w:rPr>
          <w:t>26</w:t>
        </w:r>
        <w:r w:rsidR="00FF4148">
          <w:rPr>
            <w:noProof/>
            <w:webHidden/>
          </w:rPr>
          <w:fldChar w:fldCharType="end"/>
        </w:r>
      </w:hyperlink>
    </w:p>
    <w:p w14:paraId="4D3282DF" w14:textId="6D873CE8"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31" w:history="1">
        <w:r w:rsidR="00FF4148" w:rsidRPr="00527107">
          <w:rPr>
            <w:rStyle w:val="Hyperlink"/>
            <w:noProof/>
          </w:rPr>
          <w:t>Challenges for the operation of the NZ ETS</w:t>
        </w:r>
        <w:r w:rsidR="00FF4148">
          <w:rPr>
            <w:noProof/>
            <w:webHidden/>
          </w:rPr>
          <w:tab/>
        </w:r>
        <w:r w:rsidR="00FF4148">
          <w:rPr>
            <w:noProof/>
            <w:webHidden/>
          </w:rPr>
          <w:fldChar w:fldCharType="begin"/>
        </w:r>
        <w:r w:rsidR="00FF4148">
          <w:rPr>
            <w:noProof/>
            <w:webHidden/>
          </w:rPr>
          <w:instrText xml:space="preserve"> PAGEREF _Toc195447231 \h </w:instrText>
        </w:r>
        <w:r w:rsidR="00FF4148">
          <w:rPr>
            <w:noProof/>
            <w:webHidden/>
          </w:rPr>
        </w:r>
        <w:r w:rsidR="00FF4148">
          <w:rPr>
            <w:noProof/>
            <w:webHidden/>
          </w:rPr>
          <w:fldChar w:fldCharType="separate"/>
        </w:r>
        <w:r w:rsidR="00FF4148">
          <w:rPr>
            <w:noProof/>
            <w:webHidden/>
          </w:rPr>
          <w:t>28</w:t>
        </w:r>
        <w:r w:rsidR="00FF4148">
          <w:rPr>
            <w:noProof/>
            <w:webHidden/>
          </w:rPr>
          <w:fldChar w:fldCharType="end"/>
        </w:r>
      </w:hyperlink>
    </w:p>
    <w:p w14:paraId="25D38466" w14:textId="21EF0D1D" w:rsidR="00FF4148" w:rsidRDefault="00000000">
      <w:pPr>
        <w:pStyle w:val="TOC1"/>
        <w:rPr>
          <w:rFonts w:asciiTheme="minorHAnsi" w:eastAsiaTheme="minorEastAsia" w:hAnsiTheme="minorHAnsi"/>
          <w:b w:val="0"/>
          <w:color w:val="auto"/>
          <w:kern w:val="2"/>
          <w:lang w:eastAsia="en-NZ"/>
          <w14:ligatures w14:val="standardContextual"/>
        </w:rPr>
      </w:pPr>
      <w:hyperlink w:anchor="_Toc195447232" w:history="1">
        <w:r w:rsidR="00FF4148" w:rsidRPr="00527107">
          <w:rPr>
            <w:rStyle w:val="Hyperlink"/>
          </w:rPr>
          <w:t>PART 3: Te herenga utu – Unit limits</w:t>
        </w:r>
        <w:r w:rsidR="00FF4148">
          <w:rPr>
            <w:webHidden/>
          </w:rPr>
          <w:tab/>
        </w:r>
        <w:r w:rsidR="00FF4148">
          <w:rPr>
            <w:webHidden/>
          </w:rPr>
          <w:fldChar w:fldCharType="begin"/>
        </w:r>
        <w:r w:rsidR="00FF4148">
          <w:rPr>
            <w:webHidden/>
          </w:rPr>
          <w:instrText xml:space="preserve"> PAGEREF _Toc195447232 \h </w:instrText>
        </w:r>
        <w:r w:rsidR="00FF4148">
          <w:rPr>
            <w:webHidden/>
          </w:rPr>
        </w:r>
        <w:r w:rsidR="00FF4148">
          <w:rPr>
            <w:webHidden/>
          </w:rPr>
          <w:fldChar w:fldCharType="separate"/>
        </w:r>
        <w:r w:rsidR="00FF4148">
          <w:rPr>
            <w:webHidden/>
          </w:rPr>
          <w:t>31</w:t>
        </w:r>
        <w:r w:rsidR="00FF4148">
          <w:rPr>
            <w:webHidden/>
          </w:rPr>
          <w:fldChar w:fldCharType="end"/>
        </w:r>
      </w:hyperlink>
    </w:p>
    <w:p w14:paraId="3E8AF94C" w14:textId="2617CCCE"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33" w:history="1">
        <w:r w:rsidR="00FF4148" w:rsidRPr="00527107">
          <w:rPr>
            <w:rStyle w:val="Hyperlink"/>
            <w:noProof/>
          </w:rPr>
          <w:t>Summary and recommendations</w:t>
        </w:r>
        <w:r w:rsidR="00FF4148">
          <w:rPr>
            <w:noProof/>
            <w:webHidden/>
          </w:rPr>
          <w:tab/>
        </w:r>
        <w:r w:rsidR="00FF4148">
          <w:rPr>
            <w:noProof/>
            <w:webHidden/>
          </w:rPr>
          <w:fldChar w:fldCharType="begin"/>
        </w:r>
        <w:r w:rsidR="00FF4148">
          <w:rPr>
            <w:noProof/>
            <w:webHidden/>
          </w:rPr>
          <w:instrText xml:space="preserve"> PAGEREF _Toc195447233 \h </w:instrText>
        </w:r>
        <w:r w:rsidR="00FF4148">
          <w:rPr>
            <w:noProof/>
            <w:webHidden/>
          </w:rPr>
        </w:r>
        <w:r w:rsidR="00FF4148">
          <w:rPr>
            <w:noProof/>
            <w:webHidden/>
          </w:rPr>
          <w:fldChar w:fldCharType="separate"/>
        </w:r>
        <w:r w:rsidR="00FF4148">
          <w:rPr>
            <w:noProof/>
            <w:webHidden/>
          </w:rPr>
          <w:t>31</w:t>
        </w:r>
        <w:r w:rsidR="00FF4148">
          <w:rPr>
            <w:noProof/>
            <w:webHidden/>
          </w:rPr>
          <w:fldChar w:fldCharType="end"/>
        </w:r>
      </w:hyperlink>
    </w:p>
    <w:p w14:paraId="748AB3F2" w14:textId="47C93BFB"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34" w:history="1">
        <w:r w:rsidR="00FF4148" w:rsidRPr="00527107">
          <w:rPr>
            <w:rStyle w:val="Hyperlink"/>
            <w:noProof/>
          </w:rPr>
          <w:t>Method for determining the unit limits</w:t>
        </w:r>
        <w:r w:rsidR="00FF4148">
          <w:rPr>
            <w:noProof/>
            <w:webHidden/>
          </w:rPr>
          <w:tab/>
        </w:r>
        <w:r w:rsidR="00FF4148">
          <w:rPr>
            <w:noProof/>
            <w:webHidden/>
          </w:rPr>
          <w:fldChar w:fldCharType="begin"/>
        </w:r>
        <w:r w:rsidR="00FF4148">
          <w:rPr>
            <w:noProof/>
            <w:webHidden/>
          </w:rPr>
          <w:instrText xml:space="preserve"> PAGEREF _Toc195447234 \h </w:instrText>
        </w:r>
        <w:r w:rsidR="00FF4148">
          <w:rPr>
            <w:noProof/>
            <w:webHidden/>
          </w:rPr>
        </w:r>
        <w:r w:rsidR="00FF4148">
          <w:rPr>
            <w:noProof/>
            <w:webHidden/>
          </w:rPr>
          <w:fldChar w:fldCharType="separate"/>
        </w:r>
        <w:r w:rsidR="00FF4148">
          <w:rPr>
            <w:noProof/>
            <w:webHidden/>
          </w:rPr>
          <w:t>33</w:t>
        </w:r>
        <w:r w:rsidR="00FF4148">
          <w:rPr>
            <w:noProof/>
            <w:webHidden/>
          </w:rPr>
          <w:fldChar w:fldCharType="end"/>
        </w:r>
      </w:hyperlink>
    </w:p>
    <w:p w14:paraId="082634DE" w14:textId="6A749B62"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35" w:history="1">
        <w:r w:rsidR="00FF4148" w:rsidRPr="00527107">
          <w:rPr>
            <w:rStyle w:val="Hyperlink"/>
            <w:noProof/>
          </w:rPr>
          <w:t>Step 1: Align with emissions reduction targets</w:t>
        </w:r>
        <w:r w:rsidR="00FF4148">
          <w:rPr>
            <w:noProof/>
            <w:webHidden/>
          </w:rPr>
          <w:tab/>
        </w:r>
        <w:r w:rsidR="00FF4148">
          <w:rPr>
            <w:noProof/>
            <w:webHidden/>
          </w:rPr>
          <w:fldChar w:fldCharType="begin"/>
        </w:r>
        <w:r w:rsidR="00FF4148">
          <w:rPr>
            <w:noProof/>
            <w:webHidden/>
          </w:rPr>
          <w:instrText xml:space="preserve"> PAGEREF _Toc195447235 \h </w:instrText>
        </w:r>
        <w:r w:rsidR="00FF4148">
          <w:rPr>
            <w:noProof/>
            <w:webHidden/>
          </w:rPr>
        </w:r>
        <w:r w:rsidR="00FF4148">
          <w:rPr>
            <w:noProof/>
            <w:webHidden/>
          </w:rPr>
          <w:fldChar w:fldCharType="separate"/>
        </w:r>
        <w:r w:rsidR="00FF4148">
          <w:rPr>
            <w:noProof/>
            <w:webHidden/>
          </w:rPr>
          <w:t>34</w:t>
        </w:r>
        <w:r w:rsidR="00FF4148">
          <w:rPr>
            <w:noProof/>
            <w:webHidden/>
          </w:rPr>
          <w:fldChar w:fldCharType="end"/>
        </w:r>
      </w:hyperlink>
    </w:p>
    <w:p w14:paraId="3CC6D621" w14:textId="661CEA8A"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36" w:history="1">
        <w:r w:rsidR="00FF4148" w:rsidRPr="00527107">
          <w:rPr>
            <w:rStyle w:val="Hyperlink"/>
            <w:noProof/>
          </w:rPr>
          <w:t>Step 2: Allocate volume to NZ ETS and non-NZ ETS sectors</w:t>
        </w:r>
        <w:r w:rsidR="00FF4148">
          <w:rPr>
            <w:noProof/>
            <w:webHidden/>
          </w:rPr>
          <w:tab/>
        </w:r>
        <w:r w:rsidR="00FF4148">
          <w:rPr>
            <w:noProof/>
            <w:webHidden/>
          </w:rPr>
          <w:fldChar w:fldCharType="begin"/>
        </w:r>
        <w:r w:rsidR="00FF4148">
          <w:rPr>
            <w:noProof/>
            <w:webHidden/>
          </w:rPr>
          <w:instrText xml:space="preserve"> PAGEREF _Toc195447236 \h </w:instrText>
        </w:r>
        <w:r w:rsidR="00FF4148">
          <w:rPr>
            <w:noProof/>
            <w:webHidden/>
          </w:rPr>
        </w:r>
        <w:r w:rsidR="00FF4148">
          <w:rPr>
            <w:noProof/>
            <w:webHidden/>
          </w:rPr>
          <w:fldChar w:fldCharType="separate"/>
        </w:r>
        <w:r w:rsidR="00FF4148">
          <w:rPr>
            <w:noProof/>
            <w:webHidden/>
          </w:rPr>
          <w:t>38</w:t>
        </w:r>
        <w:r w:rsidR="00FF4148">
          <w:rPr>
            <w:noProof/>
            <w:webHidden/>
          </w:rPr>
          <w:fldChar w:fldCharType="end"/>
        </w:r>
      </w:hyperlink>
    </w:p>
    <w:p w14:paraId="331193A5" w14:textId="2CCBD11C"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37" w:history="1">
        <w:r w:rsidR="00FF4148" w:rsidRPr="00527107">
          <w:rPr>
            <w:rStyle w:val="Hyperlink"/>
            <w:noProof/>
          </w:rPr>
          <w:t>Step 3: Technical adjustments</w:t>
        </w:r>
        <w:r w:rsidR="00FF4148">
          <w:rPr>
            <w:noProof/>
            <w:webHidden/>
          </w:rPr>
          <w:tab/>
        </w:r>
        <w:r w:rsidR="00FF4148">
          <w:rPr>
            <w:noProof/>
            <w:webHidden/>
          </w:rPr>
          <w:fldChar w:fldCharType="begin"/>
        </w:r>
        <w:r w:rsidR="00FF4148">
          <w:rPr>
            <w:noProof/>
            <w:webHidden/>
          </w:rPr>
          <w:instrText xml:space="preserve"> PAGEREF _Toc195447237 \h </w:instrText>
        </w:r>
        <w:r w:rsidR="00FF4148">
          <w:rPr>
            <w:noProof/>
            <w:webHidden/>
          </w:rPr>
        </w:r>
        <w:r w:rsidR="00FF4148">
          <w:rPr>
            <w:noProof/>
            <w:webHidden/>
          </w:rPr>
          <w:fldChar w:fldCharType="separate"/>
        </w:r>
        <w:r w:rsidR="00FF4148">
          <w:rPr>
            <w:noProof/>
            <w:webHidden/>
          </w:rPr>
          <w:t>38</w:t>
        </w:r>
        <w:r w:rsidR="00FF4148">
          <w:rPr>
            <w:noProof/>
            <w:webHidden/>
          </w:rPr>
          <w:fldChar w:fldCharType="end"/>
        </w:r>
      </w:hyperlink>
    </w:p>
    <w:p w14:paraId="4459EABF" w14:textId="40B60737"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38" w:history="1">
        <w:r w:rsidR="00FF4148" w:rsidRPr="00527107">
          <w:rPr>
            <w:rStyle w:val="Hyperlink"/>
            <w:noProof/>
          </w:rPr>
          <w:t>Step 4: Account for industrial free allocation</w:t>
        </w:r>
        <w:r w:rsidR="00FF4148">
          <w:rPr>
            <w:noProof/>
            <w:webHidden/>
          </w:rPr>
          <w:tab/>
        </w:r>
        <w:r w:rsidR="00FF4148">
          <w:rPr>
            <w:noProof/>
            <w:webHidden/>
          </w:rPr>
          <w:fldChar w:fldCharType="begin"/>
        </w:r>
        <w:r w:rsidR="00FF4148">
          <w:rPr>
            <w:noProof/>
            <w:webHidden/>
          </w:rPr>
          <w:instrText xml:space="preserve"> PAGEREF _Toc195447238 \h </w:instrText>
        </w:r>
        <w:r w:rsidR="00FF4148">
          <w:rPr>
            <w:noProof/>
            <w:webHidden/>
          </w:rPr>
        </w:r>
        <w:r w:rsidR="00FF4148">
          <w:rPr>
            <w:noProof/>
            <w:webHidden/>
          </w:rPr>
          <w:fldChar w:fldCharType="separate"/>
        </w:r>
        <w:r w:rsidR="00FF4148">
          <w:rPr>
            <w:noProof/>
            <w:webHidden/>
          </w:rPr>
          <w:t>39</w:t>
        </w:r>
        <w:r w:rsidR="00FF4148">
          <w:rPr>
            <w:noProof/>
            <w:webHidden/>
          </w:rPr>
          <w:fldChar w:fldCharType="end"/>
        </w:r>
      </w:hyperlink>
    </w:p>
    <w:p w14:paraId="488F7801" w14:textId="7AB010A2"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39" w:history="1">
        <w:r w:rsidR="00FF4148" w:rsidRPr="00527107">
          <w:rPr>
            <w:rStyle w:val="Hyperlink"/>
            <w:noProof/>
          </w:rPr>
          <w:t>Step 5: Set the unit surplus reduction volume</w:t>
        </w:r>
        <w:r w:rsidR="00FF4148">
          <w:rPr>
            <w:noProof/>
            <w:webHidden/>
          </w:rPr>
          <w:tab/>
        </w:r>
        <w:r w:rsidR="00FF4148">
          <w:rPr>
            <w:noProof/>
            <w:webHidden/>
          </w:rPr>
          <w:fldChar w:fldCharType="begin"/>
        </w:r>
        <w:r w:rsidR="00FF4148">
          <w:rPr>
            <w:noProof/>
            <w:webHidden/>
          </w:rPr>
          <w:instrText xml:space="preserve"> PAGEREF _Toc195447239 \h </w:instrText>
        </w:r>
        <w:r w:rsidR="00FF4148">
          <w:rPr>
            <w:noProof/>
            <w:webHidden/>
          </w:rPr>
        </w:r>
        <w:r w:rsidR="00FF4148">
          <w:rPr>
            <w:noProof/>
            <w:webHidden/>
          </w:rPr>
          <w:fldChar w:fldCharType="separate"/>
        </w:r>
        <w:r w:rsidR="00FF4148">
          <w:rPr>
            <w:noProof/>
            <w:webHidden/>
          </w:rPr>
          <w:t>40</w:t>
        </w:r>
        <w:r w:rsidR="00FF4148">
          <w:rPr>
            <w:noProof/>
            <w:webHidden/>
          </w:rPr>
          <w:fldChar w:fldCharType="end"/>
        </w:r>
      </w:hyperlink>
    </w:p>
    <w:p w14:paraId="42FB974E" w14:textId="28CC8FF4"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40" w:history="1">
        <w:r w:rsidR="00FF4148" w:rsidRPr="00527107">
          <w:rPr>
            <w:rStyle w:val="Hyperlink"/>
            <w:noProof/>
          </w:rPr>
          <w:t>Step 6: Set the approved overseas unit limit</w:t>
        </w:r>
        <w:r w:rsidR="00FF4148">
          <w:rPr>
            <w:noProof/>
            <w:webHidden/>
          </w:rPr>
          <w:tab/>
        </w:r>
        <w:r w:rsidR="00FF4148">
          <w:rPr>
            <w:noProof/>
            <w:webHidden/>
          </w:rPr>
          <w:fldChar w:fldCharType="begin"/>
        </w:r>
        <w:r w:rsidR="00FF4148">
          <w:rPr>
            <w:noProof/>
            <w:webHidden/>
          </w:rPr>
          <w:instrText xml:space="preserve"> PAGEREF _Toc195447240 \h </w:instrText>
        </w:r>
        <w:r w:rsidR="00FF4148">
          <w:rPr>
            <w:noProof/>
            <w:webHidden/>
          </w:rPr>
        </w:r>
        <w:r w:rsidR="00FF4148">
          <w:rPr>
            <w:noProof/>
            <w:webHidden/>
          </w:rPr>
          <w:fldChar w:fldCharType="separate"/>
        </w:r>
        <w:r w:rsidR="00FF4148">
          <w:rPr>
            <w:noProof/>
            <w:webHidden/>
          </w:rPr>
          <w:t>46</w:t>
        </w:r>
        <w:r w:rsidR="00FF4148">
          <w:rPr>
            <w:noProof/>
            <w:webHidden/>
          </w:rPr>
          <w:fldChar w:fldCharType="end"/>
        </w:r>
      </w:hyperlink>
    </w:p>
    <w:p w14:paraId="48E8561D" w14:textId="6D062C82"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41" w:history="1">
        <w:r w:rsidR="00FF4148" w:rsidRPr="00527107">
          <w:rPr>
            <w:rStyle w:val="Hyperlink"/>
            <w:noProof/>
          </w:rPr>
          <w:t>Step 7: Calculate the auction volume and assess risks</w:t>
        </w:r>
        <w:r w:rsidR="00FF4148">
          <w:rPr>
            <w:noProof/>
            <w:webHidden/>
          </w:rPr>
          <w:tab/>
        </w:r>
        <w:r w:rsidR="00FF4148">
          <w:rPr>
            <w:noProof/>
            <w:webHidden/>
          </w:rPr>
          <w:fldChar w:fldCharType="begin"/>
        </w:r>
        <w:r w:rsidR="00FF4148">
          <w:rPr>
            <w:noProof/>
            <w:webHidden/>
          </w:rPr>
          <w:instrText xml:space="preserve"> PAGEREF _Toc195447241 \h </w:instrText>
        </w:r>
        <w:r w:rsidR="00FF4148">
          <w:rPr>
            <w:noProof/>
            <w:webHidden/>
          </w:rPr>
        </w:r>
        <w:r w:rsidR="00FF4148">
          <w:rPr>
            <w:noProof/>
            <w:webHidden/>
          </w:rPr>
          <w:fldChar w:fldCharType="separate"/>
        </w:r>
        <w:r w:rsidR="00FF4148">
          <w:rPr>
            <w:noProof/>
            <w:webHidden/>
          </w:rPr>
          <w:t>47</w:t>
        </w:r>
        <w:r w:rsidR="00FF4148">
          <w:rPr>
            <w:noProof/>
            <w:webHidden/>
          </w:rPr>
          <w:fldChar w:fldCharType="end"/>
        </w:r>
      </w:hyperlink>
    </w:p>
    <w:p w14:paraId="143C7B04" w14:textId="7EE2827E"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42" w:history="1">
        <w:r w:rsidR="00FF4148" w:rsidRPr="00527107">
          <w:rPr>
            <w:rStyle w:val="Hyperlink"/>
            <w:noProof/>
          </w:rPr>
          <w:t>Sensitivities, risks and future developments in auction volumes</w:t>
        </w:r>
        <w:r w:rsidR="00FF4148">
          <w:rPr>
            <w:noProof/>
            <w:webHidden/>
          </w:rPr>
          <w:tab/>
        </w:r>
        <w:r w:rsidR="00FF4148">
          <w:rPr>
            <w:noProof/>
            <w:webHidden/>
          </w:rPr>
          <w:fldChar w:fldCharType="begin"/>
        </w:r>
        <w:r w:rsidR="00FF4148">
          <w:rPr>
            <w:noProof/>
            <w:webHidden/>
          </w:rPr>
          <w:instrText xml:space="preserve"> PAGEREF _Toc195447242 \h </w:instrText>
        </w:r>
        <w:r w:rsidR="00FF4148">
          <w:rPr>
            <w:noProof/>
            <w:webHidden/>
          </w:rPr>
        </w:r>
        <w:r w:rsidR="00FF4148">
          <w:rPr>
            <w:noProof/>
            <w:webHidden/>
          </w:rPr>
          <w:fldChar w:fldCharType="separate"/>
        </w:r>
        <w:r w:rsidR="00FF4148">
          <w:rPr>
            <w:noProof/>
            <w:webHidden/>
          </w:rPr>
          <w:t>50</w:t>
        </w:r>
        <w:r w:rsidR="00FF4148">
          <w:rPr>
            <w:noProof/>
            <w:webHidden/>
          </w:rPr>
          <w:fldChar w:fldCharType="end"/>
        </w:r>
      </w:hyperlink>
    </w:p>
    <w:p w14:paraId="6F48122E" w14:textId="3F5D1450" w:rsidR="00FF4148" w:rsidRDefault="00000000">
      <w:pPr>
        <w:pStyle w:val="TOC1"/>
        <w:rPr>
          <w:rFonts w:asciiTheme="minorHAnsi" w:eastAsiaTheme="minorEastAsia" w:hAnsiTheme="minorHAnsi"/>
          <w:b w:val="0"/>
          <w:color w:val="auto"/>
          <w:kern w:val="2"/>
          <w:lang w:eastAsia="en-NZ"/>
          <w14:ligatures w14:val="standardContextual"/>
        </w:rPr>
      </w:pPr>
      <w:hyperlink w:anchor="_Toc195447243" w:history="1">
        <w:r w:rsidR="00FF4148" w:rsidRPr="00527107">
          <w:rPr>
            <w:rStyle w:val="Hyperlink"/>
          </w:rPr>
          <w:t>PART 4: Te ritenga taura-utu – Price control settings</w:t>
        </w:r>
        <w:r w:rsidR="00FF4148">
          <w:rPr>
            <w:webHidden/>
          </w:rPr>
          <w:tab/>
        </w:r>
        <w:r w:rsidR="00FF4148">
          <w:rPr>
            <w:webHidden/>
          </w:rPr>
          <w:fldChar w:fldCharType="begin"/>
        </w:r>
        <w:r w:rsidR="00FF4148">
          <w:rPr>
            <w:webHidden/>
          </w:rPr>
          <w:instrText xml:space="preserve"> PAGEREF _Toc195447243 \h </w:instrText>
        </w:r>
        <w:r w:rsidR="00FF4148">
          <w:rPr>
            <w:webHidden/>
          </w:rPr>
        </w:r>
        <w:r w:rsidR="00FF4148">
          <w:rPr>
            <w:webHidden/>
          </w:rPr>
          <w:fldChar w:fldCharType="separate"/>
        </w:r>
        <w:r w:rsidR="00FF4148">
          <w:rPr>
            <w:webHidden/>
          </w:rPr>
          <w:t>53</w:t>
        </w:r>
        <w:r w:rsidR="00FF4148">
          <w:rPr>
            <w:webHidden/>
          </w:rPr>
          <w:fldChar w:fldCharType="end"/>
        </w:r>
      </w:hyperlink>
    </w:p>
    <w:p w14:paraId="3AEE64B9" w14:textId="5E92B9C3"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44" w:history="1">
        <w:r w:rsidR="00FF4148" w:rsidRPr="00527107">
          <w:rPr>
            <w:rStyle w:val="Hyperlink"/>
            <w:noProof/>
          </w:rPr>
          <w:t>Summary and recommendations</w:t>
        </w:r>
        <w:r w:rsidR="00FF4148">
          <w:rPr>
            <w:noProof/>
            <w:webHidden/>
          </w:rPr>
          <w:tab/>
        </w:r>
        <w:r w:rsidR="00FF4148">
          <w:rPr>
            <w:noProof/>
            <w:webHidden/>
          </w:rPr>
          <w:fldChar w:fldCharType="begin"/>
        </w:r>
        <w:r w:rsidR="00FF4148">
          <w:rPr>
            <w:noProof/>
            <w:webHidden/>
          </w:rPr>
          <w:instrText xml:space="preserve"> PAGEREF _Toc195447244 \h </w:instrText>
        </w:r>
        <w:r w:rsidR="00FF4148">
          <w:rPr>
            <w:noProof/>
            <w:webHidden/>
          </w:rPr>
        </w:r>
        <w:r w:rsidR="00FF4148">
          <w:rPr>
            <w:noProof/>
            <w:webHidden/>
          </w:rPr>
          <w:fldChar w:fldCharType="separate"/>
        </w:r>
        <w:r w:rsidR="00FF4148">
          <w:rPr>
            <w:noProof/>
            <w:webHidden/>
          </w:rPr>
          <w:t>53</w:t>
        </w:r>
        <w:r w:rsidR="00FF4148">
          <w:rPr>
            <w:noProof/>
            <w:webHidden/>
          </w:rPr>
          <w:fldChar w:fldCharType="end"/>
        </w:r>
      </w:hyperlink>
    </w:p>
    <w:p w14:paraId="669AEA57" w14:textId="210238FC"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45" w:history="1">
        <w:r w:rsidR="00FF4148" w:rsidRPr="00527107">
          <w:rPr>
            <w:rStyle w:val="Hyperlink"/>
            <w:noProof/>
          </w:rPr>
          <w:t>The second emissions reduction plan</w:t>
        </w:r>
        <w:r w:rsidR="00FF4148">
          <w:rPr>
            <w:noProof/>
            <w:webHidden/>
          </w:rPr>
          <w:tab/>
        </w:r>
        <w:r w:rsidR="00FF4148">
          <w:rPr>
            <w:noProof/>
            <w:webHidden/>
          </w:rPr>
          <w:fldChar w:fldCharType="begin"/>
        </w:r>
        <w:r w:rsidR="00FF4148">
          <w:rPr>
            <w:noProof/>
            <w:webHidden/>
          </w:rPr>
          <w:instrText xml:space="preserve"> PAGEREF _Toc195447245 \h </w:instrText>
        </w:r>
        <w:r w:rsidR="00FF4148">
          <w:rPr>
            <w:noProof/>
            <w:webHidden/>
          </w:rPr>
        </w:r>
        <w:r w:rsidR="00FF4148">
          <w:rPr>
            <w:noProof/>
            <w:webHidden/>
          </w:rPr>
          <w:fldChar w:fldCharType="separate"/>
        </w:r>
        <w:r w:rsidR="00FF4148">
          <w:rPr>
            <w:noProof/>
            <w:webHidden/>
          </w:rPr>
          <w:t>55</w:t>
        </w:r>
        <w:r w:rsidR="00FF4148">
          <w:rPr>
            <w:noProof/>
            <w:webHidden/>
          </w:rPr>
          <w:fldChar w:fldCharType="end"/>
        </w:r>
      </w:hyperlink>
    </w:p>
    <w:p w14:paraId="601D0357" w14:textId="26D14A21"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46" w:history="1">
        <w:r w:rsidR="00FF4148" w:rsidRPr="00527107">
          <w:rPr>
            <w:rStyle w:val="Hyperlink"/>
            <w:noProof/>
          </w:rPr>
          <w:t>Cost containment reserve</w:t>
        </w:r>
        <w:r w:rsidR="00FF4148">
          <w:rPr>
            <w:noProof/>
            <w:webHidden/>
          </w:rPr>
          <w:tab/>
        </w:r>
        <w:r w:rsidR="00FF4148">
          <w:rPr>
            <w:noProof/>
            <w:webHidden/>
          </w:rPr>
          <w:fldChar w:fldCharType="begin"/>
        </w:r>
        <w:r w:rsidR="00FF4148">
          <w:rPr>
            <w:noProof/>
            <w:webHidden/>
          </w:rPr>
          <w:instrText xml:space="preserve"> PAGEREF _Toc195447246 \h </w:instrText>
        </w:r>
        <w:r w:rsidR="00FF4148">
          <w:rPr>
            <w:noProof/>
            <w:webHidden/>
          </w:rPr>
        </w:r>
        <w:r w:rsidR="00FF4148">
          <w:rPr>
            <w:noProof/>
            <w:webHidden/>
          </w:rPr>
          <w:fldChar w:fldCharType="separate"/>
        </w:r>
        <w:r w:rsidR="00FF4148">
          <w:rPr>
            <w:noProof/>
            <w:webHidden/>
          </w:rPr>
          <w:t>56</w:t>
        </w:r>
        <w:r w:rsidR="00FF4148">
          <w:rPr>
            <w:noProof/>
            <w:webHidden/>
          </w:rPr>
          <w:fldChar w:fldCharType="end"/>
        </w:r>
      </w:hyperlink>
    </w:p>
    <w:p w14:paraId="5416047C" w14:textId="0EDB47CC"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47" w:history="1">
        <w:r w:rsidR="00FF4148" w:rsidRPr="00527107">
          <w:rPr>
            <w:rStyle w:val="Hyperlink"/>
            <w:noProof/>
          </w:rPr>
          <w:t>Auction reserve price</w:t>
        </w:r>
        <w:r w:rsidR="00FF4148">
          <w:rPr>
            <w:noProof/>
            <w:webHidden/>
          </w:rPr>
          <w:tab/>
        </w:r>
        <w:r w:rsidR="00FF4148">
          <w:rPr>
            <w:noProof/>
            <w:webHidden/>
          </w:rPr>
          <w:fldChar w:fldCharType="begin"/>
        </w:r>
        <w:r w:rsidR="00FF4148">
          <w:rPr>
            <w:noProof/>
            <w:webHidden/>
          </w:rPr>
          <w:instrText xml:space="preserve"> PAGEREF _Toc195447247 \h </w:instrText>
        </w:r>
        <w:r w:rsidR="00FF4148">
          <w:rPr>
            <w:noProof/>
            <w:webHidden/>
          </w:rPr>
        </w:r>
        <w:r w:rsidR="00FF4148">
          <w:rPr>
            <w:noProof/>
            <w:webHidden/>
          </w:rPr>
          <w:fldChar w:fldCharType="separate"/>
        </w:r>
        <w:r w:rsidR="00FF4148">
          <w:rPr>
            <w:noProof/>
            <w:webHidden/>
          </w:rPr>
          <w:t>63</w:t>
        </w:r>
        <w:r w:rsidR="00FF4148">
          <w:rPr>
            <w:noProof/>
            <w:webHidden/>
          </w:rPr>
          <w:fldChar w:fldCharType="end"/>
        </w:r>
      </w:hyperlink>
    </w:p>
    <w:p w14:paraId="6BB6E7C1" w14:textId="59D7C505"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48" w:history="1">
        <w:r w:rsidR="00FF4148" w:rsidRPr="00527107">
          <w:rPr>
            <w:rStyle w:val="Hyperlink"/>
            <w:noProof/>
          </w:rPr>
          <w:t>Desirable emissions price path</w:t>
        </w:r>
        <w:r w:rsidR="00FF4148">
          <w:rPr>
            <w:noProof/>
            <w:webHidden/>
          </w:rPr>
          <w:tab/>
        </w:r>
        <w:r w:rsidR="00FF4148">
          <w:rPr>
            <w:noProof/>
            <w:webHidden/>
          </w:rPr>
          <w:fldChar w:fldCharType="begin"/>
        </w:r>
        <w:r w:rsidR="00FF4148">
          <w:rPr>
            <w:noProof/>
            <w:webHidden/>
          </w:rPr>
          <w:instrText xml:space="preserve"> PAGEREF _Toc195447248 \h </w:instrText>
        </w:r>
        <w:r w:rsidR="00FF4148">
          <w:rPr>
            <w:noProof/>
            <w:webHidden/>
          </w:rPr>
        </w:r>
        <w:r w:rsidR="00FF4148">
          <w:rPr>
            <w:noProof/>
            <w:webHidden/>
          </w:rPr>
          <w:fldChar w:fldCharType="separate"/>
        </w:r>
        <w:r w:rsidR="00FF4148">
          <w:rPr>
            <w:noProof/>
            <w:webHidden/>
          </w:rPr>
          <w:t>68</w:t>
        </w:r>
        <w:r w:rsidR="00FF4148">
          <w:rPr>
            <w:noProof/>
            <w:webHidden/>
          </w:rPr>
          <w:fldChar w:fldCharType="end"/>
        </w:r>
      </w:hyperlink>
    </w:p>
    <w:p w14:paraId="62E5C7BB" w14:textId="4BDF6D81"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49" w:history="1">
        <w:r w:rsidR="00FF4148" w:rsidRPr="00527107">
          <w:rPr>
            <w:rStyle w:val="Hyperlink"/>
            <w:noProof/>
          </w:rPr>
          <w:t>Impacts of emissions prices on households and the economy</w:t>
        </w:r>
        <w:r w:rsidR="00FF4148">
          <w:rPr>
            <w:noProof/>
            <w:webHidden/>
          </w:rPr>
          <w:tab/>
        </w:r>
        <w:r w:rsidR="00FF4148">
          <w:rPr>
            <w:noProof/>
            <w:webHidden/>
          </w:rPr>
          <w:fldChar w:fldCharType="begin"/>
        </w:r>
        <w:r w:rsidR="00FF4148">
          <w:rPr>
            <w:noProof/>
            <w:webHidden/>
          </w:rPr>
          <w:instrText xml:space="preserve"> PAGEREF _Toc195447249 \h </w:instrText>
        </w:r>
        <w:r w:rsidR="00FF4148">
          <w:rPr>
            <w:noProof/>
            <w:webHidden/>
          </w:rPr>
        </w:r>
        <w:r w:rsidR="00FF4148">
          <w:rPr>
            <w:noProof/>
            <w:webHidden/>
          </w:rPr>
          <w:fldChar w:fldCharType="separate"/>
        </w:r>
        <w:r w:rsidR="00FF4148">
          <w:rPr>
            <w:noProof/>
            <w:webHidden/>
          </w:rPr>
          <w:t>68</w:t>
        </w:r>
        <w:r w:rsidR="00FF4148">
          <w:rPr>
            <w:noProof/>
            <w:webHidden/>
          </w:rPr>
          <w:fldChar w:fldCharType="end"/>
        </w:r>
      </w:hyperlink>
    </w:p>
    <w:p w14:paraId="242C2B13" w14:textId="1C3A1DC2" w:rsidR="00FF4148" w:rsidRDefault="00000000">
      <w:pPr>
        <w:pStyle w:val="TOC1"/>
        <w:rPr>
          <w:rFonts w:asciiTheme="minorHAnsi" w:eastAsiaTheme="minorEastAsia" w:hAnsiTheme="minorHAnsi"/>
          <w:b w:val="0"/>
          <w:color w:val="auto"/>
          <w:kern w:val="2"/>
          <w:lang w:eastAsia="en-NZ"/>
          <w14:ligatures w14:val="standardContextual"/>
        </w:rPr>
      </w:pPr>
      <w:hyperlink w:anchor="_Toc195447250" w:history="1">
        <w:r w:rsidR="00FF4148" w:rsidRPr="00527107">
          <w:rPr>
            <w:rStyle w:val="Hyperlink"/>
          </w:rPr>
          <w:t>PART 5: Te taupoki – Final recommendations</w:t>
        </w:r>
        <w:r w:rsidR="00FF4148">
          <w:rPr>
            <w:webHidden/>
          </w:rPr>
          <w:tab/>
        </w:r>
        <w:r w:rsidR="00FF4148">
          <w:rPr>
            <w:webHidden/>
          </w:rPr>
          <w:fldChar w:fldCharType="begin"/>
        </w:r>
        <w:r w:rsidR="00FF4148">
          <w:rPr>
            <w:webHidden/>
          </w:rPr>
          <w:instrText xml:space="preserve"> PAGEREF _Toc195447250 \h </w:instrText>
        </w:r>
        <w:r w:rsidR="00FF4148">
          <w:rPr>
            <w:webHidden/>
          </w:rPr>
        </w:r>
        <w:r w:rsidR="00FF4148">
          <w:rPr>
            <w:webHidden/>
          </w:rPr>
          <w:fldChar w:fldCharType="separate"/>
        </w:r>
        <w:r w:rsidR="00FF4148">
          <w:rPr>
            <w:webHidden/>
          </w:rPr>
          <w:t>72</w:t>
        </w:r>
        <w:r w:rsidR="00FF4148">
          <w:rPr>
            <w:webHidden/>
          </w:rPr>
          <w:fldChar w:fldCharType="end"/>
        </w:r>
      </w:hyperlink>
    </w:p>
    <w:p w14:paraId="4D7D3F15" w14:textId="6A4F2C49" w:rsidR="00FF4148" w:rsidRDefault="00000000">
      <w:pPr>
        <w:pStyle w:val="TOC1"/>
        <w:rPr>
          <w:rFonts w:asciiTheme="minorHAnsi" w:eastAsiaTheme="minorEastAsia" w:hAnsiTheme="minorHAnsi"/>
          <w:b w:val="0"/>
          <w:color w:val="auto"/>
          <w:kern w:val="2"/>
          <w:lang w:eastAsia="en-NZ"/>
          <w14:ligatures w14:val="standardContextual"/>
        </w:rPr>
      </w:pPr>
      <w:hyperlink w:anchor="_Toc195447251" w:history="1">
        <w:r w:rsidR="00FF4148" w:rsidRPr="00527107">
          <w:rPr>
            <w:rStyle w:val="Hyperlink"/>
          </w:rPr>
          <w:t>Tāpiritanga – Appendix</w:t>
        </w:r>
        <w:r w:rsidR="00FF4148">
          <w:rPr>
            <w:webHidden/>
          </w:rPr>
          <w:tab/>
        </w:r>
        <w:r w:rsidR="00FF4148">
          <w:rPr>
            <w:webHidden/>
          </w:rPr>
          <w:fldChar w:fldCharType="begin"/>
        </w:r>
        <w:r w:rsidR="00FF4148">
          <w:rPr>
            <w:webHidden/>
          </w:rPr>
          <w:instrText xml:space="preserve"> PAGEREF _Toc195447251 \h </w:instrText>
        </w:r>
        <w:r w:rsidR="00FF4148">
          <w:rPr>
            <w:webHidden/>
          </w:rPr>
        </w:r>
        <w:r w:rsidR="00FF4148">
          <w:rPr>
            <w:webHidden/>
          </w:rPr>
          <w:fldChar w:fldCharType="separate"/>
        </w:r>
        <w:r w:rsidR="00FF4148">
          <w:rPr>
            <w:webHidden/>
          </w:rPr>
          <w:t>73</w:t>
        </w:r>
        <w:r w:rsidR="00FF4148">
          <w:rPr>
            <w:webHidden/>
          </w:rPr>
          <w:fldChar w:fldCharType="end"/>
        </w:r>
      </w:hyperlink>
    </w:p>
    <w:p w14:paraId="58E9F7E5" w14:textId="0C4F463F" w:rsidR="00FF4148" w:rsidRDefault="00000000">
      <w:pPr>
        <w:pStyle w:val="TOC2"/>
        <w:tabs>
          <w:tab w:val="right" w:leader="dot" w:pos="9060"/>
        </w:tabs>
        <w:rPr>
          <w:rFonts w:asciiTheme="minorHAnsi" w:eastAsiaTheme="minorEastAsia" w:hAnsiTheme="minorHAnsi"/>
          <w:noProof/>
          <w:kern w:val="2"/>
          <w:lang w:eastAsia="en-NZ"/>
          <w14:ligatures w14:val="standardContextual"/>
        </w:rPr>
      </w:pPr>
      <w:hyperlink w:anchor="_Toc195447252" w:history="1">
        <w:r w:rsidR="00FF4148" w:rsidRPr="00527107">
          <w:rPr>
            <w:rStyle w:val="Hyperlink"/>
            <w:noProof/>
          </w:rPr>
          <w:t>Appendix A: Summary of how legislative requirements and considerations under the Act have been addressed</w:t>
        </w:r>
        <w:r w:rsidR="00FF4148">
          <w:rPr>
            <w:noProof/>
            <w:webHidden/>
          </w:rPr>
          <w:tab/>
        </w:r>
        <w:r w:rsidR="00FF4148">
          <w:rPr>
            <w:noProof/>
            <w:webHidden/>
          </w:rPr>
          <w:fldChar w:fldCharType="begin"/>
        </w:r>
        <w:r w:rsidR="00FF4148">
          <w:rPr>
            <w:noProof/>
            <w:webHidden/>
          </w:rPr>
          <w:instrText xml:space="preserve"> PAGEREF _Toc195447252 \h </w:instrText>
        </w:r>
        <w:r w:rsidR="00FF4148">
          <w:rPr>
            <w:noProof/>
            <w:webHidden/>
          </w:rPr>
        </w:r>
        <w:r w:rsidR="00FF4148">
          <w:rPr>
            <w:noProof/>
            <w:webHidden/>
          </w:rPr>
          <w:fldChar w:fldCharType="separate"/>
        </w:r>
        <w:r w:rsidR="00FF4148">
          <w:rPr>
            <w:noProof/>
            <w:webHidden/>
          </w:rPr>
          <w:t>73</w:t>
        </w:r>
        <w:r w:rsidR="00FF4148">
          <w:rPr>
            <w:noProof/>
            <w:webHidden/>
          </w:rPr>
          <w:fldChar w:fldCharType="end"/>
        </w:r>
      </w:hyperlink>
    </w:p>
    <w:p w14:paraId="22D80248" w14:textId="6F596EE6" w:rsidR="00FF4148" w:rsidRDefault="00000000">
      <w:pPr>
        <w:pStyle w:val="TOC1"/>
        <w:rPr>
          <w:rFonts w:asciiTheme="minorHAnsi" w:eastAsiaTheme="minorEastAsia" w:hAnsiTheme="minorHAnsi"/>
          <w:b w:val="0"/>
          <w:color w:val="auto"/>
          <w:kern w:val="2"/>
          <w:lang w:eastAsia="en-NZ"/>
          <w14:ligatures w14:val="standardContextual"/>
        </w:rPr>
      </w:pPr>
      <w:hyperlink w:anchor="_Toc195447253" w:history="1">
        <w:r w:rsidR="00FF4148" w:rsidRPr="00527107">
          <w:rPr>
            <w:rStyle w:val="Hyperlink"/>
          </w:rPr>
          <w:t>Te taukōrero – References</w:t>
        </w:r>
        <w:r w:rsidR="00FF4148">
          <w:rPr>
            <w:webHidden/>
          </w:rPr>
          <w:tab/>
        </w:r>
        <w:r w:rsidR="00FF4148">
          <w:rPr>
            <w:webHidden/>
          </w:rPr>
          <w:fldChar w:fldCharType="begin"/>
        </w:r>
        <w:r w:rsidR="00FF4148">
          <w:rPr>
            <w:webHidden/>
          </w:rPr>
          <w:instrText xml:space="preserve"> PAGEREF _Toc195447253 \h </w:instrText>
        </w:r>
        <w:r w:rsidR="00FF4148">
          <w:rPr>
            <w:webHidden/>
          </w:rPr>
        </w:r>
        <w:r w:rsidR="00FF4148">
          <w:rPr>
            <w:webHidden/>
          </w:rPr>
          <w:fldChar w:fldCharType="separate"/>
        </w:r>
        <w:r w:rsidR="00FF4148">
          <w:rPr>
            <w:webHidden/>
          </w:rPr>
          <w:t>78</w:t>
        </w:r>
        <w:r w:rsidR="00FF4148">
          <w:rPr>
            <w:webHidden/>
          </w:rPr>
          <w:fldChar w:fldCharType="end"/>
        </w:r>
      </w:hyperlink>
    </w:p>
    <w:p w14:paraId="1EE9C0F0" w14:textId="53DC41D2" w:rsidR="002A2E70" w:rsidRDefault="51C0B577" w:rsidP="3FCFE27D">
      <w:pPr>
        <w:pStyle w:val="TOC2"/>
        <w:tabs>
          <w:tab w:val="right" w:leader="dot" w:pos="9060"/>
        </w:tabs>
      </w:pPr>
      <w:r>
        <w:fldChar w:fldCharType="end"/>
      </w:r>
    </w:p>
    <w:p w14:paraId="0CE86B25" w14:textId="4B6313CD" w:rsidR="00802808" w:rsidRDefault="00802808">
      <w:pPr>
        <w:spacing w:before="0" w:after="0" w:line="240" w:lineRule="auto"/>
      </w:pPr>
      <w:r>
        <w:br w:type="page"/>
      </w:r>
    </w:p>
    <w:p w14:paraId="39A49793" w14:textId="3C59705F" w:rsidR="00A614AE" w:rsidRDefault="00A614AE" w:rsidP="00615D4F">
      <w:pPr>
        <w:pStyle w:val="Heading2nonumber"/>
      </w:pPr>
      <w:bookmarkStart w:id="0" w:name="_Toc195447208"/>
      <w:r>
        <w:lastRenderedPageBreak/>
        <w:t>About</w:t>
      </w:r>
      <w:r w:rsidR="004C57F5">
        <w:t xml:space="preserve"> He Pou a Rangi Climate Change</w:t>
      </w:r>
      <w:r>
        <w:t xml:space="preserve"> Commission</w:t>
      </w:r>
      <w:bookmarkEnd w:id="0"/>
    </w:p>
    <w:p w14:paraId="6D3AED96" w14:textId="77777777" w:rsidR="009A7E66" w:rsidRDefault="009A7E66" w:rsidP="009A7E66">
      <w:r>
        <w:t>He Pou a Rangi Climate Change Commission (the Commission) is an independent Crown entity established by the Climate Change Response Act 2002 (the Act) to:</w:t>
      </w:r>
    </w:p>
    <w:p w14:paraId="08B976A0" w14:textId="04DF9AB8" w:rsidR="009A7E66" w:rsidRDefault="009A7E66" w:rsidP="008F7F53">
      <w:pPr>
        <w:ind w:left="284" w:hanging="284"/>
      </w:pPr>
      <w:r>
        <w:t>a.</w:t>
      </w:r>
      <w:r>
        <w:tab/>
        <w:t>provide independent, evidence-based advice to successive governments on mitigating climate change (including through reducing emissions of greenhouse gases) and adapting to the effects of climate change</w:t>
      </w:r>
    </w:p>
    <w:p w14:paraId="4E089797" w14:textId="77777777" w:rsidR="009A7E66" w:rsidRDefault="009A7E66" w:rsidP="008F7F53">
      <w:pPr>
        <w:ind w:left="284" w:hanging="284"/>
      </w:pPr>
      <w:r>
        <w:t>b.</w:t>
      </w:r>
      <w:r>
        <w:tab/>
        <w:t>monitor and review progress towards emissions reduction and adaptation.</w:t>
      </w:r>
    </w:p>
    <w:p w14:paraId="3AAC4FED" w14:textId="77777777" w:rsidR="009A7E66" w:rsidRDefault="009A7E66" w:rsidP="009A7E66">
      <w:r>
        <w:t xml:space="preserve">In carrying out these roles, the Act requires the Commission to draw from the best available evidence and analysis, and to consider the impacts of climate change and the implications for Aotearoa New Zealand over time. The Act also directs us to consider the Crown–Māori relationship, te ao Māori, and specific effects on iwi/Māori in our work. </w:t>
      </w:r>
    </w:p>
    <w:p w14:paraId="7F83094A" w14:textId="77777777" w:rsidR="009A7E66" w:rsidRDefault="009A7E66" w:rsidP="009A7E66">
      <w:r>
        <w:t>The Commission’s impartial advice focuses on the outcomes that can result from government action and policy, and the choices that decision-makers have. The aim is to support the Government to fulfil its role under the Act, including achieving emissions budgets and the 2050 target, and allowing the people of Aotearoa New Zealand to prepare for, and adapt to, the effects of climate change.</w:t>
      </w:r>
    </w:p>
    <w:p w14:paraId="4EFACB6B" w14:textId="31251CB1" w:rsidR="00CD34A4" w:rsidRDefault="009A7E66" w:rsidP="008D753E">
      <w:r>
        <w:t>The scope and timeframes for the Commission’s advice and monitoring reports are set out in the Act. More information about the Commission’s work programme can be found on our website,</w:t>
      </w:r>
      <w:r w:rsidR="00692EAD">
        <w:t xml:space="preserve"> </w:t>
      </w:r>
      <w:r>
        <w:t>www.climatecommission.govt.nz.</w:t>
      </w:r>
    </w:p>
    <w:p w14:paraId="7382533A" w14:textId="77777777" w:rsidR="00A614AE" w:rsidRDefault="00A614AE" w:rsidP="003A4E2D"/>
    <w:p w14:paraId="5E503B2C" w14:textId="77777777" w:rsidR="00F45812" w:rsidRPr="003A4E2D" w:rsidRDefault="00F45812" w:rsidP="003A4E2D">
      <w:r>
        <w:br w:type="page"/>
      </w:r>
    </w:p>
    <w:p w14:paraId="2CB77366" w14:textId="56EECC7A" w:rsidR="00A90549" w:rsidRDefault="001405E6" w:rsidP="002905FC">
      <w:pPr>
        <w:pStyle w:val="Heading1nonumber"/>
        <w:spacing w:before="0"/>
      </w:pPr>
      <w:bookmarkStart w:id="1" w:name="_Toc195447209"/>
      <w:r>
        <w:lastRenderedPageBreak/>
        <w:t>Te whakarākei matua</w:t>
      </w:r>
      <w:bookmarkEnd w:id="1"/>
      <w:r>
        <w:t xml:space="preserve"> </w:t>
      </w:r>
    </w:p>
    <w:p w14:paraId="307CC700" w14:textId="7FAE282D" w:rsidR="006B52F5" w:rsidRPr="00D863AC" w:rsidRDefault="00CD6B89" w:rsidP="002905FC">
      <w:pPr>
        <w:pStyle w:val="Intro"/>
        <w:spacing w:after="160"/>
        <w:rPr>
          <w:rFonts w:ascii="Calibri Light" w:eastAsia="Calibri Light" w:hAnsi="Calibri Light" w:cs="Calibri Light"/>
          <w:lang w:val="en-US"/>
        </w:rPr>
      </w:pPr>
      <w:r w:rsidRPr="00D863AC">
        <w:rPr>
          <w:rFonts w:ascii="Calibri Light" w:eastAsia="Calibri Light" w:hAnsi="Calibri Light" w:cs="Calibri Light"/>
          <w:lang w:val="en-US"/>
        </w:rPr>
        <w:t>Ko tō mātou kupu akiaki ā tau tēnei ki te Kāwanatanga mō te herenga hokohoko me te ritenga taura-utu ki te Kaupapa Hokohoko Tukunga o Aotearoa.</w:t>
      </w:r>
    </w:p>
    <w:p w14:paraId="7C901036" w14:textId="604E9964" w:rsidR="006B52F5" w:rsidRDefault="008624A0" w:rsidP="009B1320">
      <w:pPr>
        <w:spacing w:after="80" w:line="264" w:lineRule="auto"/>
      </w:pPr>
      <w:r>
        <w:t>Ko te Kaupapa Hokohoko Tukunga (NZ ETS) te tūāpapa ki te rauemi tukanga hei whakaheke i ngā tukunga rehukino kei te nuku o te whenua.</w:t>
      </w:r>
    </w:p>
    <w:p w14:paraId="5646B935" w14:textId="3B2322A5" w:rsidR="00B167DD" w:rsidRDefault="00E218B3" w:rsidP="009B1320">
      <w:pPr>
        <w:spacing w:before="80" w:after="80" w:line="264" w:lineRule="auto"/>
      </w:pPr>
      <w:r w:rsidRPr="00E218B3">
        <w:t xml:space="preserve">Ko tā Te Komihana o </w:t>
      </w:r>
      <w:r w:rsidRPr="00DC5498">
        <w:t xml:space="preserve">He Pou </w:t>
      </w:r>
      <w:r w:rsidR="00DC5498" w:rsidRPr="00DC5498">
        <w:t xml:space="preserve">a </w:t>
      </w:r>
      <w:r w:rsidRPr="00DC5498">
        <w:t>Rangi</w:t>
      </w:r>
      <w:r w:rsidRPr="00E218B3">
        <w:t xml:space="preserve"> he tuku i te kupu akiaki o te tau ki tō te kaupapa hokohoko herenga hokohoko me ngā whakaritenga taura-utu (NZ ETS ritenga), arā atu i ngā panonitanga ka hiahia ki te tautoko i ngā ahunga whakaheke tukuwaro.</w:t>
      </w:r>
      <w:r w:rsidR="007B4C31">
        <w:rPr>
          <w:rStyle w:val="FootnoteReference"/>
        </w:rPr>
        <w:footnoteReference w:id="2"/>
      </w:r>
    </w:p>
    <w:p w14:paraId="051590CA" w14:textId="2E08CDE3" w:rsidR="00B167DD" w:rsidRDefault="009E6D1B" w:rsidP="009B1320">
      <w:pPr>
        <w:spacing w:before="80" w:after="80" w:line="264" w:lineRule="auto"/>
      </w:pPr>
      <w:r w:rsidRPr="009E6D1B">
        <w:t>Ko tēnei te tau tuawhā o tā te Komihana hoatu he kupu akiaki ki ngā ritenga NZ ETS. Ko tēnei kupu akiaki he tautoko i ngā ritenga ki ngā tau 2026–2030.</w:t>
      </w:r>
    </w:p>
    <w:p w14:paraId="21C78DED" w14:textId="53290093" w:rsidR="005D690F" w:rsidRPr="00D863AC" w:rsidRDefault="001732ED" w:rsidP="000B36CE">
      <w:pPr>
        <w:pStyle w:val="Heading2nonumber"/>
        <w:spacing w:line="264" w:lineRule="auto"/>
        <w:rPr>
          <w:sz w:val="27"/>
          <w:szCs w:val="27"/>
        </w:rPr>
      </w:pPr>
      <w:bookmarkStart w:id="2" w:name="_Toc195447210"/>
      <w:r w:rsidRPr="00D863AC">
        <w:rPr>
          <w:sz w:val="27"/>
          <w:szCs w:val="27"/>
        </w:rPr>
        <w:t>Te whakapau kaha o te Kaupapa Hokohoko ki ngā ahunga whakaheke tukuwaro</w:t>
      </w:r>
      <w:bookmarkEnd w:id="2"/>
    </w:p>
    <w:p w14:paraId="1758BC32" w14:textId="28561C86" w:rsidR="00BD1C31" w:rsidRDefault="00A12ED6" w:rsidP="009B1320">
      <w:pPr>
        <w:spacing w:before="0" w:after="80" w:line="264" w:lineRule="auto"/>
      </w:pPr>
      <w:r w:rsidRPr="00A12ED6">
        <w:t>He tauwhanga hokohoko a NZ ETS i hangaia hei whakapoapoa i ngā whakahekenga rehukino. Hei tā te Kaupapa Hokohoko he whai i ngā tukuwaro nō ia ahumahi o te ōhanga o Aotearoa, hāunga rā ahuwhenua.</w:t>
      </w:r>
      <w:r>
        <w:rPr>
          <w:rStyle w:val="FootnoteReference"/>
        </w:rPr>
        <w:footnoteReference w:id="3"/>
      </w:r>
      <w:r w:rsidRPr="00A12ED6">
        <w:t xml:space="preserve"> Ko tā te kaupapa he haumaru i te koni i te haurua o o tukuwaro ki tō tātou whenua nei.</w:t>
      </w:r>
    </w:p>
    <w:p w14:paraId="0C5B4CB4" w14:textId="31D0C9B2" w:rsidR="00BD1C31" w:rsidRDefault="00FE72B3" w:rsidP="009B1320">
      <w:pPr>
        <w:spacing w:before="0" w:after="80" w:line="264" w:lineRule="auto"/>
      </w:pPr>
      <w:r w:rsidRPr="00FE72B3">
        <w:t>Mā te whakahere i te nui o ngā tukuwaro kua whakaaetia ki te Kaupapa, ka ūtaina he utu ki ngā tukuwaro, inā hoki h hanga i ētahi tahua whakapoapoa i ngā pakihi, i ngā kaiutu, i ngā kaipupuru whenua, i ngā kaihokohoko hoki ki te whai i ngā kōwhiringa ka whakaheke tukuwaro ana.</w:t>
      </w:r>
    </w:p>
    <w:p w14:paraId="022CE4C3" w14:textId="372F719C" w:rsidR="00FE72B3" w:rsidRDefault="00D32032" w:rsidP="009B1320">
      <w:pPr>
        <w:spacing w:before="0" w:after="80" w:line="264" w:lineRule="auto"/>
      </w:pPr>
      <w:r w:rsidRPr="00D32032">
        <w:t>Mā raro iho i te kaupapa, ka whai i hunga ka uru ki te mākete ngā tauhoko (e kī nei ko ‘Ngā Tauhoko o Aotearoa’, ā, ki ia tauhokoka whai āheinga ki te tuku i te kotahi tōna o te hau CO</w:t>
      </w:r>
      <w:r w:rsidRPr="00E90D79">
        <w:rPr>
          <w:vertAlign w:val="subscript"/>
        </w:rPr>
        <w:t>2</w:t>
      </w:r>
      <w:r w:rsidRPr="00D32032">
        <w:t>e. Ko tā te Kāwanatanga he tuku i ngā tauhoko mā ngā tukunga maha ki te mākete. Ka hanga i tētahi nama ki tauhokonga motuhake, mā te mahi hokohoko. Ka tohua ngā tauhoko ki ngā tūmahi (pēnei i te ahurākau) e unuhia me te whakatō waro. Ka tūtohua hoki ngā tauhoko ki ētahi ahumahi (‘tūtohu tauhoko utu kore’).</w:t>
      </w:r>
    </w:p>
    <w:p w14:paraId="7D8F7D6C" w14:textId="3909D9E2" w:rsidR="00FE72B3" w:rsidRDefault="0090040F" w:rsidP="009B1320">
      <w:pPr>
        <w:spacing w:before="0" w:after="80" w:line="264" w:lineRule="auto"/>
      </w:pPr>
      <w:r w:rsidRPr="0090040F">
        <w:t>Ka puta ana ngā tauhoko tukuwaro ki te mākete, ka tāea e ngā kaiuru ki te hoko me te hoko atu ki waenga i a rātou anō. Mā tēnei, te kāwanatanga e whakatau i te nunui o ngā tauhoko ka wātea ana ki te kaiuru, engari kei te mākete te whakatau i te utu ki ngā tukuwaro me te āhua o te whakahekenga tukuwaro.</w:t>
      </w:r>
    </w:p>
    <w:p w14:paraId="69677E47" w14:textId="02F09722" w:rsidR="00AC1AE0" w:rsidRDefault="00860574" w:rsidP="000B36CE">
      <w:pPr>
        <w:spacing w:before="0" w:after="80" w:line="264" w:lineRule="auto"/>
      </w:pPr>
      <w:r w:rsidRPr="00860574">
        <w:t>Ko te rahinga me ngā ritenga utu ki te mākete he rite ake i tō NZ ETS whakaritenga ki ngā tahua tukuwaro, te ahunga 2050, me ngā takohanga ā motu kei raro mai i Te Kawenata Parī.</w:t>
      </w:r>
      <w:r w:rsidR="00FC1304">
        <w:rPr>
          <w:rStyle w:val="FootnoteReference"/>
        </w:rPr>
        <w:footnoteReference w:id="4"/>
      </w:r>
      <w:r w:rsidR="000B36CE">
        <w:t xml:space="preserve"> </w:t>
      </w:r>
      <w:r w:rsidR="00AC1AE0">
        <w:br w:type="page"/>
      </w:r>
      <w:r w:rsidR="00AC1AE0">
        <w:rPr>
          <w:noProof/>
        </w:rPr>
        <w:lastRenderedPageBreak/>
        <mc:AlternateContent>
          <mc:Choice Requires="wps">
            <w:drawing>
              <wp:anchor distT="45720" distB="45720" distL="114300" distR="114300" simplePos="0" relativeHeight="251658249" behindDoc="1" locked="0" layoutInCell="1" allowOverlap="1" wp14:anchorId="14726519" wp14:editId="039D1ADF">
                <wp:simplePos x="0" y="0"/>
                <wp:positionH relativeFrom="margin">
                  <wp:align>center</wp:align>
                </wp:positionH>
                <wp:positionV relativeFrom="margin">
                  <wp:align>top</wp:align>
                </wp:positionV>
                <wp:extent cx="6000750" cy="9057640"/>
                <wp:effectExtent l="0" t="0" r="0" b="0"/>
                <wp:wrapSquare wrapText="bothSides"/>
                <wp:docPr id="1691267044" name="Text Box 1691267044" descr="P72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057640"/>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left w:w="170" w:type="dxa"/>
                                <w:right w:w="170" w:type="dxa"/>
                              </w:tblCellMar>
                              <w:tblLook w:val="04A0" w:firstRow="1" w:lastRow="0" w:firstColumn="1" w:lastColumn="0" w:noHBand="0" w:noVBand="1"/>
                            </w:tblPr>
                            <w:tblGrid>
                              <w:gridCol w:w="4395"/>
                              <w:gridCol w:w="176"/>
                              <w:gridCol w:w="4567"/>
                            </w:tblGrid>
                            <w:tr w:rsidR="00AC1AE0" w14:paraId="596041CC" w14:textId="77777777" w:rsidTr="007B6941">
                              <w:tc>
                                <w:tcPr>
                                  <w:tcW w:w="4571" w:type="dxa"/>
                                  <w:gridSpan w:val="2"/>
                                  <w:shd w:val="clear" w:color="auto" w:fill="002060"/>
                                </w:tcPr>
                                <w:p w14:paraId="668216CB" w14:textId="23EFD16B" w:rsidR="00AC1AE0" w:rsidRPr="005F4A6F" w:rsidRDefault="00A72C8E">
                                  <w:pPr>
                                    <w:rPr>
                                      <w:b/>
                                      <w:bCs/>
                                    </w:rPr>
                                  </w:pPr>
                                  <w:r w:rsidRPr="00A72C8E">
                                    <w:rPr>
                                      <w:b/>
                                      <w:bCs/>
                                    </w:rPr>
                                    <w:t>Ngā tohutohu mā ngā mana-nui</w:t>
                                  </w:r>
                                </w:p>
                              </w:tc>
                              <w:tc>
                                <w:tcPr>
                                  <w:tcW w:w="4567" w:type="dxa"/>
                                  <w:shd w:val="clear" w:color="auto" w:fill="002060"/>
                                </w:tcPr>
                                <w:p w14:paraId="27B156EB" w14:textId="77777777" w:rsidR="00AC1AE0" w:rsidRDefault="00AC1AE0"/>
                              </w:tc>
                            </w:tr>
                            <w:tr w:rsidR="00AC1AE0" w14:paraId="28FB91D8" w14:textId="77777777">
                              <w:tc>
                                <w:tcPr>
                                  <w:tcW w:w="9138" w:type="dxa"/>
                                  <w:gridSpan w:val="3"/>
                                  <w:shd w:val="clear" w:color="auto" w:fill="0060A1"/>
                                </w:tcPr>
                                <w:p w14:paraId="5CC91370" w14:textId="159319F8" w:rsidR="00AC1AE0" w:rsidRPr="006F32A0" w:rsidRDefault="009773D4">
                                  <w:r w:rsidRPr="009773D4">
                                    <w:rPr>
                                      <w:b/>
                                      <w:bCs/>
                                      <w:color w:val="FFFFFF" w:themeColor="background1"/>
                                    </w:rPr>
                                    <w:t>Te horopaki ki tō mātou kupu akiaki</w:t>
                                  </w:r>
                                </w:p>
                              </w:tc>
                            </w:tr>
                            <w:tr w:rsidR="00AC1AE0" w14:paraId="71437792" w14:textId="77777777">
                              <w:tc>
                                <w:tcPr>
                                  <w:tcW w:w="9138" w:type="dxa"/>
                                  <w:gridSpan w:val="3"/>
                                  <w:shd w:val="clear" w:color="auto" w:fill="DEEAF6" w:themeFill="accent5" w:themeFillTint="33"/>
                                </w:tcPr>
                                <w:p w14:paraId="319B8B7F" w14:textId="77777777" w:rsidR="008165A1" w:rsidRDefault="008165A1" w:rsidP="00D87FE5">
                                  <w:pPr>
                                    <w:pStyle w:val="Bodybulletsforkeypoints"/>
                                    <w:spacing w:before="50" w:after="50" w:line="252" w:lineRule="auto"/>
                                    <w:ind w:left="261" w:hanging="284"/>
                                    <w:contextualSpacing w:val="0"/>
                                  </w:pPr>
                                  <w:r>
                                    <w:t>Mai i tō mātou kupu akiaki o 2024 ko te tatau ki ngā tauhemihemi kei te mākete kua hekea rawatia, e ai tā ngā matapae ō mua.</w:t>
                                  </w:r>
                                </w:p>
                                <w:p w14:paraId="374354EA" w14:textId="77777777" w:rsidR="008165A1" w:rsidRDefault="008165A1" w:rsidP="00D87FE5">
                                  <w:pPr>
                                    <w:pStyle w:val="Bodybulletsforkeypoints"/>
                                    <w:spacing w:before="50" w:after="50" w:line="252" w:lineRule="auto"/>
                                    <w:ind w:left="261" w:hanging="284"/>
                                    <w:contextualSpacing w:val="0"/>
                                  </w:pPr>
                                  <w:r>
                                    <w:t>Ko te mahere whakaheke tukuwaro tuarua he hiki i tō te Kāwanatanga takohanga ki tētahi NZ ETS whai mana hei rauemi matua ki te whakaheke i ngā tukuwaro ā-motu.</w:t>
                                  </w:r>
                                </w:p>
                                <w:p w14:paraId="2D1D5D51" w14:textId="77777777" w:rsidR="008165A1" w:rsidRDefault="008165A1" w:rsidP="00D87FE5">
                                  <w:pPr>
                                    <w:pStyle w:val="Bodybulletsforkeypoints"/>
                                    <w:spacing w:before="50" w:after="50" w:line="252" w:lineRule="auto"/>
                                    <w:ind w:left="261" w:hanging="284"/>
                                    <w:contextualSpacing w:val="0"/>
                                  </w:pPr>
                                  <w:r>
                                    <w:t>Kua piki te māia o te mākete ki te NZ ETS engari kei te whakaraerae tonu. Hei tā tēnei kupu akiaki he tautoko i tētahi mākete whai mana, he mārama rawa tō matapae, ka mutu, he mākete tau.</w:t>
                                  </w:r>
                                </w:p>
                                <w:p w14:paraId="5A91AAC4" w14:textId="77777777" w:rsidR="008165A1" w:rsidRDefault="008165A1" w:rsidP="00D87FE5">
                                  <w:pPr>
                                    <w:pStyle w:val="Bodybulletsforkeypoints"/>
                                    <w:spacing w:before="50" w:after="50" w:line="252" w:lineRule="auto"/>
                                    <w:ind w:left="261" w:hanging="284"/>
                                    <w:contextualSpacing w:val="0"/>
                                  </w:pPr>
                                  <w:r>
                                    <w:t>Ko ētahi wāhanga o te pōhēhē kei reira tonu, pēnei i tō mātou whenua anga ki te tutuki i ngā tahua tukuwaro 2031–2035.</w:t>
                                  </w:r>
                                </w:p>
                                <w:p w14:paraId="2C526D9A" w14:textId="56273890" w:rsidR="00AC1AE0" w:rsidRDefault="008165A1" w:rsidP="00D87FE5">
                                  <w:pPr>
                                    <w:pStyle w:val="Bodybulletsforkeypoints"/>
                                    <w:spacing w:before="50" w:after="50" w:line="252" w:lineRule="auto"/>
                                    <w:ind w:left="261" w:hanging="284"/>
                                    <w:contextualSpacing w:val="0"/>
                                  </w:pPr>
                                  <w:r>
                                    <w:t>Ko tō mātou kupu akiaki he aro ki te whakapūmau i te herenga hokohoko me te ritenga taura-utu, kia tākai tahi, ka mutu, he hāngai ki ngā ahunga whakaheke tukuwaro a te Kāwanatanga.</w:t>
                                  </w:r>
                                </w:p>
                              </w:tc>
                            </w:tr>
                            <w:tr w:rsidR="00AC1AE0" w14:paraId="33F62C3C" w14:textId="77777777" w:rsidTr="00304E9E">
                              <w:tc>
                                <w:tcPr>
                                  <w:tcW w:w="4395" w:type="dxa"/>
                                  <w:shd w:val="clear" w:color="auto" w:fill="0060A1"/>
                                </w:tcPr>
                                <w:p w14:paraId="444F18F2" w14:textId="65B90F5C" w:rsidR="00AC1AE0" w:rsidRPr="006F32A0" w:rsidRDefault="007C730C">
                                  <w:pPr>
                                    <w:rPr>
                                      <w:b/>
                                      <w:bCs/>
                                    </w:rPr>
                                  </w:pPr>
                                  <w:r w:rsidRPr="007C730C">
                                    <w:rPr>
                                      <w:b/>
                                      <w:bCs/>
                                      <w:color w:val="FFFFFF" w:themeColor="background1"/>
                                    </w:rPr>
                                    <w:t>Te kupu akiaki ki ngā herenga hokohoko</w:t>
                                  </w:r>
                                </w:p>
                              </w:tc>
                              <w:tc>
                                <w:tcPr>
                                  <w:tcW w:w="4743" w:type="dxa"/>
                                  <w:gridSpan w:val="2"/>
                                  <w:shd w:val="clear" w:color="auto" w:fill="2E74B5" w:themeFill="accent5" w:themeFillShade="BF"/>
                                </w:tcPr>
                                <w:p w14:paraId="297CCDF6" w14:textId="36B0348A" w:rsidR="00AC1AE0" w:rsidRPr="006F32A0" w:rsidRDefault="007B17B8">
                                  <w:pPr>
                                    <w:rPr>
                                      <w:b/>
                                      <w:bCs/>
                                    </w:rPr>
                                  </w:pPr>
                                  <w:r w:rsidRPr="007B17B8">
                                    <w:rPr>
                                      <w:b/>
                                      <w:bCs/>
                                      <w:color w:val="FFFFFF" w:themeColor="background1"/>
                                    </w:rPr>
                                    <w:t>Te kupu ki ngā ritenga taura-utu</w:t>
                                  </w:r>
                                </w:p>
                              </w:tc>
                            </w:tr>
                            <w:tr w:rsidR="00AC1AE0" w14:paraId="5479015B" w14:textId="77777777" w:rsidTr="00304E9E">
                              <w:tc>
                                <w:tcPr>
                                  <w:tcW w:w="4395" w:type="dxa"/>
                                  <w:shd w:val="clear" w:color="auto" w:fill="DEEAF6" w:themeFill="accent5" w:themeFillTint="33"/>
                                </w:tcPr>
                                <w:p w14:paraId="60AA28F9" w14:textId="77777777" w:rsidR="00E96C93" w:rsidRDefault="00E96C93" w:rsidP="00C718FC">
                                  <w:pPr>
                                    <w:pStyle w:val="Bodybulletsforkeypoints"/>
                                    <w:spacing w:before="50" w:after="50" w:line="252" w:lineRule="auto"/>
                                    <w:ind w:left="261" w:hanging="284"/>
                                    <w:contextualSpacing w:val="0"/>
                                  </w:pPr>
                                  <w:r>
                                    <w:t>Ko ngā whakahekenga tuatahi ki te tau hemihemi he tohu ka taea te hanga tauhoko anō mō te mākete, ā, kāhore tonu i ngā matapae tuatahi, me te hāngai tonu ki ngā tahua whakaheke tukuwaro.</w:t>
                                  </w:r>
                                </w:p>
                                <w:p w14:paraId="7AF2C7F2" w14:textId="77777777" w:rsidR="00E96C93" w:rsidRDefault="00E96C93" w:rsidP="00C718FC">
                                  <w:pPr>
                                    <w:pStyle w:val="Bodybulletsforkeypoints"/>
                                    <w:spacing w:before="50" w:after="50" w:line="252" w:lineRule="auto"/>
                                    <w:ind w:left="261" w:hanging="284"/>
                                    <w:contextualSpacing w:val="0"/>
                                  </w:pPr>
                                  <w:r>
                                    <w:t>E whakahau ana kia kaua e rerekē ngā rahinga hokohoko o 2026 me 2027. Ki tō mātou aromatawai, kāhore e tika ana kia rerekē ngā ritenga o 2026 me 2027.</w:t>
                                  </w:r>
                                </w:p>
                                <w:p w14:paraId="538A6669" w14:textId="66062996" w:rsidR="00AC1AE0" w:rsidRDefault="00E96C93" w:rsidP="00C718FC">
                                  <w:pPr>
                                    <w:pStyle w:val="Bodybulletsforkeypoints"/>
                                    <w:spacing w:before="50" w:after="50" w:line="252" w:lineRule="auto"/>
                                    <w:ind w:left="260" w:hanging="260"/>
                                    <w:contextualSpacing w:val="0"/>
                                  </w:pPr>
                                  <w:r>
                                    <w:t>Ko ngā rahinga hokohoko hou ka taea te tuku ki ngā 2028–2030, engari me tika tonu ngā utu kaupare. Mā te tuku i nga rahinga hou ka mana rānei te pīngore ki te whakarerekē i ngā panonitanga ki te matapae hemihemi, ki ngā tukuwaro rānei</w:t>
                                  </w:r>
                                  <w:r w:rsidR="00C718FC">
                                    <w:t>.</w:t>
                                  </w:r>
                                </w:p>
                              </w:tc>
                              <w:tc>
                                <w:tcPr>
                                  <w:tcW w:w="4743" w:type="dxa"/>
                                  <w:gridSpan w:val="2"/>
                                  <w:shd w:val="clear" w:color="auto" w:fill="EBF3F9"/>
                                </w:tcPr>
                                <w:p w14:paraId="2778E24A" w14:textId="77777777" w:rsidR="00814E87" w:rsidRDefault="00814E87" w:rsidP="00657243">
                                  <w:pPr>
                                    <w:pStyle w:val="Bodybulletsforkeypoints"/>
                                    <w:spacing w:before="50" w:after="50" w:line="252" w:lineRule="auto"/>
                                    <w:ind w:left="216" w:hanging="284"/>
                                    <w:contextualSpacing w:val="0"/>
                                  </w:pPr>
                                  <w:r>
                                    <w:t>I whakahaungia ko ngā tohu utu ki te utu mākete tauraro (ARP) me te utu here tauraro (CCR) kia noho tonu ki ngā reanga o nāianei, engari tuituia anake mō te weranga utu.</w:t>
                                  </w:r>
                                </w:p>
                                <w:p w14:paraId="638E0134" w14:textId="77777777" w:rsidR="00814E87" w:rsidRDefault="00814E87" w:rsidP="00657243">
                                  <w:pPr>
                                    <w:pStyle w:val="Bodybulletsforkeypoints"/>
                                    <w:spacing w:before="50" w:after="50" w:line="252" w:lineRule="auto"/>
                                    <w:ind w:left="216" w:hanging="284"/>
                                    <w:contextualSpacing w:val="0"/>
                                  </w:pPr>
                                  <w:r>
                                    <w:t>Ko ngā ritenga o te wā he rite tonu ki tō te Kāwanatanga ahunga whakaheke tukuwaro, e whakahere nei i ngā taunakitanga o te wā. Ko te taunga o te mauri tētahi tino whakahiranga, tuia ko te māia tē māro ki te NZ ETS.</w:t>
                                  </w:r>
                                </w:p>
                                <w:p w14:paraId="59D11D4D" w14:textId="77777777" w:rsidR="00814E87" w:rsidRDefault="00814E87" w:rsidP="00657243">
                                  <w:pPr>
                                    <w:pStyle w:val="Bodybulletsforkeypoints"/>
                                    <w:spacing w:before="50" w:after="50" w:line="252" w:lineRule="auto"/>
                                    <w:ind w:left="216" w:hanging="284"/>
                                    <w:contextualSpacing w:val="0"/>
                                  </w:pPr>
                                  <w:r>
                                    <w:t xml:space="preserve">Kāhore he taki ki te whakaheke i te ARP, ki te inamata me te anamata. Mēnā rā he whakahekenga ARP ka werohia ngā haumi o te wā me tōna tikanga ka aro ki te tutukinga o te tahua tukuwaro </w:t>
                                  </w:r>
                                  <w:r w:rsidRPr="00597D47">
                                    <w:t>tukuwaro</w:t>
                                  </w:r>
                                  <w:r>
                                    <w:t>.</w:t>
                                  </w:r>
                                </w:p>
                                <w:p w14:paraId="6B962EB0" w14:textId="465E0503" w:rsidR="00814E87" w:rsidRDefault="00814E87" w:rsidP="00657243">
                                  <w:pPr>
                                    <w:pStyle w:val="Bodybulletsforkeypoints"/>
                                    <w:spacing w:before="50" w:after="50" w:line="252" w:lineRule="auto"/>
                                    <w:ind w:left="216" w:hanging="284"/>
                                    <w:contextualSpacing w:val="0"/>
                                  </w:pPr>
                                  <w:r>
                                    <w:t>E taea tonutia ana te ritenga hokohoko te pā ā ngā rā e tū mai nei, engari kei te tikanga o ngā momo mahinga ka rangona ki te whakaheke tukuwaro o roto i ngā tau e tū mai nei. Ka koke tonu ki te aromatawai me te arotake i ngā taunakianga nui nei tōna kumikumi me te whai he aha ngā mea hei tutuki i te tahua tukuwaro tuatoru kei tēnei kupu akiaki mō te tau.</w:t>
                                  </w:r>
                                </w:p>
                                <w:p w14:paraId="76BD3A78" w14:textId="67881B8F" w:rsidR="00AC1AE0" w:rsidRDefault="00AC1AE0" w:rsidP="00C718FC">
                                  <w:pPr>
                                    <w:pStyle w:val="Bodybulletsforkeypoints"/>
                                    <w:numPr>
                                      <w:ilvl w:val="0"/>
                                      <w:numId w:val="6"/>
                                    </w:numPr>
                                    <w:spacing w:before="50" w:after="50" w:line="252" w:lineRule="auto"/>
                                    <w:ind w:left="284" w:hanging="284"/>
                                    <w:contextualSpacing w:val="0"/>
                                  </w:pPr>
                                  <w:r>
                                    <w:t xml:space="preserve">It </w:t>
                                  </w:r>
                                  <w:r w:rsidRPr="00AA776B">
                                    <w:t xml:space="preserve">is </w:t>
                                  </w:r>
                                  <w:r>
                                    <w:t>possible</w:t>
                                  </w:r>
                                  <w:r w:rsidRPr="00AA776B">
                                    <w:t xml:space="preserve"> that price control settings will need to increase in the future</w:t>
                                  </w:r>
                                  <w:r>
                                    <w:t>, depending</w:t>
                                  </w:r>
                                  <w:r w:rsidRPr="00AA776B">
                                    <w:t xml:space="preserve"> on the mix of actions taken to reduce emissions in coming years. We will continue to monitor and analyse the currently highly uncertain evidence about what might be needed to meet the third emissions budget</w:t>
                                  </w:r>
                                  <w:r>
                                    <w:t>,</w:t>
                                  </w:r>
                                  <w:r w:rsidRPr="00AA776B">
                                    <w:t xml:space="preserve"> in our annual advice.</w:t>
                                  </w:r>
                                </w:p>
                              </w:tc>
                            </w:tr>
                          </w:tbl>
                          <w:p w14:paraId="4135F253" w14:textId="77777777" w:rsidR="00AC1AE0" w:rsidRDefault="00AC1AE0" w:rsidP="00AC1AE0"/>
                          <w:p w14:paraId="4D9E3411" w14:textId="77777777" w:rsidR="00AC1AE0" w:rsidRDefault="00AC1AE0" w:rsidP="00AC1AE0"/>
                          <w:p w14:paraId="494048D1" w14:textId="77777777" w:rsidR="00AC1AE0" w:rsidRDefault="00AC1AE0" w:rsidP="00AC1AE0"/>
                          <w:p w14:paraId="42364F32" w14:textId="77777777" w:rsidR="00AC1AE0" w:rsidRPr="001730F4" w:rsidRDefault="00AC1AE0" w:rsidP="00AC1A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26519" id="_x0000_t202" coordsize="21600,21600" o:spt="202" path="m,l,21600r21600,l21600,xe">
                <v:stroke joinstyle="miter"/>
                <v:path gradientshapeok="t" o:connecttype="rect"/>
              </v:shapetype>
              <v:shape id="Text Box 1691267044" o:spid="_x0000_s1032" type="#_x0000_t202" alt="P72TB9#y1" style="position:absolute;margin-left:0;margin-top:0;width:472.5pt;height:713.2pt;z-index:-251658231;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left w:w="170" w:type="dxa"/>
                          <w:right w:w="170" w:type="dxa"/>
                        </w:tblCellMar>
                        <w:tblLook w:val="04A0" w:firstRow="1" w:lastRow="0" w:firstColumn="1" w:lastColumn="0" w:noHBand="0" w:noVBand="1"/>
                      </w:tblPr>
                      <w:tblGrid>
                        <w:gridCol w:w="4395"/>
                        <w:gridCol w:w="176"/>
                        <w:gridCol w:w="4567"/>
                      </w:tblGrid>
                      <w:tr w:rsidR="00AC1AE0" w14:paraId="596041CC" w14:textId="77777777" w:rsidTr="007B6941">
                        <w:tc>
                          <w:tcPr>
                            <w:tcW w:w="4571" w:type="dxa"/>
                            <w:gridSpan w:val="2"/>
                            <w:shd w:val="clear" w:color="auto" w:fill="002060"/>
                          </w:tcPr>
                          <w:p w14:paraId="668216CB" w14:textId="23EFD16B" w:rsidR="00AC1AE0" w:rsidRPr="005F4A6F" w:rsidRDefault="00A72C8E">
                            <w:pPr>
                              <w:rPr>
                                <w:b/>
                                <w:bCs/>
                              </w:rPr>
                            </w:pPr>
                            <w:r w:rsidRPr="00A72C8E">
                              <w:rPr>
                                <w:b/>
                                <w:bCs/>
                              </w:rPr>
                              <w:t>Ngā tohutohu mā ngā mana-nui</w:t>
                            </w:r>
                          </w:p>
                        </w:tc>
                        <w:tc>
                          <w:tcPr>
                            <w:tcW w:w="4567" w:type="dxa"/>
                            <w:shd w:val="clear" w:color="auto" w:fill="002060"/>
                          </w:tcPr>
                          <w:p w14:paraId="27B156EB" w14:textId="77777777" w:rsidR="00AC1AE0" w:rsidRDefault="00AC1AE0"/>
                        </w:tc>
                      </w:tr>
                      <w:tr w:rsidR="00AC1AE0" w14:paraId="28FB91D8" w14:textId="77777777">
                        <w:tc>
                          <w:tcPr>
                            <w:tcW w:w="9138" w:type="dxa"/>
                            <w:gridSpan w:val="3"/>
                            <w:shd w:val="clear" w:color="auto" w:fill="0060A1"/>
                          </w:tcPr>
                          <w:p w14:paraId="5CC91370" w14:textId="159319F8" w:rsidR="00AC1AE0" w:rsidRPr="006F32A0" w:rsidRDefault="009773D4">
                            <w:r w:rsidRPr="009773D4">
                              <w:rPr>
                                <w:b/>
                                <w:bCs/>
                                <w:color w:val="FFFFFF" w:themeColor="background1"/>
                              </w:rPr>
                              <w:t>Te horopaki ki tō mātou kupu akiaki</w:t>
                            </w:r>
                          </w:p>
                        </w:tc>
                      </w:tr>
                      <w:tr w:rsidR="00AC1AE0" w14:paraId="71437792" w14:textId="77777777">
                        <w:tc>
                          <w:tcPr>
                            <w:tcW w:w="9138" w:type="dxa"/>
                            <w:gridSpan w:val="3"/>
                            <w:shd w:val="clear" w:color="auto" w:fill="DEEAF6" w:themeFill="accent5" w:themeFillTint="33"/>
                          </w:tcPr>
                          <w:p w14:paraId="319B8B7F" w14:textId="77777777" w:rsidR="008165A1" w:rsidRDefault="008165A1" w:rsidP="00D87FE5">
                            <w:pPr>
                              <w:pStyle w:val="Bodybulletsforkeypoints"/>
                              <w:spacing w:before="50" w:after="50" w:line="252" w:lineRule="auto"/>
                              <w:ind w:left="261" w:hanging="284"/>
                              <w:contextualSpacing w:val="0"/>
                            </w:pPr>
                            <w:r>
                              <w:t>Mai i tō mātou kupu akiaki o 2024 ko te tatau ki ngā tauhemihemi kei te mākete kua hekea rawatia, e ai tā ngā matapae ō mua.</w:t>
                            </w:r>
                          </w:p>
                          <w:p w14:paraId="374354EA" w14:textId="77777777" w:rsidR="008165A1" w:rsidRDefault="008165A1" w:rsidP="00D87FE5">
                            <w:pPr>
                              <w:pStyle w:val="Bodybulletsforkeypoints"/>
                              <w:spacing w:before="50" w:after="50" w:line="252" w:lineRule="auto"/>
                              <w:ind w:left="261" w:hanging="284"/>
                              <w:contextualSpacing w:val="0"/>
                            </w:pPr>
                            <w:r>
                              <w:t>Ko te mahere whakaheke tukuwaro tuarua he hiki i tō te Kāwanatanga takohanga ki tētahi NZ ETS whai mana hei rauemi matua ki te whakaheke i ngā tukuwaro ā-motu.</w:t>
                            </w:r>
                          </w:p>
                          <w:p w14:paraId="2D1D5D51" w14:textId="77777777" w:rsidR="008165A1" w:rsidRDefault="008165A1" w:rsidP="00D87FE5">
                            <w:pPr>
                              <w:pStyle w:val="Bodybulletsforkeypoints"/>
                              <w:spacing w:before="50" w:after="50" w:line="252" w:lineRule="auto"/>
                              <w:ind w:left="261" w:hanging="284"/>
                              <w:contextualSpacing w:val="0"/>
                            </w:pPr>
                            <w:r>
                              <w:t>Kua piki te māia o te mākete ki te NZ ETS engari kei te whakaraerae tonu. Hei tā tēnei kupu akiaki he tautoko i tētahi mākete whai mana, he mārama rawa tō matapae, ka mutu, he mākete tau.</w:t>
                            </w:r>
                          </w:p>
                          <w:p w14:paraId="5A91AAC4" w14:textId="77777777" w:rsidR="008165A1" w:rsidRDefault="008165A1" w:rsidP="00D87FE5">
                            <w:pPr>
                              <w:pStyle w:val="Bodybulletsforkeypoints"/>
                              <w:spacing w:before="50" w:after="50" w:line="252" w:lineRule="auto"/>
                              <w:ind w:left="261" w:hanging="284"/>
                              <w:contextualSpacing w:val="0"/>
                            </w:pPr>
                            <w:r>
                              <w:t>Ko ētahi wāhanga o te pōhēhē kei reira tonu, pēnei i tō mātou whenua anga ki te tutuki i ngā tahua tukuwaro 2031–2035.</w:t>
                            </w:r>
                          </w:p>
                          <w:p w14:paraId="2C526D9A" w14:textId="56273890" w:rsidR="00AC1AE0" w:rsidRDefault="008165A1" w:rsidP="00D87FE5">
                            <w:pPr>
                              <w:pStyle w:val="Bodybulletsforkeypoints"/>
                              <w:spacing w:before="50" w:after="50" w:line="252" w:lineRule="auto"/>
                              <w:ind w:left="261" w:hanging="284"/>
                              <w:contextualSpacing w:val="0"/>
                            </w:pPr>
                            <w:r>
                              <w:t>Ko tō mātou kupu akiaki he aro ki te whakapūmau i te herenga hokohoko me te ritenga taura-utu, kia tākai tahi, ka mutu, he hāngai ki ngā ahunga whakaheke tukuwaro a te Kāwanatanga.</w:t>
                            </w:r>
                          </w:p>
                        </w:tc>
                      </w:tr>
                      <w:tr w:rsidR="00AC1AE0" w14:paraId="33F62C3C" w14:textId="77777777" w:rsidTr="00304E9E">
                        <w:tc>
                          <w:tcPr>
                            <w:tcW w:w="4395" w:type="dxa"/>
                            <w:shd w:val="clear" w:color="auto" w:fill="0060A1"/>
                          </w:tcPr>
                          <w:p w14:paraId="444F18F2" w14:textId="65B90F5C" w:rsidR="00AC1AE0" w:rsidRPr="006F32A0" w:rsidRDefault="007C730C">
                            <w:pPr>
                              <w:rPr>
                                <w:b/>
                                <w:bCs/>
                              </w:rPr>
                            </w:pPr>
                            <w:r w:rsidRPr="007C730C">
                              <w:rPr>
                                <w:b/>
                                <w:bCs/>
                                <w:color w:val="FFFFFF" w:themeColor="background1"/>
                              </w:rPr>
                              <w:t>Te kupu akiaki ki ngā herenga hokohoko</w:t>
                            </w:r>
                          </w:p>
                        </w:tc>
                        <w:tc>
                          <w:tcPr>
                            <w:tcW w:w="4743" w:type="dxa"/>
                            <w:gridSpan w:val="2"/>
                            <w:shd w:val="clear" w:color="auto" w:fill="2E74B5" w:themeFill="accent5" w:themeFillShade="BF"/>
                          </w:tcPr>
                          <w:p w14:paraId="297CCDF6" w14:textId="36B0348A" w:rsidR="00AC1AE0" w:rsidRPr="006F32A0" w:rsidRDefault="007B17B8">
                            <w:pPr>
                              <w:rPr>
                                <w:b/>
                                <w:bCs/>
                              </w:rPr>
                            </w:pPr>
                            <w:r w:rsidRPr="007B17B8">
                              <w:rPr>
                                <w:b/>
                                <w:bCs/>
                                <w:color w:val="FFFFFF" w:themeColor="background1"/>
                              </w:rPr>
                              <w:t>Te kupu ki ngā ritenga taura-utu</w:t>
                            </w:r>
                          </w:p>
                        </w:tc>
                      </w:tr>
                      <w:tr w:rsidR="00AC1AE0" w14:paraId="5479015B" w14:textId="77777777" w:rsidTr="00304E9E">
                        <w:tc>
                          <w:tcPr>
                            <w:tcW w:w="4395" w:type="dxa"/>
                            <w:shd w:val="clear" w:color="auto" w:fill="DEEAF6" w:themeFill="accent5" w:themeFillTint="33"/>
                          </w:tcPr>
                          <w:p w14:paraId="60AA28F9" w14:textId="77777777" w:rsidR="00E96C93" w:rsidRDefault="00E96C93" w:rsidP="00C718FC">
                            <w:pPr>
                              <w:pStyle w:val="Bodybulletsforkeypoints"/>
                              <w:spacing w:before="50" w:after="50" w:line="252" w:lineRule="auto"/>
                              <w:ind w:left="261" w:hanging="284"/>
                              <w:contextualSpacing w:val="0"/>
                            </w:pPr>
                            <w:r>
                              <w:t>Ko ngā whakahekenga tuatahi ki te tau hemihemi he tohu ka taea te hanga tauhoko anō mō te mākete, ā, kāhore tonu i ngā matapae tuatahi, me te hāngai tonu ki ngā tahua whakaheke tukuwaro.</w:t>
                            </w:r>
                          </w:p>
                          <w:p w14:paraId="7AF2C7F2" w14:textId="77777777" w:rsidR="00E96C93" w:rsidRDefault="00E96C93" w:rsidP="00C718FC">
                            <w:pPr>
                              <w:pStyle w:val="Bodybulletsforkeypoints"/>
                              <w:spacing w:before="50" w:after="50" w:line="252" w:lineRule="auto"/>
                              <w:ind w:left="261" w:hanging="284"/>
                              <w:contextualSpacing w:val="0"/>
                            </w:pPr>
                            <w:r>
                              <w:t>E whakahau ana kia kaua e rerekē ngā rahinga hokohoko o 2026 me 2027. Ki tō mātou aromatawai, kāhore e tika ana kia rerekē ngā ritenga o 2026 me 2027.</w:t>
                            </w:r>
                          </w:p>
                          <w:p w14:paraId="538A6669" w14:textId="66062996" w:rsidR="00AC1AE0" w:rsidRDefault="00E96C93" w:rsidP="00C718FC">
                            <w:pPr>
                              <w:pStyle w:val="Bodybulletsforkeypoints"/>
                              <w:spacing w:before="50" w:after="50" w:line="252" w:lineRule="auto"/>
                              <w:ind w:left="260" w:hanging="260"/>
                              <w:contextualSpacing w:val="0"/>
                            </w:pPr>
                            <w:r>
                              <w:t>Ko ngā rahinga hokohoko hou ka taea te tuku ki ngā 2028–2030, engari me tika tonu ngā utu kaupare. Mā te tuku i nga rahinga hou ka mana rānei te pīngore ki te whakarerekē i ngā panonitanga ki te matapae hemihemi, ki ngā tukuwaro rānei</w:t>
                            </w:r>
                            <w:r w:rsidR="00C718FC">
                              <w:t>.</w:t>
                            </w:r>
                          </w:p>
                        </w:tc>
                        <w:tc>
                          <w:tcPr>
                            <w:tcW w:w="4743" w:type="dxa"/>
                            <w:gridSpan w:val="2"/>
                            <w:shd w:val="clear" w:color="auto" w:fill="EBF3F9"/>
                          </w:tcPr>
                          <w:p w14:paraId="2778E24A" w14:textId="77777777" w:rsidR="00814E87" w:rsidRDefault="00814E87" w:rsidP="00657243">
                            <w:pPr>
                              <w:pStyle w:val="Bodybulletsforkeypoints"/>
                              <w:spacing w:before="50" w:after="50" w:line="252" w:lineRule="auto"/>
                              <w:ind w:left="216" w:hanging="284"/>
                              <w:contextualSpacing w:val="0"/>
                            </w:pPr>
                            <w:r>
                              <w:t>I whakahaungia ko ngā tohu utu ki te utu mākete tauraro (ARP) me te utu here tauraro (CCR) kia noho tonu ki ngā reanga o nāianei, engari tuituia anake mō te weranga utu.</w:t>
                            </w:r>
                          </w:p>
                          <w:p w14:paraId="638E0134" w14:textId="77777777" w:rsidR="00814E87" w:rsidRDefault="00814E87" w:rsidP="00657243">
                            <w:pPr>
                              <w:pStyle w:val="Bodybulletsforkeypoints"/>
                              <w:spacing w:before="50" w:after="50" w:line="252" w:lineRule="auto"/>
                              <w:ind w:left="216" w:hanging="284"/>
                              <w:contextualSpacing w:val="0"/>
                            </w:pPr>
                            <w:r>
                              <w:t>Ko ngā ritenga o te wā he rite tonu ki tō te Kāwanatanga ahunga whakaheke tukuwaro, e whakahere nei i ngā taunakitanga o te wā. Ko te taunga o te mauri tētahi tino whakahiranga, tuia ko te māia tē māro ki te NZ ETS.</w:t>
                            </w:r>
                          </w:p>
                          <w:p w14:paraId="59D11D4D" w14:textId="77777777" w:rsidR="00814E87" w:rsidRDefault="00814E87" w:rsidP="00657243">
                            <w:pPr>
                              <w:pStyle w:val="Bodybulletsforkeypoints"/>
                              <w:spacing w:before="50" w:after="50" w:line="252" w:lineRule="auto"/>
                              <w:ind w:left="216" w:hanging="284"/>
                              <w:contextualSpacing w:val="0"/>
                            </w:pPr>
                            <w:r>
                              <w:t xml:space="preserve">Kāhore he taki ki te whakaheke i te ARP, ki te inamata me te anamata. Mēnā rā he whakahekenga ARP ka werohia ngā haumi o te wā me tōna tikanga ka aro ki te tutukinga o te tahua tukuwaro </w:t>
                            </w:r>
                            <w:r w:rsidRPr="00597D47">
                              <w:t>tukuwaro</w:t>
                            </w:r>
                            <w:r>
                              <w:t>.</w:t>
                            </w:r>
                          </w:p>
                          <w:p w14:paraId="6B962EB0" w14:textId="465E0503" w:rsidR="00814E87" w:rsidRDefault="00814E87" w:rsidP="00657243">
                            <w:pPr>
                              <w:pStyle w:val="Bodybulletsforkeypoints"/>
                              <w:spacing w:before="50" w:after="50" w:line="252" w:lineRule="auto"/>
                              <w:ind w:left="216" w:hanging="284"/>
                              <w:contextualSpacing w:val="0"/>
                            </w:pPr>
                            <w:r>
                              <w:t>E taea tonutia ana te ritenga hokohoko te pā ā ngā rā e tū mai nei, engari kei te tikanga o ngā momo mahinga ka rangona ki te whakaheke tukuwaro o roto i ngā tau e tū mai nei. Ka koke tonu ki te aromatawai me te arotake i ngā taunakianga nui nei tōna kumikumi me te whai he aha ngā mea hei tutuki i te tahua tukuwaro tuatoru kei tēnei kupu akiaki mō te tau.</w:t>
                            </w:r>
                          </w:p>
                          <w:p w14:paraId="76BD3A78" w14:textId="67881B8F" w:rsidR="00AC1AE0" w:rsidRDefault="00AC1AE0" w:rsidP="00C718FC">
                            <w:pPr>
                              <w:pStyle w:val="Bodybulletsforkeypoints"/>
                              <w:numPr>
                                <w:ilvl w:val="0"/>
                                <w:numId w:val="6"/>
                              </w:numPr>
                              <w:spacing w:before="50" w:after="50" w:line="252" w:lineRule="auto"/>
                              <w:ind w:left="284" w:hanging="284"/>
                              <w:contextualSpacing w:val="0"/>
                            </w:pPr>
                            <w:r>
                              <w:t xml:space="preserve">It </w:t>
                            </w:r>
                            <w:r w:rsidRPr="00AA776B">
                              <w:t xml:space="preserve">is </w:t>
                            </w:r>
                            <w:r>
                              <w:t>possible</w:t>
                            </w:r>
                            <w:r w:rsidRPr="00AA776B">
                              <w:t xml:space="preserve"> that price control settings will need to increase in the future</w:t>
                            </w:r>
                            <w:r>
                              <w:t>, depending</w:t>
                            </w:r>
                            <w:r w:rsidRPr="00AA776B">
                              <w:t xml:space="preserve"> on the mix of actions taken to reduce emissions in coming years. We will continue to monitor and analyse the currently highly uncertain evidence about what might be needed to meet the third emissions budget</w:t>
                            </w:r>
                            <w:r>
                              <w:t>,</w:t>
                            </w:r>
                            <w:r w:rsidRPr="00AA776B">
                              <w:t xml:space="preserve"> in our annual advice.</w:t>
                            </w:r>
                          </w:p>
                        </w:tc>
                      </w:tr>
                    </w:tbl>
                    <w:p w14:paraId="4135F253" w14:textId="77777777" w:rsidR="00AC1AE0" w:rsidRDefault="00AC1AE0" w:rsidP="00AC1AE0"/>
                    <w:p w14:paraId="4D9E3411" w14:textId="77777777" w:rsidR="00AC1AE0" w:rsidRDefault="00AC1AE0" w:rsidP="00AC1AE0"/>
                    <w:p w14:paraId="494048D1" w14:textId="77777777" w:rsidR="00AC1AE0" w:rsidRDefault="00AC1AE0" w:rsidP="00AC1AE0"/>
                    <w:p w14:paraId="42364F32" w14:textId="77777777" w:rsidR="00AC1AE0" w:rsidRPr="001730F4" w:rsidRDefault="00AC1AE0" w:rsidP="00AC1AE0"/>
                  </w:txbxContent>
                </v:textbox>
                <w10:wrap type="square" anchorx="margin" anchory="margin"/>
              </v:shape>
            </w:pict>
          </mc:Fallback>
        </mc:AlternateContent>
      </w:r>
      <w:r w:rsidR="00AC1AE0">
        <w:br w:type="page"/>
      </w:r>
    </w:p>
    <w:p w14:paraId="42646413" w14:textId="11330E6B" w:rsidR="00AC1AE0" w:rsidRDefault="00EB2EB0" w:rsidP="00AC1AE0">
      <w:pPr>
        <w:pStyle w:val="Heading2nonumber"/>
      </w:pPr>
      <w:bookmarkStart w:id="3" w:name="_Toc195447211"/>
      <w:r w:rsidRPr="00EB2EB0">
        <w:lastRenderedPageBreak/>
        <w:t>Te ia o ngā kōrero ki tēnei kupu akiaki</w:t>
      </w:r>
      <w:bookmarkEnd w:id="3"/>
      <w:r w:rsidRPr="00EB2EB0">
        <w:t xml:space="preserve"> </w:t>
      </w:r>
    </w:p>
    <w:p w14:paraId="09FC34FE" w14:textId="283BB7BB" w:rsidR="001F3DF0" w:rsidRDefault="001F3DF0" w:rsidP="00AC1AE0">
      <w:r w:rsidRPr="001F3DF0">
        <w:t>Mai i tō mātou kupu akiaki 2024 kua hua mai ngā panonitanga ki te tukanga Kāwanatanga me ngā āhuatanga mākete ka whai pānga ki te whakamahinga.</w:t>
      </w:r>
    </w:p>
    <w:p w14:paraId="21735BBA" w14:textId="1BA4F91C" w:rsidR="00AC1AE0" w:rsidRPr="005B6E41" w:rsidRDefault="00AB40EA" w:rsidP="00E16CA8">
      <w:pPr>
        <w:pStyle w:val="Heading3"/>
        <w:spacing w:before="120" w:after="80"/>
        <w:rPr>
          <w:sz w:val="27"/>
          <w:szCs w:val="27"/>
        </w:rPr>
      </w:pPr>
      <w:r w:rsidRPr="005B6E41">
        <w:rPr>
          <w:sz w:val="27"/>
          <w:szCs w:val="27"/>
        </w:rPr>
        <w:t xml:space="preserve">Te hekenga o ngā tautoko hemihemi kei NZ ETS mai i tō mātou kupu akiaki 2024 </w:t>
      </w:r>
    </w:p>
    <w:p w14:paraId="3B4CD0D6" w14:textId="446ED18E" w:rsidR="00AB40EA" w:rsidRDefault="00174447" w:rsidP="00DD4D46">
      <w:pPr>
        <w:spacing w:before="0" w:line="264" w:lineRule="auto"/>
      </w:pPr>
      <w:r w:rsidRPr="00174447">
        <w:t>Mō te āheinga o NZ ETS ki te tautoko tika i ngā whakahekenga i ngā rehukino, ko te tatau o ngā tauhoko ka wātea ana ki te whakamahi ki te kaupapa me heke hoki ki tō te taunga o ngā tahua tukuwaro</w:t>
      </w:r>
    </w:p>
    <w:p w14:paraId="6F9ECE30" w14:textId="6371559C" w:rsidR="00735950" w:rsidRDefault="00735950" w:rsidP="00DD4D46">
      <w:pPr>
        <w:spacing w:line="264" w:lineRule="auto"/>
      </w:pPr>
      <w:r w:rsidRPr="00735950">
        <w:t>I te tau 2024 i tohua ko ngā nama ki ngā tauhoko ka wātea ana ki te mākete he mea tupu matomato i tō te tau kua horī, kātahi ka hua mai ngā tūraru ki te tutukinga o ngā tahua tukuwaro. I te waenga tau 2022 me te Hepetema 2023 ko tērā ‘hemihemitanga’ he tupu ki te ono tekau mā waru miriona tauhoko, inā hoki te whakapiki wawenga o ngā tauhoko i tūtohu kētia ki ngā ngāhere, i rēhitatia ki te NZ ETS.</w:t>
      </w:r>
    </w:p>
    <w:p w14:paraId="012E56DE" w14:textId="058D02C1" w:rsidR="00735950" w:rsidRDefault="00DB7760" w:rsidP="00DD4D46">
      <w:pPr>
        <w:spacing w:line="264" w:lineRule="auto"/>
      </w:pPr>
      <w:r w:rsidRPr="00DB7760">
        <w:t>I tūtohia e mātou te Kāwanatanga ko te mea anahe hei whakaheke i tēnei hemihemitanga ko te whakaheke i te rahinga o ngā tauhoko mā roto i ngā hokonga NZ ETS. Ko te whakautu a te Kāwanatanga he whakaheke i te rahinga o ngā hokohoko ka wātea ana ki te hokohoko ki te wāhanga 2025–2029.</w:t>
      </w:r>
    </w:p>
    <w:p w14:paraId="6DBDE752" w14:textId="4325A307" w:rsidR="00E55C1F" w:rsidRDefault="00E55C1F" w:rsidP="00DD4D46">
      <w:pPr>
        <w:spacing w:line="264" w:lineRule="auto"/>
      </w:pPr>
      <w:r>
        <w:t>Mai anō i tērā kupu akiaki ā matou, kua tere te whakahekenga o te hemihemitanga ki tā mātou i matapae noa, ā, ko te matapaki ināianei he wāhi koni i te rima tekau miriona tauhoko. He nui tonu ngā take e pēnei ana, ā, he iti noa ngā tauhoko i hokona ki te mākete.</w:t>
      </w:r>
      <w:r w:rsidR="00855C20">
        <w:rPr>
          <w:rStyle w:val="FootnoteReference"/>
        </w:rPr>
        <w:footnoteReference w:id="5"/>
      </w:r>
      <w:r>
        <w:t xml:space="preserve"> Ko te Tūpānga tauhoko utu kore hoki kei te matapae ia ka iti ake i tō ngā matapakinga ō mua.</w:t>
      </w:r>
      <w:r w:rsidR="00BC4DDE">
        <w:rPr>
          <w:rStyle w:val="FootnoteReference"/>
        </w:rPr>
        <w:footnoteReference w:id="6"/>
      </w:r>
      <w:r>
        <w:t xml:space="preserve"> Kua whakahou hoki tētahi panoni tukanga me te whakahoua ā mātou tikanga hei matapaki ake i te hemihemitanga.</w:t>
      </w:r>
    </w:p>
    <w:p w14:paraId="29602914" w14:textId="77777777" w:rsidR="00E55C1F" w:rsidRDefault="00E55C1F" w:rsidP="00DD4D46">
      <w:pPr>
        <w:spacing w:line="264" w:lineRule="auto"/>
      </w:pPr>
      <w:r>
        <w:t xml:space="preserve">Ka mārakerake ake ēnei panonitanga ki ngā kōnukanuka kei </w:t>
      </w:r>
      <w:r w:rsidRPr="000F207A">
        <w:rPr>
          <w:i/>
          <w:iCs/>
        </w:rPr>
        <w:t>Wāhanga 3: Te herenga utu – Unit Limits</w:t>
      </w:r>
      <w:r>
        <w:t>.</w:t>
      </w:r>
    </w:p>
    <w:p w14:paraId="5D57651B" w14:textId="44BE9DA6" w:rsidR="00162E7A" w:rsidRDefault="00642C06" w:rsidP="00E16CA8">
      <w:pPr>
        <w:pStyle w:val="Heading3"/>
        <w:spacing w:before="120" w:after="80"/>
      </w:pPr>
      <w:r w:rsidRPr="00642C06">
        <w:t>Ngā tukanga kua panonitia mai i te kupu akiaki 2024</w:t>
      </w:r>
    </w:p>
    <w:p w14:paraId="3A3ED10C" w14:textId="77777777" w:rsidR="00261480" w:rsidRDefault="00261480" w:rsidP="00592A76">
      <w:pPr>
        <w:spacing w:before="0" w:line="264" w:lineRule="auto"/>
      </w:pPr>
      <w:r>
        <w:t xml:space="preserve">I ngā tau tata nei, kua rongo nei e mātou ngā momo kei te NZ ETS. Kei roto rā o ngā whiunga o te tukunga, inā tōna kumukumu ki te mākete tiketike kei te kaupapa, he tāpiritanga ki ngā aupēhi o te whakapau kaha ki te whakatō ngahere hou. Kua rongo hoki mātou ki ngā nawe o te whiunga kei ngā unuhanga ngahere ki ngā takiwā, me te mea anō ko te NZ ETS kua kore pea e tika tana whakapoapoa i ngā hangarau tukuwaro iti ki te whakahoro me te whakarahi. </w:t>
      </w:r>
    </w:p>
    <w:p w14:paraId="16E67F58" w14:textId="77777777" w:rsidR="00261480" w:rsidRDefault="00261480" w:rsidP="00592A76">
      <w:pPr>
        <w:spacing w:line="264" w:lineRule="auto"/>
      </w:pPr>
      <w:r>
        <w:t xml:space="preserve">Kei te mahere tukuwaro tuarua a te Kāwanatanga he whakaheke i ētahi kumukumu mā te tohua tētahi mahinga ki te whakaheke tukuwaro e māro nei tōna noho ki te NZ ETS me te whakamīreirei i te takohanga a te Kāwanatanga ki te whakarauora te mana me te ihi tonu o te kaupapa. </w:t>
      </w:r>
    </w:p>
    <w:p w14:paraId="23B01F79" w14:textId="77777777" w:rsidR="00261480" w:rsidRDefault="00261480" w:rsidP="00DD4D46">
      <w:pPr>
        <w:spacing w:before="0" w:after="80" w:line="264" w:lineRule="auto"/>
      </w:pPr>
      <w:r>
        <w:lastRenderedPageBreak/>
        <w:t xml:space="preserve">Hei tētahi wāhanga, ka tau tonu ētahi kumukumu ki ngā pānga o tētahi tono panonitanga ki te tukanga NZ ETS e anga ana ki te whakahekenga tarawhiti o ngā pāmu ki te ngahere, me te āhua o tō Aotearoa tutuki i tōna takohanga ā motu 2021–2030 me tōna tahua tukuwaro tuatoru (2031–2035). </w:t>
      </w:r>
    </w:p>
    <w:p w14:paraId="297BB758" w14:textId="43F62BB2" w:rsidR="00642C06" w:rsidRDefault="00261480" w:rsidP="00DD4D46">
      <w:pPr>
        <w:spacing w:before="0" w:after="80" w:line="264" w:lineRule="auto"/>
      </w:pPr>
      <w:r>
        <w:t xml:space="preserve">Ka wānangahia ngā panonitanga tukanga mai i te wā o tō mātou kupu akiaki 2024, me ngā nawe hangahanga hei whakatika tonu, ki </w:t>
      </w:r>
      <w:r w:rsidRPr="00261480">
        <w:rPr>
          <w:i/>
          <w:iCs/>
        </w:rPr>
        <w:t>Wāhanga 2: Te hanga me te haepapa o NZ ETS</w:t>
      </w:r>
      <w:r>
        <w:t xml:space="preserve"> ki tēnei kupu akiaki.</w:t>
      </w:r>
    </w:p>
    <w:p w14:paraId="4E58C673" w14:textId="657A5F55" w:rsidR="00AC1AE0" w:rsidRDefault="0077589C" w:rsidP="005B6E41">
      <w:pPr>
        <w:pStyle w:val="Heading3"/>
        <w:spacing w:before="120" w:after="80"/>
      </w:pPr>
      <w:r w:rsidRPr="0077589C">
        <w:t xml:space="preserve">Te horopaki ā-ao </w:t>
      </w:r>
    </w:p>
    <w:p w14:paraId="4D4CDA84" w14:textId="3475DACD" w:rsidR="00064F78" w:rsidRDefault="00064F78" w:rsidP="00DD4D46">
      <w:pPr>
        <w:spacing w:before="0" w:after="80" w:line="264" w:lineRule="auto"/>
      </w:pPr>
      <w:r>
        <w:t>I te tau 2024 te rēkoata weranga rawa, inā hoki te papa ia he weranga mō tōna wā tuatahi i kitea ai te neke atu i te 1.5C, neke atu i ngā reanga o mua. Ko ngā tau 2015–2024 ngā tau tuangahura wera rawa kua rēkoata.</w:t>
      </w:r>
      <w:r w:rsidR="00AE4053" w:rsidRPr="00AE4053">
        <w:rPr>
          <w:vertAlign w:val="superscript"/>
        </w:rPr>
        <w:t>1</w:t>
      </w:r>
      <w:r>
        <w:t xml:space="preserve"> </w:t>
      </w:r>
    </w:p>
    <w:p w14:paraId="1867C7E2" w14:textId="1C4920C3" w:rsidR="00064F78" w:rsidRDefault="00064F78" w:rsidP="00DD4D46">
      <w:pPr>
        <w:spacing w:before="0" w:after="80" w:line="264" w:lineRule="auto"/>
      </w:pPr>
      <w:r>
        <w:t>Huri i te ao, ko ngā tukanga utu tukuwaro tonu te whai mana me te aro ki te 24% o ngā rehukino ki te ao (arā a Haina, te uniana o Ūropi me ētahi tino whenua kei Amerika).</w:t>
      </w:r>
    </w:p>
    <w:p w14:paraId="7D49892B" w14:textId="606BD8FB" w:rsidR="0077589C" w:rsidRDefault="00064F78" w:rsidP="00DD4D46">
      <w:pPr>
        <w:spacing w:before="0" w:after="80" w:line="264" w:lineRule="auto"/>
      </w:pPr>
      <w:r>
        <w:t>Mā te Kawenata Parī, kua herea a Aotearoa ki ngā haepapa, ki ngā tukanga hei aro ki te whakaheke i ōna ake mahinga ki te whakaheke tukuwaro ki te whenua nei. Ko ngā kaitukunga ki tāwāhi me ōna hoa hokohoko kei te hiahia ki ngā inenga hei whakaheke tukuwaro.</w:t>
      </w:r>
    </w:p>
    <w:p w14:paraId="4A9AAA11" w14:textId="77777777" w:rsidR="00C66FC4" w:rsidRDefault="00C66FC4" w:rsidP="005B6E41">
      <w:pPr>
        <w:pStyle w:val="Heading3"/>
        <w:spacing w:before="120" w:after="80"/>
      </w:pPr>
      <w:r w:rsidRPr="00C66FC4">
        <w:t xml:space="preserve">Te uiuinga </w:t>
      </w:r>
    </w:p>
    <w:p w14:paraId="2026BE8F" w14:textId="77777777" w:rsidR="007F605E" w:rsidRDefault="00145D4C" w:rsidP="00DD4D46">
      <w:pPr>
        <w:spacing w:before="0" w:after="80" w:line="264" w:lineRule="auto"/>
      </w:pPr>
      <w:r w:rsidRPr="00145D4C">
        <w:t xml:space="preserve">Ko tō mātou kupu akiaki he mea uiui ki ngā iwi, ngā kaiuru mākete, me ngā hoatāpui e whai whakaaro ana ki te NZ ETS. Ko ngā kaiuru mākete i kī mai i te ora mai anō te māia, engari i noho whakaraerae tonu ki ngā tohu o te kumikumi o roto i ngā tukanga, i ngā here rānei e pānga ana te kaupapa. Mā roto i ā mātou uiuinga ki ngā rāngai Māori, ka rongo ki te nui hoki o ngā āheinga ōhanga i wāteahia ki ngā ahungahere o roto i te NZ ETS. I rongo hoki mātou he uauatanga ki ngā whakawhiwhinga hua o te kaupapa, nā whai tonu i te ranunga kumikumi me ngā tukanga tukituki, te āhua tukutuku ki te kaupapa, me ngā āhuatanga o te kaipupuru whenua Māori taitara tokomaha. </w:t>
      </w:r>
      <w:r w:rsidRPr="007F605E">
        <w:rPr>
          <w:i/>
          <w:iCs/>
        </w:rPr>
        <w:t>Wāhanga 2: Te hanga me te haepapa o NZ ETS</w:t>
      </w:r>
      <w:r w:rsidRPr="00145D4C">
        <w:t xml:space="preserve"> he nui ake ngā whakamārama ki ngā tohu nui o ā mātou uiuinga. </w:t>
      </w:r>
    </w:p>
    <w:p w14:paraId="1A5E64DD" w14:textId="77777777" w:rsidR="00A3316E" w:rsidRDefault="00A3316E" w:rsidP="00E16CA8">
      <w:pPr>
        <w:pStyle w:val="Heading2nonumber"/>
        <w:spacing w:before="120" w:after="80"/>
      </w:pPr>
      <w:bookmarkStart w:id="4" w:name="_Toc195447212"/>
      <w:r w:rsidRPr="00A3316E">
        <w:t>Kupu akiaki ki ngā herenga tauhoko</w:t>
      </w:r>
      <w:bookmarkEnd w:id="4"/>
      <w:r w:rsidRPr="00A3316E">
        <w:t xml:space="preserve"> </w:t>
      </w:r>
    </w:p>
    <w:p w14:paraId="73D16381" w14:textId="576B5123" w:rsidR="00697E4F" w:rsidRDefault="00697E4F" w:rsidP="00DD4D46">
      <w:pPr>
        <w:spacing w:before="0" w:after="80" w:line="264" w:lineRule="auto"/>
      </w:pPr>
      <w:r w:rsidRPr="00697E4F">
        <w:t>Ko tō mātou kupu akiaki ki ngā herenga hokohoko he aro ki te whakapūmau i tō NZ ETS ritenga he hāngai ki ngā ahunga whakaheke tukuwaro a te Kāwanatanga. E aro ana ki te nunui o ngā tauhoko hemihemi kei te mākete tonu, ā, e hia hoki ngā tauhoko e matapaetia ana (hei tauira ko te tūpānga tauhoko). Ko te toenga o ngā tauhoko kei raro i taupoki tukuwaro a NZ ETS ka wātea ki te auction.</w:t>
      </w:r>
      <w:r>
        <w:rPr>
          <w:rStyle w:val="FootnoteReference"/>
        </w:rPr>
        <w:footnoteReference w:id="7"/>
      </w:r>
    </w:p>
    <w:p w14:paraId="77380409" w14:textId="18EC5843" w:rsidR="00DF0B2A" w:rsidRDefault="008515A8" w:rsidP="00DD4D46">
      <w:pPr>
        <w:spacing w:before="0" w:after="80" w:line="264" w:lineRule="auto"/>
      </w:pPr>
      <w:r w:rsidRPr="008515A8">
        <w:t xml:space="preserve">Ko te hemihemitanga (i kōrero kētia) kua heke i mua tonu i tōna terenga mai i te kupu akiaki 2024, ā, ko tōna matapae he whakaheke iho hei ngā tau e tū mai nei. Ā nā wai rā, ki te wāhanga 2026–2030 ko te Kāwanatanga he hoko i te tāpiritanga neke atu i te 14 miriona </w:t>
      </w:r>
      <w:r w:rsidRPr="008515A8">
        <w:lastRenderedPageBreak/>
        <w:t xml:space="preserve">tauhoko nei i tō ngā mea kua tonoa kētia, rawa mai nei ko te hāngai tonu ki tuarua (tirohia </w:t>
      </w:r>
      <w:r w:rsidRPr="002C5E6D">
        <w:rPr>
          <w:b/>
          <w:bCs/>
        </w:rPr>
        <w:t>Whika ES.1</w:t>
      </w:r>
      <w:r w:rsidRPr="008515A8">
        <w:t>).</w:t>
      </w:r>
    </w:p>
    <w:p w14:paraId="5F31FFB2" w14:textId="14BE5BF3" w:rsidR="006F4802" w:rsidRDefault="006F4802" w:rsidP="00DD4D46">
      <w:pPr>
        <w:spacing w:before="0" w:after="80" w:line="264" w:lineRule="auto"/>
      </w:pPr>
      <w:r>
        <w:t xml:space="preserve">E whakahau nei kia kaua e whakarerekē i ngā rahinga hokohoko o 2026 me 2027. Engari ra ko te whakahau ia, mēnā rā ka piki ngā rahinga hokohoko me tuku tae noa ki ngā tau 2028–2030, me te me hoko anahe ki ngā kauparenga utu e tika ana (he kōrero kei raro iho nei). </w:t>
      </w:r>
    </w:p>
    <w:p w14:paraId="5AA77DFF" w14:textId="42789FBB" w:rsidR="00B16E93" w:rsidRPr="000640D1" w:rsidRDefault="00B16E93" w:rsidP="00111354">
      <w:pPr>
        <w:pStyle w:val="FigureTabletitle"/>
        <w:spacing w:before="120" w:after="0"/>
        <w:rPr>
          <w:b w:val="0"/>
        </w:rPr>
      </w:pPr>
      <w:r w:rsidRPr="0085479B">
        <w:t xml:space="preserve">Whika ES.1: </w:t>
      </w:r>
      <w:r w:rsidRPr="00C811A2">
        <w:rPr>
          <w:b w:val="0"/>
        </w:rPr>
        <w:t>Te taupoki tukuwaro a NZ ETS, ngā tono hemihemi whakahekenga me ngā rahinga hokohoko 2025–2030</w:t>
      </w:r>
    </w:p>
    <w:p w14:paraId="1692459C" w14:textId="43720B7E" w:rsidR="00B16E93" w:rsidRDefault="000640D1" w:rsidP="0008221A">
      <w:pPr>
        <w:pStyle w:val="FigureTabletitle"/>
        <w:spacing w:after="60" w:line="240" w:lineRule="auto"/>
        <w:rPr>
          <w:b w:val="0"/>
        </w:rPr>
      </w:pPr>
      <w:r>
        <w:rPr>
          <w:noProof/>
        </w:rPr>
        <w:drawing>
          <wp:inline distT="0" distB="0" distL="0" distR="0" wp14:anchorId="092FB6B8" wp14:editId="5AA04530">
            <wp:extent cx="5759450" cy="3173730"/>
            <wp:effectExtent l="0" t="0" r="0" b="7620"/>
            <wp:docPr id="2104364520" name="Chart 1">
              <a:extLst xmlns:a="http://schemas.openxmlformats.org/drawingml/2006/main">
                <a:ext uri="{FF2B5EF4-FFF2-40B4-BE49-F238E27FC236}">
                  <a16:creationId xmlns:a16="http://schemas.microsoft.com/office/drawing/2014/main" id="{2CFB0B65-B414-201E-0E37-A0011E96414A}"/>
                </a:ext>
                <a:ext uri="{147F2762-F138-4A5C-976F-8EAC2B608ADB}">
                  <a16:predDERef xmlns:a16="http://schemas.microsoft.com/office/drawing/2014/main" pred="{AB594B8A-1903-C850-C2BC-0F6409D66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DA6E72" w14:textId="0485338A" w:rsidR="00B16E93" w:rsidRPr="003743A0" w:rsidRDefault="00B16E93" w:rsidP="0008221A">
      <w:pPr>
        <w:pStyle w:val="FigureTabletitle"/>
        <w:spacing w:after="60" w:line="240" w:lineRule="auto"/>
        <w:rPr>
          <w:b w:val="0"/>
        </w:rPr>
      </w:pPr>
      <w:r w:rsidRPr="003743A0">
        <w:rPr>
          <w:b w:val="0"/>
        </w:rPr>
        <w:t>Te aromatawai a te Komihana</w:t>
      </w:r>
    </w:p>
    <w:p w14:paraId="1C2B2D1A" w14:textId="77777777" w:rsidR="006F4802" w:rsidRDefault="006F4802" w:rsidP="00DD4D46">
      <w:pPr>
        <w:spacing w:after="80" w:line="264" w:lineRule="auto"/>
      </w:pPr>
      <w:r>
        <w:t>Kua arotake te āhua panoni ki ngā rahinga tauhoko 2026 me 2027, ā, kāhore e whai mana rānei. Mā te tuku i ngā inenga o tua ka tautoko hoki i te whakahaerenga ka ohorere ana, me te whai pīngoretanga ki te panoni ki ngā rerekētanga o te anamata ki ngā matapae inenga o tua, ngā tukuwaro rānei. Ko ngā rahinga hokohoko ka tae whakapiki ā te anamata mehemea he tino mahinga, engari ko ngā tauhoko ka tuku i te wā nei, tē taea te hoki mai.</w:t>
      </w:r>
    </w:p>
    <w:p w14:paraId="3F6E0554" w14:textId="77777777" w:rsidR="006F4802" w:rsidRDefault="006F4802" w:rsidP="00DD4D46">
      <w:pPr>
        <w:spacing w:before="0" w:after="80" w:line="264" w:lineRule="auto"/>
      </w:pPr>
      <w:r>
        <w:t>E whakahau nei e mātou ko ngā rahinga hokohoko nunui o ngā tau 2028–2030 me whakawaenga mō te toru tau, engari me ū ki ngā whakatau o te whakahaere pīngore. Ko ngā rahinga hokohoko e matapaetia ana ka heke anō mō muri i te 2030.</w:t>
      </w:r>
    </w:p>
    <w:p w14:paraId="03634228" w14:textId="7ACF3AE8" w:rsidR="00DF0B2A" w:rsidRDefault="006F4802" w:rsidP="00DD4D46">
      <w:pPr>
        <w:spacing w:before="0" w:after="80" w:line="264" w:lineRule="auto"/>
      </w:pPr>
      <w:r>
        <w:t xml:space="preserve">Tirohia </w:t>
      </w:r>
      <w:r w:rsidRPr="003D55A5">
        <w:rPr>
          <w:i/>
          <w:iCs/>
        </w:rPr>
        <w:t>Wāhanga 3: Te herenga utu</w:t>
      </w:r>
      <w:r>
        <w:t xml:space="preserve"> mō te roanga ake o ngā arotakenga.</w:t>
      </w:r>
    </w:p>
    <w:p w14:paraId="61A5274A" w14:textId="10690A2F" w:rsidR="00A16A89" w:rsidRDefault="00A16A89" w:rsidP="00E16CA8">
      <w:pPr>
        <w:pStyle w:val="Heading2nonumber"/>
        <w:spacing w:before="120" w:after="80"/>
      </w:pPr>
      <w:bookmarkStart w:id="5" w:name="_Toc195447213"/>
      <w:r w:rsidRPr="00A16A89">
        <w:t>Te kupu ki ngā whakaritenga taura-utu</w:t>
      </w:r>
      <w:bookmarkEnd w:id="5"/>
    </w:p>
    <w:p w14:paraId="799434C7" w14:textId="064207C1" w:rsidR="00DE0219" w:rsidRDefault="00DE0219" w:rsidP="00DD4D46">
      <w:pPr>
        <w:spacing w:before="0" w:after="80" w:line="264" w:lineRule="auto"/>
      </w:pPr>
      <w:r>
        <w:t>Ko te utu mākete tauraro (ARP), he reanga kei raro iho i ngā tauhoko tē taea te hoko ki te mākete. Ko te utu here tauraro (CCR) he utu teitei, ā, mēnā tutuki ana ki te mākete, ka tūtohua te tukunga o ngā tauhoko āpiti. Ko ngā kauparenga utu he hirahira ki te hanga me te whakatau tonu i te māia o roto i te NZ ETS, ā, e ū ai te kaupapa i tōna whakahāngai ki ngā ahunga whakaheke tukuwaro a te Kāwanatanga.</w:t>
      </w:r>
    </w:p>
    <w:p w14:paraId="45B9B765" w14:textId="77777777" w:rsidR="00DE0219" w:rsidRDefault="00DE0219" w:rsidP="00DD4D46">
      <w:pPr>
        <w:spacing w:before="0" w:after="80" w:line="264" w:lineRule="auto"/>
      </w:pPr>
      <w:r>
        <w:t>Ko tō mātou kupu akiaki, mō te wā nei, ko ngā utu o te ARP me te CCR me noho ki ngā reanga o nāianei, ā, me panoni noa ki te weranga anake. He tino take kia tau te noho i tēnei wā inā hoki te māia o ngā mākete tukuwaro he whakaraerae.</w:t>
      </w:r>
    </w:p>
    <w:p w14:paraId="00BD81E0" w14:textId="2D236148" w:rsidR="00DE0219" w:rsidRDefault="00DE0219" w:rsidP="00DD4D46">
      <w:pPr>
        <w:spacing w:before="0" w:after="80" w:line="264" w:lineRule="auto"/>
      </w:pPr>
      <w:r>
        <w:lastRenderedPageBreak/>
        <w:t xml:space="preserve">Hei te anamata pea whakapiki ake te ARP me te CCR, engari kei te āhua o te whānui o ngā whakahekenga tatau rehukino katoa me whai ki te tutuki i te tuatoru o ngā tahua tukuwaro. Ki ētahi horopaki, ko ngā utu tauhoko me nui kē atu hei tautoko i te whakaurunga rawa e tika ana ki te whakaheke tukunga rehukino. Ka tino titiro mātou ki ngā tūtohu hei roto i ngā tau e tū mai nei, me te whai wāhi rānei ki ngā reanga utu ARP me te CCR e hāngai tonu ai ki </w:t>
      </w:r>
      <w:r w:rsidRPr="00D00AA7">
        <w:t xml:space="preserve">te </w:t>
      </w:r>
      <w:r w:rsidR="00ED0F45" w:rsidRPr="00D00AA7">
        <w:t>tuatoru</w:t>
      </w:r>
      <w:r w:rsidRPr="00D00AA7">
        <w:t xml:space="preserve"> o ngā tahua</w:t>
      </w:r>
      <w:r>
        <w:t xml:space="preserve"> tukuwaro me te takohanga ā-motu tuarua (2031–2035).</w:t>
      </w:r>
    </w:p>
    <w:p w14:paraId="012C1C3C" w14:textId="77777777" w:rsidR="00DE0219" w:rsidRDefault="00DE0219" w:rsidP="00DD4D46">
      <w:pPr>
        <w:spacing w:before="0" w:after="80" w:line="264" w:lineRule="auto"/>
      </w:pPr>
      <w:r>
        <w:t xml:space="preserve">Ka taea te kite kāore tonu he take ki te whakaheke i te ARP, i tēnei wā ā haere ake nei. Kua rongo i ngā kaiuru mākete, i roto o 2024, he tohua ake i tō te Kāwanatanga whakaheke i te ARP e whakapaua ana ki te kumi kino me te iti o ngā utu ki ngā tauhoko, ka mutu, te aukati i ngā mākete NZ ETS. Ko ngā tohu hou ki te whakahekenga rā pea ki te ARP te tūpono rā ka pākarukaru ake te māiatanga ki te mākete. Mā te whakaheke i te ARP ka tāmi ngā utunga rawa ki te whakaheke tukuwaro, ā, he whakahere i ngā toa ki ngā ahunga āhuarangi o te Kāwanatanga ki te raru. </w:t>
      </w:r>
    </w:p>
    <w:p w14:paraId="0F59F8A5" w14:textId="1443E392" w:rsidR="00A16A89" w:rsidRDefault="00DE0219" w:rsidP="00DD4D46">
      <w:pPr>
        <w:spacing w:before="0" w:after="80" w:line="264" w:lineRule="auto"/>
      </w:pPr>
      <w:r>
        <w:t xml:space="preserve">Tirohia </w:t>
      </w:r>
      <w:r w:rsidRPr="00CE1045">
        <w:rPr>
          <w:i/>
          <w:iCs/>
        </w:rPr>
        <w:t>Wāhanga 4: Te ritenga taura-utu</w:t>
      </w:r>
      <w:r>
        <w:t xml:space="preserve"> ki te roanga ake o tō tātou aromatawai.</w:t>
      </w:r>
    </w:p>
    <w:p w14:paraId="31E88922" w14:textId="2D732885" w:rsidR="001827E7" w:rsidRDefault="001827E7" w:rsidP="00E16CA8">
      <w:pPr>
        <w:pStyle w:val="Heading2nonumber"/>
        <w:spacing w:before="120" w:after="80"/>
      </w:pPr>
      <w:bookmarkStart w:id="6" w:name="_Toc195447214"/>
      <w:r w:rsidRPr="001827E7">
        <w:t>Te whakahāngai i ngā ritenga ki ngā ahunga whakaheke tukuwaro</w:t>
      </w:r>
      <w:bookmarkEnd w:id="6"/>
    </w:p>
    <w:p w14:paraId="4FF71CF4" w14:textId="77777777" w:rsidR="00966722" w:rsidRDefault="00966722" w:rsidP="00DD4D46">
      <w:pPr>
        <w:spacing w:before="0" w:after="80" w:line="264" w:lineRule="auto"/>
      </w:pPr>
      <w:r>
        <w:t xml:space="preserve">Ko Te Ture Urupare ki te Āhuarangi 2002 me aro ki te herenga hokohoko me ngā ritenga taura-utu kua whakahaungia e ngā tahua tukuwaro, ngā takohanga ā-motu (NDCs), me te ahunga 2025. Ki tēnei aronga, ko o mātou whakahau he tākai maha. Ko o mātou whakahau mā te herenga hokohoko he tau tonu ki te ritenga taura-utu e whakamahingia ana. Ko ngā panonitanga ki te ritenga taura-utu ka whai tūraru ki ngā ritenga herenga hokohoko, ā e rua, e rua. E tukutukungia ana ngā ritenga me te hiahia kia ngātahi te aronga ki a rāua anō. </w:t>
      </w:r>
    </w:p>
    <w:p w14:paraId="561EA46A" w14:textId="77777777" w:rsidR="00966722" w:rsidRDefault="00966722" w:rsidP="00DD4D46">
      <w:pPr>
        <w:spacing w:before="0" w:after="80" w:line="264" w:lineRule="auto"/>
      </w:pPr>
      <w:r>
        <w:t xml:space="preserve">Ko ō mātou whakahau he whai i te ritenga ki te ahunga 2050, te tuarua me te tuatoru o ngā tahua tukuwaro, me te tuatahi me te tuarua o ngā takohanga ā-motu. </w:t>
      </w:r>
    </w:p>
    <w:p w14:paraId="7096664C" w14:textId="77777777" w:rsidR="00966722" w:rsidRDefault="00966722" w:rsidP="00DD4D46">
      <w:pPr>
        <w:spacing w:before="0" w:after="80" w:line="264" w:lineRule="auto"/>
      </w:pPr>
      <w:r>
        <w:t>Ko ngā matapae a te Kāwanatanga he whakaatu i te tutuki o te NDC tuatahi ki te whiwhi i te takohanga 84–89 MtCO</w:t>
      </w:r>
      <w:r w:rsidRPr="00B4059E">
        <w:rPr>
          <w:vertAlign w:val="subscript"/>
        </w:rPr>
        <w:t>2</w:t>
      </w:r>
      <w:r>
        <w:t>e mai i ngā tikahanga o whenua kē. Kua whakatauria te Kāwanatanga tōna kuhunga ki whakaaro matua kia whakaheke i ngā tukuwaro o te whenua nei, rawa atu ko te kuhunga ki te whiwhi i ngā tikahanga o tāwahi hei whakapiri tonu mai i ngā tahua tukuwaro ki tō mātou NDC tuatahi. Ko o mātou whakahau ki tēnei kupu akiaki he hukihuki, engari mā te Kāwanatanga tonu te tikanga mena ka ū.</w:t>
      </w:r>
    </w:p>
    <w:p w14:paraId="663D500A" w14:textId="54DF721C" w:rsidR="001827E7" w:rsidRDefault="00966722" w:rsidP="00DD4D46">
      <w:pPr>
        <w:spacing w:before="0" w:after="80" w:line="264" w:lineRule="auto"/>
      </w:pPr>
      <w:r w:rsidRPr="00AA5923">
        <w:rPr>
          <w:i/>
          <w:iCs/>
        </w:rPr>
        <w:t>Tūhanga 3: Te aromatawai i te kawenata</w:t>
      </w:r>
      <w:r>
        <w:t xml:space="preserve">, he kupu tūmatanui ki tō mātou pae tukutuku, kei reira te roanga ake </w:t>
      </w:r>
      <w:r w:rsidRPr="0029228C">
        <w:t>o o</w:t>
      </w:r>
      <w:r>
        <w:t xml:space="preserve"> mātou mahi kawenata ki ngā tahua tukuwaro, ngā takohanga ā-motu me te ahunga 2050.</w:t>
      </w:r>
    </w:p>
    <w:p w14:paraId="72886742" w14:textId="30566037" w:rsidR="00A26C08" w:rsidRDefault="00A26C08" w:rsidP="00E16CA8">
      <w:pPr>
        <w:pStyle w:val="Heading2nonumber"/>
        <w:spacing w:before="120" w:after="80"/>
      </w:pPr>
      <w:bookmarkStart w:id="7" w:name="_Toc195447215"/>
      <w:r w:rsidRPr="00A26C08">
        <w:t>Ka ahatia ngā whakaritenga o NZ ETS?</w:t>
      </w:r>
      <w:bookmarkEnd w:id="7"/>
    </w:p>
    <w:p w14:paraId="0A411F9E" w14:textId="77777777" w:rsidR="00C843CC" w:rsidRDefault="00C843CC" w:rsidP="00DD4D46">
      <w:pPr>
        <w:spacing w:before="0" w:after="80" w:line="264" w:lineRule="auto"/>
      </w:pPr>
      <w:r>
        <w:t>Ko tēnei kupu akiaki he whatanuku tata anō ki te ara whānui hei whakahou noa i ngā whakaritenga NZ ETS.</w:t>
      </w:r>
    </w:p>
    <w:p w14:paraId="7F66A991" w14:textId="7B7F51FB" w:rsidR="00C843CC" w:rsidRDefault="00C843CC" w:rsidP="00DD4D46">
      <w:pPr>
        <w:spacing w:before="0" w:after="80" w:line="264" w:lineRule="auto"/>
      </w:pPr>
      <w:r>
        <w:t xml:space="preserve">Ka wānangai te Kāwanatanga tō mātou kupu akiaki me te whai uiuinga ki ngā tono, me tō mātou e mōhio nei, ka ārahina te Manatu Taiao te kaupapa mā </w:t>
      </w:r>
      <w:r w:rsidRPr="00D86727">
        <w:t xml:space="preserve">te Minita </w:t>
      </w:r>
      <w:r w:rsidR="004A40AA" w:rsidRPr="004A40AA">
        <w:t>Hurirangi</w:t>
      </w:r>
      <w:r w:rsidRPr="00D86727">
        <w:t xml:space="preserve"> </w:t>
      </w:r>
      <w:r>
        <w:t xml:space="preserve">tonu ki te koata tuarua o 2025. Me whai te Kāwanatanga ki te whakatau ngā herenga hokohoko me ngā ritenga taura-utu mō NZ ETS mō mua tonu i ngā ture ka whakahoungia ā te 30 o Hepetema 2025. Ka tau ngā whakaritenga hou ā te 1 o Hanuere 2026. </w:t>
      </w:r>
    </w:p>
    <w:p w14:paraId="51B3BFA6" w14:textId="20841038" w:rsidR="00C843CC" w:rsidRDefault="00C843CC" w:rsidP="00DD4D46">
      <w:pPr>
        <w:spacing w:before="0" w:after="80" w:line="264" w:lineRule="auto"/>
      </w:pPr>
      <w:r>
        <w:lastRenderedPageBreak/>
        <w:t>E matapaetia ana ka hoatu i te kupu akiaki hou ki tēnei take, mō te wāhanga 2027–2031, ki te koata tuatahi o 2026.</w:t>
      </w:r>
    </w:p>
    <w:p w14:paraId="17379FED" w14:textId="385D79F3" w:rsidR="0065119B" w:rsidRDefault="0065119B" w:rsidP="00E9780D">
      <w:pPr>
        <w:pStyle w:val="Heading2nonumber"/>
        <w:spacing w:before="240"/>
      </w:pPr>
      <w:bookmarkStart w:id="8" w:name="_Toc195447216"/>
      <w:r w:rsidRPr="0065119B">
        <w:t>Ngā whakahau me ngā tono rahinga hokohoko</w:t>
      </w:r>
      <w:bookmarkEnd w:id="8"/>
    </w:p>
    <w:p w14:paraId="7CE36479" w14:textId="1290535C" w:rsidR="0065119B" w:rsidRDefault="009D1856" w:rsidP="009D1856">
      <w:pPr>
        <w:pStyle w:val="Heading3"/>
      </w:pPr>
      <w:r w:rsidRPr="009D1856">
        <w:t>Ngā tono rahinga tauhoko</w:t>
      </w:r>
    </w:p>
    <w:tbl>
      <w:tblPr>
        <w:tblStyle w:val="GridTable5Dark-Accent5"/>
        <w:tblW w:w="5004" w:type="pct"/>
        <w:tblLayout w:type="fixed"/>
        <w:tblCellMar>
          <w:left w:w="170" w:type="dxa"/>
          <w:right w:w="170" w:type="dxa"/>
        </w:tblCellMar>
        <w:tblLook w:val="04A0" w:firstRow="1" w:lastRow="0" w:firstColumn="1" w:lastColumn="0" w:noHBand="0" w:noVBand="1"/>
      </w:tblPr>
      <w:tblGrid>
        <w:gridCol w:w="3539"/>
        <w:gridCol w:w="994"/>
        <w:gridCol w:w="994"/>
        <w:gridCol w:w="1132"/>
        <w:gridCol w:w="1135"/>
        <w:gridCol w:w="1273"/>
      </w:tblGrid>
      <w:tr w:rsidR="00AC1AE0" w:rsidRPr="00E5068E" w14:paraId="35C39EE5" w14:textId="77777777" w:rsidTr="009D1856">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952" w:type="pct"/>
            <w:shd w:val="clear" w:color="auto" w:fill="002060"/>
            <w:vAlign w:val="center"/>
          </w:tcPr>
          <w:p w14:paraId="40C88186" w14:textId="77777777" w:rsidR="00AC1AE0" w:rsidRPr="00E5068E" w:rsidRDefault="00AC1AE0">
            <w:pPr>
              <w:pStyle w:val="Tableheading"/>
              <w:spacing w:before="0" w:line="240" w:lineRule="auto"/>
              <w:jc w:val="center"/>
              <w:rPr>
                <w:bCs/>
                <w:sz w:val="20"/>
                <w:szCs w:val="20"/>
              </w:rPr>
            </w:pPr>
          </w:p>
        </w:tc>
        <w:tc>
          <w:tcPr>
            <w:tcW w:w="1096" w:type="pct"/>
            <w:gridSpan w:val="2"/>
            <w:shd w:val="clear" w:color="auto" w:fill="002060"/>
            <w:vAlign w:val="center"/>
          </w:tcPr>
          <w:p w14:paraId="671DCC1E" w14:textId="2B97366E" w:rsidR="00AC1AE0" w:rsidRPr="00E5068E" w:rsidRDefault="00D16286">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E5068E">
              <w:t xml:space="preserve">Kāhore he panonitanga </w:t>
            </w:r>
          </w:p>
        </w:tc>
        <w:tc>
          <w:tcPr>
            <w:tcW w:w="1250" w:type="pct"/>
            <w:gridSpan w:val="2"/>
            <w:shd w:val="clear" w:color="auto" w:fill="002060"/>
            <w:vAlign w:val="center"/>
          </w:tcPr>
          <w:p w14:paraId="7D2C7DF3" w14:textId="1FAECF2C" w:rsidR="00AC1AE0" w:rsidRPr="00E5068E" w:rsidRDefault="00813916">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E5068E">
              <w:t xml:space="preserve">Ngā whakahau </w:t>
            </w:r>
          </w:p>
        </w:tc>
        <w:tc>
          <w:tcPr>
            <w:tcW w:w="702" w:type="pct"/>
            <w:shd w:val="clear" w:color="auto" w:fill="002060"/>
            <w:vAlign w:val="center"/>
          </w:tcPr>
          <w:p w14:paraId="2EE8D86D" w14:textId="7101482C" w:rsidR="00AC1AE0" w:rsidRPr="00E5068E" w:rsidRDefault="004F4DE9">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E5068E">
              <w:t>Ngā mea hou</w:t>
            </w:r>
          </w:p>
        </w:tc>
      </w:tr>
      <w:tr w:rsidR="00AC1AE0" w:rsidRPr="005A6290" w14:paraId="05B8C1ED" w14:textId="77777777" w:rsidTr="009D185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952" w:type="pct"/>
            <w:shd w:val="clear" w:color="auto" w:fill="002060"/>
            <w:vAlign w:val="center"/>
          </w:tcPr>
          <w:p w14:paraId="2CB3941B" w14:textId="4170F3FC" w:rsidR="00AC1AE0" w:rsidRPr="0064788A" w:rsidRDefault="00D80C07">
            <w:pPr>
              <w:pStyle w:val="Tableparagraphwhite"/>
              <w:jc w:val="left"/>
            </w:pPr>
            <w:r w:rsidRPr="00D80C07">
              <w:t xml:space="preserve">Tauhoko miriona </w:t>
            </w:r>
          </w:p>
        </w:tc>
        <w:tc>
          <w:tcPr>
            <w:tcW w:w="548" w:type="pct"/>
            <w:shd w:val="clear" w:color="auto" w:fill="002060"/>
            <w:vAlign w:val="center"/>
          </w:tcPr>
          <w:p w14:paraId="00458C48" w14:textId="77777777" w:rsidR="00AC1AE0" w:rsidRPr="005C5B1E" w:rsidRDefault="00AC1AE0">
            <w:pPr>
              <w:pStyle w:val="TableParagraph"/>
              <w:cnfStyle w:val="000000100000" w:firstRow="0" w:lastRow="0" w:firstColumn="0" w:lastColumn="0" w:oddVBand="0" w:evenVBand="0" w:oddHBand="1" w:evenHBand="0" w:firstRowFirstColumn="0" w:firstRowLastColumn="0" w:lastRowFirstColumn="0" w:lastRowLastColumn="0"/>
              <w:rPr>
                <w:color w:val="FFFFFF" w:themeColor="background1"/>
              </w:rPr>
            </w:pPr>
            <w:r w:rsidRPr="005C5B1E">
              <w:rPr>
                <w:color w:val="FFFFFF" w:themeColor="background1"/>
              </w:rPr>
              <w:t>2026</w:t>
            </w:r>
          </w:p>
        </w:tc>
        <w:tc>
          <w:tcPr>
            <w:tcW w:w="548" w:type="pct"/>
            <w:shd w:val="clear" w:color="auto" w:fill="002060"/>
            <w:vAlign w:val="center"/>
          </w:tcPr>
          <w:p w14:paraId="072349AD" w14:textId="77777777" w:rsidR="00AC1AE0" w:rsidRPr="005C5B1E" w:rsidRDefault="00AC1AE0">
            <w:pPr>
              <w:pStyle w:val="TableParagraph"/>
              <w:cnfStyle w:val="000000100000" w:firstRow="0" w:lastRow="0" w:firstColumn="0" w:lastColumn="0" w:oddVBand="0" w:evenVBand="0" w:oddHBand="1" w:evenHBand="0" w:firstRowFirstColumn="0" w:firstRowLastColumn="0" w:lastRowFirstColumn="0" w:lastRowLastColumn="0"/>
              <w:rPr>
                <w:color w:val="FFFFFF" w:themeColor="background1"/>
              </w:rPr>
            </w:pPr>
            <w:r w:rsidRPr="005C5B1E">
              <w:rPr>
                <w:color w:val="FFFFFF" w:themeColor="background1"/>
              </w:rPr>
              <w:t>2027</w:t>
            </w:r>
          </w:p>
        </w:tc>
        <w:tc>
          <w:tcPr>
            <w:tcW w:w="624" w:type="pct"/>
            <w:shd w:val="clear" w:color="auto" w:fill="002060"/>
            <w:vAlign w:val="center"/>
          </w:tcPr>
          <w:p w14:paraId="6FCE2912" w14:textId="77777777" w:rsidR="00AC1AE0" w:rsidRPr="005C5B1E" w:rsidRDefault="00AC1AE0">
            <w:pPr>
              <w:pStyle w:val="TableParagraph"/>
              <w:cnfStyle w:val="000000100000" w:firstRow="0" w:lastRow="0" w:firstColumn="0" w:lastColumn="0" w:oddVBand="0" w:evenVBand="0" w:oddHBand="1" w:evenHBand="0" w:firstRowFirstColumn="0" w:firstRowLastColumn="0" w:lastRowFirstColumn="0" w:lastRowLastColumn="0"/>
              <w:rPr>
                <w:color w:val="FFFFFF" w:themeColor="background1"/>
              </w:rPr>
            </w:pPr>
            <w:r w:rsidRPr="005C5B1E">
              <w:rPr>
                <w:color w:val="FFFFFF" w:themeColor="background1"/>
              </w:rPr>
              <w:t>2028</w:t>
            </w:r>
          </w:p>
        </w:tc>
        <w:tc>
          <w:tcPr>
            <w:tcW w:w="626" w:type="pct"/>
            <w:shd w:val="clear" w:color="auto" w:fill="002060"/>
            <w:vAlign w:val="center"/>
          </w:tcPr>
          <w:p w14:paraId="530A7ABC" w14:textId="77777777" w:rsidR="00AC1AE0" w:rsidRPr="005C5B1E" w:rsidRDefault="00AC1AE0">
            <w:pPr>
              <w:pStyle w:val="TableParagraph"/>
              <w:cnfStyle w:val="000000100000" w:firstRow="0" w:lastRow="0" w:firstColumn="0" w:lastColumn="0" w:oddVBand="0" w:evenVBand="0" w:oddHBand="1" w:evenHBand="0" w:firstRowFirstColumn="0" w:firstRowLastColumn="0" w:lastRowFirstColumn="0" w:lastRowLastColumn="0"/>
              <w:rPr>
                <w:color w:val="FFFFFF" w:themeColor="background1"/>
              </w:rPr>
            </w:pPr>
            <w:r w:rsidRPr="005C5B1E">
              <w:rPr>
                <w:color w:val="FFFFFF" w:themeColor="background1"/>
              </w:rPr>
              <w:t>2029</w:t>
            </w:r>
          </w:p>
        </w:tc>
        <w:tc>
          <w:tcPr>
            <w:tcW w:w="702" w:type="pct"/>
            <w:shd w:val="clear" w:color="auto" w:fill="002060"/>
            <w:vAlign w:val="center"/>
          </w:tcPr>
          <w:p w14:paraId="54135BE2" w14:textId="77777777" w:rsidR="00AC1AE0" w:rsidRPr="005C5B1E" w:rsidRDefault="00AC1AE0">
            <w:pPr>
              <w:pStyle w:val="TableParagraph"/>
              <w:cnfStyle w:val="000000100000" w:firstRow="0" w:lastRow="0" w:firstColumn="0" w:lastColumn="0" w:oddVBand="0" w:evenVBand="0" w:oddHBand="1" w:evenHBand="0" w:firstRowFirstColumn="0" w:firstRowLastColumn="0" w:lastRowFirstColumn="0" w:lastRowLastColumn="0"/>
              <w:rPr>
                <w:color w:val="FFFFFF" w:themeColor="background1"/>
              </w:rPr>
            </w:pPr>
            <w:r w:rsidRPr="005C5B1E">
              <w:rPr>
                <w:color w:val="FFFFFF" w:themeColor="background1"/>
              </w:rPr>
              <w:t>2030</w:t>
            </w:r>
          </w:p>
        </w:tc>
      </w:tr>
      <w:tr w:rsidR="00AC1AE0" w:rsidRPr="0091207A" w14:paraId="43E29C54" w14:textId="77777777" w:rsidTr="009D1856">
        <w:trPr>
          <w:trHeight w:val="624"/>
        </w:trPr>
        <w:tc>
          <w:tcPr>
            <w:cnfStyle w:val="001000000000" w:firstRow="0" w:lastRow="0" w:firstColumn="1" w:lastColumn="0" w:oddVBand="0" w:evenVBand="0" w:oddHBand="0" w:evenHBand="0" w:firstRowFirstColumn="0" w:firstRowLastColumn="0" w:lastRowFirstColumn="0" w:lastRowLastColumn="0"/>
            <w:tcW w:w="1952" w:type="pct"/>
            <w:shd w:val="clear" w:color="auto" w:fill="D4E8DE"/>
            <w:vAlign w:val="center"/>
          </w:tcPr>
          <w:p w14:paraId="1BF445E4" w14:textId="512BAEEA" w:rsidR="00AC1AE0" w:rsidRPr="00E2638B" w:rsidRDefault="00C37F0D">
            <w:pPr>
              <w:pStyle w:val="TableParagraph"/>
              <w:jc w:val="left"/>
              <w:rPr>
                <w:b w:val="0"/>
                <w:bCs w:val="0"/>
              </w:rPr>
            </w:pPr>
            <w:r w:rsidRPr="00C37F0D">
              <w:rPr>
                <w:b w:val="0"/>
                <w:bCs w:val="0"/>
              </w:rPr>
              <w:t>NZU rahinga mākete (atu i ngā rahinga utu here tauraro)</w:t>
            </w:r>
          </w:p>
        </w:tc>
        <w:tc>
          <w:tcPr>
            <w:tcW w:w="548" w:type="pct"/>
            <w:shd w:val="clear" w:color="auto" w:fill="E9F5F2"/>
            <w:vAlign w:val="center"/>
          </w:tcPr>
          <w:p w14:paraId="0529F66D"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pPr>
            <w:r w:rsidRPr="00917EAA">
              <w:t>5.2</w:t>
            </w:r>
          </w:p>
        </w:tc>
        <w:tc>
          <w:tcPr>
            <w:tcW w:w="548" w:type="pct"/>
            <w:shd w:val="clear" w:color="auto" w:fill="E9F5F2"/>
            <w:vAlign w:val="center"/>
          </w:tcPr>
          <w:p w14:paraId="35DF68B9"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pPr>
            <w:r w:rsidRPr="00917EAA">
              <w:t>4.3</w:t>
            </w:r>
          </w:p>
        </w:tc>
        <w:tc>
          <w:tcPr>
            <w:tcW w:w="624" w:type="pct"/>
            <w:shd w:val="clear" w:color="auto" w:fill="E9F5F2"/>
            <w:vAlign w:val="center"/>
          </w:tcPr>
          <w:p w14:paraId="56C152BA"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pPr>
            <w:r w:rsidRPr="00917EAA">
              <w:t xml:space="preserve">7.0 </w:t>
            </w:r>
          </w:p>
        </w:tc>
        <w:tc>
          <w:tcPr>
            <w:tcW w:w="626" w:type="pct"/>
            <w:shd w:val="clear" w:color="auto" w:fill="E9F5F2"/>
            <w:vAlign w:val="center"/>
          </w:tcPr>
          <w:p w14:paraId="518F9B63"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pPr>
            <w:r w:rsidRPr="00917EAA">
              <w:t xml:space="preserve">7.0 </w:t>
            </w:r>
          </w:p>
        </w:tc>
        <w:tc>
          <w:tcPr>
            <w:tcW w:w="702" w:type="pct"/>
            <w:shd w:val="clear" w:color="auto" w:fill="D4E8DE"/>
            <w:vAlign w:val="center"/>
          </w:tcPr>
          <w:p w14:paraId="0D48FB6F"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pPr>
            <w:r w:rsidRPr="00917EAA">
              <w:t xml:space="preserve">7.0 </w:t>
            </w:r>
          </w:p>
        </w:tc>
      </w:tr>
    </w:tbl>
    <w:p w14:paraId="67941589" w14:textId="1FF41A30" w:rsidR="00AC1AE0" w:rsidRDefault="007E3336" w:rsidP="00AC1AE0">
      <w:pPr>
        <w:pStyle w:val="Heading3"/>
      </w:pPr>
      <w:r w:rsidRPr="007E3336">
        <w:t>Te whakahau herenga hokohoko me te ritenga hokohoko</w:t>
      </w:r>
    </w:p>
    <w:tbl>
      <w:tblPr>
        <w:tblStyle w:val="GridTable5Dark-Accent5"/>
        <w:tblW w:w="5000" w:type="pct"/>
        <w:tblLayout w:type="fixed"/>
        <w:tblCellMar>
          <w:left w:w="113" w:type="dxa"/>
          <w:right w:w="113" w:type="dxa"/>
        </w:tblCellMar>
        <w:tblLook w:val="04A0" w:firstRow="1" w:lastRow="0" w:firstColumn="1" w:lastColumn="0" w:noHBand="0" w:noVBand="1"/>
      </w:tblPr>
      <w:tblGrid>
        <w:gridCol w:w="3540"/>
        <w:gridCol w:w="991"/>
        <w:gridCol w:w="964"/>
        <w:gridCol w:w="1163"/>
        <w:gridCol w:w="1134"/>
        <w:gridCol w:w="1268"/>
      </w:tblGrid>
      <w:tr w:rsidR="00AC1AE0" w:rsidRPr="00E5068E" w14:paraId="2ACD40C4" w14:textId="77777777">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953" w:type="pct"/>
            <w:shd w:val="clear" w:color="auto" w:fill="002060"/>
            <w:vAlign w:val="center"/>
          </w:tcPr>
          <w:p w14:paraId="370B0C80" w14:textId="77777777" w:rsidR="00AC1AE0" w:rsidRPr="00E5068E" w:rsidRDefault="00AC1AE0">
            <w:pPr>
              <w:pStyle w:val="Tableparagraphwhite"/>
              <w:rPr>
                <w:b/>
                <w:bCs/>
              </w:rPr>
            </w:pPr>
          </w:p>
        </w:tc>
        <w:tc>
          <w:tcPr>
            <w:tcW w:w="1079" w:type="pct"/>
            <w:gridSpan w:val="2"/>
            <w:shd w:val="clear" w:color="auto" w:fill="002060"/>
            <w:vAlign w:val="center"/>
          </w:tcPr>
          <w:p w14:paraId="3DEB5B46" w14:textId="067C7B65" w:rsidR="00AC1AE0" w:rsidRPr="00E5068E" w:rsidRDefault="00D16286">
            <w:pPr>
              <w:pStyle w:val="Tableparagraphwhite"/>
              <w:cnfStyle w:val="100000000000" w:firstRow="1" w:lastRow="0" w:firstColumn="0" w:lastColumn="0" w:oddVBand="0" w:evenVBand="0" w:oddHBand="0" w:evenHBand="0" w:firstRowFirstColumn="0" w:firstRowLastColumn="0" w:lastRowFirstColumn="0" w:lastRowLastColumn="0"/>
              <w:rPr>
                <w:b/>
                <w:bCs/>
              </w:rPr>
            </w:pPr>
            <w:r w:rsidRPr="00E5068E">
              <w:rPr>
                <w:b/>
                <w:bCs/>
              </w:rPr>
              <w:t>Kāhore he panonitanga</w:t>
            </w:r>
          </w:p>
        </w:tc>
        <w:tc>
          <w:tcPr>
            <w:tcW w:w="1268" w:type="pct"/>
            <w:gridSpan w:val="2"/>
            <w:shd w:val="clear" w:color="auto" w:fill="002060"/>
            <w:vAlign w:val="center"/>
          </w:tcPr>
          <w:p w14:paraId="09195EEE" w14:textId="29A3915D" w:rsidR="00AC1AE0" w:rsidRPr="00E5068E" w:rsidRDefault="007E4CFF">
            <w:pPr>
              <w:pStyle w:val="Tableparagraphwhite"/>
              <w:cnfStyle w:val="100000000000" w:firstRow="1" w:lastRow="0" w:firstColumn="0" w:lastColumn="0" w:oddVBand="0" w:evenVBand="0" w:oddHBand="0" w:evenHBand="0" w:firstRowFirstColumn="0" w:firstRowLastColumn="0" w:lastRowFirstColumn="0" w:lastRowLastColumn="0"/>
              <w:rPr>
                <w:b/>
                <w:bCs/>
              </w:rPr>
            </w:pPr>
            <w:r w:rsidRPr="00E5068E">
              <w:rPr>
                <w:b/>
                <w:bCs/>
              </w:rPr>
              <w:t>Ngā whakahau</w:t>
            </w:r>
          </w:p>
        </w:tc>
        <w:tc>
          <w:tcPr>
            <w:tcW w:w="700" w:type="pct"/>
            <w:shd w:val="clear" w:color="auto" w:fill="002060"/>
            <w:vAlign w:val="center"/>
          </w:tcPr>
          <w:p w14:paraId="2D5B836A" w14:textId="677AB42D" w:rsidR="00AC1AE0" w:rsidRPr="00E5068E" w:rsidRDefault="004F4DE9">
            <w:pPr>
              <w:pStyle w:val="Tableparagraphwhite"/>
              <w:cnfStyle w:val="100000000000" w:firstRow="1" w:lastRow="0" w:firstColumn="0" w:lastColumn="0" w:oddVBand="0" w:evenVBand="0" w:oddHBand="0" w:evenHBand="0" w:firstRowFirstColumn="0" w:firstRowLastColumn="0" w:lastRowFirstColumn="0" w:lastRowLastColumn="0"/>
              <w:rPr>
                <w:b/>
                <w:bCs/>
              </w:rPr>
            </w:pPr>
            <w:r w:rsidRPr="00E5068E">
              <w:rPr>
                <w:b/>
                <w:bCs/>
              </w:rPr>
              <w:t>Ngā mea hou</w:t>
            </w:r>
          </w:p>
        </w:tc>
      </w:tr>
      <w:tr w:rsidR="00AC1AE0" w:rsidRPr="0091207A" w14:paraId="6FD0F5C6" w14:textId="77777777">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953" w:type="pct"/>
            <w:shd w:val="clear" w:color="auto" w:fill="002060"/>
            <w:vAlign w:val="center"/>
          </w:tcPr>
          <w:p w14:paraId="1F3A6F14" w14:textId="38D70872" w:rsidR="00AC1AE0" w:rsidRPr="005C5B1E" w:rsidRDefault="004C0F6C">
            <w:pPr>
              <w:pStyle w:val="Tableparagraphwhite"/>
              <w:jc w:val="left"/>
            </w:pPr>
            <w:r w:rsidRPr="00D80C07">
              <w:t>Tauhoko miriona</w:t>
            </w:r>
          </w:p>
        </w:tc>
        <w:tc>
          <w:tcPr>
            <w:tcW w:w="547" w:type="pct"/>
            <w:shd w:val="clear" w:color="auto" w:fill="002060"/>
            <w:vAlign w:val="center"/>
          </w:tcPr>
          <w:p w14:paraId="1FC41DDF" w14:textId="77777777" w:rsidR="00AC1AE0" w:rsidRPr="00F63CFC" w:rsidRDefault="00AC1AE0">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2026</w:t>
            </w:r>
          </w:p>
        </w:tc>
        <w:tc>
          <w:tcPr>
            <w:tcW w:w="532" w:type="pct"/>
            <w:shd w:val="clear" w:color="auto" w:fill="002060"/>
            <w:vAlign w:val="center"/>
          </w:tcPr>
          <w:p w14:paraId="41BAB20D" w14:textId="77777777" w:rsidR="00AC1AE0" w:rsidRPr="00F63CFC" w:rsidRDefault="00AC1AE0">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2027</w:t>
            </w:r>
          </w:p>
        </w:tc>
        <w:tc>
          <w:tcPr>
            <w:tcW w:w="642" w:type="pct"/>
            <w:shd w:val="clear" w:color="auto" w:fill="002060"/>
            <w:vAlign w:val="center"/>
          </w:tcPr>
          <w:p w14:paraId="324D85D9" w14:textId="77777777" w:rsidR="00AC1AE0" w:rsidRPr="00F63CFC" w:rsidRDefault="00AC1AE0">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2028</w:t>
            </w:r>
          </w:p>
        </w:tc>
        <w:tc>
          <w:tcPr>
            <w:tcW w:w="626" w:type="pct"/>
            <w:shd w:val="clear" w:color="auto" w:fill="002060"/>
            <w:vAlign w:val="center"/>
          </w:tcPr>
          <w:p w14:paraId="6314A99A" w14:textId="77777777" w:rsidR="00AC1AE0" w:rsidRPr="00F63CFC" w:rsidRDefault="00AC1AE0">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2029</w:t>
            </w:r>
          </w:p>
        </w:tc>
        <w:tc>
          <w:tcPr>
            <w:tcW w:w="700" w:type="pct"/>
            <w:shd w:val="clear" w:color="auto" w:fill="002060"/>
            <w:vAlign w:val="center"/>
          </w:tcPr>
          <w:p w14:paraId="2ABB55A2" w14:textId="77777777" w:rsidR="00AC1AE0" w:rsidRPr="00F63CFC" w:rsidRDefault="00AC1AE0">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2030</w:t>
            </w:r>
          </w:p>
        </w:tc>
      </w:tr>
      <w:tr w:rsidR="00AC1AE0" w:rsidRPr="0091207A" w14:paraId="4F0E15D2" w14:textId="77777777">
        <w:trPr>
          <w:trHeight w:val="624"/>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3E71A989" w14:textId="22273AD3" w:rsidR="00AC1AE0" w:rsidRPr="00927851" w:rsidRDefault="00091BF3">
            <w:pPr>
              <w:pStyle w:val="TableParagraph"/>
              <w:jc w:val="left"/>
              <w:rPr>
                <w:b w:val="0"/>
                <w:bCs w:val="0"/>
              </w:rPr>
            </w:pPr>
            <w:r w:rsidRPr="00091BF3">
              <w:rPr>
                <w:b w:val="0"/>
                <w:bCs w:val="0"/>
              </w:rPr>
              <w:t>Te tauoti ki ngā Tauhokohoko o Aotearoa ka wātea mā te hokohoko (te rahinga CCR hoki)</w:t>
            </w:r>
          </w:p>
        </w:tc>
        <w:tc>
          <w:tcPr>
            <w:tcW w:w="0" w:type="pct"/>
            <w:shd w:val="clear" w:color="auto" w:fill="E9F5F2"/>
            <w:vAlign w:val="center"/>
          </w:tcPr>
          <w:p w14:paraId="2981C94F"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pPr>
            <w:r w:rsidRPr="00526DF1">
              <w:t>11.7</w:t>
            </w:r>
          </w:p>
        </w:tc>
        <w:tc>
          <w:tcPr>
            <w:tcW w:w="0" w:type="pct"/>
            <w:shd w:val="clear" w:color="auto" w:fill="E9F5F2"/>
            <w:vAlign w:val="center"/>
          </w:tcPr>
          <w:p w14:paraId="73149BAF"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pPr>
            <w:r w:rsidRPr="00526DF1">
              <w:t>10.2</w:t>
            </w:r>
          </w:p>
        </w:tc>
        <w:tc>
          <w:tcPr>
            <w:tcW w:w="0" w:type="pct"/>
            <w:shd w:val="clear" w:color="auto" w:fill="E9F5F2"/>
            <w:vAlign w:val="center"/>
          </w:tcPr>
          <w:p w14:paraId="78A58D6B"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pPr>
            <w:r w:rsidRPr="00526DF1">
              <w:t>12.3</w:t>
            </w:r>
          </w:p>
        </w:tc>
        <w:tc>
          <w:tcPr>
            <w:tcW w:w="0" w:type="pct"/>
            <w:shd w:val="clear" w:color="auto" w:fill="E9F5F2"/>
            <w:vAlign w:val="center"/>
          </w:tcPr>
          <w:p w14:paraId="022F4407"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pPr>
            <w:r w:rsidRPr="00526DF1">
              <w:t>11.7</w:t>
            </w:r>
          </w:p>
        </w:tc>
        <w:tc>
          <w:tcPr>
            <w:tcW w:w="0" w:type="pct"/>
            <w:shd w:val="clear" w:color="auto" w:fill="D4E8DE"/>
            <w:vAlign w:val="center"/>
          </w:tcPr>
          <w:p w14:paraId="6A516149"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pPr>
            <w:r w:rsidRPr="00526DF1">
              <w:t>10.9</w:t>
            </w:r>
          </w:p>
        </w:tc>
      </w:tr>
      <w:tr w:rsidR="00AC1AE0" w:rsidRPr="0091207A" w14:paraId="3359434B" w14:textId="7777777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6A680422" w14:textId="3A5D8F85" w:rsidR="00AC1AE0" w:rsidRPr="00927851" w:rsidRDefault="00A57C11">
            <w:pPr>
              <w:pStyle w:val="TableParagraph"/>
              <w:jc w:val="left"/>
              <w:rPr>
                <w:b w:val="0"/>
                <w:bCs w:val="0"/>
              </w:rPr>
            </w:pPr>
            <w:r w:rsidRPr="00A57C11">
              <w:rPr>
                <w:b w:val="0"/>
                <w:bCs w:val="0"/>
              </w:rPr>
              <w:t>Te tauoti ki ngā tauhokohoko o tāwāhi kua whakaaetia ki te whakamahi</w:t>
            </w:r>
          </w:p>
        </w:tc>
        <w:tc>
          <w:tcPr>
            <w:tcW w:w="0" w:type="pct"/>
            <w:shd w:val="clear" w:color="auto" w:fill="E9F5F2"/>
            <w:vAlign w:val="center"/>
          </w:tcPr>
          <w:p w14:paraId="33738D4E"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7F54">
              <w:t>0.0</w:t>
            </w:r>
          </w:p>
        </w:tc>
        <w:tc>
          <w:tcPr>
            <w:tcW w:w="0" w:type="pct"/>
            <w:shd w:val="clear" w:color="auto" w:fill="E9F5F2"/>
            <w:vAlign w:val="center"/>
          </w:tcPr>
          <w:p w14:paraId="7300B3F6"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7F54">
              <w:t>0.0</w:t>
            </w:r>
          </w:p>
        </w:tc>
        <w:tc>
          <w:tcPr>
            <w:tcW w:w="0" w:type="pct"/>
            <w:shd w:val="clear" w:color="auto" w:fill="E9F5F2"/>
            <w:vAlign w:val="center"/>
          </w:tcPr>
          <w:p w14:paraId="7D04E145"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7F54">
              <w:t>0.0</w:t>
            </w:r>
          </w:p>
        </w:tc>
        <w:tc>
          <w:tcPr>
            <w:tcW w:w="0" w:type="pct"/>
            <w:shd w:val="clear" w:color="auto" w:fill="E9F5F2"/>
            <w:vAlign w:val="center"/>
          </w:tcPr>
          <w:p w14:paraId="3F430C7A"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7F54">
              <w:t>0.0</w:t>
            </w:r>
          </w:p>
        </w:tc>
        <w:tc>
          <w:tcPr>
            <w:tcW w:w="0" w:type="pct"/>
            <w:shd w:val="clear" w:color="auto" w:fill="D4E8DE"/>
            <w:vAlign w:val="center"/>
          </w:tcPr>
          <w:p w14:paraId="0A427A44"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7F54">
              <w:t>0.0</w:t>
            </w:r>
          </w:p>
        </w:tc>
      </w:tr>
      <w:tr w:rsidR="00AC1AE0" w:rsidRPr="0091207A" w14:paraId="5135350C" w14:textId="77777777">
        <w:trPr>
          <w:trHeight w:val="483"/>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02775DC1" w14:textId="725F3857" w:rsidR="00AC1AE0" w:rsidRPr="00927851" w:rsidRDefault="00F75AB1">
            <w:pPr>
              <w:pStyle w:val="TableParagraph"/>
              <w:jc w:val="left"/>
              <w:rPr>
                <w:b w:val="0"/>
                <w:bCs w:val="0"/>
              </w:rPr>
            </w:pPr>
            <w:r w:rsidRPr="00F75AB1">
              <w:rPr>
                <w:b w:val="0"/>
                <w:bCs w:val="0"/>
              </w:rPr>
              <w:t>Te tauoti kau o ngā tauhokohoko</w:t>
            </w:r>
          </w:p>
        </w:tc>
        <w:tc>
          <w:tcPr>
            <w:tcW w:w="0" w:type="pct"/>
            <w:shd w:val="clear" w:color="auto" w:fill="E9F5F2"/>
            <w:vAlign w:val="center"/>
          </w:tcPr>
          <w:p w14:paraId="38546FDC"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7F54">
              <w:t>17.4</w:t>
            </w:r>
          </w:p>
        </w:tc>
        <w:tc>
          <w:tcPr>
            <w:tcW w:w="0" w:type="pct"/>
            <w:shd w:val="clear" w:color="auto" w:fill="E9F5F2"/>
            <w:vAlign w:val="center"/>
          </w:tcPr>
          <w:p w14:paraId="1A540DFD"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7F54">
              <w:t>15.9</w:t>
            </w:r>
          </w:p>
        </w:tc>
        <w:tc>
          <w:tcPr>
            <w:tcW w:w="0" w:type="pct"/>
            <w:shd w:val="clear" w:color="auto" w:fill="E9F5F2"/>
            <w:vAlign w:val="center"/>
          </w:tcPr>
          <w:p w14:paraId="25A95CD5"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7F54">
              <w:t>16.9</w:t>
            </w:r>
          </w:p>
        </w:tc>
        <w:tc>
          <w:tcPr>
            <w:tcW w:w="0" w:type="pct"/>
            <w:shd w:val="clear" w:color="auto" w:fill="E9F5F2"/>
            <w:vAlign w:val="center"/>
          </w:tcPr>
          <w:p w14:paraId="6D5B1A83"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7F54">
              <w:t>16.2</w:t>
            </w:r>
          </w:p>
        </w:tc>
        <w:tc>
          <w:tcPr>
            <w:tcW w:w="0" w:type="pct"/>
            <w:shd w:val="clear" w:color="auto" w:fill="D4E8DE"/>
            <w:vAlign w:val="center"/>
          </w:tcPr>
          <w:p w14:paraId="5B150A33"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7F54">
              <w:t>14.9</w:t>
            </w:r>
          </w:p>
        </w:tc>
      </w:tr>
    </w:tbl>
    <w:p w14:paraId="0140E421" w14:textId="77777777" w:rsidR="00AC1AE0" w:rsidRPr="00092B4B" w:rsidRDefault="00AC1AE0" w:rsidP="00AC1AE0">
      <w:pPr>
        <w:spacing w:before="0" w:after="0" w:line="120" w:lineRule="auto"/>
      </w:pPr>
    </w:p>
    <w:tbl>
      <w:tblPr>
        <w:tblStyle w:val="GridTable5Dark-Accent5"/>
        <w:tblW w:w="5004" w:type="pct"/>
        <w:tblLayout w:type="fixed"/>
        <w:tblCellMar>
          <w:left w:w="113" w:type="dxa"/>
          <w:right w:w="113" w:type="dxa"/>
        </w:tblCellMar>
        <w:tblLook w:val="04A0" w:firstRow="1" w:lastRow="0" w:firstColumn="1" w:lastColumn="0" w:noHBand="0" w:noVBand="1"/>
      </w:tblPr>
      <w:tblGrid>
        <w:gridCol w:w="3540"/>
        <w:gridCol w:w="1019"/>
        <w:gridCol w:w="1126"/>
        <w:gridCol w:w="1126"/>
        <w:gridCol w:w="1126"/>
        <w:gridCol w:w="1130"/>
      </w:tblGrid>
      <w:tr w:rsidR="00196C99" w:rsidRPr="00196C99" w14:paraId="4EBD3A4F" w14:textId="77777777" w:rsidTr="0026636F">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952" w:type="pct"/>
            <w:shd w:val="clear" w:color="auto" w:fill="002060"/>
            <w:vAlign w:val="center"/>
          </w:tcPr>
          <w:p w14:paraId="317C8681" w14:textId="77777777" w:rsidR="00AC1AE0" w:rsidRPr="00196C99" w:rsidRDefault="00AC1AE0">
            <w:pPr>
              <w:pStyle w:val="Tableparagraphwhite"/>
              <w:rPr>
                <w:b/>
                <w:color w:val="auto"/>
              </w:rPr>
            </w:pPr>
          </w:p>
        </w:tc>
        <w:tc>
          <w:tcPr>
            <w:tcW w:w="1183" w:type="pct"/>
            <w:gridSpan w:val="2"/>
            <w:shd w:val="clear" w:color="auto" w:fill="002060"/>
            <w:vAlign w:val="center"/>
          </w:tcPr>
          <w:p w14:paraId="1140C567" w14:textId="1E6658A3" w:rsidR="00AC1AE0" w:rsidRPr="00196C99" w:rsidRDefault="00E5068E">
            <w:pPr>
              <w:pStyle w:val="Tableparagraphwhite"/>
              <w:cnfStyle w:val="100000000000" w:firstRow="1" w:lastRow="0" w:firstColumn="0" w:lastColumn="0" w:oddVBand="0" w:evenVBand="0" w:oddHBand="0" w:evenHBand="0" w:firstRowFirstColumn="0" w:firstRowLastColumn="0" w:lastRowFirstColumn="0" w:lastRowLastColumn="0"/>
              <w:rPr>
                <w:b/>
                <w:color w:val="auto"/>
              </w:rPr>
            </w:pPr>
            <w:r w:rsidRPr="00196C99">
              <w:rPr>
                <w:b/>
                <w:bCs/>
                <w:color w:val="auto"/>
              </w:rPr>
              <w:t>Kāhore he panonitanga</w:t>
            </w:r>
          </w:p>
        </w:tc>
        <w:tc>
          <w:tcPr>
            <w:tcW w:w="1242" w:type="pct"/>
            <w:gridSpan w:val="2"/>
            <w:shd w:val="clear" w:color="auto" w:fill="002060"/>
            <w:vAlign w:val="center"/>
          </w:tcPr>
          <w:p w14:paraId="7CE1CAC8" w14:textId="2B417AE4" w:rsidR="00AC1AE0" w:rsidRPr="00196C99" w:rsidRDefault="00E5068E">
            <w:pPr>
              <w:pStyle w:val="Tableparagraphwhite"/>
              <w:cnfStyle w:val="100000000000" w:firstRow="1" w:lastRow="0" w:firstColumn="0" w:lastColumn="0" w:oddVBand="0" w:evenVBand="0" w:oddHBand="0" w:evenHBand="0" w:firstRowFirstColumn="0" w:firstRowLastColumn="0" w:lastRowFirstColumn="0" w:lastRowLastColumn="0"/>
              <w:rPr>
                <w:b/>
                <w:color w:val="auto"/>
              </w:rPr>
            </w:pPr>
            <w:r w:rsidRPr="00196C99">
              <w:rPr>
                <w:b/>
                <w:bCs/>
                <w:color w:val="auto"/>
              </w:rPr>
              <w:t>Ngā whakahau</w:t>
            </w:r>
          </w:p>
        </w:tc>
        <w:tc>
          <w:tcPr>
            <w:tcW w:w="623" w:type="pct"/>
            <w:shd w:val="clear" w:color="auto" w:fill="002060"/>
            <w:vAlign w:val="center"/>
          </w:tcPr>
          <w:p w14:paraId="7D2D525A" w14:textId="02048043" w:rsidR="00AC1AE0" w:rsidRPr="00196C99" w:rsidRDefault="00E5068E">
            <w:pPr>
              <w:pStyle w:val="Tableparagraphwhite"/>
              <w:cnfStyle w:val="100000000000" w:firstRow="1" w:lastRow="0" w:firstColumn="0" w:lastColumn="0" w:oddVBand="0" w:evenVBand="0" w:oddHBand="0" w:evenHBand="0" w:firstRowFirstColumn="0" w:firstRowLastColumn="0" w:lastRowFirstColumn="0" w:lastRowLastColumn="0"/>
              <w:rPr>
                <w:b/>
                <w:color w:val="auto"/>
              </w:rPr>
            </w:pPr>
            <w:r w:rsidRPr="00196C99">
              <w:rPr>
                <w:b/>
                <w:bCs/>
                <w:color w:val="auto"/>
              </w:rPr>
              <w:t>Ngā mea hou</w:t>
            </w:r>
          </w:p>
        </w:tc>
      </w:tr>
      <w:tr w:rsidR="00AC1AE0" w:rsidRPr="0091207A" w14:paraId="3D6F8D8D" w14:textId="77777777" w:rsidTr="0026636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952" w:type="pct"/>
            <w:shd w:val="clear" w:color="auto" w:fill="002060"/>
            <w:vAlign w:val="center"/>
          </w:tcPr>
          <w:p w14:paraId="4C72CD07" w14:textId="21E4EC01" w:rsidR="00AC1AE0" w:rsidRPr="00927851" w:rsidRDefault="00123E26">
            <w:pPr>
              <w:pStyle w:val="Tableparagraphwhite"/>
              <w:jc w:val="left"/>
              <w:rPr>
                <w:b/>
                <w:bCs/>
              </w:rPr>
            </w:pPr>
            <w:r w:rsidRPr="00123E26">
              <w:rPr>
                <w:b/>
                <w:bCs/>
              </w:rPr>
              <w:t xml:space="preserve">Te utu here tauraro </w:t>
            </w:r>
          </w:p>
        </w:tc>
        <w:tc>
          <w:tcPr>
            <w:tcW w:w="562" w:type="pct"/>
            <w:shd w:val="clear" w:color="auto" w:fill="002060"/>
            <w:vAlign w:val="center"/>
          </w:tcPr>
          <w:p w14:paraId="6B3067B2" w14:textId="77777777" w:rsidR="00AC1AE0" w:rsidRPr="00F63CFC" w:rsidRDefault="00AC1AE0">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2026</w:t>
            </w:r>
          </w:p>
        </w:tc>
        <w:tc>
          <w:tcPr>
            <w:tcW w:w="621" w:type="pct"/>
            <w:shd w:val="clear" w:color="auto" w:fill="002060"/>
            <w:vAlign w:val="center"/>
          </w:tcPr>
          <w:p w14:paraId="3B0715EB" w14:textId="77777777" w:rsidR="00AC1AE0" w:rsidRPr="00F63CFC" w:rsidRDefault="00AC1AE0">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2027</w:t>
            </w:r>
          </w:p>
        </w:tc>
        <w:tc>
          <w:tcPr>
            <w:tcW w:w="621" w:type="pct"/>
            <w:shd w:val="clear" w:color="auto" w:fill="002060"/>
            <w:vAlign w:val="center"/>
          </w:tcPr>
          <w:p w14:paraId="19E0B4C3" w14:textId="77777777" w:rsidR="00AC1AE0" w:rsidRPr="00976F45" w:rsidRDefault="00AC1AE0">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2028</w:t>
            </w:r>
          </w:p>
        </w:tc>
        <w:tc>
          <w:tcPr>
            <w:tcW w:w="621" w:type="pct"/>
            <w:shd w:val="clear" w:color="auto" w:fill="002060"/>
            <w:vAlign w:val="center"/>
          </w:tcPr>
          <w:p w14:paraId="5C834EE4" w14:textId="77777777" w:rsidR="00AC1AE0" w:rsidRPr="00976F45" w:rsidRDefault="00AC1AE0">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2029</w:t>
            </w:r>
          </w:p>
        </w:tc>
        <w:tc>
          <w:tcPr>
            <w:tcW w:w="623" w:type="pct"/>
            <w:shd w:val="clear" w:color="auto" w:fill="002060"/>
            <w:vAlign w:val="center"/>
          </w:tcPr>
          <w:p w14:paraId="3476678E" w14:textId="77777777" w:rsidR="00AC1AE0" w:rsidRPr="00976F45" w:rsidRDefault="00AC1AE0">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2030</w:t>
            </w:r>
          </w:p>
        </w:tc>
      </w:tr>
      <w:tr w:rsidR="00AC1AE0" w:rsidRPr="00BF79C4" w14:paraId="49897BD1" w14:textId="77777777">
        <w:trPr>
          <w:trHeight w:val="4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C1DCD5"/>
            <w:vAlign w:val="center"/>
          </w:tcPr>
          <w:p w14:paraId="7B962154" w14:textId="444506A1" w:rsidR="00AC1AE0" w:rsidRPr="00D27F54" w:rsidRDefault="006713D4">
            <w:pPr>
              <w:pStyle w:val="TableParagraph"/>
            </w:pPr>
            <w:r w:rsidRPr="006713D4">
              <w:t>Taunga 1</w:t>
            </w:r>
          </w:p>
        </w:tc>
      </w:tr>
      <w:tr w:rsidR="00AC1AE0" w:rsidRPr="00507B25" w14:paraId="22469908" w14:textId="77777777" w:rsidTr="0026636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952" w:type="pct"/>
            <w:shd w:val="clear" w:color="auto" w:fill="D4E8DE"/>
            <w:vAlign w:val="center"/>
          </w:tcPr>
          <w:p w14:paraId="3A5FD4C5" w14:textId="30022EE5" w:rsidR="00AC1AE0" w:rsidRPr="00927851" w:rsidRDefault="008C0EF3">
            <w:pPr>
              <w:pStyle w:val="TableParagraph"/>
              <w:jc w:val="left"/>
              <w:rPr>
                <w:b w:val="0"/>
                <w:bCs w:val="0"/>
                <w:lang w:val="en-NZ"/>
              </w:rPr>
            </w:pPr>
            <w:r w:rsidRPr="008C0EF3">
              <w:rPr>
                <w:b w:val="0"/>
                <w:bCs w:val="0"/>
              </w:rPr>
              <w:t>Te tūtohu utu</w:t>
            </w:r>
          </w:p>
        </w:tc>
        <w:tc>
          <w:tcPr>
            <w:tcW w:w="562" w:type="pct"/>
            <w:shd w:val="clear" w:color="auto" w:fill="E9F5F2"/>
            <w:vAlign w:val="center"/>
          </w:tcPr>
          <w:p w14:paraId="09726D3A"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BF79C4">
              <w:t>$203</w:t>
            </w:r>
          </w:p>
        </w:tc>
        <w:tc>
          <w:tcPr>
            <w:tcW w:w="621" w:type="pct"/>
            <w:shd w:val="clear" w:color="auto" w:fill="E9F5F2"/>
            <w:vAlign w:val="center"/>
          </w:tcPr>
          <w:p w14:paraId="05D4ED84"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BF79C4">
              <w:t>$213</w:t>
            </w:r>
          </w:p>
        </w:tc>
        <w:tc>
          <w:tcPr>
            <w:tcW w:w="621" w:type="pct"/>
            <w:shd w:val="clear" w:color="auto" w:fill="E9F5F2"/>
            <w:vAlign w:val="center"/>
          </w:tcPr>
          <w:p w14:paraId="54A89135"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pPr>
            <w:r w:rsidRPr="00BF79C4">
              <w:t>$223</w:t>
            </w:r>
          </w:p>
        </w:tc>
        <w:tc>
          <w:tcPr>
            <w:tcW w:w="621" w:type="pct"/>
            <w:shd w:val="clear" w:color="auto" w:fill="E9F5F2"/>
            <w:vAlign w:val="center"/>
          </w:tcPr>
          <w:p w14:paraId="61D77731"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pPr>
            <w:r w:rsidRPr="00BF79C4">
              <w:t>$235</w:t>
            </w:r>
          </w:p>
        </w:tc>
        <w:tc>
          <w:tcPr>
            <w:tcW w:w="623" w:type="pct"/>
            <w:shd w:val="clear" w:color="auto" w:fill="D4E8DE"/>
            <w:vAlign w:val="center"/>
          </w:tcPr>
          <w:p w14:paraId="220483F2"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pPr>
            <w:r w:rsidRPr="00BF79C4">
              <w:t>$246</w:t>
            </w:r>
          </w:p>
        </w:tc>
      </w:tr>
      <w:tr w:rsidR="00AC1AE0" w:rsidRPr="00F64E96" w14:paraId="4A15DEE0" w14:textId="77777777" w:rsidTr="0026636F">
        <w:trPr>
          <w:trHeight w:val="482"/>
        </w:trPr>
        <w:tc>
          <w:tcPr>
            <w:cnfStyle w:val="001000000000" w:firstRow="0" w:lastRow="0" w:firstColumn="1" w:lastColumn="0" w:oddVBand="0" w:evenVBand="0" w:oddHBand="0" w:evenHBand="0" w:firstRowFirstColumn="0" w:firstRowLastColumn="0" w:lastRowFirstColumn="0" w:lastRowLastColumn="0"/>
            <w:tcW w:w="1952" w:type="pct"/>
            <w:shd w:val="clear" w:color="auto" w:fill="D4E8DE"/>
            <w:vAlign w:val="center"/>
          </w:tcPr>
          <w:p w14:paraId="096991A4" w14:textId="0631B6DC" w:rsidR="00AC1AE0" w:rsidRPr="00927851" w:rsidRDefault="00B31674">
            <w:pPr>
              <w:pStyle w:val="TableParagraph"/>
              <w:jc w:val="left"/>
              <w:rPr>
                <w:b w:val="0"/>
                <w:bCs w:val="0"/>
                <w:lang w:val="en-NZ"/>
              </w:rPr>
            </w:pPr>
            <w:r w:rsidRPr="00B31674">
              <w:rPr>
                <w:b w:val="0"/>
                <w:bCs w:val="0"/>
              </w:rPr>
              <w:t>Te rahinga tāpui (tauhoko miriona)</w:t>
            </w:r>
          </w:p>
        </w:tc>
        <w:tc>
          <w:tcPr>
            <w:tcW w:w="562" w:type="pct"/>
            <w:shd w:val="clear" w:color="auto" w:fill="E9F5F2"/>
            <w:vAlign w:val="center"/>
          </w:tcPr>
          <w:p w14:paraId="3204E9DD" w14:textId="77777777" w:rsidR="00AC1AE0" w:rsidRPr="004A06C8" w:rsidRDefault="00AC1AE0">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4A06C8">
              <w:t>2.3</w:t>
            </w:r>
          </w:p>
        </w:tc>
        <w:tc>
          <w:tcPr>
            <w:tcW w:w="621" w:type="pct"/>
            <w:shd w:val="clear" w:color="auto" w:fill="E9F5F2"/>
            <w:vAlign w:val="center"/>
          </w:tcPr>
          <w:p w14:paraId="018CA05A" w14:textId="77777777" w:rsidR="00AC1AE0" w:rsidRPr="004A06C8" w:rsidRDefault="00AC1AE0">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4A06C8">
              <w:t>2.1</w:t>
            </w:r>
          </w:p>
        </w:tc>
        <w:tc>
          <w:tcPr>
            <w:tcW w:w="621" w:type="pct"/>
            <w:shd w:val="clear" w:color="auto" w:fill="E9F5F2"/>
            <w:vAlign w:val="center"/>
          </w:tcPr>
          <w:p w14:paraId="0AF040BD" w14:textId="77777777" w:rsidR="00AC1AE0" w:rsidRPr="004A06C8" w:rsidRDefault="00AC1AE0">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4A06C8">
              <w:t>1.9</w:t>
            </w:r>
          </w:p>
        </w:tc>
        <w:tc>
          <w:tcPr>
            <w:tcW w:w="621" w:type="pct"/>
            <w:shd w:val="clear" w:color="auto" w:fill="E9F5F2"/>
            <w:vAlign w:val="center"/>
          </w:tcPr>
          <w:p w14:paraId="3DF0544D" w14:textId="77777777" w:rsidR="00AC1AE0" w:rsidRPr="004A06C8" w:rsidRDefault="00AC1AE0">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4A06C8">
              <w:t>1.7</w:t>
            </w:r>
          </w:p>
        </w:tc>
        <w:tc>
          <w:tcPr>
            <w:tcW w:w="623" w:type="pct"/>
            <w:shd w:val="clear" w:color="auto" w:fill="D4E8DE"/>
            <w:vAlign w:val="center"/>
          </w:tcPr>
          <w:p w14:paraId="47DED172" w14:textId="77777777" w:rsidR="00AC1AE0" w:rsidRPr="004A06C8" w:rsidRDefault="00AC1AE0">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4A06C8">
              <w:t>1.4</w:t>
            </w:r>
          </w:p>
        </w:tc>
      </w:tr>
      <w:tr w:rsidR="00AC1AE0" w:rsidRPr="00C54ED1" w14:paraId="51B9F315" w14:textId="7777777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C1DCD5"/>
            <w:vAlign w:val="center"/>
          </w:tcPr>
          <w:p w14:paraId="441416C2" w14:textId="372B8E19" w:rsidR="00AC1AE0" w:rsidRPr="00D27F54" w:rsidRDefault="00C111ED">
            <w:pPr>
              <w:pStyle w:val="TableParagraph"/>
            </w:pPr>
            <w:r w:rsidRPr="00C111ED">
              <w:t xml:space="preserve">Taunga </w:t>
            </w:r>
            <w:r>
              <w:t>2</w:t>
            </w:r>
          </w:p>
        </w:tc>
      </w:tr>
      <w:tr w:rsidR="00AC1AE0" w:rsidRPr="00C54ED1" w14:paraId="5D296D34" w14:textId="77777777" w:rsidTr="0026636F">
        <w:trPr>
          <w:trHeight w:val="482"/>
        </w:trPr>
        <w:tc>
          <w:tcPr>
            <w:cnfStyle w:val="001000000000" w:firstRow="0" w:lastRow="0" w:firstColumn="1" w:lastColumn="0" w:oddVBand="0" w:evenVBand="0" w:oddHBand="0" w:evenHBand="0" w:firstRowFirstColumn="0" w:firstRowLastColumn="0" w:lastRowFirstColumn="0" w:lastRowLastColumn="0"/>
            <w:tcW w:w="1952" w:type="pct"/>
            <w:shd w:val="clear" w:color="auto" w:fill="D4E8DE"/>
            <w:vAlign w:val="center"/>
          </w:tcPr>
          <w:p w14:paraId="65AF47F7" w14:textId="560F9CE0" w:rsidR="00AC1AE0" w:rsidRPr="00927851" w:rsidRDefault="008C0EF3">
            <w:pPr>
              <w:pStyle w:val="TableParagraph"/>
              <w:jc w:val="left"/>
              <w:rPr>
                <w:b w:val="0"/>
                <w:bCs w:val="0"/>
                <w:lang w:val="en-NZ"/>
              </w:rPr>
            </w:pPr>
            <w:r w:rsidRPr="008C0EF3">
              <w:rPr>
                <w:b w:val="0"/>
                <w:bCs w:val="0"/>
              </w:rPr>
              <w:t>Te tūtohu utu</w:t>
            </w:r>
          </w:p>
        </w:tc>
        <w:tc>
          <w:tcPr>
            <w:tcW w:w="562" w:type="pct"/>
            <w:shd w:val="clear" w:color="auto" w:fill="E9F5F2"/>
            <w:vAlign w:val="center"/>
          </w:tcPr>
          <w:p w14:paraId="1068B8AF"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D27F54">
              <w:t>$254</w:t>
            </w:r>
          </w:p>
        </w:tc>
        <w:tc>
          <w:tcPr>
            <w:tcW w:w="621" w:type="pct"/>
            <w:shd w:val="clear" w:color="auto" w:fill="E9F5F2"/>
            <w:vAlign w:val="center"/>
          </w:tcPr>
          <w:p w14:paraId="1C81BEE9"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D27F54">
              <w:t>$267</w:t>
            </w:r>
          </w:p>
        </w:tc>
        <w:tc>
          <w:tcPr>
            <w:tcW w:w="621" w:type="pct"/>
            <w:shd w:val="clear" w:color="auto" w:fill="E9F5F2"/>
            <w:vAlign w:val="center"/>
          </w:tcPr>
          <w:p w14:paraId="3885A000"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D27F54">
              <w:t>$279</w:t>
            </w:r>
          </w:p>
        </w:tc>
        <w:tc>
          <w:tcPr>
            <w:tcW w:w="621" w:type="pct"/>
            <w:shd w:val="clear" w:color="auto" w:fill="E9F5F2"/>
            <w:vAlign w:val="center"/>
          </w:tcPr>
          <w:p w14:paraId="7957F20B"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D27F54">
              <w:t>$293</w:t>
            </w:r>
          </w:p>
        </w:tc>
        <w:tc>
          <w:tcPr>
            <w:tcW w:w="623" w:type="pct"/>
            <w:shd w:val="clear" w:color="auto" w:fill="D4E8DE"/>
            <w:vAlign w:val="center"/>
          </w:tcPr>
          <w:p w14:paraId="3DED8C3A" w14:textId="77777777" w:rsidR="00AC1AE0" w:rsidRPr="00D27F54" w:rsidRDefault="00AC1AE0">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D27F54">
              <w:t>$308</w:t>
            </w:r>
          </w:p>
        </w:tc>
      </w:tr>
      <w:tr w:rsidR="00AC1AE0" w:rsidRPr="00C54ED1" w14:paraId="2BBC4310" w14:textId="77777777" w:rsidTr="0026636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952" w:type="pct"/>
            <w:shd w:val="clear" w:color="auto" w:fill="D4E8DE"/>
            <w:vAlign w:val="center"/>
          </w:tcPr>
          <w:p w14:paraId="194F3F75" w14:textId="65AD3F45" w:rsidR="00AC1AE0" w:rsidRPr="00927851" w:rsidRDefault="000C20D1">
            <w:pPr>
              <w:pStyle w:val="TableParagraph"/>
              <w:jc w:val="left"/>
              <w:rPr>
                <w:b w:val="0"/>
                <w:bCs w:val="0"/>
                <w:lang w:val="en-NZ"/>
              </w:rPr>
            </w:pPr>
            <w:r w:rsidRPr="000C20D1">
              <w:rPr>
                <w:b w:val="0"/>
                <w:bCs w:val="0"/>
              </w:rPr>
              <w:t>Te rahinga tāpui (tauhoko miriona)</w:t>
            </w:r>
          </w:p>
        </w:tc>
        <w:tc>
          <w:tcPr>
            <w:tcW w:w="562" w:type="pct"/>
            <w:shd w:val="clear" w:color="auto" w:fill="E9F5F2"/>
            <w:vAlign w:val="center"/>
          </w:tcPr>
          <w:p w14:paraId="10421DA2"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D27F54">
              <w:t>4.2</w:t>
            </w:r>
          </w:p>
        </w:tc>
        <w:tc>
          <w:tcPr>
            <w:tcW w:w="621" w:type="pct"/>
            <w:shd w:val="clear" w:color="auto" w:fill="E9F5F2"/>
            <w:vAlign w:val="center"/>
          </w:tcPr>
          <w:p w14:paraId="5377972F"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D27F54">
              <w:t>3.8</w:t>
            </w:r>
          </w:p>
        </w:tc>
        <w:tc>
          <w:tcPr>
            <w:tcW w:w="621" w:type="pct"/>
            <w:shd w:val="clear" w:color="auto" w:fill="E9F5F2"/>
            <w:vAlign w:val="center"/>
          </w:tcPr>
          <w:p w14:paraId="2DEFBCEB"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D27F54">
              <w:t>3.4</w:t>
            </w:r>
          </w:p>
        </w:tc>
        <w:tc>
          <w:tcPr>
            <w:tcW w:w="621" w:type="pct"/>
            <w:shd w:val="clear" w:color="auto" w:fill="E9F5F2"/>
            <w:vAlign w:val="center"/>
          </w:tcPr>
          <w:p w14:paraId="612F4ADA"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D27F54">
              <w:t>3.0</w:t>
            </w:r>
          </w:p>
        </w:tc>
        <w:tc>
          <w:tcPr>
            <w:tcW w:w="623" w:type="pct"/>
            <w:shd w:val="clear" w:color="auto" w:fill="D4E8DE"/>
            <w:vAlign w:val="center"/>
          </w:tcPr>
          <w:p w14:paraId="6E5771F9" w14:textId="77777777" w:rsidR="00AC1AE0" w:rsidRPr="00D27F54" w:rsidRDefault="00AC1AE0">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D27F54">
              <w:t>2.5</w:t>
            </w:r>
          </w:p>
        </w:tc>
      </w:tr>
    </w:tbl>
    <w:p w14:paraId="70657BF9" w14:textId="77777777" w:rsidR="00AC1AE0" w:rsidRPr="00092B4B" w:rsidRDefault="00AC1AE0" w:rsidP="00AC1AE0">
      <w:pPr>
        <w:spacing w:before="0" w:after="0" w:line="120" w:lineRule="auto"/>
      </w:pPr>
    </w:p>
    <w:tbl>
      <w:tblPr>
        <w:tblStyle w:val="GridTable5Dark-Accent5"/>
        <w:tblW w:w="5000" w:type="pct"/>
        <w:tblLayout w:type="fixed"/>
        <w:tblCellMar>
          <w:left w:w="113" w:type="dxa"/>
          <w:right w:w="113" w:type="dxa"/>
        </w:tblCellMar>
        <w:tblLook w:val="04A0" w:firstRow="1" w:lastRow="0" w:firstColumn="1" w:lastColumn="0" w:noHBand="0" w:noVBand="1"/>
      </w:tblPr>
      <w:tblGrid>
        <w:gridCol w:w="3540"/>
        <w:gridCol w:w="991"/>
        <w:gridCol w:w="1134"/>
        <w:gridCol w:w="1134"/>
        <w:gridCol w:w="993"/>
        <w:gridCol w:w="1268"/>
      </w:tblGrid>
      <w:tr w:rsidR="00AC1AE0" w:rsidRPr="0091207A" w14:paraId="2D188E7E" w14:textId="77777777" w:rsidTr="0026636F">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953" w:type="pct"/>
            <w:shd w:val="clear" w:color="auto" w:fill="002060"/>
            <w:vAlign w:val="center"/>
          </w:tcPr>
          <w:p w14:paraId="00520462" w14:textId="77777777" w:rsidR="00AC1AE0" w:rsidRPr="00F63CFC" w:rsidRDefault="00AC1AE0">
            <w:pPr>
              <w:pStyle w:val="Tableparagraphwhite"/>
              <w:rPr>
                <w:b/>
              </w:rPr>
            </w:pPr>
          </w:p>
        </w:tc>
        <w:tc>
          <w:tcPr>
            <w:tcW w:w="1173" w:type="pct"/>
            <w:gridSpan w:val="2"/>
            <w:shd w:val="clear" w:color="auto" w:fill="002060"/>
            <w:vAlign w:val="center"/>
          </w:tcPr>
          <w:p w14:paraId="657EE011" w14:textId="11607CD6" w:rsidR="00AC1AE0" w:rsidRPr="00F63CFC" w:rsidRDefault="00E5068E">
            <w:pPr>
              <w:pStyle w:val="Tableparagraphwhite"/>
              <w:cnfStyle w:val="100000000000" w:firstRow="1" w:lastRow="0" w:firstColumn="0" w:lastColumn="0" w:oddVBand="0" w:evenVBand="0" w:oddHBand="0" w:evenHBand="0" w:firstRowFirstColumn="0" w:firstRowLastColumn="0" w:lastRowFirstColumn="0" w:lastRowLastColumn="0"/>
              <w:rPr>
                <w:b/>
              </w:rPr>
            </w:pPr>
            <w:r w:rsidRPr="0026636F">
              <w:rPr>
                <w:b/>
                <w:bCs/>
                <w:color w:val="auto"/>
              </w:rPr>
              <w:t>Kāhore</w:t>
            </w:r>
            <w:r w:rsidRPr="00E5068E">
              <w:rPr>
                <w:b/>
                <w:bCs/>
              </w:rPr>
              <w:t xml:space="preserve"> he panonitanga</w:t>
            </w:r>
          </w:p>
        </w:tc>
        <w:tc>
          <w:tcPr>
            <w:tcW w:w="1174" w:type="pct"/>
            <w:gridSpan w:val="2"/>
            <w:shd w:val="clear" w:color="auto" w:fill="002060"/>
            <w:vAlign w:val="center"/>
          </w:tcPr>
          <w:p w14:paraId="4F66DC6B" w14:textId="4611D50A" w:rsidR="00AC1AE0" w:rsidRPr="00F63CFC" w:rsidRDefault="00E5068E">
            <w:pPr>
              <w:pStyle w:val="Tableparagraphwhite"/>
              <w:cnfStyle w:val="100000000000" w:firstRow="1" w:lastRow="0" w:firstColumn="0" w:lastColumn="0" w:oddVBand="0" w:evenVBand="0" w:oddHBand="0" w:evenHBand="0" w:firstRowFirstColumn="0" w:firstRowLastColumn="0" w:lastRowFirstColumn="0" w:lastRowLastColumn="0"/>
              <w:rPr>
                <w:b/>
              </w:rPr>
            </w:pPr>
            <w:r w:rsidRPr="00E5068E">
              <w:rPr>
                <w:b/>
                <w:bCs/>
              </w:rPr>
              <w:t>Ngā whakahau</w:t>
            </w:r>
          </w:p>
        </w:tc>
        <w:tc>
          <w:tcPr>
            <w:tcW w:w="700" w:type="pct"/>
            <w:shd w:val="clear" w:color="auto" w:fill="002060"/>
            <w:vAlign w:val="center"/>
          </w:tcPr>
          <w:p w14:paraId="3822E0D8" w14:textId="3B378495" w:rsidR="00AC1AE0" w:rsidRPr="00F63CFC" w:rsidRDefault="00E5068E">
            <w:pPr>
              <w:pStyle w:val="Tableparagraphwhite"/>
              <w:cnfStyle w:val="100000000000" w:firstRow="1" w:lastRow="0" w:firstColumn="0" w:lastColumn="0" w:oddVBand="0" w:evenVBand="0" w:oddHBand="0" w:evenHBand="0" w:firstRowFirstColumn="0" w:firstRowLastColumn="0" w:lastRowFirstColumn="0" w:lastRowLastColumn="0"/>
              <w:rPr>
                <w:b/>
              </w:rPr>
            </w:pPr>
            <w:r w:rsidRPr="00E5068E">
              <w:rPr>
                <w:b/>
                <w:bCs/>
              </w:rPr>
              <w:t>Ngā mea hou</w:t>
            </w:r>
          </w:p>
        </w:tc>
      </w:tr>
      <w:tr w:rsidR="00AC1AE0" w:rsidRPr="0091207A" w14:paraId="096F8FF7" w14:textId="77777777" w:rsidTr="0026636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953" w:type="pct"/>
            <w:shd w:val="clear" w:color="auto" w:fill="002060"/>
            <w:vAlign w:val="center"/>
          </w:tcPr>
          <w:p w14:paraId="221F5151" w14:textId="2C45ED4D" w:rsidR="00AC1AE0" w:rsidRPr="007573A3" w:rsidRDefault="00263FCF">
            <w:pPr>
              <w:pStyle w:val="Tableparagraphwhite"/>
              <w:jc w:val="left"/>
              <w:rPr>
                <w:b/>
              </w:rPr>
            </w:pPr>
            <w:r w:rsidRPr="00263FCF">
              <w:rPr>
                <w:b/>
              </w:rPr>
              <w:t xml:space="preserve">Te utu mākete tauraro </w:t>
            </w:r>
            <w:r>
              <w:rPr>
                <w:b/>
              </w:rPr>
              <w:t xml:space="preserve"> </w:t>
            </w:r>
          </w:p>
        </w:tc>
        <w:tc>
          <w:tcPr>
            <w:tcW w:w="547" w:type="pct"/>
            <w:shd w:val="clear" w:color="auto" w:fill="002060"/>
            <w:vAlign w:val="center"/>
          </w:tcPr>
          <w:p w14:paraId="267F463A" w14:textId="77777777" w:rsidR="00AC1AE0" w:rsidRPr="00E8092E" w:rsidRDefault="00AC1AE0">
            <w:pPr>
              <w:pStyle w:val="Tableparagraphwhite"/>
              <w:cnfStyle w:val="000000100000" w:firstRow="0" w:lastRow="0" w:firstColumn="0" w:lastColumn="0" w:oddVBand="0" w:evenVBand="0" w:oddHBand="1" w:evenHBand="0" w:firstRowFirstColumn="0" w:firstRowLastColumn="0" w:lastRowFirstColumn="0" w:lastRowLastColumn="0"/>
            </w:pPr>
            <w:r w:rsidRPr="00E8092E">
              <w:t>2026</w:t>
            </w:r>
          </w:p>
        </w:tc>
        <w:tc>
          <w:tcPr>
            <w:tcW w:w="626" w:type="pct"/>
            <w:shd w:val="clear" w:color="auto" w:fill="002060"/>
            <w:vAlign w:val="center"/>
          </w:tcPr>
          <w:p w14:paraId="7BB5E294" w14:textId="77777777" w:rsidR="00AC1AE0" w:rsidRPr="00E8092E" w:rsidRDefault="00AC1AE0">
            <w:pPr>
              <w:pStyle w:val="Tableparagraphwhite"/>
              <w:cnfStyle w:val="000000100000" w:firstRow="0" w:lastRow="0" w:firstColumn="0" w:lastColumn="0" w:oddVBand="0" w:evenVBand="0" w:oddHBand="1" w:evenHBand="0" w:firstRowFirstColumn="0" w:firstRowLastColumn="0" w:lastRowFirstColumn="0" w:lastRowLastColumn="0"/>
            </w:pPr>
            <w:r w:rsidRPr="00E8092E">
              <w:t>2027</w:t>
            </w:r>
          </w:p>
        </w:tc>
        <w:tc>
          <w:tcPr>
            <w:tcW w:w="626" w:type="pct"/>
            <w:shd w:val="clear" w:color="auto" w:fill="002060"/>
            <w:vAlign w:val="center"/>
          </w:tcPr>
          <w:p w14:paraId="0BC23ADC" w14:textId="77777777" w:rsidR="00AC1AE0" w:rsidRPr="00976F45" w:rsidRDefault="00AC1AE0">
            <w:pPr>
              <w:pStyle w:val="Tableparagraphwhite"/>
              <w:cnfStyle w:val="000000100000" w:firstRow="0" w:lastRow="0" w:firstColumn="0" w:lastColumn="0" w:oddVBand="0" w:evenVBand="0" w:oddHBand="1" w:evenHBand="0" w:firstRowFirstColumn="0" w:firstRowLastColumn="0" w:lastRowFirstColumn="0" w:lastRowLastColumn="0"/>
            </w:pPr>
            <w:r>
              <w:t>2028</w:t>
            </w:r>
          </w:p>
        </w:tc>
        <w:tc>
          <w:tcPr>
            <w:tcW w:w="548" w:type="pct"/>
            <w:shd w:val="clear" w:color="auto" w:fill="002060"/>
            <w:vAlign w:val="center"/>
          </w:tcPr>
          <w:p w14:paraId="3558BD66" w14:textId="77777777" w:rsidR="00AC1AE0" w:rsidRPr="00976F45" w:rsidRDefault="00AC1AE0">
            <w:pPr>
              <w:pStyle w:val="Tableparagraphwhite"/>
              <w:cnfStyle w:val="000000100000" w:firstRow="0" w:lastRow="0" w:firstColumn="0" w:lastColumn="0" w:oddVBand="0" w:evenVBand="0" w:oddHBand="1" w:evenHBand="0" w:firstRowFirstColumn="0" w:firstRowLastColumn="0" w:lastRowFirstColumn="0" w:lastRowLastColumn="0"/>
            </w:pPr>
            <w:r>
              <w:t>2029</w:t>
            </w:r>
          </w:p>
        </w:tc>
        <w:tc>
          <w:tcPr>
            <w:tcW w:w="700" w:type="pct"/>
            <w:shd w:val="clear" w:color="auto" w:fill="002060"/>
            <w:vAlign w:val="center"/>
          </w:tcPr>
          <w:p w14:paraId="2866C3BA" w14:textId="77777777" w:rsidR="00AC1AE0" w:rsidRPr="00976F45" w:rsidRDefault="00AC1AE0">
            <w:pPr>
              <w:pStyle w:val="Tableparagraphwhite"/>
              <w:cnfStyle w:val="000000100000" w:firstRow="0" w:lastRow="0" w:firstColumn="0" w:lastColumn="0" w:oddVBand="0" w:evenVBand="0" w:oddHBand="1" w:evenHBand="0" w:firstRowFirstColumn="0" w:firstRowLastColumn="0" w:lastRowFirstColumn="0" w:lastRowLastColumn="0"/>
            </w:pPr>
            <w:r>
              <w:t>2030</w:t>
            </w:r>
          </w:p>
        </w:tc>
      </w:tr>
      <w:tr w:rsidR="00AC1AE0" w:rsidRPr="0091207A" w14:paraId="50C95F7B" w14:textId="77777777" w:rsidTr="0026636F">
        <w:trPr>
          <w:trHeight w:val="482"/>
        </w:trPr>
        <w:tc>
          <w:tcPr>
            <w:cnfStyle w:val="001000000000" w:firstRow="0" w:lastRow="0" w:firstColumn="1" w:lastColumn="0" w:oddVBand="0" w:evenVBand="0" w:oddHBand="0" w:evenHBand="0" w:firstRowFirstColumn="0" w:firstRowLastColumn="0" w:lastRowFirstColumn="0" w:lastRowLastColumn="0"/>
            <w:tcW w:w="1953" w:type="pct"/>
            <w:shd w:val="clear" w:color="auto" w:fill="D4E8DE"/>
            <w:vAlign w:val="center"/>
          </w:tcPr>
          <w:p w14:paraId="17F29E98" w14:textId="421BBD8E" w:rsidR="00AC1AE0" w:rsidRPr="00927851" w:rsidRDefault="00263FCF">
            <w:pPr>
              <w:pStyle w:val="TableParagraph"/>
              <w:jc w:val="left"/>
              <w:rPr>
                <w:b w:val="0"/>
                <w:bCs w:val="0"/>
              </w:rPr>
            </w:pPr>
            <w:r w:rsidRPr="00263FCF">
              <w:rPr>
                <w:b w:val="0"/>
                <w:bCs w:val="0"/>
              </w:rPr>
              <w:t xml:space="preserve">Te utu mākete tauraro </w:t>
            </w:r>
          </w:p>
        </w:tc>
        <w:tc>
          <w:tcPr>
            <w:tcW w:w="547" w:type="pct"/>
            <w:shd w:val="clear" w:color="auto" w:fill="E9F5F2"/>
            <w:vAlign w:val="center"/>
          </w:tcPr>
          <w:p w14:paraId="51BAF8F8" w14:textId="77777777" w:rsidR="00AC1AE0" w:rsidRPr="00BF79C4" w:rsidRDefault="00AC1AE0">
            <w:pPr>
              <w:pStyle w:val="TableParagraph"/>
              <w:cnfStyle w:val="000000000000" w:firstRow="0" w:lastRow="0" w:firstColumn="0" w:lastColumn="0" w:oddVBand="0" w:evenVBand="0" w:oddHBand="0" w:evenHBand="0" w:firstRowFirstColumn="0" w:firstRowLastColumn="0" w:lastRowFirstColumn="0" w:lastRowLastColumn="0"/>
            </w:pPr>
            <w:r w:rsidRPr="002634BC">
              <w:t>$71</w:t>
            </w:r>
          </w:p>
        </w:tc>
        <w:tc>
          <w:tcPr>
            <w:tcW w:w="626" w:type="pct"/>
            <w:shd w:val="clear" w:color="auto" w:fill="E9F5F2"/>
            <w:vAlign w:val="center"/>
          </w:tcPr>
          <w:p w14:paraId="0CEE3470" w14:textId="77777777" w:rsidR="00AC1AE0" w:rsidRPr="00BF79C4" w:rsidRDefault="00AC1AE0">
            <w:pPr>
              <w:pStyle w:val="TableParagraph"/>
              <w:cnfStyle w:val="000000000000" w:firstRow="0" w:lastRow="0" w:firstColumn="0" w:lastColumn="0" w:oddVBand="0" w:evenVBand="0" w:oddHBand="0" w:evenHBand="0" w:firstRowFirstColumn="0" w:firstRowLastColumn="0" w:lastRowFirstColumn="0" w:lastRowLastColumn="0"/>
            </w:pPr>
            <w:r w:rsidRPr="002634BC">
              <w:t>$75</w:t>
            </w:r>
          </w:p>
        </w:tc>
        <w:tc>
          <w:tcPr>
            <w:tcW w:w="626" w:type="pct"/>
            <w:shd w:val="clear" w:color="auto" w:fill="E9F5F2"/>
            <w:vAlign w:val="center"/>
          </w:tcPr>
          <w:p w14:paraId="295E6735" w14:textId="77777777" w:rsidR="00AC1AE0" w:rsidRPr="00BF79C4" w:rsidRDefault="00AC1AE0">
            <w:pPr>
              <w:pStyle w:val="TableParagraph"/>
              <w:cnfStyle w:val="000000000000" w:firstRow="0" w:lastRow="0" w:firstColumn="0" w:lastColumn="0" w:oddVBand="0" w:evenVBand="0" w:oddHBand="0" w:evenHBand="0" w:firstRowFirstColumn="0" w:firstRowLastColumn="0" w:lastRowFirstColumn="0" w:lastRowLastColumn="0"/>
            </w:pPr>
            <w:r w:rsidRPr="002634BC">
              <w:t>$78</w:t>
            </w:r>
          </w:p>
        </w:tc>
        <w:tc>
          <w:tcPr>
            <w:tcW w:w="548" w:type="pct"/>
            <w:shd w:val="clear" w:color="auto" w:fill="E9F5F2"/>
            <w:vAlign w:val="center"/>
          </w:tcPr>
          <w:p w14:paraId="25AA30C6" w14:textId="77777777" w:rsidR="00AC1AE0" w:rsidRPr="00BF79C4" w:rsidRDefault="00AC1AE0">
            <w:pPr>
              <w:pStyle w:val="TableParagraph"/>
              <w:cnfStyle w:val="000000000000" w:firstRow="0" w:lastRow="0" w:firstColumn="0" w:lastColumn="0" w:oddVBand="0" w:evenVBand="0" w:oddHBand="0" w:evenHBand="0" w:firstRowFirstColumn="0" w:firstRowLastColumn="0" w:lastRowFirstColumn="0" w:lastRowLastColumn="0"/>
            </w:pPr>
            <w:r w:rsidRPr="002634BC">
              <w:t>$82</w:t>
            </w:r>
          </w:p>
        </w:tc>
        <w:tc>
          <w:tcPr>
            <w:tcW w:w="700" w:type="pct"/>
            <w:shd w:val="clear" w:color="auto" w:fill="C1DCD5"/>
            <w:vAlign w:val="center"/>
          </w:tcPr>
          <w:p w14:paraId="0D1DF193" w14:textId="77777777" w:rsidR="00AC1AE0" w:rsidRPr="00BF79C4" w:rsidRDefault="00AC1AE0">
            <w:pPr>
              <w:pStyle w:val="TableParagraph"/>
              <w:cnfStyle w:val="000000000000" w:firstRow="0" w:lastRow="0" w:firstColumn="0" w:lastColumn="0" w:oddVBand="0" w:evenVBand="0" w:oddHBand="0" w:evenHBand="0" w:firstRowFirstColumn="0" w:firstRowLastColumn="0" w:lastRowFirstColumn="0" w:lastRowLastColumn="0"/>
            </w:pPr>
            <w:r w:rsidRPr="002634BC">
              <w:t>$86</w:t>
            </w:r>
          </w:p>
        </w:tc>
      </w:tr>
    </w:tbl>
    <w:p w14:paraId="5860CBAC" w14:textId="77777777" w:rsidR="00AC1AE0" w:rsidRPr="00A92463" w:rsidRDefault="00AC1AE0" w:rsidP="00AC1AE0">
      <w:r>
        <w:br w:type="page"/>
      </w:r>
    </w:p>
    <w:p w14:paraId="69BFBEDF" w14:textId="4285BC7C" w:rsidR="00A614AE" w:rsidRDefault="00A614AE" w:rsidP="006A7422">
      <w:pPr>
        <w:pStyle w:val="Heading1nonumber"/>
      </w:pPr>
      <w:bookmarkStart w:id="9" w:name="_Toc195447217"/>
      <w:r>
        <w:lastRenderedPageBreak/>
        <w:t>Executive summary</w:t>
      </w:r>
      <w:bookmarkEnd w:id="9"/>
    </w:p>
    <w:p w14:paraId="5F239309" w14:textId="05FEE5CE" w:rsidR="00233813" w:rsidRPr="00B8393B" w:rsidRDefault="00BC18C0" w:rsidP="00233813">
      <w:pPr>
        <w:pStyle w:val="Intro"/>
        <w:rPr>
          <w:rFonts w:ascii="Calibri Light" w:eastAsia="Calibri Light" w:hAnsi="Calibri Light" w:cs="Calibri Light"/>
          <w:lang w:val="en-US"/>
        </w:rPr>
      </w:pPr>
      <w:r w:rsidRPr="53355F43">
        <w:rPr>
          <w:rFonts w:ascii="Calibri Light" w:eastAsia="Calibri Light" w:hAnsi="Calibri Light" w:cs="Calibri Light"/>
          <w:lang w:val="en-US"/>
        </w:rPr>
        <w:t xml:space="preserve">This is our annual advice to </w:t>
      </w:r>
      <w:r w:rsidR="00E21A3E">
        <w:rPr>
          <w:rFonts w:ascii="Calibri Light" w:eastAsia="Calibri Light" w:hAnsi="Calibri Light" w:cs="Calibri Light"/>
          <w:lang w:val="en-US"/>
        </w:rPr>
        <w:t xml:space="preserve">the </w:t>
      </w:r>
      <w:r w:rsidRPr="53355F43">
        <w:rPr>
          <w:rFonts w:ascii="Calibri Light" w:eastAsia="Calibri Light" w:hAnsi="Calibri Light" w:cs="Calibri Light"/>
          <w:lang w:val="en-US"/>
        </w:rPr>
        <w:t xml:space="preserve">Government on </w:t>
      </w:r>
      <w:r w:rsidR="0036051E">
        <w:rPr>
          <w:rFonts w:ascii="Calibri Light" w:eastAsia="Calibri Light" w:hAnsi="Calibri Light" w:cs="Calibri Light"/>
          <w:lang w:val="en-US"/>
        </w:rPr>
        <w:t>unit limit</w:t>
      </w:r>
      <w:r w:rsidR="00C36F20">
        <w:rPr>
          <w:rFonts w:ascii="Calibri Light" w:eastAsia="Calibri Light" w:hAnsi="Calibri Light" w:cs="Calibri Light"/>
          <w:lang w:val="en-US"/>
        </w:rPr>
        <w:t>s</w:t>
      </w:r>
      <w:r w:rsidR="0036051E">
        <w:rPr>
          <w:rFonts w:ascii="Calibri Light" w:eastAsia="Calibri Light" w:hAnsi="Calibri Light" w:cs="Calibri Light"/>
          <w:lang w:val="en-US"/>
        </w:rPr>
        <w:t xml:space="preserve"> and price control</w:t>
      </w:r>
      <w:r w:rsidRPr="53355F43">
        <w:rPr>
          <w:rFonts w:ascii="Calibri Light" w:eastAsia="Calibri Light" w:hAnsi="Calibri Light" w:cs="Calibri Light"/>
          <w:lang w:val="en-US"/>
        </w:rPr>
        <w:t xml:space="preserve"> settings for the New Zealand Emissions Trading Scheme.</w:t>
      </w:r>
    </w:p>
    <w:p w14:paraId="5016853A" w14:textId="3A712A3B" w:rsidR="00B8393B" w:rsidRDefault="00A72C90" w:rsidP="008535C0">
      <w:r w:rsidRPr="008535C0">
        <w:t xml:space="preserve">The New Zealand </w:t>
      </w:r>
      <w:r w:rsidRPr="00BD16A5">
        <w:t xml:space="preserve">Emissions Trading Scheme </w:t>
      </w:r>
      <w:r w:rsidR="00123EF1" w:rsidRPr="00BD16A5">
        <w:t>(NZ ETS)</w:t>
      </w:r>
      <w:r w:rsidRPr="00BD16A5">
        <w:t xml:space="preserve"> is </w:t>
      </w:r>
      <w:r w:rsidR="25DE3D6E" w:rsidRPr="00BD16A5">
        <w:t xml:space="preserve">the Government’s </w:t>
      </w:r>
      <w:r w:rsidR="00895A6A" w:rsidRPr="00BD16A5">
        <w:t xml:space="preserve">key policy tool for </w:t>
      </w:r>
      <w:r w:rsidRPr="00BD16A5">
        <w:t xml:space="preserve">reducing </w:t>
      </w:r>
      <w:r w:rsidR="008C7130" w:rsidRPr="00BA57FF">
        <w:t>domestic</w:t>
      </w:r>
      <w:r w:rsidR="008C7130" w:rsidRPr="00BD16A5">
        <w:t xml:space="preserve"> </w:t>
      </w:r>
      <w:r w:rsidRPr="00BD16A5">
        <w:t>greenhouse</w:t>
      </w:r>
      <w:r w:rsidRPr="008535C0">
        <w:t xml:space="preserve"> gas emissions.</w:t>
      </w:r>
    </w:p>
    <w:p w14:paraId="798FE863" w14:textId="5EF65DAE" w:rsidR="00A72C90" w:rsidRPr="008535C0" w:rsidRDefault="0093090E" w:rsidP="008535C0">
      <w:r>
        <w:t xml:space="preserve">He Pou a Rangi </w:t>
      </w:r>
      <w:r w:rsidR="00A91481">
        <w:t xml:space="preserve">Climate Change Commission </w:t>
      </w:r>
      <w:r w:rsidR="00752E9F">
        <w:t xml:space="preserve">provides annual advice on </w:t>
      </w:r>
      <w:r w:rsidR="006873EB">
        <w:t xml:space="preserve">the scheme’s </w:t>
      </w:r>
      <w:r w:rsidR="00682A03">
        <w:t>unit limit</w:t>
      </w:r>
      <w:r w:rsidR="00C36F20">
        <w:t>s</w:t>
      </w:r>
      <w:r w:rsidR="00682A03">
        <w:t xml:space="preserve"> and price control </w:t>
      </w:r>
      <w:r w:rsidR="006873EB">
        <w:t>settings</w:t>
      </w:r>
      <w:r w:rsidR="00682A03">
        <w:t xml:space="preserve"> (NZ ETS settings)</w:t>
      </w:r>
      <w:r w:rsidR="006873EB">
        <w:t>, and</w:t>
      </w:r>
      <w:r w:rsidR="00A70E7C">
        <w:t xml:space="preserve"> on</w:t>
      </w:r>
      <w:r w:rsidR="006873EB">
        <w:t xml:space="preserve"> any adjustments needed to </w:t>
      </w:r>
      <w:r w:rsidR="00637E98">
        <w:t xml:space="preserve">support emissions reduction </w:t>
      </w:r>
      <w:r w:rsidR="00F93270">
        <w:t>targets</w:t>
      </w:r>
      <w:r w:rsidR="00BA57FF">
        <w:t>.</w:t>
      </w:r>
      <w:r w:rsidR="00C1681B">
        <w:rPr>
          <w:rStyle w:val="FootnoteReference"/>
        </w:rPr>
        <w:footnoteReference w:id="8"/>
      </w:r>
    </w:p>
    <w:p w14:paraId="1EB151A7" w14:textId="34A8546F" w:rsidR="00C408A2" w:rsidRDefault="00A72C90">
      <w:r>
        <w:t>This is the fourth year the Commission has provided advice on NZ ETS settings. This advice covers the settings for 2026</w:t>
      </w:r>
      <w:r w:rsidR="00C03842">
        <w:t>–</w:t>
      </w:r>
      <w:r>
        <w:t>2030.</w:t>
      </w:r>
    </w:p>
    <w:p w14:paraId="7BF6FEE4" w14:textId="3D057557" w:rsidR="004D6F79" w:rsidRDefault="004D6F79" w:rsidP="004D6F79">
      <w:pPr>
        <w:pStyle w:val="Heading2nonumber"/>
      </w:pPr>
      <w:bookmarkStart w:id="10" w:name="_Toc195447218"/>
      <w:r>
        <w:t>The NZ ETS’s contribution to</w:t>
      </w:r>
      <w:r w:rsidRPr="00357AA8">
        <w:t xml:space="preserve"> emissions reduction </w:t>
      </w:r>
      <w:r w:rsidR="00EB4EA6">
        <w:t>targets</w:t>
      </w:r>
      <w:bookmarkEnd w:id="10"/>
    </w:p>
    <w:p w14:paraId="67B11522" w14:textId="33A18012" w:rsidR="00123AD4" w:rsidRDefault="00974710" w:rsidP="008033B1">
      <w:r>
        <w:t>The NZ ETS is</w:t>
      </w:r>
      <w:r w:rsidR="00D01A75">
        <w:t xml:space="preserve"> a market mechanism created to </w:t>
      </w:r>
      <w:r w:rsidR="00D82DBA">
        <w:t>incentivise</w:t>
      </w:r>
      <w:r w:rsidR="00345A0B">
        <w:t xml:space="preserve"> </w:t>
      </w:r>
      <w:r w:rsidR="003A0565">
        <w:t>reduction</w:t>
      </w:r>
      <w:r w:rsidR="00590989">
        <w:t>s in greenhouse gas emissions</w:t>
      </w:r>
      <w:r w:rsidR="003A0565">
        <w:t xml:space="preserve">. </w:t>
      </w:r>
      <w:r w:rsidR="00764832">
        <w:t xml:space="preserve">The scheme applies to </w:t>
      </w:r>
      <w:r w:rsidR="00A13419">
        <w:t xml:space="preserve">emissions from every </w:t>
      </w:r>
      <w:r w:rsidR="009667F0">
        <w:t xml:space="preserve">sector of Aotearoa New Zealand’s economy except </w:t>
      </w:r>
      <w:r w:rsidR="00A13419">
        <w:t>for agricultur</w:t>
      </w:r>
      <w:r w:rsidR="59026A5C">
        <w:t>e</w:t>
      </w:r>
      <w:r w:rsidR="008748B6">
        <w:t>.</w:t>
      </w:r>
      <w:r w:rsidRPr="05A94CC3">
        <w:rPr>
          <w:rStyle w:val="FootnoteReference"/>
        </w:rPr>
        <w:footnoteReference w:id="9"/>
      </w:r>
      <w:r w:rsidR="00123AD4">
        <w:t xml:space="preserve"> </w:t>
      </w:r>
      <w:r w:rsidR="00A13419">
        <w:t>The scheme</w:t>
      </w:r>
      <w:r w:rsidR="00123AD4">
        <w:t xml:space="preserve"> </w:t>
      </w:r>
      <w:r w:rsidR="009667F0">
        <w:t>covers about half of the country’s emissions.</w:t>
      </w:r>
    </w:p>
    <w:p w14:paraId="53886DD8" w14:textId="6203B758" w:rsidR="00A743D5" w:rsidRDefault="008033B1" w:rsidP="008033B1">
      <w:r>
        <w:t>By</w:t>
      </w:r>
      <w:r w:rsidR="001E3174">
        <w:t xml:space="preserve"> limit</w:t>
      </w:r>
      <w:r>
        <w:t>ing</w:t>
      </w:r>
      <w:r w:rsidR="001E3174">
        <w:t xml:space="preserve"> the volume of allowed emissions</w:t>
      </w:r>
      <w:r w:rsidR="00745E6C">
        <w:t xml:space="preserve"> the scheme</w:t>
      </w:r>
      <w:r w:rsidR="001E3174">
        <w:t xml:space="preserve"> </w:t>
      </w:r>
      <w:r w:rsidR="00745E6C">
        <w:t xml:space="preserve">imposes </w:t>
      </w:r>
      <w:r w:rsidR="00A743D5">
        <w:t>a cost on emissions</w:t>
      </w:r>
      <w:r w:rsidR="00E71837">
        <w:t>, which</w:t>
      </w:r>
      <w:r w:rsidR="00A743D5">
        <w:t xml:space="preserve"> </w:t>
      </w:r>
      <w:r w:rsidR="00A176AA">
        <w:t>creat</w:t>
      </w:r>
      <w:r w:rsidR="00F37BCD">
        <w:t>es</w:t>
      </w:r>
      <w:r w:rsidR="00A176AA">
        <w:t xml:space="preserve"> </w:t>
      </w:r>
      <w:r w:rsidR="00A743D5">
        <w:t>financial incentive</w:t>
      </w:r>
      <w:r>
        <w:t>s</w:t>
      </w:r>
      <w:r w:rsidR="00A743D5">
        <w:t xml:space="preserve"> for businesses, investors, landowners and consumers to pursue lower emission</w:t>
      </w:r>
      <w:r w:rsidR="0019125D">
        <w:t>s</w:t>
      </w:r>
      <w:r w:rsidR="00A743D5">
        <w:t xml:space="preserve"> options.</w:t>
      </w:r>
    </w:p>
    <w:p w14:paraId="2BCC377F" w14:textId="35E08B81" w:rsidR="00F3242C" w:rsidRDefault="00974710" w:rsidP="00974710">
      <w:r>
        <w:t xml:space="preserve">Under the scheme, market participants acquire units (known as ‘New Zealand Units’), </w:t>
      </w:r>
      <w:r w:rsidR="00323A5C">
        <w:t xml:space="preserve">with </w:t>
      </w:r>
      <w:r>
        <w:t xml:space="preserve">each </w:t>
      </w:r>
      <w:r w:rsidR="00323A5C">
        <w:t xml:space="preserve">unit </w:t>
      </w:r>
      <w:r>
        <w:t>allowing them to emit one tonne of CO</w:t>
      </w:r>
      <w:r w:rsidRPr="002457D2">
        <w:rPr>
          <w:vertAlign w:val="subscript"/>
        </w:rPr>
        <w:t>2</w:t>
      </w:r>
      <w:r>
        <w:t>e.</w:t>
      </w:r>
      <w:r w:rsidR="0076620E">
        <w:t xml:space="preserve"> </w:t>
      </w:r>
      <w:r w:rsidR="002B53A1">
        <w:t>The</w:t>
      </w:r>
      <w:r w:rsidR="00E50CE9">
        <w:t xml:space="preserve"> Government </w:t>
      </w:r>
      <w:r w:rsidR="002B53A1">
        <w:t xml:space="preserve">supplies units into the market </w:t>
      </w:r>
      <w:r w:rsidR="00BC324D">
        <w:t xml:space="preserve">in </w:t>
      </w:r>
      <w:r w:rsidR="00C95928">
        <w:t>several</w:t>
      </w:r>
      <w:r w:rsidR="00BC324D">
        <w:t xml:space="preserve"> ways. It </w:t>
      </w:r>
      <w:r w:rsidR="00F77421">
        <w:t xml:space="preserve">makes a limited number of units available through auctions. </w:t>
      </w:r>
      <w:r w:rsidR="00BC324D">
        <w:t>It</w:t>
      </w:r>
      <w:r>
        <w:t xml:space="preserve"> </w:t>
      </w:r>
      <w:r w:rsidR="00870A3A">
        <w:t>a</w:t>
      </w:r>
      <w:r w:rsidR="00B3049F">
        <w:t xml:space="preserve">llocates units </w:t>
      </w:r>
      <w:r w:rsidR="005B0A14">
        <w:t>for activities</w:t>
      </w:r>
      <w:r w:rsidR="00873A7D">
        <w:t xml:space="preserve"> </w:t>
      </w:r>
      <w:r w:rsidR="005B0A14">
        <w:t>(</w:t>
      </w:r>
      <w:r w:rsidR="000C3E89">
        <w:t xml:space="preserve">in particular </w:t>
      </w:r>
      <w:r w:rsidR="005B0A14">
        <w:t xml:space="preserve">forestry) </w:t>
      </w:r>
      <w:r w:rsidR="00873A7D">
        <w:t>that remove and store carbon</w:t>
      </w:r>
      <w:r w:rsidR="00C25F12">
        <w:t xml:space="preserve">. It </w:t>
      </w:r>
      <w:r w:rsidR="00F77421">
        <w:t>also</w:t>
      </w:r>
      <w:r w:rsidR="00E93AA5" w:rsidDel="00D53C19">
        <w:t xml:space="preserve"> </w:t>
      </w:r>
      <w:r w:rsidR="00D53C19">
        <w:t>allocates</w:t>
      </w:r>
      <w:r w:rsidR="00E93AA5">
        <w:t xml:space="preserve"> units </w:t>
      </w:r>
      <w:r w:rsidR="00B55BA5">
        <w:t>to</w:t>
      </w:r>
      <w:r w:rsidR="007477B1">
        <w:t xml:space="preserve"> </w:t>
      </w:r>
      <w:r w:rsidR="00C25F12">
        <w:t>some</w:t>
      </w:r>
      <w:r w:rsidR="007477B1">
        <w:t xml:space="preserve"> </w:t>
      </w:r>
      <w:r w:rsidR="001B5DA0">
        <w:t xml:space="preserve">industries </w:t>
      </w:r>
      <w:r w:rsidR="00F77421">
        <w:t>(</w:t>
      </w:r>
      <w:r w:rsidR="0034695C">
        <w:t>‘industrial free allocation’</w:t>
      </w:r>
      <w:r w:rsidR="00F77421">
        <w:t>)</w:t>
      </w:r>
      <w:r>
        <w:t xml:space="preserve">. </w:t>
      </w:r>
    </w:p>
    <w:p w14:paraId="33256BED" w14:textId="05491D5D" w:rsidR="00C26280" w:rsidRDefault="00F3242C" w:rsidP="00974710">
      <w:r>
        <w:t xml:space="preserve">Once </w:t>
      </w:r>
      <w:r w:rsidR="007D25B3">
        <w:t xml:space="preserve">emissions </w:t>
      </w:r>
      <w:r>
        <w:t>units are in the market, p</w:t>
      </w:r>
      <w:r w:rsidR="00974710">
        <w:t>articipants can buy and sell among themselves.</w:t>
      </w:r>
      <w:r>
        <w:t xml:space="preserve"> In this way, t</w:t>
      </w:r>
      <w:r w:rsidR="00974710">
        <w:t xml:space="preserve">he Government determines the volume of units available to market participants, but the market determines </w:t>
      </w:r>
      <w:r w:rsidR="00C26280">
        <w:t xml:space="preserve">the emissions price and </w:t>
      </w:r>
      <w:r w:rsidR="00974710">
        <w:t>how emissions will be reduced.</w:t>
      </w:r>
    </w:p>
    <w:p w14:paraId="17B54AC9" w14:textId="379D3EAB" w:rsidR="004954A7" w:rsidRPr="00E56C2D" w:rsidRDefault="00C26280" w:rsidP="00E56C2D">
      <w:r>
        <w:t xml:space="preserve">Auction volumes and price controls are designed to ensure that NZ ETS settings align with </w:t>
      </w:r>
      <w:r w:rsidR="00FB4888">
        <w:t xml:space="preserve">emissions budgets, </w:t>
      </w:r>
      <w:r w:rsidR="00094E0C">
        <w:t xml:space="preserve">the 2050 target, and </w:t>
      </w:r>
      <w:r w:rsidR="006D0A2E">
        <w:t xml:space="preserve">nationally determined contributions </w:t>
      </w:r>
      <w:r w:rsidR="00DD3F70">
        <w:t>under</w:t>
      </w:r>
      <w:r w:rsidR="006D0A2E">
        <w:t xml:space="preserve"> </w:t>
      </w:r>
      <w:r w:rsidR="00DD3F70">
        <w:t>the</w:t>
      </w:r>
      <w:r w:rsidR="006D0A2E">
        <w:t xml:space="preserve"> </w:t>
      </w:r>
      <w:r w:rsidR="006D0A2E" w:rsidRPr="00261F2D">
        <w:t>Paris Agreement</w:t>
      </w:r>
      <w:r w:rsidR="00F14B2A">
        <w:t>.</w:t>
      </w:r>
      <w:r w:rsidR="00BF498A">
        <w:rPr>
          <w:rStyle w:val="FootnoteReference"/>
        </w:rPr>
        <w:footnoteReference w:id="10"/>
      </w:r>
      <w:r w:rsidR="006D0A2E">
        <w:t xml:space="preserve"> </w:t>
      </w:r>
    </w:p>
    <w:p w14:paraId="2AAB396D" w14:textId="0744AFF5" w:rsidR="00934BC4" w:rsidRDefault="00934BC4">
      <w:pPr>
        <w:spacing w:before="0" w:after="0" w:line="240" w:lineRule="auto"/>
      </w:pPr>
      <w:r>
        <w:br w:type="page"/>
      </w:r>
      <w:r>
        <w:rPr>
          <w:noProof/>
        </w:rPr>
        <w:lastRenderedPageBreak/>
        <mc:AlternateContent>
          <mc:Choice Requires="wps">
            <w:drawing>
              <wp:anchor distT="45720" distB="45720" distL="114300" distR="114300" simplePos="0" relativeHeight="251658248" behindDoc="1" locked="0" layoutInCell="1" allowOverlap="1" wp14:anchorId="781C70CE" wp14:editId="55799BE5">
                <wp:simplePos x="0" y="0"/>
                <wp:positionH relativeFrom="margin">
                  <wp:align>center</wp:align>
                </wp:positionH>
                <wp:positionV relativeFrom="margin">
                  <wp:align>top</wp:align>
                </wp:positionV>
                <wp:extent cx="6000750" cy="9057640"/>
                <wp:effectExtent l="0" t="0" r="0" b="0"/>
                <wp:wrapSquare wrapText="bothSides"/>
                <wp:docPr id="362351711" name="Text Box 362351711" descr="P72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057640"/>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left w:w="170" w:type="dxa"/>
                                <w:right w:w="170" w:type="dxa"/>
                              </w:tblCellMar>
                              <w:tblLook w:val="04A0" w:firstRow="1" w:lastRow="0" w:firstColumn="1" w:lastColumn="0" w:noHBand="0" w:noVBand="1"/>
                            </w:tblPr>
                            <w:tblGrid>
                              <w:gridCol w:w="4571"/>
                              <w:gridCol w:w="4567"/>
                            </w:tblGrid>
                            <w:tr w:rsidR="00934BC4" w14:paraId="2ACFDB2F" w14:textId="77777777" w:rsidTr="007B6941">
                              <w:tc>
                                <w:tcPr>
                                  <w:tcW w:w="4571" w:type="dxa"/>
                                  <w:shd w:val="clear" w:color="auto" w:fill="002060"/>
                                </w:tcPr>
                                <w:p w14:paraId="3EF115D4" w14:textId="77777777" w:rsidR="00934BC4" w:rsidRPr="005F4A6F" w:rsidRDefault="00934BC4">
                                  <w:pPr>
                                    <w:rPr>
                                      <w:b/>
                                      <w:bCs/>
                                    </w:rPr>
                                  </w:pPr>
                                  <w:r w:rsidRPr="005F4A6F">
                                    <w:rPr>
                                      <w:b/>
                                      <w:bCs/>
                                    </w:rPr>
                                    <w:t>Key points for decision-makers</w:t>
                                  </w:r>
                                </w:p>
                              </w:tc>
                              <w:tc>
                                <w:tcPr>
                                  <w:tcW w:w="4567" w:type="dxa"/>
                                  <w:shd w:val="clear" w:color="auto" w:fill="002060"/>
                                </w:tcPr>
                                <w:p w14:paraId="41DF33B7" w14:textId="77777777" w:rsidR="00934BC4" w:rsidRDefault="00934BC4"/>
                              </w:tc>
                            </w:tr>
                            <w:tr w:rsidR="00934BC4" w14:paraId="58A2D207" w14:textId="77777777">
                              <w:tc>
                                <w:tcPr>
                                  <w:tcW w:w="9138" w:type="dxa"/>
                                  <w:gridSpan w:val="2"/>
                                  <w:shd w:val="clear" w:color="auto" w:fill="0060A1"/>
                                </w:tcPr>
                                <w:p w14:paraId="03185C8A" w14:textId="77777777" w:rsidR="00934BC4" w:rsidRPr="006F32A0" w:rsidRDefault="00934BC4">
                                  <w:r w:rsidRPr="006F32A0">
                                    <w:rPr>
                                      <w:b/>
                                      <w:bCs/>
                                      <w:color w:val="FFFFFF" w:themeColor="background1"/>
                                    </w:rPr>
                                    <w:t>Context for our advice</w:t>
                                  </w:r>
                                </w:p>
                              </w:tc>
                            </w:tr>
                            <w:tr w:rsidR="00934BC4" w14:paraId="6979C1EA" w14:textId="77777777">
                              <w:tc>
                                <w:tcPr>
                                  <w:tcW w:w="9138" w:type="dxa"/>
                                  <w:gridSpan w:val="2"/>
                                  <w:shd w:val="clear" w:color="auto" w:fill="DEEAF6" w:themeFill="accent5" w:themeFillTint="33"/>
                                </w:tcPr>
                                <w:p w14:paraId="796043B6" w14:textId="77777777" w:rsidR="00934BC4" w:rsidRDefault="00934BC4" w:rsidP="00987F23">
                                  <w:pPr>
                                    <w:pStyle w:val="Bodybulletsforkeypoints"/>
                                    <w:numPr>
                                      <w:ilvl w:val="0"/>
                                      <w:numId w:val="6"/>
                                    </w:numPr>
                                    <w:spacing w:before="60" w:after="60"/>
                                    <w:ind w:left="284" w:hanging="284"/>
                                    <w:contextualSpacing w:val="0"/>
                                  </w:pPr>
                                  <w:r w:rsidRPr="575CA50D">
                                    <w:t>Since our 2024 advice the number of surplus units in the market has reduced more quickly than previously forecast.</w:t>
                                  </w:r>
                                </w:p>
                                <w:p w14:paraId="7D12A6E8" w14:textId="49875732" w:rsidR="00934BC4" w:rsidRDefault="00934BC4" w:rsidP="00987F23">
                                  <w:pPr>
                                    <w:pStyle w:val="Bodybulletsforkeypoints"/>
                                    <w:numPr>
                                      <w:ilvl w:val="0"/>
                                      <w:numId w:val="6"/>
                                    </w:numPr>
                                    <w:spacing w:before="60" w:after="60"/>
                                    <w:ind w:left="284" w:hanging="284"/>
                                    <w:contextualSpacing w:val="0"/>
                                  </w:pPr>
                                  <w:r w:rsidRPr="00763378">
                                    <w:t xml:space="preserve">The second emissions reduction plan </w:t>
                                  </w:r>
                                  <w:r>
                                    <w:t xml:space="preserve">emphasised the </w:t>
                                  </w:r>
                                  <w:r w:rsidRPr="00763378">
                                    <w:t>Government</w:t>
                                  </w:r>
                                  <w:r w:rsidR="00944279">
                                    <w:t>’</w:t>
                                  </w:r>
                                  <w:r w:rsidRPr="00763378">
                                    <w:t>s commitment to</w:t>
                                  </w:r>
                                  <w:r>
                                    <w:t xml:space="preserve"> a credible NZ ETS as the main tool for reducing domestic emissions</w:t>
                                  </w:r>
                                  <w:r w:rsidRPr="00763378">
                                    <w:t>.</w:t>
                                  </w:r>
                                </w:p>
                                <w:p w14:paraId="4F9A13FB" w14:textId="77777777" w:rsidR="00934BC4" w:rsidRPr="009A358C" w:rsidRDefault="00934BC4" w:rsidP="00987F23">
                                  <w:pPr>
                                    <w:pStyle w:val="Bodybulletsforkeypoints"/>
                                    <w:numPr>
                                      <w:ilvl w:val="0"/>
                                      <w:numId w:val="6"/>
                                    </w:numPr>
                                    <w:spacing w:before="60" w:after="60"/>
                                    <w:ind w:left="284" w:hanging="284"/>
                                    <w:contextualSpacing w:val="0"/>
                                  </w:pPr>
                                  <w:r w:rsidRPr="575CA50D">
                                    <w:t xml:space="preserve">Market confidence in the NZ ETS has improved but remains fragile. </w:t>
                                  </w:r>
                                  <w:r>
                                    <w:t xml:space="preserve">This advice aims to support a credible, predictable </w:t>
                                  </w:r>
                                  <w:r w:rsidRPr="009A358C">
                                    <w:t>and stable market.</w:t>
                                  </w:r>
                                </w:p>
                                <w:p w14:paraId="72D2A7F3" w14:textId="53011FDE" w:rsidR="00934BC4" w:rsidRDefault="00934BC4" w:rsidP="00987F23">
                                  <w:pPr>
                                    <w:pStyle w:val="Bodybulletsforkeypoints"/>
                                    <w:numPr>
                                      <w:ilvl w:val="0"/>
                                      <w:numId w:val="6"/>
                                    </w:numPr>
                                    <w:spacing w:before="60" w:after="60"/>
                                    <w:ind w:left="284" w:hanging="284"/>
                                    <w:contextualSpacing w:val="0"/>
                                  </w:pPr>
                                  <w:r w:rsidRPr="009A358C">
                                    <w:t>Some areas of uncertainty remain, particularly about how the country will meet emissions reduction targets for 2031–2035.</w:t>
                                  </w:r>
                                </w:p>
                                <w:p w14:paraId="64FD6E35" w14:textId="064D45E2" w:rsidR="00934BC4" w:rsidRDefault="003045AF" w:rsidP="00987F23">
                                  <w:pPr>
                                    <w:pStyle w:val="Bodybulletsforkeypoints"/>
                                    <w:numPr>
                                      <w:ilvl w:val="0"/>
                                      <w:numId w:val="6"/>
                                    </w:numPr>
                                    <w:spacing w:before="60" w:after="60"/>
                                    <w:ind w:left="284" w:hanging="284"/>
                                    <w:contextualSpacing w:val="0"/>
                                  </w:pPr>
                                  <w:r>
                                    <w:t>Our advice is aimed at ensuring that unit limit</w:t>
                                  </w:r>
                                  <w:r w:rsidR="00C36F20">
                                    <w:t>s</w:t>
                                  </w:r>
                                  <w:r>
                                    <w:t xml:space="preserve"> and price control settings, taken as a package, align with the Government’s emissions reduction targets.</w:t>
                                  </w:r>
                                </w:p>
                              </w:tc>
                            </w:tr>
                            <w:tr w:rsidR="00934BC4" w14:paraId="6F78334C" w14:textId="77777777">
                              <w:tc>
                                <w:tcPr>
                                  <w:tcW w:w="4571" w:type="dxa"/>
                                  <w:shd w:val="clear" w:color="auto" w:fill="0060A1"/>
                                </w:tcPr>
                                <w:p w14:paraId="7F1125F7" w14:textId="77777777" w:rsidR="00934BC4" w:rsidRPr="006F32A0" w:rsidRDefault="00934BC4">
                                  <w:pPr>
                                    <w:rPr>
                                      <w:b/>
                                      <w:bCs/>
                                    </w:rPr>
                                  </w:pPr>
                                  <w:r w:rsidRPr="006F32A0">
                                    <w:rPr>
                                      <w:b/>
                                      <w:bCs/>
                                      <w:color w:val="FFFFFF" w:themeColor="background1"/>
                                    </w:rPr>
                                    <w:t>Advice on unit limits</w:t>
                                  </w:r>
                                </w:p>
                              </w:tc>
                              <w:tc>
                                <w:tcPr>
                                  <w:tcW w:w="4567" w:type="dxa"/>
                                  <w:shd w:val="clear" w:color="auto" w:fill="2E74B5" w:themeFill="accent5" w:themeFillShade="BF"/>
                                </w:tcPr>
                                <w:p w14:paraId="4FEA6D84" w14:textId="77777777" w:rsidR="00934BC4" w:rsidRPr="006F32A0" w:rsidRDefault="00934BC4">
                                  <w:pPr>
                                    <w:rPr>
                                      <w:b/>
                                      <w:bCs/>
                                    </w:rPr>
                                  </w:pPr>
                                  <w:r w:rsidRPr="006F32A0">
                                    <w:rPr>
                                      <w:b/>
                                      <w:bCs/>
                                      <w:color w:val="FFFFFF" w:themeColor="background1"/>
                                    </w:rPr>
                                    <w:t>Advice on price controls</w:t>
                                  </w:r>
                                </w:p>
                              </w:tc>
                            </w:tr>
                            <w:tr w:rsidR="00934BC4" w14:paraId="735923AA" w14:textId="77777777">
                              <w:tc>
                                <w:tcPr>
                                  <w:tcW w:w="4571" w:type="dxa"/>
                                  <w:shd w:val="clear" w:color="auto" w:fill="DEEAF6" w:themeFill="accent5" w:themeFillTint="33"/>
                                </w:tcPr>
                                <w:p w14:paraId="5F963858" w14:textId="77777777" w:rsidR="00934BC4" w:rsidRDefault="00934BC4" w:rsidP="00987F23">
                                  <w:pPr>
                                    <w:pStyle w:val="Bodybulletsforkeypoints"/>
                                    <w:numPr>
                                      <w:ilvl w:val="0"/>
                                      <w:numId w:val="6"/>
                                    </w:numPr>
                                    <w:spacing w:before="60" w:after="60"/>
                                    <w:ind w:left="284" w:hanging="284"/>
                                    <w:contextualSpacing w:val="0"/>
                                  </w:pPr>
                                  <w:r w:rsidRPr="575CA50D">
                                    <w:t>The earlier reduction in surplus means more units can be made available for auction than previously forecast, while remaining aligned with emissions reduction targets.</w:t>
                                  </w:r>
                                </w:p>
                                <w:p w14:paraId="20FC651B" w14:textId="58A16A95" w:rsidR="00934BC4" w:rsidRDefault="00934BC4" w:rsidP="00987F23">
                                  <w:pPr>
                                    <w:pStyle w:val="Bodybulletsforkeypoints"/>
                                    <w:numPr>
                                      <w:ilvl w:val="0"/>
                                      <w:numId w:val="6"/>
                                    </w:numPr>
                                    <w:spacing w:before="60" w:after="60"/>
                                    <w:ind w:left="284" w:hanging="284"/>
                                    <w:contextualSpacing w:val="0"/>
                                  </w:pPr>
                                  <w:r w:rsidRPr="575CA50D">
                                    <w:t>We recommend that there be no change to 2026 and 2027 auction volumes. In our assessment</w:t>
                                  </w:r>
                                  <w:r w:rsidR="00FC6094">
                                    <w:t>,</w:t>
                                  </w:r>
                                  <w:r w:rsidRPr="575CA50D">
                                    <w:t xml:space="preserve"> changes to the 2026 and 2027 settings are not justified. </w:t>
                                  </w:r>
                                </w:p>
                                <w:p w14:paraId="0DBF8E2F" w14:textId="2FEC4427" w:rsidR="00934BC4" w:rsidRDefault="00934BC4" w:rsidP="00987F23">
                                  <w:pPr>
                                    <w:pStyle w:val="Bodybulletsforkeypoints"/>
                                    <w:numPr>
                                      <w:ilvl w:val="0"/>
                                      <w:numId w:val="6"/>
                                    </w:numPr>
                                    <w:spacing w:before="60" w:after="60"/>
                                    <w:ind w:left="284" w:hanging="284"/>
                                    <w:contextualSpacing w:val="0"/>
                                  </w:pPr>
                                  <w:r w:rsidRPr="575CA50D">
                                    <w:t xml:space="preserve">Additional volumes could be offered in the years 2028–2030, subject to adequate price guardrails. Deferring the additional volumes until then would provide flexibility to adjust to any future changes in </w:t>
                                  </w:r>
                                  <w:r w:rsidR="002E49ED">
                                    <w:t xml:space="preserve">the </w:t>
                                  </w:r>
                                  <w:r w:rsidRPr="575CA50D">
                                    <w:t xml:space="preserve">forecast surplus or </w:t>
                                  </w:r>
                                  <w:r w:rsidR="002E49ED">
                                    <w:t>in</w:t>
                                  </w:r>
                                  <w:r w:rsidRPr="575CA50D">
                                    <w:t xml:space="preserve"> emissions.</w:t>
                                  </w:r>
                                </w:p>
                                <w:p w14:paraId="08BE5E98" w14:textId="77777777" w:rsidR="00934BC4" w:rsidRDefault="00934BC4"/>
                              </w:tc>
                              <w:tc>
                                <w:tcPr>
                                  <w:tcW w:w="4567" w:type="dxa"/>
                                  <w:shd w:val="clear" w:color="auto" w:fill="EBF3F9"/>
                                </w:tcPr>
                                <w:p w14:paraId="0A3FA592" w14:textId="4BF00EF8" w:rsidR="00934BC4" w:rsidRDefault="00934BC4" w:rsidP="00987F23">
                                  <w:pPr>
                                    <w:pStyle w:val="Bodybulletsforkeypoints"/>
                                    <w:numPr>
                                      <w:ilvl w:val="0"/>
                                      <w:numId w:val="6"/>
                                    </w:numPr>
                                    <w:spacing w:before="60" w:after="60"/>
                                    <w:ind w:left="284" w:hanging="284"/>
                                    <w:contextualSpacing w:val="0"/>
                                  </w:pPr>
                                  <w:r w:rsidRPr="575CA50D">
                                    <w:t>We recommend that the auction reserve price (ARP) and the cost containment reserve (CCR) price trigger</w:t>
                                  </w:r>
                                  <w:r w:rsidR="00070B2F">
                                    <w:t>s</w:t>
                                  </w:r>
                                  <w:r w:rsidRPr="575CA50D">
                                    <w:t xml:space="preserve"> remain at current levels, adjusted only for inflation.</w:t>
                                  </w:r>
                                </w:p>
                                <w:p w14:paraId="46BF75EE" w14:textId="77777777" w:rsidR="00934BC4" w:rsidRDefault="00934BC4" w:rsidP="00987F23">
                                  <w:pPr>
                                    <w:pStyle w:val="Bodybulletsforkeypoints"/>
                                    <w:numPr>
                                      <w:ilvl w:val="0"/>
                                      <w:numId w:val="6"/>
                                    </w:numPr>
                                    <w:spacing w:before="60" w:after="60"/>
                                    <w:ind w:left="284" w:hanging="284"/>
                                    <w:contextualSpacing w:val="0"/>
                                  </w:pPr>
                                  <w:r w:rsidRPr="575CA50D">
                                    <w:t>The current settings are consistent with the Government’s emissions reduction targets</w:t>
                                  </w:r>
                                  <w:r>
                                    <w:t>, based on the evidence available now</w:t>
                                  </w:r>
                                  <w:r w:rsidRPr="575CA50D">
                                    <w:t>. Stability is critical while confidence in the NZ ETS remains fragile.</w:t>
                                  </w:r>
                                </w:p>
                                <w:p w14:paraId="3A1C0587" w14:textId="2F79FF95" w:rsidR="00934BC4" w:rsidRDefault="00934BC4" w:rsidP="00987F23">
                                  <w:pPr>
                                    <w:pStyle w:val="Bodybulletsforkeypoints"/>
                                    <w:numPr>
                                      <w:ilvl w:val="0"/>
                                      <w:numId w:val="6"/>
                                    </w:numPr>
                                    <w:spacing w:before="60" w:after="60"/>
                                    <w:ind w:left="284" w:hanging="284"/>
                                    <w:contextualSpacing w:val="0"/>
                                  </w:pPr>
                                  <w:r w:rsidRPr="575CA50D">
                                    <w:t xml:space="preserve">We see no case for reducing the ARP, either now or in future. </w:t>
                                  </w:r>
                                  <w:r>
                                    <w:t xml:space="preserve">Lowering the ARP </w:t>
                                  </w:r>
                                  <w:r w:rsidRPr="575CA50D">
                                    <w:t xml:space="preserve">would undermine existing investments and those needed to meet </w:t>
                                  </w:r>
                                  <w:r>
                                    <w:t xml:space="preserve">the second </w:t>
                                  </w:r>
                                  <w:r w:rsidRPr="575CA50D">
                                    <w:t xml:space="preserve">emissions </w:t>
                                  </w:r>
                                  <w:r>
                                    <w:t>budget</w:t>
                                  </w:r>
                                  <w:r w:rsidRPr="575CA50D">
                                    <w:t>.</w:t>
                                  </w:r>
                                </w:p>
                                <w:p w14:paraId="61396EB6" w14:textId="039F6CAA" w:rsidR="00934BC4" w:rsidRDefault="00B441E9" w:rsidP="00987F23">
                                  <w:pPr>
                                    <w:pStyle w:val="Bodybulletsforkeypoints"/>
                                    <w:numPr>
                                      <w:ilvl w:val="0"/>
                                      <w:numId w:val="6"/>
                                    </w:numPr>
                                    <w:spacing w:before="60" w:after="60"/>
                                    <w:ind w:left="284" w:hanging="284"/>
                                    <w:contextualSpacing w:val="0"/>
                                  </w:pPr>
                                  <w:r>
                                    <w:t>It</w:t>
                                  </w:r>
                                  <w:r w:rsidR="006144A7">
                                    <w:t xml:space="preserve"> </w:t>
                                  </w:r>
                                  <w:r w:rsidR="006144A7" w:rsidRPr="00AA776B">
                                    <w:t xml:space="preserve">is </w:t>
                                  </w:r>
                                  <w:r>
                                    <w:t>possible</w:t>
                                  </w:r>
                                  <w:r w:rsidR="006144A7" w:rsidRPr="00AA776B">
                                    <w:t xml:space="preserve"> that p</w:t>
                                  </w:r>
                                  <w:r w:rsidR="00934BC4" w:rsidRPr="00AA776B">
                                    <w:t xml:space="preserve">rice control settings </w:t>
                                  </w:r>
                                  <w:r w:rsidR="002B7BAB" w:rsidRPr="00AA776B">
                                    <w:t xml:space="preserve">will </w:t>
                                  </w:r>
                                  <w:r w:rsidR="00934BC4" w:rsidRPr="00AA776B">
                                    <w:t>need to increase</w:t>
                                  </w:r>
                                  <w:r w:rsidR="00B8061F" w:rsidRPr="00AA776B">
                                    <w:t xml:space="preserve"> in the future</w:t>
                                  </w:r>
                                  <w:r>
                                    <w:t>, depending</w:t>
                                  </w:r>
                                  <w:r w:rsidR="00934BC4" w:rsidRPr="00AA776B">
                                    <w:t xml:space="preserve"> on </w:t>
                                  </w:r>
                                  <w:r w:rsidR="00554F29" w:rsidRPr="00AA776B">
                                    <w:t xml:space="preserve">the mix of </w:t>
                                  </w:r>
                                  <w:r w:rsidR="00934BC4" w:rsidRPr="00AA776B">
                                    <w:t>actions taken to reduce emissions in coming years. We will continue to monitor and analyse the currently highly uncertain evidence about what might be needed to meet the third emissions budget</w:t>
                                  </w:r>
                                  <w:r w:rsidR="001A5E8C">
                                    <w:t>,</w:t>
                                  </w:r>
                                  <w:r w:rsidR="00934BC4" w:rsidRPr="00AA776B">
                                    <w:t xml:space="preserve"> in our annual advice.</w:t>
                                  </w:r>
                                </w:p>
                              </w:tc>
                            </w:tr>
                          </w:tbl>
                          <w:p w14:paraId="3DBA3202" w14:textId="77777777" w:rsidR="00934BC4" w:rsidRDefault="00934BC4" w:rsidP="00934BC4"/>
                          <w:p w14:paraId="2B1D5D4E" w14:textId="77777777" w:rsidR="00934BC4" w:rsidRDefault="00934BC4" w:rsidP="00934BC4"/>
                          <w:p w14:paraId="2091465D" w14:textId="77777777" w:rsidR="00934BC4" w:rsidRDefault="00934BC4" w:rsidP="00934BC4"/>
                          <w:p w14:paraId="00452D23" w14:textId="77777777" w:rsidR="00934BC4" w:rsidRPr="001730F4" w:rsidRDefault="00934BC4" w:rsidP="00934B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C70CE" id="Text Box 362351711" o:spid="_x0000_s1033" type="#_x0000_t202" alt="P72TB9#y1" style="position:absolute;margin-left:0;margin-top:0;width:472.5pt;height:713.2pt;z-index:-251658232;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left w:w="170" w:type="dxa"/>
                          <w:right w:w="170" w:type="dxa"/>
                        </w:tblCellMar>
                        <w:tblLook w:val="04A0" w:firstRow="1" w:lastRow="0" w:firstColumn="1" w:lastColumn="0" w:noHBand="0" w:noVBand="1"/>
                      </w:tblPr>
                      <w:tblGrid>
                        <w:gridCol w:w="4571"/>
                        <w:gridCol w:w="4567"/>
                      </w:tblGrid>
                      <w:tr w:rsidR="00934BC4" w14:paraId="2ACFDB2F" w14:textId="77777777" w:rsidTr="007B6941">
                        <w:tc>
                          <w:tcPr>
                            <w:tcW w:w="4571" w:type="dxa"/>
                            <w:shd w:val="clear" w:color="auto" w:fill="002060"/>
                          </w:tcPr>
                          <w:p w14:paraId="3EF115D4" w14:textId="77777777" w:rsidR="00934BC4" w:rsidRPr="005F4A6F" w:rsidRDefault="00934BC4">
                            <w:pPr>
                              <w:rPr>
                                <w:b/>
                                <w:bCs/>
                              </w:rPr>
                            </w:pPr>
                            <w:r w:rsidRPr="005F4A6F">
                              <w:rPr>
                                <w:b/>
                                <w:bCs/>
                              </w:rPr>
                              <w:t>Key points for decision-makers</w:t>
                            </w:r>
                          </w:p>
                        </w:tc>
                        <w:tc>
                          <w:tcPr>
                            <w:tcW w:w="4567" w:type="dxa"/>
                            <w:shd w:val="clear" w:color="auto" w:fill="002060"/>
                          </w:tcPr>
                          <w:p w14:paraId="41DF33B7" w14:textId="77777777" w:rsidR="00934BC4" w:rsidRDefault="00934BC4"/>
                        </w:tc>
                      </w:tr>
                      <w:tr w:rsidR="00934BC4" w14:paraId="58A2D207" w14:textId="77777777">
                        <w:tc>
                          <w:tcPr>
                            <w:tcW w:w="9138" w:type="dxa"/>
                            <w:gridSpan w:val="2"/>
                            <w:shd w:val="clear" w:color="auto" w:fill="0060A1"/>
                          </w:tcPr>
                          <w:p w14:paraId="03185C8A" w14:textId="77777777" w:rsidR="00934BC4" w:rsidRPr="006F32A0" w:rsidRDefault="00934BC4">
                            <w:r w:rsidRPr="006F32A0">
                              <w:rPr>
                                <w:b/>
                                <w:bCs/>
                                <w:color w:val="FFFFFF" w:themeColor="background1"/>
                              </w:rPr>
                              <w:t>Context for our advice</w:t>
                            </w:r>
                          </w:p>
                        </w:tc>
                      </w:tr>
                      <w:tr w:rsidR="00934BC4" w14:paraId="6979C1EA" w14:textId="77777777">
                        <w:tc>
                          <w:tcPr>
                            <w:tcW w:w="9138" w:type="dxa"/>
                            <w:gridSpan w:val="2"/>
                            <w:shd w:val="clear" w:color="auto" w:fill="DEEAF6" w:themeFill="accent5" w:themeFillTint="33"/>
                          </w:tcPr>
                          <w:p w14:paraId="796043B6" w14:textId="77777777" w:rsidR="00934BC4" w:rsidRDefault="00934BC4" w:rsidP="00987F23">
                            <w:pPr>
                              <w:pStyle w:val="Bodybulletsforkeypoints"/>
                              <w:numPr>
                                <w:ilvl w:val="0"/>
                                <w:numId w:val="6"/>
                              </w:numPr>
                              <w:spacing w:before="60" w:after="60"/>
                              <w:ind w:left="284" w:hanging="284"/>
                              <w:contextualSpacing w:val="0"/>
                            </w:pPr>
                            <w:r w:rsidRPr="575CA50D">
                              <w:t>Since our 2024 advice the number of surplus units in the market has reduced more quickly than previously forecast.</w:t>
                            </w:r>
                          </w:p>
                          <w:p w14:paraId="7D12A6E8" w14:textId="49875732" w:rsidR="00934BC4" w:rsidRDefault="00934BC4" w:rsidP="00987F23">
                            <w:pPr>
                              <w:pStyle w:val="Bodybulletsforkeypoints"/>
                              <w:numPr>
                                <w:ilvl w:val="0"/>
                                <w:numId w:val="6"/>
                              </w:numPr>
                              <w:spacing w:before="60" w:after="60"/>
                              <w:ind w:left="284" w:hanging="284"/>
                              <w:contextualSpacing w:val="0"/>
                            </w:pPr>
                            <w:r w:rsidRPr="00763378">
                              <w:t xml:space="preserve">The second emissions reduction plan </w:t>
                            </w:r>
                            <w:r>
                              <w:t xml:space="preserve">emphasised the </w:t>
                            </w:r>
                            <w:r w:rsidRPr="00763378">
                              <w:t>Government</w:t>
                            </w:r>
                            <w:r w:rsidR="00944279">
                              <w:t>’</w:t>
                            </w:r>
                            <w:r w:rsidRPr="00763378">
                              <w:t>s commitment to</w:t>
                            </w:r>
                            <w:r>
                              <w:t xml:space="preserve"> a credible NZ ETS as the main tool for reducing domestic emissions</w:t>
                            </w:r>
                            <w:r w:rsidRPr="00763378">
                              <w:t>.</w:t>
                            </w:r>
                          </w:p>
                          <w:p w14:paraId="4F9A13FB" w14:textId="77777777" w:rsidR="00934BC4" w:rsidRPr="009A358C" w:rsidRDefault="00934BC4" w:rsidP="00987F23">
                            <w:pPr>
                              <w:pStyle w:val="Bodybulletsforkeypoints"/>
                              <w:numPr>
                                <w:ilvl w:val="0"/>
                                <w:numId w:val="6"/>
                              </w:numPr>
                              <w:spacing w:before="60" w:after="60"/>
                              <w:ind w:left="284" w:hanging="284"/>
                              <w:contextualSpacing w:val="0"/>
                            </w:pPr>
                            <w:r w:rsidRPr="575CA50D">
                              <w:t xml:space="preserve">Market confidence in the NZ ETS has improved but remains fragile. </w:t>
                            </w:r>
                            <w:r>
                              <w:t xml:space="preserve">This advice aims to support a credible, predictable </w:t>
                            </w:r>
                            <w:r w:rsidRPr="009A358C">
                              <w:t>and stable market.</w:t>
                            </w:r>
                          </w:p>
                          <w:p w14:paraId="72D2A7F3" w14:textId="53011FDE" w:rsidR="00934BC4" w:rsidRDefault="00934BC4" w:rsidP="00987F23">
                            <w:pPr>
                              <w:pStyle w:val="Bodybulletsforkeypoints"/>
                              <w:numPr>
                                <w:ilvl w:val="0"/>
                                <w:numId w:val="6"/>
                              </w:numPr>
                              <w:spacing w:before="60" w:after="60"/>
                              <w:ind w:left="284" w:hanging="284"/>
                              <w:contextualSpacing w:val="0"/>
                            </w:pPr>
                            <w:r w:rsidRPr="009A358C">
                              <w:t>Some areas of uncertainty remain, particularly about how the country will meet emissions reduction targets for 2031–2035.</w:t>
                            </w:r>
                          </w:p>
                          <w:p w14:paraId="64FD6E35" w14:textId="064D45E2" w:rsidR="00934BC4" w:rsidRDefault="003045AF" w:rsidP="00987F23">
                            <w:pPr>
                              <w:pStyle w:val="Bodybulletsforkeypoints"/>
                              <w:numPr>
                                <w:ilvl w:val="0"/>
                                <w:numId w:val="6"/>
                              </w:numPr>
                              <w:spacing w:before="60" w:after="60"/>
                              <w:ind w:left="284" w:hanging="284"/>
                              <w:contextualSpacing w:val="0"/>
                            </w:pPr>
                            <w:r>
                              <w:t>Our advice is aimed at ensuring that unit limit</w:t>
                            </w:r>
                            <w:r w:rsidR="00C36F20">
                              <w:t>s</w:t>
                            </w:r>
                            <w:r>
                              <w:t xml:space="preserve"> and price control settings, taken as a package, align with the Government’s emissions reduction targets.</w:t>
                            </w:r>
                          </w:p>
                        </w:tc>
                      </w:tr>
                      <w:tr w:rsidR="00934BC4" w14:paraId="6F78334C" w14:textId="77777777">
                        <w:tc>
                          <w:tcPr>
                            <w:tcW w:w="4571" w:type="dxa"/>
                            <w:shd w:val="clear" w:color="auto" w:fill="0060A1"/>
                          </w:tcPr>
                          <w:p w14:paraId="7F1125F7" w14:textId="77777777" w:rsidR="00934BC4" w:rsidRPr="006F32A0" w:rsidRDefault="00934BC4">
                            <w:pPr>
                              <w:rPr>
                                <w:b/>
                                <w:bCs/>
                              </w:rPr>
                            </w:pPr>
                            <w:r w:rsidRPr="006F32A0">
                              <w:rPr>
                                <w:b/>
                                <w:bCs/>
                                <w:color w:val="FFFFFF" w:themeColor="background1"/>
                              </w:rPr>
                              <w:t>Advice on unit limits</w:t>
                            </w:r>
                          </w:p>
                        </w:tc>
                        <w:tc>
                          <w:tcPr>
                            <w:tcW w:w="4567" w:type="dxa"/>
                            <w:shd w:val="clear" w:color="auto" w:fill="2E74B5" w:themeFill="accent5" w:themeFillShade="BF"/>
                          </w:tcPr>
                          <w:p w14:paraId="4FEA6D84" w14:textId="77777777" w:rsidR="00934BC4" w:rsidRPr="006F32A0" w:rsidRDefault="00934BC4">
                            <w:pPr>
                              <w:rPr>
                                <w:b/>
                                <w:bCs/>
                              </w:rPr>
                            </w:pPr>
                            <w:r w:rsidRPr="006F32A0">
                              <w:rPr>
                                <w:b/>
                                <w:bCs/>
                                <w:color w:val="FFFFFF" w:themeColor="background1"/>
                              </w:rPr>
                              <w:t>Advice on price controls</w:t>
                            </w:r>
                          </w:p>
                        </w:tc>
                      </w:tr>
                      <w:tr w:rsidR="00934BC4" w14:paraId="735923AA" w14:textId="77777777">
                        <w:tc>
                          <w:tcPr>
                            <w:tcW w:w="4571" w:type="dxa"/>
                            <w:shd w:val="clear" w:color="auto" w:fill="DEEAF6" w:themeFill="accent5" w:themeFillTint="33"/>
                          </w:tcPr>
                          <w:p w14:paraId="5F963858" w14:textId="77777777" w:rsidR="00934BC4" w:rsidRDefault="00934BC4" w:rsidP="00987F23">
                            <w:pPr>
                              <w:pStyle w:val="Bodybulletsforkeypoints"/>
                              <w:numPr>
                                <w:ilvl w:val="0"/>
                                <w:numId w:val="6"/>
                              </w:numPr>
                              <w:spacing w:before="60" w:after="60"/>
                              <w:ind w:left="284" w:hanging="284"/>
                              <w:contextualSpacing w:val="0"/>
                            </w:pPr>
                            <w:r w:rsidRPr="575CA50D">
                              <w:t>The earlier reduction in surplus means more units can be made available for auction than previously forecast, while remaining aligned with emissions reduction targets.</w:t>
                            </w:r>
                          </w:p>
                          <w:p w14:paraId="20FC651B" w14:textId="58A16A95" w:rsidR="00934BC4" w:rsidRDefault="00934BC4" w:rsidP="00987F23">
                            <w:pPr>
                              <w:pStyle w:val="Bodybulletsforkeypoints"/>
                              <w:numPr>
                                <w:ilvl w:val="0"/>
                                <w:numId w:val="6"/>
                              </w:numPr>
                              <w:spacing w:before="60" w:after="60"/>
                              <w:ind w:left="284" w:hanging="284"/>
                              <w:contextualSpacing w:val="0"/>
                            </w:pPr>
                            <w:r w:rsidRPr="575CA50D">
                              <w:t>We recommend that there be no change to 2026 and 2027 auction volumes. In our assessment</w:t>
                            </w:r>
                            <w:r w:rsidR="00FC6094">
                              <w:t>,</w:t>
                            </w:r>
                            <w:r w:rsidRPr="575CA50D">
                              <w:t xml:space="preserve"> changes to the 2026 and 2027 settings are not justified. </w:t>
                            </w:r>
                          </w:p>
                          <w:p w14:paraId="0DBF8E2F" w14:textId="2FEC4427" w:rsidR="00934BC4" w:rsidRDefault="00934BC4" w:rsidP="00987F23">
                            <w:pPr>
                              <w:pStyle w:val="Bodybulletsforkeypoints"/>
                              <w:numPr>
                                <w:ilvl w:val="0"/>
                                <w:numId w:val="6"/>
                              </w:numPr>
                              <w:spacing w:before="60" w:after="60"/>
                              <w:ind w:left="284" w:hanging="284"/>
                              <w:contextualSpacing w:val="0"/>
                            </w:pPr>
                            <w:r w:rsidRPr="575CA50D">
                              <w:t xml:space="preserve">Additional volumes could be offered in the years 2028–2030, subject to adequate price guardrails. Deferring the additional volumes until then would provide flexibility to adjust to any future changes in </w:t>
                            </w:r>
                            <w:r w:rsidR="002E49ED">
                              <w:t xml:space="preserve">the </w:t>
                            </w:r>
                            <w:r w:rsidRPr="575CA50D">
                              <w:t xml:space="preserve">forecast surplus or </w:t>
                            </w:r>
                            <w:r w:rsidR="002E49ED">
                              <w:t>in</w:t>
                            </w:r>
                            <w:r w:rsidRPr="575CA50D">
                              <w:t xml:space="preserve"> emissions.</w:t>
                            </w:r>
                          </w:p>
                          <w:p w14:paraId="08BE5E98" w14:textId="77777777" w:rsidR="00934BC4" w:rsidRDefault="00934BC4"/>
                        </w:tc>
                        <w:tc>
                          <w:tcPr>
                            <w:tcW w:w="4567" w:type="dxa"/>
                            <w:shd w:val="clear" w:color="auto" w:fill="EBF3F9"/>
                          </w:tcPr>
                          <w:p w14:paraId="0A3FA592" w14:textId="4BF00EF8" w:rsidR="00934BC4" w:rsidRDefault="00934BC4" w:rsidP="00987F23">
                            <w:pPr>
                              <w:pStyle w:val="Bodybulletsforkeypoints"/>
                              <w:numPr>
                                <w:ilvl w:val="0"/>
                                <w:numId w:val="6"/>
                              </w:numPr>
                              <w:spacing w:before="60" w:after="60"/>
                              <w:ind w:left="284" w:hanging="284"/>
                              <w:contextualSpacing w:val="0"/>
                            </w:pPr>
                            <w:r w:rsidRPr="575CA50D">
                              <w:t>We recommend that the auction reserve price (ARP) and the cost containment reserve (CCR) price trigger</w:t>
                            </w:r>
                            <w:r w:rsidR="00070B2F">
                              <w:t>s</w:t>
                            </w:r>
                            <w:r w:rsidRPr="575CA50D">
                              <w:t xml:space="preserve"> remain at current levels, adjusted only for inflation.</w:t>
                            </w:r>
                          </w:p>
                          <w:p w14:paraId="46BF75EE" w14:textId="77777777" w:rsidR="00934BC4" w:rsidRDefault="00934BC4" w:rsidP="00987F23">
                            <w:pPr>
                              <w:pStyle w:val="Bodybulletsforkeypoints"/>
                              <w:numPr>
                                <w:ilvl w:val="0"/>
                                <w:numId w:val="6"/>
                              </w:numPr>
                              <w:spacing w:before="60" w:after="60"/>
                              <w:ind w:left="284" w:hanging="284"/>
                              <w:contextualSpacing w:val="0"/>
                            </w:pPr>
                            <w:r w:rsidRPr="575CA50D">
                              <w:t>The current settings are consistent with the Government’s emissions reduction targets</w:t>
                            </w:r>
                            <w:r>
                              <w:t>, based on the evidence available now</w:t>
                            </w:r>
                            <w:r w:rsidRPr="575CA50D">
                              <w:t>. Stability is critical while confidence in the NZ ETS remains fragile.</w:t>
                            </w:r>
                          </w:p>
                          <w:p w14:paraId="3A1C0587" w14:textId="2F79FF95" w:rsidR="00934BC4" w:rsidRDefault="00934BC4" w:rsidP="00987F23">
                            <w:pPr>
                              <w:pStyle w:val="Bodybulletsforkeypoints"/>
                              <w:numPr>
                                <w:ilvl w:val="0"/>
                                <w:numId w:val="6"/>
                              </w:numPr>
                              <w:spacing w:before="60" w:after="60"/>
                              <w:ind w:left="284" w:hanging="284"/>
                              <w:contextualSpacing w:val="0"/>
                            </w:pPr>
                            <w:r w:rsidRPr="575CA50D">
                              <w:t xml:space="preserve">We see no case for reducing the ARP, either now or in future. </w:t>
                            </w:r>
                            <w:r>
                              <w:t xml:space="preserve">Lowering the ARP </w:t>
                            </w:r>
                            <w:r w:rsidRPr="575CA50D">
                              <w:t xml:space="preserve">would undermine existing investments and those needed to meet </w:t>
                            </w:r>
                            <w:r>
                              <w:t xml:space="preserve">the second </w:t>
                            </w:r>
                            <w:r w:rsidRPr="575CA50D">
                              <w:t xml:space="preserve">emissions </w:t>
                            </w:r>
                            <w:r>
                              <w:t>budget</w:t>
                            </w:r>
                            <w:r w:rsidRPr="575CA50D">
                              <w:t>.</w:t>
                            </w:r>
                          </w:p>
                          <w:p w14:paraId="61396EB6" w14:textId="039F6CAA" w:rsidR="00934BC4" w:rsidRDefault="00B441E9" w:rsidP="00987F23">
                            <w:pPr>
                              <w:pStyle w:val="Bodybulletsforkeypoints"/>
                              <w:numPr>
                                <w:ilvl w:val="0"/>
                                <w:numId w:val="6"/>
                              </w:numPr>
                              <w:spacing w:before="60" w:after="60"/>
                              <w:ind w:left="284" w:hanging="284"/>
                              <w:contextualSpacing w:val="0"/>
                            </w:pPr>
                            <w:r>
                              <w:t>It</w:t>
                            </w:r>
                            <w:r w:rsidR="006144A7">
                              <w:t xml:space="preserve"> </w:t>
                            </w:r>
                            <w:r w:rsidR="006144A7" w:rsidRPr="00AA776B">
                              <w:t xml:space="preserve">is </w:t>
                            </w:r>
                            <w:r>
                              <w:t>possible</w:t>
                            </w:r>
                            <w:r w:rsidR="006144A7" w:rsidRPr="00AA776B">
                              <w:t xml:space="preserve"> that p</w:t>
                            </w:r>
                            <w:r w:rsidR="00934BC4" w:rsidRPr="00AA776B">
                              <w:t xml:space="preserve">rice control settings </w:t>
                            </w:r>
                            <w:r w:rsidR="002B7BAB" w:rsidRPr="00AA776B">
                              <w:t xml:space="preserve">will </w:t>
                            </w:r>
                            <w:r w:rsidR="00934BC4" w:rsidRPr="00AA776B">
                              <w:t>need to increase</w:t>
                            </w:r>
                            <w:r w:rsidR="00B8061F" w:rsidRPr="00AA776B">
                              <w:t xml:space="preserve"> in the future</w:t>
                            </w:r>
                            <w:r>
                              <w:t>, depending</w:t>
                            </w:r>
                            <w:r w:rsidR="00934BC4" w:rsidRPr="00AA776B">
                              <w:t xml:space="preserve"> on </w:t>
                            </w:r>
                            <w:r w:rsidR="00554F29" w:rsidRPr="00AA776B">
                              <w:t xml:space="preserve">the mix of </w:t>
                            </w:r>
                            <w:r w:rsidR="00934BC4" w:rsidRPr="00AA776B">
                              <w:t>actions taken to reduce emissions in coming years. We will continue to monitor and analyse the currently highly uncertain evidence about what might be needed to meet the third emissions budget</w:t>
                            </w:r>
                            <w:r w:rsidR="001A5E8C">
                              <w:t>,</w:t>
                            </w:r>
                            <w:r w:rsidR="00934BC4" w:rsidRPr="00AA776B">
                              <w:t xml:space="preserve"> in our annual advice.</w:t>
                            </w:r>
                          </w:p>
                        </w:tc>
                      </w:tr>
                    </w:tbl>
                    <w:p w14:paraId="3DBA3202" w14:textId="77777777" w:rsidR="00934BC4" w:rsidRDefault="00934BC4" w:rsidP="00934BC4"/>
                    <w:p w14:paraId="2B1D5D4E" w14:textId="77777777" w:rsidR="00934BC4" w:rsidRDefault="00934BC4" w:rsidP="00934BC4"/>
                    <w:p w14:paraId="2091465D" w14:textId="77777777" w:rsidR="00934BC4" w:rsidRDefault="00934BC4" w:rsidP="00934BC4"/>
                    <w:p w14:paraId="00452D23" w14:textId="77777777" w:rsidR="00934BC4" w:rsidRPr="001730F4" w:rsidRDefault="00934BC4" w:rsidP="00934BC4"/>
                  </w:txbxContent>
                </v:textbox>
                <w10:wrap type="square" anchorx="margin" anchory="margin"/>
              </v:shape>
            </w:pict>
          </mc:Fallback>
        </mc:AlternateContent>
      </w:r>
      <w:r>
        <w:br w:type="page"/>
      </w:r>
    </w:p>
    <w:p w14:paraId="5278C596" w14:textId="542BAD7B" w:rsidR="004D6F79" w:rsidRDefault="005B71A2" w:rsidP="004D6F79">
      <w:pPr>
        <w:pStyle w:val="Heading2nonumber"/>
      </w:pPr>
      <w:bookmarkStart w:id="11" w:name="_Toc195447219"/>
      <w:r w:rsidRPr="005B71A2">
        <w:lastRenderedPageBreak/>
        <w:t>Context for this advice</w:t>
      </w:r>
      <w:bookmarkEnd w:id="11"/>
    </w:p>
    <w:p w14:paraId="5158671E" w14:textId="77777777" w:rsidR="00F17AB1" w:rsidRDefault="00F17AB1" w:rsidP="00F17AB1">
      <w:r>
        <w:t xml:space="preserve">Since our 2024 advice there have been changes in Government policy and market conditions affecting the operation of the NZ ETS. </w:t>
      </w:r>
    </w:p>
    <w:p w14:paraId="4778B8F3" w14:textId="09C45F7D" w:rsidR="00F17AB1" w:rsidRDefault="00F17AB1" w:rsidP="009670CB">
      <w:pPr>
        <w:pStyle w:val="Heading3"/>
      </w:pPr>
      <w:r>
        <w:t>Reduction in NZ ETS surplus units since our 2024 advice</w:t>
      </w:r>
    </w:p>
    <w:p w14:paraId="7D5C0DF4" w14:textId="63128931" w:rsidR="00F17AB1" w:rsidRDefault="00F17AB1" w:rsidP="00F17AB1">
      <w:r>
        <w:t>For the NZ ETS to effectively support reductions in greenhouse gas emissions, the number of units available for use in the scheme needs to decline in line with emissions budgets.</w:t>
      </w:r>
    </w:p>
    <w:p w14:paraId="4F903503" w14:textId="41849386" w:rsidR="00F17AB1" w:rsidRDefault="00F17AB1" w:rsidP="00F17AB1">
      <w:r>
        <w:t xml:space="preserve">In 2024 we advised that the number of units available in the market had grown significantly in </w:t>
      </w:r>
      <w:r w:rsidR="003B2893">
        <w:t xml:space="preserve">the </w:t>
      </w:r>
      <w:r>
        <w:t xml:space="preserve">preceding year, creating risks to the achievement of emissions budgets. Between mid-2022 and September 2023 that ‘surplus’ had grown to </w:t>
      </w:r>
      <w:r w:rsidRPr="00D97462">
        <w:t>68 million units</w:t>
      </w:r>
      <w:r>
        <w:t xml:space="preserve">, mainly due to a large increase in units allocated </w:t>
      </w:r>
      <w:r w:rsidR="003B2893">
        <w:t xml:space="preserve">for </w:t>
      </w:r>
      <w:r w:rsidR="002356CC">
        <w:t>forests registered in the NZ ETS</w:t>
      </w:r>
      <w:r>
        <w:t>.</w:t>
      </w:r>
    </w:p>
    <w:p w14:paraId="6A4E992A" w14:textId="6B4D46F5" w:rsidR="00F17AB1" w:rsidRDefault="00F17AB1" w:rsidP="00F17AB1">
      <w:r>
        <w:t xml:space="preserve">We advised the Government that the only means of reducing this surplus was to reduce the volume of units available </w:t>
      </w:r>
      <w:r w:rsidR="006E4BF2">
        <w:t>through</w:t>
      </w:r>
      <w:r>
        <w:t xml:space="preserve"> NZ ETS auctions. The Government responded by reducing the volume of units available for auction over the period 2025</w:t>
      </w:r>
      <w:r w:rsidR="00C03842">
        <w:t>–</w:t>
      </w:r>
      <w:r>
        <w:t>2029.</w:t>
      </w:r>
      <w:r w:rsidR="00435ADB">
        <w:t xml:space="preserve"> </w:t>
      </w:r>
    </w:p>
    <w:p w14:paraId="6C8F2180" w14:textId="4D45C1A7" w:rsidR="00F17AB1" w:rsidRDefault="00F17AB1" w:rsidP="00F17AB1">
      <w:r>
        <w:t xml:space="preserve">Since we provided that advice, the surplus has </w:t>
      </w:r>
      <w:r w:rsidR="00927F95">
        <w:t>reduced</w:t>
      </w:r>
      <w:r>
        <w:t xml:space="preserve"> more quickly than anticipated and is now estimated to be just over </w:t>
      </w:r>
      <w:r w:rsidR="003B2893" w:rsidRPr="003B7721">
        <w:t>50</w:t>
      </w:r>
      <w:r w:rsidRPr="003B7721">
        <w:t xml:space="preserve"> million units</w:t>
      </w:r>
      <w:r>
        <w:t>.</w:t>
      </w:r>
      <w:r w:rsidR="00781FFC">
        <w:t xml:space="preserve"> </w:t>
      </w:r>
      <w:r>
        <w:t xml:space="preserve">There are several reasons for this. </w:t>
      </w:r>
      <w:r w:rsidR="00781FFC">
        <w:t xml:space="preserve">Fewer units were </w:t>
      </w:r>
      <w:r>
        <w:t xml:space="preserve">sold at auction than </w:t>
      </w:r>
      <w:r w:rsidR="00781FFC">
        <w:t>previously</w:t>
      </w:r>
      <w:r>
        <w:t xml:space="preserve"> forecast.</w:t>
      </w:r>
      <w:r w:rsidR="00322723">
        <w:rPr>
          <w:rStyle w:val="FootnoteReference"/>
        </w:rPr>
        <w:footnoteReference w:id="11"/>
      </w:r>
      <w:r>
        <w:t xml:space="preserve"> </w:t>
      </w:r>
      <w:r w:rsidR="00115BC6">
        <w:t>I</w:t>
      </w:r>
      <w:r>
        <w:t xml:space="preserve">ndustrial free allocation </w:t>
      </w:r>
      <w:r w:rsidR="7BD0FE40">
        <w:t xml:space="preserve">is also </w:t>
      </w:r>
      <w:r w:rsidR="00AF2568">
        <w:t xml:space="preserve">expected </w:t>
      </w:r>
      <w:r w:rsidR="7BD0FE40">
        <w:t>to be</w:t>
      </w:r>
      <w:r>
        <w:t xml:space="preserve"> lower than previously forecast</w:t>
      </w:r>
      <w:r w:rsidR="00AF3F73">
        <w:t>.</w:t>
      </w:r>
      <w:r w:rsidR="00AF3F73">
        <w:rPr>
          <w:rStyle w:val="FootnoteReference"/>
        </w:rPr>
        <w:footnoteReference w:id="12"/>
      </w:r>
      <w:r w:rsidR="00787F59">
        <w:t xml:space="preserve">  </w:t>
      </w:r>
      <w:r>
        <w:t xml:space="preserve">We have also </w:t>
      </w:r>
      <w:r w:rsidR="00B90593">
        <w:t xml:space="preserve">revised a </w:t>
      </w:r>
      <w:r>
        <w:t xml:space="preserve">technical adjustment and </w:t>
      </w:r>
      <w:r w:rsidR="00B90593">
        <w:t>made</w:t>
      </w:r>
      <w:r>
        <w:t xml:space="preserve"> refinements to our methodology for estimating the surplus. </w:t>
      </w:r>
    </w:p>
    <w:p w14:paraId="4A05160C" w14:textId="20F496A8" w:rsidR="00F17AB1" w:rsidRDefault="00F17AB1" w:rsidP="00F17AB1">
      <w:r>
        <w:t xml:space="preserve">We explain these changes in more detail in </w:t>
      </w:r>
      <w:r w:rsidRPr="00BB67C9">
        <w:rPr>
          <w:i/>
          <w:iCs/>
        </w:rPr>
        <w:t xml:space="preserve">Part </w:t>
      </w:r>
      <w:r w:rsidR="0004238C">
        <w:rPr>
          <w:i/>
          <w:iCs/>
        </w:rPr>
        <w:t>3</w:t>
      </w:r>
      <w:r w:rsidRPr="00BB67C9">
        <w:rPr>
          <w:i/>
          <w:iCs/>
        </w:rPr>
        <w:t xml:space="preserve">: </w:t>
      </w:r>
      <w:r w:rsidR="00E65F32">
        <w:rPr>
          <w:i/>
          <w:iCs/>
        </w:rPr>
        <w:t>Te herenga utu</w:t>
      </w:r>
      <w:r w:rsidR="00E65F32">
        <w:t xml:space="preserve"> – </w:t>
      </w:r>
      <w:r w:rsidRPr="00BB67C9">
        <w:rPr>
          <w:i/>
          <w:iCs/>
        </w:rPr>
        <w:t xml:space="preserve">Unit </w:t>
      </w:r>
      <w:r w:rsidR="00A82381">
        <w:rPr>
          <w:i/>
          <w:iCs/>
        </w:rPr>
        <w:t>l</w:t>
      </w:r>
      <w:r w:rsidRPr="00BB67C9">
        <w:rPr>
          <w:i/>
          <w:iCs/>
        </w:rPr>
        <w:t>imits</w:t>
      </w:r>
      <w:r>
        <w:t>.</w:t>
      </w:r>
    </w:p>
    <w:p w14:paraId="402BAF96" w14:textId="436E6210" w:rsidR="00F17AB1" w:rsidRDefault="00F17AB1" w:rsidP="00BB67C9">
      <w:pPr>
        <w:pStyle w:val="Heading3"/>
      </w:pPr>
      <w:r>
        <w:t>Policy changes since our 2024 advice</w:t>
      </w:r>
    </w:p>
    <w:p w14:paraId="60C19BB3" w14:textId="6B510BC0" w:rsidR="00B000F6" w:rsidRPr="007B19C1" w:rsidRDefault="00B000F6" w:rsidP="00B000F6">
      <w:r w:rsidRPr="007B19C1">
        <w:t>In recent years, we have heard enduring themes around the NZ ETS. This includes the effects of policy uncertainty on market confidence in the scheme, adding to barriers to invest</w:t>
      </w:r>
      <w:r>
        <w:t xml:space="preserve">ing in </w:t>
      </w:r>
      <w:r w:rsidR="00137C51">
        <w:t xml:space="preserve">planting </w:t>
      </w:r>
      <w:r w:rsidR="00702E1F">
        <w:t>new forests</w:t>
      </w:r>
      <w:r w:rsidRPr="007B19C1">
        <w:t xml:space="preserve">. We have also heard concerns around the impacts of </w:t>
      </w:r>
      <w:r w:rsidR="00137C51">
        <w:t>afforestation</w:t>
      </w:r>
      <w:r w:rsidRPr="007B19C1">
        <w:t xml:space="preserve"> on rural communities, and that the NZ ETS may not be effective at incentivising the uptake of low emissions technologies at pace and scale.</w:t>
      </w:r>
    </w:p>
    <w:p w14:paraId="7E7F0501" w14:textId="77777777" w:rsidR="00B000F6" w:rsidRPr="007B19C1" w:rsidRDefault="00B000F6" w:rsidP="00B000F6">
      <w:r w:rsidRPr="007B19C1">
        <w:t>The Government's second emissions reduction plan has reduced some uncertainty by signalling an approach to emissions reductions that is strongly centred on the NZ ETS and emphasising the Government’s commitment to restoring the credibility of, and confidence in, the scheme.</w:t>
      </w:r>
    </w:p>
    <w:p w14:paraId="69EFF58A" w14:textId="53341773" w:rsidR="00B000F6" w:rsidRPr="007B19C1" w:rsidRDefault="00B000F6" w:rsidP="00B000F6">
      <w:r w:rsidRPr="007B19C1">
        <w:t>At this stage, some uncertainty remains around the impacts of a proposed change to NZ ETS policy aimed at reducing conversion of farmland to forest, and about how the country will meet its 2021–2030 nationally determined contribution and its third (2031–2035) emissions budget.</w:t>
      </w:r>
    </w:p>
    <w:p w14:paraId="35ABAAD7" w14:textId="377431F2" w:rsidR="00B000F6" w:rsidRPr="007B19C1" w:rsidRDefault="00B000F6" w:rsidP="00B000F6">
      <w:r w:rsidRPr="007B19C1">
        <w:lastRenderedPageBreak/>
        <w:t xml:space="preserve">We discuss policy changes since our 2024 advice, and some structural issues still to be resolved, in </w:t>
      </w:r>
      <w:r w:rsidRPr="007B19C1">
        <w:rPr>
          <w:i/>
          <w:iCs/>
        </w:rPr>
        <w:t xml:space="preserve">Part 2: Te hanga me te </w:t>
      </w:r>
      <w:r w:rsidR="001D0995">
        <w:rPr>
          <w:i/>
          <w:iCs/>
        </w:rPr>
        <w:t>h</w:t>
      </w:r>
      <w:r w:rsidRPr="007B19C1">
        <w:rPr>
          <w:i/>
          <w:iCs/>
        </w:rPr>
        <w:t>aepapa o NZ ETS – Current state and role of the NZ ETS</w:t>
      </w:r>
      <w:r w:rsidRPr="007B19C1">
        <w:t xml:space="preserve"> of this advice.</w:t>
      </w:r>
    </w:p>
    <w:p w14:paraId="6AFF0EE6" w14:textId="77777777" w:rsidR="00F17AB1" w:rsidRDefault="00F17AB1" w:rsidP="006715A9">
      <w:pPr>
        <w:pStyle w:val="Heading3"/>
      </w:pPr>
      <w:r>
        <w:t>The international context</w:t>
      </w:r>
    </w:p>
    <w:p w14:paraId="55EB81C4" w14:textId="5A6A8572" w:rsidR="00F17AB1" w:rsidRDefault="00F17AB1" w:rsidP="00F17AB1">
      <w:r>
        <w:t>The year 2024 was the hottest on record, with the global mean surface temperature for the first time exceeding 1.5</w:t>
      </w:r>
      <w:r w:rsidR="001C2C7C" w:rsidRPr="001C2C7C">
        <w:rPr>
          <w:lang w:val="mi-NZ"/>
        </w:rPr>
        <w:t>˚</w:t>
      </w:r>
      <w:r w:rsidR="001C2C7C">
        <w:rPr>
          <w:lang w:val="mi-NZ"/>
        </w:rPr>
        <w:t xml:space="preserve">C </w:t>
      </w:r>
      <w:r>
        <w:t>above pre-industrial levels. The years 2015</w:t>
      </w:r>
      <w:r>
        <w:rPr>
          <w:rFonts w:cs="Calibri"/>
        </w:rPr>
        <w:t>–</w:t>
      </w:r>
      <w:r w:rsidR="004D134D">
        <w:rPr>
          <w:rFonts w:cs="Calibri"/>
        </w:rPr>
        <w:t>20</w:t>
      </w:r>
      <w:r>
        <w:t>24 are the ten warmest years on record.</w:t>
      </w:r>
      <w:r w:rsidR="005969DB">
        <w:rPr>
          <w:rStyle w:val="EndnoteReference"/>
        </w:rPr>
        <w:endnoteReference w:id="2"/>
      </w:r>
    </w:p>
    <w:p w14:paraId="46DE31EA" w14:textId="428F37B1" w:rsidR="00F17AB1" w:rsidRDefault="00F17AB1" w:rsidP="00F17AB1">
      <w:r>
        <w:t xml:space="preserve">Globally, </w:t>
      </w:r>
      <w:r w:rsidR="00577D79">
        <w:t xml:space="preserve">emissions </w:t>
      </w:r>
      <w:r w:rsidR="0007119E">
        <w:t xml:space="preserve">pricing policies </w:t>
      </w:r>
      <w:r w:rsidR="00187860">
        <w:t>continue to be important and</w:t>
      </w:r>
      <w:r>
        <w:t xml:space="preserve"> now cover </w:t>
      </w:r>
      <w:r w:rsidR="008C20B3">
        <w:t>24</w:t>
      </w:r>
      <w:r>
        <w:t>% of the world’s greenhouse gas emissions</w:t>
      </w:r>
      <w:r w:rsidR="005B4344">
        <w:t xml:space="preserve"> (including </w:t>
      </w:r>
      <w:r w:rsidR="00A04125">
        <w:t>China, the E</w:t>
      </w:r>
      <w:r w:rsidR="003F5793">
        <w:t xml:space="preserve">uropean </w:t>
      </w:r>
      <w:r w:rsidR="00A04125">
        <w:t>U</w:t>
      </w:r>
      <w:r w:rsidR="003F5793">
        <w:t>nion</w:t>
      </w:r>
      <w:r w:rsidR="00A04125">
        <w:t xml:space="preserve"> and </w:t>
      </w:r>
      <w:r w:rsidR="008C20B3">
        <w:t xml:space="preserve">several </w:t>
      </w:r>
      <w:r w:rsidR="00A43E21">
        <w:t xml:space="preserve">of the </w:t>
      </w:r>
      <w:r w:rsidR="00CB698E">
        <w:t xml:space="preserve">largest states in the </w:t>
      </w:r>
      <w:r w:rsidR="00A43E21">
        <w:t>United States</w:t>
      </w:r>
      <w:r w:rsidR="005B4344">
        <w:t>)</w:t>
      </w:r>
      <w:r w:rsidR="00403CC6">
        <w:t>.</w:t>
      </w:r>
    </w:p>
    <w:p w14:paraId="7E40E27B" w14:textId="320F3717" w:rsidR="004D6F79" w:rsidRDefault="00F17AB1" w:rsidP="004D6F79">
      <w:r>
        <w:t xml:space="preserve">Through the Paris Agreement, Aotearoa New Zealand has legal obligations to </w:t>
      </w:r>
      <w:r w:rsidR="00AA0B53">
        <w:t>pursue domestic efforts to</w:t>
      </w:r>
      <w:r>
        <w:t xml:space="preserve"> reduce emissions. </w:t>
      </w:r>
      <w:r w:rsidR="00E15959">
        <w:t>E</w:t>
      </w:r>
      <w:r w:rsidR="00B274D0">
        <w:t xml:space="preserve">xport customers and </w:t>
      </w:r>
      <w:r w:rsidR="00430153">
        <w:t xml:space="preserve">trading partners </w:t>
      </w:r>
      <w:r w:rsidR="00434A52">
        <w:t>increasingly expect to see robust measures</w:t>
      </w:r>
      <w:r>
        <w:t xml:space="preserve"> </w:t>
      </w:r>
      <w:r w:rsidR="00434A52">
        <w:t xml:space="preserve">in place </w:t>
      </w:r>
      <w:r>
        <w:t>to reduce emissions.</w:t>
      </w:r>
    </w:p>
    <w:p w14:paraId="170D3813" w14:textId="675F9981" w:rsidR="000D5534" w:rsidRDefault="000D5534" w:rsidP="000D5534">
      <w:pPr>
        <w:pStyle w:val="Heading3"/>
      </w:pPr>
      <w:r>
        <w:t>Engagement</w:t>
      </w:r>
    </w:p>
    <w:p w14:paraId="21AD5524" w14:textId="02C8E6A9" w:rsidR="00B55C22" w:rsidRPr="000D5534" w:rsidRDefault="000D5534" w:rsidP="000D5534">
      <w:r>
        <w:t xml:space="preserve">Our advice is informed by </w:t>
      </w:r>
      <w:r w:rsidR="00B55C22">
        <w:t xml:space="preserve">engagement with </w:t>
      </w:r>
      <w:r w:rsidR="005916CC">
        <w:t xml:space="preserve">a </w:t>
      </w:r>
      <w:r w:rsidR="009F55F3">
        <w:t xml:space="preserve">selection of </w:t>
      </w:r>
      <w:r w:rsidR="002812B8">
        <w:t>iwi/Māori</w:t>
      </w:r>
      <w:r w:rsidR="1A27A6C6">
        <w:t>, market participants</w:t>
      </w:r>
      <w:r w:rsidR="002812B8">
        <w:t xml:space="preserve"> and stakeholders</w:t>
      </w:r>
      <w:r w:rsidR="00D73571">
        <w:t xml:space="preserve"> in</w:t>
      </w:r>
      <w:r w:rsidR="2A0C4A24">
        <w:t>terested</w:t>
      </w:r>
      <w:r w:rsidR="000735CF">
        <w:t xml:space="preserve"> in the </w:t>
      </w:r>
      <w:r w:rsidR="00C2494B">
        <w:t>NZ ETS</w:t>
      </w:r>
      <w:r w:rsidR="002812B8">
        <w:t xml:space="preserve">. </w:t>
      </w:r>
      <w:r w:rsidR="533C4E74">
        <w:t>Market</w:t>
      </w:r>
      <w:r w:rsidR="00742071">
        <w:t xml:space="preserve"> </w:t>
      </w:r>
      <w:r w:rsidR="006356B3">
        <w:t xml:space="preserve">participants </w:t>
      </w:r>
      <w:r w:rsidR="00742071">
        <w:t xml:space="preserve">told us that confidence </w:t>
      </w:r>
      <w:r w:rsidR="533C4E74">
        <w:t>was recovering</w:t>
      </w:r>
      <w:r w:rsidR="00915532">
        <w:t>,</w:t>
      </w:r>
      <w:r w:rsidR="00742071">
        <w:t xml:space="preserve"> </w:t>
      </w:r>
      <w:r w:rsidR="00811519">
        <w:t>but remained vulnerable</w:t>
      </w:r>
      <w:r w:rsidR="0071748B">
        <w:t xml:space="preserve"> to any signs of </w:t>
      </w:r>
      <w:r w:rsidR="0004681E">
        <w:t xml:space="preserve">uncertainty </w:t>
      </w:r>
      <w:r w:rsidR="533C4E74">
        <w:t xml:space="preserve">in policies </w:t>
      </w:r>
      <w:r w:rsidR="0071748B">
        <w:t>or</w:t>
      </w:r>
      <w:r w:rsidR="0004681E">
        <w:t xml:space="preserve"> </w:t>
      </w:r>
      <w:r w:rsidR="533C4E74">
        <w:t>condit</w:t>
      </w:r>
      <w:r w:rsidR="7C5F9B36">
        <w:t>ions affecting the scheme.</w:t>
      </w:r>
      <w:r w:rsidR="006C605C">
        <w:t xml:space="preserve"> Through our engagement with </w:t>
      </w:r>
      <w:r w:rsidR="009B6A86">
        <w:t xml:space="preserve">iwi/Māori groups, we heard </w:t>
      </w:r>
      <w:r w:rsidR="00111C21">
        <w:t xml:space="preserve">that </w:t>
      </w:r>
      <w:r w:rsidR="00925D19">
        <w:t>significant</w:t>
      </w:r>
      <w:r w:rsidR="009B6A86">
        <w:t xml:space="preserve"> economic opportunities </w:t>
      </w:r>
      <w:r w:rsidR="00925D19">
        <w:t xml:space="preserve">are </w:t>
      </w:r>
      <w:r w:rsidR="009B6A86">
        <w:t>available through forestry in the NZ ETS. We also hear</w:t>
      </w:r>
      <w:r w:rsidR="005A5277">
        <w:t>d</w:t>
      </w:r>
      <w:r w:rsidR="009B6A86">
        <w:t xml:space="preserve"> that there were</w:t>
      </w:r>
      <w:r w:rsidR="7C5F9B36">
        <w:t xml:space="preserve"> </w:t>
      </w:r>
      <w:r w:rsidR="06F58C5A">
        <w:t xml:space="preserve">challenges to </w:t>
      </w:r>
      <w:r w:rsidR="009F55F3">
        <w:t xml:space="preserve">benefiting from </w:t>
      </w:r>
      <w:r w:rsidR="06F58C5A">
        <w:t xml:space="preserve">the scheme, due to a combination of uncertain and conflicting policies, the </w:t>
      </w:r>
      <w:r w:rsidR="36BFACA1">
        <w:t xml:space="preserve">scheme’s complexity, and the characteristics of collectively owned Māori land. </w:t>
      </w:r>
      <w:r w:rsidR="00E228E4" w:rsidRPr="008659E5">
        <w:rPr>
          <w:i/>
        </w:rPr>
        <w:t>Part 2</w:t>
      </w:r>
      <w:r w:rsidR="00E228E4">
        <w:rPr>
          <w:i/>
          <w:iCs/>
        </w:rPr>
        <w:t xml:space="preserve">: Te hanga me te </w:t>
      </w:r>
      <w:r w:rsidR="001D0995">
        <w:rPr>
          <w:i/>
          <w:iCs/>
        </w:rPr>
        <w:t>h</w:t>
      </w:r>
      <w:r w:rsidR="00E228E4">
        <w:rPr>
          <w:i/>
          <w:iCs/>
        </w:rPr>
        <w:t>aepapa o NZ ETS</w:t>
      </w:r>
      <w:r w:rsidR="00E228E4" w:rsidRPr="00F041B6">
        <w:rPr>
          <w:i/>
          <w:iCs/>
        </w:rPr>
        <w:t xml:space="preserve"> </w:t>
      </w:r>
      <w:r w:rsidR="00E228E4" w:rsidRPr="005B156E">
        <w:rPr>
          <w:i/>
        </w:rPr>
        <w:t>– Current state and role of the NZ ETS</w:t>
      </w:r>
      <w:r w:rsidR="00FA1E84">
        <w:t xml:space="preserve"> provides more detail on key themes from our engagement.</w:t>
      </w:r>
    </w:p>
    <w:p w14:paraId="20D4C413" w14:textId="1E7BB00B" w:rsidR="004D6F79" w:rsidRDefault="00DE700A" w:rsidP="004D6F79">
      <w:pPr>
        <w:pStyle w:val="Heading2nonumber"/>
      </w:pPr>
      <w:bookmarkStart w:id="12" w:name="_Toc195447220"/>
      <w:r>
        <w:t>Advice on unit limits</w:t>
      </w:r>
      <w:bookmarkEnd w:id="12"/>
    </w:p>
    <w:p w14:paraId="63353BE0" w14:textId="21A2460A" w:rsidR="005B38A0" w:rsidRDefault="000B73EE" w:rsidP="002F12D2">
      <w:r>
        <w:t>Our advice on unit limits</w:t>
      </w:r>
      <w:r w:rsidR="004E24B9">
        <w:t xml:space="preserve"> </w:t>
      </w:r>
      <w:r w:rsidR="004A1687">
        <w:t xml:space="preserve">is aimed at ensuring that </w:t>
      </w:r>
      <w:r w:rsidR="002A5EF7">
        <w:t>NZ ETS settings align</w:t>
      </w:r>
      <w:r>
        <w:t xml:space="preserve"> </w:t>
      </w:r>
      <w:r w:rsidR="002A5EF7">
        <w:t xml:space="preserve">with </w:t>
      </w:r>
      <w:r w:rsidR="008438B4">
        <w:t>the</w:t>
      </w:r>
      <w:r>
        <w:t xml:space="preserve"> </w:t>
      </w:r>
      <w:r w:rsidR="00567171">
        <w:t>Government</w:t>
      </w:r>
      <w:r w:rsidR="008438B4">
        <w:t xml:space="preserve">’s </w:t>
      </w:r>
      <w:r w:rsidR="007E56D6">
        <w:t>emissions reduction</w:t>
      </w:r>
      <w:r w:rsidR="00567171">
        <w:t xml:space="preserve"> </w:t>
      </w:r>
      <w:r w:rsidR="00805746">
        <w:t>targets</w:t>
      </w:r>
      <w:r w:rsidR="00981CD8">
        <w:t xml:space="preserve">. </w:t>
      </w:r>
      <w:r w:rsidR="00BF5AB3">
        <w:t xml:space="preserve">We consider how many </w:t>
      </w:r>
      <w:r w:rsidR="0022290F">
        <w:t xml:space="preserve">surplus </w:t>
      </w:r>
      <w:r w:rsidR="00BF5AB3">
        <w:t xml:space="preserve">units are </w:t>
      </w:r>
      <w:r w:rsidR="002164D3">
        <w:t xml:space="preserve">already </w:t>
      </w:r>
      <w:r w:rsidR="006A0AC1">
        <w:t>in the market</w:t>
      </w:r>
      <w:r w:rsidR="0022290F">
        <w:t>, and how many</w:t>
      </w:r>
      <w:r w:rsidR="002164D3">
        <w:t xml:space="preserve"> </w:t>
      </w:r>
      <w:r w:rsidR="00193FB6">
        <w:t xml:space="preserve">units </w:t>
      </w:r>
      <w:r w:rsidR="006A0AC1">
        <w:t xml:space="preserve">are </w:t>
      </w:r>
      <w:r w:rsidR="002164D3">
        <w:t xml:space="preserve">forecast to enter </w:t>
      </w:r>
      <w:r w:rsidR="00FC7C1D">
        <w:t xml:space="preserve">(for example </w:t>
      </w:r>
      <w:r w:rsidR="006A0AC1">
        <w:t xml:space="preserve">through </w:t>
      </w:r>
      <w:r w:rsidR="0022290F">
        <w:t>industrial</w:t>
      </w:r>
      <w:r w:rsidR="00304E13">
        <w:t xml:space="preserve"> free</w:t>
      </w:r>
      <w:r w:rsidR="0022290F">
        <w:t xml:space="preserve"> allocation</w:t>
      </w:r>
      <w:r w:rsidR="00FC7C1D">
        <w:t>)</w:t>
      </w:r>
      <w:r w:rsidR="00F04E40">
        <w:t xml:space="preserve">. Remaining units </w:t>
      </w:r>
      <w:r w:rsidR="00AB7314">
        <w:t xml:space="preserve">under the </w:t>
      </w:r>
      <w:r w:rsidR="00F524A3">
        <w:t xml:space="preserve">NZ ETS </w:t>
      </w:r>
      <w:r w:rsidR="00E06F6A">
        <w:t xml:space="preserve">emissions </w:t>
      </w:r>
      <w:r w:rsidR="00AB7314">
        <w:t>cap can be made available at auction.</w:t>
      </w:r>
      <w:r w:rsidR="00092D66">
        <w:rPr>
          <w:rStyle w:val="FootnoteReference"/>
        </w:rPr>
        <w:footnoteReference w:id="13"/>
      </w:r>
    </w:p>
    <w:p w14:paraId="5D3D3F42" w14:textId="29DFB0DC" w:rsidR="00F6767B" w:rsidRDefault="002F12D2" w:rsidP="00F6767B">
      <w:r>
        <w:t>The surplus (</w:t>
      </w:r>
      <w:r w:rsidR="00E43076">
        <w:t>mentioned</w:t>
      </w:r>
      <w:r>
        <w:t xml:space="preserve"> earlier) has declined </w:t>
      </w:r>
      <w:r w:rsidR="00193FB6">
        <w:t xml:space="preserve">ahead of schedule </w:t>
      </w:r>
      <w:r>
        <w:t xml:space="preserve">since our 2024 advice and is forecast to </w:t>
      </w:r>
      <w:r w:rsidR="00193FB6">
        <w:t xml:space="preserve">reduce </w:t>
      </w:r>
      <w:r>
        <w:t>further in coming years. As a result, during the period 2026</w:t>
      </w:r>
      <w:r w:rsidR="00C03842">
        <w:t>–</w:t>
      </w:r>
      <w:r>
        <w:t xml:space="preserve">2030 the Government could auction </w:t>
      </w:r>
      <w:r w:rsidR="008A1EC5" w:rsidRPr="009448FA">
        <w:t xml:space="preserve">14 </w:t>
      </w:r>
      <w:r w:rsidRPr="009448FA">
        <w:t>million</w:t>
      </w:r>
      <w:r>
        <w:t xml:space="preserve"> more units than previously proposed</w:t>
      </w:r>
      <w:r w:rsidR="00BF0069">
        <w:t>,</w:t>
      </w:r>
      <w:r>
        <w:t xml:space="preserve"> while </w:t>
      </w:r>
      <w:r w:rsidR="00AC7687">
        <w:t>staying aligned with the second emissions budget</w:t>
      </w:r>
      <w:r w:rsidR="009B3706">
        <w:t xml:space="preserve"> (see </w:t>
      </w:r>
      <w:r w:rsidR="00BF4E90">
        <w:rPr>
          <w:b/>
          <w:bCs/>
        </w:rPr>
        <w:t>F</w:t>
      </w:r>
      <w:r w:rsidR="009B3706" w:rsidRPr="009B3706">
        <w:rPr>
          <w:b/>
          <w:bCs/>
        </w:rPr>
        <w:t>igure ES.1</w:t>
      </w:r>
      <w:r w:rsidR="009B3706">
        <w:t>)</w:t>
      </w:r>
      <w:r>
        <w:t>.</w:t>
      </w:r>
      <w:r w:rsidR="00F6767B">
        <w:t xml:space="preserve"> </w:t>
      </w:r>
    </w:p>
    <w:p w14:paraId="58CEF57E" w14:textId="2414EA3C" w:rsidR="00133506" w:rsidRDefault="00133506" w:rsidP="009916B9">
      <w:pPr>
        <w:pStyle w:val="FigureTabletitle"/>
        <w:spacing w:after="0" w:line="240" w:lineRule="auto"/>
      </w:pPr>
      <w:r>
        <w:lastRenderedPageBreak/>
        <w:t xml:space="preserve">Figure ES.1: </w:t>
      </w:r>
      <w:r w:rsidRPr="00D9060F">
        <w:rPr>
          <w:b w:val="0"/>
          <w:bCs w:val="0"/>
        </w:rPr>
        <w:t xml:space="preserve">NZ ETS </w:t>
      </w:r>
      <w:r w:rsidR="00801013">
        <w:rPr>
          <w:b w:val="0"/>
          <w:bCs w:val="0"/>
        </w:rPr>
        <w:t xml:space="preserve">emissions </w:t>
      </w:r>
      <w:r w:rsidRPr="00D9060F">
        <w:rPr>
          <w:b w:val="0"/>
          <w:bCs w:val="0"/>
        </w:rPr>
        <w:t>cap</w:t>
      </w:r>
      <w:r>
        <w:rPr>
          <w:b w:val="0"/>
          <w:bCs w:val="0"/>
        </w:rPr>
        <w:t>, pro</w:t>
      </w:r>
      <w:r w:rsidR="00DE673C">
        <w:rPr>
          <w:b w:val="0"/>
          <w:bCs w:val="0"/>
        </w:rPr>
        <w:t xml:space="preserve">posed </w:t>
      </w:r>
      <w:r>
        <w:rPr>
          <w:b w:val="0"/>
          <w:bCs w:val="0"/>
        </w:rPr>
        <w:t xml:space="preserve">surplus </w:t>
      </w:r>
      <w:r w:rsidR="00DE673C">
        <w:rPr>
          <w:b w:val="0"/>
          <w:bCs w:val="0"/>
        </w:rPr>
        <w:t>reduction</w:t>
      </w:r>
      <w:r>
        <w:rPr>
          <w:b w:val="0"/>
          <w:bCs w:val="0"/>
        </w:rPr>
        <w:t xml:space="preserve"> and auction volumes 2025–2030</w:t>
      </w:r>
    </w:p>
    <w:p w14:paraId="16ACD318" w14:textId="242EE1CC" w:rsidR="00133506" w:rsidRDefault="00B97B25" w:rsidP="00E64C19">
      <w:pPr>
        <w:spacing w:after="0"/>
      </w:pPr>
      <w:r w:rsidRPr="00B97B25">
        <w:rPr>
          <w:noProof/>
        </w:rPr>
        <w:drawing>
          <wp:inline distT="0" distB="0" distL="0" distR="0" wp14:anchorId="2C8DF4BB" wp14:editId="48B7369A">
            <wp:extent cx="5759450" cy="3382010"/>
            <wp:effectExtent l="0" t="0" r="0" b="8890"/>
            <wp:docPr id="746951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382010"/>
                    </a:xfrm>
                    <a:prstGeom prst="rect">
                      <a:avLst/>
                    </a:prstGeom>
                    <a:noFill/>
                    <a:ln>
                      <a:noFill/>
                    </a:ln>
                  </pic:spPr>
                </pic:pic>
              </a:graphicData>
            </a:graphic>
          </wp:inline>
        </w:drawing>
      </w:r>
    </w:p>
    <w:p w14:paraId="7B2ED678" w14:textId="2ADBDB58" w:rsidR="00907411" w:rsidRPr="003B7721" w:rsidRDefault="00907411" w:rsidP="00E64C19">
      <w:pPr>
        <w:pStyle w:val="FigureTabletitle"/>
        <w:spacing w:line="240" w:lineRule="auto"/>
        <w:rPr>
          <w:szCs w:val="20"/>
        </w:rPr>
      </w:pPr>
      <w:r w:rsidRPr="00E64C19">
        <w:rPr>
          <w:b w:val="0"/>
          <w:bCs w:val="0"/>
        </w:rPr>
        <w:t>Source: Commission analysis</w:t>
      </w:r>
    </w:p>
    <w:p w14:paraId="034966A5" w14:textId="3475D0CE" w:rsidR="002F12D2" w:rsidRDefault="004E4E0E" w:rsidP="002F12D2">
      <w:r>
        <w:t xml:space="preserve">We have </w:t>
      </w:r>
      <w:r w:rsidR="00712CC1">
        <w:t>assess</w:t>
      </w:r>
      <w:r>
        <w:t>ed</w:t>
      </w:r>
      <w:r w:rsidR="00712CC1">
        <w:t xml:space="preserve"> </w:t>
      </w:r>
      <w:r w:rsidR="00AA394B">
        <w:t xml:space="preserve">that making changes </w:t>
      </w:r>
      <w:r w:rsidR="00712CC1">
        <w:t xml:space="preserve">to the 2026 and 2027 </w:t>
      </w:r>
      <w:r w:rsidR="005B164C">
        <w:t xml:space="preserve">unit </w:t>
      </w:r>
      <w:r w:rsidR="00712CC1">
        <w:t>volumes</w:t>
      </w:r>
      <w:r w:rsidR="005B164C" w:rsidRPr="005B164C">
        <w:t xml:space="preserve"> </w:t>
      </w:r>
      <w:r w:rsidR="00AA394B">
        <w:t>is not justified or desirable</w:t>
      </w:r>
      <w:r w:rsidR="00712CC1">
        <w:t xml:space="preserve">. </w:t>
      </w:r>
      <w:r w:rsidR="002F12D2">
        <w:t xml:space="preserve">Deferring any increase </w:t>
      </w:r>
      <w:r w:rsidR="002114A5">
        <w:t>would</w:t>
      </w:r>
      <w:r w:rsidR="00317E43">
        <w:t xml:space="preserve"> </w:t>
      </w:r>
      <w:r w:rsidR="002F12D2">
        <w:t xml:space="preserve">also </w:t>
      </w:r>
      <w:r w:rsidR="002114A5">
        <w:t>support adaptive management, providing flexibility</w:t>
      </w:r>
      <w:r w:rsidR="002F12D2">
        <w:t xml:space="preserve"> to adjust to any future changes in </w:t>
      </w:r>
      <w:r w:rsidR="00543A68">
        <w:t xml:space="preserve">the </w:t>
      </w:r>
      <w:r w:rsidR="002F12D2">
        <w:t>forecast surplus or emissions. Auction volumes can be increased later</w:t>
      </w:r>
      <w:r w:rsidR="00AA394B">
        <w:t xml:space="preserve"> if necessary</w:t>
      </w:r>
      <w:r w:rsidR="002F12D2">
        <w:t>, whereas units sold now cannot be recovered.</w:t>
      </w:r>
    </w:p>
    <w:p w14:paraId="6764CBED" w14:textId="3838F09C" w:rsidR="002F12D2" w:rsidRDefault="0076596C" w:rsidP="002F12D2">
      <w:r>
        <w:t xml:space="preserve">We recommend that the </w:t>
      </w:r>
      <w:r w:rsidR="002F12D2">
        <w:t>increased</w:t>
      </w:r>
      <w:r w:rsidR="00A54A61">
        <w:t xml:space="preserve"> </w:t>
      </w:r>
      <w:r w:rsidR="002F12D2">
        <w:t>auction volumes during 2028</w:t>
      </w:r>
      <w:r w:rsidR="00C03842">
        <w:t>–</w:t>
      </w:r>
      <w:r w:rsidR="002F12D2">
        <w:t>2030 be averaged over the three years</w:t>
      </w:r>
      <w:r w:rsidR="00233C29">
        <w:t>, also</w:t>
      </w:r>
      <w:r w:rsidR="002F12D2">
        <w:t xml:space="preserve"> for </w:t>
      </w:r>
      <w:r w:rsidR="00233C29">
        <w:t>reasons of adaptive management</w:t>
      </w:r>
      <w:r w:rsidR="002F12D2">
        <w:t xml:space="preserve">. Auction volumes </w:t>
      </w:r>
      <w:r w:rsidR="00AA394B">
        <w:t xml:space="preserve">are expected to </w:t>
      </w:r>
      <w:r w:rsidR="002F12D2">
        <w:t xml:space="preserve">reduce again </w:t>
      </w:r>
      <w:r w:rsidR="00AA394B">
        <w:t xml:space="preserve">after </w:t>
      </w:r>
      <w:r w:rsidR="002F12D2">
        <w:t>2030.</w:t>
      </w:r>
    </w:p>
    <w:p w14:paraId="1D72C241" w14:textId="479E5729" w:rsidR="004D6F79" w:rsidRDefault="002F12D2" w:rsidP="002F12D2">
      <w:r>
        <w:t xml:space="preserve">See </w:t>
      </w:r>
      <w:r w:rsidR="004B5A91" w:rsidRPr="00BB67C9">
        <w:rPr>
          <w:i/>
          <w:iCs/>
        </w:rPr>
        <w:t xml:space="preserve">Part </w:t>
      </w:r>
      <w:r w:rsidR="004B5A91">
        <w:rPr>
          <w:i/>
          <w:iCs/>
        </w:rPr>
        <w:t>3</w:t>
      </w:r>
      <w:r w:rsidR="004B5A91" w:rsidRPr="00BB67C9">
        <w:rPr>
          <w:i/>
          <w:iCs/>
        </w:rPr>
        <w:t xml:space="preserve">: </w:t>
      </w:r>
      <w:r w:rsidR="004B5A91">
        <w:rPr>
          <w:i/>
          <w:iCs/>
        </w:rPr>
        <w:t>Te herenga utu</w:t>
      </w:r>
      <w:r w:rsidR="004B5A91">
        <w:t xml:space="preserve"> – </w:t>
      </w:r>
      <w:r w:rsidR="004B5A91" w:rsidRPr="00BB67C9">
        <w:rPr>
          <w:i/>
          <w:iCs/>
        </w:rPr>
        <w:t xml:space="preserve">Unit </w:t>
      </w:r>
      <w:r w:rsidR="00904BB5">
        <w:rPr>
          <w:i/>
          <w:iCs/>
        </w:rPr>
        <w:t>l</w:t>
      </w:r>
      <w:r w:rsidR="004B5A91" w:rsidRPr="00BB67C9">
        <w:rPr>
          <w:i/>
          <w:iCs/>
        </w:rPr>
        <w:t>imits</w:t>
      </w:r>
      <w:r>
        <w:t xml:space="preserve"> for </w:t>
      </w:r>
      <w:r w:rsidR="004B5A91">
        <w:t>our full</w:t>
      </w:r>
      <w:r>
        <w:t xml:space="preserve"> analysis.</w:t>
      </w:r>
    </w:p>
    <w:p w14:paraId="50BF6D1D" w14:textId="014D0321" w:rsidR="004D6F79" w:rsidRDefault="00DE700A" w:rsidP="004D6F79">
      <w:pPr>
        <w:pStyle w:val="Heading2nonumber"/>
      </w:pPr>
      <w:bookmarkStart w:id="13" w:name="_Toc195447221"/>
      <w:r>
        <w:t>Advice on price control settings</w:t>
      </w:r>
      <w:bookmarkEnd w:id="13"/>
    </w:p>
    <w:p w14:paraId="7D4B51F3" w14:textId="77376CAC" w:rsidR="004F7888" w:rsidRDefault="004F7888" w:rsidP="004F7888">
      <w:r>
        <w:t>The auction reserve price (ARP) is a floor below which units cannot be sold at auction. The cost containment reserve (</w:t>
      </w:r>
      <w:r w:rsidR="00D5532C">
        <w:t>CCR</w:t>
      </w:r>
      <w:r>
        <w:t xml:space="preserve">) is a price ceiling which, if reached </w:t>
      </w:r>
      <w:r w:rsidR="00D5532C">
        <w:t>at</w:t>
      </w:r>
      <w:r>
        <w:t xml:space="preserve"> auction, triggers the release of additional units.</w:t>
      </w:r>
      <w:r w:rsidR="00B46CE0">
        <w:t xml:space="preserve"> </w:t>
      </w:r>
      <w:r w:rsidR="00C12B54">
        <w:t>T</w:t>
      </w:r>
      <w:r>
        <w:t xml:space="preserve">hese price guardrails are important for </w:t>
      </w:r>
      <w:r w:rsidR="14E9C702">
        <w:t xml:space="preserve">creating and maintaining </w:t>
      </w:r>
      <w:r>
        <w:t>confidence in the NZ ETS</w:t>
      </w:r>
      <w:r w:rsidR="00C12B54">
        <w:t xml:space="preserve"> and for </w:t>
      </w:r>
      <w:r w:rsidR="00A72F95">
        <w:t xml:space="preserve">ensuring that the scheme aligns with the Government’s emissions reduction </w:t>
      </w:r>
      <w:r w:rsidR="00F93270">
        <w:t>targets</w:t>
      </w:r>
      <w:r>
        <w:t>.</w:t>
      </w:r>
    </w:p>
    <w:p w14:paraId="4976BD66" w14:textId="6AB0B299" w:rsidR="004F7888" w:rsidRDefault="004F7888" w:rsidP="004F7888">
      <w:r>
        <w:t xml:space="preserve">Our advice is that, for now, the ARP and </w:t>
      </w:r>
      <w:r w:rsidR="005A49AC">
        <w:t xml:space="preserve">CCR </w:t>
      </w:r>
      <w:r w:rsidR="48E190AD">
        <w:t xml:space="preserve">prices </w:t>
      </w:r>
      <w:r>
        <w:t xml:space="preserve">should remain at current levels, adjusted only for inflation. Stability is also critical at a time when confidence in </w:t>
      </w:r>
      <w:r w:rsidR="002F271E">
        <w:t>the</w:t>
      </w:r>
      <w:r>
        <w:t xml:space="preserve"> </w:t>
      </w:r>
      <w:r w:rsidR="00AA394B">
        <w:t xml:space="preserve">emissions </w:t>
      </w:r>
      <w:r>
        <w:t>market remains fragile.</w:t>
      </w:r>
      <w:r w:rsidR="00C40012">
        <w:t xml:space="preserve"> </w:t>
      </w:r>
      <w:r w:rsidR="0048656B" w:rsidRPr="002D31D7">
        <w:t>It may be necessary in future years to raise the ARP and CCR</w:t>
      </w:r>
      <w:r w:rsidR="00E94E5D">
        <w:t>, d</w:t>
      </w:r>
      <w:r>
        <w:t xml:space="preserve">epending on the </w:t>
      </w:r>
      <w:r w:rsidR="00AA394B">
        <w:t xml:space="preserve">scale </w:t>
      </w:r>
      <w:r>
        <w:t>of gross emissions reduction</w:t>
      </w:r>
      <w:r w:rsidR="00AA394B">
        <w:t>s</w:t>
      </w:r>
      <w:r>
        <w:t xml:space="preserve"> needed to meet the </w:t>
      </w:r>
      <w:r w:rsidR="00BE1426">
        <w:t>third</w:t>
      </w:r>
      <w:r>
        <w:t xml:space="preserve"> emissions budget</w:t>
      </w:r>
      <w:r w:rsidR="00982B1D">
        <w:t xml:space="preserve">. </w:t>
      </w:r>
      <w:r w:rsidR="00BC4EA1">
        <w:t xml:space="preserve">In some scenarios, </w:t>
      </w:r>
      <w:r>
        <w:t>unit prices may need to be significantly higher to support the necessary investment in reducing gross emissions.</w:t>
      </w:r>
      <w:r w:rsidR="00787F59">
        <w:t xml:space="preserve"> </w:t>
      </w:r>
      <w:r>
        <w:t xml:space="preserve">We will closely monitor </w:t>
      </w:r>
      <w:r w:rsidR="007C17BD">
        <w:t xml:space="preserve">relevant </w:t>
      </w:r>
      <w:r w:rsidR="00BC4EA1">
        <w:t>i</w:t>
      </w:r>
      <w:r w:rsidR="006977B6">
        <w:t>ndicators</w:t>
      </w:r>
      <w:r>
        <w:t xml:space="preserve"> in coming years</w:t>
      </w:r>
      <w:r w:rsidR="00325697">
        <w:t>, to</w:t>
      </w:r>
      <w:r w:rsidR="00B73326">
        <w:t xml:space="preserve"> </w:t>
      </w:r>
      <w:r>
        <w:t>consider wh</w:t>
      </w:r>
      <w:r w:rsidR="00B73326">
        <w:t>ether</w:t>
      </w:r>
      <w:r w:rsidR="00AA30D9">
        <w:t xml:space="preserve"> the ARP and CCR price levels </w:t>
      </w:r>
      <w:r w:rsidR="00B73326">
        <w:t xml:space="preserve">continue to </w:t>
      </w:r>
      <w:r w:rsidR="00483F23">
        <w:t xml:space="preserve">align </w:t>
      </w:r>
      <w:r>
        <w:t xml:space="preserve">with the </w:t>
      </w:r>
      <w:r w:rsidR="4832E69C">
        <w:t>third</w:t>
      </w:r>
      <w:r>
        <w:t xml:space="preserve"> emissions budget</w:t>
      </w:r>
      <w:r w:rsidR="00EB7070">
        <w:t xml:space="preserve"> and </w:t>
      </w:r>
      <w:r w:rsidR="00215153">
        <w:t xml:space="preserve">the </w:t>
      </w:r>
      <w:r w:rsidR="00EB7070">
        <w:t xml:space="preserve">second </w:t>
      </w:r>
      <w:r w:rsidR="00054F35">
        <w:t>na</w:t>
      </w:r>
      <w:r w:rsidR="006528CB">
        <w:t xml:space="preserve">tionally determined contribution </w:t>
      </w:r>
      <w:r w:rsidR="00EB7070">
        <w:t>(2031</w:t>
      </w:r>
      <w:r w:rsidR="004B6DB6">
        <w:t>–</w:t>
      </w:r>
      <w:r w:rsidR="00EB7070">
        <w:t>2035)</w:t>
      </w:r>
      <w:r w:rsidR="00435ADB">
        <w:t>.</w:t>
      </w:r>
    </w:p>
    <w:p w14:paraId="7E5BE929" w14:textId="611391C8" w:rsidR="004F7888" w:rsidRDefault="004F7888" w:rsidP="004F7888">
      <w:r>
        <w:lastRenderedPageBreak/>
        <w:t xml:space="preserve">We can see no case for reducing the ARP, either now or in </w:t>
      </w:r>
      <w:r w:rsidR="00BA5D6E">
        <w:t xml:space="preserve">the </w:t>
      </w:r>
      <w:r>
        <w:t xml:space="preserve">future. </w:t>
      </w:r>
      <w:r w:rsidR="00D66494">
        <w:t>We have heard from market participants that</w:t>
      </w:r>
      <w:r w:rsidR="00675469">
        <w:t>,</w:t>
      </w:r>
      <w:r w:rsidR="00D66494">
        <w:t xml:space="preserve"> d</w:t>
      </w:r>
      <w:r>
        <w:t xml:space="preserve">uring 2024, signals that the </w:t>
      </w:r>
      <w:r w:rsidR="004B6DB6">
        <w:t xml:space="preserve">Government might lower the </w:t>
      </w:r>
      <w:r>
        <w:t xml:space="preserve">ARP contributed to </w:t>
      </w:r>
      <w:r w:rsidR="00351D93">
        <w:t>volatile and low</w:t>
      </w:r>
      <w:r>
        <w:t xml:space="preserve"> </w:t>
      </w:r>
      <w:r w:rsidR="002D28CA">
        <w:t>unit</w:t>
      </w:r>
      <w:r>
        <w:t xml:space="preserve"> prices</w:t>
      </w:r>
      <w:r w:rsidR="00351D93">
        <w:t>,</w:t>
      </w:r>
      <w:r>
        <w:t xml:space="preserve"> and</w:t>
      </w:r>
      <w:r w:rsidR="00351D93">
        <w:t xml:space="preserve"> to declined</w:t>
      </w:r>
      <w:r>
        <w:t xml:space="preserve"> NZ ETS auctions. Any new signal </w:t>
      </w:r>
      <w:r w:rsidR="002F451A">
        <w:t>that the</w:t>
      </w:r>
      <w:r>
        <w:t xml:space="preserve"> ARP</w:t>
      </w:r>
      <w:r w:rsidR="00435ADB">
        <w:t xml:space="preserve"> </w:t>
      </w:r>
      <w:r w:rsidR="002F451A">
        <w:t xml:space="preserve">might be lowered </w:t>
      </w:r>
      <w:r>
        <w:t xml:space="preserve">would </w:t>
      </w:r>
      <w:r w:rsidR="00351D93">
        <w:t xml:space="preserve">be likely to </w:t>
      </w:r>
      <w:r>
        <w:t xml:space="preserve">further </w:t>
      </w:r>
      <w:r w:rsidR="00351D93">
        <w:t xml:space="preserve">damage </w:t>
      </w:r>
      <w:r w:rsidR="004924B4">
        <w:t xml:space="preserve">market </w:t>
      </w:r>
      <w:r>
        <w:t>confidence</w:t>
      </w:r>
      <w:r w:rsidR="004D1CD6">
        <w:t xml:space="preserve">. </w:t>
      </w:r>
      <w:r w:rsidR="00146116">
        <w:t>Lowering the ARP would</w:t>
      </w:r>
      <w:r w:rsidR="009D5EFF">
        <w:t xml:space="preserve"> undermine </w:t>
      </w:r>
      <w:r>
        <w:t>investment</w:t>
      </w:r>
      <w:r w:rsidR="00865CC7">
        <w:t>s</w:t>
      </w:r>
      <w:r>
        <w:t xml:space="preserve"> in emissions reduction</w:t>
      </w:r>
      <w:r w:rsidR="009F6F21">
        <w:t>s</w:t>
      </w:r>
      <w:r>
        <w:t xml:space="preserve">, </w:t>
      </w:r>
      <w:r w:rsidR="00865CC7">
        <w:t xml:space="preserve">and put achievement of </w:t>
      </w:r>
      <w:r>
        <w:t xml:space="preserve">the Government’s climate </w:t>
      </w:r>
      <w:r w:rsidR="00865CC7">
        <w:t>targets at risk</w:t>
      </w:r>
      <w:r>
        <w:t>.</w:t>
      </w:r>
    </w:p>
    <w:p w14:paraId="1B367A4F" w14:textId="53D42830" w:rsidR="003D777D" w:rsidRDefault="004B5A91" w:rsidP="004F7888">
      <w:r>
        <w:t xml:space="preserve">See </w:t>
      </w:r>
      <w:r w:rsidRPr="3FCFE27D">
        <w:rPr>
          <w:i/>
          <w:iCs/>
        </w:rPr>
        <w:t>Part 4: Te ritenga taura-utu</w:t>
      </w:r>
      <w:r>
        <w:t xml:space="preserve"> – </w:t>
      </w:r>
      <w:r w:rsidRPr="3FCFE27D">
        <w:rPr>
          <w:i/>
          <w:iCs/>
        </w:rPr>
        <w:t xml:space="preserve">Price control settings </w:t>
      </w:r>
      <w:r>
        <w:t>for our full analysis.</w:t>
      </w:r>
    </w:p>
    <w:p w14:paraId="04A311FD" w14:textId="25EB10D8" w:rsidR="00B44C32" w:rsidRDefault="001300F8" w:rsidP="00B44C32">
      <w:pPr>
        <w:pStyle w:val="Heading2nonumber"/>
      </w:pPr>
      <w:bookmarkStart w:id="14" w:name="_Toc195447222"/>
      <w:r>
        <w:t xml:space="preserve">Alignment </w:t>
      </w:r>
      <w:r w:rsidR="00B44C32">
        <w:t xml:space="preserve">of the recommended settings </w:t>
      </w:r>
      <w:r>
        <w:t xml:space="preserve">with </w:t>
      </w:r>
      <w:r w:rsidR="00B44C32">
        <w:t xml:space="preserve">emissions reduction </w:t>
      </w:r>
      <w:r w:rsidR="00F93270">
        <w:t>targets</w:t>
      </w:r>
      <w:bookmarkEnd w:id="14"/>
    </w:p>
    <w:p w14:paraId="3FE5A7C9" w14:textId="520BFA24" w:rsidR="003E38C4" w:rsidRDefault="006E3701" w:rsidP="003E38C4">
      <w:r>
        <w:t>T</w:t>
      </w:r>
      <w:r w:rsidR="003E38C4">
        <w:t>he</w:t>
      </w:r>
      <w:r w:rsidR="00435ADB">
        <w:t xml:space="preserve"> </w:t>
      </w:r>
      <w:r w:rsidR="003E38C4">
        <w:t>Climate Change Response Act 2002</w:t>
      </w:r>
      <w:r>
        <w:t xml:space="preserve"> requires that</w:t>
      </w:r>
      <w:r w:rsidR="003E38C4">
        <w:t xml:space="preserve"> </w:t>
      </w:r>
      <w:r w:rsidR="007C6FA5">
        <w:t>the</w:t>
      </w:r>
      <w:r w:rsidR="003E38C4">
        <w:t xml:space="preserve"> recommended unit limit</w:t>
      </w:r>
      <w:r w:rsidR="00C36F20">
        <w:t>s</w:t>
      </w:r>
      <w:r w:rsidR="003E38C4">
        <w:t xml:space="preserve"> and price control settings accord with emissions budgets</w:t>
      </w:r>
      <w:r>
        <w:t>, nationally determined contributions</w:t>
      </w:r>
      <w:r w:rsidR="00215153">
        <w:t xml:space="preserve"> (NDCs)</w:t>
      </w:r>
      <w:r>
        <w:t>,</w:t>
      </w:r>
      <w:r w:rsidR="003E38C4">
        <w:t xml:space="preserve"> and </w:t>
      </w:r>
      <w:r w:rsidR="00DE03C0">
        <w:t xml:space="preserve">the </w:t>
      </w:r>
      <w:r w:rsidR="003E38C4">
        <w:t>2050 target.</w:t>
      </w:r>
      <w:r w:rsidR="00FB3B10">
        <w:t xml:space="preserve"> </w:t>
      </w:r>
      <w:r w:rsidR="00747C4F">
        <w:t xml:space="preserve">In this respect </w:t>
      </w:r>
      <w:r w:rsidR="00260B38">
        <w:t>our recommendations are presented as</w:t>
      </w:r>
      <w:r w:rsidR="00747C4F">
        <w:t xml:space="preserve"> </w:t>
      </w:r>
      <w:r w:rsidR="003E38C4">
        <w:t xml:space="preserve">a </w:t>
      </w:r>
      <w:r w:rsidR="00747C4F">
        <w:t>package.</w:t>
      </w:r>
      <w:r w:rsidR="003E38C4">
        <w:t xml:space="preserve"> </w:t>
      </w:r>
      <w:r w:rsidR="00865CC7">
        <w:t xml:space="preserve">Our unit limit recommendations are contingent on the current price control settings also being maintained. </w:t>
      </w:r>
      <w:r w:rsidR="003F02AB">
        <w:t>C</w:t>
      </w:r>
      <w:r w:rsidR="000469D4">
        <w:t xml:space="preserve">hanges to the price control settings could </w:t>
      </w:r>
      <w:r w:rsidR="008D6215">
        <w:t xml:space="preserve">have implications for </w:t>
      </w:r>
      <w:r w:rsidR="000469D4">
        <w:t>unit limit settings</w:t>
      </w:r>
      <w:r w:rsidR="003E38C4">
        <w:t>, and vice versa.</w:t>
      </w:r>
      <w:r w:rsidR="008D6215">
        <w:t xml:space="preserve"> The settings are inter-related and </w:t>
      </w:r>
      <w:r w:rsidR="000B2E0D">
        <w:t>need to be considered together.</w:t>
      </w:r>
    </w:p>
    <w:p w14:paraId="665AA7AD" w14:textId="28A18B3B" w:rsidR="00A25001" w:rsidRDefault="00A25001" w:rsidP="003E38C4">
      <w:r w:rsidRPr="00A25001">
        <w:t xml:space="preserve">Our recommended settings accord with the </w:t>
      </w:r>
      <w:r w:rsidR="001902A0">
        <w:t xml:space="preserve">2050 target, </w:t>
      </w:r>
      <w:r w:rsidRPr="00A25001">
        <w:t>the second and third emission</w:t>
      </w:r>
      <w:r w:rsidR="00EA5717">
        <w:t>s</w:t>
      </w:r>
      <w:r w:rsidRPr="00A25001">
        <w:t xml:space="preserve"> budgets, and the first and second NDCs. </w:t>
      </w:r>
      <w:r w:rsidR="00070B13" w:rsidRPr="00215153">
        <w:t>Government forecasts show that m</w:t>
      </w:r>
      <w:r w:rsidRPr="00215153">
        <w:t>eeting the first NDC will require a</w:t>
      </w:r>
      <w:r w:rsidR="002E4283">
        <w:t>n</w:t>
      </w:r>
      <w:r w:rsidRPr="00215153">
        <w:t xml:space="preserve"> </w:t>
      </w:r>
      <w:r w:rsidR="008528CB" w:rsidRPr="00215153">
        <w:t>84</w:t>
      </w:r>
      <w:r w:rsidR="002E4283">
        <w:t>–</w:t>
      </w:r>
      <w:r w:rsidR="008528CB" w:rsidRPr="00215153">
        <w:t>89</w:t>
      </w:r>
      <w:r w:rsidR="008B6E70">
        <w:t xml:space="preserve"> </w:t>
      </w:r>
      <w:r w:rsidR="008528CB" w:rsidRPr="00215153">
        <w:t>Mt</w:t>
      </w:r>
      <w:r w:rsidR="008B6E70">
        <w:t>CO</w:t>
      </w:r>
      <w:r w:rsidR="008B6E70">
        <w:rPr>
          <w:vertAlign w:val="subscript"/>
        </w:rPr>
        <w:t>2</w:t>
      </w:r>
      <w:r w:rsidR="00E577BF">
        <w:t>e</w:t>
      </w:r>
      <w:r w:rsidRPr="00215153">
        <w:t xml:space="preserve"> contribution from offshore mitigation. The Government has stated its intention to </w:t>
      </w:r>
      <w:r w:rsidR="00A900C9" w:rsidRPr="00215153">
        <w:t>prioritise domestic emissions reductions</w:t>
      </w:r>
      <w:r w:rsidR="00F52281">
        <w:t>,</w:t>
      </w:r>
      <w:r w:rsidR="00A900C9" w:rsidRPr="00215153">
        <w:t xml:space="preserve"> </w:t>
      </w:r>
      <w:r w:rsidR="00A900C9" w:rsidRPr="00215153" w:rsidDel="00C40012">
        <w:t xml:space="preserve">but </w:t>
      </w:r>
      <w:r w:rsidR="00F52281">
        <w:t>also</w:t>
      </w:r>
      <w:r w:rsidR="00A900C9" w:rsidRPr="00215153">
        <w:t xml:space="preserve"> to </w:t>
      </w:r>
      <w:r w:rsidRPr="00215153">
        <w:t>acquire the offshore mitigation needed to bridge the gap between emissions budgets and the first NDC. Our recommendations in this advice are conditional on the Government doing that.</w:t>
      </w:r>
      <w:r w:rsidRPr="00A25001">
        <w:t xml:space="preserve"> </w:t>
      </w:r>
    </w:p>
    <w:p w14:paraId="17B8E2F1" w14:textId="7AD65978" w:rsidR="00C06A5B" w:rsidRDefault="007D1133" w:rsidP="003E38C4">
      <w:r w:rsidRPr="00E37B98">
        <w:rPr>
          <w:i/>
        </w:rPr>
        <w:t>Technical Annex 3:</w:t>
      </w:r>
      <w:r w:rsidR="00F2466F" w:rsidDel="00E635E5">
        <w:t xml:space="preserve"> </w:t>
      </w:r>
      <w:r w:rsidR="00E635E5" w:rsidRPr="00C720E1">
        <w:rPr>
          <w:i/>
        </w:rPr>
        <w:t>Assessment of accordance</w:t>
      </w:r>
      <w:r>
        <w:rPr>
          <w:iCs/>
        </w:rPr>
        <w:t>,</w:t>
      </w:r>
      <w:r w:rsidR="00F2466F">
        <w:t xml:space="preserve"> </w:t>
      </w:r>
      <w:r w:rsidR="00CE2B27">
        <w:t>published separately on our website</w:t>
      </w:r>
      <w:r>
        <w:t>,</w:t>
      </w:r>
      <w:r w:rsidR="00CE2B27">
        <w:t xml:space="preserve"> </w:t>
      </w:r>
      <w:r w:rsidR="005D1822">
        <w:t xml:space="preserve">provides </w:t>
      </w:r>
      <w:r w:rsidR="00F2466F">
        <w:t xml:space="preserve">more information about how our advice accords with </w:t>
      </w:r>
      <w:r w:rsidR="003E28DD">
        <w:t xml:space="preserve">emissions </w:t>
      </w:r>
      <w:r w:rsidR="25668B36">
        <w:t>budgets</w:t>
      </w:r>
      <w:r w:rsidR="00AC1C82">
        <w:t>,</w:t>
      </w:r>
      <w:r w:rsidR="25668B36">
        <w:t xml:space="preserve"> nationally determined contributions</w:t>
      </w:r>
      <w:r w:rsidR="00AC1C82">
        <w:t xml:space="preserve"> and the </w:t>
      </w:r>
      <w:r w:rsidR="00B30F9F">
        <w:t>2050 target</w:t>
      </w:r>
      <w:r w:rsidR="003E28DD">
        <w:t>.</w:t>
      </w:r>
    </w:p>
    <w:p w14:paraId="389E31E1" w14:textId="136A8B34" w:rsidR="00D732A4" w:rsidRDefault="00D732A4" w:rsidP="00D732A4">
      <w:pPr>
        <w:pStyle w:val="Heading2nonumber"/>
      </w:pPr>
      <w:bookmarkStart w:id="15" w:name="_Toc195447223"/>
      <w:r>
        <w:t>What happens next for NZ ETS settings</w:t>
      </w:r>
      <w:r w:rsidR="00CD7544">
        <w:t>?</w:t>
      </w:r>
      <w:bookmarkEnd w:id="15"/>
    </w:p>
    <w:p w14:paraId="2D4EB036" w14:textId="77777777" w:rsidR="00C72275" w:rsidRDefault="00C72275" w:rsidP="00C72275">
      <w:r>
        <w:t>This advice is one step within a wider process for updating the NZ ETS settings.</w:t>
      </w:r>
    </w:p>
    <w:p w14:paraId="080FD8FD" w14:textId="7E5CA70F" w:rsidR="00C72275" w:rsidRDefault="00C72275" w:rsidP="00C72275">
      <w:r>
        <w:t xml:space="preserve">The Government will consider our advice and run a public consultation on proposals, which </w:t>
      </w:r>
      <w:r w:rsidRPr="005B59C0">
        <w:t>we understand</w:t>
      </w:r>
      <w:r>
        <w:t xml:space="preserve"> will be led by the Ministry for the Environment on behalf of the Minister of Climate Change in the </w:t>
      </w:r>
      <w:r w:rsidRPr="005B59C0">
        <w:t>second quarter of 2025</w:t>
      </w:r>
      <w:r>
        <w:t>.</w:t>
      </w:r>
      <w:r w:rsidR="00787F59">
        <w:t xml:space="preserve"> </w:t>
      </w:r>
      <w:r>
        <w:t xml:space="preserve">The Government must make decisions on </w:t>
      </w:r>
      <w:r w:rsidR="009170E4">
        <w:br/>
      </w:r>
      <w:r>
        <w:t xml:space="preserve">NZ ETS unit limits and price control settings in time for the regulations to be updated by </w:t>
      </w:r>
      <w:r w:rsidR="00C908BA">
        <w:br/>
      </w:r>
      <w:r w:rsidRPr="005B59C0">
        <w:t>30 September 2025</w:t>
      </w:r>
      <w:r>
        <w:t>. The new settings will come into force on 1 January 2026.</w:t>
      </w:r>
    </w:p>
    <w:p w14:paraId="59F17642" w14:textId="07FB7F74" w:rsidR="001430D8" w:rsidRDefault="00C72275" w:rsidP="008868CF">
      <w:r>
        <w:t>We expect to provide our next advice on this topic, relating to the period 2027</w:t>
      </w:r>
      <w:r w:rsidR="00D03639">
        <w:t>–</w:t>
      </w:r>
      <w:r>
        <w:t>2031, in the first quarter of 2026.</w:t>
      </w:r>
    </w:p>
    <w:p w14:paraId="331CD0E7" w14:textId="3534F137" w:rsidR="00A614AE" w:rsidRDefault="001309AA" w:rsidP="001430D8">
      <w:pPr>
        <w:pStyle w:val="Heading2nonumber"/>
      </w:pPr>
      <w:bookmarkStart w:id="16" w:name="_Toc195447224"/>
      <w:r>
        <w:lastRenderedPageBreak/>
        <w:t>Recommendations</w:t>
      </w:r>
      <w:r w:rsidR="009365D8">
        <w:t xml:space="preserve"> and proposed auction volumes</w:t>
      </w:r>
      <w:bookmarkEnd w:id="16"/>
    </w:p>
    <w:p w14:paraId="2B8F902C" w14:textId="77777777" w:rsidR="00D00220" w:rsidRDefault="00D00220" w:rsidP="00D00220">
      <w:pPr>
        <w:pStyle w:val="Heading3"/>
      </w:pPr>
      <w:r>
        <w:t>Proposed auction volumes</w:t>
      </w:r>
    </w:p>
    <w:tbl>
      <w:tblPr>
        <w:tblStyle w:val="GridTable5Dark-Accent5"/>
        <w:tblW w:w="5004" w:type="pct"/>
        <w:tblLayout w:type="fixed"/>
        <w:tblCellMar>
          <w:left w:w="170" w:type="dxa"/>
          <w:right w:w="170" w:type="dxa"/>
        </w:tblCellMar>
        <w:tblLook w:val="04A0" w:firstRow="1" w:lastRow="0" w:firstColumn="1" w:lastColumn="0" w:noHBand="0" w:noVBand="1"/>
      </w:tblPr>
      <w:tblGrid>
        <w:gridCol w:w="3539"/>
        <w:gridCol w:w="994"/>
        <w:gridCol w:w="994"/>
        <w:gridCol w:w="1132"/>
        <w:gridCol w:w="1135"/>
        <w:gridCol w:w="1273"/>
      </w:tblGrid>
      <w:tr w:rsidR="0094252B" w:rsidRPr="0091207A" w14:paraId="5B223823" w14:textId="77777777" w:rsidTr="00F63CFC">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952" w:type="pct"/>
            <w:shd w:val="clear" w:color="auto" w:fill="002060"/>
            <w:vAlign w:val="center"/>
          </w:tcPr>
          <w:p w14:paraId="3D9AC499" w14:textId="77777777" w:rsidR="00D00220" w:rsidRDefault="00D00220" w:rsidP="00586796">
            <w:pPr>
              <w:pStyle w:val="Tableheading"/>
              <w:spacing w:before="0" w:line="240" w:lineRule="auto"/>
              <w:jc w:val="center"/>
              <w:rPr>
                <w:sz w:val="20"/>
                <w:szCs w:val="20"/>
              </w:rPr>
            </w:pPr>
          </w:p>
        </w:tc>
        <w:tc>
          <w:tcPr>
            <w:tcW w:w="1096" w:type="pct"/>
            <w:gridSpan w:val="2"/>
            <w:shd w:val="clear" w:color="auto" w:fill="002060"/>
            <w:vAlign w:val="center"/>
          </w:tcPr>
          <w:p w14:paraId="7574FF8A" w14:textId="77777777" w:rsidR="00D00220" w:rsidRDefault="00D00220" w:rsidP="00586796">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t>No changes</w:t>
            </w:r>
          </w:p>
        </w:tc>
        <w:tc>
          <w:tcPr>
            <w:tcW w:w="1250" w:type="pct"/>
            <w:gridSpan w:val="2"/>
            <w:shd w:val="clear" w:color="auto" w:fill="002060"/>
            <w:vAlign w:val="center"/>
          </w:tcPr>
          <w:p w14:paraId="247C48CC" w14:textId="099B747E" w:rsidR="00D00220" w:rsidRDefault="00D00220" w:rsidP="00FD112D">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t>Updated</w:t>
            </w:r>
          </w:p>
        </w:tc>
        <w:tc>
          <w:tcPr>
            <w:tcW w:w="703" w:type="pct"/>
            <w:shd w:val="clear" w:color="auto" w:fill="002060"/>
            <w:vAlign w:val="center"/>
          </w:tcPr>
          <w:p w14:paraId="4F0170BB" w14:textId="77777777" w:rsidR="00D00220" w:rsidRDefault="00D00220" w:rsidP="00586796">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t>New</w:t>
            </w:r>
          </w:p>
        </w:tc>
      </w:tr>
      <w:tr w:rsidR="004D0BB9" w:rsidRPr="005A6290" w14:paraId="16AAF138" w14:textId="77777777" w:rsidTr="00356D48">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952" w:type="pct"/>
            <w:shd w:val="clear" w:color="auto" w:fill="002060"/>
            <w:vAlign w:val="center"/>
          </w:tcPr>
          <w:p w14:paraId="3452B50E" w14:textId="557910F6" w:rsidR="00D00220" w:rsidRPr="0064788A" w:rsidRDefault="00D00220" w:rsidP="00927851">
            <w:pPr>
              <w:pStyle w:val="Tableparagraphwhite"/>
              <w:jc w:val="left"/>
            </w:pPr>
            <w:r w:rsidRPr="0064788A">
              <w:t>Million units</w:t>
            </w:r>
          </w:p>
        </w:tc>
        <w:tc>
          <w:tcPr>
            <w:tcW w:w="548" w:type="pct"/>
            <w:shd w:val="clear" w:color="auto" w:fill="002060"/>
            <w:vAlign w:val="center"/>
          </w:tcPr>
          <w:p w14:paraId="63F8B80B" w14:textId="77777777" w:rsidR="00D00220" w:rsidRPr="005C5B1E" w:rsidRDefault="00D00220" w:rsidP="000E15CA">
            <w:pPr>
              <w:pStyle w:val="TableParagraph"/>
              <w:cnfStyle w:val="000000100000" w:firstRow="0" w:lastRow="0" w:firstColumn="0" w:lastColumn="0" w:oddVBand="0" w:evenVBand="0" w:oddHBand="1" w:evenHBand="0" w:firstRowFirstColumn="0" w:firstRowLastColumn="0" w:lastRowFirstColumn="0" w:lastRowLastColumn="0"/>
              <w:rPr>
                <w:color w:val="FFFFFF" w:themeColor="background1"/>
              </w:rPr>
            </w:pPr>
            <w:r w:rsidRPr="005C5B1E">
              <w:rPr>
                <w:color w:val="FFFFFF" w:themeColor="background1"/>
              </w:rPr>
              <w:t>2026</w:t>
            </w:r>
          </w:p>
        </w:tc>
        <w:tc>
          <w:tcPr>
            <w:tcW w:w="548" w:type="pct"/>
            <w:shd w:val="clear" w:color="auto" w:fill="002060"/>
            <w:vAlign w:val="center"/>
          </w:tcPr>
          <w:p w14:paraId="57B975A8" w14:textId="77777777" w:rsidR="00D00220" w:rsidRPr="005C5B1E" w:rsidRDefault="00D00220" w:rsidP="000E15CA">
            <w:pPr>
              <w:pStyle w:val="TableParagraph"/>
              <w:cnfStyle w:val="000000100000" w:firstRow="0" w:lastRow="0" w:firstColumn="0" w:lastColumn="0" w:oddVBand="0" w:evenVBand="0" w:oddHBand="1" w:evenHBand="0" w:firstRowFirstColumn="0" w:firstRowLastColumn="0" w:lastRowFirstColumn="0" w:lastRowLastColumn="0"/>
              <w:rPr>
                <w:color w:val="FFFFFF" w:themeColor="background1"/>
              </w:rPr>
            </w:pPr>
            <w:r w:rsidRPr="005C5B1E">
              <w:rPr>
                <w:color w:val="FFFFFF" w:themeColor="background1"/>
              </w:rPr>
              <w:t>2027</w:t>
            </w:r>
          </w:p>
        </w:tc>
        <w:tc>
          <w:tcPr>
            <w:tcW w:w="624" w:type="pct"/>
            <w:shd w:val="clear" w:color="auto" w:fill="002060"/>
            <w:vAlign w:val="center"/>
          </w:tcPr>
          <w:p w14:paraId="00E38AF2" w14:textId="77777777" w:rsidR="00D00220" w:rsidRPr="005C5B1E" w:rsidRDefault="00D00220" w:rsidP="000E15CA">
            <w:pPr>
              <w:pStyle w:val="TableParagraph"/>
              <w:cnfStyle w:val="000000100000" w:firstRow="0" w:lastRow="0" w:firstColumn="0" w:lastColumn="0" w:oddVBand="0" w:evenVBand="0" w:oddHBand="1" w:evenHBand="0" w:firstRowFirstColumn="0" w:firstRowLastColumn="0" w:lastRowFirstColumn="0" w:lastRowLastColumn="0"/>
              <w:rPr>
                <w:color w:val="FFFFFF" w:themeColor="background1"/>
              </w:rPr>
            </w:pPr>
            <w:r w:rsidRPr="005C5B1E">
              <w:rPr>
                <w:color w:val="FFFFFF" w:themeColor="background1"/>
              </w:rPr>
              <w:t>2028</w:t>
            </w:r>
          </w:p>
        </w:tc>
        <w:tc>
          <w:tcPr>
            <w:tcW w:w="626" w:type="pct"/>
            <w:shd w:val="clear" w:color="auto" w:fill="002060"/>
            <w:vAlign w:val="center"/>
          </w:tcPr>
          <w:p w14:paraId="34562262" w14:textId="77777777" w:rsidR="00D00220" w:rsidRPr="005C5B1E" w:rsidRDefault="00D00220" w:rsidP="000E15CA">
            <w:pPr>
              <w:pStyle w:val="TableParagraph"/>
              <w:cnfStyle w:val="000000100000" w:firstRow="0" w:lastRow="0" w:firstColumn="0" w:lastColumn="0" w:oddVBand="0" w:evenVBand="0" w:oddHBand="1" w:evenHBand="0" w:firstRowFirstColumn="0" w:firstRowLastColumn="0" w:lastRowFirstColumn="0" w:lastRowLastColumn="0"/>
              <w:rPr>
                <w:color w:val="FFFFFF" w:themeColor="background1"/>
              </w:rPr>
            </w:pPr>
            <w:r w:rsidRPr="005C5B1E">
              <w:rPr>
                <w:color w:val="FFFFFF" w:themeColor="background1"/>
              </w:rPr>
              <w:t>2029</w:t>
            </w:r>
          </w:p>
        </w:tc>
        <w:tc>
          <w:tcPr>
            <w:tcW w:w="703" w:type="pct"/>
            <w:shd w:val="clear" w:color="auto" w:fill="002060"/>
            <w:vAlign w:val="center"/>
          </w:tcPr>
          <w:p w14:paraId="6771D37B" w14:textId="77777777" w:rsidR="00D00220" w:rsidRPr="005C5B1E" w:rsidRDefault="00D00220" w:rsidP="000E15CA">
            <w:pPr>
              <w:pStyle w:val="TableParagraph"/>
              <w:cnfStyle w:val="000000100000" w:firstRow="0" w:lastRow="0" w:firstColumn="0" w:lastColumn="0" w:oddVBand="0" w:evenVBand="0" w:oddHBand="1" w:evenHBand="0" w:firstRowFirstColumn="0" w:firstRowLastColumn="0" w:lastRowFirstColumn="0" w:lastRowLastColumn="0"/>
              <w:rPr>
                <w:color w:val="FFFFFF" w:themeColor="background1"/>
              </w:rPr>
            </w:pPr>
            <w:r w:rsidRPr="005C5B1E">
              <w:rPr>
                <w:color w:val="FFFFFF" w:themeColor="background1"/>
              </w:rPr>
              <w:t>2030</w:t>
            </w:r>
          </w:p>
        </w:tc>
      </w:tr>
      <w:tr w:rsidR="00C11909" w:rsidRPr="0091207A" w14:paraId="7A23473D" w14:textId="77777777" w:rsidTr="005C5B1E">
        <w:trPr>
          <w:trHeight w:val="624"/>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4A9CAF12" w14:textId="77777777" w:rsidR="00D00220" w:rsidRPr="00E2638B" w:rsidRDefault="00D00220" w:rsidP="004461F2">
            <w:pPr>
              <w:pStyle w:val="TableParagraph"/>
              <w:jc w:val="left"/>
              <w:rPr>
                <w:b w:val="0"/>
                <w:bCs w:val="0"/>
              </w:rPr>
            </w:pPr>
            <w:r w:rsidRPr="00E2638B">
              <w:rPr>
                <w:b w:val="0"/>
                <w:bCs w:val="0"/>
              </w:rPr>
              <w:t>NZU auction volumes (excluding cost containment reserve volumes)</w:t>
            </w:r>
          </w:p>
        </w:tc>
        <w:tc>
          <w:tcPr>
            <w:tcW w:w="0" w:type="pct"/>
            <w:shd w:val="clear" w:color="auto" w:fill="E9F5F2"/>
            <w:vAlign w:val="center"/>
          </w:tcPr>
          <w:p w14:paraId="77F527C4" w14:textId="77777777"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917EAA">
              <w:t>5.2</w:t>
            </w:r>
          </w:p>
        </w:tc>
        <w:tc>
          <w:tcPr>
            <w:tcW w:w="0" w:type="pct"/>
            <w:shd w:val="clear" w:color="auto" w:fill="E9F5F2"/>
            <w:vAlign w:val="center"/>
          </w:tcPr>
          <w:p w14:paraId="13038F6E" w14:textId="77777777"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917EAA">
              <w:t>4.3</w:t>
            </w:r>
          </w:p>
        </w:tc>
        <w:tc>
          <w:tcPr>
            <w:tcW w:w="0" w:type="pct"/>
            <w:shd w:val="clear" w:color="auto" w:fill="E9F5F2"/>
            <w:vAlign w:val="center"/>
          </w:tcPr>
          <w:p w14:paraId="0AA220F1" w14:textId="77777777"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917EAA">
              <w:t xml:space="preserve">7.0 </w:t>
            </w:r>
          </w:p>
        </w:tc>
        <w:tc>
          <w:tcPr>
            <w:tcW w:w="0" w:type="pct"/>
            <w:shd w:val="clear" w:color="auto" w:fill="E9F5F2"/>
            <w:vAlign w:val="center"/>
          </w:tcPr>
          <w:p w14:paraId="08D676F3" w14:textId="77777777"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917EAA">
              <w:t xml:space="preserve">7.0 </w:t>
            </w:r>
          </w:p>
        </w:tc>
        <w:tc>
          <w:tcPr>
            <w:tcW w:w="0" w:type="pct"/>
            <w:shd w:val="clear" w:color="auto" w:fill="D4E8DE"/>
            <w:vAlign w:val="center"/>
          </w:tcPr>
          <w:p w14:paraId="269E0100" w14:textId="77777777"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917EAA">
              <w:t xml:space="preserve">7.0 </w:t>
            </w:r>
          </w:p>
        </w:tc>
      </w:tr>
    </w:tbl>
    <w:p w14:paraId="0BFCA8C2" w14:textId="27C98762" w:rsidR="00D00220" w:rsidRDefault="00D00220" w:rsidP="00D00220">
      <w:pPr>
        <w:pStyle w:val="Heading3"/>
      </w:pPr>
      <w:r>
        <w:t xml:space="preserve">Recommended </w:t>
      </w:r>
      <w:r w:rsidR="00C47C56">
        <w:t xml:space="preserve">unit </w:t>
      </w:r>
      <w:r>
        <w:t>limits and price control settings</w:t>
      </w:r>
    </w:p>
    <w:tbl>
      <w:tblPr>
        <w:tblStyle w:val="GridTable5Dark-Accent5"/>
        <w:tblW w:w="5000" w:type="pct"/>
        <w:tblLayout w:type="fixed"/>
        <w:tblCellMar>
          <w:left w:w="113" w:type="dxa"/>
          <w:right w:w="113" w:type="dxa"/>
        </w:tblCellMar>
        <w:tblLook w:val="04A0" w:firstRow="1" w:lastRow="0" w:firstColumn="1" w:lastColumn="0" w:noHBand="0" w:noVBand="1"/>
      </w:tblPr>
      <w:tblGrid>
        <w:gridCol w:w="3540"/>
        <w:gridCol w:w="991"/>
        <w:gridCol w:w="964"/>
        <w:gridCol w:w="1163"/>
        <w:gridCol w:w="1134"/>
        <w:gridCol w:w="1268"/>
      </w:tblGrid>
      <w:tr w:rsidR="0015745F" w:rsidRPr="0091207A" w14:paraId="4249941B" w14:textId="77777777" w:rsidTr="00F63CFC">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953" w:type="pct"/>
            <w:shd w:val="clear" w:color="auto" w:fill="002060"/>
            <w:vAlign w:val="center"/>
          </w:tcPr>
          <w:p w14:paraId="76E2DC8F" w14:textId="77777777" w:rsidR="00D00220" w:rsidRPr="00F63CFC" w:rsidRDefault="00D00220" w:rsidP="000E15CA">
            <w:pPr>
              <w:pStyle w:val="Tableparagraphwhite"/>
              <w:rPr>
                <w:b/>
              </w:rPr>
            </w:pPr>
          </w:p>
        </w:tc>
        <w:tc>
          <w:tcPr>
            <w:tcW w:w="1079" w:type="pct"/>
            <w:gridSpan w:val="2"/>
            <w:shd w:val="clear" w:color="auto" w:fill="002060"/>
            <w:vAlign w:val="center"/>
          </w:tcPr>
          <w:p w14:paraId="78346217" w14:textId="77777777" w:rsidR="00D00220" w:rsidRPr="00F63CFC" w:rsidRDefault="00D00220"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F63CFC">
              <w:rPr>
                <w:b/>
              </w:rPr>
              <w:t>No changes</w:t>
            </w:r>
          </w:p>
        </w:tc>
        <w:tc>
          <w:tcPr>
            <w:tcW w:w="1268" w:type="pct"/>
            <w:gridSpan w:val="2"/>
            <w:shd w:val="clear" w:color="auto" w:fill="002060"/>
            <w:vAlign w:val="center"/>
          </w:tcPr>
          <w:p w14:paraId="0CA40E36" w14:textId="0D74B105" w:rsidR="00D00220" w:rsidRPr="00F63CFC" w:rsidRDefault="00D00220"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F63CFC">
              <w:rPr>
                <w:b/>
              </w:rPr>
              <w:t>Updated</w:t>
            </w:r>
          </w:p>
        </w:tc>
        <w:tc>
          <w:tcPr>
            <w:tcW w:w="700" w:type="pct"/>
            <w:shd w:val="clear" w:color="auto" w:fill="002060"/>
            <w:vAlign w:val="center"/>
          </w:tcPr>
          <w:p w14:paraId="0CC1D8DB" w14:textId="77777777" w:rsidR="00D00220" w:rsidRPr="00F63CFC" w:rsidRDefault="00D00220"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F63CFC">
              <w:rPr>
                <w:b/>
              </w:rPr>
              <w:t>New</w:t>
            </w:r>
          </w:p>
        </w:tc>
      </w:tr>
      <w:tr w:rsidR="00ED18C5" w:rsidRPr="0091207A" w14:paraId="3B52D6C2" w14:textId="77777777" w:rsidTr="00F63CFC">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953" w:type="pct"/>
            <w:shd w:val="clear" w:color="auto" w:fill="002060"/>
            <w:vAlign w:val="center"/>
          </w:tcPr>
          <w:p w14:paraId="03E380C0" w14:textId="208C9ED0" w:rsidR="00D00220" w:rsidRPr="005C5B1E" w:rsidRDefault="00D00220" w:rsidP="00927851">
            <w:pPr>
              <w:pStyle w:val="Tableparagraphwhite"/>
              <w:jc w:val="left"/>
            </w:pPr>
            <w:r w:rsidRPr="15E3FAD1">
              <w:t>Million units</w:t>
            </w:r>
          </w:p>
        </w:tc>
        <w:tc>
          <w:tcPr>
            <w:tcW w:w="547" w:type="pct"/>
            <w:shd w:val="clear" w:color="auto" w:fill="002060"/>
            <w:vAlign w:val="center"/>
          </w:tcPr>
          <w:p w14:paraId="49CEEAC4" w14:textId="77777777" w:rsidR="00D00220" w:rsidRPr="00F63CFC" w:rsidRDefault="00D00220"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2026</w:t>
            </w:r>
          </w:p>
        </w:tc>
        <w:tc>
          <w:tcPr>
            <w:tcW w:w="532" w:type="pct"/>
            <w:shd w:val="clear" w:color="auto" w:fill="002060"/>
            <w:vAlign w:val="center"/>
          </w:tcPr>
          <w:p w14:paraId="221130B4" w14:textId="77777777" w:rsidR="00D00220" w:rsidRPr="00F63CFC" w:rsidRDefault="00D00220"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2027</w:t>
            </w:r>
          </w:p>
        </w:tc>
        <w:tc>
          <w:tcPr>
            <w:tcW w:w="642" w:type="pct"/>
            <w:shd w:val="clear" w:color="auto" w:fill="002060"/>
            <w:vAlign w:val="center"/>
          </w:tcPr>
          <w:p w14:paraId="08863885" w14:textId="77777777" w:rsidR="00D00220" w:rsidRPr="00F63CFC" w:rsidRDefault="00D00220"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2028</w:t>
            </w:r>
          </w:p>
        </w:tc>
        <w:tc>
          <w:tcPr>
            <w:tcW w:w="626" w:type="pct"/>
            <w:shd w:val="clear" w:color="auto" w:fill="002060"/>
            <w:vAlign w:val="center"/>
          </w:tcPr>
          <w:p w14:paraId="2032F29A" w14:textId="77777777" w:rsidR="00D00220" w:rsidRPr="00F63CFC" w:rsidRDefault="00D00220"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2029</w:t>
            </w:r>
          </w:p>
        </w:tc>
        <w:tc>
          <w:tcPr>
            <w:tcW w:w="700" w:type="pct"/>
            <w:shd w:val="clear" w:color="auto" w:fill="002060"/>
            <w:vAlign w:val="center"/>
          </w:tcPr>
          <w:p w14:paraId="5D91BED5" w14:textId="77777777" w:rsidR="00D00220" w:rsidRPr="00F63CFC" w:rsidRDefault="00D00220"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2030</w:t>
            </w:r>
          </w:p>
        </w:tc>
      </w:tr>
      <w:tr w:rsidR="00C11909" w:rsidRPr="0091207A" w14:paraId="067FFE88" w14:textId="77777777" w:rsidTr="005C5B1E">
        <w:trPr>
          <w:trHeight w:val="624"/>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7405A119" w14:textId="2817E263" w:rsidR="00D00220" w:rsidRPr="00927851" w:rsidRDefault="00D00220" w:rsidP="004461F2">
            <w:pPr>
              <w:pStyle w:val="TableParagraph"/>
              <w:jc w:val="left"/>
              <w:rPr>
                <w:b w:val="0"/>
                <w:bCs w:val="0"/>
              </w:rPr>
            </w:pPr>
            <w:r w:rsidRPr="00927851">
              <w:rPr>
                <w:b w:val="0"/>
                <w:bCs w:val="0"/>
              </w:rPr>
              <w:t>Limit on New Zealand Units available by auction (</w:t>
            </w:r>
            <w:r w:rsidRPr="00927851">
              <w:rPr>
                <w:b w:val="0"/>
                <w:bCs w:val="0"/>
                <w:i/>
              </w:rPr>
              <w:t>including CCR volume</w:t>
            </w:r>
            <w:r w:rsidRPr="00927851">
              <w:rPr>
                <w:b w:val="0"/>
                <w:bCs w:val="0"/>
              </w:rPr>
              <w:t>)</w:t>
            </w:r>
          </w:p>
        </w:tc>
        <w:tc>
          <w:tcPr>
            <w:tcW w:w="0" w:type="pct"/>
            <w:shd w:val="clear" w:color="auto" w:fill="E9F5F2"/>
            <w:vAlign w:val="center"/>
          </w:tcPr>
          <w:p w14:paraId="17022702" w14:textId="77777777"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526DF1">
              <w:t>11.7</w:t>
            </w:r>
          </w:p>
        </w:tc>
        <w:tc>
          <w:tcPr>
            <w:tcW w:w="0" w:type="pct"/>
            <w:shd w:val="clear" w:color="auto" w:fill="E9F5F2"/>
            <w:vAlign w:val="center"/>
          </w:tcPr>
          <w:p w14:paraId="489F32FF" w14:textId="77777777"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526DF1">
              <w:t>10.2</w:t>
            </w:r>
          </w:p>
        </w:tc>
        <w:tc>
          <w:tcPr>
            <w:tcW w:w="0" w:type="pct"/>
            <w:shd w:val="clear" w:color="auto" w:fill="E9F5F2"/>
            <w:vAlign w:val="center"/>
          </w:tcPr>
          <w:p w14:paraId="1E742E1D" w14:textId="77777777"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526DF1">
              <w:t>12.3</w:t>
            </w:r>
          </w:p>
        </w:tc>
        <w:tc>
          <w:tcPr>
            <w:tcW w:w="0" w:type="pct"/>
            <w:shd w:val="clear" w:color="auto" w:fill="E9F5F2"/>
            <w:vAlign w:val="center"/>
          </w:tcPr>
          <w:p w14:paraId="6A19E154" w14:textId="77777777"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526DF1">
              <w:t>11.7</w:t>
            </w:r>
          </w:p>
        </w:tc>
        <w:tc>
          <w:tcPr>
            <w:tcW w:w="0" w:type="pct"/>
            <w:shd w:val="clear" w:color="auto" w:fill="D4E8DE"/>
            <w:vAlign w:val="center"/>
          </w:tcPr>
          <w:p w14:paraId="7DE648B3" w14:textId="77777777"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526DF1">
              <w:t>10.9</w:t>
            </w:r>
          </w:p>
        </w:tc>
      </w:tr>
      <w:tr w:rsidR="00C11909" w:rsidRPr="0091207A" w14:paraId="63CB7608" w14:textId="77777777" w:rsidTr="005C5B1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7754527D" w14:textId="77777777" w:rsidR="00D00220" w:rsidRPr="00927851" w:rsidRDefault="00D00220" w:rsidP="004461F2">
            <w:pPr>
              <w:pStyle w:val="TableParagraph"/>
              <w:jc w:val="left"/>
              <w:rPr>
                <w:b w:val="0"/>
                <w:bCs w:val="0"/>
              </w:rPr>
            </w:pPr>
            <w:r w:rsidRPr="00927851">
              <w:rPr>
                <w:b w:val="0"/>
                <w:bCs w:val="0"/>
              </w:rPr>
              <w:t>Limit on the approved overseas units used</w:t>
            </w:r>
          </w:p>
        </w:tc>
        <w:tc>
          <w:tcPr>
            <w:tcW w:w="0" w:type="pct"/>
            <w:shd w:val="clear" w:color="auto" w:fill="E9F5F2"/>
            <w:vAlign w:val="center"/>
          </w:tcPr>
          <w:p w14:paraId="78ED7041" w14:textId="77777777" w:rsidR="00D00220" w:rsidRPr="00D27F54" w:rsidRDefault="00D00220" w:rsidP="000E15CA">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7F54">
              <w:t>0.0</w:t>
            </w:r>
          </w:p>
        </w:tc>
        <w:tc>
          <w:tcPr>
            <w:tcW w:w="0" w:type="pct"/>
            <w:shd w:val="clear" w:color="auto" w:fill="E9F5F2"/>
            <w:vAlign w:val="center"/>
          </w:tcPr>
          <w:p w14:paraId="47F86EB7" w14:textId="77777777" w:rsidR="00D00220" w:rsidRPr="00D27F54" w:rsidRDefault="00D00220" w:rsidP="000E15CA">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7F54">
              <w:t>0.0</w:t>
            </w:r>
          </w:p>
        </w:tc>
        <w:tc>
          <w:tcPr>
            <w:tcW w:w="0" w:type="pct"/>
            <w:shd w:val="clear" w:color="auto" w:fill="E9F5F2"/>
            <w:vAlign w:val="center"/>
          </w:tcPr>
          <w:p w14:paraId="20BC3B1F" w14:textId="77777777" w:rsidR="00D00220" w:rsidRPr="00D27F54" w:rsidRDefault="00D00220" w:rsidP="000E15CA">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7F54">
              <w:t>0.0</w:t>
            </w:r>
          </w:p>
        </w:tc>
        <w:tc>
          <w:tcPr>
            <w:tcW w:w="0" w:type="pct"/>
            <w:shd w:val="clear" w:color="auto" w:fill="E9F5F2"/>
            <w:vAlign w:val="center"/>
          </w:tcPr>
          <w:p w14:paraId="7034E987" w14:textId="77777777" w:rsidR="00D00220" w:rsidRPr="00D27F54" w:rsidRDefault="00D00220" w:rsidP="000E15CA">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7F54">
              <w:t>0.0</w:t>
            </w:r>
          </w:p>
        </w:tc>
        <w:tc>
          <w:tcPr>
            <w:tcW w:w="0" w:type="pct"/>
            <w:shd w:val="clear" w:color="auto" w:fill="D4E8DE"/>
            <w:vAlign w:val="center"/>
          </w:tcPr>
          <w:p w14:paraId="38EFD502" w14:textId="77777777" w:rsidR="00D00220" w:rsidRPr="00D27F54" w:rsidRDefault="00D00220" w:rsidP="000E15CA">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7F54">
              <w:t>0.0</w:t>
            </w:r>
          </w:p>
        </w:tc>
      </w:tr>
      <w:tr w:rsidR="00C11909" w:rsidRPr="0091207A" w14:paraId="3DA3FB4C" w14:textId="77777777" w:rsidTr="005C5B1E">
        <w:trPr>
          <w:trHeight w:val="483"/>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0F7BF59D" w14:textId="77777777" w:rsidR="00D00220" w:rsidRPr="00927851" w:rsidRDefault="00D00220" w:rsidP="004461F2">
            <w:pPr>
              <w:pStyle w:val="TableParagraph"/>
              <w:jc w:val="left"/>
              <w:rPr>
                <w:b w:val="0"/>
                <w:bCs w:val="0"/>
              </w:rPr>
            </w:pPr>
            <w:r w:rsidRPr="00927851">
              <w:rPr>
                <w:b w:val="0"/>
                <w:bCs w:val="0"/>
              </w:rPr>
              <w:t>Overall limit on units</w:t>
            </w:r>
          </w:p>
        </w:tc>
        <w:tc>
          <w:tcPr>
            <w:tcW w:w="0" w:type="pct"/>
            <w:shd w:val="clear" w:color="auto" w:fill="E9F5F2"/>
            <w:vAlign w:val="center"/>
          </w:tcPr>
          <w:p w14:paraId="218A404F" w14:textId="50B7BCB2"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7F54">
              <w:t>17.4</w:t>
            </w:r>
          </w:p>
        </w:tc>
        <w:tc>
          <w:tcPr>
            <w:tcW w:w="0" w:type="pct"/>
            <w:shd w:val="clear" w:color="auto" w:fill="E9F5F2"/>
            <w:vAlign w:val="center"/>
          </w:tcPr>
          <w:p w14:paraId="4FD1D9FC" w14:textId="33CED520"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7F54">
              <w:t>15.9</w:t>
            </w:r>
          </w:p>
        </w:tc>
        <w:tc>
          <w:tcPr>
            <w:tcW w:w="0" w:type="pct"/>
            <w:shd w:val="clear" w:color="auto" w:fill="E9F5F2"/>
            <w:vAlign w:val="center"/>
          </w:tcPr>
          <w:p w14:paraId="40A476BB" w14:textId="20D30C03"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7F54">
              <w:t>16.9</w:t>
            </w:r>
          </w:p>
        </w:tc>
        <w:tc>
          <w:tcPr>
            <w:tcW w:w="0" w:type="pct"/>
            <w:shd w:val="clear" w:color="auto" w:fill="E9F5F2"/>
            <w:vAlign w:val="center"/>
          </w:tcPr>
          <w:p w14:paraId="006BCA24" w14:textId="5B808B55"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7F54">
              <w:t>16.2</w:t>
            </w:r>
          </w:p>
        </w:tc>
        <w:tc>
          <w:tcPr>
            <w:tcW w:w="0" w:type="pct"/>
            <w:shd w:val="clear" w:color="auto" w:fill="D4E8DE"/>
            <w:vAlign w:val="center"/>
          </w:tcPr>
          <w:p w14:paraId="42367143" w14:textId="6D6E1737" w:rsidR="00D00220" w:rsidRPr="00D27F54" w:rsidRDefault="00D00220" w:rsidP="000E15CA">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7F54">
              <w:t>14.9</w:t>
            </w:r>
          </w:p>
        </w:tc>
      </w:tr>
    </w:tbl>
    <w:p w14:paraId="56EC5D63" w14:textId="77777777" w:rsidR="00D00220" w:rsidRPr="00092B4B" w:rsidRDefault="00D00220" w:rsidP="00D00220">
      <w:pPr>
        <w:spacing w:before="0" w:after="0" w:line="120" w:lineRule="auto"/>
      </w:pPr>
    </w:p>
    <w:tbl>
      <w:tblPr>
        <w:tblStyle w:val="GridTable5Dark-Accent5"/>
        <w:tblW w:w="5004" w:type="pct"/>
        <w:tblLayout w:type="fixed"/>
        <w:tblCellMar>
          <w:left w:w="113" w:type="dxa"/>
          <w:right w:w="113" w:type="dxa"/>
        </w:tblCellMar>
        <w:tblLook w:val="04A0" w:firstRow="1" w:lastRow="0" w:firstColumn="1" w:lastColumn="0" w:noHBand="0" w:noVBand="1"/>
      </w:tblPr>
      <w:tblGrid>
        <w:gridCol w:w="3433"/>
        <w:gridCol w:w="1126"/>
        <w:gridCol w:w="1126"/>
        <w:gridCol w:w="1126"/>
        <w:gridCol w:w="1126"/>
        <w:gridCol w:w="1130"/>
      </w:tblGrid>
      <w:tr w:rsidR="00C54ED1" w:rsidRPr="0091207A" w14:paraId="7C795970" w14:textId="77777777" w:rsidTr="00F63CFC">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893" w:type="pct"/>
            <w:shd w:val="clear" w:color="auto" w:fill="002060"/>
            <w:vAlign w:val="center"/>
          </w:tcPr>
          <w:p w14:paraId="1CF13862" w14:textId="77777777" w:rsidR="00C54ED1" w:rsidRPr="00F63CFC" w:rsidRDefault="00C54ED1" w:rsidP="000E15CA">
            <w:pPr>
              <w:pStyle w:val="Tableparagraphwhite"/>
              <w:rPr>
                <w:b/>
              </w:rPr>
            </w:pPr>
          </w:p>
        </w:tc>
        <w:tc>
          <w:tcPr>
            <w:tcW w:w="1242" w:type="pct"/>
            <w:gridSpan w:val="2"/>
            <w:shd w:val="clear" w:color="auto" w:fill="002060"/>
            <w:vAlign w:val="center"/>
          </w:tcPr>
          <w:p w14:paraId="6D0CC378" w14:textId="77777777" w:rsidR="00C54ED1" w:rsidRPr="00F63CFC" w:rsidRDefault="00C54ED1"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F63CFC">
              <w:rPr>
                <w:b/>
              </w:rPr>
              <w:t>No changes</w:t>
            </w:r>
          </w:p>
        </w:tc>
        <w:tc>
          <w:tcPr>
            <w:tcW w:w="1242" w:type="pct"/>
            <w:gridSpan w:val="2"/>
            <w:shd w:val="clear" w:color="auto" w:fill="002060"/>
            <w:vAlign w:val="center"/>
          </w:tcPr>
          <w:p w14:paraId="1DB3B175" w14:textId="56D0FDEB" w:rsidR="00C54ED1" w:rsidRPr="00F63CFC" w:rsidRDefault="00C54ED1"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F63CFC">
              <w:rPr>
                <w:b/>
              </w:rPr>
              <w:t>Updated</w:t>
            </w:r>
          </w:p>
        </w:tc>
        <w:tc>
          <w:tcPr>
            <w:tcW w:w="623" w:type="pct"/>
            <w:shd w:val="clear" w:color="auto" w:fill="002060"/>
            <w:vAlign w:val="center"/>
          </w:tcPr>
          <w:p w14:paraId="11AB877C" w14:textId="77777777" w:rsidR="00C54ED1" w:rsidRPr="00F63CFC" w:rsidRDefault="00C54ED1"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F63CFC">
              <w:rPr>
                <w:b/>
              </w:rPr>
              <w:t>New</w:t>
            </w:r>
          </w:p>
        </w:tc>
      </w:tr>
      <w:tr w:rsidR="00ED18C5" w:rsidRPr="0091207A" w14:paraId="2BE7013B" w14:textId="77777777" w:rsidTr="00F63CF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893" w:type="pct"/>
            <w:shd w:val="clear" w:color="auto" w:fill="002060"/>
            <w:vAlign w:val="center"/>
          </w:tcPr>
          <w:p w14:paraId="56692322" w14:textId="71B2A5D6" w:rsidR="00C54ED1" w:rsidRPr="00927851" w:rsidRDefault="00C54ED1" w:rsidP="00927851">
            <w:pPr>
              <w:pStyle w:val="Tableparagraphwhite"/>
              <w:jc w:val="left"/>
              <w:rPr>
                <w:b/>
                <w:bCs/>
              </w:rPr>
            </w:pPr>
            <w:r w:rsidRPr="00927851">
              <w:rPr>
                <w:b/>
                <w:bCs/>
              </w:rPr>
              <w:t>Cost containment reserve</w:t>
            </w:r>
          </w:p>
        </w:tc>
        <w:tc>
          <w:tcPr>
            <w:tcW w:w="621" w:type="pct"/>
            <w:shd w:val="clear" w:color="auto" w:fill="002060"/>
            <w:vAlign w:val="center"/>
          </w:tcPr>
          <w:p w14:paraId="1A75BC86" w14:textId="77777777" w:rsidR="00C54ED1" w:rsidRPr="00F63CFC" w:rsidRDefault="00C54ED1"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2026</w:t>
            </w:r>
          </w:p>
        </w:tc>
        <w:tc>
          <w:tcPr>
            <w:tcW w:w="621" w:type="pct"/>
            <w:shd w:val="clear" w:color="auto" w:fill="002060"/>
            <w:vAlign w:val="center"/>
          </w:tcPr>
          <w:p w14:paraId="31CE2D1C" w14:textId="77777777" w:rsidR="00C54ED1" w:rsidRPr="00F63CFC" w:rsidRDefault="00C54ED1"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2027</w:t>
            </w:r>
          </w:p>
        </w:tc>
        <w:tc>
          <w:tcPr>
            <w:tcW w:w="621" w:type="pct"/>
            <w:shd w:val="clear" w:color="auto" w:fill="002060"/>
            <w:vAlign w:val="center"/>
          </w:tcPr>
          <w:p w14:paraId="4DA54923" w14:textId="77777777" w:rsidR="00C54ED1" w:rsidRPr="00976F45" w:rsidRDefault="00C54ED1"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2028</w:t>
            </w:r>
          </w:p>
        </w:tc>
        <w:tc>
          <w:tcPr>
            <w:tcW w:w="621" w:type="pct"/>
            <w:shd w:val="clear" w:color="auto" w:fill="002060"/>
            <w:vAlign w:val="center"/>
          </w:tcPr>
          <w:p w14:paraId="58F3A5DF" w14:textId="77777777" w:rsidR="00C54ED1" w:rsidRPr="00976F45" w:rsidRDefault="00C54ED1"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2029</w:t>
            </w:r>
          </w:p>
        </w:tc>
        <w:tc>
          <w:tcPr>
            <w:tcW w:w="623" w:type="pct"/>
            <w:shd w:val="clear" w:color="auto" w:fill="002060"/>
            <w:vAlign w:val="center"/>
          </w:tcPr>
          <w:p w14:paraId="162F33E8" w14:textId="77777777" w:rsidR="00C54ED1" w:rsidRPr="00976F45" w:rsidRDefault="00C54ED1"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Pr>
                <w:b w:val="0"/>
              </w:rPr>
              <w:t>2030</w:t>
            </w:r>
          </w:p>
        </w:tc>
      </w:tr>
      <w:tr w:rsidR="00C54ED1" w:rsidRPr="00BF79C4" w14:paraId="6C197395" w14:textId="77777777" w:rsidTr="00F63CFC">
        <w:trPr>
          <w:trHeight w:val="4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C1DCD5"/>
            <w:vAlign w:val="center"/>
          </w:tcPr>
          <w:p w14:paraId="582705E1" w14:textId="77777777" w:rsidR="00C54ED1" w:rsidRPr="00D27F54" w:rsidRDefault="00C54ED1" w:rsidP="000E15CA">
            <w:pPr>
              <w:pStyle w:val="TableParagraph"/>
            </w:pPr>
            <w:r w:rsidRPr="00BF79C4">
              <w:t>Tier 1</w:t>
            </w:r>
          </w:p>
        </w:tc>
      </w:tr>
      <w:tr w:rsidR="00C11909" w:rsidRPr="00507B25" w14:paraId="62BD87FF" w14:textId="77777777" w:rsidTr="005C5B1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27741C15" w14:textId="167DE305" w:rsidR="00C54ED1" w:rsidRPr="00927851" w:rsidRDefault="00C54ED1" w:rsidP="004461F2">
            <w:pPr>
              <w:pStyle w:val="TableParagraph"/>
              <w:jc w:val="left"/>
              <w:rPr>
                <w:b w:val="0"/>
                <w:bCs w:val="0"/>
                <w:lang w:val="en-NZ"/>
              </w:rPr>
            </w:pPr>
            <w:r w:rsidRPr="00927851">
              <w:rPr>
                <w:b w:val="0"/>
                <w:bCs w:val="0"/>
              </w:rPr>
              <w:t>Trigger price</w:t>
            </w:r>
          </w:p>
        </w:tc>
        <w:tc>
          <w:tcPr>
            <w:tcW w:w="0" w:type="pct"/>
            <w:shd w:val="clear" w:color="auto" w:fill="E9F5F2"/>
            <w:vAlign w:val="center"/>
          </w:tcPr>
          <w:p w14:paraId="2C661C55" w14:textId="77777777" w:rsidR="00C54ED1" w:rsidRPr="00D27F54" w:rsidRDefault="00C54ED1" w:rsidP="000E15CA">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BF79C4">
              <w:t>$203</w:t>
            </w:r>
          </w:p>
        </w:tc>
        <w:tc>
          <w:tcPr>
            <w:tcW w:w="0" w:type="pct"/>
            <w:shd w:val="clear" w:color="auto" w:fill="E9F5F2"/>
            <w:vAlign w:val="center"/>
          </w:tcPr>
          <w:p w14:paraId="6459C663" w14:textId="77777777" w:rsidR="00C54ED1" w:rsidRPr="00D27F54" w:rsidRDefault="00C54ED1" w:rsidP="000E15CA">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BF79C4">
              <w:t>$213</w:t>
            </w:r>
          </w:p>
        </w:tc>
        <w:tc>
          <w:tcPr>
            <w:tcW w:w="0" w:type="pct"/>
            <w:shd w:val="clear" w:color="auto" w:fill="E9F5F2"/>
            <w:vAlign w:val="center"/>
          </w:tcPr>
          <w:p w14:paraId="631CB82D" w14:textId="77777777" w:rsidR="00C54ED1" w:rsidRPr="00D27F54" w:rsidRDefault="00C54ED1" w:rsidP="000E15CA">
            <w:pPr>
              <w:pStyle w:val="TableParagraph"/>
              <w:cnfStyle w:val="000000100000" w:firstRow="0" w:lastRow="0" w:firstColumn="0" w:lastColumn="0" w:oddVBand="0" w:evenVBand="0" w:oddHBand="1" w:evenHBand="0" w:firstRowFirstColumn="0" w:firstRowLastColumn="0" w:lastRowFirstColumn="0" w:lastRowLastColumn="0"/>
            </w:pPr>
            <w:r w:rsidRPr="00BF79C4">
              <w:t>$223</w:t>
            </w:r>
          </w:p>
        </w:tc>
        <w:tc>
          <w:tcPr>
            <w:tcW w:w="0" w:type="pct"/>
            <w:shd w:val="clear" w:color="auto" w:fill="E9F5F2"/>
            <w:vAlign w:val="center"/>
          </w:tcPr>
          <w:p w14:paraId="5FD28BFC" w14:textId="77777777" w:rsidR="00C54ED1" w:rsidRPr="00D27F54" w:rsidRDefault="00C54ED1" w:rsidP="000E15CA">
            <w:pPr>
              <w:pStyle w:val="TableParagraph"/>
              <w:cnfStyle w:val="000000100000" w:firstRow="0" w:lastRow="0" w:firstColumn="0" w:lastColumn="0" w:oddVBand="0" w:evenVBand="0" w:oddHBand="1" w:evenHBand="0" w:firstRowFirstColumn="0" w:firstRowLastColumn="0" w:lastRowFirstColumn="0" w:lastRowLastColumn="0"/>
            </w:pPr>
            <w:r w:rsidRPr="00BF79C4">
              <w:t>$235</w:t>
            </w:r>
          </w:p>
        </w:tc>
        <w:tc>
          <w:tcPr>
            <w:tcW w:w="0" w:type="pct"/>
            <w:shd w:val="clear" w:color="auto" w:fill="D4E8DE"/>
            <w:vAlign w:val="center"/>
          </w:tcPr>
          <w:p w14:paraId="2B512322" w14:textId="77777777" w:rsidR="00C54ED1" w:rsidRPr="00D27F54" w:rsidRDefault="00C54ED1" w:rsidP="000E15CA">
            <w:pPr>
              <w:pStyle w:val="TableParagraph"/>
              <w:cnfStyle w:val="000000100000" w:firstRow="0" w:lastRow="0" w:firstColumn="0" w:lastColumn="0" w:oddVBand="0" w:evenVBand="0" w:oddHBand="1" w:evenHBand="0" w:firstRowFirstColumn="0" w:firstRowLastColumn="0" w:lastRowFirstColumn="0" w:lastRowLastColumn="0"/>
            </w:pPr>
            <w:r w:rsidRPr="00BF79C4">
              <w:t>$246</w:t>
            </w:r>
          </w:p>
        </w:tc>
      </w:tr>
      <w:tr w:rsidR="00ED18C5" w:rsidRPr="00F64E96" w14:paraId="0814F07F" w14:textId="77777777" w:rsidTr="007B6D8C">
        <w:trPr>
          <w:trHeight w:val="482"/>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1C1727C4" w14:textId="77777777" w:rsidR="00C54ED1" w:rsidRPr="00927851" w:rsidRDefault="00C54ED1" w:rsidP="004461F2">
            <w:pPr>
              <w:pStyle w:val="TableParagraph"/>
              <w:jc w:val="left"/>
              <w:rPr>
                <w:b w:val="0"/>
                <w:bCs w:val="0"/>
                <w:lang w:val="en-NZ"/>
              </w:rPr>
            </w:pPr>
            <w:r w:rsidRPr="00927851">
              <w:rPr>
                <w:b w:val="0"/>
                <w:bCs w:val="0"/>
              </w:rPr>
              <w:t>Reserve volume (million units)</w:t>
            </w:r>
          </w:p>
        </w:tc>
        <w:tc>
          <w:tcPr>
            <w:tcW w:w="0" w:type="pct"/>
            <w:shd w:val="clear" w:color="auto" w:fill="E9F5F2"/>
            <w:vAlign w:val="center"/>
          </w:tcPr>
          <w:p w14:paraId="3F5D53C8" w14:textId="77777777" w:rsidR="00C54ED1" w:rsidRPr="004A06C8" w:rsidRDefault="00C54ED1" w:rsidP="000E15CA">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4A06C8">
              <w:t>2.3</w:t>
            </w:r>
          </w:p>
        </w:tc>
        <w:tc>
          <w:tcPr>
            <w:tcW w:w="0" w:type="pct"/>
            <w:shd w:val="clear" w:color="auto" w:fill="E9F5F2"/>
            <w:vAlign w:val="center"/>
          </w:tcPr>
          <w:p w14:paraId="7A6407BA" w14:textId="77777777" w:rsidR="00C54ED1" w:rsidRPr="004A06C8" w:rsidRDefault="00C54ED1" w:rsidP="000E15CA">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4A06C8">
              <w:t>2.1</w:t>
            </w:r>
          </w:p>
        </w:tc>
        <w:tc>
          <w:tcPr>
            <w:tcW w:w="0" w:type="pct"/>
            <w:shd w:val="clear" w:color="auto" w:fill="E9F5F2"/>
            <w:vAlign w:val="center"/>
          </w:tcPr>
          <w:p w14:paraId="6A89763C" w14:textId="77777777" w:rsidR="00C54ED1" w:rsidRPr="004A06C8" w:rsidRDefault="00C54ED1" w:rsidP="000E15CA">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4A06C8">
              <w:t>1.9</w:t>
            </w:r>
          </w:p>
        </w:tc>
        <w:tc>
          <w:tcPr>
            <w:tcW w:w="0" w:type="pct"/>
            <w:shd w:val="clear" w:color="auto" w:fill="E9F5F2"/>
            <w:vAlign w:val="center"/>
          </w:tcPr>
          <w:p w14:paraId="3689CBD1" w14:textId="77777777" w:rsidR="00C54ED1" w:rsidRPr="004A06C8" w:rsidRDefault="00C54ED1" w:rsidP="000E15CA">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4A06C8">
              <w:t>1.7</w:t>
            </w:r>
          </w:p>
        </w:tc>
        <w:tc>
          <w:tcPr>
            <w:tcW w:w="0" w:type="pct"/>
            <w:shd w:val="clear" w:color="auto" w:fill="D4E8DE"/>
            <w:vAlign w:val="center"/>
          </w:tcPr>
          <w:p w14:paraId="5F5CD99B" w14:textId="77777777" w:rsidR="00C54ED1" w:rsidRPr="004A06C8" w:rsidRDefault="00C54ED1" w:rsidP="000E15CA">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4A06C8">
              <w:t>1.4</w:t>
            </w:r>
          </w:p>
        </w:tc>
      </w:tr>
      <w:tr w:rsidR="00C54ED1" w:rsidRPr="00C54ED1" w14:paraId="06AF3300" w14:textId="77777777" w:rsidTr="00F63CF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C1DCD5"/>
            <w:vAlign w:val="center"/>
          </w:tcPr>
          <w:p w14:paraId="265ADBCE" w14:textId="77777777" w:rsidR="00C54ED1" w:rsidRPr="00D27F54" w:rsidRDefault="00C54ED1" w:rsidP="000E15CA">
            <w:pPr>
              <w:pStyle w:val="TableParagraph"/>
            </w:pPr>
            <w:r w:rsidRPr="00BF79C4">
              <w:t>Tier 2</w:t>
            </w:r>
          </w:p>
        </w:tc>
      </w:tr>
      <w:tr w:rsidR="00C11909" w:rsidRPr="00C54ED1" w14:paraId="1C0EC291" w14:textId="77777777" w:rsidTr="005C5B1E">
        <w:trPr>
          <w:trHeight w:val="482"/>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0A442D38" w14:textId="77777777" w:rsidR="00C54ED1" w:rsidRPr="00927851" w:rsidRDefault="00C54ED1" w:rsidP="004461F2">
            <w:pPr>
              <w:pStyle w:val="TableParagraph"/>
              <w:jc w:val="left"/>
              <w:rPr>
                <w:b w:val="0"/>
                <w:bCs w:val="0"/>
                <w:lang w:val="en-NZ"/>
              </w:rPr>
            </w:pPr>
            <w:r w:rsidRPr="00927851">
              <w:rPr>
                <w:b w:val="0"/>
                <w:bCs w:val="0"/>
              </w:rPr>
              <w:t>Trigger price</w:t>
            </w:r>
          </w:p>
        </w:tc>
        <w:tc>
          <w:tcPr>
            <w:tcW w:w="0" w:type="pct"/>
            <w:shd w:val="clear" w:color="auto" w:fill="E9F5F2"/>
            <w:vAlign w:val="center"/>
          </w:tcPr>
          <w:p w14:paraId="748762E1" w14:textId="77777777" w:rsidR="00C54ED1" w:rsidRPr="00D27F54" w:rsidRDefault="00C54ED1" w:rsidP="000E15CA">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D27F54">
              <w:t>$254</w:t>
            </w:r>
          </w:p>
        </w:tc>
        <w:tc>
          <w:tcPr>
            <w:tcW w:w="0" w:type="pct"/>
            <w:shd w:val="clear" w:color="auto" w:fill="E9F5F2"/>
            <w:vAlign w:val="center"/>
          </w:tcPr>
          <w:p w14:paraId="08E95205" w14:textId="77777777" w:rsidR="00C54ED1" w:rsidRPr="00D27F54" w:rsidRDefault="00C54ED1" w:rsidP="000E15CA">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D27F54">
              <w:t>$267</w:t>
            </w:r>
          </w:p>
        </w:tc>
        <w:tc>
          <w:tcPr>
            <w:tcW w:w="0" w:type="pct"/>
            <w:shd w:val="clear" w:color="auto" w:fill="E9F5F2"/>
            <w:vAlign w:val="center"/>
          </w:tcPr>
          <w:p w14:paraId="79FC3C17" w14:textId="77777777" w:rsidR="00C54ED1" w:rsidRPr="00D27F54" w:rsidRDefault="00C54ED1" w:rsidP="000E15CA">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D27F54">
              <w:t>$279</w:t>
            </w:r>
          </w:p>
        </w:tc>
        <w:tc>
          <w:tcPr>
            <w:tcW w:w="0" w:type="pct"/>
            <w:shd w:val="clear" w:color="auto" w:fill="E9F5F2"/>
            <w:vAlign w:val="center"/>
          </w:tcPr>
          <w:p w14:paraId="5C9A39FC" w14:textId="77777777" w:rsidR="00C54ED1" w:rsidRPr="00D27F54" w:rsidRDefault="00C54ED1" w:rsidP="000E15CA">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D27F54">
              <w:t>$293</w:t>
            </w:r>
          </w:p>
        </w:tc>
        <w:tc>
          <w:tcPr>
            <w:tcW w:w="0" w:type="pct"/>
            <w:shd w:val="clear" w:color="auto" w:fill="D4E8DE"/>
            <w:vAlign w:val="center"/>
          </w:tcPr>
          <w:p w14:paraId="23AF6DA9" w14:textId="77777777" w:rsidR="00C54ED1" w:rsidRPr="00D27F54" w:rsidRDefault="00C54ED1" w:rsidP="000E15CA">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D27F54">
              <w:t>$308</w:t>
            </w:r>
          </w:p>
        </w:tc>
      </w:tr>
      <w:tr w:rsidR="00C11909" w:rsidRPr="00C54ED1" w14:paraId="6EDFAEE0" w14:textId="77777777" w:rsidTr="005C5B1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7D4AE3CD" w14:textId="77777777" w:rsidR="00C54ED1" w:rsidRPr="00927851" w:rsidRDefault="00C54ED1" w:rsidP="004461F2">
            <w:pPr>
              <w:pStyle w:val="TableParagraph"/>
              <w:jc w:val="left"/>
              <w:rPr>
                <w:b w:val="0"/>
                <w:bCs w:val="0"/>
                <w:lang w:val="en-NZ"/>
              </w:rPr>
            </w:pPr>
            <w:r w:rsidRPr="00927851">
              <w:rPr>
                <w:b w:val="0"/>
                <w:bCs w:val="0"/>
              </w:rPr>
              <w:t>Reserve volume (million units)</w:t>
            </w:r>
          </w:p>
        </w:tc>
        <w:tc>
          <w:tcPr>
            <w:tcW w:w="0" w:type="pct"/>
            <w:shd w:val="clear" w:color="auto" w:fill="E9F5F2"/>
            <w:vAlign w:val="center"/>
          </w:tcPr>
          <w:p w14:paraId="3D123957" w14:textId="77777777" w:rsidR="00C54ED1" w:rsidRPr="00D27F54" w:rsidRDefault="00C54ED1" w:rsidP="000E15CA">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D27F54">
              <w:t>4.2</w:t>
            </w:r>
          </w:p>
        </w:tc>
        <w:tc>
          <w:tcPr>
            <w:tcW w:w="0" w:type="pct"/>
            <w:shd w:val="clear" w:color="auto" w:fill="E9F5F2"/>
            <w:vAlign w:val="center"/>
          </w:tcPr>
          <w:p w14:paraId="7F2EA0D5" w14:textId="77777777" w:rsidR="00C54ED1" w:rsidRPr="00D27F54" w:rsidRDefault="00C54ED1" w:rsidP="000E15CA">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D27F54">
              <w:t>3.8</w:t>
            </w:r>
          </w:p>
        </w:tc>
        <w:tc>
          <w:tcPr>
            <w:tcW w:w="0" w:type="pct"/>
            <w:shd w:val="clear" w:color="auto" w:fill="E9F5F2"/>
            <w:vAlign w:val="center"/>
          </w:tcPr>
          <w:p w14:paraId="3ADD109A" w14:textId="77777777" w:rsidR="00C54ED1" w:rsidRPr="00D27F54" w:rsidRDefault="00C54ED1" w:rsidP="000E15CA">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D27F54">
              <w:t>3.4</w:t>
            </w:r>
          </w:p>
        </w:tc>
        <w:tc>
          <w:tcPr>
            <w:tcW w:w="0" w:type="pct"/>
            <w:shd w:val="clear" w:color="auto" w:fill="E9F5F2"/>
            <w:vAlign w:val="center"/>
          </w:tcPr>
          <w:p w14:paraId="4DD2BC49" w14:textId="77777777" w:rsidR="00C54ED1" w:rsidRPr="00D27F54" w:rsidRDefault="00C54ED1" w:rsidP="000E15CA">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D27F54">
              <w:t>3.0</w:t>
            </w:r>
          </w:p>
        </w:tc>
        <w:tc>
          <w:tcPr>
            <w:tcW w:w="0" w:type="pct"/>
            <w:shd w:val="clear" w:color="auto" w:fill="D4E8DE"/>
            <w:vAlign w:val="center"/>
          </w:tcPr>
          <w:p w14:paraId="288E1C48" w14:textId="77777777" w:rsidR="00C54ED1" w:rsidRPr="00D27F54" w:rsidRDefault="00C54ED1" w:rsidP="000E15CA">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D27F54">
              <w:t>2.5</w:t>
            </w:r>
          </w:p>
        </w:tc>
      </w:tr>
    </w:tbl>
    <w:p w14:paraId="1B19C695" w14:textId="77777777" w:rsidR="00D00220" w:rsidRPr="00092B4B" w:rsidRDefault="00D00220" w:rsidP="00D00220">
      <w:pPr>
        <w:spacing w:before="0" w:after="0" w:line="120" w:lineRule="auto"/>
      </w:pPr>
    </w:p>
    <w:tbl>
      <w:tblPr>
        <w:tblStyle w:val="GridTable5Dark-Accent5"/>
        <w:tblW w:w="5000" w:type="pct"/>
        <w:tblLayout w:type="fixed"/>
        <w:tblCellMar>
          <w:left w:w="113" w:type="dxa"/>
          <w:right w:w="113" w:type="dxa"/>
        </w:tblCellMar>
        <w:tblLook w:val="04A0" w:firstRow="1" w:lastRow="0" w:firstColumn="1" w:lastColumn="0" w:noHBand="0" w:noVBand="1"/>
      </w:tblPr>
      <w:tblGrid>
        <w:gridCol w:w="3244"/>
        <w:gridCol w:w="1287"/>
        <w:gridCol w:w="1134"/>
        <w:gridCol w:w="1134"/>
        <w:gridCol w:w="993"/>
        <w:gridCol w:w="1268"/>
      </w:tblGrid>
      <w:tr w:rsidR="004E5543" w:rsidRPr="0091207A" w14:paraId="06F9AAA2" w14:textId="77777777">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790" w:type="pct"/>
            <w:shd w:val="clear" w:color="auto" w:fill="002060"/>
            <w:vAlign w:val="center"/>
          </w:tcPr>
          <w:p w14:paraId="2C71A0E5" w14:textId="77777777" w:rsidR="00D00220" w:rsidRPr="00F63CFC" w:rsidRDefault="00D00220" w:rsidP="000E15CA">
            <w:pPr>
              <w:pStyle w:val="Tableparagraphwhite"/>
              <w:rPr>
                <w:b/>
              </w:rPr>
            </w:pPr>
          </w:p>
        </w:tc>
        <w:tc>
          <w:tcPr>
            <w:tcW w:w="1336" w:type="pct"/>
            <w:gridSpan w:val="2"/>
            <w:shd w:val="clear" w:color="auto" w:fill="002060"/>
            <w:vAlign w:val="center"/>
          </w:tcPr>
          <w:p w14:paraId="1E36421E" w14:textId="77777777" w:rsidR="00D00220" w:rsidRPr="00F63CFC" w:rsidRDefault="00D00220"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F63CFC">
              <w:rPr>
                <w:b/>
              </w:rPr>
              <w:t>No changes</w:t>
            </w:r>
          </w:p>
        </w:tc>
        <w:tc>
          <w:tcPr>
            <w:tcW w:w="1174" w:type="pct"/>
            <w:gridSpan w:val="2"/>
            <w:shd w:val="clear" w:color="auto" w:fill="002060"/>
            <w:vAlign w:val="center"/>
          </w:tcPr>
          <w:p w14:paraId="229332F8" w14:textId="77777777" w:rsidR="00D00220" w:rsidRPr="00F63CFC" w:rsidRDefault="00D00220"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F63CFC">
              <w:rPr>
                <w:b/>
              </w:rPr>
              <w:t>Updated</w:t>
            </w:r>
          </w:p>
        </w:tc>
        <w:tc>
          <w:tcPr>
            <w:tcW w:w="700" w:type="pct"/>
            <w:shd w:val="clear" w:color="auto" w:fill="002060"/>
            <w:vAlign w:val="center"/>
          </w:tcPr>
          <w:p w14:paraId="0417252C" w14:textId="77777777" w:rsidR="00D00220" w:rsidRPr="00F63CFC" w:rsidRDefault="00D00220"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F63CFC">
              <w:rPr>
                <w:b/>
              </w:rPr>
              <w:t>New</w:t>
            </w:r>
          </w:p>
        </w:tc>
      </w:tr>
      <w:tr w:rsidR="00C11909" w:rsidRPr="0091207A" w14:paraId="56024976" w14:textId="7777777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790" w:type="pct"/>
            <w:shd w:val="clear" w:color="auto" w:fill="002060"/>
            <w:vAlign w:val="center"/>
          </w:tcPr>
          <w:p w14:paraId="3313AB52" w14:textId="6D90F352" w:rsidR="00D00220" w:rsidRPr="007573A3" w:rsidRDefault="00D00220" w:rsidP="004461F2">
            <w:pPr>
              <w:pStyle w:val="Tableparagraphwhite"/>
              <w:jc w:val="left"/>
              <w:rPr>
                <w:b/>
              </w:rPr>
            </w:pPr>
            <w:r w:rsidRPr="00F63CFC">
              <w:rPr>
                <w:b/>
              </w:rPr>
              <w:t>Auction reserve price</w:t>
            </w:r>
          </w:p>
        </w:tc>
        <w:tc>
          <w:tcPr>
            <w:tcW w:w="710" w:type="pct"/>
            <w:shd w:val="clear" w:color="auto" w:fill="002060"/>
            <w:vAlign w:val="center"/>
          </w:tcPr>
          <w:p w14:paraId="14A0318C" w14:textId="77777777" w:rsidR="00D00220" w:rsidRPr="00E8092E" w:rsidRDefault="00D00220" w:rsidP="000E15CA">
            <w:pPr>
              <w:pStyle w:val="Tableparagraphwhite"/>
              <w:cnfStyle w:val="000000100000" w:firstRow="0" w:lastRow="0" w:firstColumn="0" w:lastColumn="0" w:oddVBand="0" w:evenVBand="0" w:oddHBand="1" w:evenHBand="0" w:firstRowFirstColumn="0" w:firstRowLastColumn="0" w:lastRowFirstColumn="0" w:lastRowLastColumn="0"/>
            </w:pPr>
            <w:r w:rsidRPr="00E8092E">
              <w:t>2026</w:t>
            </w:r>
          </w:p>
        </w:tc>
        <w:tc>
          <w:tcPr>
            <w:tcW w:w="626" w:type="pct"/>
            <w:shd w:val="clear" w:color="auto" w:fill="002060"/>
            <w:vAlign w:val="center"/>
          </w:tcPr>
          <w:p w14:paraId="609989A5" w14:textId="77777777" w:rsidR="00D00220" w:rsidRPr="00E8092E" w:rsidRDefault="00D00220" w:rsidP="000E15CA">
            <w:pPr>
              <w:pStyle w:val="Tableparagraphwhite"/>
              <w:cnfStyle w:val="000000100000" w:firstRow="0" w:lastRow="0" w:firstColumn="0" w:lastColumn="0" w:oddVBand="0" w:evenVBand="0" w:oddHBand="1" w:evenHBand="0" w:firstRowFirstColumn="0" w:firstRowLastColumn="0" w:lastRowFirstColumn="0" w:lastRowLastColumn="0"/>
            </w:pPr>
            <w:r w:rsidRPr="00E8092E">
              <w:t>2027</w:t>
            </w:r>
          </w:p>
        </w:tc>
        <w:tc>
          <w:tcPr>
            <w:tcW w:w="626" w:type="pct"/>
            <w:shd w:val="clear" w:color="auto" w:fill="002060"/>
            <w:vAlign w:val="center"/>
          </w:tcPr>
          <w:p w14:paraId="7D426B36" w14:textId="77777777" w:rsidR="00D00220" w:rsidRPr="00976F45" w:rsidRDefault="00D00220" w:rsidP="000E15CA">
            <w:pPr>
              <w:pStyle w:val="Tableparagraphwhite"/>
              <w:cnfStyle w:val="000000100000" w:firstRow="0" w:lastRow="0" w:firstColumn="0" w:lastColumn="0" w:oddVBand="0" w:evenVBand="0" w:oddHBand="1" w:evenHBand="0" w:firstRowFirstColumn="0" w:firstRowLastColumn="0" w:lastRowFirstColumn="0" w:lastRowLastColumn="0"/>
            </w:pPr>
            <w:r>
              <w:t>2028</w:t>
            </w:r>
          </w:p>
        </w:tc>
        <w:tc>
          <w:tcPr>
            <w:tcW w:w="548" w:type="pct"/>
            <w:shd w:val="clear" w:color="auto" w:fill="002060"/>
            <w:vAlign w:val="center"/>
          </w:tcPr>
          <w:p w14:paraId="7817E283" w14:textId="77777777" w:rsidR="00D00220" w:rsidRPr="00976F45" w:rsidRDefault="00D00220" w:rsidP="000E15CA">
            <w:pPr>
              <w:pStyle w:val="Tableparagraphwhite"/>
              <w:cnfStyle w:val="000000100000" w:firstRow="0" w:lastRow="0" w:firstColumn="0" w:lastColumn="0" w:oddVBand="0" w:evenVBand="0" w:oddHBand="1" w:evenHBand="0" w:firstRowFirstColumn="0" w:firstRowLastColumn="0" w:lastRowFirstColumn="0" w:lastRowLastColumn="0"/>
            </w:pPr>
            <w:r>
              <w:t>2029</w:t>
            </w:r>
          </w:p>
        </w:tc>
        <w:tc>
          <w:tcPr>
            <w:tcW w:w="700" w:type="pct"/>
            <w:shd w:val="clear" w:color="auto" w:fill="002060"/>
            <w:vAlign w:val="center"/>
          </w:tcPr>
          <w:p w14:paraId="4759AB02" w14:textId="77777777" w:rsidR="00D00220" w:rsidRPr="00976F45" w:rsidRDefault="00D00220" w:rsidP="000E15CA">
            <w:pPr>
              <w:pStyle w:val="Tableparagraphwhite"/>
              <w:cnfStyle w:val="000000100000" w:firstRow="0" w:lastRow="0" w:firstColumn="0" w:lastColumn="0" w:oddVBand="0" w:evenVBand="0" w:oddHBand="1" w:evenHBand="0" w:firstRowFirstColumn="0" w:firstRowLastColumn="0" w:lastRowFirstColumn="0" w:lastRowLastColumn="0"/>
            </w:pPr>
            <w:r>
              <w:t>2030</w:t>
            </w:r>
          </w:p>
        </w:tc>
      </w:tr>
      <w:tr w:rsidR="00C11909" w:rsidRPr="0091207A" w14:paraId="5C46C160" w14:textId="77777777">
        <w:trPr>
          <w:trHeight w:val="482"/>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30C916A0" w14:textId="77777777" w:rsidR="00D00220" w:rsidRPr="00927851" w:rsidRDefault="00D00220" w:rsidP="004461F2">
            <w:pPr>
              <w:pStyle w:val="TableParagraph"/>
              <w:jc w:val="left"/>
              <w:rPr>
                <w:b w:val="0"/>
                <w:bCs w:val="0"/>
              </w:rPr>
            </w:pPr>
            <w:r w:rsidRPr="00927851">
              <w:rPr>
                <w:b w:val="0"/>
                <w:bCs w:val="0"/>
              </w:rPr>
              <w:t>Auction reserve price</w:t>
            </w:r>
          </w:p>
        </w:tc>
        <w:tc>
          <w:tcPr>
            <w:tcW w:w="0" w:type="pct"/>
            <w:shd w:val="clear" w:color="auto" w:fill="E9F5F2"/>
            <w:vAlign w:val="center"/>
          </w:tcPr>
          <w:p w14:paraId="2D75BB0A" w14:textId="77777777" w:rsidR="00D00220" w:rsidRPr="00BF79C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2634BC">
              <w:t>$71</w:t>
            </w:r>
          </w:p>
        </w:tc>
        <w:tc>
          <w:tcPr>
            <w:tcW w:w="0" w:type="pct"/>
            <w:shd w:val="clear" w:color="auto" w:fill="E9F5F2"/>
            <w:vAlign w:val="center"/>
          </w:tcPr>
          <w:p w14:paraId="189529FB" w14:textId="77777777" w:rsidR="00D00220" w:rsidRPr="00BF79C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2634BC">
              <w:t>$75</w:t>
            </w:r>
          </w:p>
        </w:tc>
        <w:tc>
          <w:tcPr>
            <w:tcW w:w="0" w:type="pct"/>
            <w:shd w:val="clear" w:color="auto" w:fill="E9F5F2"/>
            <w:vAlign w:val="center"/>
          </w:tcPr>
          <w:p w14:paraId="2D783044" w14:textId="77777777" w:rsidR="00D00220" w:rsidRPr="00BF79C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2634BC">
              <w:t>$78</w:t>
            </w:r>
          </w:p>
        </w:tc>
        <w:tc>
          <w:tcPr>
            <w:tcW w:w="0" w:type="pct"/>
            <w:shd w:val="clear" w:color="auto" w:fill="E9F5F2"/>
            <w:vAlign w:val="center"/>
          </w:tcPr>
          <w:p w14:paraId="76E06F60" w14:textId="77777777" w:rsidR="00D00220" w:rsidRPr="00BF79C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2634BC">
              <w:t>$82</w:t>
            </w:r>
          </w:p>
        </w:tc>
        <w:tc>
          <w:tcPr>
            <w:tcW w:w="0" w:type="pct"/>
            <w:shd w:val="clear" w:color="auto" w:fill="C1DCD5"/>
            <w:vAlign w:val="center"/>
          </w:tcPr>
          <w:p w14:paraId="1B1DAB71" w14:textId="77777777" w:rsidR="00D00220" w:rsidRPr="00BF79C4" w:rsidRDefault="00D00220" w:rsidP="000E15CA">
            <w:pPr>
              <w:pStyle w:val="TableParagraph"/>
              <w:cnfStyle w:val="000000000000" w:firstRow="0" w:lastRow="0" w:firstColumn="0" w:lastColumn="0" w:oddVBand="0" w:evenVBand="0" w:oddHBand="0" w:evenHBand="0" w:firstRowFirstColumn="0" w:firstRowLastColumn="0" w:lastRowFirstColumn="0" w:lastRowLastColumn="0"/>
            </w:pPr>
            <w:r w:rsidRPr="002634BC">
              <w:t>$86</w:t>
            </w:r>
          </w:p>
        </w:tc>
      </w:tr>
    </w:tbl>
    <w:p w14:paraId="54C0689C" w14:textId="5D943DF5" w:rsidR="00923396" w:rsidRPr="00A92463" w:rsidRDefault="00923396" w:rsidP="004A4575">
      <w:r>
        <w:br w:type="page"/>
      </w:r>
    </w:p>
    <w:p w14:paraId="7386F060" w14:textId="0B4AEF06" w:rsidR="00A614AE" w:rsidRDefault="00A614AE" w:rsidP="006A7422">
      <w:pPr>
        <w:pStyle w:val="Heading1nonumber"/>
      </w:pPr>
      <w:bookmarkStart w:id="17" w:name="_Toc195447225"/>
      <w:r>
        <w:lastRenderedPageBreak/>
        <w:t>PART 1: Te taupuaki – Introduction</w:t>
      </w:r>
      <w:bookmarkEnd w:id="17"/>
    </w:p>
    <w:p w14:paraId="02E6040B" w14:textId="42F6EDD5" w:rsidR="00F42A25" w:rsidRDefault="1BE00086" w:rsidP="4148D425">
      <w:pPr>
        <w:pStyle w:val="Intro"/>
      </w:pPr>
      <w:r>
        <w:t>This is He Pou a Rangi Climate Change Commission’s fourth annual advice about unit limit</w:t>
      </w:r>
      <w:r w:rsidR="00C36F20">
        <w:t>s</w:t>
      </w:r>
      <w:r>
        <w:t xml:space="preserve"> and price control settings for the New Zealand Emissions Trading Scheme. </w:t>
      </w:r>
    </w:p>
    <w:p w14:paraId="56191F1B" w14:textId="71BAD41E" w:rsidR="00F42A25" w:rsidRDefault="1BE00086" w:rsidP="4148D425">
      <w:r>
        <w:t>Under the Climate Change Response Act 2002</w:t>
      </w:r>
      <w:r w:rsidR="00213B86">
        <w:t xml:space="preserve"> (the Act)</w:t>
      </w:r>
      <w:r>
        <w:t>, the Commission is required to provide the Government with annual advice about unit limit</w:t>
      </w:r>
      <w:r w:rsidR="00C36F20">
        <w:t>s</w:t>
      </w:r>
      <w:r>
        <w:t xml:space="preserve"> and price control settings for the New Zealand Emissions Trading Scheme (NZ ETS). This advice supports the Minister of Climate Change to update NZ ETS settings in regulations.</w:t>
      </w:r>
    </w:p>
    <w:p w14:paraId="5745ED7B" w14:textId="53D8B5C2" w:rsidR="00F42A25" w:rsidRDefault="1BE00086" w:rsidP="4148D425">
      <w:r>
        <w:t xml:space="preserve">This is the fourth time the Commission has provided this advice. This report covers the settings for 2026–2030.   </w:t>
      </w:r>
    </w:p>
    <w:p w14:paraId="49385745" w14:textId="6FC7BD15" w:rsidR="00F42A25" w:rsidRDefault="1BE00086" w:rsidP="4148D425">
      <w:pPr>
        <w:pStyle w:val="Heading2nonumber"/>
      </w:pPr>
      <w:bookmarkStart w:id="18" w:name="_Toc195447226"/>
      <w:r>
        <w:t>About the New Zealand Emissions Trading Scheme</w:t>
      </w:r>
      <w:bookmarkEnd w:id="18"/>
    </w:p>
    <w:p w14:paraId="2FDE8070" w14:textId="39257288" w:rsidR="00F42A25" w:rsidRDefault="1BE00086" w:rsidP="4148D425">
      <w:r>
        <w:t xml:space="preserve">The NZ ETS is </w:t>
      </w:r>
      <w:r w:rsidR="00926B7A">
        <w:t>the Government’s</w:t>
      </w:r>
      <w:r>
        <w:t xml:space="preserve"> </w:t>
      </w:r>
      <w:r w:rsidR="00766016">
        <w:t xml:space="preserve">key policy tool </w:t>
      </w:r>
      <w:r>
        <w:t xml:space="preserve">for reducing greenhouse gas emissions. It applies to </w:t>
      </w:r>
      <w:r w:rsidR="00D6150F">
        <w:t>emissions from</w:t>
      </w:r>
      <w:r>
        <w:t xml:space="preserve"> every sector </w:t>
      </w:r>
      <w:r w:rsidR="00D6150F">
        <w:t xml:space="preserve">of </w:t>
      </w:r>
      <w:r w:rsidR="00766016">
        <w:t>the</w:t>
      </w:r>
      <w:r>
        <w:t xml:space="preserve"> economy except </w:t>
      </w:r>
      <w:r w:rsidR="00D6150F">
        <w:t>for agricultural activities</w:t>
      </w:r>
      <w:r>
        <w:t xml:space="preserve">. </w:t>
      </w:r>
      <w:r w:rsidR="00020D2D">
        <w:br/>
      </w:r>
      <w:r>
        <w:t>NZ ETS participants obtain units (called ‘New Zealand Units’</w:t>
      </w:r>
      <w:r w:rsidR="752835F3">
        <w:t xml:space="preserve"> (NZUs)</w:t>
      </w:r>
      <w:r>
        <w:t>)</w:t>
      </w:r>
      <w:r w:rsidR="3397D8EE">
        <w:t xml:space="preserve"> allowing them to emit greenhouse gases. Each unit </w:t>
      </w:r>
      <w:r>
        <w:t>allow</w:t>
      </w:r>
      <w:r w:rsidR="4F434A9B">
        <w:t>s a participant</w:t>
      </w:r>
      <w:r>
        <w:t xml:space="preserve"> to emit </w:t>
      </w:r>
      <w:r w:rsidR="082409EA">
        <w:t>one tonne of CO₂e</w:t>
      </w:r>
      <w:r>
        <w:t xml:space="preserve">. </w:t>
      </w:r>
    </w:p>
    <w:p w14:paraId="01BA6F14" w14:textId="048E822E" w:rsidR="00F42A25" w:rsidRDefault="1BE00086" w:rsidP="4148D425">
      <w:r>
        <w:t xml:space="preserve">Participants can acquire </w:t>
      </w:r>
      <w:r w:rsidR="44E292FA">
        <w:t xml:space="preserve">NZUs </w:t>
      </w:r>
      <w:r>
        <w:t>by:</w:t>
      </w:r>
    </w:p>
    <w:p w14:paraId="0EF9FF5A" w14:textId="03F691F0" w:rsidR="00F42A25" w:rsidRDefault="1BE00086" w:rsidP="4148D425">
      <w:pPr>
        <w:pStyle w:val="BodyBullets"/>
      </w:pPr>
      <w:r>
        <w:t xml:space="preserve">buying them from the Government at auction    </w:t>
      </w:r>
    </w:p>
    <w:p w14:paraId="6BE757DB" w14:textId="77AD6427" w:rsidR="00F42A25" w:rsidRDefault="1BE00086" w:rsidP="4148D425">
      <w:pPr>
        <w:pStyle w:val="BodyBullets"/>
      </w:pPr>
      <w:r>
        <w:t xml:space="preserve">buying them from other NZ ETS participants     </w:t>
      </w:r>
    </w:p>
    <w:p w14:paraId="294E4830" w14:textId="3A74B7F3" w:rsidR="00F42A25" w:rsidRDefault="1BE00086" w:rsidP="4148D425">
      <w:pPr>
        <w:pStyle w:val="BodyBullets"/>
      </w:pPr>
      <w:r>
        <w:t>receiving them from the Government for free (if they undertake an eligible activity that is both emission</w:t>
      </w:r>
      <w:r w:rsidR="0002027E">
        <w:t>s</w:t>
      </w:r>
      <w:r>
        <w:t xml:space="preserve">-intensive and trade-exposed)    </w:t>
      </w:r>
    </w:p>
    <w:p w14:paraId="6655CC05" w14:textId="0CE66FC3" w:rsidR="00F42A25" w:rsidRDefault="1BE00086" w:rsidP="4148D425">
      <w:pPr>
        <w:pStyle w:val="BodyBullets"/>
      </w:pPr>
      <w:r>
        <w:t xml:space="preserve">earning them from the Government for activities such as </w:t>
      </w:r>
      <w:r w:rsidR="00726515">
        <w:t>forestry</w:t>
      </w:r>
      <w:r w:rsidR="00E01B1C">
        <w:t xml:space="preserve"> that remove </w:t>
      </w:r>
      <w:r>
        <w:t xml:space="preserve">carbon </w:t>
      </w:r>
      <w:r w:rsidR="00E01B1C">
        <w:t>from the atmosphere</w:t>
      </w:r>
      <w:r>
        <w:t>.</w:t>
      </w:r>
    </w:p>
    <w:p w14:paraId="7A9C7991" w14:textId="0E71B6E3" w:rsidR="00F42A25" w:rsidRDefault="00093292" w:rsidP="4148D425">
      <w:r>
        <w:t>T</w:t>
      </w:r>
      <w:r w:rsidR="1BE00086">
        <w:t xml:space="preserve">he scheme creates financial incentives </w:t>
      </w:r>
      <w:r w:rsidR="00DD05F4">
        <w:t>to reduce</w:t>
      </w:r>
      <w:r w:rsidR="1BE00086">
        <w:t xml:space="preserve"> emissions while leaving market participants to decide how </w:t>
      </w:r>
      <w:r w:rsidR="00FA5E59">
        <w:t>that</w:t>
      </w:r>
      <w:r w:rsidR="1BE00086">
        <w:t xml:space="preserve"> should </w:t>
      </w:r>
      <w:r w:rsidR="00FA5E59">
        <w:t>happen</w:t>
      </w:r>
      <w:r w:rsidR="1BE00086">
        <w:t xml:space="preserve">. The scheme’s broad coverage means it affects a much wider range of emissions than is possible with more specific policies.  </w:t>
      </w:r>
    </w:p>
    <w:p w14:paraId="4B2CB513" w14:textId="0DC79BB3" w:rsidR="00F42A25" w:rsidRDefault="1BE00086" w:rsidP="4148D425">
      <w:r>
        <w:t>The NZ ETS covers about half of the country’s greenhouse gas emissions.</w:t>
      </w:r>
    </w:p>
    <w:p w14:paraId="3733F17E" w14:textId="4E192DC5" w:rsidR="00F42A25" w:rsidRDefault="1BE00086" w:rsidP="4148D425">
      <w:pPr>
        <w:pStyle w:val="Heading3"/>
      </w:pPr>
      <w:r>
        <w:t xml:space="preserve">NZ ETS unit limits and price control settings </w:t>
      </w:r>
    </w:p>
    <w:p w14:paraId="1EA2E3DF" w14:textId="197EE6CD" w:rsidR="00F42A25" w:rsidRDefault="00A31C1A" w:rsidP="4148D425">
      <w:r>
        <w:t>T</w:t>
      </w:r>
      <w:r w:rsidR="1BE00086">
        <w:t>he Government sets limits</w:t>
      </w:r>
      <w:r w:rsidR="001844DF">
        <w:t xml:space="preserve">, </w:t>
      </w:r>
      <w:r w:rsidR="00BC079D">
        <w:t xml:space="preserve">the </w:t>
      </w:r>
      <w:r w:rsidR="001844DF">
        <w:t xml:space="preserve">main function </w:t>
      </w:r>
      <w:r w:rsidR="00BC079D">
        <w:t xml:space="preserve">of which </w:t>
      </w:r>
      <w:r w:rsidR="001844DF">
        <w:t xml:space="preserve">is to determine </w:t>
      </w:r>
      <w:r w:rsidR="1BE00086">
        <w:t xml:space="preserve">the number of units that can be auctioned </w:t>
      </w:r>
      <w:r w:rsidR="00C60907">
        <w:t xml:space="preserve">into </w:t>
      </w:r>
      <w:r w:rsidR="1BE00086">
        <w:t xml:space="preserve">the NZ ETS each year. These ‘unit limits’ </w:t>
      </w:r>
      <w:r w:rsidR="00DB2E20">
        <w:t xml:space="preserve">aim to keep </w:t>
      </w:r>
      <w:r w:rsidR="1BE00086">
        <w:t xml:space="preserve">the </w:t>
      </w:r>
      <w:r w:rsidR="00C64754">
        <w:t xml:space="preserve">supply </w:t>
      </w:r>
      <w:r w:rsidR="1BE00086">
        <w:t xml:space="preserve">of units </w:t>
      </w:r>
      <w:r w:rsidR="00C64754">
        <w:t xml:space="preserve">to </w:t>
      </w:r>
      <w:r w:rsidR="1BE00086">
        <w:t xml:space="preserve">the market consistent with </w:t>
      </w:r>
      <w:r>
        <w:t>Aotearoa New Zealand’s</w:t>
      </w:r>
      <w:r w:rsidR="1BE00086">
        <w:t xml:space="preserve"> emissions </w:t>
      </w:r>
      <w:r w:rsidR="330490DB">
        <w:t>budgets</w:t>
      </w:r>
      <w:r w:rsidR="1BE00086">
        <w:t>.</w:t>
      </w:r>
      <w:r w:rsidR="0017313C">
        <w:rPr>
          <w:rStyle w:val="FootnoteReference"/>
        </w:rPr>
        <w:footnoteReference w:id="14"/>
      </w:r>
    </w:p>
    <w:p w14:paraId="2CEC0373" w14:textId="2BCF3B4E" w:rsidR="00F42A25" w:rsidRDefault="1BE00086" w:rsidP="3FCFE27D">
      <w:r>
        <w:t xml:space="preserve">The </w:t>
      </w:r>
      <w:r w:rsidR="00591932">
        <w:t>Government also sets</w:t>
      </w:r>
      <w:r>
        <w:t xml:space="preserve"> price controls </w:t>
      </w:r>
      <w:r w:rsidR="001A71ED">
        <w:t>that</w:t>
      </w:r>
      <w:r>
        <w:t xml:space="preserve"> apply at NZ ETS auctions. An auction reserve price (ARP) ensure</w:t>
      </w:r>
      <w:r w:rsidR="00957121">
        <w:t>s</w:t>
      </w:r>
      <w:r>
        <w:t xml:space="preserve"> that units are not auctioned at prices that are too low to support</w:t>
      </w:r>
      <w:r w:rsidR="7897AADD">
        <w:t xml:space="preserve"> the</w:t>
      </w:r>
      <w:r w:rsidR="0647F906">
        <w:t xml:space="preserve"> </w:t>
      </w:r>
      <w:r w:rsidR="00957121">
        <w:lastRenderedPageBreak/>
        <w:t>investment</w:t>
      </w:r>
      <w:r w:rsidR="6CC440A0">
        <w:t xml:space="preserve">s necessary to reduce </w:t>
      </w:r>
      <w:r>
        <w:t xml:space="preserve">emissions </w:t>
      </w:r>
      <w:r w:rsidR="2E10FF98">
        <w:t>in line</w:t>
      </w:r>
      <w:r w:rsidR="782037CB">
        <w:t xml:space="preserve"> with</w:t>
      </w:r>
      <w:r w:rsidR="05791BD9">
        <w:t xml:space="preserve"> emissions budgets</w:t>
      </w:r>
      <w:r>
        <w:t xml:space="preserve">. </w:t>
      </w:r>
      <w:r w:rsidR="00193338">
        <w:t>The c</w:t>
      </w:r>
      <w:r>
        <w:t>ost containment reserve (CCR) release</w:t>
      </w:r>
      <w:r w:rsidR="00193338">
        <w:t>s</w:t>
      </w:r>
      <w:r>
        <w:t xml:space="preserve"> additional units when auction prices rise</w:t>
      </w:r>
      <w:r w:rsidR="00150E96">
        <w:t xml:space="preserve"> to a specified </w:t>
      </w:r>
      <w:r w:rsidR="0014053A">
        <w:t>trigger price or prices</w:t>
      </w:r>
      <w:r>
        <w:t>.</w:t>
      </w:r>
    </w:p>
    <w:p w14:paraId="6A9867BB" w14:textId="0484C185" w:rsidR="00F42A25" w:rsidRDefault="1BE00086" w:rsidP="4148D425">
      <w:r>
        <w:t xml:space="preserve">The price controls apply only to auctions. Once units are in the market, participants can buy and sell at any price. In this way, </w:t>
      </w:r>
      <w:r w:rsidR="004F5EA1">
        <w:t xml:space="preserve">the </w:t>
      </w:r>
      <w:r>
        <w:t xml:space="preserve">emissions price </w:t>
      </w:r>
      <w:r w:rsidR="004F5EA1">
        <w:t>in the NZ ETS is</w:t>
      </w:r>
      <w:r w:rsidDel="004F5EA1">
        <w:t xml:space="preserve"> </w:t>
      </w:r>
      <w:r>
        <w:t xml:space="preserve">ultimately determined by the market.  </w:t>
      </w:r>
    </w:p>
    <w:p w14:paraId="6FAFB0F5" w14:textId="1A998CD0" w:rsidR="002867E6" w:rsidRDefault="002867E6" w:rsidP="002867E6">
      <w:r>
        <w:t xml:space="preserve">The unit limit and price control settings are set in regulations for five years into the future. The Minister </w:t>
      </w:r>
      <w:r w:rsidR="00FE45E2">
        <w:t xml:space="preserve">of </w:t>
      </w:r>
      <w:r>
        <w:t xml:space="preserve">Climate Change updates the regulations annually.  </w:t>
      </w:r>
    </w:p>
    <w:p w14:paraId="48499855" w14:textId="5D093C40" w:rsidR="007B35FC" w:rsidRDefault="1BE00086" w:rsidP="00195C27">
      <w:r>
        <w:t xml:space="preserve">See </w:t>
      </w:r>
      <w:r w:rsidRPr="3FCFE27D">
        <w:rPr>
          <w:i/>
          <w:iCs/>
        </w:rPr>
        <w:t>Part 3</w:t>
      </w:r>
      <w:r w:rsidR="01A9CB02" w:rsidRPr="3FCFE27D">
        <w:rPr>
          <w:i/>
          <w:iCs/>
        </w:rPr>
        <w:t xml:space="preserve">: Te herenga utu </w:t>
      </w:r>
      <w:r w:rsidR="01A9CB02">
        <w:t>–</w:t>
      </w:r>
      <w:r w:rsidR="01A9CB02" w:rsidRPr="3FCFE27D">
        <w:rPr>
          <w:i/>
          <w:iCs/>
        </w:rPr>
        <w:t xml:space="preserve"> Unit limits</w:t>
      </w:r>
      <w:r w:rsidR="01A9CB02">
        <w:t xml:space="preserve"> </w:t>
      </w:r>
      <w:r>
        <w:t xml:space="preserve">and </w:t>
      </w:r>
      <w:r w:rsidR="6795A9F9" w:rsidRPr="3FCFE27D">
        <w:rPr>
          <w:i/>
          <w:iCs/>
        </w:rPr>
        <w:t xml:space="preserve">Part </w:t>
      </w:r>
      <w:r w:rsidRPr="3FCFE27D">
        <w:rPr>
          <w:i/>
          <w:iCs/>
        </w:rPr>
        <w:t>4</w:t>
      </w:r>
      <w:r w:rsidR="56C29E16" w:rsidRPr="3FCFE27D">
        <w:rPr>
          <w:i/>
          <w:iCs/>
        </w:rPr>
        <w:t>: Te ritenga taura</w:t>
      </w:r>
      <w:r w:rsidR="00241F82">
        <w:rPr>
          <w:i/>
          <w:iCs/>
        </w:rPr>
        <w:t>-</w:t>
      </w:r>
      <w:r w:rsidR="56C29E16" w:rsidRPr="3FCFE27D">
        <w:rPr>
          <w:i/>
          <w:iCs/>
        </w:rPr>
        <w:t xml:space="preserve">utu </w:t>
      </w:r>
      <w:r w:rsidR="56C29E16">
        <w:t>–</w:t>
      </w:r>
      <w:r w:rsidR="00C8761E">
        <w:t xml:space="preserve"> </w:t>
      </w:r>
      <w:r w:rsidR="56C29E16" w:rsidRPr="3FCFE27D">
        <w:rPr>
          <w:i/>
          <w:iCs/>
        </w:rPr>
        <w:t>Price control</w:t>
      </w:r>
      <w:r w:rsidR="00CB22B3">
        <w:rPr>
          <w:i/>
          <w:iCs/>
        </w:rPr>
        <w:t xml:space="preserve"> setting</w:t>
      </w:r>
      <w:r w:rsidR="56C29E16" w:rsidRPr="3FCFE27D">
        <w:rPr>
          <w:i/>
          <w:iCs/>
        </w:rPr>
        <w:t>s</w:t>
      </w:r>
      <w:r>
        <w:t xml:space="preserve"> for a more detailed description of the design and operation of these unit limits and price controls. </w:t>
      </w:r>
    </w:p>
    <w:p w14:paraId="5937EA42" w14:textId="768801F9" w:rsidR="00F42A25" w:rsidRDefault="1BE00086" w:rsidP="005672C4">
      <w:pPr>
        <w:pStyle w:val="Heading2nonumber"/>
      </w:pPr>
      <w:bookmarkStart w:id="19" w:name="_Toc195447227"/>
      <w:r>
        <w:t>About this advice</w:t>
      </w:r>
      <w:bookmarkEnd w:id="19"/>
      <w:r>
        <w:t xml:space="preserve"> </w:t>
      </w:r>
    </w:p>
    <w:p w14:paraId="7EA8EB61" w14:textId="552327F3" w:rsidR="00F42A25" w:rsidRDefault="1BE00086" w:rsidP="4148D425">
      <w:r>
        <w:t>Under the Act, the Minister of Climate Change is required to update unit limit</w:t>
      </w:r>
      <w:r w:rsidR="00C36F20">
        <w:t>s</w:t>
      </w:r>
      <w:r>
        <w:t xml:space="preserve"> and price control </w:t>
      </w:r>
      <w:r w:rsidR="04E9B4FB">
        <w:t>settings</w:t>
      </w:r>
      <w:r>
        <w:t xml:space="preserve"> annually. </w:t>
      </w:r>
      <w:r w:rsidR="18D68ABB">
        <w:t xml:space="preserve">Our </w:t>
      </w:r>
      <w:r>
        <w:t>advice supports the Minister to make decisions</w:t>
      </w:r>
      <w:r w:rsidR="5F24AE86">
        <w:t xml:space="preserve"> about those </w:t>
      </w:r>
      <w:r w:rsidR="0D361FA9">
        <w:t>settings</w:t>
      </w:r>
      <w:r>
        <w:t xml:space="preserve">. </w:t>
      </w:r>
    </w:p>
    <w:p w14:paraId="55E34232" w14:textId="2DC44201" w:rsidR="00F42A25" w:rsidRDefault="1BE00086" w:rsidP="005672C4">
      <w:pPr>
        <w:pStyle w:val="Heading3"/>
      </w:pPr>
      <w:r>
        <w:t xml:space="preserve">Matters that must be considered </w:t>
      </w:r>
    </w:p>
    <w:p w14:paraId="36C335AB" w14:textId="14FDA358" w:rsidR="00F42A25" w:rsidRDefault="1BE00086" w:rsidP="4148D425">
      <w:r>
        <w:t xml:space="preserve">Section 30GC of the Act sets out matters that must be considered when </w:t>
      </w:r>
      <w:r w:rsidR="00CD0100">
        <w:t xml:space="preserve">NZ ETS auction </w:t>
      </w:r>
      <w:r>
        <w:t xml:space="preserve">regulations are updated. These include (among other things) anticipated emissions volumes, the proper functioning of the NZ ETS, international climate change obligations, available ways of reducing greenhouse gas emissions, international emissions prices, impacts of emissions prices on households and the economy, and inflation. </w:t>
      </w:r>
      <w:r w:rsidRPr="00F3561D">
        <w:t xml:space="preserve"> </w:t>
      </w:r>
    </w:p>
    <w:p w14:paraId="434A531E" w14:textId="5660A01F" w:rsidR="004F6691" w:rsidRPr="00715448" w:rsidRDefault="1BE00086" w:rsidP="4148D425">
      <w:r w:rsidRPr="00715448">
        <w:t>Section 5M of the Act sets out a range of matters we must consider (where relevant) in all of our advice.</w:t>
      </w:r>
      <w:r w:rsidR="00803B91" w:rsidRPr="00715448">
        <w:t xml:space="preserve"> Those matters include, among other things, </w:t>
      </w:r>
      <w:r w:rsidR="00C91A88" w:rsidRPr="00715448">
        <w:t xml:space="preserve">available scientific knowledge, </w:t>
      </w:r>
      <w:r w:rsidR="00060A03" w:rsidRPr="00715448">
        <w:t xml:space="preserve">likely economic effects, </w:t>
      </w:r>
      <w:r w:rsidR="004558C6" w:rsidRPr="00715448">
        <w:t>social and environmental circumstances, the Crown</w:t>
      </w:r>
      <w:r w:rsidR="004C08C0" w:rsidRPr="00715448">
        <w:t>–</w:t>
      </w:r>
      <w:r w:rsidR="00C91A88" w:rsidRPr="00715448">
        <w:t>Māori relationship</w:t>
      </w:r>
      <w:r w:rsidR="004C08C0" w:rsidRPr="00715448">
        <w:t xml:space="preserve"> and </w:t>
      </w:r>
      <w:r w:rsidR="00B94AEF">
        <w:t>effects</w:t>
      </w:r>
      <w:r w:rsidR="00B94AEF" w:rsidRPr="00715448">
        <w:t xml:space="preserve"> </w:t>
      </w:r>
      <w:r w:rsidR="004C08C0" w:rsidRPr="00715448">
        <w:t>on iwi/Māori</w:t>
      </w:r>
      <w:r w:rsidR="00C91A88" w:rsidRPr="00715448">
        <w:t>.</w:t>
      </w:r>
    </w:p>
    <w:p w14:paraId="10984B7F" w14:textId="1C6B547B" w:rsidR="004A0F3F" w:rsidRDefault="00C44977" w:rsidP="4148D425">
      <w:r w:rsidRPr="00715448">
        <w:t>All</w:t>
      </w:r>
      <w:r w:rsidR="00823680" w:rsidRPr="00715448">
        <w:t xml:space="preserve"> our </w:t>
      </w:r>
      <w:r w:rsidR="009614C0" w:rsidRPr="00715448">
        <w:t xml:space="preserve">advice </w:t>
      </w:r>
      <w:r w:rsidR="00823680" w:rsidRPr="00715448">
        <w:t xml:space="preserve">is required to be consistent with the Act’s purposes. </w:t>
      </w:r>
      <w:r w:rsidR="00675DE6" w:rsidRPr="00715448">
        <w:t>One of those is to set a</w:t>
      </w:r>
      <w:r w:rsidR="004A0F3F" w:rsidRPr="00715448">
        <w:t xml:space="preserve"> </w:t>
      </w:r>
      <w:r w:rsidR="00823680" w:rsidRPr="00715448">
        <w:t xml:space="preserve">clear and stable framework for </w:t>
      </w:r>
      <w:r w:rsidR="00F84AB4" w:rsidRPr="00715448">
        <w:t xml:space="preserve">Aotearoa New Zealand to </w:t>
      </w:r>
      <w:r w:rsidR="004A0F3F" w:rsidRPr="00715448">
        <w:t xml:space="preserve">contribute to global efforts to limit </w:t>
      </w:r>
      <w:r w:rsidR="00675DE6" w:rsidRPr="00715448">
        <w:t xml:space="preserve">average </w:t>
      </w:r>
      <w:r w:rsidR="004A0F3F" w:rsidRPr="00715448">
        <w:t xml:space="preserve">warming to </w:t>
      </w:r>
      <w:r w:rsidR="00675DE6" w:rsidRPr="00715448">
        <w:t>1.5°C above pre</w:t>
      </w:r>
      <w:r w:rsidR="00807FC9" w:rsidRPr="00715448">
        <w:t>-</w:t>
      </w:r>
      <w:r w:rsidR="00675DE6" w:rsidRPr="00715448">
        <w:t>industrial levels.</w:t>
      </w:r>
      <w:r w:rsidR="004344B2" w:rsidRPr="00715448">
        <w:t xml:space="preserve"> Other purposes include enabling the country to meet its international obligations, and </w:t>
      </w:r>
      <w:r w:rsidR="00044A52" w:rsidRPr="00715448">
        <w:t xml:space="preserve">providing for the operation of an emissions trading scheme that supports </w:t>
      </w:r>
      <w:r w:rsidR="00710AC2" w:rsidRPr="00715448">
        <w:t>global efforts to reduce emissions</w:t>
      </w:r>
      <w:r w:rsidR="008370D9" w:rsidRPr="00715448">
        <w:t xml:space="preserve"> and </w:t>
      </w:r>
      <w:r w:rsidR="0001651D">
        <w:t xml:space="preserve">that </w:t>
      </w:r>
      <w:r w:rsidR="008370D9" w:rsidRPr="00715448">
        <w:t xml:space="preserve">assists the country to meet </w:t>
      </w:r>
      <w:r w:rsidR="0024093B" w:rsidRPr="00715448">
        <w:t>emissions budgets and the 2050 target</w:t>
      </w:r>
      <w:r w:rsidR="00710AC2" w:rsidRPr="00715448">
        <w:t>.</w:t>
      </w:r>
    </w:p>
    <w:p w14:paraId="26B50292" w14:textId="548B133E" w:rsidR="00F42A25" w:rsidRDefault="1BE00086" w:rsidP="4148D425">
      <w:r w:rsidRPr="00410DC9">
        <w:rPr>
          <w:i/>
        </w:rPr>
        <w:t>Appendix A</w:t>
      </w:r>
      <w:r w:rsidR="00BE0E0A" w:rsidRPr="00BE0E0A">
        <w:rPr>
          <w:i/>
        </w:rPr>
        <w:t>: Summary of how legislative requirements and considerations under the Act have been addressed</w:t>
      </w:r>
      <w:r w:rsidRPr="00410DC9">
        <w:t xml:space="preserve"> </w:t>
      </w:r>
      <w:r w:rsidR="00692DEA">
        <w:t>sets out th</w:t>
      </w:r>
      <w:r w:rsidR="00D3142B">
        <w:t>ese matters from s</w:t>
      </w:r>
      <w:r w:rsidR="000A76D3">
        <w:t xml:space="preserve">ections 30GC and </w:t>
      </w:r>
      <w:r w:rsidR="003B1220">
        <w:t>5M</w:t>
      </w:r>
      <w:r w:rsidR="0081725A">
        <w:t>,</w:t>
      </w:r>
      <w:r w:rsidR="003B1220">
        <w:t xml:space="preserve"> </w:t>
      </w:r>
      <w:r w:rsidR="00D3142B">
        <w:t xml:space="preserve">and notes </w:t>
      </w:r>
      <w:r w:rsidRPr="00F3561D">
        <w:t>how we have addressed the</w:t>
      </w:r>
      <w:r w:rsidR="003B1220">
        <w:t>m</w:t>
      </w:r>
      <w:r w:rsidRPr="00F3561D">
        <w:t xml:space="preserve"> in this advice.</w:t>
      </w:r>
    </w:p>
    <w:p w14:paraId="1FE48A04" w14:textId="715D1E30" w:rsidR="00F42A25" w:rsidRDefault="1BE00086" w:rsidP="005672C4">
      <w:pPr>
        <w:pStyle w:val="Heading3"/>
      </w:pPr>
      <w:r>
        <w:t xml:space="preserve">Alignment with emissions reduction </w:t>
      </w:r>
      <w:r w:rsidR="00F93270">
        <w:t>targets</w:t>
      </w:r>
      <w:r>
        <w:t xml:space="preserve"> </w:t>
      </w:r>
    </w:p>
    <w:p w14:paraId="4D7CC464" w14:textId="3E339811" w:rsidR="00F42A25" w:rsidRDefault="1BE00086" w:rsidP="4148D425">
      <w:r>
        <w:t xml:space="preserve">Section 30GC of the Act requires </w:t>
      </w:r>
      <w:r w:rsidRPr="0046039B">
        <w:t>that unit limit</w:t>
      </w:r>
      <w:r w:rsidR="00A85B6A">
        <w:t>s</w:t>
      </w:r>
      <w:r w:rsidRPr="0046039B">
        <w:t xml:space="preserve"> and price control settings are in accordance with emissions budgets, </w:t>
      </w:r>
      <w:r w:rsidR="0096386C">
        <w:t xml:space="preserve">the 2050 target, and </w:t>
      </w:r>
      <w:r w:rsidRPr="0046039B">
        <w:t xml:space="preserve">nationally determined contributions </w:t>
      </w:r>
      <w:r w:rsidR="00D40C39" w:rsidRPr="0046039B">
        <w:t xml:space="preserve">(NDCs) </w:t>
      </w:r>
      <w:r w:rsidRPr="0046039B">
        <w:lastRenderedPageBreak/>
        <w:t>under the Paris Agreement</w:t>
      </w:r>
      <w:r>
        <w:t>.</w:t>
      </w:r>
      <w:r w:rsidR="001957C9" w:rsidRPr="0046039B">
        <w:t xml:space="preserve"> In this advice, we refer to the</w:t>
      </w:r>
      <w:r w:rsidR="001401A5" w:rsidRPr="0046039B">
        <w:t xml:space="preserve"> </w:t>
      </w:r>
      <w:r w:rsidR="008A7992">
        <w:t xml:space="preserve">emissions </w:t>
      </w:r>
      <w:r w:rsidR="001401A5" w:rsidRPr="0046039B">
        <w:t xml:space="preserve">budgets, </w:t>
      </w:r>
      <w:r w:rsidR="00664C8B">
        <w:t xml:space="preserve">the </w:t>
      </w:r>
      <w:r w:rsidR="00D40C39" w:rsidRPr="0046039B">
        <w:t>2050 target and NDCs</w:t>
      </w:r>
      <w:r w:rsidR="001957C9" w:rsidRPr="0046039B">
        <w:t xml:space="preserve"> </w:t>
      </w:r>
      <w:r w:rsidR="00AB6EC4" w:rsidRPr="0046039B">
        <w:t xml:space="preserve">collectively as </w:t>
      </w:r>
      <w:r w:rsidR="001401A5" w:rsidRPr="0046039B">
        <w:t xml:space="preserve">Aotearoa New Zealand’s </w:t>
      </w:r>
      <w:r w:rsidR="00AB6EC4" w:rsidRPr="0046039B">
        <w:t>‘</w:t>
      </w:r>
      <w:r w:rsidR="001401A5" w:rsidRPr="0046039B">
        <w:t>emissions reduction targets’.</w:t>
      </w:r>
    </w:p>
    <w:p w14:paraId="1983335A" w14:textId="4CA39D83" w:rsidR="00DA691B" w:rsidRDefault="007D1133" w:rsidP="00DA691B">
      <w:r w:rsidRPr="0043387E">
        <w:rPr>
          <w:i/>
        </w:rPr>
        <w:t xml:space="preserve">Technical Annex 3: </w:t>
      </w:r>
      <w:r w:rsidR="00DA691B" w:rsidRPr="006A2987">
        <w:rPr>
          <w:i/>
          <w:iCs/>
        </w:rPr>
        <w:t>Assessment of accordance</w:t>
      </w:r>
      <w:r>
        <w:t>,</w:t>
      </w:r>
      <w:r w:rsidR="00DA691B">
        <w:t xml:space="preserve"> published separately on our website</w:t>
      </w:r>
      <w:r>
        <w:t>,</w:t>
      </w:r>
      <w:r w:rsidR="00DA691B">
        <w:t xml:space="preserve"> explains how we have addressed those requirements.</w:t>
      </w:r>
    </w:p>
    <w:p w14:paraId="15D4E304" w14:textId="1BC897C3" w:rsidR="00F42A25" w:rsidRDefault="1BE00086" w:rsidP="005672C4">
      <w:pPr>
        <w:pStyle w:val="Heading3"/>
      </w:pPr>
      <w:r>
        <w:t>A five-year rolling timeframe</w:t>
      </w:r>
    </w:p>
    <w:p w14:paraId="3A32FD91" w14:textId="0186D29E" w:rsidR="00F42A25" w:rsidRDefault="1BE00086" w:rsidP="4148D425">
      <w:r>
        <w:t xml:space="preserve">Under the Act, unit limits and price control settings are </w:t>
      </w:r>
      <w:r w:rsidR="00042208">
        <w:t>set</w:t>
      </w:r>
      <w:r>
        <w:t xml:space="preserve"> </w:t>
      </w:r>
      <w:r w:rsidR="00276742">
        <w:t xml:space="preserve">for </w:t>
      </w:r>
      <w:r>
        <w:t>five years in advance</w:t>
      </w:r>
      <w:r w:rsidR="00A456F3">
        <w:t xml:space="preserve"> and </w:t>
      </w:r>
      <w:r w:rsidR="00AF3763">
        <w:t xml:space="preserve">are </w:t>
      </w:r>
      <w:r w:rsidR="00A456F3">
        <w:t>updated annually</w:t>
      </w:r>
      <w:r>
        <w:t xml:space="preserve">. </w:t>
      </w:r>
      <w:r w:rsidR="00C8379E">
        <w:t xml:space="preserve">This approach gives market participants clarity and confidence about future settings, while also allowing flexibility to adjust settings as circumstances change. </w:t>
      </w:r>
      <w:r>
        <w:t xml:space="preserve">As shown in </w:t>
      </w:r>
      <w:r w:rsidRPr="00410DC9">
        <w:rPr>
          <w:b/>
        </w:rPr>
        <w:t xml:space="preserve">Figure </w:t>
      </w:r>
      <w:r w:rsidR="26742505" w:rsidRPr="00410DC9">
        <w:rPr>
          <w:b/>
        </w:rPr>
        <w:t>1.1</w:t>
      </w:r>
      <w:r w:rsidRPr="00410DC9">
        <w:t>:</w:t>
      </w:r>
      <w:r>
        <w:t xml:space="preserve"> </w:t>
      </w:r>
    </w:p>
    <w:p w14:paraId="319E9271" w14:textId="189C8D0F" w:rsidR="00F42A25" w:rsidRDefault="1BE00086" w:rsidP="00630353">
      <w:pPr>
        <w:pStyle w:val="BodyBullets"/>
      </w:pPr>
      <w:r>
        <w:t>settings for the current year</w:t>
      </w:r>
      <w:r w:rsidR="0064047B">
        <w:t xml:space="preserve"> </w:t>
      </w:r>
      <w:r>
        <w:t xml:space="preserve">are fixed and cannot be changed </w:t>
      </w:r>
    </w:p>
    <w:p w14:paraId="557F8218" w14:textId="34136D6D" w:rsidR="00F42A25" w:rsidRDefault="1BE00086" w:rsidP="00630353">
      <w:pPr>
        <w:pStyle w:val="BodyBullets"/>
      </w:pPr>
      <w:r>
        <w:t xml:space="preserve">settings for the next two years can be changed only under certain conditions </w:t>
      </w:r>
    </w:p>
    <w:p w14:paraId="4C4CF4A1" w14:textId="1D5D2338" w:rsidR="00F42A25" w:rsidRDefault="1BE00086" w:rsidP="00630353">
      <w:pPr>
        <w:pStyle w:val="BodyBullets"/>
      </w:pPr>
      <w:r>
        <w:t xml:space="preserve">the Minister can amend settings for years 3 and 4, and must add new unit limits and price controls for year 5. </w:t>
      </w:r>
    </w:p>
    <w:p w14:paraId="64C790D2" w14:textId="37DF36A1" w:rsidR="00F42A25" w:rsidRDefault="1BE00086" w:rsidP="4148D425">
      <w:r>
        <w:t xml:space="preserve">Settings for years 1 and 2 can be amended only if the price controls have been triggered in the current year, or if amendment is justified by special circumstances including: </w:t>
      </w:r>
    </w:p>
    <w:p w14:paraId="2A30A816" w14:textId="5AD88DC2" w:rsidR="00F42A25" w:rsidRDefault="1BE00086" w:rsidP="00630353">
      <w:pPr>
        <w:pStyle w:val="BodyBullets"/>
      </w:pPr>
      <w:r>
        <w:t xml:space="preserve">a change to the relevant emissions budget or NDC </w:t>
      </w:r>
    </w:p>
    <w:p w14:paraId="5ACA4F3D" w14:textId="4F25D32D" w:rsidR="00F42A25" w:rsidRDefault="1BE00086" w:rsidP="00630353">
      <w:pPr>
        <w:pStyle w:val="BodyBullets"/>
      </w:pPr>
      <w:r>
        <w:t xml:space="preserve">a change that has significantly affected any matter that the Minister was required to consider when recommending the settings </w:t>
      </w:r>
    </w:p>
    <w:p w14:paraId="331E8D61" w14:textId="6001FF23" w:rsidR="00F42A25" w:rsidRDefault="1BE00086" w:rsidP="00630353">
      <w:pPr>
        <w:pStyle w:val="BodyBullets"/>
      </w:pPr>
      <w:r>
        <w:t xml:space="preserve">a </w:t>
      </w:r>
      <w:r w:rsidRPr="00630353">
        <w:rPr>
          <w:i/>
          <w:iCs/>
        </w:rPr>
        <w:t>force majeure</w:t>
      </w:r>
      <w:r>
        <w:t xml:space="preserve"> event.  </w:t>
      </w:r>
    </w:p>
    <w:p w14:paraId="56D1EE84" w14:textId="19D05B9A" w:rsidR="00630353" w:rsidRDefault="1BE00086" w:rsidP="4148D425">
      <w:r w:rsidRPr="001476BD">
        <w:rPr>
          <w:i/>
        </w:rPr>
        <w:t xml:space="preserve">Part </w:t>
      </w:r>
      <w:r w:rsidR="001476BD">
        <w:rPr>
          <w:i/>
          <w:iCs/>
        </w:rPr>
        <w:t>3</w:t>
      </w:r>
      <w:r w:rsidRPr="001476BD">
        <w:rPr>
          <w:i/>
        </w:rPr>
        <w:t xml:space="preserve">: </w:t>
      </w:r>
      <w:r w:rsidR="00B27578">
        <w:rPr>
          <w:i/>
        </w:rPr>
        <w:t xml:space="preserve">Te herenga utu </w:t>
      </w:r>
      <w:r w:rsidR="00B27578">
        <w:t>–</w:t>
      </w:r>
      <w:r w:rsidR="0041748B">
        <w:t xml:space="preserve"> </w:t>
      </w:r>
      <w:r w:rsidRPr="001476BD">
        <w:rPr>
          <w:i/>
        </w:rPr>
        <w:t xml:space="preserve">Unit </w:t>
      </w:r>
      <w:r w:rsidR="00904BB5">
        <w:rPr>
          <w:i/>
        </w:rPr>
        <w:t>l</w:t>
      </w:r>
      <w:r w:rsidRPr="001476BD">
        <w:rPr>
          <w:i/>
        </w:rPr>
        <w:t>imits</w:t>
      </w:r>
      <w:r>
        <w:t xml:space="preserve"> and </w:t>
      </w:r>
      <w:r w:rsidRPr="001476BD">
        <w:rPr>
          <w:i/>
        </w:rPr>
        <w:t xml:space="preserve">Part </w:t>
      </w:r>
      <w:r w:rsidR="001476BD" w:rsidRPr="001476BD">
        <w:rPr>
          <w:i/>
          <w:iCs/>
        </w:rPr>
        <w:t>4</w:t>
      </w:r>
      <w:r w:rsidRPr="001476BD">
        <w:rPr>
          <w:i/>
        </w:rPr>
        <w:t xml:space="preserve">: </w:t>
      </w:r>
      <w:r w:rsidR="00B27578">
        <w:rPr>
          <w:i/>
        </w:rPr>
        <w:t xml:space="preserve">Te </w:t>
      </w:r>
      <w:r w:rsidR="00274BC9">
        <w:rPr>
          <w:i/>
        </w:rPr>
        <w:t>ritenga taura</w:t>
      </w:r>
      <w:r w:rsidR="00241F82">
        <w:rPr>
          <w:i/>
        </w:rPr>
        <w:t>-</w:t>
      </w:r>
      <w:r w:rsidR="00274BC9">
        <w:rPr>
          <w:i/>
        </w:rPr>
        <w:t xml:space="preserve">utu </w:t>
      </w:r>
      <w:r w:rsidR="00274BC9">
        <w:t xml:space="preserve">– </w:t>
      </w:r>
      <w:r w:rsidRPr="001476BD">
        <w:rPr>
          <w:i/>
        </w:rPr>
        <w:t xml:space="preserve">Price </w:t>
      </w:r>
      <w:r w:rsidR="00904BB5">
        <w:rPr>
          <w:i/>
          <w:iCs/>
        </w:rPr>
        <w:t>c</w:t>
      </w:r>
      <w:r w:rsidRPr="001476BD">
        <w:rPr>
          <w:i/>
          <w:iCs/>
        </w:rPr>
        <w:t>ontrol</w:t>
      </w:r>
      <w:r w:rsidR="00E63681">
        <w:rPr>
          <w:i/>
          <w:iCs/>
        </w:rPr>
        <w:t xml:space="preserve"> setting</w:t>
      </w:r>
      <w:r w:rsidRPr="001476BD">
        <w:rPr>
          <w:i/>
          <w:iCs/>
        </w:rPr>
        <w:t>s</w:t>
      </w:r>
      <w:r>
        <w:t xml:space="preserve"> explain how we have addressed these requirements.</w:t>
      </w:r>
    </w:p>
    <w:p w14:paraId="79677936" w14:textId="77777777" w:rsidR="004B12E4" w:rsidRDefault="0090431D" w:rsidP="004B12E4">
      <w:pPr>
        <w:pStyle w:val="FigureTabletitle"/>
        <w:spacing w:before="120" w:line="240" w:lineRule="auto"/>
        <w:rPr>
          <w:b w:val="0"/>
        </w:rPr>
      </w:pPr>
      <w:r>
        <w:t>Figure 1.1</w:t>
      </w:r>
      <w:r w:rsidR="00630353">
        <w:t xml:space="preserve">: </w:t>
      </w:r>
      <w:r w:rsidR="0024383A" w:rsidRPr="003B7721">
        <w:rPr>
          <w:b w:val="0"/>
        </w:rPr>
        <w:t>The five-year rolling process for unit limits and price control settings</w:t>
      </w:r>
    </w:p>
    <w:p w14:paraId="642FC24C" w14:textId="458AD057" w:rsidR="00F42A25" w:rsidRDefault="000037F6" w:rsidP="004B12E4">
      <w:pPr>
        <w:pStyle w:val="FigureTabletitle"/>
        <w:spacing w:before="120" w:line="240" w:lineRule="auto"/>
      </w:pPr>
      <w:r w:rsidRPr="000037F6">
        <w:rPr>
          <w:noProof/>
        </w:rPr>
        <w:drawing>
          <wp:inline distT="0" distB="0" distL="0" distR="0" wp14:anchorId="1A914FB5" wp14:editId="1B527623">
            <wp:extent cx="5759450" cy="3254494"/>
            <wp:effectExtent l="0" t="0" r="0" b="3175"/>
            <wp:docPr id="208849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481"/>
                    <a:stretch/>
                  </pic:blipFill>
                  <pic:spPr bwMode="auto">
                    <a:xfrm>
                      <a:off x="0" y="0"/>
                      <a:ext cx="5759450" cy="3254494"/>
                    </a:xfrm>
                    <a:prstGeom prst="rect">
                      <a:avLst/>
                    </a:prstGeom>
                    <a:noFill/>
                    <a:ln>
                      <a:noFill/>
                    </a:ln>
                    <a:extLst>
                      <a:ext uri="{53640926-AAD7-44D8-BBD7-CCE9431645EC}">
                        <a14:shadowObscured xmlns:a14="http://schemas.microsoft.com/office/drawing/2010/main"/>
                      </a:ext>
                    </a:extLst>
                  </pic:spPr>
                </pic:pic>
              </a:graphicData>
            </a:graphic>
          </wp:inline>
        </w:drawing>
      </w:r>
    </w:p>
    <w:p w14:paraId="13C48936" w14:textId="3ABE2E62" w:rsidR="00B3649D" w:rsidRPr="003B7721" w:rsidRDefault="00B3649D" w:rsidP="00715F5F">
      <w:pPr>
        <w:pStyle w:val="Sourceline"/>
        <w:rPr>
          <w:b/>
          <w:szCs w:val="20"/>
        </w:rPr>
      </w:pPr>
      <w:r w:rsidRPr="003B7721">
        <w:t xml:space="preserve">Source: </w:t>
      </w:r>
      <w:r w:rsidR="007408FA">
        <w:t xml:space="preserve">Climate Change </w:t>
      </w:r>
      <w:r w:rsidR="00127692" w:rsidRPr="003B7721">
        <w:t>Commission</w:t>
      </w:r>
    </w:p>
    <w:p w14:paraId="19740FAB" w14:textId="3664C3A5" w:rsidR="00F42A25" w:rsidRDefault="1BE00086" w:rsidP="00630353">
      <w:pPr>
        <w:pStyle w:val="Heading3"/>
      </w:pPr>
      <w:r>
        <w:lastRenderedPageBreak/>
        <w:t>Engagement</w:t>
      </w:r>
    </w:p>
    <w:p w14:paraId="4A2A8D0A" w14:textId="0E4D7F50" w:rsidR="00F42A25" w:rsidRDefault="1BE00086" w:rsidP="4148D425">
      <w:r>
        <w:t xml:space="preserve">Effective engagement is an important part of our process for developing advice.  </w:t>
      </w:r>
    </w:p>
    <w:p w14:paraId="61D14BD5" w14:textId="66FE4D00" w:rsidR="00F42A25" w:rsidRDefault="1BE00086" w:rsidP="4148D425">
      <w:r>
        <w:t>To support the development of this advice we engaged with certain mandated iwi/Māori representatives including representatives from collective</w:t>
      </w:r>
      <w:r w:rsidR="006D21B1">
        <w:t xml:space="preserve"> owners of Māori land</w:t>
      </w:r>
      <w:r w:rsidR="007F3A35">
        <w:t xml:space="preserve">. </w:t>
      </w:r>
      <w:r w:rsidR="006B4A6F">
        <w:t>We also engaged with</w:t>
      </w:r>
      <w:r>
        <w:t xml:space="preserve"> companies from different sectors participating in the NZ ETS, industry associations, market intermediaries including trading houses, and individual experts </w:t>
      </w:r>
      <w:r w:rsidR="007827A6">
        <w:t xml:space="preserve">and </w:t>
      </w:r>
      <w:r>
        <w:t>consultants specialising in the NZ ETS.</w:t>
      </w:r>
      <w:r w:rsidR="00422A0A">
        <w:t xml:space="preserve"> </w:t>
      </w:r>
      <w:r>
        <w:t>This enabled us to hear insights, test ideas and enhance our understanding of the NZ ETS market and of market participants’ and other stakeholders’ concerns.</w:t>
      </w:r>
    </w:p>
    <w:p w14:paraId="355C5200" w14:textId="70200D6D" w:rsidR="00F42A25" w:rsidRDefault="1BE00086" w:rsidP="4148D425">
      <w:r>
        <w:t xml:space="preserve">Key themes arising from our engagement are summarised in </w:t>
      </w:r>
      <w:r w:rsidRPr="00F66360">
        <w:rPr>
          <w:i/>
        </w:rPr>
        <w:t xml:space="preserve">Part 2: </w:t>
      </w:r>
      <w:r w:rsidR="00274BC9">
        <w:rPr>
          <w:i/>
        </w:rPr>
        <w:t xml:space="preserve">Te hanga me te </w:t>
      </w:r>
      <w:r w:rsidR="001D0995">
        <w:rPr>
          <w:i/>
        </w:rPr>
        <w:t>h</w:t>
      </w:r>
      <w:r w:rsidR="00274BC9">
        <w:rPr>
          <w:i/>
        </w:rPr>
        <w:t xml:space="preserve">aepapa o NZ ETS </w:t>
      </w:r>
      <w:r w:rsidR="00274BC9">
        <w:t xml:space="preserve">– </w:t>
      </w:r>
      <w:r w:rsidRPr="00F66360">
        <w:rPr>
          <w:i/>
        </w:rPr>
        <w:t>Current state and role of the NZ ETS</w:t>
      </w:r>
      <w:r>
        <w:t xml:space="preserve">.   </w:t>
      </w:r>
    </w:p>
    <w:p w14:paraId="054FE04B" w14:textId="2EB86F53" w:rsidR="00F42A25" w:rsidRDefault="1BE00086" w:rsidP="00630353">
      <w:pPr>
        <w:pStyle w:val="Heading3"/>
      </w:pPr>
      <w:r>
        <w:t>Iwi/Māori considerations</w:t>
      </w:r>
    </w:p>
    <w:p w14:paraId="2E709E1C" w14:textId="5FBCE727" w:rsidR="00F42A25" w:rsidRDefault="1BE00086" w:rsidP="4148D425">
      <w:r>
        <w:t xml:space="preserve">All of our advice to </w:t>
      </w:r>
      <w:r w:rsidR="00071ACE">
        <w:t>the</w:t>
      </w:r>
      <w:r>
        <w:t xml:space="preserve"> Government reflects consideration of the Crown–Māori relationship, te ao Māori, and specific effects on iwi/Māori</w:t>
      </w:r>
      <w:r w:rsidR="00107720">
        <w:t>, as required by the Act</w:t>
      </w:r>
      <w:r>
        <w:t xml:space="preserve">. Engagement with iwi/Māori is a key mechanism that helps identify issues relevant to </w:t>
      </w:r>
      <w:r w:rsidR="00837542">
        <w:t>our</w:t>
      </w:r>
      <w:r>
        <w:t xml:space="preserve"> NZ ETS advice. </w:t>
      </w:r>
      <w:r w:rsidR="00190B08">
        <w:t xml:space="preserve">Matters considered in this year’s advice include </w:t>
      </w:r>
      <w:r w:rsidR="004F7DAD">
        <w:t xml:space="preserve">the </w:t>
      </w:r>
      <w:r w:rsidR="00D537B9">
        <w:t>approaches take</w:t>
      </w:r>
      <w:r w:rsidR="00D66056">
        <w:t>n</w:t>
      </w:r>
      <w:r w:rsidR="00D537B9">
        <w:t xml:space="preserve"> by </w:t>
      </w:r>
      <w:r w:rsidR="00C24E08">
        <w:t>iwi/</w:t>
      </w:r>
      <w:r w:rsidR="00C513C5">
        <w:t xml:space="preserve">Māori </w:t>
      </w:r>
      <w:r w:rsidR="0053713D">
        <w:t xml:space="preserve">entities to their decision-making about </w:t>
      </w:r>
      <w:r w:rsidR="00230E07">
        <w:t xml:space="preserve">managing </w:t>
      </w:r>
      <w:r w:rsidR="00CF2C07">
        <w:t xml:space="preserve">their units in the NZ ETS, as well as </w:t>
      </w:r>
      <w:r w:rsidR="008C137D">
        <w:t>the impacts of emissions prices on iwi/Māori.</w:t>
      </w:r>
      <w:r w:rsidR="00DA4DBA">
        <w:t xml:space="preserve"> Engagement feedback </w:t>
      </w:r>
      <w:r w:rsidR="00786046">
        <w:t xml:space="preserve">also provides important context about how </w:t>
      </w:r>
      <w:r w:rsidR="0063032F">
        <w:t xml:space="preserve">the interaction of iwi/Māori with the NZ ETS is affected by the specific characteristics and historical circumstances of land owned by Māori. </w:t>
      </w:r>
    </w:p>
    <w:p w14:paraId="13F65C35" w14:textId="4B3C268E" w:rsidR="00F42A25" w:rsidRDefault="1BE00086" w:rsidP="4148D425">
      <w:r w:rsidRPr="3FCFE27D">
        <w:rPr>
          <w:i/>
          <w:iCs/>
        </w:rPr>
        <w:t>Part 2:</w:t>
      </w:r>
      <w:r w:rsidR="1BDC43E3" w:rsidRPr="3FCFE27D">
        <w:rPr>
          <w:i/>
          <w:iCs/>
        </w:rPr>
        <w:t xml:space="preserve"> </w:t>
      </w:r>
      <w:r w:rsidR="00852624">
        <w:rPr>
          <w:i/>
          <w:iCs/>
        </w:rPr>
        <w:t xml:space="preserve">Te hanga me te </w:t>
      </w:r>
      <w:r w:rsidR="001D0995">
        <w:rPr>
          <w:i/>
          <w:iCs/>
        </w:rPr>
        <w:t>h</w:t>
      </w:r>
      <w:r w:rsidR="00852624">
        <w:rPr>
          <w:i/>
          <w:iCs/>
        </w:rPr>
        <w:t xml:space="preserve">aepapa o NZ ETS </w:t>
      </w:r>
      <w:r w:rsidR="00852624">
        <w:t>–</w:t>
      </w:r>
      <w:r w:rsidR="1BDC43E3">
        <w:t xml:space="preserve"> </w:t>
      </w:r>
      <w:r w:rsidRPr="3FCFE27D">
        <w:rPr>
          <w:i/>
          <w:iCs/>
        </w:rPr>
        <w:t>Current state and role of the NZ ETS</w:t>
      </w:r>
      <w:r w:rsidR="00663B8A">
        <w:t xml:space="preserve"> provides a summary of feedback from iwi/Māori</w:t>
      </w:r>
      <w:r w:rsidR="006A3942">
        <w:t xml:space="preserve">, </w:t>
      </w:r>
      <w:r w:rsidR="00663B8A">
        <w:t xml:space="preserve">and </w:t>
      </w:r>
      <w:r w:rsidR="0099558D">
        <w:t>matters</w:t>
      </w:r>
      <w:r w:rsidR="00635D21">
        <w:t xml:space="preserve"> where </w:t>
      </w:r>
      <w:r w:rsidR="00F06143">
        <w:t xml:space="preserve">specific effects </w:t>
      </w:r>
      <w:r w:rsidR="000835A7">
        <w:t xml:space="preserve">on </w:t>
      </w:r>
      <w:r w:rsidR="00635D21">
        <w:t>iwi/M</w:t>
      </w:r>
      <w:r w:rsidR="003A6C28">
        <w:t>ā</w:t>
      </w:r>
      <w:r w:rsidR="00635D21">
        <w:t xml:space="preserve">ori are </w:t>
      </w:r>
      <w:r w:rsidR="0099558D">
        <w:t>considered are discussed</w:t>
      </w:r>
      <w:r w:rsidR="00663B8A">
        <w:t xml:space="preserve"> </w:t>
      </w:r>
      <w:r w:rsidR="002204E3">
        <w:t xml:space="preserve">in </w:t>
      </w:r>
      <w:r w:rsidR="002204E3" w:rsidRPr="00800892">
        <w:rPr>
          <w:i/>
        </w:rPr>
        <w:t>Part</w:t>
      </w:r>
      <w:r w:rsidR="00494D3A" w:rsidRPr="00800892">
        <w:rPr>
          <w:i/>
        </w:rPr>
        <w:t xml:space="preserve"> 3</w:t>
      </w:r>
      <w:r w:rsidR="00BC7DAD" w:rsidRPr="00800892">
        <w:rPr>
          <w:i/>
        </w:rPr>
        <w:t xml:space="preserve">: </w:t>
      </w:r>
      <w:r w:rsidR="00C86A42" w:rsidRPr="00800892">
        <w:rPr>
          <w:i/>
        </w:rPr>
        <w:t xml:space="preserve">Te herenga utu – </w:t>
      </w:r>
      <w:r w:rsidR="00BC7DAD" w:rsidRPr="00800892">
        <w:rPr>
          <w:i/>
        </w:rPr>
        <w:t>Unit limits</w:t>
      </w:r>
      <w:r w:rsidR="00BC7DAD">
        <w:t xml:space="preserve"> </w:t>
      </w:r>
      <w:r w:rsidR="006A0D8E">
        <w:t>(</w:t>
      </w:r>
      <w:r w:rsidR="003042D4">
        <w:t xml:space="preserve">specifically, </w:t>
      </w:r>
      <w:r w:rsidR="006A0D8E">
        <w:t>pre-1990</w:t>
      </w:r>
      <w:r w:rsidR="00EF078A">
        <w:t xml:space="preserve"> forestry</w:t>
      </w:r>
      <w:r w:rsidR="006A0D8E">
        <w:t xml:space="preserve"> units) </w:t>
      </w:r>
      <w:r w:rsidR="00BC7DAD">
        <w:t xml:space="preserve">and </w:t>
      </w:r>
      <w:r w:rsidR="00BC7DAD" w:rsidRPr="00800892">
        <w:rPr>
          <w:i/>
        </w:rPr>
        <w:t xml:space="preserve">Part 4: </w:t>
      </w:r>
      <w:r w:rsidR="00D562D7" w:rsidRPr="00800892">
        <w:rPr>
          <w:i/>
        </w:rPr>
        <w:t xml:space="preserve">Te ritenga taura-utu </w:t>
      </w:r>
      <w:r w:rsidR="00D562D7" w:rsidRPr="00D562D7">
        <w:rPr>
          <w:i/>
          <w:iCs/>
        </w:rPr>
        <w:t xml:space="preserve">– </w:t>
      </w:r>
      <w:r w:rsidR="00BC7DAD" w:rsidRPr="00800892">
        <w:rPr>
          <w:i/>
        </w:rPr>
        <w:t>Price control settings</w:t>
      </w:r>
      <w:r>
        <w:t>.</w:t>
      </w:r>
    </w:p>
    <w:p w14:paraId="578E1424" w14:textId="6D2FEBFA" w:rsidR="00F42A25" w:rsidRDefault="1BE00086" w:rsidP="00630353">
      <w:pPr>
        <w:pStyle w:val="Heading3"/>
      </w:pPr>
      <w:r>
        <w:t xml:space="preserve">How this advice fits with the Commission’s wider work </w:t>
      </w:r>
    </w:p>
    <w:p w14:paraId="370B5DCD" w14:textId="7A9F2162" w:rsidR="00F42A25" w:rsidRDefault="1BE00086" w:rsidP="4148D425">
      <w:r>
        <w:t xml:space="preserve">This advice is specifically focused on technical recommendations about the NZ ETS unit limits and price control settings. As required under the Act, the Commission provides separate advice about </w:t>
      </w:r>
      <w:r w:rsidR="00652DC5">
        <w:t>the</w:t>
      </w:r>
      <w:r>
        <w:t xml:space="preserve"> 2050 target, emissions budgets, emissions reduction plans, and climate change adaptation risks and policies. While this advice is limited to NZ ETS settings, </w:t>
      </w:r>
      <w:r w:rsidR="008E4AFB">
        <w:t xml:space="preserve">the broader </w:t>
      </w:r>
      <w:r w:rsidR="00006D2C">
        <w:t xml:space="preserve">climate policy landscape </w:t>
      </w:r>
      <w:r w:rsidR="006B0662">
        <w:t xml:space="preserve">remains important </w:t>
      </w:r>
      <w:r w:rsidR="001C3AB8">
        <w:t xml:space="preserve">context for this advice. </w:t>
      </w:r>
      <w:r>
        <w:t xml:space="preserve"> We summar</w:t>
      </w:r>
      <w:r w:rsidR="003633A3">
        <w:t>ise</w:t>
      </w:r>
      <w:r>
        <w:t xml:space="preserve"> those contextual issues in </w:t>
      </w:r>
      <w:r w:rsidRPr="003633A3">
        <w:rPr>
          <w:i/>
        </w:rPr>
        <w:t xml:space="preserve">Part 2: </w:t>
      </w:r>
      <w:r w:rsidR="00852624">
        <w:rPr>
          <w:i/>
          <w:iCs/>
        </w:rPr>
        <w:t xml:space="preserve">Te hanga me te </w:t>
      </w:r>
      <w:r w:rsidR="001D0995">
        <w:rPr>
          <w:i/>
          <w:iCs/>
        </w:rPr>
        <w:t>h</w:t>
      </w:r>
      <w:r w:rsidR="00852624">
        <w:rPr>
          <w:i/>
          <w:iCs/>
        </w:rPr>
        <w:t xml:space="preserve">aepapa o NZ ETS </w:t>
      </w:r>
      <w:r w:rsidR="00852624">
        <w:t xml:space="preserve">– </w:t>
      </w:r>
      <w:r w:rsidRPr="003633A3">
        <w:rPr>
          <w:i/>
        </w:rPr>
        <w:t>Current state and role of the NZ ETS</w:t>
      </w:r>
      <w:r>
        <w:t>.</w:t>
      </w:r>
      <w:r w:rsidR="003633A3">
        <w:t xml:space="preserve"> </w:t>
      </w:r>
      <w:r w:rsidR="00E1591F">
        <w:t>For our other advice to the Government see</w:t>
      </w:r>
      <w:r w:rsidR="003633A3">
        <w:t xml:space="preserve"> </w:t>
      </w:r>
      <w:r w:rsidR="00452728">
        <w:t>our website</w:t>
      </w:r>
      <w:r w:rsidR="002E01A2">
        <w:t>,</w:t>
      </w:r>
      <w:r w:rsidR="00452728">
        <w:t xml:space="preserve"> </w:t>
      </w:r>
      <w:r w:rsidR="003633A3">
        <w:t>www.climatecommission.govt.nz.</w:t>
      </w:r>
    </w:p>
    <w:p w14:paraId="6E97C281" w14:textId="50699A0E" w:rsidR="00F42A25" w:rsidRDefault="1BE00086" w:rsidP="00630353">
      <w:pPr>
        <w:pStyle w:val="Heading3"/>
      </w:pPr>
      <w:r>
        <w:t xml:space="preserve">Timeframe for consultation and new regulations  </w:t>
      </w:r>
    </w:p>
    <w:p w14:paraId="398F679E" w14:textId="7EB36414" w:rsidR="00F42A25" w:rsidRPr="00445AC4" w:rsidRDefault="1BE00086" w:rsidP="4148D425">
      <w:r>
        <w:t xml:space="preserve">Providing this advice is one step within a wider process for updating the NZ ETS regulations. The Government will consider our advice and </w:t>
      </w:r>
      <w:r w:rsidRPr="00445AC4">
        <w:t xml:space="preserve">seek public input on proposed changes. </w:t>
      </w:r>
      <w:r w:rsidRPr="000632FB">
        <w:t xml:space="preserve">We </w:t>
      </w:r>
      <w:r w:rsidRPr="000632FB">
        <w:lastRenderedPageBreak/>
        <w:t>understand</w:t>
      </w:r>
      <w:r w:rsidRPr="00445AC4">
        <w:t xml:space="preserve"> this consultation will be led by the Ministry for the Environment on behalf of the Minister of Climate Change in the </w:t>
      </w:r>
      <w:r w:rsidRPr="000632FB">
        <w:t>second quarter of 202</w:t>
      </w:r>
      <w:r w:rsidR="007B021B" w:rsidRPr="000632FB">
        <w:t>5</w:t>
      </w:r>
      <w:r w:rsidRPr="00445AC4">
        <w:t xml:space="preserve">.  </w:t>
      </w:r>
    </w:p>
    <w:p w14:paraId="326857D1" w14:textId="4DFE9973" w:rsidR="005E470F" w:rsidRPr="009D0BFE" w:rsidRDefault="1BE00086" w:rsidP="000632FB">
      <w:r w:rsidRPr="00445AC4">
        <w:t xml:space="preserve">The Government must make decisions on NZ ETS unit limits and price control settings in time for the regulations to be updated by </w:t>
      </w:r>
      <w:r w:rsidRPr="000632FB">
        <w:t>30 September 202</w:t>
      </w:r>
      <w:r w:rsidR="007B021B" w:rsidRPr="000632FB">
        <w:t>5</w:t>
      </w:r>
      <w:r w:rsidRPr="00445AC4">
        <w:t xml:space="preserve">. The new settings will come into force on </w:t>
      </w:r>
      <w:r w:rsidRPr="000632FB">
        <w:t>1 January 202</w:t>
      </w:r>
      <w:r w:rsidR="007B021B" w:rsidRPr="000632FB">
        <w:t>6</w:t>
      </w:r>
      <w:r w:rsidRPr="00445AC4">
        <w:t>. We expect to provide our n</w:t>
      </w:r>
      <w:r>
        <w:t>ext advice on this topic, relating to 2027</w:t>
      </w:r>
      <w:r w:rsidR="009536FA" w:rsidRPr="000A1433">
        <w:t>–</w:t>
      </w:r>
      <w:r>
        <w:t xml:space="preserve">2031, in the first quarter of 2026. </w:t>
      </w:r>
    </w:p>
    <w:p w14:paraId="2CA9929C" w14:textId="77777777" w:rsidR="00E11774" w:rsidRPr="006846CA" w:rsidRDefault="00E11774" w:rsidP="004A4575">
      <w:r>
        <w:br w:type="page"/>
      </w:r>
    </w:p>
    <w:p w14:paraId="1AC09780" w14:textId="02C72380" w:rsidR="00A614AE" w:rsidRDefault="00A614AE" w:rsidP="006A7422">
      <w:pPr>
        <w:pStyle w:val="Heading1nonumber"/>
      </w:pPr>
      <w:bookmarkStart w:id="20" w:name="_Toc195447228"/>
      <w:r>
        <w:lastRenderedPageBreak/>
        <w:t>PART 2: Te hanga me te haepapa o NZ ETS – Current state and role of the NZ ETS</w:t>
      </w:r>
      <w:bookmarkEnd w:id="20"/>
    </w:p>
    <w:p w14:paraId="641FD416" w14:textId="1C3AE87B" w:rsidR="00233813" w:rsidRDefault="00DA75DF" w:rsidP="00233813">
      <w:pPr>
        <w:pStyle w:val="Intro"/>
      </w:pPr>
      <w:r>
        <w:t>Th</w:t>
      </w:r>
      <w:r w:rsidR="00002CAB">
        <w:t xml:space="preserve">is section discusses </w:t>
      </w:r>
      <w:r w:rsidR="005C6A10">
        <w:t xml:space="preserve">the </w:t>
      </w:r>
      <w:r w:rsidR="0023493A">
        <w:t>s</w:t>
      </w:r>
      <w:r w:rsidR="00EB19DA">
        <w:t>tate of the market</w:t>
      </w:r>
      <w:r w:rsidR="00002CAB">
        <w:t xml:space="preserve"> and </w:t>
      </w:r>
      <w:r w:rsidR="00EB19DA">
        <w:t>other</w:t>
      </w:r>
      <w:r w:rsidR="00002CAB">
        <w:t xml:space="preserve"> context for our advice on NZ ETS unit</w:t>
      </w:r>
      <w:r w:rsidR="004371F0">
        <w:t xml:space="preserve"> limits</w:t>
      </w:r>
      <w:r w:rsidR="00002CAB">
        <w:t xml:space="preserve"> and price control</w:t>
      </w:r>
      <w:r w:rsidR="00061943">
        <w:t xml:space="preserve"> setting</w:t>
      </w:r>
      <w:r w:rsidR="00002CAB">
        <w:t>s.</w:t>
      </w:r>
    </w:p>
    <w:p w14:paraId="08C323CE" w14:textId="19436B7A" w:rsidR="001954B1" w:rsidRPr="00BC619E" w:rsidRDefault="00002CAB" w:rsidP="000632FB">
      <w:pPr>
        <w:pStyle w:val="Heading2nonumber"/>
      </w:pPr>
      <w:bookmarkStart w:id="21" w:name="_Toc195447229"/>
      <w:r w:rsidRPr="00B44BC3">
        <w:t>The w</w:t>
      </w:r>
      <w:r w:rsidRPr="00BC619E">
        <w:t>ider context for this advice</w:t>
      </w:r>
      <w:bookmarkEnd w:id="21"/>
    </w:p>
    <w:p w14:paraId="1DC90C2B" w14:textId="008697A6" w:rsidR="009C1130" w:rsidRDefault="00810D84" w:rsidP="009C1130">
      <w:r>
        <w:t>He Pou a Rangi Climate Change</w:t>
      </w:r>
      <w:r w:rsidR="009C1130">
        <w:t xml:space="preserve"> Commission’s recommendations in this report are limited to the NZ ETS unit limits and price control for 2026</w:t>
      </w:r>
      <w:r w:rsidR="00F84E30">
        <w:t>–</w:t>
      </w:r>
      <w:r w:rsidR="009C1130">
        <w:t>2030</w:t>
      </w:r>
      <w:r w:rsidR="001022E3">
        <w:t>,</w:t>
      </w:r>
      <w:r w:rsidR="009C1130">
        <w:t xml:space="preserve"> prescribed by the Act. These settings are a key part of </w:t>
      </w:r>
      <w:r w:rsidR="00B40907">
        <w:t xml:space="preserve">ensuring the </w:t>
      </w:r>
      <w:r w:rsidR="009C1130">
        <w:t>NZ ETS</w:t>
      </w:r>
      <w:r w:rsidR="00B40907">
        <w:t xml:space="preserve"> is</w:t>
      </w:r>
      <w:r w:rsidR="00D12BAE">
        <w:t xml:space="preserve"> credible and</w:t>
      </w:r>
      <w:r w:rsidR="00B40907">
        <w:t xml:space="preserve"> effective</w:t>
      </w:r>
      <w:r w:rsidR="009C1130">
        <w:t xml:space="preserve">, but other aspects of the scheme also matter and can affect how these settings must be managed. The policy and economic landscape within which the NZ ETS sits also shapes how it functions. </w:t>
      </w:r>
    </w:p>
    <w:p w14:paraId="44E485F8" w14:textId="090FBC6B" w:rsidR="009C1130" w:rsidRDefault="009C1130" w:rsidP="009C1130">
      <w:r>
        <w:t xml:space="preserve">This part of our advice highlights key issues </w:t>
      </w:r>
      <w:r w:rsidR="005D06A0">
        <w:t xml:space="preserve">relating to </w:t>
      </w:r>
      <w:r>
        <w:t xml:space="preserve">this wider context. It </w:t>
      </w:r>
      <w:r w:rsidR="00A77303">
        <w:t>discusses</w:t>
      </w:r>
      <w:r>
        <w:t xml:space="preserve"> market and policy developments; feedback from engagement with market participants,</w:t>
      </w:r>
      <w:r w:rsidRPr="002A7EBB">
        <w:t xml:space="preserve"> </w:t>
      </w:r>
      <w:r>
        <w:t xml:space="preserve">including representatives of iwi/Māori entities; as well as challenges to the effective functioning of the NZ ETS. </w:t>
      </w:r>
    </w:p>
    <w:p w14:paraId="0DF4455A" w14:textId="042FBD50" w:rsidR="009C1130" w:rsidRDefault="009C1130" w:rsidP="000632FB">
      <w:pPr>
        <w:pStyle w:val="Heading3"/>
        <w:rPr>
          <w:b w:val="0"/>
          <w:color w:val="1F3864" w:themeColor="accent1" w:themeShade="80"/>
          <w:sz w:val="32"/>
          <w:szCs w:val="32"/>
        </w:rPr>
      </w:pPr>
      <w:r>
        <w:t xml:space="preserve">International </w:t>
      </w:r>
      <w:r w:rsidR="00F23EB8">
        <w:t xml:space="preserve">developments </w:t>
      </w:r>
    </w:p>
    <w:p w14:paraId="3E0B7C71" w14:textId="25E6DBB0" w:rsidR="00D33AFE" w:rsidRDefault="00D33AFE" w:rsidP="00D33AFE">
      <w:r w:rsidRPr="00E865B5">
        <w:t xml:space="preserve">Globally, carbon pricing mechanisms have continued to expand as effective tools for reducing emissions. </w:t>
      </w:r>
      <w:r>
        <w:t>A</w:t>
      </w:r>
      <w:r w:rsidRPr="00E865B5">
        <w:t xml:space="preserve">pproximately 24% of global greenhouse gas emissions are </w:t>
      </w:r>
      <w:r>
        <w:t xml:space="preserve">now </w:t>
      </w:r>
      <w:r w:rsidRPr="00E865B5">
        <w:t>subject to carbon pricing, encompassing both emissions trading schemes and carbon taxes.</w:t>
      </w:r>
      <w:r>
        <w:rPr>
          <w:rStyle w:val="EndnoteReference"/>
        </w:rPr>
        <w:endnoteReference w:id="3"/>
      </w:r>
      <w:r>
        <w:t xml:space="preserve"> </w:t>
      </w:r>
    </w:p>
    <w:p w14:paraId="7741AC35" w14:textId="664CBB99" w:rsidR="00F45EB1" w:rsidRDefault="00F45EB1" w:rsidP="00F45EB1">
      <w:r>
        <w:t xml:space="preserve">In January 2025, the United States </w:t>
      </w:r>
      <w:r w:rsidR="00802A59">
        <w:t>announced its withdrawal</w:t>
      </w:r>
      <w:r>
        <w:t xml:space="preserve"> from the Paris Agreement. However, the U</w:t>
      </w:r>
      <w:r w:rsidR="00751599">
        <w:t xml:space="preserve">nited </w:t>
      </w:r>
      <w:r>
        <w:t>S</w:t>
      </w:r>
      <w:r w:rsidR="00751599">
        <w:t>tates</w:t>
      </w:r>
      <w:r w:rsidR="00005652">
        <w:t>’</w:t>
      </w:r>
      <w:r>
        <w:t xml:space="preserve"> </w:t>
      </w:r>
      <w:r w:rsidR="00005652">
        <w:t xml:space="preserve">previous </w:t>
      </w:r>
      <w:r>
        <w:t xml:space="preserve">withdrawal from the Paris Agreement, </w:t>
      </w:r>
      <w:r w:rsidR="00EB6015">
        <w:t xml:space="preserve">announced in 2017, </w:t>
      </w:r>
      <w:r>
        <w:t>did not deter international action on climate change</w:t>
      </w:r>
      <w:r w:rsidR="00EB6015">
        <w:t>. Instead</w:t>
      </w:r>
      <w:r>
        <w:t>, it galvanised other nations to reaffirm and intensify efforts to reducing greenhouse gas emissions.</w:t>
      </w:r>
    </w:p>
    <w:p w14:paraId="23A884B7" w14:textId="0DC428F5" w:rsidR="005D4D8E" w:rsidRDefault="00F45EB1" w:rsidP="00F45EB1">
      <w:r>
        <w:t>T</w:t>
      </w:r>
      <w:r w:rsidRPr="00734D18">
        <w:t>he E</w:t>
      </w:r>
      <w:r w:rsidR="00EB6015">
        <w:t xml:space="preserve">uropean </w:t>
      </w:r>
      <w:r>
        <w:t>U</w:t>
      </w:r>
      <w:r w:rsidR="00EB6015">
        <w:t>nion</w:t>
      </w:r>
      <w:r w:rsidR="00F74C0E">
        <w:t>’</w:t>
      </w:r>
      <w:r w:rsidRPr="00734D18">
        <w:t xml:space="preserve">s Emissions Trading System (EU ETS) remains a cornerstone of its climate policy. </w:t>
      </w:r>
      <w:r>
        <w:t>The</w:t>
      </w:r>
      <w:r w:rsidRPr="002A2C73">
        <w:t xml:space="preserve"> E</w:t>
      </w:r>
      <w:r w:rsidR="00EB6015">
        <w:t xml:space="preserve">uropean </w:t>
      </w:r>
      <w:r w:rsidRPr="002A2C73">
        <w:t>U</w:t>
      </w:r>
      <w:r w:rsidR="00EB6015">
        <w:t>nion</w:t>
      </w:r>
      <w:r w:rsidRPr="002A2C73">
        <w:t xml:space="preserve"> has</w:t>
      </w:r>
      <w:r w:rsidR="009241E5">
        <w:t xml:space="preserve"> also</w:t>
      </w:r>
      <w:r w:rsidRPr="002A2C73">
        <w:t xml:space="preserve"> introduced </w:t>
      </w:r>
      <w:r w:rsidR="00A71744">
        <w:t>a</w:t>
      </w:r>
      <w:r w:rsidR="00A71744" w:rsidRPr="002A2C73">
        <w:t xml:space="preserve"> </w:t>
      </w:r>
      <w:r w:rsidRPr="002A2C73">
        <w:t xml:space="preserve">Carbon Border Adjustment Mechanism (CBAM) which </w:t>
      </w:r>
      <w:r w:rsidR="00073A8D">
        <w:t xml:space="preserve">will </w:t>
      </w:r>
      <w:r w:rsidRPr="002A2C73">
        <w:t>tax imported goods from countries with weaker climate regulations, pushing trading partners to adopt stricter emissions policies.</w:t>
      </w:r>
      <w:r>
        <w:t xml:space="preserve"> </w:t>
      </w:r>
    </w:p>
    <w:p w14:paraId="1277C44F" w14:textId="61CB5885" w:rsidR="001D505B" w:rsidRDefault="00F45EB1" w:rsidP="00F45EB1">
      <w:r w:rsidRPr="00734D18">
        <w:t>China</w:t>
      </w:r>
      <w:r>
        <w:t xml:space="preserve"> has implemented the world’s largest carbon market by emissions coverage, including more than 4.5 billion tonnes of emissions from the </w:t>
      </w:r>
      <w:r w:rsidR="77EF08B0">
        <w:t>electricity</w:t>
      </w:r>
      <w:r>
        <w:t xml:space="preserve"> sector. </w:t>
      </w:r>
      <w:r w:rsidRPr="00AD7DA8">
        <w:t xml:space="preserve">China is </w:t>
      </w:r>
      <w:r>
        <w:t xml:space="preserve">also </w:t>
      </w:r>
      <w:r w:rsidR="00DB70DD">
        <w:t xml:space="preserve">a </w:t>
      </w:r>
      <w:r w:rsidRPr="00AD7DA8">
        <w:t>clean energy powerhouse</w:t>
      </w:r>
      <w:r>
        <w:t xml:space="preserve">, accounting for </w:t>
      </w:r>
      <w:r w:rsidRPr="00AD7DA8">
        <w:t>more than 40% of global installed capacity for wind and solar PV, and more than half of the electric cars in the world today.</w:t>
      </w:r>
      <w:r>
        <w:rPr>
          <w:rStyle w:val="EndnoteReference"/>
        </w:rPr>
        <w:endnoteReference w:id="4"/>
      </w:r>
      <w:r>
        <w:t xml:space="preserve"> </w:t>
      </w:r>
    </w:p>
    <w:p w14:paraId="7CCA58C0" w14:textId="18C14D90" w:rsidR="00F45EB1" w:rsidRDefault="00F45EB1" w:rsidP="00F45EB1">
      <w:r>
        <w:t>Closer to home, in 2023 Australia strengthened its carbon pricing scheme, the Safeguard Mechanism, with a further policy review planned for 2026</w:t>
      </w:r>
      <w:r w:rsidR="00F84E30">
        <w:t>–</w:t>
      </w:r>
      <w:r>
        <w:t>27.</w:t>
      </w:r>
      <w:r>
        <w:rPr>
          <w:rStyle w:val="EndnoteReference"/>
        </w:rPr>
        <w:endnoteReference w:id="5"/>
      </w:r>
      <w:r>
        <w:t xml:space="preserve"> </w:t>
      </w:r>
    </w:p>
    <w:p w14:paraId="79BBCA50" w14:textId="351C3F96" w:rsidR="00F45EB1" w:rsidRDefault="00F45EB1" w:rsidP="00F45EB1">
      <w:r>
        <w:lastRenderedPageBreak/>
        <w:t>Even within the U</w:t>
      </w:r>
      <w:r w:rsidR="00751599">
        <w:t xml:space="preserve">nited </w:t>
      </w:r>
      <w:r>
        <w:t>S</w:t>
      </w:r>
      <w:r w:rsidR="00751599">
        <w:t>tates</w:t>
      </w:r>
      <w:r>
        <w:t xml:space="preserve">, </w:t>
      </w:r>
      <w:r w:rsidRPr="0013364B">
        <w:t xml:space="preserve">state-level initiatives are </w:t>
      </w:r>
      <w:r w:rsidR="00BA4163">
        <w:t>progressing</w:t>
      </w:r>
      <w:r w:rsidRPr="0013364B">
        <w:t xml:space="preserve"> climate action. </w:t>
      </w:r>
      <w:r>
        <w:t>Multiple states are implementing carbon markets.</w:t>
      </w:r>
      <w:r>
        <w:rPr>
          <w:rStyle w:val="FootnoteReference"/>
        </w:rPr>
        <w:footnoteReference w:id="15"/>
      </w:r>
      <w:r w:rsidR="00AE593C" w:rsidRPr="00AE593C">
        <w:rPr>
          <w:vertAlign w:val="superscript"/>
        </w:rPr>
        <w:t>,</w:t>
      </w:r>
      <w:r w:rsidR="00FF7071">
        <w:rPr>
          <w:rStyle w:val="EndnoteReference"/>
        </w:rPr>
        <w:endnoteReference w:id="6"/>
      </w:r>
      <w:r>
        <w:t xml:space="preserve"> Most significantly this includes </w:t>
      </w:r>
      <w:r w:rsidRPr="0013364B">
        <w:t>California</w:t>
      </w:r>
      <w:r>
        <w:t>, which would be the fifth-largest economy in the world if it were a country</w:t>
      </w:r>
      <w:r w:rsidR="008A16BC">
        <w:t xml:space="preserve">. Its </w:t>
      </w:r>
      <w:r>
        <w:t xml:space="preserve">cap-and-trade scheme has been operating since 2013. </w:t>
      </w:r>
    </w:p>
    <w:p w14:paraId="344D55FA" w14:textId="3668D7EC" w:rsidR="00F45EB1" w:rsidRDefault="008A16BC" w:rsidP="00F45EB1">
      <w:r>
        <w:t>T</w:t>
      </w:r>
      <w:r w:rsidR="00F45EB1">
        <w:t xml:space="preserve">he private sector is </w:t>
      </w:r>
      <w:r>
        <w:t xml:space="preserve">also </w:t>
      </w:r>
      <w:r w:rsidR="00F45EB1">
        <w:t>increasingly influential</w:t>
      </w:r>
      <w:r w:rsidR="00F45EB1" w:rsidRPr="00265B80">
        <w:t>.</w:t>
      </w:r>
      <w:r w:rsidR="00F45EB1">
        <w:t xml:space="preserve"> </w:t>
      </w:r>
      <w:r w:rsidR="00F45EB1" w:rsidRPr="003D780A">
        <w:t xml:space="preserve">Investors are demanding stronger environmental, social and governance (ESG) commitments from businesses, while major corporations </w:t>
      </w:r>
      <w:r>
        <w:t xml:space="preserve">are </w:t>
      </w:r>
      <w:r w:rsidR="00F45EB1">
        <w:t xml:space="preserve">increasingly </w:t>
      </w:r>
      <w:r w:rsidR="00F45EB1" w:rsidRPr="003D780A">
        <w:t>demanding climate action across their supply chains. Nestlé, for example, has committed to achieving net-zero emissions by 2050 and is requiring its suppliers</w:t>
      </w:r>
      <w:r w:rsidR="00330C1A">
        <w:t xml:space="preserve">, including those in </w:t>
      </w:r>
      <w:r w:rsidR="0012447E">
        <w:t xml:space="preserve">Aotearoa </w:t>
      </w:r>
      <w:r w:rsidR="00DE0F29">
        <w:t>New Zealand,</w:t>
      </w:r>
      <w:r w:rsidR="00F45EB1" w:rsidRPr="003D780A">
        <w:t xml:space="preserve"> to adopt more sustainable agricultural practices. </w:t>
      </w:r>
    </w:p>
    <w:p w14:paraId="5DF1FC9D" w14:textId="4E00EA21" w:rsidR="0079489A" w:rsidRDefault="00F45EB1" w:rsidP="0079489A">
      <w:r>
        <w:t xml:space="preserve">This highlights that climate action is not dependent on the leadership of any single </w:t>
      </w:r>
      <w:r w:rsidR="006A02BC">
        <w:t>country</w:t>
      </w:r>
      <w:r>
        <w:t xml:space="preserve">. For Aotearoa New Zealand, continuing efforts to cut emissions will help protect </w:t>
      </w:r>
      <w:r w:rsidR="00C9541F">
        <w:t>the country’s</w:t>
      </w:r>
      <w:r>
        <w:t xml:space="preserve"> environment </w:t>
      </w:r>
      <w:r w:rsidR="00C9541F">
        <w:t xml:space="preserve">and </w:t>
      </w:r>
      <w:r>
        <w:t>future</w:t>
      </w:r>
      <w:r w:rsidR="0075025F">
        <w:t>-</w:t>
      </w:r>
      <w:r>
        <w:t xml:space="preserve">proof </w:t>
      </w:r>
      <w:r w:rsidR="00910062">
        <w:t xml:space="preserve">economic </w:t>
      </w:r>
      <w:r>
        <w:t xml:space="preserve">resilience, competitiveness and trading relationships. </w:t>
      </w:r>
    </w:p>
    <w:p w14:paraId="0521B7A9" w14:textId="77777777" w:rsidR="0079489A" w:rsidRPr="00A01BE1" w:rsidRDefault="0079489A" w:rsidP="00FB1AFA">
      <w:pPr>
        <w:pStyle w:val="Heading3"/>
        <w:rPr>
          <w:b w:val="0"/>
          <w:color w:val="1F3864" w:themeColor="accent1" w:themeShade="80"/>
          <w:sz w:val="32"/>
          <w:szCs w:val="32"/>
        </w:rPr>
      </w:pPr>
      <w:r w:rsidRPr="00A01BE1">
        <w:t xml:space="preserve">Recent NZ ETS market </w:t>
      </w:r>
      <w:r w:rsidRPr="00A37361">
        <w:t>and policy developments</w:t>
      </w:r>
    </w:p>
    <w:p w14:paraId="798F75A7" w14:textId="0B879B5B" w:rsidR="0079489A" w:rsidRDefault="0079489A" w:rsidP="0079489A">
      <w:r>
        <w:t xml:space="preserve">Since the Commission’s last </w:t>
      </w:r>
      <w:r w:rsidR="006A02BC">
        <w:t xml:space="preserve">NZ ETS </w:t>
      </w:r>
      <w:r>
        <w:t xml:space="preserve">advice in early 2024, the NZ ETS market once again experienced a period of notable volatility, although the final months of the year saw a return to more stable prices. </w:t>
      </w:r>
    </w:p>
    <w:p w14:paraId="0FA18EC4" w14:textId="1633AFA7" w:rsidR="0079489A" w:rsidRDefault="0079489A" w:rsidP="0079489A">
      <w:r w:rsidRPr="00156E98">
        <w:rPr>
          <w:b/>
        </w:rPr>
        <w:t xml:space="preserve">Figure </w:t>
      </w:r>
      <w:r w:rsidR="00D71E95" w:rsidRPr="00156E98">
        <w:rPr>
          <w:b/>
        </w:rPr>
        <w:t>2.1</w:t>
      </w:r>
      <w:r>
        <w:t xml:space="preserve"> shows the evolution of the NZU secondary market spot price over 2023</w:t>
      </w:r>
      <w:r w:rsidR="00315432" w:rsidRPr="000A1433">
        <w:t>–</w:t>
      </w:r>
      <w:r>
        <w:t>2024.</w:t>
      </w:r>
      <w:r w:rsidR="00D16C81">
        <w:rPr>
          <w:rStyle w:val="EndnoteReference"/>
        </w:rPr>
        <w:endnoteReference w:id="7"/>
      </w:r>
      <w:r>
        <w:t xml:space="preserve"> A period of relative stability in late 2023</w:t>
      </w:r>
      <w:r w:rsidR="00315432">
        <w:t xml:space="preserve"> and </w:t>
      </w:r>
      <w:r>
        <w:t>early 2024</w:t>
      </w:r>
      <w:r w:rsidR="00AB4E74">
        <w:t>,</w:t>
      </w:r>
      <w:r>
        <w:t xml:space="preserve"> </w:t>
      </w:r>
      <w:r w:rsidR="00AB4E74">
        <w:t xml:space="preserve">in which </w:t>
      </w:r>
      <w:r>
        <w:t xml:space="preserve">the price hovered </w:t>
      </w:r>
      <w:r w:rsidRPr="005E1E6D">
        <w:t>around $70</w:t>
      </w:r>
      <w:r w:rsidR="00AB4E74" w:rsidRPr="005E1E6D">
        <w:t>,</w:t>
      </w:r>
      <w:r w:rsidRPr="005E1E6D">
        <w:t xml:space="preserve"> ended</w:t>
      </w:r>
      <w:r>
        <w:t xml:space="preserve"> when the first auction of 2024 only partially cleared at the then-$64 floor price. </w:t>
      </w:r>
    </w:p>
    <w:p w14:paraId="60E42ADC" w14:textId="027111C4" w:rsidR="00A03C7F" w:rsidRDefault="0079489A" w:rsidP="0079489A">
      <w:r>
        <w:t xml:space="preserve">A further price drop was seen when the </w:t>
      </w:r>
      <w:r w:rsidR="00B26F6B">
        <w:t>G</w:t>
      </w:r>
      <w:r>
        <w:t>overnment’s NZ ETS settings consultation was released</w:t>
      </w:r>
      <w:r w:rsidR="005A0080">
        <w:t xml:space="preserve"> in May 2024</w:t>
      </w:r>
      <w:r>
        <w:t xml:space="preserve">. Feedback from our engagement with market participants indicates that this </w:t>
      </w:r>
      <w:r w:rsidR="00FC44E1">
        <w:t xml:space="preserve">price drop </w:t>
      </w:r>
      <w:r>
        <w:t>was precipitated by the suggestion</w:t>
      </w:r>
      <w:r w:rsidR="00F03721">
        <w:t>,</w:t>
      </w:r>
      <w:r>
        <w:t xml:space="preserve"> in the consultation document</w:t>
      </w:r>
      <w:r w:rsidR="00F03721">
        <w:t>,</w:t>
      </w:r>
      <w:r>
        <w:t xml:space="preserve"> that the Government was considering lowering the auction reserve price. </w:t>
      </w:r>
      <w:r w:rsidR="00A03C7F">
        <w:t xml:space="preserve">Market participants perceived that there was not adequate explanation of why this was being considered. </w:t>
      </w:r>
    </w:p>
    <w:p w14:paraId="43EEBBDC" w14:textId="0B2255D9" w:rsidR="0079489A" w:rsidRDefault="0079489A" w:rsidP="0079489A">
      <w:r>
        <w:t>Two declined auctions followed, with the price only recovering after the Government announced its decision on the NZ ETS settings for 2025</w:t>
      </w:r>
      <w:r w:rsidR="00070192" w:rsidRPr="000A1433">
        <w:t>–</w:t>
      </w:r>
      <w:r>
        <w:t>2029, which aligned with the Commission’s advice. The price then stabilised around $60</w:t>
      </w:r>
      <w:r w:rsidR="009F4861" w:rsidRPr="000A1433">
        <w:t>–</w:t>
      </w:r>
      <w:r>
        <w:t xml:space="preserve">64, with a partial clearance at the final auction of the year in December.  </w:t>
      </w:r>
    </w:p>
    <w:p w14:paraId="38A9CBC7" w14:textId="0C2C704B" w:rsidR="0079489A" w:rsidRDefault="0079489A" w:rsidP="00FF4148">
      <w:pPr>
        <w:pStyle w:val="FigureTabletitle"/>
      </w:pPr>
      <w:r w:rsidRPr="009B4B0B">
        <w:lastRenderedPageBreak/>
        <w:t xml:space="preserve">Figure </w:t>
      </w:r>
      <w:r w:rsidR="00D71E95" w:rsidRPr="009B4B0B">
        <w:t>2.1</w:t>
      </w:r>
      <w:r w:rsidRPr="009B4B0B">
        <w:t xml:space="preserve">: </w:t>
      </w:r>
      <w:r w:rsidRPr="00FF4148">
        <w:rPr>
          <w:b w:val="0"/>
          <w:bCs w:val="0"/>
        </w:rPr>
        <w:t xml:space="preserve">NZU spot </w:t>
      </w:r>
      <w:r w:rsidR="00930882" w:rsidRPr="00FF4148">
        <w:rPr>
          <w:b w:val="0"/>
          <w:bCs w:val="0"/>
        </w:rPr>
        <w:t xml:space="preserve">and auction clearing prices from </w:t>
      </w:r>
      <w:r w:rsidR="00847F54" w:rsidRPr="00FF4148">
        <w:rPr>
          <w:b w:val="0"/>
          <w:bCs w:val="0"/>
        </w:rPr>
        <w:t>mid-</w:t>
      </w:r>
      <w:r w:rsidR="00930882" w:rsidRPr="00FF4148">
        <w:rPr>
          <w:b w:val="0"/>
          <w:bCs w:val="0"/>
        </w:rPr>
        <w:t xml:space="preserve">2022 to </w:t>
      </w:r>
      <w:r w:rsidR="00847F54" w:rsidRPr="00FF4148">
        <w:rPr>
          <w:b w:val="0"/>
          <w:bCs w:val="0"/>
        </w:rPr>
        <w:t>early</w:t>
      </w:r>
      <w:r w:rsidR="00930882" w:rsidRPr="00FF4148">
        <w:rPr>
          <w:b w:val="0"/>
          <w:bCs w:val="0"/>
        </w:rPr>
        <w:t xml:space="preserve"> 2025</w:t>
      </w:r>
    </w:p>
    <w:p w14:paraId="2A9D8077" w14:textId="2872671D" w:rsidR="0079489A" w:rsidRDefault="001768DC" w:rsidP="0079489A">
      <w:pPr>
        <w:keepNext/>
        <w:ind w:right="556"/>
        <w:rPr>
          <w:b/>
          <w:color w:val="1F3864"/>
          <w:sz w:val="20"/>
          <w:szCs w:val="18"/>
        </w:rPr>
      </w:pPr>
      <w:r>
        <w:rPr>
          <w:b/>
          <w:bCs/>
          <w:noProof/>
          <w:color w:val="1F3864"/>
          <w:sz w:val="20"/>
          <w:szCs w:val="18"/>
        </w:rPr>
        <w:drawing>
          <wp:inline distT="0" distB="0" distL="0" distR="0" wp14:anchorId="47EA8C97" wp14:editId="15549F2F">
            <wp:extent cx="5759450" cy="8028305"/>
            <wp:effectExtent l="0" t="0" r="0" b="0"/>
            <wp:docPr id="50907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73385" name="Picture 50907338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8028305"/>
                    </a:xfrm>
                    <a:prstGeom prst="rect">
                      <a:avLst/>
                    </a:prstGeom>
                  </pic:spPr>
                </pic:pic>
              </a:graphicData>
            </a:graphic>
          </wp:inline>
        </w:drawing>
      </w:r>
    </w:p>
    <w:p w14:paraId="7484C7BC" w14:textId="2BD61764" w:rsidR="00AE1FBC" w:rsidRPr="00CC155B" w:rsidRDefault="00AE1FBC" w:rsidP="00F25F79">
      <w:pPr>
        <w:rPr>
          <w:sz w:val="20"/>
          <w:szCs w:val="20"/>
        </w:rPr>
      </w:pPr>
      <w:r w:rsidRPr="00CC155B">
        <w:rPr>
          <w:sz w:val="20"/>
          <w:szCs w:val="20"/>
        </w:rPr>
        <w:t>Source:</w:t>
      </w:r>
      <w:r w:rsidR="007A66DE">
        <w:rPr>
          <w:sz w:val="20"/>
          <w:szCs w:val="20"/>
        </w:rPr>
        <w:t xml:space="preserve"> Theecanmole</w:t>
      </w:r>
      <w:r w:rsidR="006B3EBB">
        <w:rPr>
          <w:sz w:val="20"/>
          <w:szCs w:val="20"/>
        </w:rPr>
        <w:t xml:space="preserve"> (2025)</w:t>
      </w:r>
      <w:r w:rsidR="00A468FB">
        <w:rPr>
          <w:rStyle w:val="EndnoteReference"/>
          <w:sz w:val="20"/>
          <w:szCs w:val="20"/>
        </w:rPr>
        <w:endnoteReference w:id="8"/>
      </w:r>
    </w:p>
    <w:p w14:paraId="2CCB535E" w14:textId="77777777" w:rsidR="003629C2" w:rsidRDefault="003629C2">
      <w:pPr>
        <w:spacing w:before="0" w:after="0" w:line="240" w:lineRule="auto"/>
      </w:pPr>
      <w:r>
        <w:br w:type="page"/>
      </w:r>
    </w:p>
    <w:p w14:paraId="79A16536" w14:textId="5D695413" w:rsidR="0079489A" w:rsidRDefault="00F977B4" w:rsidP="0079489A">
      <w:r>
        <w:lastRenderedPageBreak/>
        <w:t xml:space="preserve">The year </w:t>
      </w:r>
      <w:r w:rsidR="0079489A">
        <w:t xml:space="preserve">2024 was also eventful </w:t>
      </w:r>
      <w:r>
        <w:t xml:space="preserve">for </w:t>
      </w:r>
      <w:r w:rsidR="0079489A">
        <w:t xml:space="preserve">NZ ETS policy developments. </w:t>
      </w:r>
    </w:p>
    <w:p w14:paraId="3FB4CE24" w14:textId="24129E74" w:rsidR="0079489A" w:rsidRDefault="0079489A" w:rsidP="0079489A">
      <w:r>
        <w:t>The Government concluded a process to update industrial free allocation settings</w:t>
      </w:r>
      <w:r w:rsidR="00EF6D0A">
        <w:t>. The</w:t>
      </w:r>
      <w:r>
        <w:t xml:space="preserve"> resulting changes to regulations </w:t>
      </w:r>
      <w:r w:rsidR="00EF6D0A">
        <w:t xml:space="preserve">are </w:t>
      </w:r>
      <w:r>
        <w:t xml:space="preserve">expected to contribute to lower overall allocations </w:t>
      </w:r>
      <w:r w:rsidR="00F977B4">
        <w:t xml:space="preserve">being </w:t>
      </w:r>
      <w:r>
        <w:t xml:space="preserve">given out in future. This has impacts for the NZ ETS unit limit settings, as discussed in </w:t>
      </w:r>
      <w:r w:rsidRPr="00BD02EA">
        <w:rPr>
          <w:i/>
        </w:rPr>
        <w:t>Part 3</w:t>
      </w:r>
      <w:r w:rsidR="00B76319">
        <w:rPr>
          <w:i/>
          <w:iCs/>
        </w:rPr>
        <w:t>: Te herenga utu</w:t>
      </w:r>
      <w:r w:rsidR="00B76319">
        <w:t xml:space="preserve"> </w:t>
      </w:r>
      <w:r w:rsidR="00B76319" w:rsidRPr="000A1433">
        <w:rPr>
          <w:i/>
          <w:iCs/>
        </w:rPr>
        <w:t>–</w:t>
      </w:r>
      <w:r w:rsidR="00B76319">
        <w:rPr>
          <w:i/>
          <w:iCs/>
        </w:rPr>
        <w:t xml:space="preserve"> Unit limits</w:t>
      </w:r>
      <w:r>
        <w:t xml:space="preserve">. </w:t>
      </w:r>
    </w:p>
    <w:p w14:paraId="165508EE" w14:textId="2DB44267" w:rsidR="0079489A" w:rsidRDefault="001661BA" w:rsidP="0079489A">
      <w:r>
        <w:t xml:space="preserve">In December 2024, the </w:t>
      </w:r>
      <w:r w:rsidR="0079489A">
        <w:t xml:space="preserve">Government </w:t>
      </w:r>
      <w:r>
        <w:t>published</w:t>
      </w:r>
      <w:r w:rsidR="0079489A">
        <w:t xml:space="preserve"> the second emissions reduction plan, for meeting the second </w:t>
      </w:r>
      <w:r w:rsidR="007307B9">
        <w:t xml:space="preserve">(2026–2030) </w:t>
      </w:r>
      <w:r w:rsidR="0079489A">
        <w:t xml:space="preserve">emissions budget. </w:t>
      </w:r>
      <w:r w:rsidR="00463D49">
        <w:t>The plan signalled a</w:t>
      </w:r>
      <w:r w:rsidR="0079489A">
        <w:t xml:space="preserve"> shift from the previous Government’s approach</w:t>
      </w:r>
      <w:r w:rsidR="003926E7">
        <w:t xml:space="preserve"> to reducing emissions</w:t>
      </w:r>
      <w:r w:rsidR="008B6321">
        <w:t>. T</w:t>
      </w:r>
      <w:r w:rsidR="0079489A">
        <w:t xml:space="preserve">he </w:t>
      </w:r>
      <w:r w:rsidR="00A9704D">
        <w:t>revised</w:t>
      </w:r>
      <w:r w:rsidR="0079489A">
        <w:t xml:space="preserve"> </w:t>
      </w:r>
      <w:r w:rsidR="003926E7">
        <w:t xml:space="preserve">approach </w:t>
      </w:r>
      <w:r w:rsidR="0079489A">
        <w:t xml:space="preserve">is strongly centred on the NZ ETS. </w:t>
      </w:r>
      <w:r w:rsidR="003A7025">
        <w:t>The plan</w:t>
      </w:r>
      <w:r w:rsidR="0079489A" w:rsidDel="003A7025">
        <w:t xml:space="preserve"> </w:t>
      </w:r>
      <w:r w:rsidR="003A7025">
        <w:t>emphasised</w:t>
      </w:r>
      <w:r w:rsidR="0079489A">
        <w:t xml:space="preserve"> the Government’s commitment to restoring </w:t>
      </w:r>
      <w:r w:rsidR="007853B4">
        <w:t xml:space="preserve">the </w:t>
      </w:r>
      <w:r w:rsidR="0079489A">
        <w:t xml:space="preserve">credibility </w:t>
      </w:r>
      <w:r w:rsidR="007853B4">
        <w:t>of,</w:t>
      </w:r>
      <w:r w:rsidR="003926E7">
        <w:t xml:space="preserve"> </w:t>
      </w:r>
      <w:r w:rsidR="0079489A">
        <w:t xml:space="preserve">and confidence </w:t>
      </w:r>
      <w:r w:rsidR="007853B4">
        <w:t>in,</w:t>
      </w:r>
      <w:r w:rsidR="0079489A">
        <w:t xml:space="preserve"> the scheme</w:t>
      </w:r>
      <w:r w:rsidR="00B63F07">
        <w:t xml:space="preserve">. It also emphasised </w:t>
      </w:r>
      <w:r w:rsidR="0079489A">
        <w:t>that providing regulatory predictability is a priority.</w:t>
      </w:r>
    </w:p>
    <w:p w14:paraId="574461BC" w14:textId="722ABF94" w:rsidR="0079489A" w:rsidRDefault="0079489A" w:rsidP="0079489A">
      <w:r>
        <w:t xml:space="preserve">The plan also signalled different approaches to forestry. It outlined </w:t>
      </w:r>
      <w:r w:rsidR="0091039A">
        <w:t>the</w:t>
      </w:r>
      <w:r>
        <w:t xml:space="preserve"> Government’s intention to </w:t>
      </w:r>
      <w:r w:rsidRPr="00A3325C">
        <w:t>restrict the type of land that can enter into the NZ ETS for newly planted exotic forestry, using limits based on land</w:t>
      </w:r>
      <w:r w:rsidR="00D04932" w:rsidRPr="00A3325C">
        <w:t>-</w:t>
      </w:r>
      <w:r w:rsidRPr="00A3325C">
        <w:t>use capability (LUC)</w:t>
      </w:r>
      <w:r w:rsidR="001459F3">
        <w:t xml:space="preserve"> –</w:t>
      </w:r>
      <w:r w:rsidRPr="00A3325C">
        <w:t xml:space="preserve"> a measure of land quality</w:t>
      </w:r>
      <w:r>
        <w:t xml:space="preserve">. The purpose </w:t>
      </w:r>
      <w:r w:rsidR="002A7D05">
        <w:t xml:space="preserve">of this </w:t>
      </w:r>
      <w:r>
        <w:t>is to prevent whole farm conversions to forest</w:t>
      </w:r>
      <w:r w:rsidR="00870A2D">
        <w:t>,</w:t>
      </w:r>
      <w:r>
        <w:t xml:space="preserve"> and </w:t>
      </w:r>
      <w:r w:rsidR="00870A2D">
        <w:t xml:space="preserve">to </w:t>
      </w:r>
      <w:r>
        <w:t xml:space="preserve">protect productive agricultural land. </w:t>
      </w:r>
      <w:r w:rsidR="00E726E1">
        <w:t>The plan</w:t>
      </w:r>
      <w:r>
        <w:t xml:space="preserve"> also highlighted the Government’s </w:t>
      </w:r>
      <w:r w:rsidR="00E726E1">
        <w:t xml:space="preserve">intention </w:t>
      </w:r>
      <w:r>
        <w:t xml:space="preserve">to explore </w:t>
      </w:r>
      <w:r w:rsidR="00452AF9">
        <w:t xml:space="preserve">partnerships </w:t>
      </w:r>
      <w:r>
        <w:t xml:space="preserve">with the private sector to plant trees on Crown-owned land. The details of these </w:t>
      </w:r>
      <w:r w:rsidR="00F427E0">
        <w:t>intended</w:t>
      </w:r>
      <w:r>
        <w:t xml:space="preserve"> policies are still being developed. </w:t>
      </w:r>
    </w:p>
    <w:p w14:paraId="756649E0" w14:textId="531FCA13" w:rsidR="0079489A" w:rsidRDefault="0079489A" w:rsidP="0079489A">
      <w:r>
        <w:t>Other forestry-related developments included the Government reducing</w:t>
      </w:r>
      <w:r w:rsidR="00850491">
        <w:t>,</w:t>
      </w:r>
      <w:r>
        <w:t xml:space="preserve"> by 50%</w:t>
      </w:r>
      <w:r w:rsidR="00850491">
        <w:t>,</w:t>
      </w:r>
      <w:r>
        <w:t xml:space="preserve"> a previously</w:t>
      </w:r>
      <w:r w:rsidR="4599A6C5">
        <w:t xml:space="preserve"> </w:t>
      </w:r>
      <w:r>
        <w:t>proposed annual per</w:t>
      </w:r>
      <w:r w:rsidR="007B2584">
        <w:t>-</w:t>
      </w:r>
      <w:r>
        <w:t>hectare charge on post-1989 forest land in the NZ ETS</w:t>
      </w:r>
      <w:r w:rsidR="007B2584">
        <w:t>. A</w:t>
      </w:r>
      <w:r>
        <w:t xml:space="preserve"> further review of cost recovery settings </w:t>
      </w:r>
      <w:r w:rsidR="007B2584">
        <w:t xml:space="preserve">is scheduled </w:t>
      </w:r>
      <w:r>
        <w:t>to take place in 2026.</w:t>
      </w:r>
      <w:r>
        <w:rPr>
          <w:rStyle w:val="EndnoteReference"/>
        </w:rPr>
        <w:endnoteReference w:id="9"/>
      </w:r>
      <w:r>
        <w:t xml:space="preserve"> Te Uru R</w:t>
      </w:r>
      <w:r w:rsidR="001C1825">
        <w:rPr>
          <w:rFonts w:cs="Calibri"/>
        </w:rPr>
        <w:t>ā</w:t>
      </w:r>
      <w:r>
        <w:t>kau continued research on updating the default carbon tables</w:t>
      </w:r>
      <w:r w:rsidR="003A0EA9">
        <w:t>, which are</w:t>
      </w:r>
      <w:r>
        <w:t xml:space="preserve"> used by many NZ ETS participants to work out </w:t>
      </w:r>
      <w:r w:rsidR="002135D1">
        <w:t>the</w:t>
      </w:r>
      <w:r>
        <w:t xml:space="preserve"> </w:t>
      </w:r>
      <w:r w:rsidR="00661A4B">
        <w:t xml:space="preserve">volume of </w:t>
      </w:r>
      <w:r>
        <w:t xml:space="preserve">carbon </w:t>
      </w:r>
      <w:r w:rsidR="002135D1">
        <w:t>stored by</w:t>
      </w:r>
      <w:r>
        <w:t xml:space="preserve"> their forests</w:t>
      </w:r>
      <w:r w:rsidR="00661A4B">
        <w:t xml:space="preserve">. </w:t>
      </w:r>
      <w:r w:rsidR="009E3F8A">
        <w:t>C</w:t>
      </w:r>
      <w:r>
        <w:t xml:space="preserve">onsultation on proposed changes to the tables </w:t>
      </w:r>
      <w:r w:rsidR="009E3F8A">
        <w:t xml:space="preserve">is </w:t>
      </w:r>
      <w:r>
        <w:t>likely to occur later in 2025.</w:t>
      </w:r>
      <w:r>
        <w:rPr>
          <w:rStyle w:val="EndnoteReference"/>
        </w:rPr>
        <w:endnoteReference w:id="10"/>
      </w:r>
      <w:r>
        <w:t xml:space="preserve">  </w:t>
      </w:r>
    </w:p>
    <w:p w14:paraId="702D1BBF" w14:textId="1E87196B" w:rsidR="0079489A" w:rsidRDefault="0079489A" w:rsidP="0079489A">
      <w:r>
        <w:t>Finally, on 30 January 2025</w:t>
      </w:r>
      <w:r w:rsidR="00EA0F01">
        <w:t>, the Government announced</w:t>
      </w:r>
      <w:r>
        <w:t xml:space="preserve"> Aotearoa New Zealand’s second nationally determined contribution (NDC) under the Paris Agreement. This new target is to reduce emissions by 51</w:t>
      </w:r>
      <w:r w:rsidR="00BD6A41">
        <w:t>%</w:t>
      </w:r>
      <w:r>
        <w:t xml:space="preserve"> to 55% compared to 2005 levels, by 2035.</w:t>
      </w:r>
      <w:r w:rsidR="003C023C">
        <w:rPr>
          <w:rStyle w:val="EndnoteReference"/>
        </w:rPr>
        <w:endnoteReference w:id="11"/>
      </w:r>
      <w:r>
        <w:t xml:space="preserve"> </w:t>
      </w:r>
      <w:r w:rsidR="008C5BDB">
        <w:t>This target aligns</w:t>
      </w:r>
      <w:r>
        <w:t xml:space="preserve"> closely to the third emissions budget, the domestic emissions reduction target that applies to 2030</w:t>
      </w:r>
      <w:r w:rsidR="004C5227" w:rsidRPr="000A1433">
        <w:t>–</w:t>
      </w:r>
      <w:r>
        <w:t xml:space="preserve">2035. </w:t>
      </w:r>
    </w:p>
    <w:p w14:paraId="284D159C" w14:textId="77777777" w:rsidR="006C0F5B" w:rsidRPr="00A01BE1" w:rsidRDefault="006C0F5B" w:rsidP="00FB1AFA">
      <w:pPr>
        <w:pStyle w:val="Heading2nonumber"/>
        <w:rPr>
          <w:b w:val="0"/>
        </w:rPr>
      </w:pPr>
      <w:bookmarkStart w:id="22" w:name="_Toc195447230"/>
      <w:r w:rsidRPr="00B44BC3">
        <w:t>Key themes from engagement</w:t>
      </w:r>
      <w:bookmarkEnd w:id="22"/>
    </w:p>
    <w:p w14:paraId="3042CA5B" w14:textId="05A1E6C0" w:rsidR="0079489A" w:rsidRDefault="0079489A" w:rsidP="0079489A">
      <w:r>
        <w:t>Each year we engage with a range of organisations and people participating in</w:t>
      </w:r>
      <w:r w:rsidR="00D578B6">
        <w:t>,</w:t>
      </w:r>
      <w:r>
        <w:t xml:space="preserve"> or otherwise involved in</w:t>
      </w:r>
      <w:r w:rsidR="00D578B6">
        <w:t>,</w:t>
      </w:r>
      <w:r>
        <w:t xml:space="preserve"> the NZ ETS, to help inform our advice. These discussions are invaluable, as they allow us to test assumptions and other aspects of our analysis, </w:t>
      </w:r>
      <w:r w:rsidR="0068279E">
        <w:t>and</w:t>
      </w:r>
      <w:r>
        <w:t xml:space="preserve"> to update our understanding of the market. </w:t>
      </w:r>
    </w:p>
    <w:p w14:paraId="0D59BFE1" w14:textId="1F6648F4" w:rsidR="0079489A" w:rsidRDefault="0068279E" w:rsidP="0079489A">
      <w:r>
        <w:t>Below w</w:t>
      </w:r>
      <w:r w:rsidR="0079489A">
        <w:t xml:space="preserve">e set out the key themes that emerged from these discussions, </w:t>
      </w:r>
      <w:r>
        <w:t xml:space="preserve">which were </w:t>
      </w:r>
      <w:r w:rsidR="0079489A">
        <w:t>held in late 2024 and early 2025</w:t>
      </w:r>
      <w:r>
        <w:t>. They</w:t>
      </w:r>
      <w:r w:rsidR="0079489A">
        <w:t xml:space="preserve"> provide important context for our advice and for how the scheme is operating</w:t>
      </w:r>
      <w:r w:rsidR="00EF199E">
        <w:t>.</w:t>
      </w:r>
    </w:p>
    <w:p w14:paraId="4722E4C4" w14:textId="77777777" w:rsidR="0079489A" w:rsidRPr="00E078D3" w:rsidRDefault="0079489A" w:rsidP="00FB1AFA">
      <w:pPr>
        <w:pStyle w:val="Heading3"/>
        <w:rPr>
          <w:b w:val="0"/>
          <w:color w:val="2F5496" w:themeColor="accent1" w:themeShade="BF"/>
        </w:rPr>
      </w:pPr>
      <w:r w:rsidRPr="00E078D3">
        <w:lastRenderedPageBreak/>
        <w:t xml:space="preserve">Market confidence has improved </w:t>
      </w:r>
    </w:p>
    <w:p w14:paraId="346770B1" w14:textId="1852F8FB" w:rsidR="00714A56" w:rsidRDefault="0079489A" w:rsidP="0079489A">
      <w:r>
        <w:t xml:space="preserve">We heard from almost everyone we </w:t>
      </w:r>
      <w:r w:rsidR="005A4497">
        <w:t>engaged with</w:t>
      </w:r>
      <w:r>
        <w:t xml:space="preserve"> that</w:t>
      </w:r>
      <w:r w:rsidR="000830A6">
        <w:t>,</w:t>
      </w:r>
      <w:r>
        <w:t xml:space="preserve"> by late 2024</w:t>
      </w:r>
      <w:r w:rsidR="000830A6">
        <w:t>,</w:t>
      </w:r>
      <w:r>
        <w:t xml:space="preserve"> the market was in a much better place than it had been in earlier in the year. The price had </w:t>
      </w:r>
      <w:r w:rsidR="00A77207">
        <w:t>stabilised,</w:t>
      </w:r>
      <w:r>
        <w:t xml:space="preserve"> and activity was calm, with normal purchasing behaviour by emitters returning. </w:t>
      </w:r>
    </w:p>
    <w:p w14:paraId="20AF1EBA" w14:textId="489349AF" w:rsidR="0079489A" w:rsidRDefault="0079489A" w:rsidP="0079489A">
      <w:r>
        <w:t xml:space="preserve">There was no shortage of liquidity, on both the buy and sell sides of the market. Although </w:t>
      </w:r>
      <w:r w:rsidR="00DF27B3">
        <w:t>g</w:t>
      </w:r>
      <w:r>
        <w:t xml:space="preserve">overnment auctions in 2024 had only partially cleared, forestry participants were selling significant volumes into the market. </w:t>
      </w:r>
      <w:r w:rsidR="00611902">
        <w:t>Other</w:t>
      </w:r>
      <w:r>
        <w:t xml:space="preserve"> positive developments </w:t>
      </w:r>
      <w:r w:rsidR="00611902">
        <w:t>included</w:t>
      </w:r>
      <w:r>
        <w:t xml:space="preserve"> the launch of NZU futures contracts and an increase in the </w:t>
      </w:r>
      <w:r w:rsidR="00806992">
        <w:t xml:space="preserve">number of </w:t>
      </w:r>
      <w:r w:rsidR="006A7017">
        <w:t xml:space="preserve">trading </w:t>
      </w:r>
      <w:r>
        <w:t xml:space="preserve">platforms. </w:t>
      </w:r>
    </w:p>
    <w:p w14:paraId="793A9225" w14:textId="77777777" w:rsidR="0079489A" w:rsidRPr="00A01BE1" w:rsidRDefault="0079489A" w:rsidP="00FB1AFA">
      <w:pPr>
        <w:pStyle w:val="Heading3"/>
        <w:rPr>
          <w:b w:val="0"/>
          <w:color w:val="2F5496" w:themeColor="accent1" w:themeShade="BF"/>
        </w:rPr>
      </w:pPr>
      <w:r>
        <w:t xml:space="preserve">But concerns about unpredictable management of the NZ ETS remain </w:t>
      </w:r>
    </w:p>
    <w:p w14:paraId="570587B5" w14:textId="38ECD50E" w:rsidR="0079489A" w:rsidRPr="00A01BE1" w:rsidRDefault="0079489A" w:rsidP="0079489A">
      <w:r>
        <w:t xml:space="preserve">A strong theme was that </w:t>
      </w:r>
      <w:r w:rsidR="00D3271C">
        <w:t>market confidence</w:t>
      </w:r>
      <w:r>
        <w:t xml:space="preserve"> was eas</w:t>
      </w:r>
      <w:r w:rsidR="00BB592A">
        <w:t>il</w:t>
      </w:r>
      <w:r>
        <w:t>y</w:t>
      </w:r>
      <w:r w:rsidDel="00BB592A">
        <w:t xml:space="preserve"> </w:t>
      </w:r>
      <w:r>
        <w:t>damage</w:t>
      </w:r>
      <w:r w:rsidR="00BB592A">
        <w:t>d</w:t>
      </w:r>
      <w:r w:rsidR="00D3271C">
        <w:t xml:space="preserve">, but </w:t>
      </w:r>
      <w:r>
        <w:t xml:space="preserve">slow to build back up. </w:t>
      </w:r>
      <w:r w:rsidR="00922344">
        <w:t>Market participants generally appreciated the Government’s focus on improving</w:t>
      </w:r>
      <w:r w:rsidR="00F70A3A">
        <w:t xml:space="preserve"> the</w:t>
      </w:r>
      <w:r w:rsidR="00922344">
        <w:t xml:space="preserve"> stability and predictability of the NZ ETS</w:t>
      </w:r>
      <w:r w:rsidR="00AF4B75">
        <w:t>. However,</w:t>
      </w:r>
      <w:r w:rsidR="00922344">
        <w:t xml:space="preserve"> </w:t>
      </w:r>
      <w:r w:rsidR="006B18FD">
        <w:t xml:space="preserve">participants also emphasised that </w:t>
      </w:r>
      <w:r w:rsidR="00922344">
        <w:t xml:space="preserve">continued efforts were needed. </w:t>
      </w:r>
      <w:r w:rsidR="007E763C">
        <w:t>We heard that t</w:t>
      </w:r>
      <w:r>
        <w:t xml:space="preserve">he volatility and uncertainty of the past two years had made many wary </w:t>
      </w:r>
      <w:r w:rsidR="00CB0408">
        <w:t xml:space="preserve">of the risk of </w:t>
      </w:r>
      <w:r>
        <w:t>ad hoc interventions</w:t>
      </w:r>
      <w:r w:rsidR="00CB5DF3">
        <w:t>,</w:t>
      </w:r>
      <w:r>
        <w:t xml:space="preserve"> or further </w:t>
      </w:r>
      <w:r w:rsidR="00D341AE">
        <w:t>unexpected propos</w:t>
      </w:r>
      <w:r w:rsidR="00973A4E">
        <w:t xml:space="preserve">als for </w:t>
      </w:r>
      <w:r w:rsidR="008A0F33">
        <w:t xml:space="preserve">policy </w:t>
      </w:r>
      <w:r>
        <w:t>change</w:t>
      </w:r>
      <w:r w:rsidR="008A0F33">
        <w:t xml:space="preserve">. </w:t>
      </w:r>
      <w:r w:rsidDel="004459CF">
        <w:t>M</w:t>
      </w:r>
      <w:r>
        <w:t xml:space="preserve">arket participants </w:t>
      </w:r>
      <w:r w:rsidR="00A536E3">
        <w:t xml:space="preserve">told us that they </w:t>
      </w:r>
      <w:r w:rsidR="00872F4B">
        <w:t xml:space="preserve">consequently found it difficult </w:t>
      </w:r>
      <w:r>
        <w:t xml:space="preserve">to take a long-term view on the NZU price, </w:t>
      </w:r>
      <w:r w:rsidR="00E65E10">
        <w:t xml:space="preserve">and </w:t>
      </w:r>
      <w:r w:rsidR="00CB5DF3">
        <w:t xml:space="preserve">that </w:t>
      </w:r>
      <w:r w:rsidR="00E65E10">
        <w:t xml:space="preserve">this was </w:t>
      </w:r>
      <w:r>
        <w:t xml:space="preserve">affecting the efficiency of the market. </w:t>
      </w:r>
    </w:p>
    <w:p w14:paraId="0A3404BF" w14:textId="42F88644" w:rsidR="0079489A" w:rsidRDefault="0079489A" w:rsidP="0079489A">
      <w:r>
        <w:t xml:space="preserve">Some businesses stressed </w:t>
      </w:r>
      <w:r w:rsidR="00FA0688">
        <w:t>that</w:t>
      </w:r>
      <w:r>
        <w:t xml:space="preserve"> </w:t>
      </w:r>
      <w:r w:rsidR="009E52B1">
        <w:t>c</w:t>
      </w:r>
      <w:r>
        <w:t xml:space="preserve">hanges to </w:t>
      </w:r>
      <w:r w:rsidR="009E52B1">
        <w:t xml:space="preserve">the first two </w:t>
      </w:r>
      <w:r>
        <w:t>years</w:t>
      </w:r>
      <w:r w:rsidR="009E52B1">
        <w:t xml:space="preserve"> of the NZ ETS settings regulations would</w:t>
      </w:r>
      <w:r>
        <w:t xml:space="preserve"> disrupt commercial arrangements</w:t>
      </w:r>
      <w:r w:rsidR="004F6AD7">
        <w:t xml:space="preserve">. </w:t>
      </w:r>
      <w:r w:rsidR="00CD148D">
        <w:t>They</w:t>
      </w:r>
      <w:r w:rsidR="004F6AD7">
        <w:t xml:space="preserve"> </w:t>
      </w:r>
      <w:r w:rsidR="008E4BD2">
        <w:t>emphasised</w:t>
      </w:r>
      <w:r w:rsidR="00AB2F7F">
        <w:t xml:space="preserve"> that</w:t>
      </w:r>
      <w:r w:rsidR="004F6AD7">
        <w:t xml:space="preserve"> both the Commission and the Government should prioritise stability </w:t>
      </w:r>
      <w:r w:rsidR="004E2E20">
        <w:t>for</w:t>
      </w:r>
      <w:r w:rsidR="003C4FD1">
        <w:t xml:space="preserve"> those </w:t>
      </w:r>
      <w:r w:rsidR="008A2823">
        <w:t>first two years.</w:t>
      </w:r>
      <w:r w:rsidDel="008A2823">
        <w:t xml:space="preserve"> </w:t>
      </w:r>
    </w:p>
    <w:p w14:paraId="08A6CCA3" w14:textId="0A65997A" w:rsidR="0079489A" w:rsidRDefault="0079489A" w:rsidP="0079489A">
      <w:r>
        <w:t xml:space="preserve">Representatives of organisations involved in forestry shared that high uncertainty was still hindering investment. The full details of the restrictions by LUC on registering land into the NZ ETS were still </w:t>
      </w:r>
      <w:r w:rsidR="00FC1507">
        <w:t>to be clarified</w:t>
      </w:r>
      <w:r>
        <w:t>. Beyond the NZ ETS, various other central and local government policies pull</w:t>
      </w:r>
      <w:r w:rsidR="0098336D">
        <w:t>ed</w:t>
      </w:r>
      <w:r>
        <w:t xml:space="preserve"> in different directions, increasing the risk</w:t>
      </w:r>
      <w:r w:rsidR="0036122F">
        <w:t>s associated with</w:t>
      </w:r>
      <w:r>
        <w:t xml:space="preserve"> investing in afforestation. </w:t>
      </w:r>
    </w:p>
    <w:p w14:paraId="02053401" w14:textId="06041A1E" w:rsidR="0079489A" w:rsidRDefault="00AF3C73" w:rsidP="0079489A">
      <w:r>
        <w:t>B</w:t>
      </w:r>
      <w:r w:rsidR="0079489A">
        <w:t>usinesses</w:t>
      </w:r>
      <w:r>
        <w:t xml:space="preserve"> said they understood</w:t>
      </w:r>
      <w:r w:rsidR="0079489A">
        <w:t xml:space="preserve"> that the NZ ETS would change over time</w:t>
      </w:r>
      <w:r w:rsidR="00E65379">
        <w:t>,</w:t>
      </w:r>
      <w:r w:rsidR="0079489A">
        <w:t xml:space="preserve"> but they needed information </w:t>
      </w:r>
      <w:r w:rsidR="00077531">
        <w:t xml:space="preserve">so they could </w:t>
      </w:r>
      <w:r w:rsidR="0079489A">
        <w:t>understand the rationale for potential changes.</w:t>
      </w:r>
      <w:r w:rsidR="00EF12EE">
        <w:t xml:space="preserve"> The </w:t>
      </w:r>
      <w:r w:rsidR="002E1399">
        <w:t xml:space="preserve">2024 NZ ETS settings consultation document had mentioned lowering the </w:t>
      </w:r>
      <w:r w:rsidR="00541AB2">
        <w:t>auction reserve price</w:t>
      </w:r>
      <w:r w:rsidR="00066665">
        <w:t>. Th</w:t>
      </w:r>
      <w:r w:rsidR="00A16F7B">
        <w:t xml:space="preserve">is negatively affected the </w:t>
      </w:r>
      <w:r w:rsidR="00066665">
        <w:t>market</w:t>
      </w:r>
      <w:r w:rsidR="00A16F7B">
        <w:t xml:space="preserve">, partly </w:t>
      </w:r>
      <w:r w:rsidR="005C5E78">
        <w:t>because it was not accompanied by</w:t>
      </w:r>
      <w:r w:rsidR="008E7213">
        <w:t xml:space="preserve"> reasoning or analysis </w:t>
      </w:r>
      <w:r w:rsidR="00F364B2">
        <w:t xml:space="preserve">as to why the Government might </w:t>
      </w:r>
      <w:r w:rsidR="00A32536">
        <w:t xml:space="preserve">make </w:t>
      </w:r>
      <w:r w:rsidR="00F364B2">
        <w:t>this</w:t>
      </w:r>
      <w:r w:rsidR="00A32536">
        <w:t xml:space="preserve"> change</w:t>
      </w:r>
      <w:r w:rsidR="00394570">
        <w:t>.</w:t>
      </w:r>
      <w:r w:rsidR="006808C6" w:rsidDel="007A308E">
        <w:t xml:space="preserve"> </w:t>
      </w:r>
      <w:r w:rsidR="007A308E">
        <w:t xml:space="preserve">A perceived </w:t>
      </w:r>
      <w:r w:rsidR="00320414">
        <w:t xml:space="preserve">lack of transparency </w:t>
      </w:r>
      <w:r w:rsidR="004550EA">
        <w:t xml:space="preserve">on </w:t>
      </w:r>
      <w:r w:rsidR="0080076F">
        <w:t>the Government’s</w:t>
      </w:r>
      <w:r w:rsidR="006808C6">
        <w:t xml:space="preserve"> thinking with respect to the auction reserve price remained a concern. </w:t>
      </w:r>
    </w:p>
    <w:p w14:paraId="1CA8B2FA" w14:textId="02257FA9" w:rsidR="0079489A" w:rsidRPr="00A01BE1" w:rsidRDefault="0079489A" w:rsidP="00FB1AFA">
      <w:pPr>
        <w:pStyle w:val="Heading3"/>
        <w:rPr>
          <w:b w:val="0"/>
          <w:color w:val="2F5496" w:themeColor="accent1" w:themeShade="BF"/>
        </w:rPr>
      </w:pPr>
      <w:r w:rsidRPr="00A01BE1">
        <w:t xml:space="preserve">Iwi/Māori perspectives </w:t>
      </w:r>
    </w:p>
    <w:p w14:paraId="0EE6E589" w14:textId="77777777" w:rsidR="0079489A" w:rsidRDefault="0079489A" w:rsidP="0079489A">
      <w:r>
        <w:t xml:space="preserve">Our engagement with representatives of iwi/Māori entities highlighted the diversity of views and aspirations across these groups, as well as the challenges they experience in interacting with the NZ ETS due to the specific characteristics and historical circumstances of land owned by Māori. </w:t>
      </w:r>
    </w:p>
    <w:p w14:paraId="4B00728A" w14:textId="43E04A85" w:rsidR="0079489A" w:rsidRDefault="0079489A" w:rsidP="0079489A">
      <w:r>
        <w:t xml:space="preserve">Those who we engaged with emphasised that forestry in the NZ ETS offers important opportunities for iwi/Māori to lift their prosperity. There was a desire for the Government to </w:t>
      </w:r>
      <w:r>
        <w:lastRenderedPageBreak/>
        <w:t xml:space="preserve">clearly articulate a well-thought-out plan for </w:t>
      </w:r>
      <w:r w:rsidR="00AF13BA">
        <w:t>the role of forests</w:t>
      </w:r>
      <w:r>
        <w:t xml:space="preserve"> in the low emissions transition, as this would help </w:t>
      </w:r>
      <w:r w:rsidR="00881D09">
        <w:t xml:space="preserve">iwi/Māori landowners </w:t>
      </w:r>
      <w:r>
        <w:t>navigate decisions about forestry activities. Some were concerned that there was inadequate recognition of all the value forestry contributes – to exports, employment, the climate, as well as wider environmental benefits</w:t>
      </w:r>
      <w:r w:rsidR="00AE59D6">
        <w:t xml:space="preserve"> such as to </w:t>
      </w:r>
      <w:r w:rsidR="001940DD">
        <w:t>biodiversity, water quality and erosion control</w:t>
      </w:r>
      <w:r>
        <w:t xml:space="preserve">. </w:t>
      </w:r>
      <w:r w:rsidR="00401AB3">
        <w:t>They also expressed concern that policies change frequently from Government to Government</w:t>
      </w:r>
      <w:r w:rsidR="00FE4C03">
        <w:t>.</w:t>
      </w:r>
    </w:p>
    <w:p w14:paraId="6B36F3B1" w14:textId="249DEC6E" w:rsidR="0079489A" w:rsidRDefault="0079489A" w:rsidP="0079489A">
      <w:r>
        <w:t>We heard that</w:t>
      </w:r>
      <w:r w:rsidR="008F4171">
        <w:t>,</w:t>
      </w:r>
      <w:r>
        <w:t xml:space="preserve"> for some owners of Māori land, the NZ ETS is the only opportunity available for an economic return, in areas where production forestry may be uneconomic or inappropriate for safety or environmental reasons. For others, NZ ETS income was important to help fund diversification away from forestry, a sector to which they are heavily exposed. </w:t>
      </w:r>
    </w:p>
    <w:p w14:paraId="362FCC28" w14:textId="5C5E6992" w:rsidR="0079489A" w:rsidRDefault="0079489A" w:rsidP="0079489A">
      <w:r>
        <w:t>However, collective ownership structures</w:t>
      </w:r>
      <w:r w:rsidR="003D0994">
        <w:t>,</w:t>
      </w:r>
      <w:r>
        <w:t xml:space="preserve"> together with </w:t>
      </w:r>
      <w:r w:rsidR="003D0994">
        <w:t xml:space="preserve">the </w:t>
      </w:r>
      <w:r>
        <w:t>nature of the NZ ETS itself</w:t>
      </w:r>
      <w:r w:rsidR="003D0994">
        <w:t>,</w:t>
      </w:r>
      <w:r>
        <w:t xml:space="preserve"> make it difficult for iwi/Māori to actively participate and access these returns. There are barriers at every step. The administrative processes to register land into the NZ ETS are particularly challenging for collectively</w:t>
      </w:r>
      <w:r w:rsidR="008F4171" w:rsidRPr="00730061">
        <w:t xml:space="preserve"> </w:t>
      </w:r>
      <w:r>
        <w:t xml:space="preserve">owned land, and the scheme itself is complex. </w:t>
      </w:r>
      <w:r w:rsidR="008D091B">
        <w:t xml:space="preserve">We have heard that due to </w:t>
      </w:r>
      <w:r w:rsidR="009017EF">
        <w:t>land ownership structures</w:t>
      </w:r>
      <w:r>
        <w:t xml:space="preserve"> </w:t>
      </w:r>
      <w:r w:rsidR="00DB393C">
        <w:t>and historical decisions</w:t>
      </w:r>
      <w:r w:rsidR="00346284">
        <w:t>, it is more difficult for many</w:t>
      </w:r>
      <w:r>
        <w:t xml:space="preserve"> Māori landowners </w:t>
      </w:r>
      <w:r w:rsidR="005B38B6">
        <w:t>to access capital</w:t>
      </w:r>
      <w:r>
        <w:t xml:space="preserve"> and resources </w:t>
      </w:r>
      <w:r w:rsidR="004C3166">
        <w:t xml:space="preserve">necessary </w:t>
      </w:r>
      <w:r>
        <w:t xml:space="preserve">to obtain technical advice, develop expertise, or invest in land preparation and planting. Decisions about managing NZUs could be time-consuming and need to take into account a range of non-financial and intergenerational considerations. We heard that support for more education about afforestation and the NZ ETS would be welcome and </w:t>
      </w:r>
      <w:r w:rsidR="00BB4A4B">
        <w:t xml:space="preserve">would </w:t>
      </w:r>
      <w:r>
        <w:t xml:space="preserve">better enable Māori to benefit from the opportunities presented by the </w:t>
      </w:r>
      <w:r w:rsidR="00BB4A4B">
        <w:t>scheme</w:t>
      </w:r>
      <w:r>
        <w:t xml:space="preserve">. </w:t>
      </w:r>
    </w:p>
    <w:p w14:paraId="62B7E1F0" w14:textId="23E5F273" w:rsidR="0079489A" w:rsidRDefault="0079489A" w:rsidP="0079489A">
      <w:r>
        <w:t xml:space="preserve">Consistent with previous engagement, we also heard frustration at the perceived unfairness of aspects of the NZ ETS. Examples included the low NZ ETS returns for native forests as compared to exotic species, as well as the imposition of liabilities on pre-1990 forest land with only limited compensation for </w:t>
      </w:r>
      <w:r w:rsidR="00E40B59">
        <w:t xml:space="preserve">the </w:t>
      </w:r>
      <w:r>
        <w:t xml:space="preserve">restrictions on the ability to change land use. </w:t>
      </w:r>
    </w:p>
    <w:p w14:paraId="436391FF" w14:textId="1EAF3420" w:rsidR="0079489A" w:rsidRDefault="0079489A" w:rsidP="0079489A">
      <w:r>
        <w:t xml:space="preserve">Iwi/Māori entities also expressed similar concerns to those voiced by other organisations involved in forestry – that central and local government </w:t>
      </w:r>
      <w:r w:rsidR="00AA0539">
        <w:t xml:space="preserve">regulations and </w:t>
      </w:r>
      <w:r>
        <w:t xml:space="preserve">policies </w:t>
      </w:r>
      <w:r w:rsidR="00AA0539">
        <w:t>on</w:t>
      </w:r>
      <w:r>
        <w:t xml:space="preserve"> forestry are difficult to navigate and often conflicting. </w:t>
      </w:r>
    </w:p>
    <w:p w14:paraId="5DE4CD5C" w14:textId="77777777" w:rsidR="0079489A" w:rsidRPr="00A01BE1" w:rsidRDefault="0079489A" w:rsidP="00FB1AFA">
      <w:pPr>
        <w:pStyle w:val="Heading2nonumber"/>
        <w:rPr>
          <w:b w:val="0"/>
        </w:rPr>
      </w:pPr>
      <w:bookmarkStart w:id="23" w:name="_Toc195447231"/>
      <w:r w:rsidRPr="00B44BC3">
        <w:t>Challenges for the ope</w:t>
      </w:r>
      <w:r w:rsidRPr="00A37361">
        <w:t>ration of the NZ ETS</w:t>
      </w:r>
      <w:bookmarkEnd w:id="23"/>
      <w:r>
        <w:rPr>
          <w:b w:val="0"/>
        </w:rPr>
        <w:t xml:space="preserve"> </w:t>
      </w:r>
    </w:p>
    <w:p w14:paraId="2DA72794" w14:textId="12FC5BAA" w:rsidR="0079489A" w:rsidRDefault="0079489A" w:rsidP="0079489A">
      <w:r>
        <w:t>There are uncertainties</w:t>
      </w:r>
      <w:r w:rsidR="00BF1B3C">
        <w:t xml:space="preserve"> in the design of the NZ ETS</w:t>
      </w:r>
      <w:r>
        <w:t xml:space="preserve"> that, if they remain unresolved, will make it difficult for the Commission to develop NZ ETS settings recommendations that </w:t>
      </w:r>
      <w:r w:rsidR="002308EF">
        <w:t>are compatible</w:t>
      </w:r>
      <w:r>
        <w:t xml:space="preserve"> with how the scheme operates. </w:t>
      </w:r>
    </w:p>
    <w:p w14:paraId="00A6147D" w14:textId="77777777" w:rsidR="0079489A" w:rsidRPr="00A01BE1" w:rsidRDefault="0079489A" w:rsidP="00FB1AFA">
      <w:pPr>
        <w:pStyle w:val="Heading3"/>
        <w:rPr>
          <w:b w:val="0"/>
        </w:rPr>
      </w:pPr>
      <w:r>
        <w:t xml:space="preserve">Achieving the first NDC </w:t>
      </w:r>
    </w:p>
    <w:p w14:paraId="378B26E8" w14:textId="537A0962" w:rsidR="002264D6" w:rsidRDefault="002264D6" w:rsidP="002264D6">
      <w:r>
        <w:t xml:space="preserve">There is uncertainty about how the Government plans to meet the first </w:t>
      </w:r>
      <w:r w:rsidR="00B402DA">
        <w:t>nationally determined contribution (</w:t>
      </w:r>
      <w:r>
        <w:t>NDC</w:t>
      </w:r>
      <w:r w:rsidR="00B402DA">
        <w:t>)</w:t>
      </w:r>
      <w:r>
        <w:t xml:space="preserve"> and this includes some details around the role of the NZ ETS. </w:t>
      </w:r>
    </w:p>
    <w:p w14:paraId="548C35E4" w14:textId="24309941" w:rsidR="001D3305" w:rsidRDefault="001D3305" w:rsidP="00D84109">
      <w:pPr>
        <w:pStyle w:val="Heading4"/>
      </w:pPr>
      <w:r>
        <w:t>Managing the emissions cap</w:t>
      </w:r>
      <w:r w:rsidR="00587197">
        <w:t xml:space="preserve"> to support meeting the NDC</w:t>
      </w:r>
    </w:p>
    <w:p w14:paraId="249AAACE" w14:textId="05B03DB7" w:rsidR="002264D6" w:rsidRDefault="002264D6" w:rsidP="002264D6">
      <w:r>
        <w:t>The Government has set out a strategy for achieving the first NDC that includes prioritizing domestic action.</w:t>
      </w:r>
      <w:r w:rsidR="000B1535">
        <w:rPr>
          <w:rStyle w:val="EndnoteReference"/>
        </w:rPr>
        <w:endnoteReference w:id="12"/>
      </w:r>
      <w:r w:rsidR="00746A5B">
        <w:t xml:space="preserve"> </w:t>
      </w:r>
      <w:r>
        <w:t xml:space="preserve">There is some scope for Government to enhance domestic action to meet </w:t>
      </w:r>
      <w:r>
        <w:lastRenderedPageBreak/>
        <w:t>more of the NDC domestically.</w:t>
      </w:r>
      <w:r w:rsidR="00FB7D44">
        <w:rPr>
          <w:rStyle w:val="FootnoteReference"/>
        </w:rPr>
        <w:footnoteReference w:id="16"/>
      </w:r>
      <w:r>
        <w:t xml:space="preserve"> For example, when there are step changes in emissions that are not already </w:t>
      </w:r>
      <w:r w:rsidR="00C0493B">
        <w:t>accounted for</w:t>
      </w:r>
      <w:r>
        <w:t xml:space="preserve"> in the relevant emissions budget. Step changes could happen due to changes in certain industries, such as the closure of a production facility, or its transformation to </w:t>
      </w:r>
      <w:r w:rsidR="00C0493B">
        <w:t xml:space="preserve">a </w:t>
      </w:r>
      <w:r>
        <w:t>lower emissions production process.</w:t>
      </w:r>
    </w:p>
    <w:p w14:paraId="5C9757FB" w14:textId="2E41037A" w:rsidR="002264D6" w:rsidRDefault="002264D6" w:rsidP="002264D6">
      <w:r>
        <w:t xml:space="preserve">Where these opportunities arise, the Government could tighten the emissions cap for the </w:t>
      </w:r>
      <w:r w:rsidR="00AF6DD4">
        <w:br/>
      </w:r>
      <w:r>
        <w:t xml:space="preserve">NZ ETS to help lock in the emissions reductions that have occurred. </w:t>
      </w:r>
    </w:p>
    <w:p w14:paraId="1AA1F24C" w14:textId="153C4F3A" w:rsidR="002264D6" w:rsidRDefault="00713433" w:rsidP="002264D6">
      <w:r>
        <w:t xml:space="preserve">The first NDC </w:t>
      </w:r>
      <w:r w:rsidR="009F7A78">
        <w:t>is set at a level that requires deeper emission</w:t>
      </w:r>
      <w:r w:rsidR="0C93870B">
        <w:t>s</w:t>
      </w:r>
      <w:r w:rsidR="009F7A78">
        <w:t xml:space="preserve"> reductions than </w:t>
      </w:r>
      <w:r w:rsidR="00F8459A">
        <w:t>are expected to be made domestically through emission</w:t>
      </w:r>
      <w:r w:rsidR="007655A0">
        <w:t>s</w:t>
      </w:r>
      <w:r w:rsidR="00F8459A">
        <w:t xml:space="preserve"> budgets.</w:t>
      </w:r>
      <w:r w:rsidR="009F7A78">
        <w:t xml:space="preserve"> </w:t>
      </w:r>
      <w:r w:rsidR="002264D6">
        <w:t xml:space="preserve">The difference between domestic action and the </w:t>
      </w:r>
      <w:r w:rsidR="00467C83">
        <w:t xml:space="preserve">first </w:t>
      </w:r>
      <w:r w:rsidR="002264D6">
        <w:t>NDC can be made up for by acquiring offshore mitigation.</w:t>
      </w:r>
    </w:p>
    <w:p w14:paraId="680CD425" w14:textId="696EBE3C" w:rsidR="000B03C1" w:rsidRDefault="000B03C1" w:rsidP="0029143F">
      <w:r>
        <w:t xml:space="preserve">The more </w:t>
      </w:r>
      <w:r w:rsidR="00467C83">
        <w:t>reductions that are made</w:t>
      </w:r>
      <w:r>
        <w:t xml:space="preserve"> domestically, the less offshore mitigation would be needed.</w:t>
      </w:r>
      <w:r w:rsidRPr="00A611A6">
        <w:t xml:space="preserve"> </w:t>
      </w:r>
      <w:r>
        <w:t>However, meeting the first NDC with domestic action only would require a scale and pace of economic, social and technological change over the next five years that would be highly disruptive.</w:t>
      </w:r>
      <w:r w:rsidR="0031348A">
        <w:rPr>
          <w:rStyle w:val="FootnoteReference"/>
        </w:rPr>
        <w:footnoteReference w:id="17"/>
      </w:r>
    </w:p>
    <w:p w14:paraId="062EF4BB" w14:textId="2C930D00" w:rsidR="000B03C1" w:rsidRDefault="000B03C1" w:rsidP="000B03C1">
      <w:r>
        <w:t>The Government’s approach to acquiring the necessary offshore mitigation is currently unclear, as is the NZ ETS’</w:t>
      </w:r>
      <w:r w:rsidR="009E0AC4">
        <w:t>s</w:t>
      </w:r>
      <w:r>
        <w:t xml:space="preserve"> role in supporting the offshore component of the first NDC. This is discussed further in </w:t>
      </w:r>
      <w:r w:rsidRPr="00BB67C9">
        <w:rPr>
          <w:i/>
          <w:iCs/>
        </w:rPr>
        <w:t xml:space="preserve">Part </w:t>
      </w:r>
      <w:r>
        <w:rPr>
          <w:i/>
          <w:iCs/>
        </w:rPr>
        <w:t>3</w:t>
      </w:r>
      <w:r w:rsidRPr="00BB67C9">
        <w:rPr>
          <w:i/>
          <w:iCs/>
        </w:rPr>
        <w:t xml:space="preserve">: </w:t>
      </w:r>
      <w:r>
        <w:rPr>
          <w:i/>
          <w:iCs/>
        </w:rPr>
        <w:t>Te herenga utu</w:t>
      </w:r>
      <w:r>
        <w:t xml:space="preserve"> – </w:t>
      </w:r>
      <w:r w:rsidRPr="00BB67C9">
        <w:rPr>
          <w:i/>
          <w:iCs/>
        </w:rPr>
        <w:t xml:space="preserve">Unit </w:t>
      </w:r>
      <w:r w:rsidR="00904BB5">
        <w:rPr>
          <w:i/>
          <w:iCs/>
        </w:rPr>
        <w:t>l</w:t>
      </w:r>
      <w:r w:rsidR="00904BB5" w:rsidRPr="00BB67C9">
        <w:rPr>
          <w:i/>
          <w:iCs/>
        </w:rPr>
        <w:t>imits</w:t>
      </w:r>
      <w:r w:rsidRPr="001D099A">
        <w:t>,</w:t>
      </w:r>
      <w:r>
        <w:t xml:space="preserve"> under step 1. </w:t>
      </w:r>
    </w:p>
    <w:p w14:paraId="59E81B4E" w14:textId="1A78B591" w:rsidR="000B03C1" w:rsidRDefault="000B03C1" w:rsidP="0029143F">
      <w:r>
        <w:t>The second emissions reduction plan set out a provisional decision by the Government to adopt an NZ ETS emissions cap for the 2026–2030 period based on its most recent emission</w:t>
      </w:r>
      <w:r w:rsidR="00DC1259">
        <w:t>s</w:t>
      </w:r>
      <w:r>
        <w:t xml:space="preserve"> projections. However, it is unclear how the Government intends to manage the cap as these projections change over time. In this year’s advice we have based our settings on the provisional emissions cap in the second emissions reduction plan.</w:t>
      </w:r>
    </w:p>
    <w:p w14:paraId="326EC4F3" w14:textId="09FDD2B1" w:rsidR="000B03C1" w:rsidRDefault="000B03C1" w:rsidP="0029143F">
      <w:r w:rsidRPr="004A7F09">
        <w:t xml:space="preserve">If the Government wishes to make the most of </w:t>
      </w:r>
      <w:r>
        <w:t>emission</w:t>
      </w:r>
      <w:r w:rsidR="1E51680C">
        <w:t>s</w:t>
      </w:r>
      <w:r w:rsidRPr="004A7F09">
        <w:t xml:space="preserve"> reductions in NZ ETS sectors to reduce its reliance on offshore mitigation to meet the first NDC, it will need to actively manage how the NZ ETS </w:t>
      </w:r>
      <w:r>
        <w:t xml:space="preserve">emissions </w:t>
      </w:r>
      <w:r w:rsidRPr="004A7F09">
        <w:t>cap is set over time.</w:t>
      </w:r>
    </w:p>
    <w:p w14:paraId="10BB6B27" w14:textId="19F04E74" w:rsidR="00021E06" w:rsidRPr="00574115" w:rsidRDefault="00021E06" w:rsidP="00FB1AFA">
      <w:pPr>
        <w:pStyle w:val="Heading3"/>
      </w:pPr>
      <w:r>
        <w:t xml:space="preserve">The NZ ETS will need to </w:t>
      </w:r>
      <w:r w:rsidRPr="00BC619E">
        <w:t>evolve further to operate effectively in the 2030s</w:t>
      </w:r>
    </w:p>
    <w:p w14:paraId="66A1B3A6" w14:textId="4D5E0F46" w:rsidR="009D0DC1" w:rsidRDefault="00C3222A" w:rsidP="008A4933">
      <w:r>
        <w:t xml:space="preserve">A credible, predictable and effective NZ ETS does not mean that the scheme can never change. Rather, it will require the considered evolution of the NZ ETS, alongside other policies, in a way that is well-signalled and consistent with the emissions reduction targets Aotearoa New Zealand is seeking to achieve. </w:t>
      </w:r>
    </w:p>
    <w:p w14:paraId="37EB8CCB" w14:textId="073B1574" w:rsidR="008A4933" w:rsidRDefault="008A4933" w:rsidP="008A4933">
      <w:r>
        <w:t xml:space="preserve">Looking ahead to the 2030s, there are features of the current NZ ETS design that are likely to create challenges for managing the </w:t>
      </w:r>
      <w:r w:rsidR="00F26F1D">
        <w:t>scheme’s</w:t>
      </w:r>
      <w:r>
        <w:t xml:space="preserve"> settings</w:t>
      </w:r>
      <w:r w:rsidR="008715DD">
        <w:t>,</w:t>
      </w:r>
      <w:r>
        <w:t xml:space="preserve"> or hinder </w:t>
      </w:r>
      <w:r w:rsidR="00AE4512">
        <w:t xml:space="preserve">its </w:t>
      </w:r>
      <w:r>
        <w:t>effectiveness. While this may seem some years away, the Commission’s NZ ETS settings advice will extend into the 2030s from next year</w:t>
      </w:r>
      <w:r w:rsidR="007601C5">
        <w:t>,</w:t>
      </w:r>
      <w:r>
        <w:t xml:space="preserve"> to cover 2031, the first year of the third emissions budget. </w:t>
      </w:r>
    </w:p>
    <w:p w14:paraId="62852601" w14:textId="08BA28B9" w:rsidR="008A4933" w:rsidRDefault="0047481C" w:rsidP="008A4933">
      <w:r>
        <w:lastRenderedPageBreak/>
        <w:t>I</w:t>
      </w:r>
      <w:r w:rsidR="008A4933">
        <w:t xml:space="preserve">t is not </w:t>
      </w:r>
      <w:r w:rsidR="001C109E">
        <w:t xml:space="preserve">yet </w:t>
      </w:r>
      <w:r w:rsidR="008A4933">
        <w:t xml:space="preserve">clear what the Government’s approach to managing the NZ ETS emissions cap </w:t>
      </w:r>
      <w:r w:rsidR="001C109E">
        <w:t xml:space="preserve">in the 2030s </w:t>
      </w:r>
      <w:r w:rsidR="008A4933">
        <w:t>will be. In the second emissions reduction plan, the Government set out a provisional NZ ETS emissions cap for 2026</w:t>
      </w:r>
      <w:r w:rsidR="004D05A5">
        <w:t>–</w:t>
      </w:r>
      <w:r w:rsidR="008A4933">
        <w:t xml:space="preserve">2030 based on the latest emissions projections, which we have factored into this advice. </w:t>
      </w:r>
      <w:r w:rsidR="00C314B9">
        <w:t>However, t</w:t>
      </w:r>
      <w:r w:rsidR="00B8421C">
        <w:t>hese projections do not meet the third emissions budget</w:t>
      </w:r>
      <w:r w:rsidR="008A4933">
        <w:t xml:space="preserve">. </w:t>
      </w:r>
      <w:r w:rsidR="00B8421C">
        <w:t>Consequently</w:t>
      </w:r>
      <w:r w:rsidR="008A4933">
        <w:t xml:space="preserve">, there is a question about what NZ ETS emissions cap to implement for the NZ ETS settings from 2031 onwards. </w:t>
      </w:r>
    </w:p>
    <w:p w14:paraId="290FE189" w14:textId="7FB0DF00" w:rsidR="008A4933" w:rsidRDefault="008A4933" w:rsidP="008A4933">
      <w:r>
        <w:t>Ideally the emissions cap would be compatible with the Government’s wider approach to climate policy and effort sharing across sectors. Further guidance</w:t>
      </w:r>
      <w:r w:rsidR="0047481C">
        <w:t>,</w:t>
      </w:r>
      <w:r>
        <w:t xml:space="preserve"> or a framework for how the emissions cap will be managed</w:t>
      </w:r>
      <w:r w:rsidR="0047481C">
        <w:t>,</w:t>
      </w:r>
      <w:r>
        <w:t xml:space="preserve"> would provide useful clarification for the market and a basis for the NZ ETS settings. </w:t>
      </w:r>
    </w:p>
    <w:p w14:paraId="614C1132" w14:textId="6A57B5A8" w:rsidR="008A4933" w:rsidRDefault="008A4933" w:rsidP="008A4933">
      <w:r>
        <w:t>The ability of the NZ ET</w:t>
      </w:r>
      <w:r w:rsidR="008D7407">
        <w:t>S</w:t>
      </w:r>
      <w:r>
        <w:t xml:space="preserve"> to continue to contribute to achieving emissions reduction targets in the 2030s will also be called into question if the design of the NZ ETS remains largely </w:t>
      </w:r>
      <w:r w:rsidR="00056D30">
        <w:t>unchanged</w:t>
      </w:r>
      <w:r>
        <w:t xml:space="preserve">. For example, if industrial </w:t>
      </w:r>
      <w:r w:rsidR="0025148C">
        <w:t xml:space="preserve">free </w:t>
      </w:r>
      <w:r>
        <w:t>allocation continues in line with current policy and forecasts, it is likely to exceed the NZ ETS emissions cap during the 2030s</w:t>
      </w:r>
      <w:r w:rsidR="00D34913" w:rsidRPr="00895552">
        <w:t xml:space="preserve"> </w:t>
      </w:r>
      <w:r w:rsidR="00895552">
        <w:t>–</w:t>
      </w:r>
      <w:r w:rsidR="00D34913">
        <w:t xml:space="preserve"> </w:t>
      </w:r>
      <w:r>
        <w:t xml:space="preserve">which would increase costs to </w:t>
      </w:r>
      <w:r w:rsidR="00EA13CB">
        <w:t xml:space="preserve">the Government </w:t>
      </w:r>
      <w:r>
        <w:t xml:space="preserve">of achieving targets. </w:t>
      </w:r>
    </w:p>
    <w:p w14:paraId="3E3C8F7E" w14:textId="74B1FB34" w:rsidR="008A4933" w:rsidRDefault="008A4933" w:rsidP="008A4933">
      <w:r>
        <w:t xml:space="preserve">Furthermore, auction volumes will decrease as the emissions cap reduces towards zero, and unit supply from forestry is expected to start dominating the scheme. The influence and relevance of the price control settings will diminish, and the NZ ETS price would likely tend towards the relatively low marginal cost of forestry. If </w:t>
      </w:r>
      <w:r w:rsidR="00347495">
        <w:t>in the 2030s</w:t>
      </w:r>
      <w:r>
        <w:t xml:space="preserve"> Aotearoa New Zealand </w:t>
      </w:r>
      <w:r w:rsidR="00844095">
        <w:t>need</w:t>
      </w:r>
      <w:r w:rsidR="00212ED6">
        <w:t>s</w:t>
      </w:r>
      <w:r w:rsidR="00844095">
        <w:t xml:space="preserve"> to further </w:t>
      </w:r>
      <w:r w:rsidR="006D14FB">
        <w:t>decarbonise to meets it</w:t>
      </w:r>
      <w:r w:rsidR="00F72F22">
        <w:t xml:space="preserve">s targets, </w:t>
      </w:r>
      <w:r>
        <w:t xml:space="preserve">other tools or policies </w:t>
      </w:r>
      <w:r w:rsidR="00F72F22">
        <w:t xml:space="preserve">may need </w:t>
      </w:r>
      <w:r>
        <w:t>to be used</w:t>
      </w:r>
      <w:r w:rsidR="002A42CE">
        <w:t xml:space="preserve"> –</w:t>
      </w:r>
      <w:r>
        <w:t xml:space="preserve"> as the NZ ETS </w:t>
      </w:r>
      <w:r w:rsidR="00E92205">
        <w:t xml:space="preserve">may </w:t>
      </w:r>
      <w:r>
        <w:t xml:space="preserve">not be capable of driving material gross emissions reductions.  </w:t>
      </w:r>
    </w:p>
    <w:p w14:paraId="57D874BC" w14:textId="2F49B3C2" w:rsidR="00445FDD" w:rsidRDefault="00FE24C2" w:rsidP="00730061">
      <w:pPr>
        <w:rPr>
          <w:rFonts w:eastAsiaTheme="majorEastAsia"/>
          <w:b/>
          <w:color w:val="1F3864" w:themeColor="accent1" w:themeShade="80"/>
          <w:sz w:val="44"/>
          <w:szCs w:val="44"/>
        </w:rPr>
      </w:pPr>
      <w:r>
        <w:t>Considered evolution of the NZ ETS to address these issues</w:t>
      </w:r>
      <w:r w:rsidR="00BD7D36">
        <w:t xml:space="preserve"> </w:t>
      </w:r>
      <w:r w:rsidR="0070661F">
        <w:t>in a predictable manner</w:t>
      </w:r>
      <w:r w:rsidR="00091265">
        <w:t xml:space="preserve">, </w:t>
      </w:r>
      <w:r w:rsidR="00BD7D36">
        <w:t>alongside other policies</w:t>
      </w:r>
      <w:r w:rsidR="000D553B">
        <w:t xml:space="preserve">, </w:t>
      </w:r>
      <w:r w:rsidR="007212A6">
        <w:t xml:space="preserve">will contribute to the </w:t>
      </w:r>
      <w:r w:rsidR="00B77974">
        <w:t>credibility</w:t>
      </w:r>
      <w:r w:rsidR="00BD7D36">
        <w:t xml:space="preserve"> </w:t>
      </w:r>
      <w:r w:rsidR="0070661F">
        <w:t>of the scheme and the confidence of</w:t>
      </w:r>
      <w:r w:rsidR="00091265">
        <w:t xml:space="preserve"> </w:t>
      </w:r>
      <w:r w:rsidR="00D853F4">
        <w:t xml:space="preserve">the private sector </w:t>
      </w:r>
      <w:r w:rsidR="00091265">
        <w:t>to invest</w:t>
      </w:r>
      <w:r w:rsidR="00D853F4">
        <w:t xml:space="preserve"> in reducing emissions</w:t>
      </w:r>
      <w:r w:rsidR="00091265">
        <w:t>.</w:t>
      </w:r>
      <w:r w:rsidR="00445FDD">
        <w:br w:type="page"/>
      </w:r>
    </w:p>
    <w:p w14:paraId="6980D074" w14:textId="0F31B003" w:rsidR="00A614AE" w:rsidRDefault="00A614AE" w:rsidP="006A7422">
      <w:pPr>
        <w:pStyle w:val="Heading1nonumber"/>
      </w:pPr>
      <w:bookmarkStart w:id="24" w:name="_Toc195447232"/>
      <w:r>
        <w:lastRenderedPageBreak/>
        <w:t>PART 3: Te herenga utu – Unit limits</w:t>
      </w:r>
      <w:bookmarkEnd w:id="24"/>
    </w:p>
    <w:p w14:paraId="330A0962" w14:textId="5EACAF6C" w:rsidR="009D2B09" w:rsidRDefault="009D2B09" w:rsidP="009D2B09">
      <w:pPr>
        <w:pStyle w:val="Intro"/>
      </w:pPr>
      <w:r>
        <w:t xml:space="preserve">This part contains our </w:t>
      </w:r>
      <w:r w:rsidR="00BA0404">
        <w:t>advice about</w:t>
      </w:r>
      <w:r>
        <w:t xml:space="preserve"> NZ ETS </w:t>
      </w:r>
      <w:r w:rsidR="00BA0404">
        <w:t>unit limits</w:t>
      </w:r>
      <w:r>
        <w:t xml:space="preserve"> for the years </w:t>
      </w:r>
      <w:r w:rsidRPr="00E803E0">
        <w:t>2026–2030</w:t>
      </w:r>
      <w:r>
        <w:t>.</w:t>
      </w:r>
    </w:p>
    <w:p w14:paraId="724CDF6C" w14:textId="46763074" w:rsidR="006468BC" w:rsidRDefault="006468BC" w:rsidP="006468BC">
      <w:r>
        <w:t xml:space="preserve">Unit limits </w:t>
      </w:r>
      <w:r w:rsidR="007B20F4">
        <w:t>aim to</w:t>
      </w:r>
      <w:r>
        <w:t xml:space="preserve"> cap the </w:t>
      </w:r>
      <w:r w:rsidR="00BA17D8">
        <w:t xml:space="preserve">emissions </w:t>
      </w:r>
      <w:r w:rsidR="00AD2F48">
        <w:t>allowed under the NZ ETS</w:t>
      </w:r>
      <w:r w:rsidR="00811ADF">
        <w:t xml:space="preserve"> in accordance with Aotearoa New Zealand’s emissions budgets, </w:t>
      </w:r>
      <w:r w:rsidR="003E0D5E">
        <w:t xml:space="preserve">the 2050 target, </w:t>
      </w:r>
      <w:r w:rsidR="00C92501">
        <w:t xml:space="preserve">and </w:t>
      </w:r>
      <w:r w:rsidR="00811ADF">
        <w:t xml:space="preserve">nationally determined contributions </w:t>
      </w:r>
      <w:r w:rsidR="008D287C">
        <w:t>under</w:t>
      </w:r>
      <w:r w:rsidR="00811ADF">
        <w:t xml:space="preserve"> the </w:t>
      </w:r>
      <w:r w:rsidR="008D287C">
        <w:t>Paris Agreement</w:t>
      </w:r>
      <w:r w:rsidR="00811ADF">
        <w:t xml:space="preserve">. Capping emissions under the scheme </w:t>
      </w:r>
      <w:r w:rsidR="00D1203D">
        <w:t>enabl</w:t>
      </w:r>
      <w:r w:rsidR="00E226EE">
        <w:t>es</w:t>
      </w:r>
      <w:r w:rsidR="00D1203D">
        <w:t xml:space="preserve"> the NZ ETS</w:t>
      </w:r>
      <w:r w:rsidR="00F45C0C">
        <w:t xml:space="preserve"> to support </w:t>
      </w:r>
      <w:r w:rsidR="00872A4A">
        <w:t xml:space="preserve">meeting </w:t>
      </w:r>
      <w:r w:rsidR="00062B39">
        <w:t xml:space="preserve">these emissions reduction </w:t>
      </w:r>
      <w:r w:rsidR="00F93270">
        <w:t>targets</w:t>
      </w:r>
      <w:r w:rsidR="00062B39">
        <w:t>.</w:t>
      </w:r>
    </w:p>
    <w:p w14:paraId="10BE538A" w14:textId="5B6D3C3A" w:rsidR="00D16583" w:rsidRDefault="00062B39" w:rsidP="00D16583">
      <w:r>
        <w:t>The Climate Change Response Act 2002 require</w:t>
      </w:r>
      <w:r w:rsidR="00065CB6">
        <w:t>s</w:t>
      </w:r>
      <w:r w:rsidR="00D16583">
        <w:t xml:space="preserve"> annual updates to three unit limits across a five-year window:  </w:t>
      </w:r>
    </w:p>
    <w:p w14:paraId="7097816A" w14:textId="5BE3AD92" w:rsidR="00D16583" w:rsidRDefault="00D16583" w:rsidP="00747276">
      <w:pPr>
        <w:pStyle w:val="BodyBullets"/>
      </w:pPr>
      <w:r>
        <w:t xml:space="preserve">a limit on the New Zealand </w:t>
      </w:r>
      <w:r w:rsidR="009B2F67">
        <w:t>U</w:t>
      </w:r>
      <w:r>
        <w:t xml:space="preserve">nits (NZUs) available by auction (NZUs for planned auctions and cost containment reserve NZUs)  </w:t>
      </w:r>
    </w:p>
    <w:p w14:paraId="7F4CA6C1" w14:textId="578BEEEF" w:rsidR="00D16583" w:rsidRDefault="00D16583" w:rsidP="00747276">
      <w:pPr>
        <w:pStyle w:val="BodyBullets"/>
      </w:pPr>
      <w:r>
        <w:t>a limit on approved overseas units</w:t>
      </w:r>
    </w:p>
    <w:p w14:paraId="266899E5" w14:textId="7BEAB453" w:rsidR="00062B39" w:rsidRDefault="00D16583" w:rsidP="00747276">
      <w:pPr>
        <w:pStyle w:val="BodyBullets"/>
      </w:pPr>
      <w:r>
        <w:t>an overall limit on units (NZUs available by auction, overseas units, and industrial free allocation).</w:t>
      </w:r>
    </w:p>
    <w:p w14:paraId="28E049DF" w14:textId="5DD19104" w:rsidR="00ED21D0" w:rsidRDefault="00ED21D0" w:rsidP="00C93537">
      <w:r w:rsidRPr="00324951">
        <w:t>The Act requires the Commission to recommend unit limits which</w:t>
      </w:r>
      <w:r w:rsidR="001F53AE" w:rsidRPr="00324951">
        <w:t>,</w:t>
      </w:r>
      <w:r w:rsidRPr="00324951">
        <w:t xml:space="preserve"> in combination with the price control settings, either ‘strictly accord’, or ‘accord’ with emissions reduction targets.</w:t>
      </w:r>
      <w:r w:rsidRPr="00324951">
        <w:rPr>
          <w:vertAlign w:val="superscript"/>
        </w:rPr>
        <w:footnoteReference w:id="18"/>
      </w:r>
      <w:r w:rsidRPr="00324951">
        <w:rPr>
          <w:vertAlign w:val="superscript"/>
        </w:rPr>
        <w:t xml:space="preserve"> </w:t>
      </w:r>
      <w:r w:rsidRPr="00324951">
        <w:t xml:space="preserve">We understand this to mean that we must recommend unit limits that align </w:t>
      </w:r>
      <w:r w:rsidR="00D719CC">
        <w:t>to a high degree</w:t>
      </w:r>
      <w:r w:rsidRPr="00324951">
        <w:t xml:space="preserve"> to achieving all of the targets, in terms of the constraint that </w:t>
      </w:r>
      <w:r w:rsidR="0033690C" w:rsidRPr="00324951">
        <w:t>they</w:t>
      </w:r>
      <w:r w:rsidRPr="00324951">
        <w:t xml:space="preserve"> place on future emissions. If we recommend unit limits that do not align </w:t>
      </w:r>
      <w:r w:rsidR="00B83092">
        <w:t>to a high degree</w:t>
      </w:r>
      <w:r w:rsidRPr="00324951">
        <w:t xml:space="preserve"> with achieving one or more emissions budget or NDC, the discrepancy must be </w:t>
      </w:r>
      <w:r w:rsidR="00AE44C4" w:rsidRPr="00324951">
        <w:t xml:space="preserve">justified. </w:t>
      </w:r>
      <w:r w:rsidR="00AC624E" w:rsidRPr="00324951">
        <w:t xml:space="preserve">The recommended unit limits must </w:t>
      </w:r>
      <w:r w:rsidRPr="00324951">
        <w:t xml:space="preserve">still </w:t>
      </w:r>
      <w:bookmarkStart w:id="25" w:name="_Hlk194413198"/>
      <w:r w:rsidR="00AC624E" w:rsidRPr="00324951">
        <w:t>have</w:t>
      </w:r>
      <w:r w:rsidRPr="00324951">
        <w:t xml:space="preserve"> a good likelihood of achieving what is required or </w:t>
      </w:r>
      <w:r w:rsidR="00AC624E" w:rsidRPr="00324951">
        <w:t>the discrepancy</w:t>
      </w:r>
      <w:r w:rsidR="00E96592" w:rsidRPr="00324951">
        <w:t xml:space="preserve"> must be </w:t>
      </w:r>
      <w:r w:rsidR="00500E9B" w:rsidRPr="00324951">
        <w:t>one that</w:t>
      </w:r>
      <w:r w:rsidR="00AC624E" w:rsidRPr="00324951">
        <w:t xml:space="preserve"> </w:t>
      </w:r>
      <w:r w:rsidRPr="00324951">
        <w:t>can be made up for elsewhere.</w:t>
      </w:r>
      <w:bookmarkEnd w:id="25"/>
    </w:p>
    <w:p w14:paraId="42472D3A" w14:textId="77777777" w:rsidR="00C363CE" w:rsidRDefault="00C363CE" w:rsidP="00C363CE">
      <w:pPr>
        <w:pStyle w:val="Heading2nonumber"/>
      </w:pPr>
      <w:bookmarkStart w:id="26" w:name="_Toc195447233"/>
      <w:r>
        <w:t>Summary and recommendations</w:t>
      </w:r>
      <w:bookmarkEnd w:id="26"/>
      <w:r>
        <w:t xml:space="preserve"> </w:t>
      </w:r>
    </w:p>
    <w:p w14:paraId="6E84510E" w14:textId="51CE667E" w:rsidR="009C6754" w:rsidRDefault="00B350BA" w:rsidP="007203F3">
      <w:r>
        <w:t>He Pou a Rangi Climate Change</w:t>
      </w:r>
      <w:r w:rsidR="00777840">
        <w:t xml:space="preserve"> Commission’s recommended unit limits </w:t>
      </w:r>
      <w:r w:rsidR="00D1234B">
        <w:t>respond</w:t>
      </w:r>
      <w:r w:rsidR="0015670A">
        <w:t xml:space="preserve"> </w:t>
      </w:r>
      <w:r w:rsidR="0026363D">
        <w:t>to developments in the market over the last year, account for updated data</w:t>
      </w:r>
      <w:r w:rsidR="000E67A7">
        <w:t>,</w:t>
      </w:r>
      <w:r w:rsidR="0026363D">
        <w:t xml:space="preserve"> and </w:t>
      </w:r>
      <w:r w:rsidR="00A97AAE">
        <w:t xml:space="preserve">reflect </w:t>
      </w:r>
      <w:r w:rsidR="00157902">
        <w:t xml:space="preserve">refinements to </w:t>
      </w:r>
      <w:r w:rsidR="00B73920">
        <w:t xml:space="preserve">the way we </w:t>
      </w:r>
      <w:r w:rsidR="00081A5B">
        <w:t xml:space="preserve">assess </w:t>
      </w:r>
      <w:r w:rsidR="00381C80">
        <w:t>the units in the market</w:t>
      </w:r>
      <w:r w:rsidR="0026363D">
        <w:t>.</w:t>
      </w:r>
      <w:r w:rsidR="007A67B9">
        <w:t xml:space="preserve"> </w:t>
      </w:r>
    </w:p>
    <w:p w14:paraId="6A957ACC" w14:textId="0DD7377F" w:rsidR="00337EEF" w:rsidRDefault="008D4C51" w:rsidP="00396BAA">
      <w:r>
        <w:t>Over the last year t</w:t>
      </w:r>
      <w:r w:rsidR="00A52E01">
        <w:t>he Government has</w:t>
      </w:r>
      <w:r w:rsidR="000C19B8">
        <w:t xml:space="preserve"> </w:t>
      </w:r>
      <w:r w:rsidR="00A05362">
        <w:t>made decisions</w:t>
      </w:r>
      <w:r>
        <w:t xml:space="preserve"> </w:t>
      </w:r>
      <w:r w:rsidR="00A653C5">
        <w:t xml:space="preserve">on </w:t>
      </w:r>
      <w:r w:rsidR="007533A0">
        <w:t>its plan</w:t>
      </w:r>
      <w:r w:rsidR="00EB334F">
        <w:t>s</w:t>
      </w:r>
      <w:r w:rsidR="007533A0">
        <w:t xml:space="preserve"> </w:t>
      </w:r>
      <w:r w:rsidR="00EB334F">
        <w:t xml:space="preserve">for </w:t>
      </w:r>
      <w:r w:rsidR="00307A19">
        <w:t>achiev</w:t>
      </w:r>
      <w:r w:rsidR="00EB334F">
        <w:t>ing</w:t>
      </w:r>
      <w:r w:rsidR="00307A19">
        <w:t xml:space="preserve"> </w:t>
      </w:r>
      <w:r w:rsidR="003A4C25">
        <w:t xml:space="preserve">the first and second </w:t>
      </w:r>
      <w:r w:rsidR="00307A19">
        <w:t>emission</w:t>
      </w:r>
      <w:r w:rsidR="007B6C82">
        <w:t>s</w:t>
      </w:r>
      <w:r w:rsidR="00307A19">
        <w:t xml:space="preserve"> budget</w:t>
      </w:r>
      <w:r w:rsidR="008A16E3">
        <w:t>s</w:t>
      </w:r>
      <w:r w:rsidR="0052720E">
        <w:t xml:space="preserve">, </w:t>
      </w:r>
      <w:r w:rsidR="00306E9E">
        <w:t xml:space="preserve">on </w:t>
      </w:r>
      <w:r w:rsidR="00D75AAA">
        <w:t xml:space="preserve">a </w:t>
      </w:r>
      <w:r w:rsidR="00306E9E">
        <w:t xml:space="preserve">provisional emissions cap </w:t>
      </w:r>
      <w:r w:rsidR="00626D3C">
        <w:t xml:space="preserve">for </w:t>
      </w:r>
      <w:r w:rsidR="00306E9E">
        <w:t>the NZ ETS</w:t>
      </w:r>
      <w:r w:rsidR="00DF629C">
        <w:t xml:space="preserve"> </w:t>
      </w:r>
      <w:r w:rsidR="00D75AAA">
        <w:t>as</w:t>
      </w:r>
      <w:r w:rsidR="00DF629C">
        <w:t xml:space="preserve"> </w:t>
      </w:r>
      <w:r w:rsidR="00D75AAA">
        <w:t xml:space="preserve">set out </w:t>
      </w:r>
      <w:r w:rsidR="002A0C8C">
        <w:t xml:space="preserve">in the second emissions reduction plan, and on </w:t>
      </w:r>
      <w:r w:rsidR="00844DB9">
        <w:t xml:space="preserve">the target level for the second </w:t>
      </w:r>
      <w:r w:rsidR="006C0C85">
        <w:t>nationally determined contribution (</w:t>
      </w:r>
      <w:r w:rsidR="00844DB9">
        <w:t>NDC</w:t>
      </w:r>
      <w:r w:rsidR="006C0C85">
        <w:t>)</w:t>
      </w:r>
      <w:r w:rsidR="00913AC0">
        <w:t xml:space="preserve">. </w:t>
      </w:r>
      <w:r w:rsidR="0085720E">
        <w:t xml:space="preserve">We have accounted for these decisions in </w:t>
      </w:r>
      <w:r w:rsidR="00930181">
        <w:t xml:space="preserve">developing our recommendations. </w:t>
      </w:r>
    </w:p>
    <w:p w14:paraId="649165FD" w14:textId="24D6E85F" w:rsidR="00E40D34" w:rsidRDefault="00E40D34" w:rsidP="00E40D34">
      <w:r>
        <w:lastRenderedPageBreak/>
        <w:t xml:space="preserve">We consider </w:t>
      </w:r>
      <w:r w:rsidR="005C5911">
        <w:t>that</w:t>
      </w:r>
      <w:r>
        <w:t xml:space="preserve"> around </w:t>
      </w:r>
      <w:r w:rsidRPr="00EF4377">
        <w:t>14 million</w:t>
      </w:r>
      <w:r>
        <w:t xml:space="preserve"> more units could be auctioned over 2026–2030 than the current settings allow</w:t>
      </w:r>
      <w:r w:rsidR="00DB70C6">
        <w:t>,</w:t>
      </w:r>
      <w:r>
        <w:t xml:space="preserve"> </w:t>
      </w:r>
      <w:r w:rsidR="00630145">
        <w:t>while</w:t>
      </w:r>
      <w:r w:rsidR="00373F62">
        <w:t xml:space="preserve"> s</w:t>
      </w:r>
      <w:r w:rsidR="00630145">
        <w:t>till</w:t>
      </w:r>
      <w:r>
        <w:t xml:space="preserve"> align</w:t>
      </w:r>
      <w:r w:rsidR="00373F62">
        <w:t>ing</w:t>
      </w:r>
      <w:r>
        <w:t xml:space="preserve"> with the Government’s emissions reduction targets. This reflects changing circumstan</w:t>
      </w:r>
      <w:r w:rsidRPr="008474C5">
        <w:t>ces</w:t>
      </w:r>
      <w:r>
        <w:t xml:space="preserve"> in the market </w:t>
      </w:r>
      <w:r w:rsidRPr="008474C5">
        <w:t xml:space="preserve">rather than a change in </w:t>
      </w:r>
      <w:r w:rsidR="001C3B3A">
        <w:t xml:space="preserve">emissions reduction </w:t>
      </w:r>
      <w:r w:rsidRPr="008474C5">
        <w:t>ambition</w:t>
      </w:r>
      <w:r>
        <w:t>.</w:t>
      </w:r>
    </w:p>
    <w:p w14:paraId="3F1153E6" w14:textId="33519DE8" w:rsidR="0070380F" w:rsidRDefault="00E40D34" w:rsidP="00560AFA">
      <w:r>
        <w:t>Th</w:t>
      </w:r>
      <w:r w:rsidR="00C63D4D">
        <w:t xml:space="preserve">is updated assessment </w:t>
      </w:r>
      <w:r w:rsidR="00C22435">
        <w:t>result</w:t>
      </w:r>
      <w:r w:rsidR="00A708D9">
        <w:t>s from</w:t>
      </w:r>
      <w:r w:rsidR="00C22435">
        <w:t xml:space="preserve"> </w:t>
      </w:r>
      <w:r w:rsidR="007851B8">
        <w:t>several</w:t>
      </w:r>
      <w:r w:rsidR="004F5055">
        <w:t xml:space="preserve"> factors</w:t>
      </w:r>
      <w:r w:rsidR="00D440BC">
        <w:t>. The</w:t>
      </w:r>
      <w:r w:rsidR="00563F1E">
        <w:t xml:space="preserve"> </w:t>
      </w:r>
      <w:r w:rsidR="0061179A">
        <w:t xml:space="preserve">Government has </w:t>
      </w:r>
      <w:r w:rsidR="001E6410">
        <w:t>set ou</w:t>
      </w:r>
      <w:r w:rsidR="00D5374D">
        <w:t>t</w:t>
      </w:r>
      <w:r w:rsidR="001E6410">
        <w:t xml:space="preserve"> a </w:t>
      </w:r>
      <w:r w:rsidR="007B1CDE">
        <w:t>different</w:t>
      </w:r>
      <w:r w:rsidR="001E6410">
        <w:t xml:space="preserve"> </w:t>
      </w:r>
      <w:r w:rsidR="00665314">
        <w:t>emissions cap</w:t>
      </w:r>
      <w:r w:rsidR="001A026F">
        <w:t xml:space="preserve"> </w:t>
      </w:r>
      <w:r w:rsidR="00665314">
        <w:t>for the NZ ETS</w:t>
      </w:r>
      <w:r w:rsidR="00DA738F">
        <w:t>. Our</w:t>
      </w:r>
      <w:r w:rsidR="00493CAB">
        <w:t xml:space="preserve"> estimate of the surplus units </w:t>
      </w:r>
      <w:r w:rsidR="005F40E4">
        <w:t xml:space="preserve">in the market </w:t>
      </w:r>
      <w:r w:rsidR="00493CAB">
        <w:t>ha</w:t>
      </w:r>
      <w:r w:rsidR="004F5055">
        <w:t>s</w:t>
      </w:r>
      <w:r w:rsidR="00493CAB">
        <w:t xml:space="preserve"> declined faster than expected</w:t>
      </w:r>
      <w:r w:rsidR="005B396D">
        <w:t xml:space="preserve">, </w:t>
      </w:r>
      <w:r w:rsidR="00733F61">
        <w:t xml:space="preserve">mainly </w:t>
      </w:r>
      <w:r w:rsidR="00D95D48">
        <w:t xml:space="preserve">due to </w:t>
      </w:r>
      <w:r w:rsidR="00D82462">
        <w:t xml:space="preserve">7 million units not selling at </w:t>
      </w:r>
      <w:r w:rsidR="007D3E94">
        <w:t xml:space="preserve">auctions </w:t>
      </w:r>
      <w:r w:rsidR="00FA3C68">
        <w:t>in 2024</w:t>
      </w:r>
      <w:r w:rsidR="00493CAB">
        <w:t>.</w:t>
      </w:r>
      <w:r w:rsidR="009E1C5F">
        <w:t xml:space="preserve"> </w:t>
      </w:r>
      <w:r w:rsidR="0009458B">
        <w:t xml:space="preserve">We have also taken into account </w:t>
      </w:r>
      <w:r w:rsidR="005D3852">
        <w:t xml:space="preserve">changes to </w:t>
      </w:r>
      <w:r w:rsidR="00D17337">
        <w:t xml:space="preserve">production and </w:t>
      </w:r>
      <w:r w:rsidR="00BD0FAF">
        <w:t xml:space="preserve">policy </w:t>
      </w:r>
      <w:r w:rsidR="00582697">
        <w:t>that</w:t>
      </w:r>
      <w:r w:rsidR="00BD0FAF">
        <w:t xml:space="preserve"> have </w:t>
      </w:r>
      <w:r w:rsidR="00203C62">
        <w:t>lowered</w:t>
      </w:r>
      <w:r w:rsidR="00BD0FAF">
        <w:t xml:space="preserve"> </w:t>
      </w:r>
      <w:r w:rsidR="00E648D3">
        <w:t>our forecast of</w:t>
      </w:r>
      <w:r w:rsidR="00BD0FAF">
        <w:t xml:space="preserve"> </w:t>
      </w:r>
      <w:r w:rsidR="005D3852">
        <w:t xml:space="preserve">industrial </w:t>
      </w:r>
      <w:r w:rsidR="00B92EE9">
        <w:t xml:space="preserve">free </w:t>
      </w:r>
      <w:r w:rsidR="005D3852">
        <w:t xml:space="preserve">allocation </w:t>
      </w:r>
      <w:r w:rsidR="00B424C1">
        <w:t xml:space="preserve">by </w:t>
      </w:r>
      <w:r w:rsidR="00D730D0">
        <w:t>over</w:t>
      </w:r>
      <w:r w:rsidR="00B424C1">
        <w:t xml:space="preserve"> 4 </w:t>
      </w:r>
      <w:r w:rsidR="00203C62">
        <w:t>million units</w:t>
      </w:r>
      <w:r w:rsidR="005D4CB5">
        <w:t xml:space="preserve"> over 2026</w:t>
      </w:r>
      <w:r w:rsidR="00AF19A3">
        <w:t>–</w:t>
      </w:r>
      <w:r w:rsidR="005D4CB5">
        <w:t>2030</w:t>
      </w:r>
      <w:r w:rsidR="000F2029">
        <w:t xml:space="preserve">. </w:t>
      </w:r>
      <w:r w:rsidR="000D35CE">
        <w:t>We have</w:t>
      </w:r>
      <w:r w:rsidR="00F20CEC">
        <w:t xml:space="preserve"> </w:t>
      </w:r>
      <w:r w:rsidR="00587F5D">
        <w:t xml:space="preserve">also </w:t>
      </w:r>
      <w:r w:rsidR="00F20CEC">
        <w:t xml:space="preserve">resolved an issue that previously caused a technical adjustment to be </w:t>
      </w:r>
      <w:r w:rsidR="0004445A">
        <w:t>necessary</w:t>
      </w:r>
      <w:r w:rsidR="00F20CEC">
        <w:t xml:space="preserve"> in the calculation of the unit limits</w:t>
      </w:r>
      <w:r w:rsidR="009775D1">
        <w:t xml:space="preserve">. </w:t>
      </w:r>
      <w:r w:rsidR="00B97F75">
        <w:t xml:space="preserve"> </w:t>
      </w:r>
    </w:p>
    <w:p w14:paraId="2ADFAF33" w14:textId="77B2314B" w:rsidR="00217CB9" w:rsidRDefault="00B62D18" w:rsidP="00560AFA">
      <w:r>
        <w:t xml:space="preserve">We recommend that the additional units </w:t>
      </w:r>
      <w:r w:rsidR="00590686">
        <w:t xml:space="preserve">be auctioned over </w:t>
      </w:r>
      <w:r w:rsidR="003E3D7B">
        <w:t>2028</w:t>
      </w:r>
      <w:r w:rsidR="00905CF4" w:rsidRPr="000A1433">
        <w:t>–</w:t>
      </w:r>
      <w:r w:rsidR="003E3D7B">
        <w:t>2030</w:t>
      </w:r>
      <w:r w:rsidR="00747F2E">
        <w:t xml:space="preserve">, and </w:t>
      </w:r>
      <w:r w:rsidR="00817217">
        <w:t xml:space="preserve">that </w:t>
      </w:r>
      <w:r w:rsidR="00747F2E">
        <w:t xml:space="preserve">the existing </w:t>
      </w:r>
      <w:r w:rsidR="00C156A4">
        <w:t xml:space="preserve">unit </w:t>
      </w:r>
      <w:r w:rsidR="00747F2E">
        <w:t>limit settings for 2026 and 2027 remain unchanged</w:t>
      </w:r>
      <w:r w:rsidR="005F17F3">
        <w:t>. W</w:t>
      </w:r>
      <w:r w:rsidR="00AA410B">
        <w:t xml:space="preserve">e consider that </w:t>
      </w:r>
      <w:r w:rsidR="00057263">
        <w:t xml:space="preserve">there </w:t>
      </w:r>
      <w:r w:rsidR="00724848">
        <w:t xml:space="preserve">is no justification </w:t>
      </w:r>
      <w:r w:rsidR="00703F6E">
        <w:t>for</w:t>
      </w:r>
      <w:r w:rsidR="00057263">
        <w:t xml:space="preserve"> </w:t>
      </w:r>
      <w:r w:rsidR="00AA410B">
        <w:t>changing the settings for 2026 and 2027</w:t>
      </w:r>
      <w:r w:rsidR="00F82985">
        <w:t xml:space="preserve">, </w:t>
      </w:r>
      <w:r w:rsidR="00095D61">
        <w:t xml:space="preserve">for </w:t>
      </w:r>
      <w:r w:rsidR="00BD4B02">
        <w:t>four</w:t>
      </w:r>
      <w:r w:rsidR="00095D61">
        <w:t xml:space="preserve"> reasons</w:t>
      </w:r>
      <w:r w:rsidR="00FD30A1">
        <w:t>:</w:t>
      </w:r>
      <w:r w:rsidR="005D5111">
        <w:t xml:space="preserve"> </w:t>
      </w:r>
      <w:r w:rsidR="004A3317">
        <w:t xml:space="preserve"> </w:t>
      </w:r>
    </w:p>
    <w:p w14:paraId="2E4F6DD7" w14:textId="4216DC64" w:rsidR="002C3D2B" w:rsidRDefault="002C3D2B" w:rsidP="00F20ECD">
      <w:pPr>
        <w:pStyle w:val="Numberlist"/>
      </w:pPr>
      <w:r>
        <w:t>Particular care must be taken when increasing auction volumes</w:t>
      </w:r>
      <w:r w:rsidR="003B77AB">
        <w:t>, due to</w:t>
      </w:r>
      <w:r>
        <w:t xml:space="preserve"> the asymmetric nature of the risk it presents to how unit limits align with emissions reduction targets. Auctioning units is a one-sided lever – it can only supply units, it cannot withdraw units from circulation once they have entered the market. Because of this asymmetric risk, we are more cautious about auctioning more units than we are about situations where our analysis suggests fewer units should be auctioned, such as occurred last year. </w:t>
      </w:r>
    </w:p>
    <w:p w14:paraId="76EB0C91" w14:textId="09D0F6D2" w:rsidR="00BD4B02" w:rsidRDefault="002C06C1" w:rsidP="00F20ECD">
      <w:pPr>
        <w:pStyle w:val="Numberlist"/>
      </w:pPr>
      <w:r>
        <w:t>W</w:t>
      </w:r>
      <w:r w:rsidR="00337631">
        <w:t xml:space="preserve">hile our analysis indicates that </w:t>
      </w:r>
      <w:r w:rsidR="009D5A7B">
        <w:t xml:space="preserve">surplus units are being drawn down faster than expected, </w:t>
      </w:r>
      <w:r w:rsidR="008E3A77">
        <w:t xml:space="preserve">there </w:t>
      </w:r>
      <w:r w:rsidR="00552A4A">
        <w:t>remains</w:t>
      </w:r>
      <w:r w:rsidR="008E3A77">
        <w:t xml:space="preserve"> significant uncertainty</w:t>
      </w:r>
      <w:r w:rsidR="0067037D">
        <w:t xml:space="preserve"> in our es</w:t>
      </w:r>
      <w:r w:rsidR="001D653D">
        <w:t>timate of the surplus</w:t>
      </w:r>
      <w:r w:rsidR="00A57213">
        <w:t>.</w:t>
      </w:r>
      <w:r w:rsidR="00106205">
        <w:t xml:space="preserve"> </w:t>
      </w:r>
      <w:r w:rsidR="00BD3439">
        <w:t xml:space="preserve">If the surplus is higher than anticipated, </w:t>
      </w:r>
      <w:r w:rsidR="00BC2366">
        <w:t>backloading the additional volume into the latter part of the 2026</w:t>
      </w:r>
      <w:r w:rsidR="004D05A5">
        <w:t>–</w:t>
      </w:r>
      <w:r w:rsidR="00BC2366">
        <w:t xml:space="preserve">2030 period provides more </w:t>
      </w:r>
      <w:r w:rsidR="00B356CF">
        <w:t xml:space="preserve">opportunity </w:t>
      </w:r>
      <w:r w:rsidR="00BC2366">
        <w:t>to adjust course as new information comes to hand.</w:t>
      </w:r>
    </w:p>
    <w:p w14:paraId="5F348270" w14:textId="41019636" w:rsidR="00AC55CB" w:rsidDel="002C3D2B" w:rsidRDefault="00E75280" w:rsidP="00F20ECD">
      <w:pPr>
        <w:pStyle w:val="Numberlist"/>
      </w:pPr>
      <w:r>
        <w:t xml:space="preserve">The price of NZUs on the secondary market is currently below the auction reserve price, and the </w:t>
      </w:r>
      <w:r w:rsidR="00AC55CB">
        <w:t>most recent auctions have declined or only partially cleare</w:t>
      </w:r>
      <w:r w:rsidR="00487294">
        <w:t>d</w:t>
      </w:r>
      <w:r>
        <w:t>. Along with feedback we heard in engagement that there is ample liquidity, this indicates that significant additional supply in the market is not needed in the short</w:t>
      </w:r>
      <w:r w:rsidR="003D6643">
        <w:t xml:space="preserve"> </w:t>
      </w:r>
      <w:r>
        <w:t xml:space="preserve">term. </w:t>
      </w:r>
    </w:p>
    <w:p w14:paraId="2BBC00D7" w14:textId="3C621543" w:rsidR="00BC7286" w:rsidRDefault="00711EFC" w:rsidP="00F20ECD">
      <w:pPr>
        <w:pStyle w:val="Numberlist"/>
      </w:pPr>
      <w:r>
        <w:t xml:space="preserve">We </w:t>
      </w:r>
      <w:r w:rsidR="003B5DE8">
        <w:t>hear</w:t>
      </w:r>
      <w:r w:rsidR="004F2497">
        <w:t>d</w:t>
      </w:r>
      <w:r w:rsidR="003B5DE8">
        <w:t xml:space="preserve"> strong feedback through our engagement with market participants that</w:t>
      </w:r>
      <w:r w:rsidR="004F2497">
        <w:t xml:space="preserve"> the </w:t>
      </w:r>
      <w:r w:rsidR="00EB3B0A">
        <w:t xml:space="preserve">Government and the </w:t>
      </w:r>
      <w:r w:rsidR="004F2497">
        <w:t>Commission should</w:t>
      </w:r>
      <w:r w:rsidR="00A85AD2">
        <w:t xml:space="preserve"> be very reluctant to </w:t>
      </w:r>
      <w:r w:rsidR="0041320D">
        <w:t xml:space="preserve">change </w:t>
      </w:r>
      <w:r w:rsidR="004F2497">
        <w:t>the first two years of the NZ ETS</w:t>
      </w:r>
      <w:r w:rsidR="0041320D">
        <w:t xml:space="preserve"> setting</w:t>
      </w:r>
      <w:r w:rsidR="00A85AD2">
        <w:t>s</w:t>
      </w:r>
      <w:r w:rsidR="004F2497">
        <w:t xml:space="preserve">. </w:t>
      </w:r>
      <w:r w:rsidR="00EB04EC">
        <w:t xml:space="preserve">Changes to </w:t>
      </w:r>
      <w:r w:rsidR="006A587C">
        <w:t xml:space="preserve">those years </w:t>
      </w:r>
      <w:r w:rsidR="00EB04EC">
        <w:t xml:space="preserve">are </w:t>
      </w:r>
      <w:r w:rsidR="006A587C">
        <w:t xml:space="preserve">very </w:t>
      </w:r>
      <w:r w:rsidR="00EB04EC">
        <w:t xml:space="preserve">disruptive to </w:t>
      </w:r>
      <w:r w:rsidR="008349D1">
        <w:t xml:space="preserve">market participants’ </w:t>
      </w:r>
      <w:r w:rsidR="005F196F">
        <w:t xml:space="preserve">planning and </w:t>
      </w:r>
      <w:r w:rsidR="00EB04EC">
        <w:t xml:space="preserve">commercial arrangements, </w:t>
      </w:r>
      <w:r w:rsidR="004A4EAA">
        <w:t xml:space="preserve">so </w:t>
      </w:r>
      <w:r w:rsidR="008A4AD0">
        <w:t xml:space="preserve">should only be made if </w:t>
      </w:r>
      <w:r w:rsidR="00A85AD2">
        <w:t>absolutely necessary.</w:t>
      </w:r>
      <w:r w:rsidR="00CC5498">
        <w:t xml:space="preserve"> </w:t>
      </w:r>
      <w:r w:rsidR="0088250D">
        <w:t xml:space="preserve">We consider that the </w:t>
      </w:r>
      <w:r w:rsidR="006F3FAC">
        <w:t>auction volumes can be</w:t>
      </w:r>
      <w:r w:rsidR="00CA614C">
        <w:t xml:space="preserve"> </w:t>
      </w:r>
      <w:r w:rsidR="00191572">
        <w:t>distributed via changes to the 2028</w:t>
      </w:r>
      <w:r w:rsidR="008349D1">
        <w:t>–</w:t>
      </w:r>
      <w:r w:rsidR="00191572">
        <w:t xml:space="preserve">2030 </w:t>
      </w:r>
      <w:r w:rsidR="00CC0F3A">
        <w:t>settings</w:t>
      </w:r>
      <w:r w:rsidR="00C90414">
        <w:t xml:space="preserve"> without </w:t>
      </w:r>
      <w:r w:rsidR="00377CFC">
        <w:t>unduly disrupting the operation of the market</w:t>
      </w:r>
      <w:r w:rsidR="00CC0F3A">
        <w:t xml:space="preserve">, </w:t>
      </w:r>
      <w:r w:rsidR="00C90414">
        <w:t xml:space="preserve">making </w:t>
      </w:r>
      <w:r w:rsidR="00377CFC">
        <w:t xml:space="preserve">it undesirable to </w:t>
      </w:r>
      <w:r w:rsidR="00563913">
        <w:t xml:space="preserve">recommend changes to </w:t>
      </w:r>
      <w:r w:rsidR="00816EC2">
        <w:t>2026</w:t>
      </w:r>
      <w:r w:rsidR="592E53BB" w:rsidRPr="12E598B1">
        <w:rPr>
          <w:rFonts w:eastAsia="Calibri" w:cs="Calibri"/>
        </w:rPr>
        <w:t>–</w:t>
      </w:r>
      <w:r w:rsidR="00816EC2">
        <w:t>2027</w:t>
      </w:r>
      <w:r w:rsidR="00563913">
        <w:t>.</w:t>
      </w:r>
      <w:r w:rsidR="00C90414">
        <w:t xml:space="preserve"> </w:t>
      </w:r>
      <w:r w:rsidR="00CC0F3A">
        <w:t xml:space="preserve"> </w:t>
      </w:r>
      <w:r w:rsidR="000974FC">
        <w:t xml:space="preserve"> </w:t>
      </w:r>
      <w:r w:rsidR="008467D4">
        <w:t xml:space="preserve"> </w:t>
      </w:r>
      <w:r w:rsidR="00A85AD2">
        <w:t xml:space="preserve"> </w:t>
      </w:r>
    </w:p>
    <w:p w14:paraId="18A114CA" w14:textId="23274F8B" w:rsidR="000E2AF1" w:rsidRPr="00034907" w:rsidRDefault="0038067C" w:rsidP="00A12772">
      <w:pPr>
        <w:pStyle w:val="FigureTabletitle"/>
      </w:pPr>
      <w:r>
        <w:br w:type="page"/>
      </w:r>
      <w:r w:rsidR="000E2AF1" w:rsidRPr="00034907">
        <w:lastRenderedPageBreak/>
        <w:t xml:space="preserve">Table </w:t>
      </w:r>
      <w:r w:rsidR="00034907">
        <w:t>3.</w:t>
      </w:r>
      <w:r w:rsidR="0091600D">
        <w:t>1</w:t>
      </w:r>
      <w:r w:rsidR="00034907">
        <w:t>:</w:t>
      </w:r>
      <w:r w:rsidR="002A1B28" w:rsidRPr="00034907">
        <w:t xml:space="preserve"> </w:t>
      </w:r>
      <w:r w:rsidR="00F02AD8" w:rsidRPr="00CB2DEE">
        <w:rPr>
          <w:b w:val="0"/>
          <w:bCs w:val="0"/>
        </w:rPr>
        <w:t>Current a</w:t>
      </w:r>
      <w:r w:rsidR="002A1B28" w:rsidRPr="00CB2DEE">
        <w:rPr>
          <w:b w:val="0"/>
          <w:bCs w:val="0"/>
        </w:rPr>
        <w:t xml:space="preserve">uction volumes and </w:t>
      </w:r>
      <w:r w:rsidR="00F02AD8" w:rsidRPr="00CB2DEE">
        <w:rPr>
          <w:b w:val="0"/>
          <w:bCs w:val="0"/>
        </w:rPr>
        <w:t>proposed</w:t>
      </w:r>
      <w:r w:rsidR="002A1B28" w:rsidRPr="00CB2DEE">
        <w:rPr>
          <w:b w:val="0"/>
          <w:bCs w:val="0"/>
        </w:rPr>
        <w:t xml:space="preserve"> update</w:t>
      </w:r>
      <w:r w:rsidR="00F02AD8" w:rsidRPr="00CB2DEE">
        <w:rPr>
          <w:b w:val="0"/>
          <w:bCs w:val="0"/>
        </w:rPr>
        <w:t>s</w:t>
      </w:r>
      <w:r w:rsidR="00F02AD8">
        <w:t xml:space="preserve"> </w:t>
      </w:r>
    </w:p>
    <w:tbl>
      <w:tblPr>
        <w:tblStyle w:val="GridTable5Dark-Accent5"/>
        <w:tblW w:w="0" w:type="auto"/>
        <w:tblCellMar>
          <w:left w:w="113" w:type="dxa"/>
          <w:right w:w="113" w:type="dxa"/>
        </w:tblCellMar>
        <w:tblLook w:val="04A0" w:firstRow="1" w:lastRow="0" w:firstColumn="1" w:lastColumn="0" w:noHBand="0" w:noVBand="1"/>
      </w:tblPr>
      <w:tblGrid>
        <w:gridCol w:w="4748"/>
        <w:gridCol w:w="673"/>
        <w:gridCol w:w="673"/>
        <w:gridCol w:w="673"/>
        <w:gridCol w:w="673"/>
        <w:gridCol w:w="673"/>
      </w:tblGrid>
      <w:tr w:rsidR="004E5543" w:rsidRPr="0091207A" w14:paraId="2A0974E5" w14:textId="77777777" w:rsidTr="0038067C">
        <w:trPr>
          <w:cnfStyle w:val="100000000000" w:firstRow="1" w:lastRow="0" w:firstColumn="0" w:lastColumn="0" w:oddVBand="0" w:evenVBand="0" w:oddHBand="0" w:evenHBand="0"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vAlign w:val="center"/>
          </w:tcPr>
          <w:p w14:paraId="15A92AB4" w14:textId="2BB107BA" w:rsidR="00D92E76" w:rsidRPr="00976F45" w:rsidRDefault="00987F23" w:rsidP="00AF2E1A">
            <w:pPr>
              <w:pStyle w:val="Tableparagraphwhite"/>
              <w:jc w:val="left"/>
            </w:pPr>
            <w:r>
              <w:rPr>
                <w:rFonts w:ascii="ZWAdobeF" w:hAnsi="ZWAdobeF" w:cs="ZWAdobeF"/>
                <w:color w:val="auto"/>
                <w:sz w:val="2"/>
                <w:szCs w:val="2"/>
              </w:rPr>
              <w:t>4B</w:t>
            </w:r>
            <w:r w:rsidR="00D92E76">
              <w:t>Million units</w:t>
            </w:r>
          </w:p>
        </w:tc>
        <w:tc>
          <w:tcPr>
            <w:tcW w:w="0" w:type="auto"/>
            <w:shd w:val="clear" w:color="auto" w:fill="002060"/>
            <w:vAlign w:val="center"/>
          </w:tcPr>
          <w:p w14:paraId="15D7EF18" w14:textId="77777777" w:rsidR="00D92E76" w:rsidRPr="00E531B5" w:rsidRDefault="00D92E76" w:rsidP="00F515D5">
            <w:pPr>
              <w:pStyle w:val="Tableparagraphwhite"/>
              <w:cnfStyle w:val="100000000000" w:firstRow="1" w:lastRow="0" w:firstColumn="0" w:lastColumn="0" w:oddVBand="0" w:evenVBand="0" w:oddHBand="0" w:evenHBand="0" w:firstRowFirstColumn="0" w:firstRowLastColumn="0" w:lastRowFirstColumn="0" w:lastRowLastColumn="0"/>
              <w:rPr>
                <w:lang w:val="en-NZ"/>
              </w:rPr>
            </w:pPr>
            <w:r w:rsidRPr="0099740B">
              <w:t>2026</w:t>
            </w:r>
          </w:p>
        </w:tc>
        <w:tc>
          <w:tcPr>
            <w:tcW w:w="0" w:type="auto"/>
            <w:shd w:val="clear" w:color="auto" w:fill="002060"/>
            <w:vAlign w:val="center"/>
          </w:tcPr>
          <w:p w14:paraId="17FC2BEF" w14:textId="77777777" w:rsidR="00D92E76" w:rsidRPr="00E531B5" w:rsidRDefault="00D92E76" w:rsidP="00F515D5">
            <w:pPr>
              <w:pStyle w:val="Tableparagraphwhite"/>
              <w:cnfStyle w:val="100000000000" w:firstRow="1" w:lastRow="0" w:firstColumn="0" w:lastColumn="0" w:oddVBand="0" w:evenVBand="0" w:oddHBand="0" w:evenHBand="0" w:firstRowFirstColumn="0" w:firstRowLastColumn="0" w:lastRowFirstColumn="0" w:lastRowLastColumn="0"/>
              <w:rPr>
                <w:lang w:val="en-NZ"/>
              </w:rPr>
            </w:pPr>
            <w:r w:rsidRPr="0099740B">
              <w:t>2027</w:t>
            </w:r>
          </w:p>
        </w:tc>
        <w:tc>
          <w:tcPr>
            <w:tcW w:w="0" w:type="auto"/>
            <w:shd w:val="clear" w:color="auto" w:fill="002060"/>
            <w:vAlign w:val="center"/>
          </w:tcPr>
          <w:p w14:paraId="402E3CDA" w14:textId="77777777" w:rsidR="00D92E76" w:rsidRPr="00E531B5" w:rsidRDefault="00D92E76" w:rsidP="00F515D5">
            <w:pPr>
              <w:pStyle w:val="Tableparagraphwhite"/>
              <w:cnfStyle w:val="100000000000" w:firstRow="1" w:lastRow="0" w:firstColumn="0" w:lastColumn="0" w:oddVBand="0" w:evenVBand="0" w:oddHBand="0" w:evenHBand="0" w:firstRowFirstColumn="0" w:firstRowLastColumn="0" w:lastRowFirstColumn="0" w:lastRowLastColumn="0"/>
              <w:rPr>
                <w:lang w:val="en-NZ"/>
              </w:rPr>
            </w:pPr>
            <w:r w:rsidRPr="0099740B">
              <w:t>2028</w:t>
            </w:r>
          </w:p>
        </w:tc>
        <w:tc>
          <w:tcPr>
            <w:tcW w:w="0" w:type="auto"/>
            <w:shd w:val="clear" w:color="auto" w:fill="002060"/>
            <w:vAlign w:val="center"/>
          </w:tcPr>
          <w:p w14:paraId="48E1468B" w14:textId="77777777" w:rsidR="00D92E76" w:rsidRPr="00E531B5" w:rsidRDefault="00D92E76" w:rsidP="00F515D5">
            <w:pPr>
              <w:pStyle w:val="Tableparagraphwhite"/>
              <w:cnfStyle w:val="100000000000" w:firstRow="1" w:lastRow="0" w:firstColumn="0" w:lastColumn="0" w:oddVBand="0" w:evenVBand="0" w:oddHBand="0" w:evenHBand="0" w:firstRowFirstColumn="0" w:firstRowLastColumn="0" w:lastRowFirstColumn="0" w:lastRowLastColumn="0"/>
              <w:rPr>
                <w:lang w:val="en-NZ"/>
              </w:rPr>
            </w:pPr>
            <w:r w:rsidRPr="0099740B">
              <w:t>2029</w:t>
            </w:r>
          </w:p>
        </w:tc>
        <w:tc>
          <w:tcPr>
            <w:tcW w:w="0" w:type="auto"/>
            <w:shd w:val="clear" w:color="auto" w:fill="002060"/>
            <w:vAlign w:val="center"/>
          </w:tcPr>
          <w:p w14:paraId="055C2A0D" w14:textId="77777777" w:rsidR="00D92E76" w:rsidRPr="00E531B5" w:rsidRDefault="00D92E76" w:rsidP="00F515D5">
            <w:pPr>
              <w:pStyle w:val="Tableparagraphwhite"/>
              <w:cnfStyle w:val="100000000000" w:firstRow="1" w:lastRow="0" w:firstColumn="0" w:lastColumn="0" w:oddVBand="0" w:evenVBand="0" w:oddHBand="0" w:evenHBand="0" w:firstRowFirstColumn="0" w:firstRowLastColumn="0" w:lastRowFirstColumn="0" w:lastRowLastColumn="0"/>
              <w:rPr>
                <w:lang w:val="en-NZ"/>
              </w:rPr>
            </w:pPr>
            <w:r w:rsidRPr="0099740B">
              <w:t>2030</w:t>
            </w:r>
          </w:p>
        </w:tc>
      </w:tr>
      <w:tr w:rsidR="004E5543" w:rsidRPr="0091207A" w14:paraId="0FD55D92" w14:textId="77777777" w:rsidTr="0038067C">
        <w:trPr>
          <w:cnfStyle w:val="000000100000" w:firstRow="0" w:lastRow="0" w:firstColumn="0" w:lastColumn="0" w:oddVBand="0" w:evenVBand="0" w:oddHBand="1" w:evenHBand="0"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0" w:type="auto"/>
            <w:shd w:val="clear" w:color="auto" w:fill="C1DCD5"/>
            <w:vAlign w:val="center"/>
          </w:tcPr>
          <w:p w14:paraId="3291FC64" w14:textId="27AC8341" w:rsidR="00D92E76" w:rsidRPr="0032378D" w:rsidRDefault="00832A50" w:rsidP="00AF2E1A">
            <w:pPr>
              <w:pStyle w:val="TableParagraph"/>
              <w:jc w:val="left"/>
              <w:rPr>
                <w:b w:val="0"/>
                <w:bCs w:val="0"/>
              </w:rPr>
            </w:pPr>
            <w:r w:rsidRPr="0032378D">
              <w:rPr>
                <w:b w:val="0"/>
                <w:bCs w:val="0"/>
              </w:rPr>
              <w:t xml:space="preserve">Current auction volumes </w:t>
            </w:r>
            <w:r w:rsidR="00056D2D" w:rsidRPr="0032378D">
              <w:rPr>
                <w:b w:val="0"/>
                <w:bCs w:val="0"/>
              </w:rPr>
              <w:t>(excluding CCR)</w:t>
            </w:r>
          </w:p>
        </w:tc>
        <w:tc>
          <w:tcPr>
            <w:tcW w:w="0" w:type="auto"/>
            <w:shd w:val="clear" w:color="auto" w:fill="E9F5F2"/>
            <w:vAlign w:val="center"/>
          </w:tcPr>
          <w:p w14:paraId="258C4E63" w14:textId="21C78C51" w:rsidR="00D92E76" w:rsidRPr="00E531B5" w:rsidRDefault="000E2AF1" w:rsidP="00F515D5">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E531B5">
              <w:t>5.2</w:t>
            </w:r>
          </w:p>
        </w:tc>
        <w:tc>
          <w:tcPr>
            <w:tcW w:w="0" w:type="auto"/>
            <w:shd w:val="clear" w:color="auto" w:fill="E9F5F2"/>
            <w:vAlign w:val="center"/>
          </w:tcPr>
          <w:p w14:paraId="12A7FF70" w14:textId="71FEB730" w:rsidR="00D92E76" w:rsidRPr="00E531B5" w:rsidRDefault="000E2AF1" w:rsidP="00F515D5">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E531B5">
              <w:t>4.3</w:t>
            </w:r>
          </w:p>
        </w:tc>
        <w:tc>
          <w:tcPr>
            <w:tcW w:w="0" w:type="auto"/>
            <w:shd w:val="clear" w:color="auto" w:fill="E9F5F2"/>
            <w:vAlign w:val="center"/>
          </w:tcPr>
          <w:p w14:paraId="51FF2C80" w14:textId="047B8820" w:rsidR="00D92E76" w:rsidRPr="00E531B5" w:rsidRDefault="000E2AF1" w:rsidP="00F515D5">
            <w:pPr>
              <w:pStyle w:val="TableParagraph"/>
              <w:cnfStyle w:val="000000100000" w:firstRow="0" w:lastRow="0" w:firstColumn="0" w:lastColumn="0" w:oddVBand="0" w:evenVBand="0" w:oddHBand="1" w:evenHBand="0" w:firstRowFirstColumn="0" w:firstRowLastColumn="0" w:lastRowFirstColumn="0" w:lastRowLastColumn="0"/>
            </w:pPr>
            <w:r w:rsidRPr="00E531B5">
              <w:t>3</w:t>
            </w:r>
            <w:r w:rsidR="00D92E76" w:rsidRPr="00E531B5">
              <w:rPr>
                <w:sz w:val="24"/>
                <w:szCs w:val="24"/>
              </w:rPr>
              <w:t>.3</w:t>
            </w:r>
          </w:p>
        </w:tc>
        <w:tc>
          <w:tcPr>
            <w:tcW w:w="0" w:type="auto"/>
            <w:shd w:val="clear" w:color="auto" w:fill="E9F5F2"/>
            <w:vAlign w:val="center"/>
          </w:tcPr>
          <w:p w14:paraId="455B08E9" w14:textId="3BF327DD" w:rsidR="00D92E76" w:rsidRPr="00E531B5" w:rsidRDefault="000E2AF1" w:rsidP="00F515D5">
            <w:pPr>
              <w:pStyle w:val="TableParagraph"/>
              <w:cnfStyle w:val="000000100000" w:firstRow="0" w:lastRow="0" w:firstColumn="0" w:lastColumn="0" w:oddVBand="0" w:evenVBand="0" w:oddHBand="1" w:evenHBand="0" w:firstRowFirstColumn="0" w:firstRowLastColumn="0" w:lastRowFirstColumn="0" w:lastRowLastColumn="0"/>
            </w:pPr>
            <w:r w:rsidRPr="00E531B5">
              <w:t>2.4</w:t>
            </w:r>
          </w:p>
        </w:tc>
        <w:tc>
          <w:tcPr>
            <w:tcW w:w="0" w:type="auto"/>
            <w:shd w:val="clear" w:color="auto" w:fill="D4E8DE"/>
            <w:vAlign w:val="center"/>
          </w:tcPr>
          <w:p w14:paraId="5071A763" w14:textId="7D54A844" w:rsidR="00D92E76" w:rsidRPr="00E531B5" w:rsidRDefault="000E2AF1" w:rsidP="00F515D5">
            <w:pPr>
              <w:pStyle w:val="TableParagraph"/>
              <w:cnfStyle w:val="000000100000" w:firstRow="0" w:lastRow="0" w:firstColumn="0" w:lastColumn="0" w:oddVBand="0" w:evenVBand="0" w:oddHBand="1" w:evenHBand="0" w:firstRowFirstColumn="0" w:firstRowLastColumn="0" w:lastRowFirstColumn="0" w:lastRowLastColumn="0"/>
            </w:pPr>
            <w:r w:rsidRPr="00E531B5">
              <w:t>1.7</w:t>
            </w:r>
          </w:p>
        </w:tc>
      </w:tr>
      <w:tr w:rsidR="004E5543" w:rsidRPr="0091207A" w14:paraId="3C5D9D1F" w14:textId="77777777" w:rsidTr="0038067C">
        <w:trPr>
          <w:cantSplit/>
          <w:trHeight w:val="482"/>
        </w:trPr>
        <w:tc>
          <w:tcPr>
            <w:cnfStyle w:val="001000000000" w:firstRow="0" w:lastRow="0" w:firstColumn="1" w:lastColumn="0" w:oddVBand="0" w:evenVBand="0" w:oddHBand="0" w:evenHBand="0" w:firstRowFirstColumn="0" w:firstRowLastColumn="0" w:lastRowFirstColumn="0" w:lastRowLastColumn="0"/>
            <w:tcW w:w="0" w:type="auto"/>
            <w:shd w:val="clear" w:color="auto" w:fill="C1DCD5"/>
            <w:vAlign w:val="center"/>
          </w:tcPr>
          <w:p w14:paraId="3D3C65AB" w14:textId="6470CF33" w:rsidR="00D92E76" w:rsidRPr="0032378D" w:rsidRDefault="00904820" w:rsidP="00AF2E1A">
            <w:pPr>
              <w:pStyle w:val="TableParagraph"/>
              <w:jc w:val="left"/>
              <w:rPr>
                <w:b w:val="0"/>
                <w:bCs w:val="0"/>
              </w:rPr>
            </w:pPr>
            <w:r w:rsidRPr="0032378D">
              <w:rPr>
                <w:b w:val="0"/>
                <w:bCs w:val="0"/>
              </w:rPr>
              <w:t>Proposed u</w:t>
            </w:r>
            <w:r w:rsidR="0095271E" w:rsidRPr="0032378D">
              <w:rPr>
                <w:b w:val="0"/>
                <w:bCs w:val="0"/>
              </w:rPr>
              <w:t xml:space="preserve">pdated auction volume </w:t>
            </w:r>
            <w:r w:rsidR="00056D2D" w:rsidRPr="0032378D">
              <w:rPr>
                <w:b w:val="0"/>
                <w:bCs w:val="0"/>
              </w:rPr>
              <w:t>(excluding CCR)</w:t>
            </w:r>
          </w:p>
        </w:tc>
        <w:tc>
          <w:tcPr>
            <w:tcW w:w="0" w:type="auto"/>
            <w:shd w:val="clear" w:color="auto" w:fill="E9F5F2"/>
            <w:vAlign w:val="center"/>
          </w:tcPr>
          <w:p w14:paraId="51152C3C" w14:textId="0FAB004B" w:rsidR="00D92E76" w:rsidRPr="00E531B5" w:rsidRDefault="000E2AF1" w:rsidP="00F51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E531B5">
              <w:t>5.2</w:t>
            </w:r>
          </w:p>
        </w:tc>
        <w:tc>
          <w:tcPr>
            <w:tcW w:w="0" w:type="auto"/>
            <w:shd w:val="clear" w:color="auto" w:fill="E9F5F2"/>
            <w:vAlign w:val="center"/>
          </w:tcPr>
          <w:p w14:paraId="344ECED7" w14:textId="0DCBEEBA" w:rsidR="00D92E76" w:rsidRPr="00E531B5" w:rsidRDefault="000E2AF1" w:rsidP="00F51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E531B5">
              <w:t>4.3</w:t>
            </w:r>
          </w:p>
        </w:tc>
        <w:tc>
          <w:tcPr>
            <w:tcW w:w="0" w:type="auto"/>
            <w:shd w:val="clear" w:color="auto" w:fill="E9F5F2"/>
            <w:vAlign w:val="center"/>
          </w:tcPr>
          <w:p w14:paraId="4E61EE2A" w14:textId="590F6012" w:rsidR="00D92E76" w:rsidRPr="00E531B5" w:rsidRDefault="000E2AF1" w:rsidP="00F51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E531B5">
              <w:t>7.</w:t>
            </w:r>
            <w:r w:rsidR="00D92E76" w:rsidRPr="00E531B5">
              <w:t>0</w:t>
            </w:r>
          </w:p>
        </w:tc>
        <w:tc>
          <w:tcPr>
            <w:tcW w:w="0" w:type="auto"/>
            <w:shd w:val="clear" w:color="auto" w:fill="E9F5F2"/>
            <w:vAlign w:val="center"/>
          </w:tcPr>
          <w:p w14:paraId="1DFA95DB" w14:textId="3DE575F8" w:rsidR="00D92E76" w:rsidRPr="00E531B5" w:rsidRDefault="000E2AF1" w:rsidP="00F51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E531B5">
              <w:t>7.</w:t>
            </w:r>
            <w:r w:rsidR="00D92E76" w:rsidRPr="00E531B5">
              <w:t>0</w:t>
            </w:r>
          </w:p>
        </w:tc>
        <w:tc>
          <w:tcPr>
            <w:tcW w:w="0" w:type="auto"/>
            <w:shd w:val="clear" w:color="auto" w:fill="D4E8DE"/>
            <w:vAlign w:val="center"/>
          </w:tcPr>
          <w:p w14:paraId="3153A8CF" w14:textId="26EB865C" w:rsidR="00D92E76" w:rsidRPr="00E531B5" w:rsidRDefault="000E2AF1" w:rsidP="00F515D5">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E531B5">
              <w:t>7.</w:t>
            </w:r>
            <w:r w:rsidR="00D92E76" w:rsidRPr="00E531B5">
              <w:t>0</w:t>
            </w:r>
          </w:p>
        </w:tc>
      </w:tr>
    </w:tbl>
    <w:p w14:paraId="69D19C72" w14:textId="0C7D97AA" w:rsidR="009E60CA" w:rsidRDefault="001961BD" w:rsidP="009E60CA">
      <w:pPr>
        <w:pStyle w:val="Heading2nonumber"/>
      </w:pPr>
      <w:bookmarkStart w:id="27" w:name="_Toc195447234"/>
      <w:r>
        <w:t>Method for determining the unit limits</w:t>
      </w:r>
      <w:bookmarkEnd w:id="27"/>
    </w:p>
    <w:p w14:paraId="13D09ACE" w14:textId="3A7C7D14" w:rsidR="003A7493" w:rsidRDefault="003A7493" w:rsidP="003A7493">
      <w:r>
        <w:t>In our advice for the previous three years, we applied a seven-step method to determine the unit volumes. We have used the same approach to developing this year’s advice</w:t>
      </w:r>
      <w:r w:rsidR="00F427F0">
        <w:t xml:space="preserve">. </w:t>
      </w:r>
      <w:r w:rsidR="00B94C1C">
        <w:t>These steps are</w:t>
      </w:r>
      <w:r>
        <w:t xml:space="preserve"> set out below:  </w:t>
      </w:r>
    </w:p>
    <w:p w14:paraId="44CF89EE" w14:textId="6224495D" w:rsidR="003A7493" w:rsidRDefault="003A7493" w:rsidP="00987F23">
      <w:pPr>
        <w:pStyle w:val="Numberlist"/>
        <w:numPr>
          <w:ilvl w:val="0"/>
          <w:numId w:val="16"/>
        </w:numPr>
      </w:pPr>
      <w:r>
        <w:t>Align with emissions reduction targets</w:t>
      </w:r>
    </w:p>
    <w:p w14:paraId="68EB5908" w14:textId="1E8B5DBE" w:rsidR="003A7493" w:rsidRDefault="003A7493" w:rsidP="00987F23">
      <w:pPr>
        <w:pStyle w:val="Numberlist"/>
        <w:numPr>
          <w:ilvl w:val="0"/>
          <w:numId w:val="16"/>
        </w:numPr>
      </w:pPr>
      <w:r>
        <w:t xml:space="preserve">Allocate volume to NZ ETS and non-NZ ETS sectors (‘set the emissions cap’)  </w:t>
      </w:r>
    </w:p>
    <w:p w14:paraId="27C3857D" w14:textId="6397FDD0" w:rsidR="003A7493" w:rsidRDefault="003A7493" w:rsidP="00987F23">
      <w:pPr>
        <w:pStyle w:val="Numberlist"/>
        <w:numPr>
          <w:ilvl w:val="0"/>
          <w:numId w:val="16"/>
        </w:numPr>
      </w:pPr>
      <w:r>
        <w:t xml:space="preserve">Technical adjustments    </w:t>
      </w:r>
    </w:p>
    <w:p w14:paraId="12E4D060" w14:textId="58F112D1" w:rsidR="003A7493" w:rsidRDefault="003A7493" w:rsidP="00987F23">
      <w:pPr>
        <w:pStyle w:val="Numberlist"/>
        <w:numPr>
          <w:ilvl w:val="0"/>
          <w:numId w:val="16"/>
        </w:numPr>
      </w:pPr>
      <w:r>
        <w:t xml:space="preserve">Account for industrial free allocation volumes   </w:t>
      </w:r>
    </w:p>
    <w:p w14:paraId="6F1A9CAF" w14:textId="031AF8C8" w:rsidR="003A7493" w:rsidRDefault="003A7493" w:rsidP="00987F23">
      <w:pPr>
        <w:pStyle w:val="Numberlist"/>
        <w:numPr>
          <w:ilvl w:val="0"/>
          <w:numId w:val="16"/>
        </w:numPr>
      </w:pPr>
      <w:r>
        <w:t>Set reduction volume to address unit surplus</w:t>
      </w:r>
      <w:r w:rsidR="002617D2">
        <w:t xml:space="preserve"> – </w:t>
      </w:r>
      <w:r>
        <w:t>including</w:t>
      </w:r>
      <w:r w:rsidR="002617D2">
        <w:t xml:space="preserve"> </w:t>
      </w:r>
      <w:r w:rsidR="00A148B3">
        <w:t>set a</w:t>
      </w:r>
      <w:r>
        <w:t xml:space="preserve"> base surplus and annual unit reduction volumes (5</w:t>
      </w:r>
      <w:r w:rsidR="00F3467B">
        <w:t>a</w:t>
      </w:r>
      <w:r>
        <w:t>)</w:t>
      </w:r>
      <w:r w:rsidR="005F2BC6">
        <w:t xml:space="preserve"> and adjust for discrepancies (5b)</w:t>
      </w:r>
      <w:r>
        <w:t xml:space="preserve">  </w:t>
      </w:r>
    </w:p>
    <w:p w14:paraId="6AF9CD0C" w14:textId="4687CD9B" w:rsidR="003A7493" w:rsidRDefault="003A7493" w:rsidP="00987F23">
      <w:pPr>
        <w:pStyle w:val="Numberlist"/>
        <w:numPr>
          <w:ilvl w:val="0"/>
          <w:numId w:val="16"/>
        </w:numPr>
      </w:pPr>
      <w:r>
        <w:t xml:space="preserve">Set approved overseas unit limit   </w:t>
      </w:r>
    </w:p>
    <w:p w14:paraId="0C3C3FB9" w14:textId="7E4CFA29" w:rsidR="003A7493" w:rsidRDefault="003A7493" w:rsidP="00987F23">
      <w:pPr>
        <w:pStyle w:val="Numberlist"/>
        <w:numPr>
          <w:ilvl w:val="0"/>
          <w:numId w:val="16"/>
        </w:numPr>
      </w:pPr>
      <w:r>
        <w:t>Calculate the auction volume and assess risks</w:t>
      </w:r>
      <w:r w:rsidR="005D2439">
        <w:t>.</w:t>
      </w:r>
      <w:r>
        <w:t xml:space="preserve">  </w:t>
      </w:r>
    </w:p>
    <w:p w14:paraId="7E654125" w14:textId="0CF2BEA7" w:rsidR="003A7493" w:rsidRDefault="003A7493" w:rsidP="003A7493">
      <w:r>
        <w:t xml:space="preserve">The remainder of Part 3 </w:t>
      </w:r>
      <w:r w:rsidR="00563785">
        <w:t>summarises</w:t>
      </w:r>
      <w:r>
        <w:t xml:space="preserve"> the analysis undertaken </w:t>
      </w:r>
      <w:r w:rsidR="00BB4820">
        <w:t>under each of these steps</w:t>
      </w:r>
      <w:r w:rsidR="00525B58">
        <w:t>,</w:t>
      </w:r>
      <w:r w:rsidR="00BB4820">
        <w:t xml:space="preserve"> </w:t>
      </w:r>
      <w:r>
        <w:t xml:space="preserve">and </w:t>
      </w:r>
      <w:r w:rsidR="00BB4820">
        <w:t xml:space="preserve">sets out </w:t>
      </w:r>
      <w:r>
        <w:t xml:space="preserve">the Commission’s conclusion or recommendations for each. These seven steps lead to our proposed annual auction volumes.   </w:t>
      </w:r>
    </w:p>
    <w:p w14:paraId="7EF37158" w14:textId="77777777" w:rsidR="00D50998" w:rsidRDefault="00F6582E" w:rsidP="003A7493">
      <w:r>
        <w:t xml:space="preserve">In December 2024 the Government published the second emissions reduction plan. This plan </w:t>
      </w:r>
      <w:r w:rsidR="00184CD6">
        <w:t xml:space="preserve">set out the Government’s position </w:t>
      </w:r>
      <w:r>
        <w:t>on how it expect</w:t>
      </w:r>
      <w:r w:rsidR="005B39A1">
        <w:t>s</w:t>
      </w:r>
      <w:r>
        <w:t xml:space="preserve"> to use the NZ ETS to meet its emissions reduction targets</w:t>
      </w:r>
      <w:r w:rsidR="0078403A">
        <w:t>, including a decision on a provisional emissions cap for the NZ ETS</w:t>
      </w:r>
      <w:r>
        <w:t xml:space="preserve">. </w:t>
      </w:r>
    </w:p>
    <w:p w14:paraId="4B0E5E42" w14:textId="7C20566B" w:rsidR="00F6582E" w:rsidRDefault="00F6582E" w:rsidP="003A7493">
      <w:r>
        <w:t>Where applicable, the Commission’s advice in these steps reflects decisions made by the Government in the second emissions reduction plan</w:t>
      </w:r>
      <w:r w:rsidR="00D50998">
        <w:t>. This is because</w:t>
      </w:r>
      <w:r w:rsidR="004F1853">
        <w:t xml:space="preserve"> </w:t>
      </w:r>
      <w:r w:rsidR="00365CA0">
        <w:t xml:space="preserve">the way the NZ ETS is </w:t>
      </w:r>
      <w:r w:rsidR="0022652C">
        <w:t>managed needs to be compatible with the Government’s overall climate policy package</w:t>
      </w:r>
      <w:r>
        <w:t>.</w:t>
      </w:r>
    </w:p>
    <w:p w14:paraId="668F4413" w14:textId="108E6074" w:rsidR="00A2592C" w:rsidRDefault="00A2592C" w:rsidP="00A2592C">
      <w:r w:rsidRPr="00827A1D">
        <w:t xml:space="preserve">Further detail on </w:t>
      </w:r>
      <w:r w:rsidR="00E05B1F">
        <w:t xml:space="preserve">all </w:t>
      </w:r>
      <w:r w:rsidR="00D937A0">
        <w:t>the steps</w:t>
      </w:r>
      <w:r w:rsidR="003275F7">
        <w:t>, including more detailed data and description of the methodolog</w:t>
      </w:r>
      <w:r w:rsidR="0099343C">
        <w:t>y</w:t>
      </w:r>
      <w:r w:rsidR="003275F7">
        <w:t>,</w:t>
      </w:r>
      <w:r w:rsidR="007D3BCA">
        <w:t xml:space="preserve"> </w:t>
      </w:r>
      <w:r w:rsidRPr="00827A1D">
        <w:t xml:space="preserve">can be found in </w:t>
      </w:r>
      <w:r w:rsidRPr="003F6B3E">
        <w:rPr>
          <w:i/>
        </w:rPr>
        <w:t xml:space="preserve">Technical </w:t>
      </w:r>
      <w:r w:rsidR="0062592D">
        <w:rPr>
          <w:i/>
        </w:rPr>
        <w:t>A</w:t>
      </w:r>
      <w:r w:rsidR="002F10C2" w:rsidRPr="003F6B3E">
        <w:rPr>
          <w:i/>
        </w:rPr>
        <w:t>nnex 1: Unit limit settings</w:t>
      </w:r>
      <w:r w:rsidR="00D97B41">
        <w:t xml:space="preserve">, </w:t>
      </w:r>
      <w:r w:rsidRPr="00827A1D">
        <w:t>published separately on our website. </w:t>
      </w:r>
    </w:p>
    <w:p w14:paraId="7B5F1336" w14:textId="01821D00" w:rsidR="00121F49" w:rsidRDefault="00121F49" w:rsidP="00121F49">
      <w:r>
        <w:t>The last component of our advice on unit limits looks at the volume of NZUs in the cost containment reserve</w:t>
      </w:r>
      <w:r w:rsidR="007614C7">
        <w:t>. When</w:t>
      </w:r>
      <w:r>
        <w:t xml:space="preserve"> combined with the base annual auction volume</w:t>
      </w:r>
      <w:r w:rsidR="007614C7">
        <w:t>, this</w:t>
      </w:r>
      <w:r>
        <w:t xml:space="preserve"> results in the </w:t>
      </w:r>
      <w:r w:rsidR="005015E1">
        <w:t>recommend</w:t>
      </w:r>
      <w:r w:rsidR="00E917D9">
        <w:t>ed</w:t>
      </w:r>
      <w:r w:rsidR="005015E1">
        <w:t xml:space="preserve"> </w:t>
      </w:r>
      <w:r w:rsidR="004C6020">
        <w:t>limit on</w:t>
      </w:r>
      <w:r>
        <w:t xml:space="preserve"> NZUs available by auction. </w:t>
      </w:r>
      <w:r w:rsidR="004516CE">
        <w:t>The cost containment reserve</w:t>
      </w:r>
      <w:r>
        <w:t xml:space="preserve"> is considered in </w:t>
      </w:r>
      <w:r w:rsidRPr="00730061">
        <w:rPr>
          <w:i/>
        </w:rPr>
        <w:t>Part 4</w:t>
      </w:r>
      <w:r w:rsidR="0019422D" w:rsidRPr="00730061">
        <w:rPr>
          <w:i/>
        </w:rPr>
        <w:t xml:space="preserve">: Te ritenga taura-utu </w:t>
      </w:r>
      <w:r w:rsidR="0019422D" w:rsidRPr="0019422D">
        <w:rPr>
          <w:i/>
          <w:iCs/>
        </w:rPr>
        <w:t>–</w:t>
      </w:r>
      <w:r w:rsidRPr="003F6B3E">
        <w:rPr>
          <w:i/>
        </w:rPr>
        <w:t xml:space="preserve"> Price </w:t>
      </w:r>
      <w:r w:rsidR="003941AA">
        <w:rPr>
          <w:i/>
          <w:iCs/>
        </w:rPr>
        <w:t>c</w:t>
      </w:r>
      <w:r w:rsidR="003941AA" w:rsidRPr="00730061">
        <w:rPr>
          <w:i/>
        </w:rPr>
        <w:t xml:space="preserve">ontrol </w:t>
      </w:r>
      <w:r w:rsidR="003941AA">
        <w:rPr>
          <w:i/>
          <w:iCs/>
        </w:rPr>
        <w:t>s</w:t>
      </w:r>
      <w:r w:rsidR="003941AA" w:rsidRPr="00730061">
        <w:rPr>
          <w:i/>
          <w:iCs/>
        </w:rPr>
        <w:t>ettings</w:t>
      </w:r>
      <w:r>
        <w:t>.</w:t>
      </w:r>
    </w:p>
    <w:p w14:paraId="09710079" w14:textId="628A597E" w:rsidR="00121F49" w:rsidRDefault="00121F49" w:rsidP="00121F49">
      <w:r>
        <w:t xml:space="preserve">The consolidated recommendations for unit limits, including the overall unit limits and a comparison with current settings, are presented in </w:t>
      </w:r>
      <w:r w:rsidRPr="00730061">
        <w:rPr>
          <w:i/>
        </w:rPr>
        <w:t>Part 5</w:t>
      </w:r>
      <w:r w:rsidR="00555B2C">
        <w:rPr>
          <w:i/>
        </w:rPr>
        <w:t xml:space="preserve">: </w:t>
      </w:r>
      <w:r w:rsidR="00555B2C" w:rsidRPr="00555B2C">
        <w:rPr>
          <w:i/>
          <w:iCs/>
        </w:rPr>
        <w:t>Te taupoki – Final recommendations</w:t>
      </w:r>
      <w:r w:rsidR="00555B2C">
        <w:rPr>
          <w:i/>
          <w:iCs/>
        </w:rPr>
        <w:t>,</w:t>
      </w:r>
      <w:r w:rsidR="00A70671">
        <w:t xml:space="preserve"> of this advice</w:t>
      </w:r>
      <w:r>
        <w:t>. </w:t>
      </w:r>
    </w:p>
    <w:p w14:paraId="296BAEA9" w14:textId="3B431BD9" w:rsidR="009E60CA" w:rsidRDefault="00477178" w:rsidP="00E531B5">
      <w:pPr>
        <w:pStyle w:val="Heading3"/>
      </w:pPr>
      <w:r>
        <w:lastRenderedPageBreak/>
        <w:t>Adaptive management</w:t>
      </w:r>
    </w:p>
    <w:p w14:paraId="43F874C4" w14:textId="5DD99152" w:rsidR="00CA77B5" w:rsidRDefault="00CA77B5" w:rsidP="00CA77B5">
      <w:r>
        <w:t>Our method for calculating unit limits follows an adaptive management approach, consistent with the system under the Act. The annual updates process allows us to monitor trends and new information over time</w:t>
      </w:r>
      <w:r w:rsidR="009C15FA">
        <w:t>. In this way,</w:t>
      </w:r>
      <w:r w:rsidR="00402305">
        <w:t xml:space="preserve"> </w:t>
      </w:r>
      <w:r>
        <w:t xml:space="preserve">assumptions and judgements that informed existing regulations can be reassessed and amended in future settings advice if needed, along with </w:t>
      </w:r>
      <w:r w:rsidR="002E2E89">
        <w:t xml:space="preserve">extending the settings by a </w:t>
      </w:r>
      <w:r>
        <w:t xml:space="preserve">year.   </w:t>
      </w:r>
    </w:p>
    <w:p w14:paraId="2DA466EF" w14:textId="1BE80B44" w:rsidR="00CA77B5" w:rsidRDefault="00CA77B5" w:rsidP="00CA77B5">
      <w:r>
        <w:t>A key reason this annual review system was established is that the Government’s decisions on these settings must be made based on inherently uncertain information</w:t>
      </w:r>
      <w:r w:rsidR="00C87008">
        <w:t>,</w:t>
      </w:r>
      <w:r>
        <w:t xml:space="preserve"> such as emissions projections or forecasts of unit flows. This creates a need to regularly revisit the settings. As time passes, actual data becomes available that inevitably differs from the projections that informed the settings approved in regulations previously.   </w:t>
      </w:r>
    </w:p>
    <w:p w14:paraId="61AC462D" w14:textId="27DC2A60" w:rsidR="00CA77B5" w:rsidRDefault="00A55696" w:rsidP="00CA77B5">
      <w:r>
        <w:t xml:space="preserve">We have heard concerns that some elements of our analysis are uncertain. However, some uncertainty is unavoidable as it is built into the </w:t>
      </w:r>
      <w:r w:rsidRPr="0052573D">
        <w:t xml:space="preserve">design </w:t>
      </w:r>
      <w:r>
        <w:t xml:space="preserve">of the NZ ETS. </w:t>
      </w:r>
      <w:r w:rsidR="00314F59">
        <w:t>For e</w:t>
      </w:r>
      <w:r>
        <w:t>xample</w:t>
      </w:r>
      <w:r w:rsidR="00314F59">
        <w:t>,</w:t>
      </w:r>
      <w:r w:rsidDel="00314F59">
        <w:t xml:space="preserve"> the </w:t>
      </w:r>
      <w:r>
        <w:t>volume of industrial free allocation in the NZ ETS changes with firms’ production levels each year, and the voluntary participation of post-1989 forests means that the NZ ETS’</w:t>
      </w:r>
      <w:r w:rsidR="004A20DE">
        <w:t>s</w:t>
      </w:r>
      <w:r>
        <w:t xml:space="preserve"> coverage of forestry emissions and removals can change significantly over time as forests register or deregister from the scheme. </w:t>
      </w:r>
      <w:r w:rsidR="00EB47F3">
        <w:t>This year, w</w:t>
      </w:r>
      <w:r w:rsidR="00A97978">
        <w:t xml:space="preserve">e have </w:t>
      </w:r>
      <w:r w:rsidR="00EB47F3">
        <w:t xml:space="preserve">refined the </w:t>
      </w:r>
      <w:r w:rsidR="005214BE">
        <w:t>methodology</w:t>
      </w:r>
      <w:r w:rsidR="00EB47F3">
        <w:t xml:space="preserve"> we use</w:t>
      </w:r>
      <w:r w:rsidR="00B55CEB">
        <w:t xml:space="preserve"> to</w:t>
      </w:r>
      <w:r w:rsidR="00A97978">
        <w:t xml:space="preserve"> estimate surplus </w:t>
      </w:r>
      <w:r w:rsidR="003451E7">
        <w:t>units</w:t>
      </w:r>
      <w:r w:rsidR="00A97978">
        <w:t xml:space="preserve"> </w:t>
      </w:r>
      <w:r w:rsidR="005249E4">
        <w:t xml:space="preserve">in a way that we expect will </w:t>
      </w:r>
      <w:r w:rsidR="004704BA">
        <w:t xml:space="preserve">minimise </w:t>
      </w:r>
      <w:r w:rsidR="005249E4">
        <w:t xml:space="preserve">some </w:t>
      </w:r>
      <w:r w:rsidR="009C5E44">
        <w:t>future changes</w:t>
      </w:r>
      <w:r w:rsidR="005249E4">
        <w:t xml:space="preserve"> that would otherwise have to be made</w:t>
      </w:r>
      <w:r w:rsidR="009C5E44">
        <w:t>.</w:t>
      </w:r>
    </w:p>
    <w:p w14:paraId="3826150A" w14:textId="1926D9A5" w:rsidR="00F940A8" w:rsidRDefault="00F940A8" w:rsidP="00730061">
      <w:pPr>
        <w:pStyle w:val="Heading2nonumber"/>
      </w:pPr>
      <w:bookmarkStart w:id="28" w:name="_Toc195447235"/>
      <w:r>
        <w:t>Step 1: Align with emissions reduction targets</w:t>
      </w:r>
      <w:bookmarkEnd w:id="28"/>
    </w:p>
    <w:p w14:paraId="3E25ED0E" w14:textId="6F5A5D2C" w:rsidR="00D5075B" w:rsidRDefault="00574115" w:rsidP="00840317">
      <w:r>
        <w:t xml:space="preserve">Our advice on unit limits and price control settings is required to accord with the emissions budgets and NDCs </w:t>
      </w:r>
      <w:r w:rsidR="007A4E81">
        <w:t>that have been set</w:t>
      </w:r>
      <w:r>
        <w:t xml:space="preserve">, and with the 2050 target. </w:t>
      </w:r>
      <w:r w:rsidR="00026886">
        <w:t xml:space="preserve">The first step </w:t>
      </w:r>
      <w:r w:rsidR="00A23B8F">
        <w:t>for advising on the unit limits in the NZ ETS is determining the most appropriate way to align the unit limits with these different targets. Once this is determined, the unit limit volumes can be calculated in alignment with achieving them. </w:t>
      </w:r>
    </w:p>
    <w:p w14:paraId="7BA940FA" w14:textId="11BF97D0" w:rsidR="00574115" w:rsidRDefault="00574115" w:rsidP="00840317">
      <w:r>
        <w:t>As in previous years, we have aligned our advice with achieving emission</w:t>
      </w:r>
      <w:r w:rsidR="004A20DE">
        <w:t>s</w:t>
      </w:r>
      <w:r>
        <w:t xml:space="preserve"> budgets as the domestic component of the first NDC</w:t>
      </w:r>
      <w:r w:rsidR="00AE6360">
        <w:t>,</w:t>
      </w:r>
      <w:r>
        <w:t xml:space="preserve"> and as stepping stones to the 2050 target. We do this on the basis that the Government has committed that it intends to obtain the offshore mitigation necessary to meet the first NDC. Our advice here is conditional on the Government making good on that intention.</w:t>
      </w:r>
    </w:p>
    <w:p w14:paraId="579E8CB1" w14:textId="392EA494" w:rsidR="00A378EB" w:rsidRDefault="00840317" w:rsidP="00CC1E36">
      <w:r w:rsidRPr="002444A5">
        <w:t xml:space="preserve">Previous assessments from the Commission and the Government have shown that part of the </w:t>
      </w:r>
      <w:r w:rsidR="00272180">
        <w:t>first</w:t>
      </w:r>
      <w:r w:rsidRPr="002444A5">
        <w:t xml:space="preserve"> NDC will need to be met through offshore mitigation</w:t>
      </w:r>
      <w:r w:rsidR="00087783">
        <w:t>. This is because o</w:t>
      </w:r>
      <w:r w:rsidR="00C924CF">
        <w:t>f</w:t>
      </w:r>
      <w:r w:rsidRPr="002444A5">
        <w:t xml:space="preserve"> the time required for technological advancement</w:t>
      </w:r>
      <w:r w:rsidR="007E1EAF">
        <w:t xml:space="preserve">, </w:t>
      </w:r>
      <w:r w:rsidRPr="002444A5">
        <w:t xml:space="preserve">behaviour change </w:t>
      </w:r>
      <w:r w:rsidR="007E1EAF">
        <w:t xml:space="preserve">and investment </w:t>
      </w:r>
      <w:r w:rsidRPr="002444A5">
        <w:t>to reduce emissions domestically, and the need to balance domestic emissions reductions with managing economic and social disruption.</w:t>
      </w:r>
    </w:p>
    <w:p w14:paraId="2D2A54B7" w14:textId="4F2CD9AE" w:rsidR="00970C58" w:rsidRDefault="00EA312A" w:rsidP="00970C58">
      <w:r>
        <w:t>In December 2024 t</w:t>
      </w:r>
      <w:r w:rsidR="00970C58">
        <w:t xml:space="preserve">he Government released Aotearoa New Zealand’s second emissions reduction plan, and </w:t>
      </w:r>
      <w:r>
        <w:t xml:space="preserve">the </w:t>
      </w:r>
      <w:r w:rsidR="00970C58">
        <w:t xml:space="preserve">first Biennial Transparency Report. Projections from the second emissions reduction plan forecast that emissions will be below the levels of the first </w:t>
      </w:r>
      <w:r w:rsidR="0083173E">
        <w:t xml:space="preserve">(2022–2025) and </w:t>
      </w:r>
      <w:r w:rsidR="00970C58">
        <w:t xml:space="preserve">second </w:t>
      </w:r>
      <w:r w:rsidR="00155339">
        <w:t>(2026–</w:t>
      </w:r>
      <w:r w:rsidR="00970C58">
        <w:t>2030</w:t>
      </w:r>
      <w:r w:rsidR="00155339">
        <w:t xml:space="preserve">) </w:t>
      </w:r>
      <w:r w:rsidR="00970C58">
        <w:t>emissions budget</w:t>
      </w:r>
      <w:r w:rsidR="00155339">
        <w:t>s</w:t>
      </w:r>
      <w:r w:rsidR="00970C58">
        <w:t xml:space="preserve">. However, the current projections show </w:t>
      </w:r>
      <w:r w:rsidR="00970C58">
        <w:lastRenderedPageBreak/>
        <w:t>emissions higher than the third emissions budget, and significantly higher than the level of the first NDC.</w:t>
      </w:r>
      <w:r w:rsidR="00B326A1">
        <w:t xml:space="preserve"> </w:t>
      </w:r>
      <w:r w:rsidR="00970C58">
        <w:t xml:space="preserve">The first Biennial Transparency Report </w:t>
      </w:r>
      <w:r w:rsidR="00785579">
        <w:t>noted</w:t>
      </w:r>
      <w:r w:rsidR="00970C58">
        <w:t xml:space="preserve"> that the Government expected to need 84</w:t>
      </w:r>
      <w:r w:rsidR="009E55C8">
        <w:t>–</w:t>
      </w:r>
      <w:r w:rsidR="00970C58">
        <w:t>89</w:t>
      </w:r>
      <w:r w:rsidR="00931CEB">
        <w:t xml:space="preserve"> </w:t>
      </w:r>
      <w:r w:rsidR="00970C58">
        <w:t>Mt</w:t>
      </w:r>
      <w:r w:rsidR="004A4E54" w:rsidRPr="00731A09">
        <w:t>CO</w:t>
      </w:r>
      <w:r w:rsidR="004A4E54" w:rsidRPr="00731A09">
        <w:rPr>
          <w:vertAlign w:val="subscript"/>
        </w:rPr>
        <w:t>2</w:t>
      </w:r>
      <w:r w:rsidR="004A4E54" w:rsidRPr="00731A09">
        <w:t>e</w:t>
      </w:r>
      <w:r w:rsidR="00970C58">
        <w:t xml:space="preserve"> offshore mitigation to meet the first NDC.</w:t>
      </w:r>
      <w:r w:rsidR="00970C58">
        <w:rPr>
          <w:rStyle w:val="EndnoteReference"/>
        </w:rPr>
        <w:endnoteReference w:id="13"/>
      </w:r>
    </w:p>
    <w:p w14:paraId="0B27F3C2" w14:textId="76E04FB8" w:rsidR="00E54BB8" w:rsidRDefault="00E54BB8" w:rsidP="00E54BB8">
      <w:r>
        <w:t xml:space="preserve">According to the Biennial Transparency Report, the Government has established relationships with potential partner countries and is participating in multilateral funds that could provide avenues to acquire offshore mitigation in future. </w:t>
      </w:r>
      <w:r w:rsidR="00857243">
        <w:t>In addition, the successful conclusion of negotiations in 2024 to establish the Paris Agreement Crediting Mechanism provides a</w:t>
      </w:r>
      <w:r w:rsidR="00877B0E">
        <w:t>n additi</w:t>
      </w:r>
      <w:r w:rsidR="004E7382">
        <w:t xml:space="preserve">onal </w:t>
      </w:r>
      <w:r w:rsidR="00A36E4F">
        <w:t>avenue</w:t>
      </w:r>
      <w:r w:rsidR="00427DFD">
        <w:t xml:space="preserve"> for the Government to acquire </w:t>
      </w:r>
      <w:r w:rsidR="0075298A">
        <w:t>offshore mitigation.</w:t>
      </w:r>
      <w:r w:rsidR="00857243">
        <w:t xml:space="preserve"> </w:t>
      </w:r>
      <w:r>
        <w:t>However, to the Commission’s knowledge, the Government has not yet concluded agreements to acquire any offshore mitigation</w:t>
      </w:r>
      <w:r w:rsidR="00F03CAA">
        <w:t xml:space="preserve"> towards the first NDC</w:t>
      </w:r>
      <w:r>
        <w:t>.</w:t>
      </w:r>
      <w:r w:rsidR="00EF2299">
        <w:t xml:space="preserve"> </w:t>
      </w:r>
    </w:p>
    <w:p w14:paraId="16BF15B9" w14:textId="7A6EFDC4" w:rsidR="00E54BB8" w:rsidRDefault="00E54BB8" w:rsidP="00E54BB8">
      <w:r>
        <w:t xml:space="preserve">We consider that it is still viable for the Government to acquire the offshore mitigation necessary to meet the first NDC. However, as the time to the end of the NDC period (2030) elapses, it will become increasingly difficult to acquire the necessary volume since contributing emissions reductions must occur before 2031. </w:t>
      </w:r>
      <w:r w:rsidR="00D8469F">
        <w:t>W</w:t>
      </w:r>
      <w:r>
        <w:t xml:space="preserve">e </w:t>
      </w:r>
      <w:r w:rsidR="00D8469F">
        <w:t xml:space="preserve">also </w:t>
      </w:r>
      <w:r>
        <w:t>expect that offshore mitigation will become more expensive closer to 2030 as Aotearoa New Zealand competes with other countries to obtain offshore mitigation to meet their NDCs.</w:t>
      </w:r>
    </w:p>
    <w:p w14:paraId="6CDEFD8D" w14:textId="0367D198" w:rsidR="00F940A8" w:rsidRDefault="00840317" w:rsidP="00840317">
      <w:r w:rsidRPr="002444A5">
        <w:t xml:space="preserve">The Government has not decided on the NZ ETS’s role in delivering offshore mitigation to meet the </w:t>
      </w:r>
      <w:r w:rsidR="007F4B97">
        <w:t xml:space="preserve">first </w:t>
      </w:r>
      <w:r w:rsidRPr="002444A5">
        <w:t xml:space="preserve">NDC. </w:t>
      </w:r>
      <w:r w:rsidR="00585E24">
        <w:t>While t</w:t>
      </w:r>
      <w:r w:rsidRPr="002444A5">
        <w:t xml:space="preserve">he NZ ETS could </w:t>
      </w:r>
      <w:r w:rsidR="005715C3">
        <w:t xml:space="preserve">potentially </w:t>
      </w:r>
      <w:r w:rsidRPr="002444A5">
        <w:t>be used to deliver some offshore mitigation</w:t>
      </w:r>
      <w:r w:rsidR="00585E24">
        <w:t>,</w:t>
      </w:r>
      <w:r w:rsidRPr="002444A5">
        <w:t xml:space="preserve"> it would not be possible for it to deliver the full amount needed</w:t>
      </w:r>
      <w:r w:rsidR="007C4DCE">
        <w:t>. This is because</w:t>
      </w:r>
      <w:r w:rsidRPr="002444A5">
        <w:t xml:space="preserve"> there is not enough planned auction volume under the current NZ ETS settings and architecture. The overseas unit limit </w:t>
      </w:r>
      <w:r w:rsidR="00363EAE">
        <w:t>in the scheme</w:t>
      </w:r>
      <w:r w:rsidRPr="002444A5">
        <w:t xml:space="preserve"> is </w:t>
      </w:r>
      <w:r w:rsidR="00F062AF">
        <w:t xml:space="preserve">currently </w:t>
      </w:r>
      <w:r w:rsidRPr="002444A5">
        <w:t>set at zero</w:t>
      </w:r>
      <w:r w:rsidR="00363EAE">
        <w:t>. This</w:t>
      </w:r>
      <w:r w:rsidRPr="002444A5">
        <w:t xml:space="preserve"> recognis</w:t>
      </w:r>
      <w:r w:rsidR="00363EAE">
        <w:t>es</w:t>
      </w:r>
      <w:r w:rsidRPr="002444A5">
        <w:t xml:space="preserve"> that until </w:t>
      </w:r>
      <w:r w:rsidR="00817877">
        <w:t>and unless</w:t>
      </w:r>
      <w:r w:rsidRPr="002444A5">
        <w:t xml:space="preserve"> overseas units are made available</w:t>
      </w:r>
      <w:r w:rsidR="001A714A">
        <w:t xml:space="preserve"> and</w:t>
      </w:r>
      <w:r w:rsidR="001A714A" w:rsidRPr="001A714A">
        <w:t xml:space="preserve"> </w:t>
      </w:r>
      <w:r w:rsidR="001A714A">
        <w:t xml:space="preserve">are approved for use in the </w:t>
      </w:r>
      <w:r w:rsidR="0034656B">
        <w:br/>
      </w:r>
      <w:r w:rsidR="001A714A">
        <w:t>N</w:t>
      </w:r>
      <w:r w:rsidR="001E13FB">
        <w:t>Z</w:t>
      </w:r>
      <w:r w:rsidR="001A714A">
        <w:t xml:space="preserve"> ETS</w:t>
      </w:r>
      <w:r w:rsidRPr="002444A5">
        <w:t>, offshore mitigation required to meet the NDC cannot be delivered by the NZ ETS.</w:t>
      </w:r>
    </w:p>
    <w:p w14:paraId="3D37CB95" w14:textId="09FBC47D" w:rsidR="000F0D80" w:rsidRDefault="00D666DA" w:rsidP="00840317">
      <w:r>
        <w:t xml:space="preserve">In addition to current </w:t>
      </w:r>
      <w:r w:rsidR="00837A47">
        <w:t xml:space="preserve">emissions </w:t>
      </w:r>
      <w:r>
        <w:t xml:space="preserve">budgets and NDCs (and the 2050 target), the NZ ETS settings are also required to accord with future budgets and NDCs where these have been set. </w:t>
      </w:r>
      <w:r w:rsidR="000F0D80">
        <w:t xml:space="preserve">Since </w:t>
      </w:r>
      <w:r w:rsidR="0061505E">
        <w:t xml:space="preserve">our 2024 advice, the Government has </w:t>
      </w:r>
      <w:r w:rsidR="00B326A1">
        <w:t xml:space="preserve">also </w:t>
      </w:r>
      <w:r w:rsidR="00893735">
        <w:t>announced the target level for the second NDC</w:t>
      </w:r>
      <w:r w:rsidR="002A3811">
        <w:t xml:space="preserve">. </w:t>
      </w:r>
      <w:r w:rsidR="007F4B97">
        <w:t>It has set a target reduction for net emissions of 51</w:t>
      </w:r>
      <w:r w:rsidR="009E55C8">
        <w:t>–</w:t>
      </w:r>
      <w:r w:rsidR="007F4B97">
        <w:t xml:space="preserve">55% below 2005 gross emissions by 2035. </w:t>
      </w:r>
      <w:r>
        <w:t>The level for the second NDC is closely aligned with the emissions trajectory needed for the third emissions budget</w:t>
      </w:r>
      <w:r w:rsidR="007F4B97" w:rsidDel="00D666DA">
        <w:t>.</w:t>
      </w:r>
      <w:r w:rsidR="007F4B97">
        <w:t xml:space="preserve"> </w:t>
      </w:r>
    </w:p>
    <w:p w14:paraId="70BEAD80" w14:textId="20628FFA" w:rsidR="00F63CD9" w:rsidRDefault="00F63CD9" w:rsidP="00730061">
      <w:pPr>
        <w:pStyle w:val="Heading3"/>
      </w:pPr>
      <w:r>
        <w:t>Analysis and findings</w:t>
      </w:r>
    </w:p>
    <w:p w14:paraId="6E9A2556" w14:textId="08A8B646" w:rsidR="006A49F0" w:rsidRDefault="006A49F0" w:rsidP="006A49F0">
      <w:r>
        <w:t>We consider that align</w:t>
      </w:r>
      <w:r w:rsidR="0011026E">
        <w:t>ing</w:t>
      </w:r>
      <w:r>
        <w:t xml:space="preserve"> the </w:t>
      </w:r>
      <w:r w:rsidR="00D3272D">
        <w:t xml:space="preserve">unit limits and price control </w:t>
      </w:r>
      <w:r>
        <w:t>settings with achieving emissions budgets</w:t>
      </w:r>
      <w:r w:rsidR="0011026E">
        <w:t xml:space="preserve"> remains the best approach</w:t>
      </w:r>
      <w:r>
        <w:t>. Emission budgets are the stepping</w:t>
      </w:r>
      <w:r w:rsidR="00F12BA3">
        <w:t>-</w:t>
      </w:r>
      <w:r>
        <w:t xml:space="preserve">stones to achieving the 2050 target, and the third emissions budget aligns closely to the target level for the second NDC. </w:t>
      </w:r>
    </w:p>
    <w:p w14:paraId="2A9757F8" w14:textId="51D93CDA" w:rsidR="006A49F0" w:rsidRDefault="006A49F0" w:rsidP="006A49F0">
      <w:r>
        <w:t xml:space="preserve">This is a higher level of emissions than </w:t>
      </w:r>
      <w:r w:rsidR="009F7B76">
        <w:t xml:space="preserve">allowed by </w:t>
      </w:r>
      <w:r>
        <w:t>the first NDC. We consider that</w:t>
      </w:r>
      <w:r w:rsidR="003E1D4C">
        <w:t xml:space="preserve"> the discrepancy to the first NDC</w:t>
      </w:r>
      <w:r w:rsidDel="003E1D4C">
        <w:t xml:space="preserve"> </w:t>
      </w:r>
      <w:r w:rsidR="00820CFD">
        <w:t>is justified</w:t>
      </w:r>
      <w:r w:rsidR="007655F4">
        <w:t xml:space="preserve"> </w:t>
      </w:r>
      <w:r w:rsidR="007655F4" w:rsidRPr="00B5428D">
        <w:t xml:space="preserve">after considering </w:t>
      </w:r>
      <w:r w:rsidR="00344E93" w:rsidRPr="00B5428D">
        <w:t>relevant</w:t>
      </w:r>
      <w:r w:rsidR="007655F4" w:rsidRPr="00B5428D">
        <w:t xml:space="preserve"> matters</w:t>
      </w:r>
      <w:r w:rsidR="007655F4">
        <w:t xml:space="preserve"> </w:t>
      </w:r>
      <w:r w:rsidR="003E1D4C">
        <w:t>because</w:t>
      </w:r>
      <w:r w:rsidR="00112009">
        <w:t>:</w:t>
      </w:r>
    </w:p>
    <w:p w14:paraId="1A3F50F8" w14:textId="0ABF7BEE" w:rsidR="00112009" w:rsidRDefault="00C90C43" w:rsidP="00C97BEF">
      <w:pPr>
        <w:pStyle w:val="BodyBullets"/>
      </w:pPr>
      <w:r>
        <w:lastRenderedPageBreak/>
        <w:t xml:space="preserve">The gap can be made up for elsewhere through offshore mitigation. </w:t>
      </w:r>
      <w:r w:rsidR="00AA0B84" w:rsidRPr="00AA0B84">
        <w:t>The</w:t>
      </w:r>
      <w:r w:rsidR="00AA0B84" w:rsidRPr="00AA0B84" w:rsidDel="00073CB8">
        <w:t xml:space="preserve"> </w:t>
      </w:r>
      <w:r w:rsidR="00073CB8">
        <w:t>G</w:t>
      </w:r>
      <w:r w:rsidR="00073CB8" w:rsidRPr="00AA0B84">
        <w:t xml:space="preserve">overnment’s </w:t>
      </w:r>
      <w:r w:rsidR="00AA0B84" w:rsidRPr="00AA0B84">
        <w:t xml:space="preserve">official communications and statements continue to affirm that </w:t>
      </w:r>
      <w:r w:rsidR="00632D09">
        <w:t>it</w:t>
      </w:r>
      <w:r w:rsidR="00AA0B84" w:rsidRPr="00AA0B84">
        <w:t xml:space="preserve"> is seeking offshore mitigation to meet </w:t>
      </w:r>
      <w:r w:rsidR="00AA0B84">
        <w:t xml:space="preserve">the first </w:t>
      </w:r>
      <w:r w:rsidR="00AA0B84" w:rsidRPr="00AA0B84">
        <w:t>NDC</w:t>
      </w:r>
      <w:r w:rsidR="003F546F">
        <w:t>.</w:t>
      </w:r>
      <w:r w:rsidR="0055528A">
        <w:rPr>
          <w:rStyle w:val="FootnoteReference"/>
        </w:rPr>
        <w:footnoteReference w:id="19"/>
      </w:r>
      <w:r w:rsidR="00227354">
        <w:t xml:space="preserve"> </w:t>
      </w:r>
    </w:p>
    <w:p w14:paraId="4F4E8FFD" w14:textId="6035D4E3" w:rsidR="00ED04D8" w:rsidRDefault="00ED04D8" w:rsidP="00C97BEF">
      <w:pPr>
        <w:pStyle w:val="BodyBullets"/>
      </w:pPr>
      <w:r>
        <w:t xml:space="preserve">At the time the first NDC was set, it was expected that offshore mitigation would contribute to meeting it. The level of ambition of the first NDC was intentionally set higher than what was expected could be achieved domestically. </w:t>
      </w:r>
    </w:p>
    <w:p w14:paraId="12BA81C4" w14:textId="51DCAFBE" w:rsidR="000C0B7E" w:rsidRDefault="000C0B7E" w:rsidP="00C97BEF">
      <w:pPr>
        <w:pStyle w:val="BodyBullets"/>
      </w:pPr>
      <w:r>
        <w:t xml:space="preserve">Our assessment is that </w:t>
      </w:r>
      <w:r w:rsidR="005B0736">
        <w:t>it</w:t>
      </w:r>
      <w:r>
        <w:t xml:space="preserve"> continues to be viable for the </w:t>
      </w:r>
      <w:r w:rsidR="005B733F">
        <w:t>G</w:t>
      </w:r>
      <w:r>
        <w:t xml:space="preserve">overnment to acquire this offshore </w:t>
      </w:r>
      <w:r w:rsidR="00A51DD9">
        <w:t>m</w:t>
      </w:r>
      <w:r>
        <w:t xml:space="preserve">itigation – particularly given the </w:t>
      </w:r>
      <w:r w:rsidR="00E66E07">
        <w:t xml:space="preserve">successful </w:t>
      </w:r>
      <w:r w:rsidR="003E29A4">
        <w:t xml:space="preserve">conclusion of negotiations that will enable </w:t>
      </w:r>
      <w:r>
        <w:t>imp</w:t>
      </w:r>
      <w:r w:rsidR="006D5294">
        <w:t xml:space="preserve">lementation of </w:t>
      </w:r>
      <w:r w:rsidR="00896096">
        <w:t xml:space="preserve">the </w:t>
      </w:r>
      <w:r w:rsidR="00F67DC8">
        <w:t>central</w:t>
      </w:r>
      <w:r w:rsidR="00182857">
        <w:t>ised crediting</w:t>
      </w:r>
      <w:r w:rsidR="00F67DC8">
        <w:t xml:space="preserve"> mechanism under Article 6.4</w:t>
      </w:r>
      <w:r w:rsidR="003D50B7">
        <w:t xml:space="preserve"> of the Paris Agreement</w:t>
      </w:r>
      <w:r w:rsidR="002029E0">
        <w:t>.</w:t>
      </w:r>
      <w:r w:rsidR="00147B37">
        <w:rPr>
          <w:rStyle w:val="FootnoteReference"/>
        </w:rPr>
        <w:footnoteReference w:id="20"/>
      </w:r>
      <w:r w:rsidR="002029E0">
        <w:t xml:space="preserve"> However, </w:t>
      </w:r>
      <w:r w:rsidR="00983B8E">
        <w:t>it is likely to become more difficult and costlier to acquire the offshore</w:t>
      </w:r>
      <w:r w:rsidR="007E41A4">
        <w:t xml:space="preserve"> mitigation </w:t>
      </w:r>
      <w:r w:rsidR="00F76E75">
        <w:t xml:space="preserve">as </w:t>
      </w:r>
      <w:r w:rsidR="0024335B">
        <w:t>2030 approache</w:t>
      </w:r>
      <w:r w:rsidR="004274F6">
        <w:t>s</w:t>
      </w:r>
      <w:r w:rsidR="00754879">
        <w:t>,</w:t>
      </w:r>
      <w:r w:rsidR="00565BEF">
        <w:t xml:space="preserve"> as </w:t>
      </w:r>
      <w:r w:rsidR="00742C31">
        <w:t xml:space="preserve">time to </w:t>
      </w:r>
      <w:r w:rsidR="00804DF0">
        <w:t xml:space="preserve">obtain </w:t>
      </w:r>
      <w:r w:rsidR="00C87488">
        <w:t xml:space="preserve">the offshore </w:t>
      </w:r>
      <w:r w:rsidR="00742C31">
        <w:t xml:space="preserve">mitigation within the period shortens and </w:t>
      </w:r>
      <w:r w:rsidR="00FE3ECB">
        <w:t>Aotearoa New Zealand</w:t>
      </w:r>
      <w:r w:rsidR="0024335B">
        <w:t xml:space="preserve"> </w:t>
      </w:r>
      <w:r w:rsidR="00257C57">
        <w:t>has to</w:t>
      </w:r>
      <w:r w:rsidR="007B6103">
        <w:t xml:space="preserve"> compete with other </w:t>
      </w:r>
      <w:r w:rsidR="009025F8">
        <w:t>countries for what is available.</w:t>
      </w:r>
    </w:p>
    <w:p w14:paraId="71D1E9CA" w14:textId="45897CF1" w:rsidR="00DB426F" w:rsidRPr="005A6CE3" w:rsidRDefault="00434EEA" w:rsidP="00C97BEF">
      <w:pPr>
        <w:pStyle w:val="BodyBullets"/>
      </w:pPr>
      <w:r>
        <w:t>The NZ ETS</w:t>
      </w:r>
      <w:r w:rsidR="00360A3D">
        <w:t xml:space="preserve"> does not have </w:t>
      </w:r>
      <w:r w:rsidR="00247949">
        <w:t>th</w:t>
      </w:r>
      <w:r w:rsidR="00373DB6">
        <w:t>e coverage</w:t>
      </w:r>
      <w:r w:rsidR="009F6D55">
        <w:t>,</w:t>
      </w:r>
      <w:r w:rsidR="00373DB6">
        <w:t xml:space="preserve"> </w:t>
      </w:r>
      <w:r w:rsidR="009F6D55">
        <w:t>n</w:t>
      </w:r>
      <w:r w:rsidR="00373DB6">
        <w:t>or the time</w:t>
      </w:r>
      <w:r w:rsidR="009F6D55">
        <w:t>,</w:t>
      </w:r>
      <w:r w:rsidR="00373DB6">
        <w:t xml:space="preserve"> to </w:t>
      </w:r>
      <w:r w:rsidR="00887F49">
        <w:t xml:space="preserve">deliver the full </w:t>
      </w:r>
      <w:r w:rsidR="009C2245">
        <w:t xml:space="preserve">emissions </w:t>
      </w:r>
      <w:r w:rsidR="00887F49">
        <w:t>reductions needed to meet the first NDC domestically</w:t>
      </w:r>
      <w:r w:rsidR="006D6ACF">
        <w:t xml:space="preserve">. </w:t>
      </w:r>
      <w:r w:rsidR="00B76F4E">
        <w:t>A</w:t>
      </w:r>
      <w:r w:rsidR="006D6ACF">
        <w:t xml:space="preserve">pproximately </w:t>
      </w:r>
      <w:r w:rsidR="004A4F01">
        <w:t>57% of gross emissions are outside the NZ ETS</w:t>
      </w:r>
      <w:r w:rsidR="000E0582">
        <w:t>.</w:t>
      </w:r>
      <w:r w:rsidR="00B76F4E">
        <w:t xml:space="preserve"> </w:t>
      </w:r>
      <w:r w:rsidR="00095FE4">
        <w:t>The r</w:t>
      </w:r>
      <w:r w:rsidR="0079796E">
        <w:t>emaining</w:t>
      </w:r>
      <w:r w:rsidR="00DB426F">
        <w:t xml:space="preserve"> </w:t>
      </w:r>
      <w:r w:rsidR="00DB426F" w:rsidRPr="005A6CE3">
        <w:t xml:space="preserve">auction volume </w:t>
      </w:r>
      <w:r w:rsidR="0079796E" w:rsidRPr="005A6CE3">
        <w:t xml:space="preserve">to 2030 </w:t>
      </w:r>
      <w:r w:rsidR="0066605D">
        <w:t xml:space="preserve">that could be replaced </w:t>
      </w:r>
      <w:r w:rsidR="0040662D">
        <w:t xml:space="preserve">by requiring NZ ETS participants to surrender overseas units </w:t>
      </w:r>
      <w:r w:rsidR="00DB426F" w:rsidRPr="005A6CE3">
        <w:t>amount</w:t>
      </w:r>
      <w:r w:rsidR="00350671" w:rsidRPr="005A6CE3">
        <w:t>s</w:t>
      </w:r>
      <w:r w:rsidR="00DB426F" w:rsidRPr="005A6CE3">
        <w:t xml:space="preserve"> to </w:t>
      </w:r>
      <w:r w:rsidR="0079796E" w:rsidRPr="005A6CE3">
        <w:t>less than</w:t>
      </w:r>
      <w:r w:rsidR="00DB426F" w:rsidRPr="005A6CE3">
        <w:t xml:space="preserve"> half of the gap to the first NDC.</w:t>
      </w:r>
    </w:p>
    <w:p w14:paraId="2D6DA0BE" w14:textId="0A45AE92" w:rsidR="00227354" w:rsidRDefault="00DF365D" w:rsidP="00222CF5">
      <w:pPr>
        <w:pStyle w:val="BodyBullets"/>
      </w:pPr>
      <w:r w:rsidRPr="00DF365D">
        <w:t>The combination of the depth of reductions needed</w:t>
      </w:r>
      <w:r w:rsidR="003605FC">
        <w:t>,</w:t>
      </w:r>
      <w:r w:rsidRPr="00DF365D">
        <w:t xml:space="preserve"> and the short time remaining to 2030</w:t>
      </w:r>
      <w:r w:rsidR="003605FC">
        <w:t>,</w:t>
      </w:r>
      <w:r w:rsidRPr="00DF365D">
        <w:t xml:space="preserve"> mean there is insufficient time to reduce emissions across sectors through the substitution of technology, and </w:t>
      </w:r>
      <w:r w:rsidR="00DA79DA">
        <w:t xml:space="preserve">that </w:t>
      </w:r>
      <w:r w:rsidRPr="00DF365D">
        <w:t>instead many emitting activities would have to cease. This would be extremely disruptive for people and businesses</w:t>
      </w:r>
      <w:r w:rsidR="007024FE">
        <w:t>,</w:t>
      </w:r>
      <w:r w:rsidRPr="00DF365D">
        <w:t xml:space="preserve"> and could threaten social licen</w:t>
      </w:r>
      <w:r w:rsidR="007024FE">
        <w:t>c</w:t>
      </w:r>
      <w:r w:rsidRPr="00DF365D">
        <w:t>e for the long-term transition.</w:t>
      </w:r>
      <w:r w:rsidR="009C127A">
        <w:t xml:space="preserve"> </w:t>
      </w:r>
    </w:p>
    <w:p w14:paraId="3ADB6816" w14:textId="78D441C6" w:rsidR="006A49F0" w:rsidRDefault="00FF3163" w:rsidP="008A3747">
      <w:r>
        <w:t>We provide further information about t</w:t>
      </w:r>
      <w:r w:rsidR="00BA0A8C">
        <w:t xml:space="preserve">his issue </w:t>
      </w:r>
      <w:r w:rsidR="00870890" w:rsidRPr="0066550A">
        <w:t xml:space="preserve">in </w:t>
      </w:r>
      <w:r w:rsidR="007D1133" w:rsidRPr="00060534">
        <w:rPr>
          <w:i/>
        </w:rPr>
        <w:t xml:space="preserve">Technical Annex 3: </w:t>
      </w:r>
      <w:r w:rsidR="00BE7E4D" w:rsidRPr="0066550A">
        <w:rPr>
          <w:i/>
        </w:rPr>
        <w:t>Assessment</w:t>
      </w:r>
      <w:r w:rsidR="00CD64A0" w:rsidRPr="0066550A">
        <w:rPr>
          <w:i/>
        </w:rPr>
        <w:t xml:space="preserve"> of accordance</w:t>
      </w:r>
      <w:r w:rsidR="00241547">
        <w:rPr>
          <w:i/>
        </w:rPr>
        <w:t>,</w:t>
      </w:r>
      <w:r w:rsidR="00BE7E4D">
        <w:t xml:space="preserve"> published separately on our website</w:t>
      </w:r>
      <w:r w:rsidR="00CD64A0">
        <w:t>.</w:t>
      </w:r>
    </w:p>
    <w:p w14:paraId="1D6E6959" w14:textId="11E272B7" w:rsidR="00CD64A0" w:rsidRPr="00A2012F" w:rsidRDefault="00DA25DB" w:rsidP="00730061">
      <w:pPr>
        <w:pStyle w:val="Heading4"/>
      </w:pPr>
      <w:r>
        <w:t xml:space="preserve">Aligning </w:t>
      </w:r>
      <w:r w:rsidR="00DF1C6D">
        <w:t xml:space="preserve">with emissions budgets </w:t>
      </w:r>
    </w:p>
    <w:p w14:paraId="01623AB0" w14:textId="047E7A6D" w:rsidR="00D32BC8" w:rsidRDefault="00D32BC8" w:rsidP="008A3747">
      <w:r>
        <w:t>Having concluded that aligning the unit limits with achieving emissions budgets remains the best approach</w:t>
      </w:r>
      <w:r w:rsidR="003135D8">
        <w:t xml:space="preserve">, a further decision </w:t>
      </w:r>
      <w:r w:rsidR="001B6E54">
        <w:t xml:space="preserve">is </w:t>
      </w:r>
      <w:r w:rsidR="003135D8">
        <w:t xml:space="preserve">needed about </w:t>
      </w:r>
      <w:r w:rsidR="004E4877">
        <w:t xml:space="preserve">the overall emissions level to align the settings to the notified emissions budget level, or something lower. </w:t>
      </w:r>
    </w:p>
    <w:p w14:paraId="17BC7DA3" w14:textId="0FC1F12F" w:rsidR="00B671A9" w:rsidRDefault="001710FF" w:rsidP="008A3747">
      <w:r>
        <w:t>This year’s settings apply over</w:t>
      </w:r>
      <w:r w:rsidR="0023091F">
        <w:t xml:space="preserve"> the period</w:t>
      </w:r>
      <w:r>
        <w:t xml:space="preserve"> 2026</w:t>
      </w:r>
      <w:r w:rsidR="004D05A5">
        <w:t>–</w:t>
      </w:r>
      <w:r>
        <w:t xml:space="preserve">2030, </w:t>
      </w:r>
      <w:r w:rsidR="0023091F">
        <w:t xml:space="preserve">which </w:t>
      </w:r>
      <w:r>
        <w:t>align</w:t>
      </w:r>
      <w:r w:rsidR="00900781">
        <w:t>s</w:t>
      </w:r>
      <w:r>
        <w:t xml:space="preserve"> with </w:t>
      </w:r>
      <w:r w:rsidR="000555D8">
        <w:t xml:space="preserve">the timeframe of </w:t>
      </w:r>
      <w:r w:rsidR="0023091F">
        <w:t xml:space="preserve">the second </w:t>
      </w:r>
      <w:r>
        <w:t xml:space="preserve">emissions budget. </w:t>
      </w:r>
      <w:r w:rsidR="00DF39EA">
        <w:t xml:space="preserve">Emission projections released as part of the second emissions reduction plan </w:t>
      </w:r>
      <w:r w:rsidR="003E082E">
        <w:t>show that</w:t>
      </w:r>
      <w:r w:rsidR="00553B17">
        <w:t>,</w:t>
      </w:r>
      <w:r w:rsidR="003E082E">
        <w:t xml:space="preserve"> </w:t>
      </w:r>
      <w:r w:rsidR="005F4ABE">
        <w:t xml:space="preserve">based </w:t>
      </w:r>
      <w:r w:rsidR="00B72844">
        <w:t>on current policies</w:t>
      </w:r>
      <w:r w:rsidR="005F4ABE">
        <w:t>,</w:t>
      </w:r>
      <w:r w:rsidR="00B72844">
        <w:t xml:space="preserve"> </w:t>
      </w:r>
      <w:r w:rsidR="001A4696">
        <w:t>emissions are expect</w:t>
      </w:r>
      <w:r w:rsidR="00B72844">
        <w:t>e</w:t>
      </w:r>
      <w:r w:rsidR="001A4696">
        <w:t xml:space="preserve">d to be below the </w:t>
      </w:r>
      <w:r w:rsidR="0070460A">
        <w:lastRenderedPageBreak/>
        <w:t xml:space="preserve">notified </w:t>
      </w:r>
      <w:r w:rsidR="001A4696">
        <w:t>level</w:t>
      </w:r>
      <w:r w:rsidR="00642F19">
        <w:t>s</w:t>
      </w:r>
      <w:r w:rsidR="001A4696">
        <w:t xml:space="preserve"> of </w:t>
      </w:r>
      <w:r w:rsidR="00D87038">
        <w:t>the first</w:t>
      </w:r>
      <w:r w:rsidR="001A4696">
        <w:t xml:space="preserve"> and </w:t>
      </w:r>
      <w:r w:rsidR="00D87038">
        <w:t xml:space="preserve">second </w:t>
      </w:r>
      <w:r w:rsidR="001A4696">
        <w:t>emissions budgets</w:t>
      </w:r>
      <w:r w:rsidR="00B72844">
        <w:t xml:space="preserve">, but above the level of </w:t>
      </w:r>
      <w:r w:rsidR="00D87038">
        <w:t xml:space="preserve">the third </w:t>
      </w:r>
      <w:r w:rsidR="00B72844">
        <w:t>emissions budget.</w:t>
      </w:r>
    </w:p>
    <w:p w14:paraId="6AB7CED7" w14:textId="3C7E2FD4" w:rsidR="00E52E86" w:rsidRDefault="00E52E86" w:rsidP="008A3747">
      <w:r>
        <w:t>In the second emissions reduction plan the Government indicated</w:t>
      </w:r>
      <w:r w:rsidR="00FA71ED">
        <w:t xml:space="preserve"> that</w:t>
      </w:r>
      <w:r>
        <w:t xml:space="preserve"> it plans to set the </w:t>
      </w:r>
      <w:r w:rsidR="007F236D">
        <w:t>emissions</w:t>
      </w:r>
      <w:r>
        <w:t xml:space="preserve"> cap for the NZ ETS based on these projections, aiming to overachieve the second emissions budget.</w:t>
      </w:r>
      <w:r>
        <w:rPr>
          <w:rStyle w:val="EndnoteReference"/>
        </w:rPr>
        <w:endnoteReference w:id="14"/>
      </w:r>
      <w:r>
        <w:t xml:space="preserve"> The Commission has previously recommended aiming to overachieve emissions budgets, </w:t>
      </w:r>
      <w:r w:rsidR="00E833B1">
        <w:t xml:space="preserve">as this </w:t>
      </w:r>
      <w:r>
        <w:t>allow</w:t>
      </w:r>
      <w:r w:rsidR="00E833B1">
        <w:t>s</w:t>
      </w:r>
      <w:r>
        <w:t xml:space="preserve"> for uncertainty in policy effectiveness and provide</w:t>
      </w:r>
      <w:r w:rsidR="00E833B1">
        <w:t>s</w:t>
      </w:r>
      <w:r>
        <w:t xml:space="preserve"> confidence that budgets will be met. Aiming to overachieve </w:t>
      </w:r>
      <w:r w:rsidR="00DE6757">
        <w:t>on the</w:t>
      </w:r>
      <w:r>
        <w:t xml:space="preserve"> first and second emissions budgets can also reduce the amount of offshore mitigation needed to meet the first NDC.</w:t>
      </w:r>
    </w:p>
    <w:p w14:paraId="6ABCB69A" w14:textId="02CF014E" w:rsidR="00376016" w:rsidRPr="00CD6FE8" w:rsidRDefault="00376016" w:rsidP="00FF4148">
      <w:pPr>
        <w:pStyle w:val="FigureTabletitle"/>
      </w:pPr>
      <w:r w:rsidRPr="00CD6FE8">
        <w:t xml:space="preserve">Table </w:t>
      </w:r>
      <w:r w:rsidR="00F244DB">
        <w:t>3.2</w:t>
      </w:r>
      <w:r>
        <w:t xml:space="preserve">: </w:t>
      </w:r>
      <w:r w:rsidRPr="00FF4148">
        <w:rPr>
          <w:b w:val="0"/>
          <w:bCs w:val="0"/>
        </w:rPr>
        <w:t>Domestic emissions budgets compared to emissions projections</w:t>
      </w:r>
      <w:r w:rsidR="00421E65" w:rsidRPr="00FF4148">
        <w:rPr>
          <w:b w:val="0"/>
          <w:bCs w:val="0"/>
        </w:rPr>
        <w:t xml:space="preserve"> from the second emissions reduction plan</w:t>
      </w:r>
    </w:p>
    <w:tbl>
      <w:tblPr>
        <w:tblStyle w:val="GridTable5Dark-Accent5"/>
        <w:tblW w:w="9067" w:type="dxa"/>
        <w:tblLayout w:type="fixed"/>
        <w:tblCellMar>
          <w:left w:w="113" w:type="dxa"/>
          <w:right w:w="113" w:type="dxa"/>
        </w:tblCellMar>
        <w:tblLook w:val="04A0" w:firstRow="1" w:lastRow="0" w:firstColumn="1" w:lastColumn="0" w:noHBand="0" w:noVBand="1"/>
      </w:tblPr>
      <w:tblGrid>
        <w:gridCol w:w="2266"/>
        <w:gridCol w:w="2267"/>
        <w:gridCol w:w="2267"/>
        <w:gridCol w:w="2267"/>
      </w:tblGrid>
      <w:tr w:rsidR="00550A46" w:rsidRPr="0091207A" w14:paraId="0B677BD3" w14:textId="77777777" w:rsidTr="004C0DB7">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0" w:type="dxa"/>
            <w:shd w:val="clear" w:color="auto" w:fill="002060"/>
            <w:vAlign w:val="center"/>
          </w:tcPr>
          <w:p w14:paraId="52CD0D42" w14:textId="77777777" w:rsidR="00550A46" w:rsidRPr="001D0D06" w:rsidRDefault="00550A46" w:rsidP="00F515D5">
            <w:pPr>
              <w:pStyle w:val="Tableheading"/>
              <w:spacing w:before="120" w:after="120" w:line="240" w:lineRule="auto"/>
              <w:ind w:left="142"/>
              <w:jc w:val="center"/>
              <w:rPr>
                <w:rFonts w:eastAsia="Times New Roman" w:cstheme="minorHAnsi"/>
                <w:sz w:val="20"/>
                <w:szCs w:val="20"/>
                <w:lang w:eastAsia="en-NZ"/>
              </w:rPr>
            </w:pPr>
          </w:p>
        </w:tc>
        <w:tc>
          <w:tcPr>
            <w:tcW w:w="0" w:type="dxa"/>
            <w:gridSpan w:val="3"/>
            <w:shd w:val="clear" w:color="auto" w:fill="002060"/>
            <w:vAlign w:val="center"/>
          </w:tcPr>
          <w:p w14:paraId="235B94C8" w14:textId="06A7C8DF" w:rsidR="00550A46" w:rsidRPr="0041105F" w:rsidRDefault="00550A46" w:rsidP="00F515D5">
            <w:pPr>
              <w:pStyle w:val="Tableparagraphwhite"/>
              <w:cnfStyle w:val="100000000000" w:firstRow="1" w:lastRow="0" w:firstColumn="0" w:lastColumn="0" w:oddVBand="0" w:evenVBand="0" w:oddHBand="0" w:evenHBand="0" w:firstRowFirstColumn="0" w:firstRowLastColumn="0" w:lastRowFirstColumn="0" w:lastRowLastColumn="0"/>
              <w:rPr>
                <w:lang w:eastAsia="en-NZ"/>
              </w:rPr>
            </w:pPr>
            <w:r w:rsidRPr="0041105F">
              <w:rPr>
                <w:lang w:eastAsia="en-NZ"/>
              </w:rPr>
              <w:t>(MtCO</w:t>
            </w:r>
            <w:r w:rsidRPr="002457D2">
              <w:rPr>
                <w:vertAlign w:val="subscript"/>
                <w:lang w:eastAsia="en-NZ"/>
              </w:rPr>
              <w:t>2</w:t>
            </w:r>
            <w:r w:rsidRPr="0041105F">
              <w:rPr>
                <w:lang w:eastAsia="en-NZ"/>
              </w:rPr>
              <w:t>e)</w:t>
            </w:r>
          </w:p>
        </w:tc>
      </w:tr>
      <w:tr w:rsidR="00376016" w:rsidRPr="006A3915" w14:paraId="00229B4C" w14:textId="77777777" w:rsidTr="004C0DB7">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0" w:type="dxa"/>
            <w:shd w:val="clear" w:color="auto" w:fill="002060"/>
            <w:vAlign w:val="center"/>
          </w:tcPr>
          <w:p w14:paraId="64B63452" w14:textId="39812D3B" w:rsidR="00376016" w:rsidRPr="006A3915" w:rsidRDefault="00987F23" w:rsidP="00CF7499">
            <w:pPr>
              <w:pStyle w:val="Tableheading"/>
              <w:spacing w:before="0" w:line="240" w:lineRule="auto"/>
              <w:rPr>
                <w:rFonts w:asciiTheme="majorHAnsi" w:hAnsiTheme="majorHAnsi" w:cstheme="majorHAnsi"/>
                <w:sz w:val="20"/>
                <w:szCs w:val="20"/>
              </w:rPr>
            </w:pPr>
            <w:r w:rsidRPr="006A3915">
              <w:rPr>
                <w:rFonts w:asciiTheme="majorHAnsi" w:eastAsia="Times New Roman" w:hAnsiTheme="majorHAnsi" w:cstheme="majorHAnsi"/>
                <w:b w:val="0"/>
                <w:color w:val="auto"/>
                <w:sz w:val="2"/>
                <w:szCs w:val="2"/>
                <w:lang w:eastAsia="en-NZ"/>
              </w:rPr>
              <w:t>5B</w:t>
            </w:r>
            <w:r w:rsidR="00376016" w:rsidRPr="006A3915">
              <w:rPr>
                <w:rFonts w:asciiTheme="majorHAnsi" w:eastAsia="Times New Roman" w:hAnsiTheme="majorHAnsi" w:cstheme="majorHAnsi"/>
                <w:sz w:val="20"/>
                <w:szCs w:val="20"/>
                <w:lang w:eastAsia="en-NZ"/>
              </w:rPr>
              <w:t>Budget period</w:t>
            </w:r>
          </w:p>
        </w:tc>
        <w:tc>
          <w:tcPr>
            <w:tcW w:w="0" w:type="dxa"/>
            <w:shd w:val="clear" w:color="auto" w:fill="002060"/>
            <w:vAlign w:val="center"/>
          </w:tcPr>
          <w:p w14:paraId="123BF98B" w14:textId="0A3122C9" w:rsidR="00376016" w:rsidRPr="006A3915" w:rsidRDefault="00376016" w:rsidP="002F2559">
            <w:pPr>
              <w:pStyle w:val="Tableparagraphwhite"/>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A3915">
              <w:rPr>
                <w:rFonts w:asciiTheme="majorHAnsi" w:hAnsiTheme="majorHAnsi" w:cstheme="majorHAnsi"/>
                <w:lang w:eastAsia="en-NZ"/>
              </w:rPr>
              <w:t>Notified budget</w:t>
            </w:r>
          </w:p>
        </w:tc>
        <w:tc>
          <w:tcPr>
            <w:tcW w:w="0" w:type="dxa"/>
            <w:shd w:val="clear" w:color="auto" w:fill="002060"/>
            <w:vAlign w:val="center"/>
          </w:tcPr>
          <w:p w14:paraId="4F38EF6C" w14:textId="0098D513" w:rsidR="00376016" w:rsidRPr="006A3915" w:rsidRDefault="00550A46" w:rsidP="004C0DB7">
            <w:pPr>
              <w:pStyle w:val="Tableparagraphwhit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NZ"/>
              </w:rPr>
            </w:pPr>
            <w:r w:rsidRPr="006A3915">
              <w:rPr>
                <w:rFonts w:asciiTheme="majorHAnsi" w:hAnsiTheme="majorHAnsi" w:cstheme="majorHAnsi"/>
                <w:lang w:eastAsia="en-NZ"/>
              </w:rPr>
              <w:t>Projected emissions</w:t>
            </w:r>
          </w:p>
        </w:tc>
        <w:tc>
          <w:tcPr>
            <w:tcW w:w="0" w:type="dxa"/>
            <w:shd w:val="clear" w:color="auto" w:fill="002060"/>
            <w:vAlign w:val="center"/>
          </w:tcPr>
          <w:p w14:paraId="5645DE78" w14:textId="442B6795" w:rsidR="00376016" w:rsidRPr="006A3915" w:rsidRDefault="00376016" w:rsidP="004C0DB7">
            <w:pPr>
              <w:pStyle w:val="Tableparagraphwhit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eastAsia="en-NZ"/>
              </w:rPr>
            </w:pPr>
            <w:r w:rsidRPr="006A3915">
              <w:rPr>
                <w:rFonts w:asciiTheme="majorHAnsi" w:hAnsiTheme="majorHAnsi" w:cstheme="majorHAnsi"/>
                <w:lang w:eastAsia="en-NZ"/>
              </w:rPr>
              <w:t>Difference</w:t>
            </w:r>
          </w:p>
        </w:tc>
      </w:tr>
      <w:tr w:rsidR="00376016" w:rsidRPr="0091207A" w14:paraId="695891E7" w14:textId="77777777" w:rsidTr="004C0DB7">
        <w:trPr>
          <w:trHeight w:val="483"/>
        </w:trPr>
        <w:tc>
          <w:tcPr>
            <w:cnfStyle w:val="001000000000" w:firstRow="0" w:lastRow="0" w:firstColumn="1" w:lastColumn="0" w:oddVBand="0" w:evenVBand="0" w:oddHBand="0" w:evenHBand="0" w:firstRowFirstColumn="0" w:firstRowLastColumn="0" w:lastRowFirstColumn="0" w:lastRowLastColumn="0"/>
            <w:tcW w:w="0" w:type="dxa"/>
            <w:shd w:val="clear" w:color="auto" w:fill="C1DCD5"/>
            <w:vAlign w:val="center"/>
          </w:tcPr>
          <w:p w14:paraId="4AAC6676" w14:textId="5BA83476" w:rsidR="00376016" w:rsidRPr="00312C81" w:rsidRDefault="00376016" w:rsidP="00AF2E1A">
            <w:pPr>
              <w:pStyle w:val="TableParagraph"/>
              <w:jc w:val="left"/>
              <w:rPr>
                <w:b w:val="0"/>
                <w:bCs w:val="0"/>
                <w:lang w:val="en-NZ"/>
              </w:rPr>
            </w:pPr>
            <w:r w:rsidRPr="00312C81">
              <w:rPr>
                <w:b w:val="0"/>
                <w:bCs w:val="0"/>
                <w:lang w:eastAsia="en-NZ"/>
              </w:rPr>
              <w:t>Second (2026</w:t>
            </w:r>
            <w:r w:rsidR="000C1468" w:rsidRPr="00312C81">
              <w:rPr>
                <w:b w:val="0"/>
                <w:bCs w:val="0"/>
              </w:rPr>
              <w:t>–</w:t>
            </w:r>
            <w:r w:rsidRPr="00312C81">
              <w:rPr>
                <w:b w:val="0"/>
                <w:bCs w:val="0"/>
                <w:lang w:eastAsia="en-NZ"/>
              </w:rPr>
              <w:t>2030)</w:t>
            </w:r>
          </w:p>
        </w:tc>
        <w:tc>
          <w:tcPr>
            <w:tcW w:w="0" w:type="dxa"/>
            <w:shd w:val="clear" w:color="auto" w:fill="E9F5F2"/>
            <w:vAlign w:val="center"/>
          </w:tcPr>
          <w:p w14:paraId="52E38B05" w14:textId="77777777" w:rsidR="00376016" w:rsidRPr="0091207A" w:rsidRDefault="00376016" w:rsidP="004C0DB7">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F23C8D">
              <w:rPr>
                <w:lang w:eastAsia="en-NZ"/>
              </w:rPr>
              <w:t>305.0</w:t>
            </w:r>
          </w:p>
        </w:tc>
        <w:tc>
          <w:tcPr>
            <w:tcW w:w="0" w:type="dxa"/>
            <w:shd w:val="clear" w:color="auto" w:fill="E9F5F2"/>
            <w:vAlign w:val="center"/>
          </w:tcPr>
          <w:p w14:paraId="3A13E237" w14:textId="77777777" w:rsidR="00376016" w:rsidRPr="00F23C8D" w:rsidRDefault="00376016" w:rsidP="004C0DB7">
            <w:pPr>
              <w:pStyle w:val="TableParagraph"/>
              <w:cnfStyle w:val="000000000000" w:firstRow="0" w:lastRow="0" w:firstColumn="0" w:lastColumn="0" w:oddVBand="0" w:evenVBand="0" w:oddHBand="0" w:evenHBand="0" w:firstRowFirstColumn="0" w:firstRowLastColumn="0" w:lastRowFirstColumn="0" w:lastRowLastColumn="0"/>
              <w:rPr>
                <w:lang w:eastAsia="en-NZ"/>
              </w:rPr>
            </w:pPr>
            <w:r w:rsidRPr="00F23C8D">
              <w:rPr>
                <w:lang w:eastAsia="en-NZ"/>
              </w:rPr>
              <w:t>303.1</w:t>
            </w:r>
          </w:p>
        </w:tc>
        <w:tc>
          <w:tcPr>
            <w:tcW w:w="0" w:type="dxa"/>
            <w:shd w:val="clear" w:color="auto" w:fill="E9F5F2"/>
            <w:vAlign w:val="center"/>
          </w:tcPr>
          <w:p w14:paraId="27DA2096" w14:textId="77777777" w:rsidR="00376016" w:rsidRPr="00F23C8D" w:rsidRDefault="00376016" w:rsidP="004C0DB7">
            <w:pPr>
              <w:pStyle w:val="TableParagraph"/>
              <w:cnfStyle w:val="000000000000" w:firstRow="0" w:lastRow="0" w:firstColumn="0" w:lastColumn="0" w:oddVBand="0" w:evenVBand="0" w:oddHBand="0" w:evenHBand="0" w:firstRowFirstColumn="0" w:firstRowLastColumn="0" w:lastRowFirstColumn="0" w:lastRowLastColumn="0"/>
              <w:rPr>
                <w:lang w:eastAsia="en-NZ"/>
              </w:rPr>
            </w:pPr>
            <w:r w:rsidRPr="00F23C8D">
              <w:rPr>
                <w:lang w:eastAsia="en-NZ"/>
              </w:rPr>
              <w:t>-1.9</w:t>
            </w:r>
          </w:p>
        </w:tc>
      </w:tr>
      <w:tr w:rsidR="00376016" w:rsidRPr="0091207A" w14:paraId="385E6E87" w14:textId="77777777" w:rsidTr="004C0DB7">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0" w:type="dxa"/>
            <w:shd w:val="clear" w:color="auto" w:fill="C1DCD5"/>
            <w:vAlign w:val="center"/>
          </w:tcPr>
          <w:p w14:paraId="05E23625" w14:textId="5EF187C1" w:rsidR="00376016" w:rsidRPr="00312C81" w:rsidRDefault="00376016" w:rsidP="00AF2E1A">
            <w:pPr>
              <w:pStyle w:val="TableParagraph"/>
              <w:jc w:val="left"/>
              <w:rPr>
                <w:b w:val="0"/>
                <w:bCs w:val="0"/>
                <w:lang w:val="en-NZ"/>
              </w:rPr>
            </w:pPr>
            <w:r w:rsidRPr="00312C81">
              <w:rPr>
                <w:b w:val="0"/>
                <w:bCs w:val="0"/>
                <w:lang w:eastAsia="en-NZ"/>
              </w:rPr>
              <w:t>Third (2031</w:t>
            </w:r>
            <w:r w:rsidR="000C1468" w:rsidRPr="00312C81">
              <w:rPr>
                <w:b w:val="0"/>
                <w:bCs w:val="0"/>
              </w:rPr>
              <w:t>–</w:t>
            </w:r>
            <w:r w:rsidRPr="00312C81">
              <w:rPr>
                <w:b w:val="0"/>
                <w:bCs w:val="0"/>
                <w:lang w:eastAsia="en-NZ"/>
              </w:rPr>
              <w:t>2035)</w:t>
            </w:r>
          </w:p>
        </w:tc>
        <w:tc>
          <w:tcPr>
            <w:tcW w:w="0" w:type="dxa"/>
            <w:shd w:val="clear" w:color="auto" w:fill="E9F5F2"/>
            <w:vAlign w:val="center"/>
          </w:tcPr>
          <w:p w14:paraId="5243DA25" w14:textId="77777777" w:rsidR="00376016" w:rsidRPr="0091207A" w:rsidRDefault="00376016" w:rsidP="004C0DB7">
            <w:pPr>
              <w:pStyle w:val="TableParagraph"/>
              <w:cnfStyle w:val="000000100000" w:firstRow="0" w:lastRow="0" w:firstColumn="0" w:lastColumn="0" w:oddVBand="0" w:evenVBand="0" w:oddHBand="1" w:evenHBand="0" w:firstRowFirstColumn="0" w:firstRowLastColumn="0" w:lastRowFirstColumn="0" w:lastRowLastColumn="0"/>
              <w:rPr>
                <w:lang w:val="en-NZ"/>
              </w:rPr>
            </w:pPr>
            <w:r w:rsidRPr="00F23C8D">
              <w:rPr>
                <w:lang w:eastAsia="en-NZ"/>
              </w:rPr>
              <w:t>240.0</w:t>
            </w:r>
          </w:p>
        </w:tc>
        <w:tc>
          <w:tcPr>
            <w:tcW w:w="0" w:type="dxa"/>
            <w:shd w:val="clear" w:color="auto" w:fill="E9F5F2"/>
            <w:vAlign w:val="center"/>
          </w:tcPr>
          <w:p w14:paraId="015E326F" w14:textId="77777777" w:rsidR="00376016" w:rsidRPr="00F23C8D" w:rsidRDefault="00376016" w:rsidP="004C0DB7">
            <w:pPr>
              <w:pStyle w:val="TableParagraph"/>
              <w:cnfStyle w:val="000000100000" w:firstRow="0" w:lastRow="0" w:firstColumn="0" w:lastColumn="0" w:oddVBand="0" w:evenVBand="0" w:oddHBand="1" w:evenHBand="0" w:firstRowFirstColumn="0" w:firstRowLastColumn="0" w:lastRowFirstColumn="0" w:lastRowLastColumn="0"/>
              <w:rPr>
                <w:lang w:eastAsia="en-NZ"/>
              </w:rPr>
            </w:pPr>
            <w:r w:rsidRPr="00F23C8D">
              <w:rPr>
                <w:lang w:eastAsia="en-NZ"/>
              </w:rPr>
              <w:t>249.2</w:t>
            </w:r>
          </w:p>
        </w:tc>
        <w:tc>
          <w:tcPr>
            <w:tcW w:w="0" w:type="dxa"/>
            <w:shd w:val="clear" w:color="auto" w:fill="E9F5F2"/>
            <w:vAlign w:val="center"/>
          </w:tcPr>
          <w:p w14:paraId="15C18CB1" w14:textId="77777777" w:rsidR="00376016" w:rsidRPr="00F23C8D" w:rsidRDefault="00376016" w:rsidP="004C0DB7">
            <w:pPr>
              <w:pStyle w:val="TableParagraph"/>
              <w:cnfStyle w:val="000000100000" w:firstRow="0" w:lastRow="0" w:firstColumn="0" w:lastColumn="0" w:oddVBand="0" w:evenVBand="0" w:oddHBand="1" w:evenHBand="0" w:firstRowFirstColumn="0" w:firstRowLastColumn="0" w:lastRowFirstColumn="0" w:lastRowLastColumn="0"/>
              <w:rPr>
                <w:lang w:eastAsia="en-NZ"/>
              </w:rPr>
            </w:pPr>
            <w:r w:rsidRPr="00F23C8D">
              <w:rPr>
                <w:lang w:eastAsia="en-NZ"/>
              </w:rPr>
              <w:t>+ 9.2</w:t>
            </w:r>
          </w:p>
        </w:tc>
      </w:tr>
    </w:tbl>
    <w:p w14:paraId="56880865" w14:textId="3EE23CEE" w:rsidR="007E2FD4" w:rsidRDefault="00334504" w:rsidP="008A3747">
      <w:r>
        <w:t>Accordingly</w:t>
      </w:r>
      <w:r w:rsidR="00923475">
        <w:t xml:space="preserve">, </w:t>
      </w:r>
      <w:r w:rsidR="00724BB8">
        <w:t>over 2026</w:t>
      </w:r>
      <w:r w:rsidR="004D05A5">
        <w:t>–</w:t>
      </w:r>
      <w:r w:rsidR="00724BB8">
        <w:t xml:space="preserve">2030 </w:t>
      </w:r>
      <w:r w:rsidR="00923475">
        <w:t xml:space="preserve">we </w:t>
      </w:r>
      <w:r w:rsidR="00400477">
        <w:t xml:space="preserve">have aligned our </w:t>
      </w:r>
      <w:r w:rsidR="00B9498D">
        <w:t xml:space="preserve">calculation of the unit limits to the </w:t>
      </w:r>
      <w:r w:rsidR="00CD40F1">
        <w:t xml:space="preserve">emissions level </w:t>
      </w:r>
      <w:r w:rsidR="005F1BF4">
        <w:t xml:space="preserve">given by the emissions projections in </w:t>
      </w:r>
      <w:r w:rsidR="00243A02">
        <w:t>the G</w:t>
      </w:r>
      <w:r w:rsidR="0042403E">
        <w:t xml:space="preserve">overnment’s </w:t>
      </w:r>
      <w:r w:rsidR="00724BB8">
        <w:t>second emissions reduction plan</w:t>
      </w:r>
      <w:r w:rsidR="00243A02">
        <w:t>, rather than to the notified level of the second emissions budget</w:t>
      </w:r>
      <w:r w:rsidR="00724BB8">
        <w:t>.</w:t>
      </w:r>
    </w:p>
    <w:p w14:paraId="00D58E40" w14:textId="4085C5F4" w:rsidR="00571613" w:rsidRDefault="004707FB" w:rsidP="008A3747">
      <w:r>
        <w:t xml:space="preserve">To align with </w:t>
      </w:r>
      <w:r w:rsidR="00571613">
        <w:t>the third emissions budget</w:t>
      </w:r>
      <w:r w:rsidR="0051603F">
        <w:t xml:space="preserve"> and second NDC</w:t>
      </w:r>
      <w:r w:rsidR="00DB0248">
        <w:t>,</w:t>
      </w:r>
      <w:r>
        <w:t xml:space="preserve"> </w:t>
      </w:r>
      <w:r w:rsidR="00DB0248">
        <w:t xml:space="preserve">deeper reductions in net emissions will </w:t>
      </w:r>
      <w:r w:rsidR="00EF1A8C">
        <w:t xml:space="preserve">be </w:t>
      </w:r>
      <w:r w:rsidR="00DB0248">
        <w:t>needed than indicated by</w:t>
      </w:r>
      <w:r w:rsidR="00E8704F">
        <w:t xml:space="preserve"> the current </w:t>
      </w:r>
      <w:r w:rsidR="00DB0248">
        <w:t>emissions projections.</w:t>
      </w:r>
      <w:r w:rsidR="008677BF">
        <w:t xml:space="preserve"> </w:t>
      </w:r>
      <w:r w:rsidR="00834473">
        <w:t>We consider that aligning the unit limits with these projections over 2026</w:t>
      </w:r>
      <w:r w:rsidR="007A7AD8" w:rsidRPr="12E598B1">
        <w:rPr>
          <w:rFonts w:eastAsia="Calibri" w:cs="Calibri"/>
        </w:rPr>
        <w:t>–</w:t>
      </w:r>
      <w:r w:rsidR="00834473">
        <w:t xml:space="preserve">2030 </w:t>
      </w:r>
      <w:r w:rsidR="003A68DF">
        <w:t>is still in accordance with the third emissions budget</w:t>
      </w:r>
      <w:r w:rsidR="0051603F">
        <w:t xml:space="preserve"> and second NDC</w:t>
      </w:r>
      <w:r w:rsidR="00F24001">
        <w:t>,</w:t>
      </w:r>
      <w:r w:rsidR="003A68DF">
        <w:t xml:space="preserve"> since the </w:t>
      </w:r>
      <w:r w:rsidR="008571D8">
        <w:t>deeper reductions are not required until after the period of this advice</w:t>
      </w:r>
      <w:r w:rsidR="004D344C">
        <w:t>.</w:t>
      </w:r>
      <w:r w:rsidR="00A44281">
        <w:rPr>
          <w:rStyle w:val="FootnoteReference"/>
        </w:rPr>
        <w:footnoteReference w:id="21"/>
      </w:r>
      <w:r w:rsidR="004D344C">
        <w:t xml:space="preserve"> Future advice that does cover part of the third emissions budget </w:t>
      </w:r>
      <w:r w:rsidR="0088575D">
        <w:t xml:space="preserve">and second NDC </w:t>
      </w:r>
      <w:r w:rsidR="00053274">
        <w:t>period (2031</w:t>
      </w:r>
      <w:r w:rsidR="1CCABC32" w:rsidRPr="12E598B1">
        <w:rPr>
          <w:rFonts w:eastAsia="Calibri" w:cs="Calibri"/>
        </w:rPr>
        <w:t>–</w:t>
      </w:r>
      <w:r w:rsidR="00053274">
        <w:t xml:space="preserve">2035) </w:t>
      </w:r>
      <w:r w:rsidR="004D344C">
        <w:t xml:space="preserve">can </w:t>
      </w:r>
      <w:r w:rsidR="00053274">
        <w:t>align with an adjusted pathway that ac</w:t>
      </w:r>
      <w:r w:rsidR="00D7147B">
        <w:t>counts for the additional reductions needed.</w:t>
      </w:r>
    </w:p>
    <w:p w14:paraId="13516A75" w14:textId="332E403A" w:rsidR="00243735" w:rsidRDefault="00070EFC" w:rsidP="0062332E">
      <w:pPr>
        <w:pStyle w:val="Heading4"/>
      </w:pPr>
      <w:r>
        <w:t xml:space="preserve">Aligning </w:t>
      </w:r>
      <w:r w:rsidR="00243735">
        <w:t>with the 2050 target</w:t>
      </w:r>
    </w:p>
    <w:p w14:paraId="356DD49C" w14:textId="01097144" w:rsidR="00243735" w:rsidRDefault="00243735" w:rsidP="00243735">
      <w:r>
        <w:t xml:space="preserve">In addition </w:t>
      </w:r>
      <w:r w:rsidR="00D56F07">
        <w:t>t</w:t>
      </w:r>
      <w:r>
        <w:t xml:space="preserve">o emissions budgets and NDCs, the </w:t>
      </w:r>
      <w:r w:rsidR="004A40FD">
        <w:t>unit limit</w:t>
      </w:r>
      <w:r w:rsidR="00C36F20">
        <w:t>s</w:t>
      </w:r>
      <w:r w:rsidR="004A40FD">
        <w:t xml:space="preserve"> and price control </w:t>
      </w:r>
      <w:r>
        <w:t>settings are required to accord with meeting the 2050 target. Emissions budgets are intended to step down over time towards the 2050 target</w:t>
      </w:r>
      <w:r w:rsidR="007F69B8">
        <w:t>. They</w:t>
      </w:r>
      <w:r>
        <w:t xml:space="preserve"> act as interim targets to ensure the target for 2050 is also met.</w:t>
      </w:r>
    </w:p>
    <w:p w14:paraId="518230CC" w14:textId="70E08D4A" w:rsidR="00243735" w:rsidRDefault="00243735" w:rsidP="00243735">
      <w:r w:rsidRPr="00543AE9">
        <w:t>The emissions projections set out in the second emissions reduction plan meet the 2050 target</w:t>
      </w:r>
      <w:r w:rsidR="00157D20" w:rsidRPr="00543AE9">
        <w:t>. Therefore</w:t>
      </w:r>
      <w:r w:rsidR="00483766" w:rsidRPr="00543AE9">
        <w:t>,</w:t>
      </w:r>
      <w:r w:rsidRPr="00543AE9">
        <w:t xml:space="preserve"> we consider that aligning the unit limits to achieving </w:t>
      </w:r>
      <w:r w:rsidR="00843949" w:rsidRPr="00543AE9">
        <w:t xml:space="preserve">the </w:t>
      </w:r>
      <w:r w:rsidR="00AD231A" w:rsidRPr="00543AE9">
        <w:t>emissions budget</w:t>
      </w:r>
      <w:r w:rsidR="00B06846" w:rsidRPr="00543AE9">
        <w:t>s</w:t>
      </w:r>
      <w:r w:rsidR="00FD7F90" w:rsidRPr="00543AE9">
        <w:t>,</w:t>
      </w:r>
      <w:r w:rsidR="00843949" w:rsidRPr="00543AE9">
        <w:t xml:space="preserve"> </w:t>
      </w:r>
      <w:r w:rsidRPr="00543AE9">
        <w:t>using the emissions projections</w:t>
      </w:r>
      <w:r w:rsidR="00B13CAA" w:rsidRPr="00543AE9">
        <w:t xml:space="preserve"> above</w:t>
      </w:r>
      <w:r w:rsidR="009D2D95" w:rsidRPr="00543AE9">
        <w:t xml:space="preserve"> and where relevant, to an emissions pathway that meets the third emissions budget</w:t>
      </w:r>
      <w:r w:rsidR="00FD7F90" w:rsidRPr="00543AE9">
        <w:t>,</w:t>
      </w:r>
      <w:r w:rsidR="00B13CAA" w:rsidRPr="00543AE9">
        <w:t xml:space="preserve"> also </w:t>
      </w:r>
      <w:r w:rsidR="009D2D95" w:rsidRPr="00543AE9">
        <w:t xml:space="preserve">aligns </w:t>
      </w:r>
      <w:r w:rsidR="00B13CAA" w:rsidRPr="00543AE9">
        <w:t xml:space="preserve">with </w:t>
      </w:r>
      <w:r w:rsidR="009F28AF" w:rsidRPr="00543AE9">
        <w:t>the 2050 target.</w:t>
      </w:r>
    </w:p>
    <w:p w14:paraId="6B9D360B" w14:textId="0FA90647" w:rsidR="000719D8" w:rsidRPr="00E01371" w:rsidRDefault="00530C3D" w:rsidP="00730061">
      <w:pPr>
        <w:pStyle w:val="Heading2nonumber"/>
      </w:pPr>
      <w:bookmarkStart w:id="29" w:name="_Toc195447236"/>
      <w:r>
        <w:lastRenderedPageBreak/>
        <w:t>Step 2: Allocate volume to NZ ETS and non-NZ ETS sectors</w:t>
      </w:r>
      <w:bookmarkEnd w:id="29"/>
    </w:p>
    <w:p w14:paraId="33C1F9AE" w14:textId="341FA62B" w:rsidR="00E00E04" w:rsidRDefault="00E00E04" w:rsidP="00E00E04">
      <w:r>
        <w:t xml:space="preserve">This step is about how Aotearoa New Zealand’s emissions reduction goals are shared between NZ ETS and non-NZ ETS sectors. This is sometimes referred to as setting the </w:t>
      </w:r>
      <w:r w:rsidR="006E71CF">
        <w:t xml:space="preserve">NZ ETS </w:t>
      </w:r>
      <w:r>
        <w:t xml:space="preserve">emissions cap, where the </w:t>
      </w:r>
      <w:r w:rsidR="0037492F">
        <w:t>‘</w:t>
      </w:r>
      <w:r>
        <w:t>cap</w:t>
      </w:r>
      <w:r w:rsidR="0037492F">
        <w:t>’</w:t>
      </w:r>
      <w:r>
        <w:t xml:space="preserve"> refers to the targeted level of emissions for sectors covered by the NZ ETS.  </w:t>
      </w:r>
    </w:p>
    <w:p w14:paraId="7E76388A" w14:textId="44227330" w:rsidR="00AF3FDE" w:rsidRDefault="00AF3FDE" w:rsidP="00730061">
      <w:pPr>
        <w:pStyle w:val="Heading3"/>
      </w:pPr>
      <w:r>
        <w:t>Analysis and findings</w:t>
      </w:r>
    </w:p>
    <w:p w14:paraId="060DE49C" w14:textId="324A25D2" w:rsidR="00376A4E" w:rsidRDefault="00927128" w:rsidP="0022581A">
      <w:r>
        <w:t>In its second emissions reduction plan, t</w:t>
      </w:r>
      <w:r w:rsidR="002A7386">
        <w:t xml:space="preserve">he </w:t>
      </w:r>
      <w:r w:rsidR="009823FB">
        <w:t xml:space="preserve">Government </w:t>
      </w:r>
      <w:r w:rsidR="00F541F6">
        <w:t>set out a decision on a pro</w:t>
      </w:r>
      <w:r w:rsidR="00D605C8">
        <w:t xml:space="preserve">visional </w:t>
      </w:r>
      <w:r w:rsidR="00046569">
        <w:t>emissions cap</w:t>
      </w:r>
      <w:r w:rsidR="009B1B1F">
        <w:t>. F</w:t>
      </w:r>
      <w:r w:rsidR="00793C43">
        <w:t>or reasons noted</w:t>
      </w:r>
      <w:r w:rsidR="002D77F0">
        <w:t xml:space="preserve"> earlier</w:t>
      </w:r>
      <w:r w:rsidR="009B1B1F">
        <w:t>,</w:t>
      </w:r>
      <w:r w:rsidR="002D77F0">
        <w:t xml:space="preserve"> </w:t>
      </w:r>
      <w:r w:rsidR="00793C43">
        <w:t xml:space="preserve">we </w:t>
      </w:r>
      <w:r w:rsidR="00D84C4E">
        <w:t xml:space="preserve">have incorporated </w:t>
      </w:r>
      <w:r w:rsidR="009B1B1F">
        <w:t>that provisional cap</w:t>
      </w:r>
      <w:r w:rsidR="00D84C4E">
        <w:t xml:space="preserve"> into </w:t>
      </w:r>
      <w:r w:rsidR="00376A4E">
        <w:t xml:space="preserve">our development of </w:t>
      </w:r>
      <w:r w:rsidR="007F5FE7">
        <w:t xml:space="preserve">this </w:t>
      </w:r>
      <w:r w:rsidR="00376A4E">
        <w:t>unit limit</w:t>
      </w:r>
      <w:r w:rsidR="007F5FE7">
        <w:t xml:space="preserve"> advice</w:t>
      </w:r>
      <w:r w:rsidR="00376A4E">
        <w:t xml:space="preserve">. </w:t>
      </w:r>
    </w:p>
    <w:p w14:paraId="382714E5" w14:textId="00FD5FD4" w:rsidR="00087C12" w:rsidRDefault="00001231" w:rsidP="0022581A">
      <w:r>
        <w:t>The</w:t>
      </w:r>
      <w:r w:rsidR="00D51436">
        <w:t xml:space="preserve"> split of emissions between NZ ETS and non-NZ ETS sectors</w:t>
      </w:r>
      <w:r w:rsidR="00A634DC">
        <w:t xml:space="preserve"> used in the</w:t>
      </w:r>
      <w:r>
        <w:t xml:space="preserve"> </w:t>
      </w:r>
      <w:r w:rsidR="00087C12">
        <w:t xml:space="preserve">Government’s </w:t>
      </w:r>
      <w:r w:rsidR="004F08A1">
        <w:t xml:space="preserve">provisional emissions </w:t>
      </w:r>
      <w:r w:rsidR="006E5F24">
        <w:t>cap</w:t>
      </w:r>
      <w:r w:rsidR="002C14EA">
        <w:t xml:space="preserve"> </w:t>
      </w:r>
      <w:r w:rsidR="00CD23F7">
        <w:t>for 2026</w:t>
      </w:r>
      <w:r w:rsidR="006B4B0E">
        <w:t>–</w:t>
      </w:r>
      <w:r w:rsidR="00CD23F7">
        <w:t xml:space="preserve">2030 </w:t>
      </w:r>
      <w:r w:rsidR="00A634DC">
        <w:t xml:space="preserve">is not </w:t>
      </w:r>
      <w:r w:rsidR="00156D4D">
        <w:t xml:space="preserve">as </w:t>
      </w:r>
      <w:r w:rsidR="00956532">
        <w:t xml:space="preserve">granular as the split </w:t>
      </w:r>
      <w:r w:rsidR="000815B7">
        <w:t xml:space="preserve">we have used in the past for determining the units limits. We have therefore </w:t>
      </w:r>
      <w:r w:rsidR="00686165">
        <w:t xml:space="preserve">taken the </w:t>
      </w:r>
      <w:r w:rsidR="00F67856">
        <w:t>Government’s guidance on the allocation</w:t>
      </w:r>
      <w:r w:rsidR="00536D45">
        <w:t xml:space="preserve"> of emissions budget volume</w:t>
      </w:r>
      <w:r w:rsidR="00F67856">
        <w:t xml:space="preserve"> to NZ ETS </w:t>
      </w:r>
      <w:r w:rsidR="007079D5">
        <w:t xml:space="preserve">and non-NZ ETS </w:t>
      </w:r>
      <w:r w:rsidR="00F67856">
        <w:t>se</w:t>
      </w:r>
      <w:r w:rsidR="00536D45">
        <w:t>ctors</w:t>
      </w:r>
      <w:r w:rsidR="0077233B">
        <w:t>, and applied our more detailed methodology</w:t>
      </w:r>
      <w:r w:rsidR="001229A1">
        <w:t xml:space="preserve"> </w:t>
      </w:r>
      <w:r w:rsidR="007079D5">
        <w:t xml:space="preserve">to </w:t>
      </w:r>
      <w:r w:rsidR="006910FC">
        <w:t>determine the emissions allocation to NZ ETS sectors</w:t>
      </w:r>
      <w:r w:rsidR="006D3273">
        <w:t>.</w:t>
      </w:r>
      <w:r w:rsidR="004738F7">
        <w:t xml:space="preserve"> </w:t>
      </w:r>
      <w:r w:rsidR="009F69F2">
        <w:t xml:space="preserve">We have used the same methodology for </w:t>
      </w:r>
      <w:r w:rsidR="00CC7A13">
        <w:t>determining the</w:t>
      </w:r>
      <w:r w:rsidR="005142AE">
        <w:t xml:space="preserve"> </w:t>
      </w:r>
      <w:r w:rsidR="00416993">
        <w:t xml:space="preserve">emissions </w:t>
      </w:r>
      <w:r w:rsidR="005142AE">
        <w:t>allocat</w:t>
      </w:r>
      <w:r w:rsidR="00416993">
        <w:t>ed</w:t>
      </w:r>
      <w:r w:rsidR="005142AE">
        <w:t xml:space="preserve"> </w:t>
      </w:r>
      <w:r w:rsidR="00416993">
        <w:t>to NZ ETS sectors</w:t>
      </w:r>
      <w:r w:rsidR="009F69F2">
        <w:t xml:space="preserve"> as we used last </w:t>
      </w:r>
      <w:r w:rsidR="000B4F65">
        <w:t>year</w:t>
      </w:r>
      <w:r w:rsidR="004C01D9">
        <w:t>. M</w:t>
      </w:r>
      <w:r w:rsidR="00567E07">
        <w:t xml:space="preserve">ore detail can be found in </w:t>
      </w:r>
      <w:r w:rsidR="004209FF" w:rsidRPr="00063B32">
        <w:rPr>
          <w:i/>
        </w:rPr>
        <w:t xml:space="preserve">Technical Annex 1: </w:t>
      </w:r>
      <w:r w:rsidR="004209FF" w:rsidRPr="00063B32">
        <w:rPr>
          <w:i/>
          <w:iCs/>
        </w:rPr>
        <w:t xml:space="preserve">Unit </w:t>
      </w:r>
      <w:r w:rsidR="0059082B" w:rsidRPr="00063B32">
        <w:rPr>
          <w:i/>
        </w:rPr>
        <w:t>limit</w:t>
      </w:r>
      <w:r w:rsidR="005144B8">
        <w:rPr>
          <w:i/>
          <w:iCs/>
        </w:rPr>
        <w:t xml:space="preserve"> settings</w:t>
      </w:r>
      <w:r w:rsidR="008E3D69">
        <w:t xml:space="preserve">, </w:t>
      </w:r>
      <w:r w:rsidR="008E3D69" w:rsidRPr="00827A1D">
        <w:t>published separately on our website.</w:t>
      </w:r>
      <w:r w:rsidR="0059082B">
        <w:t xml:space="preserve"> </w:t>
      </w:r>
    </w:p>
    <w:p w14:paraId="4FB38065" w14:textId="00763508" w:rsidR="009F4F31" w:rsidRDefault="005F043F" w:rsidP="00CC7084">
      <w:pPr>
        <w:rPr>
          <w:highlight w:val="yellow"/>
        </w:rPr>
      </w:pPr>
      <w:r w:rsidRPr="009F4F31">
        <w:t>To date t</w:t>
      </w:r>
      <w:r w:rsidR="00DB3234" w:rsidRPr="009F4F31">
        <w:t xml:space="preserve">he Government </w:t>
      </w:r>
      <w:r w:rsidRPr="009F4F31">
        <w:t>has not given an</w:t>
      </w:r>
      <w:r w:rsidR="00DB3234" w:rsidRPr="009F4F31">
        <w:t xml:space="preserve"> indication of how it </w:t>
      </w:r>
      <w:r w:rsidR="00273E1B" w:rsidRPr="009F4F31">
        <w:t xml:space="preserve">would approach </w:t>
      </w:r>
      <w:r w:rsidR="0006587E">
        <w:t xml:space="preserve">setting </w:t>
      </w:r>
      <w:r w:rsidR="00752391" w:rsidRPr="009F4F31">
        <w:t xml:space="preserve">the </w:t>
      </w:r>
      <w:r w:rsidR="00A9124E">
        <w:br/>
      </w:r>
      <w:r w:rsidR="00752391" w:rsidRPr="009F4F31">
        <w:t xml:space="preserve">NZ ETS emissions cap </w:t>
      </w:r>
      <w:r w:rsidR="00A838EB" w:rsidRPr="009F4F31">
        <w:t xml:space="preserve">over </w:t>
      </w:r>
      <w:r w:rsidR="00752391" w:rsidRPr="009F4F31">
        <w:t>the third emissions budget period (2031</w:t>
      </w:r>
      <w:r w:rsidR="004C01D9" w:rsidRPr="009F4F31">
        <w:t>–</w:t>
      </w:r>
      <w:r w:rsidR="00752391" w:rsidRPr="009F4F31">
        <w:t>2035).</w:t>
      </w:r>
      <w:r w:rsidR="00394A9C" w:rsidRPr="009F4F31">
        <w:t xml:space="preserve"> </w:t>
      </w:r>
      <w:r w:rsidR="009F4F31">
        <w:t>In step 5</w:t>
      </w:r>
      <w:r w:rsidR="00C64D9A">
        <w:t xml:space="preserve"> of our unit limits methodology, we need to assume an emissions cap </w:t>
      </w:r>
      <w:r w:rsidR="006F3193">
        <w:t xml:space="preserve">for the </w:t>
      </w:r>
      <w:r w:rsidR="00DC7CEB">
        <w:t xml:space="preserve">early years of the 2030s </w:t>
      </w:r>
      <w:r w:rsidR="006F3193">
        <w:t xml:space="preserve">for the purposes of </w:t>
      </w:r>
      <w:r w:rsidR="00DC7CEB">
        <w:t xml:space="preserve">estimating the units needed by emitters </w:t>
      </w:r>
      <w:r w:rsidR="00D61048">
        <w:t xml:space="preserve">for hedging </w:t>
      </w:r>
      <w:r w:rsidR="002E509E">
        <w:t xml:space="preserve">in 2030. We </w:t>
      </w:r>
      <w:r w:rsidR="004C36F1">
        <w:t xml:space="preserve">discuss </w:t>
      </w:r>
      <w:r w:rsidR="00815798">
        <w:t xml:space="preserve">how we have done this </w:t>
      </w:r>
      <w:r w:rsidR="004C36F1">
        <w:t xml:space="preserve">later in this </w:t>
      </w:r>
      <w:r w:rsidR="001F511D">
        <w:t xml:space="preserve">chapter, see </w:t>
      </w:r>
      <w:r w:rsidR="00815798">
        <w:t>step 5</w:t>
      </w:r>
      <w:r w:rsidR="00DE2782">
        <w:t xml:space="preserve"> for more information</w:t>
      </w:r>
      <w:r w:rsidR="001F511D">
        <w:t>.</w:t>
      </w:r>
      <w:r w:rsidR="004C36F1">
        <w:t xml:space="preserve"> </w:t>
      </w:r>
      <w:r w:rsidR="00DC7CEB">
        <w:t xml:space="preserve"> </w:t>
      </w:r>
    </w:p>
    <w:p w14:paraId="1E629C14" w14:textId="4F07F09C" w:rsidR="00251F0D" w:rsidRDefault="00993D5B" w:rsidP="00730061">
      <w:pPr>
        <w:pStyle w:val="Heading2nonumber"/>
      </w:pPr>
      <w:bookmarkStart w:id="30" w:name="_Toc195447237"/>
      <w:r>
        <w:t>Step 3: Technical adjustments</w:t>
      </w:r>
      <w:bookmarkEnd w:id="30"/>
    </w:p>
    <w:p w14:paraId="5111B81B" w14:textId="3DE83E28" w:rsidR="00993D5B" w:rsidRDefault="0056799C" w:rsidP="00993D5B">
      <w:r w:rsidRPr="0056799C">
        <w:t xml:space="preserve">In this step we review past emissions reported in the NZ ETS and </w:t>
      </w:r>
      <w:r w:rsidR="005F0A1D">
        <w:t xml:space="preserve">in </w:t>
      </w:r>
      <w:r w:rsidR="00CD73A7">
        <w:t>New Zealand’s G</w:t>
      </w:r>
      <w:r w:rsidR="00D63E32">
        <w:t xml:space="preserve">reenhouse </w:t>
      </w:r>
      <w:r w:rsidR="00CD73A7">
        <w:t>G</w:t>
      </w:r>
      <w:r w:rsidR="00D63E32">
        <w:t xml:space="preserve">as </w:t>
      </w:r>
      <w:r w:rsidR="00CD73A7">
        <w:t>I</w:t>
      </w:r>
      <w:r w:rsidR="00D63E32">
        <w:t>nventory</w:t>
      </w:r>
      <w:r w:rsidR="008B5466">
        <w:t xml:space="preserve"> (GHG Inventory)</w:t>
      </w:r>
      <w:r w:rsidR="00BB64C1">
        <w:t>,</w:t>
      </w:r>
      <w:r w:rsidRPr="0056799C">
        <w:t xml:space="preserve"> to identify possible discrepancies. This</w:t>
      </w:r>
      <w:r w:rsidRPr="0056799C" w:rsidDel="00787696">
        <w:t xml:space="preserve"> </w:t>
      </w:r>
      <w:r w:rsidRPr="0056799C">
        <w:t>is important</w:t>
      </w:r>
      <w:r w:rsidR="00BD45F2">
        <w:t xml:space="preserve"> since the </w:t>
      </w:r>
      <w:r w:rsidR="00BC4D7A">
        <w:t>GHG</w:t>
      </w:r>
      <w:r w:rsidR="00BD45F2">
        <w:t xml:space="preserve"> </w:t>
      </w:r>
      <w:r w:rsidR="00BC4D7A">
        <w:t>I</w:t>
      </w:r>
      <w:r w:rsidR="00BD45F2">
        <w:t xml:space="preserve">nventory is used to measure progress against the budgets. </w:t>
      </w:r>
    </w:p>
    <w:p w14:paraId="789E2A2F" w14:textId="2858DE7E" w:rsidR="0056799C" w:rsidRDefault="0056799C" w:rsidP="00730061">
      <w:pPr>
        <w:pStyle w:val="Heading3"/>
      </w:pPr>
      <w:r>
        <w:t>Analysis and findings</w:t>
      </w:r>
    </w:p>
    <w:p w14:paraId="241F9499" w14:textId="5B2BECB8" w:rsidR="0089134C" w:rsidRDefault="0089134C" w:rsidP="0089134C">
      <w:r>
        <w:t xml:space="preserve">In our 2024 advice we identified that </w:t>
      </w:r>
      <w:r w:rsidR="00563147">
        <w:t xml:space="preserve">lower emissions were reported in </w:t>
      </w:r>
      <w:r>
        <w:t xml:space="preserve">the NZ ETS for the liquid fossil fuels (LFF) </w:t>
      </w:r>
      <w:r w:rsidRPr="00CD73A7">
        <w:t xml:space="preserve">and </w:t>
      </w:r>
      <w:r w:rsidR="000E32AE" w:rsidRPr="00730061">
        <w:t xml:space="preserve">fossil </w:t>
      </w:r>
      <w:r w:rsidRPr="00CD73A7">
        <w:t xml:space="preserve">gas </w:t>
      </w:r>
      <w:r w:rsidR="006F49E0" w:rsidRPr="00CD73A7">
        <w:t>sectors</w:t>
      </w:r>
      <w:r w:rsidR="006F49E0">
        <w:t xml:space="preserve"> </w:t>
      </w:r>
      <w:r>
        <w:t xml:space="preserve">compared to the </w:t>
      </w:r>
      <w:r w:rsidR="00CD73A7" w:rsidRPr="00730061">
        <w:t>GHG I</w:t>
      </w:r>
      <w:r w:rsidRPr="00CD73A7">
        <w:t>nventory.</w:t>
      </w:r>
      <w:r>
        <w:t xml:space="preserve"> Although the cause of the discrepancy was not identified at the time, we recommended an </w:t>
      </w:r>
      <w:r w:rsidR="00C92E82">
        <w:t xml:space="preserve">ongoing </w:t>
      </w:r>
      <w:r>
        <w:t xml:space="preserve">annual technical adjustment </w:t>
      </w:r>
      <w:r w:rsidR="001E6BE8">
        <w:t>consistent</w:t>
      </w:r>
      <w:r>
        <w:t xml:space="preserve"> </w:t>
      </w:r>
      <w:r w:rsidR="001E6BE8">
        <w:t>with</w:t>
      </w:r>
      <w:r>
        <w:t xml:space="preserve"> 3% of projected LFF and gas emissions (0.</w:t>
      </w:r>
      <w:r w:rsidRPr="00CD73A7">
        <w:t>7–</w:t>
      </w:r>
      <w:r>
        <w:t>0.</w:t>
      </w:r>
      <w:r w:rsidR="007F43C5" w:rsidRPr="00CD73A7">
        <w:t>8</w:t>
      </w:r>
      <w:r>
        <w:t xml:space="preserve"> million units per year across 2025</w:t>
      </w:r>
      <w:r w:rsidR="00070192" w:rsidRPr="00CD73A7">
        <w:t>–</w:t>
      </w:r>
      <w:r>
        <w:t xml:space="preserve">2029).  </w:t>
      </w:r>
    </w:p>
    <w:p w14:paraId="6A946F52" w14:textId="4ECADD2A" w:rsidR="0089134C" w:rsidRDefault="0089134C" w:rsidP="0089134C">
      <w:r>
        <w:t xml:space="preserve">In our most recent analysis, we reviewed the discrepancy between LFF </w:t>
      </w:r>
      <w:r w:rsidRPr="00CD73A7">
        <w:t xml:space="preserve">and </w:t>
      </w:r>
      <w:r w:rsidR="000E32AE" w:rsidRPr="00730061">
        <w:t xml:space="preserve">fossil </w:t>
      </w:r>
      <w:r w:rsidRPr="00CD73A7">
        <w:t>gas</w:t>
      </w:r>
      <w:r>
        <w:t xml:space="preserve"> in further detail to better identify the underlying cause. After</w:t>
      </w:r>
      <w:r w:rsidDel="00A90D6D">
        <w:t xml:space="preserve"> </w:t>
      </w:r>
      <w:r w:rsidR="00A90D6D">
        <w:t>further discussion with</w:t>
      </w:r>
      <w:r>
        <w:t xml:space="preserve"> </w:t>
      </w:r>
      <w:r w:rsidR="007B08E4">
        <w:t>the Ministry for the Environment</w:t>
      </w:r>
      <w:r>
        <w:t xml:space="preserve"> </w:t>
      </w:r>
      <w:r w:rsidR="007B08E4">
        <w:t>and the Ministry of Business, Innovation and Employment</w:t>
      </w:r>
      <w:r w:rsidRPr="00CD73A7">
        <w:t>,</w:t>
      </w:r>
      <w:r>
        <w:t xml:space="preserve"> we </w:t>
      </w:r>
      <w:r w:rsidR="003317B9">
        <w:t xml:space="preserve">determined </w:t>
      </w:r>
      <w:r>
        <w:t xml:space="preserve">that </w:t>
      </w:r>
      <w:r w:rsidR="0055168C">
        <w:t xml:space="preserve">previous analysis double counted </w:t>
      </w:r>
      <w:r w:rsidR="008E774A">
        <w:t>l</w:t>
      </w:r>
      <w:r w:rsidR="008E774A" w:rsidRPr="00CD73A7">
        <w:t xml:space="preserve">iquified </w:t>
      </w:r>
      <w:r w:rsidR="008E774A">
        <w:t>p</w:t>
      </w:r>
      <w:r w:rsidR="008E774A" w:rsidRPr="00CD73A7">
        <w:t>etroleum</w:t>
      </w:r>
      <w:r w:rsidR="00887535">
        <w:t xml:space="preserve"> </w:t>
      </w:r>
      <w:r w:rsidR="008E774A">
        <w:t>g</w:t>
      </w:r>
      <w:r w:rsidR="008E774A" w:rsidRPr="00CD73A7">
        <w:t xml:space="preserve">as </w:t>
      </w:r>
      <w:r>
        <w:t xml:space="preserve">emissions </w:t>
      </w:r>
      <w:r w:rsidR="00D45A1F">
        <w:t xml:space="preserve">from </w:t>
      </w:r>
      <w:r>
        <w:lastRenderedPageBreak/>
        <w:t xml:space="preserve">the </w:t>
      </w:r>
      <w:r w:rsidR="00CD73A7" w:rsidRPr="00730061">
        <w:t>GHG</w:t>
      </w:r>
      <w:r>
        <w:t xml:space="preserve"> </w:t>
      </w:r>
      <w:r w:rsidR="00CD73A7" w:rsidRPr="00730061">
        <w:t>I</w:t>
      </w:r>
      <w:r w:rsidR="00CD73A7" w:rsidRPr="00CD73A7">
        <w:t>nventory</w:t>
      </w:r>
      <w:r>
        <w:t xml:space="preserve">. Correcting this has resulted in a close historical alignment between the two datasets. </w:t>
      </w:r>
    </w:p>
    <w:p w14:paraId="5B7F9067" w14:textId="133DA0E5" w:rsidR="0089134C" w:rsidRDefault="0089134C" w:rsidP="0089134C">
      <w:r>
        <w:t xml:space="preserve">We now </w:t>
      </w:r>
      <w:r w:rsidR="00F06B65">
        <w:t>conclude</w:t>
      </w:r>
      <w:r>
        <w:t xml:space="preserve"> that there is no need </w:t>
      </w:r>
      <w:r w:rsidR="00B60C6D">
        <w:t xml:space="preserve">to incorporate </w:t>
      </w:r>
      <w:r>
        <w:t xml:space="preserve">an ongoing technical adjustment related to LFF </w:t>
      </w:r>
      <w:r w:rsidRPr="00CD73A7">
        <w:t xml:space="preserve">and </w:t>
      </w:r>
      <w:r w:rsidR="000E32AE" w:rsidRPr="00730061">
        <w:t xml:space="preserve">fossil </w:t>
      </w:r>
      <w:r w:rsidRPr="00CD73A7">
        <w:t>gas</w:t>
      </w:r>
      <w:r w:rsidR="00B825E6">
        <w:t xml:space="preserve"> into the settings. </w:t>
      </w:r>
    </w:p>
    <w:p w14:paraId="11C9F2E2" w14:textId="0D27B00A" w:rsidR="0056799C" w:rsidRDefault="0089134C" w:rsidP="0089134C">
      <w:r>
        <w:t>This year</w:t>
      </w:r>
      <w:r w:rsidR="00B825E6">
        <w:t>,</w:t>
      </w:r>
      <w:r>
        <w:t xml:space="preserve"> our analysis </w:t>
      </w:r>
      <w:r w:rsidR="00B825E6">
        <w:t xml:space="preserve">also </w:t>
      </w:r>
      <w:r>
        <w:t xml:space="preserve">identified a discrepancy between waste emissions reported </w:t>
      </w:r>
      <w:r w:rsidRPr="00CD73A7">
        <w:t>in</w:t>
      </w:r>
      <w:r>
        <w:t xml:space="preserve"> the NZ ETS compared to the </w:t>
      </w:r>
      <w:r w:rsidR="00CD73A7" w:rsidRPr="00730061">
        <w:t>GHG</w:t>
      </w:r>
      <w:r w:rsidRPr="00CD73A7">
        <w:t xml:space="preserve"> </w:t>
      </w:r>
      <w:r w:rsidR="00CD73A7" w:rsidRPr="00730061">
        <w:t>I</w:t>
      </w:r>
      <w:r w:rsidR="00CD73A7" w:rsidRPr="00CD73A7">
        <w:t>nventory</w:t>
      </w:r>
      <w:r w:rsidRPr="00CD73A7">
        <w:t>.</w:t>
      </w:r>
      <w:r w:rsidDel="00217829">
        <w:t xml:space="preserve"> </w:t>
      </w:r>
      <w:r w:rsidR="00217829">
        <w:t>The Ministry for the Environment</w:t>
      </w:r>
      <w:r>
        <w:t xml:space="preserve"> </w:t>
      </w:r>
      <w:r w:rsidR="00093E7B">
        <w:t xml:space="preserve">has indicated </w:t>
      </w:r>
      <w:r w:rsidR="00D14483">
        <w:t xml:space="preserve">that </w:t>
      </w:r>
      <w:r w:rsidR="00807495">
        <w:t xml:space="preserve">this </w:t>
      </w:r>
      <w:r w:rsidR="00D14483">
        <w:t xml:space="preserve">is connected to an error </w:t>
      </w:r>
      <w:r>
        <w:t xml:space="preserve">in the calculation of </w:t>
      </w:r>
      <w:r w:rsidR="00D14483">
        <w:t>U</w:t>
      </w:r>
      <w:r>
        <w:t xml:space="preserve">nique </w:t>
      </w:r>
      <w:r w:rsidR="00D14483">
        <w:t>E</w:t>
      </w:r>
      <w:r>
        <w:t xml:space="preserve">missions </w:t>
      </w:r>
      <w:r w:rsidR="00D14483">
        <w:t>F</w:t>
      </w:r>
      <w:r>
        <w:t xml:space="preserve">actors </w:t>
      </w:r>
      <w:r w:rsidR="00D14483">
        <w:t xml:space="preserve">(UEFs) </w:t>
      </w:r>
      <w:r>
        <w:t>for several waste disposal facilities</w:t>
      </w:r>
      <w:r w:rsidR="00C608A0">
        <w:t xml:space="preserve">. </w:t>
      </w:r>
      <w:r w:rsidR="00217829">
        <w:t>The</w:t>
      </w:r>
      <w:r w:rsidR="00C608A0" w:rsidDel="00217829">
        <w:t xml:space="preserve"> </w:t>
      </w:r>
      <w:r w:rsidR="00217829">
        <w:t>Ministry</w:t>
      </w:r>
      <w:r w:rsidR="00C608A0">
        <w:t xml:space="preserve"> expects to </w:t>
      </w:r>
      <w:r>
        <w:t>fix the issue in 2025</w:t>
      </w:r>
      <w:r w:rsidR="00C608A0">
        <w:t>, before the first year (2026) of the settings we are recommending</w:t>
      </w:r>
      <w:r>
        <w:t>. Based on this</w:t>
      </w:r>
      <w:r w:rsidR="00A53252">
        <w:t>,</w:t>
      </w:r>
      <w:r>
        <w:t xml:space="preserve"> we judge that there is no need to incorporate a technical adjustment for this issue. We wi</w:t>
      </w:r>
      <w:r w:rsidR="000F0B0A">
        <w:t xml:space="preserve">ll monitor </w:t>
      </w:r>
      <w:r>
        <w:t xml:space="preserve">this next year to confirm that the discrepancy has been resolved as expected.  </w:t>
      </w:r>
    </w:p>
    <w:p w14:paraId="7439E989" w14:textId="127971E8" w:rsidR="0089134C" w:rsidRDefault="0089134C" w:rsidP="00730061">
      <w:pPr>
        <w:pStyle w:val="Heading2nonumber"/>
      </w:pPr>
      <w:bookmarkStart w:id="31" w:name="_Toc195447238"/>
      <w:r>
        <w:t>Step 4: Account for industrial free allocation</w:t>
      </w:r>
      <w:bookmarkEnd w:id="31"/>
    </w:p>
    <w:p w14:paraId="2812FB19" w14:textId="77777777" w:rsidR="00FB5EAA" w:rsidRDefault="00AA1B99" w:rsidP="00D7031A">
      <w:r>
        <w:t xml:space="preserve">Industrial free allocation refers to the free NZUs provided by the Government to entities whose activities are both emissions-intensive and trade-exposed (EITE). Industrial free allocation reduces the total amount of NZUs available for the Government to auction within the emissions volume allocated to NZ ETS sectors. </w:t>
      </w:r>
    </w:p>
    <w:p w14:paraId="7A1E54B4" w14:textId="7A581B02" w:rsidR="00AA1B99" w:rsidRDefault="00AA1B99" w:rsidP="00D7031A">
      <w:r>
        <w:t>The amount of NZUs given out each year via industrial free allocation is not determined as part of the NZ ETS settings annual process. The rules governing industrial free allocation are in separate provisions of the Act and associated regulations. </w:t>
      </w:r>
      <w:r w:rsidR="005E31A3">
        <w:t xml:space="preserve">We signalled in our advice last year that the Government </w:t>
      </w:r>
      <w:r w:rsidR="00051A93">
        <w:t xml:space="preserve">was undertaking a process to update </w:t>
      </w:r>
      <w:r w:rsidR="005E31A3">
        <w:t xml:space="preserve">the </w:t>
      </w:r>
      <w:r w:rsidR="0042222F">
        <w:t xml:space="preserve">allocative baselines in </w:t>
      </w:r>
      <w:r w:rsidR="00051A93">
        <w:t xml:space="preserve">these regulations. </w:t>
      </w:r>
    </w:p>
    <w:p w14:paraId="564DA377" w14:textId="52535B48" w:rsidR="0029655E" w:rsidRDefault="001F6608" w:rsidP="0029655E">
      <w:r>
        <w:t>I</w:t>
      </w:r>
      <w:r w:rsidR="0053442B">
        <w:t xml:space="preserve">n October 2024 the Government </w:t>
      </w:r>
      <w:r w:rsidR="00794516">
        <w:t xml:space="preserve">completed </w:t>
      </w:r>
      <w:r w:rsidR="00CF631E">
        <w:t>the</w:t>
      </w:r>
      <w:r w:rsidR="00E17937">
        <w:t xml:space="preserve"> </w:t>
      </w:r>
      <w:r w:rsidR="0053442B">
        <w:t>update</w:t>
      </w:r>
      <w:r w:rsidR="000B1DA2">
        <w:t>s</w:t>
      </w:r>
      <w:r w:rsidR="0053442B">
        <w:t xml:space="preserve"> </w:t>
      </w:r>
      <w:r w:rsidR="000B1DA2">
        <w:t>to</w:t>
      </w:r>
      <w:r w:rsidR="0053442B">
        <w:t xml:space="preserve"> </w:t>
      </w:r>
      <w:r w:rsidR="00E17937">
        <w:t xml:space="preserve">the </w:t>
      </w:r>
      <w:r w:rsidR="00794516">
        <w:t>allocative baselines</w:t>
      </w:r>
      <w:r w:rsidR="000B1DA2">
        <w:t>, which are</w:t>
      </w:r>
      <w:r w:rsidR="00A931A1">
        <w:t xml:space="preserve"> </w:t>
      </w:r>
      <w:r>
        <w:t xml:space="preserve">used </w:t>
      </w:r>
      <w:r w:rsidR="00E11F46">
        <w:t>to calculate</w:t>
      </w:r>
      <w:r>
        <w:t xml:space="preserve"> the amount of industrial </w:t>
      </w:r>
      <w:r w:rsidR="00B92EE9">
        <w:t>free</w:t>
      </w:r>
      <w:r w:rsidR="00B92EE9" w:rsidDel="001F6608">
        <w:t xml:space="preserve"> </w:t>
      </w:r>
      <w:r>
        <w:t xml:space="preserve">allocation </w:t>
      </w:r>
      <w:r w:rsidR="00F7028A">
        <w:t xml:space="preserve">provided </w:t>
      </w:r>
      <w:r w:rsidR="009A0393">
        <w:t>for</w:t>
      </w:r>
      <w:r w:rsidR="007D7969">
        <w:t xml:space="preserve"> EITE </w:t>
      </w:r>
      <w:r>
        <w:t>activities</w:t>
      </w:r>
      <w:r w:rsidR="00AC47E8">
        <w:t xml:space="preserve"> each year</w:t>
      </w:r>
      <w:r w:rsidR="00FE11E4">
        <w:t>. The revised baseline</w:t>
      </w:r>
      <w:r w:rsidR="00C42BC9">
        <w:t>s</w:t>
      </w:r>
      <w:r w:rsidR="00A931A1">
        <w:t xml:space="preserve"> apply from </w:t>
      </w:r>
      <w:r w:rsidR="00826EF1" w:rsidRPr="003B5708">
        <w:t>1 January 2025</w:t>
      </w:r>
      <w:r w:rsidR="00794516">
        <w:t xml:space="preserve">. </w:t>
      </w:r>
      <w:r w:rsidR="0029655E">
        <w:t xml:space="preserve">Allocative baselines </w:t>
      </w:r>
      <w:r w:rsidR="00001198">
        <w:t xml:space="preserve">for </w:t>
      </w:r>
      <w:r w:rsidR="00A97B62">
        <w:t xml:space="preserve">most activities decreased, although some baselines increased. </w:t>
      </w:r>
      <w:r w:rsidR="00D1278F">
        <w:t>More information on these changes is available on the Ministry for the Environment’s website.</w:t>
      </w:r>
      <w:r w:rsidR="00D1278F">
        <w:rPr>
          <w:rStyle w:val="FootnoteReference"/>
        </w:rPr>
        <w:footnoteReference w:id="22"/>
      </w:r>
      <w:r w:rsidR="00692E3F" w:rsidDel="00692E3F">
        <w:t xml:space="preserve"> </w:t>
      </w:r>
    </w:p>
    <w:p w14:paraId="78A46C35" w14:textId="7A4C22C1" w:rsidR="00AA1B99" w:rsidRDefault="00AA1B99" w:rsidP="00AA1B99">
      <w:r>
        <w:t>For this step, we update</w:t>
      </w:r>
      <w:r w:rsidR="00EF1253">
        <w:t>d</w:t>
      </w:r>
      <w:r>
        <w:t xml:space="preserve"> forecast industrial free allocation volumes based on the updated </w:t>
      </w:r>
      <w:r w:rsidR="00FB7CCB">
        <w:t xml:space="preserve">baselines </w:t>
      </w:r>
      <w:r>
        <w:t xml:space="preserve">and likely production levels of </w:t>
      </w:r>
      <w:r w:rsidR="00682724">
        <w:t xml:space="preserve">EITE </w:t>
      </w:r>
      <w:r>
        <w:t>activities</w:t>
      </w:r>
      <w:r w:rsidR="00984DFA">
        <w:t xml:space="preserve"> over the next five years</w:t>
      </w:r>
      <w:r>
        <w:t xml:space="preserve">.   </w:t>
      </w:r>
    </w:p>
    <w:p w14:paraId="62AD3631" w14:textId="40ED2D7E" w:rsidR="00AA1B99" w:rsidRDefault="00AA1B99" w:rsidP="00730061">
      <w:pPr>
        <w:pStyle w:val="Heading3"/>
      </w:pPr>
      <w:r>
        <w:t>Analysis and findings</w:t>
      </w:r>
    </w:p>
    <w:p w14:paraId="2FDAC255" w14:textId="7C96E37D" w:rsidR="006A072A" w:rsidRDefault="006A072A" w:rsidP="006A072A">
      <w:r>
        <w:t xml:space="preserve">Our forecast of industrial free allocation volumes has reduced </w:t>
      </w:r>
      <w:r w:rsidR="00A42A44">
        <w:t>significantly from last year’s advice</w:t>
      </w:r>
      <w:r>
        <w:t xml:space="preserve">. </w:t>
      </w:r>
      <w:r w:rsidR="009E4813">
        <w:t>Expected industrial</w:t>
      </w:r>
      <w:r w:rsidR="00E803A1">
        <w:t xml:space="preserve"> </w:t>
      </w:r>
      <w:r w:rsidR="00B92EE9">
        <w:t xml:space="preserve">free </w:t>
      </w:r>
      <w:r w:rsidR="00111435">
        <w:t xml:space="preserve">allocation </w:t>
      </w:r>
      <w:r>
        <w:t>over 202</w:t>
      </w:r>
      <w:r w:rsidR="00163C44">
        <w:t>6</w:t>
      </w:r>
      <w:r w:rsidR="3A210367">
        <w:t>–</w:t>
      </w:r>
      <w:r>
        <w:t xml:space="preserve">2030 </w:t>
      </w:r>
      <w:r w:rsidR="00A25A87">
        <w:t>has reduced from</w:t>
      </w:r>
      <w:r>
        <w:t xml:space="preserve"> </w:t>
      </w:r>
      <w:r w:rsidR="00E80D6A">
        <w:t>27.6</w:t>
      </w:r>
      <w:r w:rsidR="00A25A87">
        <w:t xml:space="preserve"> </w:t>
      </w:r>
      <w:r w:rsidR="00E80D6A">
        <w:t>m</w:t>
      </w:r>
      <w:r w:rsidR="00640308">
        <w:t xml:space="preserve">illion </w:t>
      </w:r>
      <w:r>
        <w:t xml:space="preserve">to </w:t>
      </w:r>
      <w:r w:rsidR="00A62C45">
        <w:t>23.2</w:t>
      </w:r>
      <w:r w:rsidR="00EC53D0">
        <w:t xml:space="preserve"> </w:t>
      </w:r>
      <w:r w:rsidR="00A62C45">
        <w:t>m</w:t>
      </w:r>
      <w:r w:rsidR="00EC53D0">
        <w:t>illion</w:t>
      </w:r>
      <w:r w:rsidR="00A86D13">
        <w:t xml:space="preserve"> NZUs</w:t>
      </w:r>
      <w:r>
        <w:t xml:space="preserve">. </w:t>
      </w:r>
    </w:p>
    <w:p w14:paraId="765E095F" w14:textId="6FDBB48E" w:rsidR="006A072A" w:rsidRDefault="006A072A" w:rsidP="007E3AA2">
      <w:pPr>
        <w:keepNext/>
      </w:pPr>
      <w:r>
        <w:lastRenderedPageBreak/>
        <w:t xml:space="preserve">There are </w:t>
      </w:r>
      <w:r w:rsidR="000B202E">
        <w:t xml:space="preserve">three </w:t>
      </w:r>
      <w:r>
        <w:t>reasons for th</w:t>
      </w:r>
      <w:r w:rsidR="00A86D13">
        <w:t>e</w:t>
      </w:r>
      <w:r>
        <w:t xml:space="preserve"> reduced forecast:   </w:t>
      </w:r>
    </w:p>
    <w:p w14:paraId="109A8131" w14:textId="459ADA6E" w:rsidR="006A072A" w:rsidRDefault="006A072A" w:rsidP="00C84DE1">
      <w:pPr>
        <w:pStyle w:val="BodyBullets"/>
      </w:pPr>
      <w:r>
        <w:t>The overall net impact of the 2024 update to allocative baselines results in a reduction in total allocation volumes</w:t>
      </w:r>
      <w:r w:rsidR="00C12000">
        <w:t>.</w:t>
      </w:r>
      <w:r>
        <w:t xml:space="preserve"> </w:t>
      </w:r>
    </w:p>
    <w:p w14:paraId="49DDC7FD" w14:textId="37CDD084" w:rsidR="00540DCC" w:rsidRDefault="00540DCC" w:rsidP="00C84DE1">
      <w:pPr>
        <w:pStyle w:val="BodyBullets"/>
      </w:pPr>
      <w:r>
        <w:t xml:space="preserve">We have </w:t>
      </w:r>
      <w:r w:rsidR="00B9381D">
        <w:t xml:space="preserve">reset our </w:t>
      </w:r>
      <w:r w:rsidR="00872ED4">
        <w:t xml:space="preserve">base </w:t>
      </w:r>
      <w:r w:rsidR="000E49CF">
        <w:t>assumptions</w:t>
      </w:r>
      <w:r w:rsidR="00772497">
        <w:t xml:space="preserve"> </w:t>
      </w:r>
      <w:r w:rsidR="00407368">
        <w:t>for</w:t>
      </w:r>
      <w:r w:rsidR="00772497">
        <w:t xml:space="preserve"> production levels </w:t>
      </w:r>
      <w:r w:rsidR="00B9381D">
        <w:t xml:space="preserve">using </w:t>
      </w:r>
      <w:r w:rsidR="0089652A">
        <w:t xml:space="preserve">actual </w:t>
      </w:r>
      <w:r w:rsidR="00643F18">
        <w:t xml:space="preserve">industrial </w:t>
      </w:r>
      <w:r w:rsidR="00150B75">
        <w:t xml:space="preserve">allocation </w:t>
      </w:r>
      <w:r w:rsidR="00B9381D">
        <w:t xml:space="preserve">data </w:t>
      </w:r>
      <w:r w:rsidR="008D5FAC">
        <w:t>released in</w:t>
      </w:r>
      <w:r w:rsidR="00B9381D">
        <w:t xml:space="preserve"> 2024</w:t>
      </w:r>
      <w:r w:rsidR="00C12000">
        <w:t>.</w:t>
      </w:r>
    </w:p>
    <w:p w14:paraId="125AFC10" w14:textId="4555C3A7" w:rsidR="006A072A" w:rsidRDefault="006A072A" w:rsidP="00C84DE1">
      <w:pPr>
        <w:pStyle w:val="BodyBullets"/>
      </w:pPr>
      <w:r>
        <w:t xml:space="preserve">We have </w:t>
      </w:r>
      <w:r w:rsidR="00A86D13">
        <w:t xml:space="preserve">incorporated </w:t>
      </w:r>
      <w:r>
        <w:t xml:space="preserve">new assumptions regarding </w:t>
      </w:r>
      <w:r w:rsidR="00A21141">
        <w:t xml:space="preserve">decreased production levels </w:t>
      </w:r>
      <w:r w:rsidR="00DB66EB">
        <w:t>of</w:t>
      </w:r>
      <w:r>
        <w:t xml:space="preserve"> methanol and pulp and paper products</w:t>
      </w:r>
      <w:r w:rsidR="001E1F43">
        <w:t>,</w:t>
      </w:r>
      <w:r>
        <w:t xml:space="preserve"> based on recent public announcements from Methanex and Oji Fibre </w:t>
      </w:r>
      <w:r w:rsidR="00926B03">
        <w:t>Solutions</w:t>
      </w:r>
      <w:r>
        <w:t xml:space="preserve">. </w:t>
      </w:r>
    </w:p>
    <w:p w14:paraId="50241C22" w14:textId="5B6999B3" w:rsidR="00AA1B99" w:rsidRDefault="0084003D" w:rsidP="006A072A">
      <w:r>
        <w:t xml:space="preserve">Our </w:t>
      </w:r>
      <w:r w:rsidR="006A072A">
        <w:t xml:space="preserve">forecast </w:t>
      </w:r>
      <w:r w:rsidR="00420071">
        <w:t>includes</w:t>
      </w:r>
      <w:r w:rsidR="006A072A">
        <w:t xml:space="preserve"> </w:t>
      </w:r>
      <w:r w:rsidR="00F262DA">
        <w:t>the annual</w:t>
      </w:r>
      <w:r w:rsidR="006A072A">
        <w:t xml:space="preserve"> </w:t>
      </w:r>
      <w:r w:rsidR="00CC148A">
        <w:t>updates to the allocation factor</w:t>
      </w:r>
      <w:r w:rsidR="00225FA1">
        <w:t xml:space="preserve"> </w:t>
      </w:r>
      <w:r w:rsidR="00543A57">
        <w:t xml:space="preserve">for </w:t>
      </w:r>
      <w:r w:rsidR="00590D7E">
        <w:t>the</w:t>
      </w:r>
      <w:r w:rsidR="006A072A">
        <w:t xml:space="preserve"> New Zealand Aluminium Smelter (NZAS) </w:t>
      </w:r>
      <w:r w:rsidR="00590D7E">
        <w:t xml:space="preserve">to account for changes in its electricity </w:t>
      </w:r>
      <w:r w:rsidR="00D12177">
        <w:t>use</w:t>
      </w:r>
      <w:r w:rsidR="006A072A">
        <w:t xml:space="preserve">. </w:t>
      </w:r>
      <w:r w:rsidR="00537712">
        <w:t>It</w:t>
      </w:r>
      <w:r w:rsidR="006A072A">
        <w:t xml:space="preserve"> </w:t>
      </w:r>
      <w:r w:rsidR="006E7446">
        <w:t xml:space="preserve">also </w:t>
      </w:r>
      <w:r w:rsidR="006A072A">
        <w:t xml:space="preserve">includes the expected change to the allocative baseline </w:t>
      </w:r>
      <w:r w:rsidR="00F57E2F">
        <w:t>for</w:t>
      </w:r>
      <w:r w:rsidR="006A072A">
        <w:t xml:space="preserve"> NZ Steel that will occur </w:t>
      </w:r>
      <w:r w:rsidR="00513978">
        <w:t xml:space="preserve">in 2026 based on </w:t>
      </w:r>
      <w:r w:rsidR="006A072A">
        <w:t xml:space="preserve">its planned installation of an </w:t>
      </w:r>
      <w:r w:rsidR="00565873">
        <w:t>e</w:t>
      </w:r>
      <w:r w:rsidR="006A072A">
        <w:t xml:space="preserve">lectric </w:t>
      </w:r>
      <w:r w:rsidR="00565873">
        <w:t>a</w:t>
      </w:r>
      <w:r w:rsidR="006A072A">
        <w:t xml:space="preserve">rc </w:t>
      </w:r>
      <w:r w:rsidR="00565873">
        <w:t>f</w:t>
      </w:r>
      <w:r w:rsidR="006A072A">
        <w:t>urnace</w:t>
      </w:r>
      <w:r w:rsidR="00AA70E5">
        <w:t xml:space="preserve">. </w:t>
      </w:r>
      <w:r w:rsidR="00CD476F">
        <w:t>More information on these decisions is available on the Ministry for the Environment’s website.</w:t>
      </w:r>
      <w:r w:rsidR="00CD476F">
        <w:rPr>
          <w:rStyle w:val="EndnoteReference"/>
        </w:rPr>
        <w:endnoteReference w:id="15"/>
      </w:r>
    </w:p>
    <w:p w14:paraId="7B169A83" w14:textId="77777777" w:rsidR="00AA70E5" w:rsidRDefault="00AA70E5" w:rsidP="00730061">
      <w:pPr>
        <w:pStyle w:val="Heading2nonumber"/>
      </w:pPr>
      <w:bookmarkStart w:id="32" w:name="_Toc195447239"/>
      <w:r>
        <w:t>Step 5: Set the unit surplus reduction volume</w:t>
      </w:r>
      <w:bookmarkEnd w:id="32"/>
    </w:p>
    <w:p w14:paraId="219EC0A6" w14:textId="0E66E7D2" w:rsidR="00A77187" w:rsidRPr="00A77187" w:rsidRDefault="00235B1A" w:rsidP="00A77187">
      <w:r>
        <w:t>In this step, we estimate how many of the units</w:t>
      </w:r>
      <w:r w:rsidR="00EA179D">
        <w:t xml:space="preserve"> currently</w:t>
      </w:r>
      <w:r>
        <w:t xml:space="preserve"> in the NZ ETS </w:t>
      </w:r>
      <w:r w:rsidR="00027260">
        <w:t xml:space="preserve">market </w:t>
      </w:r>
      <w:r>
        <w:t>are surplus and how to address th</w:t>
      </w:r>
      <w:r w:rsidR="00A77187">
        <w:t xml:space="preserve">em </w:t>
      </w:r>
      <w:r>
        <w:t>over time.</w:t>
      </w:r>
      <w:r w:rsidR="00A77187">
        <w:t xml:space="preserve"> </w:t>
      </w:r>
      <w:r w:rsidR="00A77187" w:rsidRPr="00A77187">
        <w:t>Determining how many units are surplus is important because these units create risk that emissions budgets will be exceeded.</w:t>
      </w:r>
    </w:p>
    <w:p w14:paraId="3DEF74B2" w14:textId="1CD80E60" w:rsidR="00235B1A" w:rsidRDefault="00DC32A9" w:rsidP="00235B1A">
      <w:r>
        <w:t xml:space="preserve">This </w:t>
      </w:r>
      <w:r w:rsidR="00AF1B80">
        <w:t xml:space="preserve">step </w:t>
      </w:r>
      <w:r>
        <w:t>includes:</w:t>
      </w:r>
    </w:p>
    <w:p w14:paraId="4D6D385E" w14:textId="2553E413" w:rsidR="00235B1A" w:rsidRDefault="00235B1A" w:rsidP="00C84DE1">
      <w:pPr>
        <w:pStyle w:val="BodyBullets"/>
      </w:pPr>
      <w:r w:rsidRPr="007C373C">
        <w:rPr>
          <w:b/>
          <w:bCs/>
        </w:rPr>
        <w:t>Step 5a</w:t>
      </w:r>
      <w:r>
        <w:t xml:space="preserve">: our estimate of surplus units held in private accounts and how to </w:t>
      </w:r>
      <w:r w:rsidR="00A12B8C">
        <w:t>address it over time</w:t>
      </w:r>
    </w:p>
    <w:p w14:paraId="5AE75D5F" w14:textId="1CACD677" w:rsidR="00235B1A" w:rsidRDefault="00235B1A" w:rsidP="00C84DE1">
      <w:pPr>
        <w:pStyle w:val="BodyBullets"/>
      </w:pPr>
      <w:r w:rsidRPr="007C373C">
        <w:rPr>
          <w:b/>
          <w:bCs/>
        </w:rPr>
        <w:t>Step 5b</w:t>
      </w:r>
      <w:r>
        <w:t>: a discrepancy adjustment</w:t>
      </w:r>
      <w:r w:rsidR="002A2C4E">
        <w:t>,</w:t>
      </w:r>
      <w:r>
        <w:t xml:space="preserve"> developed to address </w:t>
      </w:r>
      <w:r w:rsidR="00A12B8C">
        <w:t xml:space="preserve">the impacts of </w:t>
      </w:r>
      <w:r>
        <w:t xml:space="preserve">potential updates to unit limits that are unable to be made due to regulatory limitations around when settings can be updated in the </w:t>
      </w:r>
      <w:r w:rsidR="00F17B39">
        <w:t>five</w:t>
      </w:r>
      <w:r>
        <w:t xml:space="preserve">-year rolling process. </w:t>
      </w:r>
    </w:p>
    <w:p w14:paraId="104AE3FC" w14:textId="138CB55E" w:rsidR="001A2279" w:rsidRDefault="001A2279" w:rsidP="00D26EC5">
      <w:pPr>
        <w:pStyle w:val="Heading3"/>
      </w:pPr>
      <w:r>
        <w:t>Analysis and findings</w:t>
      </w:r>
    </w:p>
    <w:p w14:paraId="3F0FAB91" w14:textId="6A258109" w:rsidR="009F7B3C" w:rsidRPr="004245C7" w:rsidRDefault="009F7B3C" w:rsidP="00D26EC5">
      <w:pPr>
        <w:pStyle w:val="Heading4"/>
      </w:pPr>
      <w:r w:rsidRPr="004245C7">
        <w:t>Step 5a: Set surplus reduction volumes</w:t>
      </w:r>
    </w:p>
    <w:p w14:paraId="45E611DB" w14:textId="68EB24CA" w:rsidR="00972349" w:rsidRDefault="00CD4B0C" w:rsidP="00972349">
      <w:r>
        <w:t xml:space="preserve">In our NZ ETS settings advice </w:t>
      </w:r>
      <w:r w:rsidR="00972349">
        <w:t>to date, our estimate of surplus units has been based on subtracting three categories of units that we consider unlikely to be available to the market from the total volume of units held in private accounts (sometimes referred to as the stockpile)</w:t>
      </w:r>
      <w:r w:rsidR="000801C1">
        <w:t>. These three categories are:</w:t>
      </w:r>
    </w:p>
    <w:p w14:paraId="370208E1" w14:textId="25FA95A1" w:rsidR="004715E2" w:rsidRDefault="004715E2" w:rsidP="00C84DE1">
      <w:pPr>
        <w:pStyle w:val="BodyBullets"/>
      </w:pPr>
      <w:r>
        <w:t xml:space="preserve">pre-1990 forest allocation units held long term </w:t>
      </w:r>
    </w:p>
    <w:p w14:paraId="2647DD0C" w14:textId="52AC4C90" w:rsidR="00972349" w:rsidRDefault="00972349" w:rsidP="00C84DE1">
      <w:pPr>
        <w:pStyle w:val="BodyBullets"/>
      </w:pPr>
      <w:r>
        <w:t>units held for post-1989 forest harvest liabilities</w:t>
      </w:r>
    </w:p>
    <w:p w14:paraId="2DF7CAB6" w14:textId="28EAC2EC" w:rsidR="00972349" w:rsidRDefault="00972349" w:rsidP="00C84DE1">
      <w:pPr>
        <w:pStyle w:val="BodyBullets"/>
      </w:pPr>
      <w:r>
        <w:t>units held for hedging purposes by emitters</w:t>
      </w:r>
      <w:r w:rsidR="00452103">
        <w:t>.</w:t>
      </w:r>
    </w:p>
    <w:p w14:paraId="3204B7CD" w14:textId="30731E40" w:rsidR="00A9542F" w:rsidRDefault="00FA3D9A" w:rsidP="00FA3D9A">
      <w:r>
        <w:t>This year we have updated our surplus estimate by including the most recent data</w:t>
      </w:r>
      <w:r w:rsidR="003E2130">
        <w:t xml:space="preserve"> relevant to </w:t>
      </w:r>
      <w:r w:rsidR="00594499">
        <w:t xml:space="preserve">each of </w:t>
      </w:r>
      <w:r w:rsidR="003E2130">
        <w:t xml:space="preserve">these </w:t>
      </w:r>
      <w:r w:rsidR="00C36254">
        <w:t>categories</w:t>
      </w:r>
      <w:r w:rsidR="003920F6">
        <w:t xml:space="preserve"> of units</w:t>
      </w:r>
      <w:r>
        <w:t xml:space="preserve">, and incorporating several </w:t>
      </w:r>
      <w:r w:rsidR="00DC0CCE">
        <w:t xml:space="preserve">refinements </w:t>
      </w:r>
      <w:r>
        <w:t>to our surplus estimate methodology</w:t>
      </w:r>
      <w:r w:rsidR="00761F92">
        <w:t>. This is</w:t>
      </w:r>
      <w:r w:rsidR="0050482E">
        <w:t xml:space="preserve"> part of a process of continuous improvement</w:t>
      </w:r>
      <w:r>
        <w:t xml:space="preserve">. </w:t>
      </w:r>
    </w:p>
    <w:p w14:paraId="1198B0DC" w14:textId="3675163C" w:rsidR="00FA3D9A" w:rsidRPr="00F17806" w:rsidRDefault="00FA3D9A" w:rsidP="00FA3D9A">
      <w:r>
        <w:lastRenderedPageBreak/>
        <w:t xml:space="preserve">Some </w:t>
      </w:r>
      <w:r w:rsidRPr="00F17806">
        <w:t xml:space="preserve">methodological </w:t>
      </w:r>
      <w:r w:rsidR="001B7927">
        <w:t xml:space="preserve">refinements </w:t>
      </w:r>
      <w:r w:rsidRPr="00F17806">
        <w:t xml:space="preserve">result from our consideration of </w:t>
      </w:r>
      <w:r w:rsidR="00A122AB">
        <w:t xml:space="preserve">a 2024 </w:t>
      </w:r>
      <w:r w:rsidRPr="00F17806">
        <w:t xml:space="preserve">EY report </w:t>
      </w:r>
      <w:r w:rsidR="000E4C9E">
        <w:t>(</w:t>
      </w:r>
      <w:r w:rsidR="000E4C9E" w:rsidRPr="00F17806">
        <w:t xml:space="preserve">commissioned </w:t>
      </w:r>
      <w:r w:rsidR="000E4C9E" w:rsidRPr="00C623F2">
        <w:t xml:space="preserve">by </w:t>
      </w:r>
      <w:r w:rsidR="000E4C9E">
        <w:t xml:space="preserve">the </w:t>
      </w:r>
      <w:r w:rsidR="000E4C9E" w:rsidRPr="00C623F2">
        <w:t>M</w:t>
      </w:r>
      <w:r w:rsidR="000E4C9E">
        <w:t xml:space="preserve">inistry </w:t>
      </w:r>
      <w:r w:rsidR="000E4C9E" w:rsidRPr="00C623F2">
        <w:t>f</w:t>
      </w:r>
      <w:r w:rsidR="000E4C9E">
        <w:t xml:space="preserve">or the </w:t>
      </w:r>
      <w:r w:rsidR="000E4C9E" w:rsidRPr="00C623F2">
        <w:t>E</w:t>
      </w:r>
      <w:r w:rsidR="000E4C9E">
        <w:t xml:space="preserve">nvironment) </w:t>
      </w:r>
      <w:r w:rsidR="00CD09E9">
        <w:t xml:space="preserve">that </w:t>
      </w:r>
      <w:r w:rsidR="0049008A" w:rsidRPr="00F17806">
        <w:t>review</w:t>
      </w:r>
      <w:r w:rsidR="0049008A">
        <w:t>ed</w:t>
      </w:r>
      <w:r w:rsidR="0049008A" w:rsidRPr="00F17806">
        <w:t xml:space="preserve"> </w:t>
      </w:r>
      <w:r w:rsidRPr="00F17806">
        <w:t>the surplus methodology</w:t>
      </w:r>
      <w:r w:rsidRPr="00C623F2">
        <w:t>.</w:t>
      </w:r>
      <w:r>
        <w:rPr>
          <w:rStyle w:val="FootnoteReference"/>
        </w:rPr>
        <w:footnoteReference w:id="23"/>
      </w:r>
      <w:r w:rsidRPr="00C623F2">
        <w:t xml:space="preserve"> Other</w:t>
      </w:r>
      <w:r w:rsidRPr="00F17806">
        <w:t>s result from our own analysis</w:t>
      </w:r>
      <w:r>
        <w:t xml:space="preserve">. </w:t>
      </w:r>
    </w:p>
    <w:p w14:paraId="7CD60D43" w14:textId="410C5BC5" w:rsidR="006A44D8" w:rsidRDefault="00F7707B" w:rsidP="006A44D8">
      <w:r>
        <w:t xml:space="preserve">The refinements </w:t>
      </w:r>
      <w:r w:rsidR="000273D7">
        <w:t xml:space="preserve">this year </w:t>
      </w:r>
      <w:r w:rsidR="00900C15">
        <w:t>include incorporating</w:t>
      </w:r>
      <w:r w:rsidR="000273D7">
        <w:t xml:space="preserve"> </w:t>
      </w:r>
      <w:r w:rsidR="006A44D8">
        <w:t>two further categories of units into our methodology for estimating the unit surplus:</w:t>
      </w:r>
    </w:p>
    <w:p w14:paraId="3AC7BC5A" w14:textId="12296784" w:rsidR="006A44D8" w:rsidRDefault="009034A1" w:rsidP="00925E0D">
      <w:pPr>
        <w:pStyle w:val="BodyBullets"/>
      </w:pPr>
      <w:r>
        <w:t>u</w:t>
      </w:r>
      <w:r w:rsidR="006A44D8">
        <w:t>nits held by emitters for emissions that have already occurred (holding volumes)</w:t>
      </w:r>
    </w:p>
    <w:p w14:paraId="3629B950" w14:textId="086B6851" w:rsidR="00027B87" w:rsidRDefault="009034A1" w:rsidP="00925E0D">
      <w:pPr>
        <w:pStyle w:val="BodyBullets"/>
      </w:pPr>
      <w:r>
        <w:t>p</w:t>
      </w:r>
      <w:r w:rsidR="006A44D8">
        <w:t>ost-1989 forestry units relating to</w:t>
      </w:r>
      <w:r w:rsidR="00EC0604">
        <w:t xml:space="preserve"> the fourth mandatory emissions reporting period</w:t>
      </w:r>
      <w:r w:rsidR="006A44D8">
        <w:t xml:space="preserve"> (2023</w:t>
      </w:r>
      <w:r w:rsidR="002D15F0" w:rsidRPr="000A1433">
        <w:t>–</w:t>
      </w:r>
      <w:r w:rsidR="002D15F0">
        <w:t>20</w:t>
      </w:r>
      <w:r w:rsidR="006A44D8">
        <w:t>25) that may be carried over into the second emissions budget period and contribute to the surplus.</w:t>
      </w:r>
    </w:p>
    <w:p w14:paraId="66111F33" w14:textId="1D1528D3" w:rsidR="003C0446" w:rsidRDefault="003C0446" w:rsidP="003C0446">
      <w:r>
        <w:t xml:space="preserve">Our estimate of the surplus as of the end of 2024 is 50.2 million units, which is notably lower than the 67.9 million units estimated in last year’s advice as of the end of 2023. </w:t>
      </w:r>
    </w:p>
    <w:p w14:paraId="39E6C27E" w14:textId="77777777" w:rsidR="003C0446" w:rsidRDefault="003C0446" w:rsidP="003C0446">
      <w:r>
        <w:t xml:space="preserve">The reasons for the 17.7 million unit reduction to the surplus estimate are: </w:t>
      </w:r>
    </w:p>
    <w:p w14:paraId="64C022E1" w14:textId="3F88D0FA" w:rsidR="003C0446" w:rsidRDefault="003C0446" w:rsidP="00925E0D">
      <w:pPr>
        <w:pStyle w:val="BodyBullets"/>
      </w:pPr>
      <w:r>
        <w:t xml:space="preserve">the 7.7 million unit surplus reduction volume implemented into the settings for the 2024 year </w:t>
      </w:r>
    </w:p>
    <w:p w14:paraId="3A06FA0A" w14:textId="7EC5E3A7" w:rsidR="003C0446" w:rsidRDefault="003C0446" w:rsidP="00925E0D">
      <w:pPr>
        <w:pStyle w:val="BodyBullets"/>
      </w:pPr>
      <w:r>
        <w:t>declined auctions in 2024, which meant that 7.1 million fewer NZUs than expected were allocated into the market</w:t>
      </w:r>
      <w:r w:rsidR="00590D15">
        <w:t>,</w:t>
      </w:r>
      <w:r>
        <w:t xml:space="preserve"> and</w:t>
      </w:r>
    </w:p>
    <w:p w14:paraId="62D8C1DF" w14:textId="08BB7FE6" w:rsidR="003C0446" w:rsidRDefault="003C0446" w:rsidP="00925E0D">
      <w:pPr>
        <w:pStyle w:val="BodyBullets"/>
      </w:pPr>
      <w:r>
        <w:t xml:space="preserve">the refinements to our surplus estimate methodology, which, alongside updated data, contribute about </w:t>
      </w:r>
      <w:r w:rsidR="0052216D">
        <w:t>3 million</w:t>
      </w:r>
      <w:r>
        <w:t xml:space="preserve"> units to the reduction in the estimate.</w:t>
      </w:r>
    </w:p>
    <w:p w14:paraId="2806AE71" w14:textId="6C215ACF" w:rsidR="00A35825" w:rsidRPr="00F65928" w:rsidRDefault="00271F3A" w:rsidP="00A35825">
      <w:r>
        <w:t>T</w:t>
      </w:r>
      <w:r w:rsidR="002109E6">
        <w:t>he surplus is dynamic</w:t>
      </w:r>
      <w:r w:rsidR="00B94537">
        <w:t xml:space="preserve"> </w:t>
      </w:r>
      <w:r w:rsidR="00A34746">
        <w:t>and</w:t>
      </w:r>
      <w:r w:rsidR="00B94537">
        <w:t xml:space="preserve"> many factors</w:t>
      </w:r>
      <w:r w:rsidR="005E432C">
        <w:t>, including the changing behaviour of NZ ETS participants,</w:t>
      </w:r>
      <w:r w:rsidR="00B94537">
        <w:t xml:space="preserve"> can influence </w:t>
      </w:r>
      <w:r w:rsidR="00A34746">
        <w:t xml:space="preserve">how </w:t>
      </w:r>
      <w:r w:rsidR="00B94537">
        <w:t xml:space="preserve">it </w:t>
      </w:r>
      <w:r w:rsidR="00A34746">
        <w:t>changes</w:t>
      </w:r>
      <w:r w:rsidR="00B94537">
        <w:t xml:space="preserve"> over time</w:t>
      </w:r>
      <w:r w:rsidR="00554106">
        <w:t>, so</w:t>
      </w:r>
      <w:r w:rsidR="002109E6">
        <w:t xml:space="preserve"> t</w:t>
      </w:r>
      <w:r w:rsidR="003C0446">
        <w:t xml:space="preserve">here </w:t>
      </w:r>
      <w:r w:rsidR="00554106">
        <w:t>is</w:t>
      </w:r>
      <w:r w:rsidR="003C0446">
        <w:t xml:space="preserve"> significant uncertainty in our estimate of </w:t>
      </w:r>
      <w:r w:rsidR="00A22E69">
        <w:t>it</w:t>
      </w:r>
      <w:r w:rsidR="003C0446">
        <w:t>. Our central estimate of 50</w:t>
      </w:r>
      <w:r w:rsidR="004D046E">
        <w:t xml:space="preserve"> </w:t>
      </w:r>
      <w:r w:rsidR="003C0446">
        <w:t>m</w:t>
      </w:r>
      <w:r w:rsidR="004D046E">
        <w:t>illion</w:t>
      </w:r>
      <w:r w:rsidR="003C0446">
        <w:t xml:space="preserve"> units </w:t>
      </w:r>
      <w:r w:rsidR="00986678">
        <w:t>as at</w:t>
      </w:r>
      <w:r w:rsidR="00986678" w:rsidRPr="004E3A54">
        <w:t xml:space="preserve"> the end of 2024</w:t>
      </w:r>
      <w:r w:rsidR="003C0446">
        <w:t xml:space="preserve"> </w:t>
      </w:r>
      <w:r w:rsidR="00B153FC">
        <w:t xml:space="preserve">is </w:t>
      </w:r>
      <w:r w:rsidR="00A35825" w:rsidRPr="004E3A54">
        <w:t>within a range of 28</w:t>
      </w:r>
      <w:r w:rsidR="000527D4">
        <w:t>–</w:t>
      </w:r>
      <w:r w:rsidR="00A35825" w:rsidRPr="004E3A54">
        <w:t>68 million</w:t>
      </w:r>
      <w:r w:rsidR="00B153FC">
        <w:t xml:space="preserve"> units</w:t>
      </w:r>
      <w:r w:rsidR="00A35825" w:rsidRPr="004E3A54">
        <w:t>.</w:t>
      </w:r>
    </w:p>
    <w:p w14:paraId="6A2AD7C0" w14:textId="7957A931" w:rsidR="00B5726F" w:rsidRDefault="00B5726F" w:rsidP="00B5726F">
      <w:r w:rsidRPr="00F65928">
        <w:t xml:space="preserve">We discuss </w:t>
      </w:r>
      <w:r w:rsidR="00DE6D57" w:rsidRPr="00F65928">
        <w:t xml:space="preserve">the basis and effect of </w:t>
      </w:r>
      <w:r w:rsidRPr="00F65928">
        <w:t>the contributing factors to our updated surplus estimate in the sections below.</w:t>
      </w:r>
      <w:r w:rsidR="007B4C9C" w:rsidRPr="00F65928">
        <w:t xml:space="preserve"> More detailed descriptions </w:t>
      </w:r>
      <w:r w:rsidR="009A31A7" w:rsidRPr="00F65928">
        <w:t xml:space="preserve">of the approaches </w:t>
      </w:r>
      <w:r w:rsidR="009757CB" w:rsidRPr="00F65928">
        <w:t xml:space="preserve">to estimating each category </w:t>
      </w:r>
      <w:r w:rsidR="009A31A7" w:rsidRPr="00F65928">
        <w:t xml:space="preserve">are set out in </w:t>
      </w:r>
      <w:r w:rsidR="000527D4" w:rsidRPr="00717173">
        <w:rPr>
          <w:i/>
        </w:rPr>
        <w:t>Technical</w:t>
      </w:r>
      <w:r w:rsidR="000C459C">
        <w:rPr>
          <w:i/>
        </w:rPr>
        <w:t xml:space="preserve"> </w:t>
      </w:r>
      <w:r w:rsidR="0062592D">
        <w:rPr>
          <w:i/>
        </w:rPr>
        <w:t>A</w:t>
      </w:r>
      <w:r w:rsidR="000527D4" w:rsidRPr="00717173">
        <w:rPr>
          <w:i/>
        </w:rPr>
        <w:t>nnex</w:t>
      </w:r>
      <w:r w:rsidR="009A31A7" w:rsidRPr="00717173">
        <w:rPr>
          <w:i/>
        </w:rPr>
        <w:t xml:space="preserve"> 1</w:t>
      </w:r>
      <w:r w:rsidR="000527D4" w:rsidRPr="00717173">
        <w:rPr>
          <w:i/>
        </w:rPr>
        <w:t>: Unit limit settings</w:t>
      </w:r>
      <w:r w:rsidR="0036401A">
        <w:rPr>
          <w:i/>
        </w:rPr>
        <w:t>,</w:t>
      </w:r>
      <w:r w:rsidR="0036401A">
        <w:rPr>
          <w:iCs/>
        </w:rPr>
        <w:t xml:space="preserve"> published separately on our website</w:t>
      </w:r>
      <w:r w:rsidR="009757CB" w:rsidRPr="00F65928">
        <w:t>.</w:t>
      </w:r>
      <w:r w:rsidRPr="00F65928">
        <w:t> </w:t>
      </w:r>
      <w:r>
        <w:t xml:space="preserve"> </w:t>
      </w:r>
    </w:p>
    <w:p w14:paraId="116A2AA0" w14:textId="77777777" w:rsidR="009F7B3C" w:rsidRPr="00EA097B" w:rsidRDefault="009F7B3C" w:rsidP="00D26EC5">
      <w:pPr>
        <w:pStyle w:val="Heading5"/>
      </w:pPr>
      <w:r w:rsidRPr="00EA097B">
        <w:t xml:space="preserve">Total unit holdings  </w:t>
      </w:r>
    </w:p>
    <w:p w14:paraId="4B1D48A7" w14:textId="55D3E831" w:rsidR="009F7B3C" w:rsidRDefault="009F7B3C" w:rsidP="009F7B3C">
      <w:r>
        <w:t xml:space="preserve">Total </w:t>
      </w:r>
      <w:r w:rsidR="004E4FB6">
        <w:t>private</w:t>
      </w:r>
      <w:r>
        <w:t xml:space="preserve"> unit holdings in the NZ ETS</w:t>
      </w:r>
      <w:r w:rsidR="00C22D18">
        <w:t xml:space="preserve"> registry</w:t>
      </w:r>
      <w:r w:rsidR="005E73D7">
        <w:t xml:space="preserve">, sometimes referred to as </w:t>
      </w:r>
      <w:r w:rsidR="00C21C23">
        <w:t>‘</w:t>
      </w:r>
      <w:r w:rsidR="005E73D7">
        <w:t>the stockpile</w:t>
      </w:r>
      <w:r w:rsidR="00C21C23">
        <w:t xml:space="preserve">’, </w:t>
      </w:r>
      <w:r>
        <w:t xml:space="preserve">have decreased from 160.8 million units </w:t>
      </w:r>
      <w:r w:rsidR="00413240">
        <w:t xml:space="preserve">as of </w:t>
      </w:r>
      <w:r w:rsidR="00E73FC6">
        <w:t xml:space="preserve">late </w:t>
      </w:r>
      <w:r w:rsidR="00310F5C">
        <w:t>2023</w:t>
      </w:r>
      <w:r w:rsidR="0097308E">
        <w:t>,</w:t>
      </w:r>
      <w:r w:rsidR="00DC2891">
        <w:rPr>
          <w:rStyle w:val="FootnoteReference"/>
        </w:rPr>
        <w:footnoteReference w:id="24"/>
      </w:r>
      <w:r>
        <w:t xml:space="preserve"> to 150.4</w:t>
      </w:r>
      <w:r w:rsidR="00834220">
        <w:t xml:space="preserve"> </w:t>
      </w:r>
      <w:r>
        <w:t>m</w:t>
      </w:r>
      <w:r w:rsidR="00834220">
        <w:t>illion</w:t>
      </w:r>
      <w:r>
        <w:t xml:space="preserve"> </w:t>
      </w:r>
      <w:r w:rsidR="00C21C23">
        <w:t xml:space="preserve">units </w:t>
      </w:r>
      <w:r>
        <w:t xml:space="preserve">at the end of </w:t>
      </w:r>
      <w:r w:rsidR="008D5D51">
        <w:t xml:space="preserve">December </w:t>
      </w:r>
      <w:r>
        <w:t xml:space="preserve">2024. The decrease </w:t>
      </w:r>
      <w:r w:rsidR="00770300">
        <w:t>reflects</w:t>
      </w:r>
      <w:r w:rsidR="0076660F">
        <w:t xml:space="preserve"> </w:t>
      </w:r>
      <w:r w:rsidR="0034291F">
        <w:t xml:space="preserve">that more units have been surrendered </w:t>
      </w:r>
      <w:r w:rsidR="00D67A95">
        <w:t xml:space="preserve">for emissions liabilities </w:t>
      </w:r>
      <w:r w:rsidR="00557FC1">
        <w:t xml:space="preserve">over the past year than have been allocated into the market </w:t>
      </w:r>
      <w:r w:rsidR="00F35A9A">
        <w:t xml:space="preserve">due to auctions, industrial free allocation and </w:t>
      </w:r>
      <w:r w:rsidR="00B57396">
        <w:t xml:space="preserve">forestry activities. </w:t>
      </w:r>
      <w:r w:rsidR="00C97320">
        <w:t xml:space="preserve"> </w:t>
      </w:r>
      <w:r>
        <w:t xml:space="preserve"> </w:t>
      </w:r>
    </w:p>
    <w:p w14:paraId="6265B00D" w14:textId="6800B93D" w:rsidR="00BB64E5" w:rsidRPr="00663268" w:rsidRDefault="00BB64E5" w:rsidP="00D26EC5">
      <w:pPr>
        <w:pStyle w:val="Heading5"/>
      </w:pPr>
      <w:r w:rsidRPr="00663268">
        <w:lastRenderedPageBreak/>
        <w:t>Pre-1990 forest allocation units held long</w:t>
      </w:r>
      <w:r w:rsidR="009B2397">
        <w:t xml:space="preserve"> </w:t>
      </w:r>
      <w:r w:rsidRPr="00663268">
        <w:t xml:space="preserve">term  </w:t>
      </w:r>
    </w:p>
    <w:p w14:paraId="5082B003" w14:textId="5FECCB54" w:rsidR="00974E94" w:rsidRDefault="00A81FF6" w:rsidP="00BB64E5">
      <w:r>
        <w:t xml:space="preserve">When the NZ ETS was established, there was a one-off allocation of units to owners of </w:t>
      </w:r>
      <w:r w:rsidR="00553472">
        <w:t>forests planted before 1990</w:t>
      </w:r>
      <w:r w:rsidR="00CB2342">
        <w:t xml:space="preserve"> (pre-1990 forest)</w:t>
      </w:r>
      <w:r w:rsidR="00553472">
        <w:t xml:space="preserve">. </w:t>
      </w:r>
      <w:r w:rsidR="009A1048">
        <w:t xml:space="preserve">In line with our previous advice, </w:t>
      </w:r>
      <w:r w:rsidR="00461DA3">
        <w:t xml:space="preserve">we continue to </w:t>
      </w:r>
      <w:r w:rsidR="00717206">
        <w:t xml:space="preserve">assume </w:t>
      </w:r>
      <w:r w:rsidR="00B35EAD">
        <w:t xml:space="preserve">that </w:t>
      </w:r>
      <w:r w:rsidR="004774E8">
        <w:t xml:space="preserve">a proportion of </w:t>
      </w:r>
      <w:r w:rsidR="00CB2342">
        <w:t>these units (</w:t>
      </w:r>
      <w:r w:rsidR="00852D76">
        <w:t>pre-19</w:t>
      </w:r>
      <w:r w:rsidR="002D6860">
        <w:t>90 units</w:t>
      </w:r>
      <w:r w:rsidR="00CB2342">
        <w:t>)</w:t>
      </w:r>
      <w:r w:rsidR="001D4860">
        <w:t xml:space="preserve"> </w:t>
      </w:r>
      <w:r w:rsidR="00852D76">
        <w:t>will</w:t>
      </w:r>
      <w:r w:rsidR="008B45CD">
        <w:t xml:space="preserve"> </w:t>
      </w:r>
      <w:r w:rsidR="00052036">
        <w:t>be held long</w:t>
      </w:r>
      <w:r w:rsidR="00A25751">
        <w:t xml:space="preserve"> </w:t>
      </w:r>
      <w:r w:rsidR="00052036">
        <w:t>term and not come to market</w:t>
      </w:r>
      <w:r w:rsidR="00011375">
        <w:t xml:space="preserve"> over the period to 2030</w:t>
      </w:r>
      <w:r w:rsidR="00052036">
        <w:t xml:space="preserve">. </w:t>
      </w:r>
    </w:p>
    <w:p w14:paraId="721FDB48" w14:textId="790A19F3" w:rsidR="00BB64E5" w:rsidRDefault="00BB64E5" w:rsidP="00BB64E5">
      <w:r>
        <w:t xml:space="preserve">We have </w:t>
      </w:r>
      <w:r w:rsidR="008F0CFB">
        <w:t xml:space="preserve">examined </w:t>
      </w:r>
      <w:r>
        <w:t>update</w:t>
      </w:r>
      <w:r w:rsidR="00E56BA1">
        <w:t>d</w:t>
      </w:r>
      <w:r>
        <w:t xml:space="preserve"> </w:t>
      </w:r>
      <w:r w:rsidR="008F0CFB">
        <w:t xml:space="preserve">data on </w:t>
      </w:r>
      <w:r w:rsidR="00A67DC5">
        <w:t>transfers of</w:t>
      </w:r>
      <w:r w:rsidR="008F0CFB">
        <w:t xml:space="preserve"> </w:t>
      </w:r>
      <w:r w:rsidR="00E56BA1">
        <w:t>pre-1990 unit</w:t>
      </w:r>
      <w:r w:rsidR="00A67DC5">
        <w:t>s</w:t>
      </w:r>
      <w:r w:rsidR="004863DF">
        <w:t xml:space="preserve">. </w:t>
      </w:r>
      <w:r>
        <w:t xml:space="preserve">Our updated </w:t>
      </w:r>
      <w:r w:rsidR="00DF5BA7">
        <w:t xml:space="preserve">central </w:t>
      </w:r>
      <w:r>
        <w:t>estimate indicates that</w:t>
      </w:r>
      <w:r w:rsidR="001F5095">
        <w:t>,</w:t>
      </w:r>
      <w:r>
        <w:t xml:space="preserve"> of approximately 11.5</w:t>
      </w:r>
      <w:r w:rsidR="00E56BA1">
        <w:t xml:space="preserve"> </w:t>
      </w:r>
      <w:r>
        <w:t>m</w:t>
      </w:r>
      <w:r w:rsidR="00E56BA1">
        <w:t>illion</w:t>
      </w:r>
      <w:r>
        <w:t xml:space="preserve"> </w:t>
      </w:r>
      <w:r w:rsidR="00DF5BA7">
        <w:t>pre-199</w:t>
      </w:r>
      <w:r>
        <w:t xml:space="preserve">0 units currently held in </w:t>
      </w:r>
      <w:r w:rsidR="00886E8E">
        <w:t xml:space="preserve">the </w:t>
      </w:r>
      <w:r>
        <w:t>accounts</w:t>
      </w:r>
      <w:r w:rsidR="00886E8E">
        <w:t xml:space="preserve"> they were originally allocated to</w:t>
      </w:r>
      <w:r>
        <w:t>, approximately 5.6</w:t>
      </w:r>
      <w:r w:rsidR="00DF5BA7">
        <w:t xml:space="preserve"> </w:t>
      </w:r>
      <w:r>
        <w:t>m</w:t>
      </w:r>
      <w:r w:rsidR="00DF5BA7">
        <w:t>illion</w:t>
      </w:r>
      <w:r>
        <w:t xml:space="preserve"> units are unlikely to become available to the market by 2030. </w:t>
      </w:r>
      <w:r w:rsidR="00C7316B">
        <w:t xml:space="preserve"> </w:t>
      </w:r>
    </w:p>
    <w:p w14:paraId="3D791459" w14:textId="77777777" w:rsidR="009F7B3C" w:rsidRPr="00FE36DE" w:rsidRDefault="009F7B3C" w:rsidP="00D26EC5">
      <w:pPr>
        <w:pStyle w:val="Heading5"/>
      </w:pPr>
      <w:r w:rsidRPr="00FE36DE">
        <w:t xml:space="preserve">Units held for post-1989 harvest liabilities   </w:t>
      </w:r>
    </w:p>
    <w:p w14:paraId="690E6076" w14:textId="4632C8A0" w:rsidR="009F7B3C" w:rsidRDefault="009F7B3C" w:rsidP="009F7B3C">
      <w:r>
        <w:t xml:space="preserve">Since our last advice, our estimate </w:t>
      </w:r>
      <w:r w:rsidR="009757CB">
        <w:t>of</w:t>
      </w:r>
      <w:r>
        <w:t xml:space="preserve"> units held for </w:t>
      </w:r>
      <w:r w:rsidR="009256F4">
        <w:t>post-1989 forest</w:t>
      </w:r>
      <w:r>
        <w:t xml:space="preserve"> harvest </w:t>
      </w:r>
      <w:r w:rsidR="009757CB">
        <w:t>liabilities</w:t>
      </w:r>
      <w:r w:rsidR="00E360C3">
        <w:t xml:space="preserve"> has decreased </w:t>
      </w:r>
      <w:r>
        <w:t>from approximately 58</w:t>
      </w:r>
      <w:r w:rsidR="00E23051">
        <w:t xml:space="preserve"> </w:t>
      </w:r>
      <w:r>
        <w:t>m</w:t>
      </w:r>
      <w:r w:rsidR="00E23051">
        <w:t>illion</w:t>
      </w:r>
      <w:r>
        <w:t xml:space="preserve"> to 53</w:t>
      </w:r>
      <w:r w:rsidR="000F2C2B">
        <w:t xml:space="preserve"> </w:t>
      </w:r>
      <w:r>
        <w:t>m</w:t>
      </w:r>
      <w:r w:rsidR="00F16712">
        <w:t>illion</w:t>
      </w:r>
      <w:r w:rsidR="00E360C3">
        <w:t xml:space="preserve"> units</w:t>
      </w:r>
      <w:r w:rsidR="001846A2">
        <w:t>. This is</w:t>
      </w:r>
      <w:r w:rsidR="009757CB">
        <w:t xml:space="preserve"> for</w:t>
      </w:r>
      <w:r>
        <w:t xml:space="preserve"> two reasons:</w:t>
      </w:r>
    </w:p>
    <w:p w14:paraId="67978FAB" w14:textId="6BD85E7C" w:rsidR="009F7B3C" w:rsidRDefault="009F7B3C" w:rsidP="00261C5D">
      <w:pPr>
        <w:pStyle w:val="BodyBullets"/>
      </w:pPr>
      <w:r>
        <w:t xml:space="preserve">We have continued to improve and refine </w:t>
      </w:r>
      <w:r w:rsidR="00426996">
        <w:t>the</w:t>
      </w:r>
      <w:r>
        <w:t xml:space="preserve"> forestry model </w:t>
      </w:r>
      <w:r w:rsidR="00426996">
        <w:t>that we</w:t>
      </w:r>
      <w:r w:rsidR="00B177A9">
        <w:t xml:space="preserve"> use to</w:t>
      </w:r>
      <w:r>
        <w:t xml:space="preserve"> provide an estimate of the total units held for </w:t>
      </w:r>
      <w:r w:rsidR="00CA29AD">
        <w:t>post-1989</w:t>
      </w:r>
      <w:r>
        <w:t xml:space="preserve"> </w:t>
      </w:r>
      <w:r w:rsidR="007564A8">
        <w:t xml:space="preserve">forest </w:t>
      </w:r>
      <w:r>
        <w:t>harvest</w:t>
      </w:r>
      <w:r w:rsidR="007564A8">
        <w:t xml:space="preserve"> liabilities</w:t>
      </w:r>
      <w:r w:rsidR="009757CB">
        <w:t>.</w:t>
      </w:r>
      <w:r>
        <w:t xml:space="preserve"> </w:t>
      </w:r>
    </w:p>
    <w:p w14:paraId="3C6F762D" w14:textId="2CCC7492" w:rsidR="009F7B3C" w:rsidRDefault="009F7B3C" w:rsidP="00261C5D">
      <w:pPr>
        <w:pStyle w:val="BodyBullets"/>
      </w:pPr>
      <w:r>
        <w:t xml:space="preserve">We have </w:t>
      </w:r>
      <w:r w:rsidR="00BD37B8">
        <w:t xml:space="preserve">new data on </w:t>
      </w:r>
      <w:r>
        <w:t xml:space="preserve">actual forestry unit allocations </w:t>
      </w:r>
      <w:r w:rsidR="00B177A9">
        <w:t xml:space="preserve">and surrenders </w:t>
      </w:r>
      <w:r>
        <w:t xml:space="preserve">that have already occurred over 2023 and 2024. </w:t>
      </w:r>
    </w:p>
    <w:p w14:paraId="3EEC8755" w14:textId="77777777" w:rsidR="00352AB2" w:rsidRDefault="004C7263" w:rsidP="009F7B3C">
      <w:r>
        <w:t xml:space="preserve">The forestry model </w:t>
      </w:r>
      <w:r w:rsidR="00137D80">
        <w:t xml:space="preserve">uses </w:t>
      </w:r>
      <w:r>
        <w:t xml:space="preserve">assumptions about </w:t>
      </w:r>
      <w:r w:rsidR="005E0242">
        <w:t xml:space="preserve">the age </w:t>
      </w:r>
      <w:r w:rsidR="003070DA">
        <w:t xml:space="preserve">at which </w:t>
      </w:r>
      <w:r w:rsidR="005E0242">
        <w:t>forests are harvested</w:t>
      </w:r>
      <w:r w:rsidR="0035629F">
        <w:t>,</w:t>
      </w:r>
      <w:r w:rsidR="005E0242">
        <w:t xml:space="preserve"> the proportion of forests that will remain unharvested</w:t>
      </w:r>
      <w:r w:rsidR="0035629F">
        <w:t xml:space="preserve">, and the proportion of </w:t>
      </w:r>
      <w:r w:rsidR="00EB1207">
        <w:t>potential m</w:t>
      </w:r>
      <w:r w:rsidR="008B1F64">
        <w:t>a</w:t>
      </w:r>
      <w:r w:rsidR="00EB1207">
        <w:t xml:space="preserve">ximum </w:t>
      </w:r>
      <w:r w:rsidR="00D61C6D">
        <w:t>‘</w:t>
      </w:r>
      <w:r w:rsidR="00EB1207">
        <w:t>low-risk carbon</w:t>
      </w:r>
      <w:r w:rsidR="00D61C6D">
        <w:t>’</w:t>
      </w:r>
      <w:r w:rsidR="00EB1207">
        <w:t xml:space="preserve"> foresters </w:t>
      </w:r>
      <w:r w:rsidR="008B1F64">
        <w:t>can achieve in managing their forest areas.</w:t>
      </w:r>
      <w:r>
        <w:t xml:space="preserve"> </w:t>
      </w:r>
    </w:p>
    <w:p w14:paraId="24C803BC" w14:textId="206B5347" w:rsidR="00F13968" w:rsidRDefault="000132CF" w:rsidP="009F7B3C">
      <w:r>
        <w:t>The</w:t>
      </w:r>
      <w:r w:rsidR="00C63FC4">
        <w:t xml:space="preserve"> EY report </w:t>
      </w:r>
      <w:r>
        <w:t xml:space="preserve">recommended that the average harvest age </w:t>
      </w:r>
      <w:r w:rsidR="00352AB2">
        <w:t xml:space="preserve">be determined based on </w:t>
      </w:r>
      <w:r w:rsidR="00FE2E0D">
        <w:t>a weighted average by area.</w:t>
      </w:r>
      <w:r w:rsidR="00C0367E">
        <w:rPr>
          <w:rStyle w:val="EndnoteReference"/>
        </w:rPr>
        <w:endnoteReference w:id="16"/>
      </w:r>
      <w:r w:rsidR="00FE2E0D">
        <w:t xml:space="preserve"> </w:t>
      </w:r>
      <w:r w:rsidR="00A809BF">
        <w:t>We have applied this approach</w:t>
      </w:r>
      <w:r w:rsidR="006452E4">
        <w:t>,</w:t>
      </w:r>
      <w:r w:rsidR="00A809BF">
        <w:t xml:space="preserve"> </w:t>
      </w:r>
      <w:r w:rsidR="005C60A6">
        <w:t xml:space="preserve">using </w:t>
      </w:r>
      <w:r w:rsidR="00A809BF">
        <w:t xml:space="preserve">a </w:t>
      </w:r>
      <w:r w:rsidR="0078672E">
        <w:t>more comprehensive</w:t>
      </w:r>
      <w:r w:rsidR="00A809BF">
        <w:t xml:space="preserve"> </w:t>
      </w:r>
      <w:r w:rsidR="005B0DC8">
        <w:t>forestry</w:t>
      </w:r>
      <w:r w:rsidR="00A809BF">
        <w:t xml:space="preserve"> dataset </w:t>
      </w:r>
      <w:r w:rsidR="005C60A6">
        <w:t>to determin</w:t>
      </w:r>
      <w:r w:rsidR="006536B8">
        <w:t>e</w:t>
      </w:r>
      <w:r w:rsidR="005C60A6">
        <w:t xml:space="preserve"> the weighted average </w:t>
      </w:r>
      <w:r w:rsidR="0078672E">
        <w:t xml:space="preserve">than </w:t>
      </w:r>
      <w:r w:rsidR="005E2C1E">
        <w:t xml:space="preserve">EY used </w:t>
      </w:r>
      <w:r w:rsidR="0035629F">
        <w:t>to do so</w:t>
      </w:r>
      <w:r w:rsidR="00481075">
        <w:t xml:space="preserve">. </w:t>
      </w:r>
      <w:r w:rsidR="00083A57">
        <w:t>We also adjusted our</w:t>
      </w:r>
      <w:r w:rsidR="00F13968" w:rsidRPr="00F13968">
        <w:t xml:space="preserve"> methodology for estimating the </w:t>
      </w:r>
      <w:r w:rsidR="003A555A">
        <w:t>proportion</w:t>
      </w:r>
      <w:r w:rsidR="00F13968" w:rsidRPr="00F13968">
        <w:t xml:space="preserve"> of </w:t>
      </w:r>
      <w:r w:rsidR="007B43DE">
        <w:t>‘</w:t>
      </w:r>
      <w:r w:rsidR="00F13968" w:rsidRPr="00F13968">
        <w:t>low</w:t>
      </w:r>
      <w:r w:rsidR="00B35C05">
        <w:t>-</w:t>
      </w:r>
      <w:r w:rsidR="00F13968" w:rsidRPr="00F13968">
        <w:t>risk carbon</w:t>
      </w:r>
      <w:r w:rsidR="007B43DE">
        <w:t>’</w:t>
      </w:r>
      <w:r w:rsidR="00F13968" w:rsidRPr="00F13968">
        <w:t xml:space="preserve"> units </w:t>
      </w:r>
      <w:r w:rsidR="003A555A">
        <w:t xml:space="preserve">available, to account for the fact that </w:t>
      </w:r>
      <w:r w:rsidR="001B43E6">
        <w:t xml:space="preserve">owners of large </w:t>
      </w:r>
      <w:r w:rsidR="00117BF4">
        <w:t xml:space="preserve">areas of </w:t>
      </w:r>
      <w:r w:rsidR="001B43E6">
        <w:t xml:space="preserve">forest have greater </w:t>
      </w:r>
      <w:r w:rsidR="00D12C79">
        <w:t xml:space="preserve">flexibility in managing their harvest liabilities across different </w:t>
      </w:r>
      <w:r w:rsidR="009439A8">
        <w:t xml:space="preserve">forest </w:t>
      </w:r>
      <w:r w:rsidR="00D12C79">
        <w:t xml:space="preserve">stands compared to owners of smaller areas. </w:t>
      </w:r>
    </w:p>
    <w:p w14:paraId="04F0348B" w14:textId="1ECE8E0C" w:rsidR="006A2D9F" w:rsidRDefault="00030291" w:rsidP="009F7B3C">
      <w:r>
        <w:t>An additional</w:t>
      </w:r>
      <w:r w:rsidR="009F7B3C">
        <w:t xml:space="preserve"> </w:t>
      </w:r>
      <w:r w:rsidR="007D6B02">
        <w:t xml:space="preserve">change is that we have adjusted </w:t>
      </w:r>
      <w:r w:rsidR="00836665">
        <w:t xml:space="preserve">our estimate to account for data on actual units </w:t>
      </w:r>
      <w:r w:rsidR="00F97E9E">
        <w:t>allocat</w:t>
      </w:r>
      <w:r w:rsidR="00B52DCD">
        <w:t>ed and surrendered for post-1989 forests for</w:t>
      </w:r>
      <w:r w:rsidR="007353F4">
        <w:t xml:space="preserve"> 2023 and 2024. </w:t>
      </w:r>
      <w:r w:rsidR="007E3179">
        <w:rPr>
          <w:lang w:val="en-US"/>
        </w:rPr>
        <w:t>Taken together, t</w:t>
      </w:r>
      <w:r w:rsidR="007B72E0">
        <w:rPr>
          <w:lang w:val="en-US"/>
        </w:rPr>
        <w:t xml:space="preserve">his results in a final estimate of post-1989 units held for harvest of </w:t>
      </w:r>
      <w:r w:rsidR="00750A88">
        <w:rPr>
          <w:lang w:val="en-US"/>
        </w:rPr>
        <w:t xml:space="preserve">53.1 million units. </w:t>
      </w:r>
    </w:p>
    <w:p w14:paraId="7FC8F10E" w14:textId="16483A43" w:rsidR="009F7B3C" w:rsidRPr="004D235A" w:rsidRDefault="009F7B3C" w:rsidP="00D26EC5">
      <w:pPr>
        <w:pStyle w:val="Heading5"/>
      </w:pPr>
      <w:r w:rsidRPr="004D235A">
        <w:t xml:space="preserve">Units held for hedging by emitters  </w:t>
      </w:r>
    </w:p>
    <w:p w14:paraId="5AD4A46A" w14:textId="13863739" w:rsidR="009F7B3C" w:rsidRDefault="009F7B3C" w:rsidP="009F7B3C">
      <w:r>
        <w:t xml:space="preserve">Our estimate of units held for </w:t>
      </w:r>
      <w:r w:rsidR="007A3A78">
        <w:t xml:space="preserve">forward </w:t>
      </w:r>
      <w:r>
        <w:t>hedging by emitters has reduced from 28.3</w:t>
      </w:r>
      <w:r w:rsidR="00F07493">
        <w:t xml:space="preserve"> </w:t>
      </w:r>
      <w:r>
        <w:t>m</w:t>
      </w:r>
      <w:r w:rsidR="00F07493">
        <w:t>illion</w:t>
      </w:r>
      <w:r>
        <w:t xml:space="preserve"> to 17.</w:t>
      </w:r>
      <w:r w:rsidR="004E1078">
        <w:t xml:space="preserve">4 </w:t>
      </w:r>
      <w:r>
        <w:t>m</w:t>
      </w:r>
      <w:r w:rsidR="00F07493">
        <w:t>illion</w:t>
      </w:r>
      <w:r>
        <w:t xml:space="preserve"> units</w:t>
      </w:r>
      <w:r w:rsidR="0019106B">
        <w:t xml:space="preserve">. This is mainly due to </w:t>
      </w:r>
      <w:r>
        <w:t xml:space="preserve">two </w:t>
      </w:r>
      <w:r w:rsidR="00E81D95">
        <w:t>adjustments to our methodology</w:t>
      </w:r>
      <w:r>
        <w:t xml:space="preserve">: </w:t>
      </w:r>
    </w:p>
    <w:p w14:paraId="2AB459F0" w14:textId="4C30CAC6" w:rsidR="009F7B3C" w:rsidRDefault="009F7B3C" w:rsidP="00261C5D">
      <w:pPr>
        <w:pStyle w:val="BodyBullets"/>
      </w:pPr>
      <w:r>
        <w:t xml:space="preserve">We have reduced our estimate of hedging by the </w:t>
      </w:r>
      <w:r w:rsidR="00F07493">
        <w:t>l</w:t>
      </w:r>
      <w:r>
        <w:t>iquid fossil fuels sector</w:t>
      </w:r>
      <w:r w:rsidR="002A070E">
        <w:t>,</w:t>
      </w:r>
      <w:r w:rsidR="00F2511A">
        <w:t xml:space="preserve"> as recommended </w:t>
      </w:r>
      <w:r w:rsidR="00DD4FE2">
        <w:t xml:space="preserve">by EY </w:t>
      </w:r>
      <w:r w:rsidR="0075552A">
        <w:t>in</w:t>
      </w:r>
      <w:r w:rsidR="00F2511A">
        <w:t xml:space="preserve"> </w:t>
      </w:r>
      <w:r w:rsidR="00A14089">
        <w:t>its</w:t>
      </w:r>
      <w:r w:rsidR="00F2511A">
        <w:t xml:space="preserve"> report</w:t>
      </w:r>
      <w:r w:rsidR="00080717">
        <w:t>.</w:t>
      </w:r>
    </w:p>
    <w:p w14:paraId="63EB2773" w14:textId="70427CB8" w:rsidR="009F7B3C" w:rsidRDefault="009F7B3C" w:rsidP="00261C5D">
      <w:pPr>
        <w:pStyle w:val="BodyBullets"/>
      </w:pPr>
      <w:r>
        <w:t xml:space="preserve">We have </w:t>
      </w:r>
      <w:r w:rsidR="00F83F06">
        <w:t xml:space="preserve">adjusted the </w:t>
      </w:r>
      <w:r w:rsidR="004164D0">
        <w:t>base</w:t>
      </w:r>
      <w:r>
        <w:t xml:space="preserve"> </w:t>
      </w:r>
      <w:r w:rsidR="00F83F06">
        <w:t xml:space="preserve">year of </w:t>
      </w:r>
      <w:r>
        <w:t>our estimate of units held for hedging</w:t>
      </w:r>
      <w:r w:rsidR="00F83F06">
        <w:t xml:space="preserve"> to use</w:t>
      </w:r>
      <w:r w:rsidR="002E53E8">
        <w:t xml:space="preserve"> the</w:t>
      </w:r>
      <w:r>
        <w:t xml:space="preserve"> </w:t>
      </w:r>
      <w:r w:rsidR="00262D05">
        <w:t xml:space="preserve">volume </w:t>
      </w:r>
      <w:r w:rsidR="002E53E8">
        <w:t xml:space="preserve">forecast for </w:t>
      </w:r>
      <w:r>
        <w:t xml:space="preserve">2030 </w:t>
      </w:r>
      <w:r w:rsidR="00262D05">
        <w:t xml:space="preserve">instead </w:t>
      </w:r>
      <w:r>
        <w:t xml:space="preserve">of </w:t>
      </w:r>
      <w:r w:rsidR="00CC2D8B">
        <w:t xml:space="preserve">using the volume from </w:t>
      </w:r>
      <w:r w:rsidR="00D944FA">
        <w:t>the</w:t>
      </w:r>
      <w:r w:rsidR="00CC2D8B">
        <w:t xml:space="preserve"> </w:t>
      </w:r>
      <w:r w:rsidR="00C812A5">
        <w:t>most recent</w:t>
      </w:r>
      <w:r w:rsidR="00883ED2">
        <w:t>ly</w:t>
      </w:r>
      <w:r w:rsidR="00C812A5">
        <w:t xml:space="preserve"> completed calendar year </w:t>
      </w:r>
      <w:r w:rsidR="009C3EB4">
        <w:t>(</w:t>
      </w:r>
      <w:r w:rsidR="00B67A71">
        <w:t>2024</w:t>
      </w:r>
      <w:r w:rsidR="00C812A5">
        <w:t>)</w:t>
      </w:r>
      <w:r>
        <w:t xml:space="preserve">. </w:t>
      </w:r>
    </w:p>
    <w:p w14:paraId="5BB418F5" w14:textId="4748424D" w:rsidR="006F5FE3" w:rsidRDefault="003D1CC9" w:rsidP="009F7B3C">
      <w:pPr>
        <w:rPr>
          <w:lang w:val="en-US"/>
        </w:rPr>
      </w:pPr>
      <w:r>
        <w:t>We</w:t>
      </w:r>
      <w:r w:rsidR="009F7B3C">
        <w:t xml:space="preserve"> </w:t>
      </w:r>
      <w:r>
        <w:t>propose</w:t>
      </w:r>
      <w:r w:rsidR="009F7B3C">
        <w:t xml:space="preserve"> to change the base year for hedging estimates </w:t>
      </w:r>
      <w:r w:rsidR="00B93106">
        <w:t>to 2030</w:t>
      </w:r>
      <w:r w:rsidR="003E0064">
        <w:t>,</w:t>
      </w:r>
      <w:r w:rsidR="00B93106">
        <w:t xml:space="preserve"> </w:t>
      </w:r>
      <w:r w:rsidR="00797DEA">
        <w:rPr>
          <w:lang w:val="en-US"/>
        </w:rPr>
        <w:t>to</w:t>
      </w:r>
      <w:r w:rsidR="00355799" w:rsidRPr="000E0A64">
        <w:rPr>
          <w:lang w:val="en-US"/>
        </w:rPr>
        <w:t xml:space="preserve"> account</w:t>
      </w:r>
      <w:r w:rsidR="0071458A">
        <w:rPr>
          <w:lang w:val="en-US"/>
        </w:rPr>
        <w:t xml:space="preserve"> for</w:t>
      </w:r>
      <w:r w:rsidR="00355799" w:rsidRPr="000E0A64">
        <w:rPr>
          <w:lang w:val="en-US"/>
        </w:rPr>
        <w:t xml:space="preserve"> th</w:t>
      </w:r>
      <w:r w:rsidR="00BA6779">
        <w:rPr>
          <w:lang w:val="en-US"/>
        </w:rPr>
        <w:t xml:space="preserve">e fact </w:t>
      </w:r>
      <w:r w:rsidR="00355799" w:rsidRPr="000E0A64">
        <w:rPr>
          <w:lang w:val="en-US"/>
        </w:rPr>
        <w:t>that</w:t>
      </w:r>
      <w:r w:rsidR="00295C5E">
        <w:rPr>
          <w:lang w:val="en-US"/>
        </w:rPr>
        <w:t>,</w:t>
      </w:r>
      <w:r w:rsidR="00355799" w:rsidRPr="000E0A64">
        <w:rPr>
          <w:lang w:val="en-US"/>
        </w:rPr>
        <w:t xml:space="preserve"> as emissions reduce</w:t>
      </w:r>
      <w:r w:rsidR="00295C5E">
        <w:rPr>
          <w:lang w:val="en-US"/>
        </w:rPr>
        <w:t>,</w:t>
      </w:r>
      <w:r w:rsidR="00355799" w:rsidRPr="000E0A64">
        <w:rPr>
          <w:lang w:val="en-US"/>
        </w:rPr>
        <w:t xml:space="preserve"> the units needed for hedging will also reduce</w:t>
      </w:r>
      <w:r w:rsidR="00DC7C5C">
        <w:rPr>
          <w:lang w:val="en-US"/>
        </w:rPr>
        <w:t xml:space="preserve">. </w:t>
      </w:r>
      <w:r w:rsidR="000E5815">
        <w:rPr>
          <w:lang w:val="en-US"/>
        </w:rPr>
        <w:t xml:space="preserve">This means that </w:t>
      </w:r>
      <w:r w:rsidR="00B93106" w:rsidRPr="00B93106">
        <w:rPr>
          <w:lang w:val="en-US"/>
        </w:rPr>
        <w:lastRenderedPageBreak/>
        <w:t xml:space="preserve">some of </w:t>
      </w:r>
      <w:r w:rsidR="00AD5F86">
        <w:rPr>
          <w:lang w:val="en-US"/>
        </w:rPr>
        <w:t xml:space="preserve">the </w:t>
      </w:r>
      <w:r w:rsidR="00B93106" w:rsidRPr="00B93106">
        <w:rPr>
          <w:lang w:val="en-US"/>
        </w:rPr>
        <w:t xml:space="preserve">units </w:t>
      </w:r>
      <w:r w:rsidR="00AD5F86">
        <w:rPr>
          <w:lang w:val="en-US"/>
        </w:rPr>
        <w:t>current</w:t>
      </w:r>
      <w:r w:rsidR="00FB2E42">
        <w:rPr>
          <w:lang w:val="en-US"/>
        </w:rPr>
        <w:t>ly</w:t>
      </w:r>
      <w:r w:rsidR="00AD5F86">
        <w:rPr>
          <w:lang w:val="en-US"/>
        </w:rPr>
        <w:t xml:space="preserve"> held for this purpose </w:t>
      </w:r>
      <w:r w:rsidR="00B93106" w:rsidRPr="00B93106">
        <w:rPr>
          <w:lang w:val="en-US"/>
        </w:rPr>
        <w:t xml:space="preserve">will become surplus </w:t>
      </w:r>
      <w:r w:rsidR="004304E8">
        <w:rPr>
          <w:lang w:val="en-US"/>
        </w:rPr>
        <w:t>by 2030</w:t>
      </w:r>
      <w:r w:rsidR="000E5815">
        <w:rPr>
          <w:lang w:val="en-US"/>
        </w:rPr>
        <w:t xml:space="preserve">, unless </w:t>
      </w:r>
      <w:r w:rsidR="004E723A">
        <w:rPr>
          <w:lang w:val="en-US"/>
        </w:rPr>
        <w:t>future</w:t>
      </w:r>
      <w:r w:rsidR="004304E8">
        <w:rPr>
          <w:lang w:val="en-US"/>
        </w:rPr>
        <w:t xml:space="preserve"> change</w:t>
      </w:r>
      <w:r w:rsidR="004E723A">
        <w:rPr>
          <w:lang w:val="en-US"/>
        </w:rPr>
        <w:t>s</w:t>
      </w:r>
      <w:r w:rsidR="004304E8">
        <w:rPr>
          <w:lang w:val="en-US"/>
        </w:rPr>
        <w:t xml:space="preserve"> to hedging volumes</w:t>
      </w:r>
      <w:r w:rsidR="000E5815">
        <w:rPr>
          <w:lang w:val="en-US"/>
        </w:rPr>
        <w:t xml:space="preserve"> </w:t>
      </w:r>
      <w:r w:rsidR="004E723A">
        <w:rPr>
          <w:lang w:val="en-US"/>
        </w:rPr>
        <w:t>are</w:t>
      </w:r>
      <w:r w:rsidR="000E5815">
        <w:rPr>
          <w:lang w:val="en-US"/>
        </w:rPr>
        <w:t xml:space="preserve"> factored in now</w:t>
      </w:r>
      <w:r w:rsidR="00B93106" w:rsidRPr="00B93106">
        <w:rPr>
          <w:lang w:val="en-US"/>
        </w:rPr>
        <w:t xml:space="preserve">. </w:t>
      </w:r>
      <w:r w:rsidR="0089433A">
        <w:rPr>
          <w:lang w:val="en-US"/>
        </w:rPr>
        <w:t xml:space="preserve">By shifting our estimate of necessary hedging volumes to the end of the </w:t>
      </w:r>
      <w:r w:rsidR="00E16DFF">
        <w:rPr>
          <w:lang w:val="en-US"/>
        </w:rPr>
        <w:t>settings period</w:t>
      </w:r>
      <w:r w:rsidR="006B6F1E">
        <w:rPr>
          <w:lang w:val="en-US"/>
        </w:rPr>
        <w:t xml:space="preserve">, we ensure that </w:t>
      </w:r>
      <w:r w:rsidR="00E27D16">
        <w:rPr>
          <w:lang w:val="en-US"/>
        </w:rPr>
        <w:t xml:space="preserve">we </w:t>
      </w:r>
      <w:r w:rsidR="00E15D2E">
        <w:rPr>
          <w:lang w:val="en-US"/>
        </w:rPr>
        <w:t xml:space="preserve">are aligning unit volumes with </w:t>
      </w:r>
      <w:r w:rsidR="00944E4D">
        <w:rPr>
          <w:lang w:val="en-US"/>
        </w:rPr>
        <w:t xml:space="preserve">the goal of </w:t>
      </w:r>
      <w:r w:rsidR="00B80E6F">
        <w:rPr>
          <w:lang w:val="en-US"/>
        </w:rPr>
        <w:t xml:space="preserve">fully </w:t>
      </w:r>
      <w:r w:rsidR="00944E4D">
        <w:rPr>
          <w:lang w:val="en-US"/>
        </w:rPr>
        <w:t>reducing the surplus units in the NZ ETS by 2030</w:t>
      </w:r>
      <w:r w:rsidR="00B80E6F">
        <w:rPr>
          <w:lang w:val="en-US"/>
        </w:rPr>
        <w:t>.</w:t>
      </w:r>
      <w:r w:rsidR="00E15D2E">
        <w:rPr>
          <w:lang w:val="en-US"/>
        </w:rPr>
        <w:t xml:space="preserve"> </w:t>
      </w:r>
    </w:p>
    <w:p w14:paraId="0A41E446" w14:textId="2BEDA703" w:rsidR="00F75818" w:rsidRDefault="00CA3933" w:rsidP="009F7B3C">
      <w:r>
        <w:t xml:space="preserve">To </w:t>
      </w:r>
      <w:r w:rsidR="00677A00" w:rsidRPr="0088B4B9">
        <w:t>e</w:t>
      </w:r>
      <w:r w:rsidR="00DB0214" w:rsidRPr="0088B4B9">
        <w:t>stimat</w:t>
      </w:r>
      <w:r w:rsidR="00677A00" w:rsidRPr="0088B4B9">
        <w:t>e</w:t>
      </w:r>
      <w:r w:rsidR="006F5FE3" w:rsidRPr="0088B4B9">
        <w:t xml:space="preserve"> </w:t>
      </w:r>
      <w:r w:rsidR="00DB0214" w:rsidRPr="0088B4B9">
        <w:t>the</w:t>
      </w:r>
      <w:r w:rsidR="006F5FE3" w:rsidRPr="0088B4B9">
        <w:t xml:space="preserve"> necessary</w:t>
      </w:r>
      <w:r w:rsidR="00CA52FE" w:rsidRPr="0088B4B9">
        <w:t xml:space="preserve"> </w:t>
      </w:r>
      <w:r w:rsidR="00E40FEA">
        <w:t>forward</w:t>
      </w:r>
      <w:r w:rsidR="00CA52FE" w:rsidRPr="0088B4B9">
        <w:t xml:space="preserve"> </w:t>
      </w:r>
      <w:r w:rsidR="00DB0214" w:rsidRPr="0088B4B9">
        <w:t>hedging volume in 2030</w:t>
      </w:r>
      <w:r>
        <w:t xml:space="preserve">, we have had to assume an emissions cap for the NZ ETS </w:t>
      </w:r>
      <w:r w:rsidR="00496830" w:rsidRPr="0088B4B9">
        <w:t xml:space="preserve">over </w:t>
      </w:r>
      <w:r w:rsidR="00726946" w:rsidRPr="0088B4B9">
        <w:t>the third</w:t>
      </w:r>
      <w:r w:rsidR="00496830" w:rsidRPr="0088B4B9">
        <w:t xml:space="preserve"> </w:t>
      </w:r>
      <w:r w:rsidR="006F5FE3" w:rsidRPr="0088B4B9">
        <w:t>e</w:t>
      </w:r>
      <w:r w:rsidR="00BF4430" w:rsidRPr="0088B4B9">
        <w:t xml:space="preserve">missions </w:t>
      </w:r>
      <w:r w:rsidR="006F5FE3" w:rsidRPr="0088B4B9">
        <w:t>b</w:t>
      </w:r>
      <w:r w:rsidR="00BF4430" w:rsidRPr="0088B4B9">
        <w:t xml:space="preserve">udget, </w:t>
      </w:r>
      <w:r w:rsidR="00752DEE" w:rsidRPr="0088B4B9">
        <w:t xml:space="preserve">as </w:t>
      </w:r>
      <w:r w:rsidR="003C2E0D">
        <w:t xml:space="preserve">noted </w:t>
      </w:r>
      <w:r w:rsidR="00752DEE" w:rsidRPr="0088B4B9">
        <w:t xml:space="preserve">in </w:t>
      </w:r>
      <w:r w:rsidR="00E77E77">
        <w:t>s</w:t>
      </w:r>
      <w:r w:rsidR="00830592" w:rsidRPr="0088B4B9">
        <w:t xml:space="preserve">tep </w:t>
      </w:r>
      <w:r w:rsidR="00752DEE" w:rsidRPr="0088B4B9">
        <w:t>2 earlier in this chapter</w:t>
      </w:r>
      <w:r w:rsidR="00830592" w:rsidRPr="0088B4B9">
        <w:t xml:space="preserve">. </w:t>
      </w:r>
      <w:r w:rsidR="00EF3650" w:rsidRPr="0088B4B9">
        <w:t xml:space="preserve"> </w:t>
      </w:r>
    </w:p>
    <w:p w14:paraId="544AD4B4" w14:textId="7DB90627" w:rsidR="00761F7C" w:rsidRDefault="00601EDC" w:rsidP="0088B4B9">
      <w:r>
        <w:t>W</w:t>
      </w:r>
      <w:r w:rsidR="00A47AD9">
        <w:t xml:space="preserve">e have done this by </w:t>
      </w:r>
      <w:r w:rsidR="001702DB">
        <w:t>assuming the</w:t>
      </w:r>
      <w:r w:rsidR="00763B66">
        <w:t xml:space="preserve"> </w:t>
      </w:r>
      <w:r w:rsidR="00A47AD9" w:rsidRPr="009F4F31">
        <w:t xml:space="preserve">additional abatement needed to meet the third emissions budget </w:t>
      </w:r>
      <w:r w:rsidR="000D08AB">
        <w:t xml:space="preserve">over </w:t>
      </w:r>
      <w:r w:rsidR="000D08AB" w:rsidRPr="009F4F31">
        <w:t>2031–2035</w:t>
      </w:r>
      <w:r w:rsidR="000D08AB" w:rsidRPr="009F4F31" w:rsidDel="0070122D">
        <w:t xml:space="preserve"> </w:t>
      </w:r>
      <w:r w:rsidR="00B45A63">
        <w:t>will need</w:t>
      </w:r>
      <w:r w:rsidR="00A47AD9" w:rsidRPr="009F4F31">
        <w:t xml:space="preserve"> to be delivered by NZ ETS sectors. This is based on the logic that, within this advice, the NZ ETS is the only tool available to drive additional emissions reductions. We cannot assume additional reductions will come from outside the NZ ETS, given current emissions projections and the Government’s stated policy approach that the NZ ETS is its main policy tool to reduce emissions.</w:t>
      </w:r>
      <w:r w:rsidR="00A47AD9">
        <w:t xml:space="preserve"> </w:t>
      </w:r>
    </w:p>
    <w:p w14:paraId="4685BC31" w14:textId="4EDE118A" w:rsidR="00DE2782" w:rsidRDefault="00205B35" w:rsidP="0088B4B9">
      <w:r>
        <w:t xml:space="preserve">We note that this is </w:t>
      </w:r>
      <w:r w:rsidR="00761F7C">
        <w:t xml:space="preserve">an assumption we are making for the purposes </w:t>
      </w:r>
      <w:r w:rsidR="00601EDC">
        <w:t xml:space="preserve">of this analysis, based on </w:t>
      </w:r>
      <w:r w:rsidR="004D558B">
        <w:t xml:space="preserve">current circumstances. </w:t>
      </w:r>
      <w:r w:rsidR="004E6D44">
        <w:t xml:space="preserve">It does not represent the Commission’s advice on how to approach setting the emissions cap </w:t>
      </w:r>
      <w:r w:rsidR="00620BAA">
        <w:t>for</w:t>
      </w:r>
      <w:r w:rsidR="004E6D44">
        <w:t xml:space="preserve"> the NZ ETS</w:t>
      </w:r>
      <w:r w:rsidR="00317EF3" w:rsidRPr="00317EF3">
        <w:t xml:space="preserve"> </w:t>
      </w:r>
      <w:r w:rsidR="00317EF3">
        <w:t>from first principles</w:t>
      </w:r>
      <w:r w:rsidR="004E6D44">
        <w:t xml:space="preserve">. </w:t>
      </w:r>
      <w:r w:rsidR="008C2F63">
        <w:t>If the Government</w:t>
      </w:r>
      <w:r w:rsidR="00CA4C3D">
        <w:t xml:space="preserve"> makes decisions </w:t>
      </w:r>
      <w:r w:rsidR="00716CB9">
        <w:t xml:space="preserve">on the expected balance of reductions </w:t>
      </w:r>
      <w:r w:rsidR="009F3446">
        <w:t xml:space="preserve">to occur after 2030 </w:t>
      </w:r>
      <w:r w:rsidR="00885D47">
        <w:t xml:space="preserve">across NZ ETS and non-NZ ETS sectors, we will consider </w:t>
      </w:r>
      <w:r w:rsidR="00104506">
        <w:t xml:space="preserve">that in how </w:t>
      </w:r>
      <w:r w:rsidR="00885D47">
        <w:t xml:space="preserve">this </w:t>
      </w:r>
      <w:r w:rsidR="004B4F32">
        <w:t>assumption</w:t>
      </w:r>
      <w:r w:rsidR="00104506">
        <w:t xml:space="preserve"> is updated in future advice</w:t>
      </w:r>
      <w:r w:rsidR="004F1E1B">
        <w:t>.</w:t>
      </w:r>
      <w:r w:rsidR="00104506">
        <w:t xml:space="preserve"> </w:t>
      </w:r>
      <w:r w:rsidR="00885D47">
        <w:t xml:space="preserve"> </w:t>
      </w:r>
      <w:r w:rsidR="00A47AD9">
        <w:t xml:space="preserve"> </w:t>
      </w:r>
    </w:p>
    <w:p w14:paraId="15FB6F4C" w14:textId="7405C3E7" w:rsidR="009F7B3C" w:rsidRPr="00BD0330" w:rsidRDefault="00140B7B" w:rsidP="00D26EC5">
      <w:pPr>
        <w:pStyle w:val="Heading5"/>
      </w:pPr>
      <w:r>
        <w:t>Units held for surrender for past emissions (</w:t>
      </w:r>
      <w:r w:rsidR="007F09E7">
        <w:t>h</w:t>
      </w:r>
      <w:r w:rsidR="009F7B3C" w:rsidRPr="00BD0330">
        <w:t xml:space="preserve">olding </w:t>
      </w:r>
      <w:r w:rsidR="009F7B3C" w:rsidRPr="00925E0D">
        <w:t>volume</w:t>
      </w:r>
      <w:r>
        <w:t>)</w:t>
      </w:r>
    </w:p>
    <w:p w14:paraId="69E96596" w14:textId="36078B9F" w:rsidR="009F7B3C" w:rsidRDefault="009F7B3C" w:rsidP="009F7B3C">
      <w:r>
        <w:t xml:space="preserve">This year we have incorporated </w:t>
      </w:r>
      <w:r w:rsidR="009C6BE2">
        <w:t>into our</w:t>
      </w:r>
      <w:r>
        <w:t xml:space="preserve"> </w:t>
      </w:r>
      <w:r w:rsidR="000D6E26">
        <w:t xml:space="preserve">methodology </w:t>
      </w:r>
      <w:r>
        <w:t xml:space="preserve">a new category </w:t>
      </w:r>
      <w:r w:rsidR="00807532">
        <w:t>of non-surplus units</w:t>
      </w:r>
      <w:r w:rsidR="00BA4C59">
        <w:t>,</w:t>
      </w:r>
      <w:r w:rsidR="00807532">
        <w:t xml:space="preserve"> </w:t>
      </w:r>
      <w:r w:rsidR="00E86F28">
        <w:t>referred to as</w:t>
      </w:r>
      <w:r>
        <w:t xml:space="preserve"> </w:t>
      </w:r>
      <w:r w:rsidR="00C26A7E">
        <w:t>‘</w:t>
      </w:r>
      <w:r>
        <w:t>holding volume</w:t>
      </w:r>
      <w:r w:rsidR="00C26A7E">
        <w:t>’.</w:t>
      </w:r>
      <w:r w:rsidR="00807532">
        <w:t xml:space="preserve"> </w:t>
      </w:r>
      <w:r>
        <w:t xml:space="preserve">This change was in response to a suggestion made </w:t>
      </w:r>
      <w:r w:rsidR="004A0262">
        <w:t>by</w:t>
      </w:r>
      <w:r>
        <w:t xml:space="preserve"> EY</w:t>
      </w:r>
      <w:r w:rsidR="004A0262">
        <w:t xml:space="preserve"> in their</w:t>
      </w:r>
      <w:r>
        <w:t xml:space="preserve"> report. </w:t>
      </w:r>
      <w:r w:rsidR="00955DD6" w:rsidRPr="00955DD6">
        <w:t>The report distinguishe</w:t>
      </w:r>
      <w:r w:rsidR="00955DD6">
        <w:t>s</w:t>
      </w:r>
      <w:r w:rsidR="00955DD6" w:rsidRPr="00955DD6">
        <w:t xml:space="preserve"> between units held for future emissions (hedging</w:t>
      </w:r>
      <w:r w:rsidR="00CB67E1">
        <w:t xml:space="preserve"> volume</w:t>
      </w:r>
      <w:r w:rsidR="00955DD6" w:rsidRPr="00955DD6">
        <w:t>) and units held for surrender for emissions that have already occurred (holding volume).</w:t>
      </w:r>
    </w:p>
    <w:p w14:paraId="1417E733" w14:textId="3D8AFF4A" w:rsidR="002E2704" w:rsidRDefault="007E24D7" w:rsidP="009F7B3C">
      <w:r>
        <w:t>E</w:t>
      </w:r>
      <w:r w:rsidR="00663ACF">
        <w:t>mitters will accumulate units over the year for emissions that have occurred</w:t>
      </w:r>
      <w:r w:rsidR="00FE2E86">
        <w:t xml:space="preserve">, </w:t>
      </w:r>
      <w:r w:rsidR="00B20E02">
        <w:t xml:space="preserve">increasing to a peak </w:t>
      </w:r>
      <w:r w:rsidR="00D6363E">
        <w:t>in May</w:t>
      </w:r>
      <w:r w:rsidR="00876BF9">
        <w:t xml:space="preserve"> when units are due to be surrendered. </w:t>
      </w:r>
      <w:r w:rsidR="00CE4BE2">
        <w:t>Following the surren</w:t>
      </w:r>
      <w:r w:rsidR="007B3F22">
        <w:t>der period in May the holding volume falls to a minimum</w:t>
      </w:r>
      <w:r w:rsidR="00BA4C59">
        <w:t>,</w:t>
      </w:r>
      <w:r w:rsidR="007B3F22">
        <w:t xml:space="preserve"> </w:t>
      </w:r>
      <w:r w:rsidR="00B82736">
        <w:t xml:space="preserve">before growing again. </w:t>
      </w:r>
      <w:r w:rsidR="0068581B">
        <w:t xml:space="preserve">The </w:t>
      </w:r>
      <w:r>
        <w:t xml:space="preserve">EY </w:t>
      </w:r>
      <w:r w:rsidR="0068581B">
        <w:t xml:space="preserve">report recommended that </w:t>
      </w:r>
      <w:r w:rsidR="00BF29E6">
        <w:t xml:space="preserve">the holding volume be accounted for </w:t>
      </w:r>
      <w:r w:rsidR="00B30CBA">
        <w:t xml:space="preserve">separately from the hedging volume </w:t>
      </w:r>
      <w:r w:rsidR="00BF29E6">
        <w:t>when estimating the unit surplus.</w:t>
      </w:r>
    </w:p>
    <w:p w14:paraId="07F19272" w14:textId="684BE101" w:rsidR="00B32703" w:rsidRDefault="00B73869" w:rsidP="009F7B3C">
      <w:r>
        <w:t>The</w:t>
      </w:r>
      <w:r w:rsidR="00193234">
        <w:t xml:space="preserve"> scale of the holding volume varies throughout the year, and so the </w:t>
      </w:r>
      <w:r w:rsidR="00DC5B9B">
        <w:t xml:space="preserve">volume to be used depends on the point in the year </w:t>
      </w:r>
      <w:r w:rsidR="006C1276">
        <w:t xml:space="preserve">the </w:t>
      </w:r>
      <w:r w:rsidR="006C03F1">
        <w:t xml:space="preserve">registry </w:t>
      </w:r>
      <w:r w:rsidR="006A5D36">
        <w:t>stockpile data</w:t>
      </w:r>
      <w:r w:rsidR="006A5D36" w:rsidDel="000312C1">
        <w:t xml:space="preserve"> </w:t>
      </w:r>
      <w:r w:rsidR="006C1276">
        <w:t>is</w:t>
      </w:r>
      <w:r w:rsidR="004D09BA">
        <w:t xml:space="preserve"> taken from</w:t>
      </w:r>
      <w:r w:rsidR="006C03F1">
        <w:t xml:space="preserve"> for the unit limits analysis</w:t>
      </w:r>
      <w:r w:rsidR="004D09BA">
        <w:t xml:space="preserve">. </w:t>
      </w:r>
      <w:r w:rsidR="004E2031">
        <w:t xml:space="preserve">We </w:t>
      </w:r>
      <w:r w:rsidR="003A45A0">
        <w:t xml:space="preserve">assess the </w:t>
      </w:r>
      <w:r w:rsidR="002A4FB2">
        <w:t xml:space="preserve">unit </w:t>
      </w:r>
      <w:r w:rsidR="004E2031">
        <w:t>stockpile at the end of the calendar year</w:t>
      </w:r>
      <w:r w:rsidR="00163BD5">
        <w:t xml:space="preserve"> </w:t>
      </w:r>
      <w:r w:rsidR="00623B72">
        <w:t xml:space="preserve">to account for </w:t>
      </w:r>
      <w:r w:rsidR="00994AC7">
        <w:t xml:space="preserve">the final results of </w:t>
      </w:r>
      <w:r w:rsidR="00AA1F90">
        <w:t xml:space="preserve">auctions, and </w:t>
      </w:r>
      <w:r w:rsidR="003F6C99">
        <w:t xml:space="preserve">therefore also take </w:t>
      </w:r>
      <w:r w:rsidR="00AA1F90">
        <w:t xml:space="preserve">the holding volume from the end of the year. </w:t>
      </w:r>
      <w:r w:rsidR="00E51A6F">
        <w:t>W</w:t>
      </w:r>
      <w:r w:rsidR="00AA1F90">
        <w:t xml:space="preserve">e </w:t>
      </w:r>
      <w:r w:rsidR="002B77EB">
        <w:t>assume</w:t>
      </w:r>
      <w:r w:rsidR="00AA1F90">
        <w:t xml:space="preserve"> that </w:t>
      </w:r>
      <w:r w:rsidR="00376A71">
        <w:t>emitters are accumulating units to match their emissions throughout the year</w:t>
      </w:r>
      <w:r w:rsidR="003C5818">
        <w:t>, so by year</w:t>
      </w:r>
      <w:r w:rsidR="00DD2F43">
        <w:t>-</w:t>
      </w:r>
      <w:r w:rsidR="003C5818">
        <w:t xml:space="preserve">end </w:t>
      </w:r>
      <w:r w:rsidR="00503802">
        <w:t xml:space="preserve">approximately 100% of </w:t>
      </w:r>
      <w:r w:rsidR="00DB650B">
        <w:t>emitters’</w:t>
      </w:r>
      <w:r w:rsidR="00503802">
        <w:t xml:space="preserve"> obligations from that year</w:t>
      </w:r>
      <w:r w:rsidR="00DB650B">
        <w:t xml:space="preserve"> are held</w:t>
      </w:r>
      <w:r w:rsidR="00503802">
        <w:t>.</w:t>
      </w:r>
      <w:r w:rsidR="002B77EB">
        <w:rPr>
          <w:rStyle w:val="FootnoteReference"/>
        </w:rPr>
        <w:footnoteReference w:id="25"/>
      </w:r>
      <w:r w:rsidR="00503802">
        <w:t xml:space="preserve"> </w:t>
      </w:r>
    </w:p>
    <w:p w14:paraId="2E8DE29C" w14:textId="321E7580" w:rsidR="009F7B3C" w:rsidRDefault="008B4B4F" w:rsidP="009F7B3C">
      <w:r>
        <w:lastRenderedPageBreak/>
        <w:t xml:space="preserve">Therefore, our holding volume is based on the estimate of emissions that occurred in 2024. </w:t>
      </w:r>
      <w:r w:rsidR="00C1707F">
        <w:t xml:space="preserve">This is </w:t>
      </w:r>
      <w:r w:rsidR="00101ACF">
        <w:t>34.2</w:t>
      </w:r>
      <w:r>
        <w:t xml:space="preserve"> </w:t>
      </w:r>
      <w:r w:rsidR="005D2D84">
        <w:t xml:space="preserve">million units based </w:t>
      </w:r>
      <w:r w:rsidR="00BA0C68">
        <w:t xml:space="preserve">on </w:t>
      </w:r>
      <w:r w:rsidR="00761080">
        <w:t>the gross emissions</w:t>
      </w:r>
      <w:r>
        <w:t xml:space="preserve"> </w:t>
      </w:r>
      <w:r w:rsidR="00BA0C68">
        <w:t>forecast</w:t>
      </w:r>
      <w:r w:rsidR="006011FC">
        <w:t xml:space="preserve"> </w:t>
      </w:r>
      <w:r w:rsidR="00E308E4">
        <w:t xml:space="preserve">in </w:t>
      </w:r>
      <w:r w:rsidR="006011FC">
        <w:t xml:space="preserve">the </w:t>
      </w:r>
      <w:r w:rsidR="00A276B2">
        <w:t>G</w:t>
      </w:r>
      <w:r w:rsidR="00BD7A53">
        <w:t xml:space="preserve">overnment’s emissions projections and </w:t>
      </w:r>
      <w:r w:rsidR="006011FC">
        <w:t xml:space="preserve">NZ ETS </w:t>
      </w:r>
      <w:r w:rsidR="00CA7B6B">
        <w:t xml:space="preserve">emissions </w:t>
      </w:r>
      <w:r w:rsidR="00392F2C">
        <w:t>cap</w:t>
      </w:r>
      <w:r w:rsidR="006011FC">
        <w:t xml:space="preserve">. </w:t>
      </w:r>
      <w:r w:rsidR="00CE6963">
        <w:t>We expect this full volume will be surrendered in May 2025</w:t>
      </w:r>
      <w:r w:rsidR="00B6431D">
        <w:t xml:space="preserve">, </w:t>
      </w:r>
      <w:r w:rsidR="00521A93">
        <w:t xml:space="preserve">at which point it will be </w:t>
      </w:r>
      <w:r w:rsidR="00B6431D">
        <w:t>removed from the stockpile.</w:t>
      </w:r>
    </w:p>
    <w:p w14:paraId="09F31DD3" w14:textId="16D39AB1" w:rsidR="00171134" w:rsidRDefault="005875E3" w:rsidP="009F7B3C">
      <w:r>
        <w:t xml:space="preserve">Our assessment is that the holding volume </w:t>
      </w:r>
      <w:r w:rsidR="00B778D2">
        <w:t>related to past emissions</w:t>
      </w:r>
      <w:r>
        <w:t xml:space="preserve"> is additional to the </w:t>
      </w:r>
      <w:r w:rsidR="00590E5F">
        <w:t xml:space="preserve">volume held for </w:t>
      </w:r>
      <w:r w:rsidR="00B778D2">
        <w:t xml:space="preserve">forward </w:t>
      </w:r>
      <w:r w:rsidR="00590E5F">
        <w:t xml:space="preserve">hedging. However, </w:t>
      </w:r>
      <w:r w:rsidR="00F62C4F">
        <w:t xml:space="preserve">since our targeted engagement for this advice occurred before the </w:t>
      </w:r>
      <w:r w:rsidR="000B1BBD">
        <w:t xml:space="preserve">EY </w:t>
      </w:r>
      <w:r w:rsidR="00F62C4F">
        <w:t xml:space="preserve">report’s release, we were unable to </w:t>
      </w:r>
      <w:r w:rsidR="00947FFE">
        <w:t xml:space="preserve">thoroughly </w:t>
      </w:r>
      <w:r w:rsidR="00F62C4F">
        <w:t xml:space="preserve">test this with participants. It is possible that the inclusion of the </w:t>
      </w:r>
      <w:r w:rsidR="003A6FFE">
        <w:t xml:space="preserve">holding volume </w:t>
      </w:r>
      <w:r w:rsidR="000A6AE8">
        <w:t xml:space="preserve">may partially overlap with </w:t>
      </w:r>
      <w:r w:rsidR="006A1EB6">
        <w:t>the units held for hedging in some sectors. We suggest that the Government seek feedback on</w:t>
      </w:r>
      <w:r w:rsidR="005F3B75">
        <w:t xml:space="preserve"> our</w:t>
      </w:r>
      <w:r w:rsidR="00666FA3">
        <w:t xml:space="preserve"> assumptions</w:t>
      </w:r>
      <w:r w:rsidR="00FD4F52">
        <w:t xml:space="preserve"> about holding and hedging volumes </w:t>
      </w:r>
      <w:r w:rsidR="006A1EB6">
        <w:t>during its consultation.</w:t>
      </w:r>
      <w:r w:rsidR="000A6AE8">
        <w:t xml:space="preserve"> </w:t>
      </w:r>
    </w:p>
    <w:p w14:paraId="74DCB1DC" w14:textId="3DC55B1A" w:rsidR="009F7B3C" w:rsidRPr="00596BA7" w:rsidRDefault="0096779F" w:rsidP="00D26EC5">
      <w:pPr>
        <w:pStyle w:val="Heading5"/>
      </w:pPr>
      <w:r w:rsidRPr="0096779F">
        <w:t>Additional surplus units from post-1989 forestry unit allocations at the end of MERP4</w:t>
      </w:r>
      <w:r>
        <w:t xml:space="preserve"> </w:t>
      </w:r>
    </w:p>
    <w:p w14:paraId="770A70E9" w14:textId="316D33FA" w:rsidR="0010066A" w:rsidRDefault="005A7A44" w:rsidP="009F7B3C">
      <w:r w:rsidRPr="005A7A44">
        <w:t xml:space="preserve">This year we identified a need to anticipate the impact of forestry units expected to be allocated after </w:t>
      </w:r>
      <w:r w:rsidR="00401046">
        <w:t>the fourth mandatory emissions reporting period (</w:t>
      </w:r>
      <w:r w:rsidRPr="005A7A44">
        <w:t>MERP4</w:t>
      </w:r>
      <w:r w:rsidR="00401046">
        <w:t>)</w:t>
      </w:r>
      <w:r w:rsidRPr="005A7A44">
        <w:t xml:space="preserve"> </w:t>
      </w:r>
      <w:r w:rsidR="00401046">
        <w:t>ends</w:t>
      </w:r>
      <w:r w:rsidR="000F7A72">
        <w:t>.</w:t>
      </w:r>
      <w:r w:rsidR="00401046">
        <w:t xml:space="preserve"> </w:t>
      </w:r>
      <w:r w:rsidRPr="005A7A44">
        <w:t>This will help avoid an unexpected surplus increase in our 2027 advice</w:t>
      </w:r>
      <w:r w:rsidR="0007039E">
        <w:t xml:space="preserve"> after </w:t>
      </w:r>
      <w:r w:rsidR="00CC45DC">
        <w:t>final unit allocations are completed</w:t>
      </w:r>
      <w:r w:rsidR="007B4B3E">
        <w:t xml:space="preserve"> for MERP4</w:t>
      </w:r>
      <w:r w:rsidR="000D0F1B">
        <w:t>, which covers the period 2023</w:t>
      </w:r>
      <w:r w:rsidR="000D0F1B" w:rsidRPr="00647E27">
        <w:rPr>
          <w:i/>
          <w:iCs/>
        </w:rPr>
        <w:t>–</w:t>
      </w:r>
      <w:r w:rsidR="000D0F1B">
        <w:t>2025</w:t>
      </w:r>
      <w:r w:rsidR="00E60C22">
        <w:t>.</w:t>
      </w:r>
    </w:p>
    <w:p w14:paraId="2580E537" w14:textId="7FA4BEB5" w:rsidR="004B1810" w:rsidRDefault="000D0F1B" w:rsidP="009F7B3C">
      <w:r>
        <w:t>A</w:t>
      </w:r>
      <w:r w:rsidR="000B7D47" w:rsidRPr="000B7D47">
        <w:t xml:space="preserve"> proportion of the post-1989 forestry units earned over </w:t>
      </w:r>
      <w:r>
        <w:t xml:space="preserve">the MERP4 period </w:t>
      </w:r>
      <w:r w:rsidR="000B7D47" w:rsidRPr="000B7D47">
        <w:t xml:space="preserve">will only be allocated into the market after participants submit their end-of-MERP final emissions returns in June 2026. This means that the removals will have occurred in </w:t>
      </w:r>
      <w:r w:rsidR="00726946">
        <w:t xml:space="preserve">the first </w:t>
      </w:r>
      <w:r w:rsidR="000B7D47" w:rsidRPr="000B7D47">
        <w:t xml:space="preserve">emissions budget, but the NZUs issued for them could allow emissions in </w:t>
      </w:r>
      <w:r w:rsidR="00726946">
        <w:t xml:space="preserve">the second </w:t>
      </w:r>
      <w:r w:rsidR="000B7D47" w:rsidRPr="000B7D47">
        <w:t>emissions budget.</w:t>
      </w:r>
    </w:p>
    <w:p w14:paraId="6AC628A2" w14:textId="7408F377" w:rsidR="00E010A4" w:rsidRDefault="00E010A4" w:rsidP="009F7B3C">
      <w:r w:rsidRPr="00E010A4">
        <w:t xml:space="preserve">We have estimated that, of the forecast post-1989 forestry units that remain to be issued up to the end of MERP4, 10 million of them are likely to add to the surplus. </w:t>
      </w:r>
      <w:r w:rsidR="006D6471">
        <w:t>We</w:t>
      </w:r>
      <w:r w:rsidR="0061245D">
        <w:t xml:space="preserve"> have</w:t>
      </w:r>
      <w:r w:rsidR="00C104A9">
        <w:t xml:space="preserve"> worked this out by</w:t>
      </w:r>
      <w:r w:rsidR="0061245D">
        <w:t xml:space="preserve"> </w:t>
      </w:r>
      <w:r w:rsidR="003F789E" w:rsidRPr="003F789E">
        <w:t xml:space="preserve">considering the modelled low-risk carbon units that </w:t>
      </w:r>
      <w:r w:rsidR="00835A95">
        <w:t>remain</w:t>
      </w:r>
      <w:r w:rsidR="003F789E" w:rsidRPr="003F789E">
        <w:t xml:space="preserve"> to be allocated and comparing </w:t>
      </w:r>
      <w:r w:rsidR="00C0581D">
        <w:t xml:space="preserve">this volume </w:t>
      </w:r>
      <w:r w:rsidR="003F789E" w:rsidRPr="003F789E">
        <w:t xml:space="preserve">to the projected demand within the NZ ETS above the </w:t>
      </w:r>
      <w:r w:rsidR="005D5F82">
        <w:t xml:space="preserve">net emissions </w:t>
      </w:r>
      <w:r w:rsidR="003F789E" w:rsidRPr="003F789E">
        <w:t>cap</w:t>
      </w:r>
      <w:r w:rsidR="00507E17">
        <w:t xml:space="preserve"> </w:t>
      </w:r>
      <w:r w:rsidR="00DF091F">
        <w:t>over 2023</w:t>
      </w:r>
      <w:r w:rsidR="00855EA8" w:rsidRPr="00647E27">
        <w:rPr>
          <w:i/>
          <w:iCs/>
        </w:rPr>
        <w:t>–</w:t>
      </w:r>
      <w:r w:rsidR="00DF091F">
        <w:t>2025</w:t>
      </w:r>
      <w:r w:rsidR="00507E17">
        <w:t xml:space="preserve"> </w:t>
      </w:r>
      <w:r w:rsidR="00DF091F">
        <w:t>(</w:t>
      </w:r>
      <w:r w:rsidR="00207129">
        <w:t>MERP4</w:t>
      </w:r>
      <w:r w:rsidR="00DF091F">
        <w:t>)</w:t>
      </w:r>
      <w:r w:rsidR="00507E17">
        <w:t>.</w:t>
      </w:r>
      <w:r w:rsidR="00576425">
        <w:t xml:space="preserve"> </w:t>
      </w:r>
      <w:r w:rsidR="003C0BBD" w:rsidRPr="00E010A4">
        <w:t xml:space="preserve">We </w:t>
      </w:r>
      <w:r w:rsidR="003C0BBD">
        <w:t>includ</w:t>
      </w:r>
      <w:r w:rsidR="00650C69">
        <w:t xml:space="preserve">e </w:t>
      </w:r>
      <w:r w:rsidR="003C0BBD" w:rsidRPr="00E010A4">
        <w:t xml:space="preserve">these units </w:t>
      </w:r>
      <w:r w:rsidR="003C0BBD">
        <w:t xml:space="preserve">in our </w:t>
      </w:r>
      <w:r w:rsidR="003C0BBD" w:rsidRPr="00E010A4">
        <w:t>estimat</w:t>
      </w:r>
      <w:r w:rsidR="003C0BBD">
        <w:t xml:space="preserve">e of </w:t>
      </w:r>
      <w:r w:rsidR="003C0BBD" w:rsidRPr="00E010A4">
        <w:t xml:space="preserve">the total unit surplus to be reduced </w:t>
      </w:r>
      <w:r w:rsidR="003C0BBD">
        <w:t xml:space="preserve">by </w:t>
      </w:r>
      <w:r w:rsidR="003C0BBD" w:rsidRPr="00E010A4">
        <w:t>2030.</w:t>
      </w:r>
      <w:r w:rsidR="00576425">
        <w:t xml:space="preserve"> More detail on the approach to estimating </w:t>
      </w:r>
      <w:r w:rsidR="00E115B8">
        <w:t xml:space="preserve">this contribution to the surplus is included in </w:t>
      </w:r>
      <w:r w:rsidR="000E5791" w:rsidRPr="00C33FCF">
        <w:rPr>
          <w:i/>
        </w:rPr>
        <w:t>T</w:t>
      </w:r>
      <w:r w:rsidR="00E115B8" w:rsidRPr="00C33FCF">
        <w:rPr>
          <w:i/>
        </w:rPr>
        <w:t xml:space="preserve">echnical </w:t>
      </w:r>
      <w:r w:rsidR="00E33967" w:rsidRPr="00C33FCF">
        <w:rPr>
          <w:i/>
          <w:iCs/>
        </w:rPr>
        <w:t>A</w:t>
      </w:r>
      <w:r w:rsidR="000E5791" w:rsidRPr="00C33FCF">
        <w:rPr>
          <w:i/>
        </w:rPr>
        <w:t>nnex</w:t>
      </w:r>
      <w:r w:rsidR="000E5791" w:rsidRPr="00225DB4">
        <w:rPr>
          <w:i/>
          <w:iCs/>
        </w:rPr>
        <w:t xml:space="preserve"> 1: Unit limit</w:t>
      </w:r>
      <w:r w:rsidR="00BC1042">
        <w:rPr>
          <w:i/>
          <w:iCs/>
        </w:rPr>
        <w:t xml:space="preserve"> settings</w:t>
      </w:r>
      <w:r w:rsidR="00555D4C" w:rsidRPr="00181AB6">
        <w:t>,</w:t>
      </w:r>
      <w:r w:rsidR="0062592D" w:rsidRPr="0062592D">
        <w:t xml:space="preserve"> </w:t>
      </w:r>
      <w:r w:rsidR="0062592D" w:rsidRPr="00827A1D">
        <w:t>published separately on our website</w:t>
      </w:r>
      <w:r w:rsidR="00E115B8">
        <w:t>.</w:t>
      </w:r>
    </w:p>
    <w:p w14:paraId="4AD6E766" w14:textId="77777777" w:rsidR="0088329F" w:rsidRPr="00D205CC" w:rsidRDefault="0088329F" w:rsidP="0088329F">
      <w:pPr>
        <w:pStyle w:val="Heading5"/>
      </w:pPr>
      <w:r w:rsidRPr="00D205CC">
        <w:t xml:space="preserve">Reducing the surplus over time   </w:t>
      </w:r>
    </w:p>
    <w:p w14:paraId="31781E14" w14:textId="77777777" w:rsidR="0088329F" w:rsidRDefault="0088329F" w:rsidP="0088329F">
      <w:r>
        <w:t xml:space="preserve">In our previous advice, we reduced auction volumes to require participants to use the surplus units already available in the market. This approach reduces the risk the surplus poses to achieving emissions budgets. The annual reduction volume was intended to reduce the surplus to zero by 2030 with the reduction each year calculated as a constant proportion of the NZ ETS emissions cap.   </w:t>
      </w:r>
    </w:p>
    <w:p w14:paraId="6826BFED" w14:textId="77777777" w:rsidR="0088329F" w:rsidRDefault="0088329F" w:rsidP="0088329F">
      <w:r>
        <w:t xml:space="preserve">We consider that this approach, and the aim of reducing the surplus by 2030, is still suitable. It continues to be important to reduce the probability that the risks presented by the surplus continue into the third emissions budget period. </w:t>
      </w:r>
    </w:p>
    <w:p w14:paraId="2DD93CD6" w14:textId="77777777" w:rsidR="0088329F" w:rsidRDefault="0088329F" w:rsidP="009F7B3C"/>
    <w:p w14:paraId="25D7430C" w14:textId="1FBEB8A3" w:rsidR="007C7170" w:rsidRPr="001A2279" w:rsidRDefault="00565F6F" w:rsidP="000E2D95">
      <w:pPr>
        <w:pStyle w:val="FigureTabletitle"/>
      </w:pPr>
      <w:r w:rsidRPr="002B5E35">
        <w:lastRenderedPageBreak/>
        <w:t xml:space="preserve">Figure </w:t>
      </w:r>
      <w:r w:rsidR="00F244DB">
        <w:t>3.</w:t>
      </w:r>
      <w:r w:rsidR="006C0DA9">
        <w:t>1</w:t>
      </w:r>
      <w:r w:rsidR="00F244DB">
        <w:t>:</w:t>
      </w:r>
      <w:r w:rsidR="002B5E35" w:rsidRPr="002B5E35">
        <w:t xml:space="preserve"> </w:t>
      </w:r>
      <w:r w:rsidR="002B5E35" w:rsidRPr="0091600D">
        <w:rPr>
          <w:b w:val="0"/>
          <w:bCs w:val="0"/>
          <w:szCs w:val="20"/>
        </w:rPr>
        <w:t>Comparison of our previous and current estimate</w:t>
      </w:r>
      <w:r w:rsidR="00F1431E" w:rsidRPr="0091600D">
        <w:rPr>
          <w:b w:val="0"/>
          <w:bCs w:val="0"/>
          <w:szCs w:val="20"/>
        </w:rPr>
        <w:t>d</w:t>
      </w:r>
      <w:r w:rsidR="002B5E35" w:rsidRPr="0091600D">
        <w:rPr>
          <w:b w:val="0"/>
          <w:bCs w:val="0"/>
          <w:szCs w:val="20"/>
        </w:rPr>
        <w:t xml:space="preserve"> breakdown of unit holdings </w:t>
      </w:r>
      <w:r w:rsidR="00F1431E" w:rsidRPr="0091600D">
        <w:rPr>
          <w:b w:val="0"/>
          <w:bCs w:val="0"/>
          <w:szCs w:val="20"/>
        </w:rPr>
        <w:t>in</w:t>
      </w:r>
      <w:r w:rsidR="002B5E35" w:rsidRPr="0091600D">
        <w:rPr>
          <w:b w:val="0"/>
          <w:bCs w:val="0"/>
          <w:szCs w:val="20"/>
        </w:rPr>
        <w:t xml:space="preserve"> private accounts (the stockpile)</w:t>
      </w:r>
      <w:r w:rsidR="00B53EAB" w:rsidRPr="0091600D">
        <w:rPr>
          <w:b w:val="0"/>
          <w:bCs w:val="0"/>
          <w:szCs w:val="20"/>
        </w:rPr>
        <w:t xml:space="preserve"> </w:t>
      </w:r>
      <w:r w:rsidR="00892785" w:rsidRPr="0091600D">
        <w:rPr>
          <w:b w:val="0"/>
          <w:bCs w:val="0"/>
          <w:szCs w:val="20"/>
        </w:rPr>
        <w:t xml:space="preserve">and </w:t>
      </w:r>
      <w:r w:rsidR="005C379D" w:rsidRPr="0091600D">
        <w:rPr>
          <w:b w:val="0"/>
          <w:bCs w:val="0"/>
          <w:szCs w:val="20"/>
        </w:rPr>
        <w:t xml:space="preserve">of </w:t>
      </w:r>
      <w:r w:rsidR="00875932" w:rsidRPr="0091600D">
        <w:rPr>
          <w:b w:val="0"/>
          <w:bCs w:val="0"/>
          <w:szCs w:val="20"/>
        </w:rPr>
        <w:t>other</w:t>
      </w:r>
      <w:r w:rsidR="004E5AE2" w:rsidRPr="0091600D">
        <w:rPr>
          <w:b w:val="0"/>
          <w:bCs w:val="0"/>
          <w:szCs w:val="20"/>
        </w:rPr>
        <w:t xml:space="preserve"> </w:t>
      </w:r>
      <w:r w:rsidR="005C379D" w:rsidRPr="0091600D">
        <w:rPr>
          <w:b w:val="0"/>
          <w:bCs w:val="0"/>
          <w:szCs w:val="20"/>
        </w:rPr>
        <w:t>units</w:t>
      </w:r>
      <w:r w:rsidR="00B53EAB" w:rsidRPr="0091600D">
        <w:rPr>
          <w:b w:val="0"/>
          <w:bCs w:val="0"/>
          <w:szCs w:val="20"/>
        </w:rPr>
        <w:t xml:space="preserve"> contributing to the surplus estimate</w:t>
      </w:r>
    </w:p>
    <w:p w14:paraId="1350DC77" w14:textId="2BA67AEE" w:rsidR="0045469F" w:rsidRPr="001A2279" w:rsidRDefault="005165C2" w:rsidP="006C0DA9">
      <w:pPr>
        <w:spacing w:after="0"/>
        <w:jc w:val="center"/>
      </w:pPr>
      <w:r w:rsidRPr="005165C2">
        <w:rPr>
          <w:noProof/>
        </w:rPr>
        <w:drawing>
          <wp:inline distT="0" distB="0" distL="0" distR="0" wp14:anchorId="602EB4D2" wp14:editId="0390D3AE">
            <wp:extent cx="5759450" cy="3385820"/>
            <wp:effectExtent l="0" t="0" r="0" b="5080"/>
            <wp:docPr id="11834565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385820"/>
                    </a:xfrm>
                    <a:prstGeom prst="rect">
                      <a:avLst/>
                    </a:prstGeom>
                    <a:noFill/>
                    <a:ln>
                      <a:noFill/>
                    </a:ln>
                  </pic:spPr>
                </pic:pic>
              </a:graphicData>
            </a:graphic>
          </wp:inline>
        </w:drawing>
      </w:r>
    </w:p>
    <w:p w14:paraId="28D9114C" w14:textId="13AB0D41" w:rsidR="00963A5E" w:rsidRPr="00225DB4" w:rsidRDefault="00C85917" w:rsidP="006C0DA9">
      <w:pPr>
        <w:spacing w:before="0"/>
        <w:rPr>
          <w:sz w:val="20"/>
          <w:szCs w:val="20"/>
        </w:rPr>
      </w:pPr>
      <w:r w:rsidRPr="00225DB4">
        <w:rPr>
          <w:sz w:val="20"/>
          <w:szCs w:val="20"/>
        </w:rPr>
        <w:t>Source: Commission analysis</w:t>
      </w:r>
    </w:p>
    <w:p w14:paraId="3541755E" w14:textId="77777777" w:rsidR="00144A45" w:rsidRPr="004245C7" w:rsidRDefault="00144A45" w:rsidP="00225DB4">
      <w:pPr>
        <w:pStyle w:val="Heading4"/>
      </w:pPr>
      <w:r w:rsidRPr="004245C7">
        <w:t>Step 5b: Adjust for discrepancies</w:t>
      </w:r>
    </w:p>
    <w:p w14:paraId="48A29FFB" w14:textId="4001CD53" w:rsidR="00CF12AA" w:rsidRDefault="00857F27" w:rsidP="00CF12AA">
      <w:r>
        <w:t>In this</w:t>
      </w:r>
      <w:r w:rsidR="00CF12AA">
        <w:t xml:space="preserve"> step </w:t>
      </w:r>
      <w:r>
        <w:t>we make</w:t>
      </w:r>
      <w:r w:rsidR="00CF12AA">
        <w:t xml:space="preserve"> adjustments to address potential updates to unit limits that are unable to be made due to limitations around when settings can be updated in the </w:t>
      </w:r>
      <w:r w:rsidR="00364432">
        <w:t>five</w:t>
      </w:r>
      <w:r w:rsidR="00CF12AA">
        <w:t>-year rolling process.</w:t>
      </w:r>
      <w:r w:rsidR="00CF12AA" w:rsidRPr="00225DB4">
        <w:rPr>
          <w:i/>
        </w:rPr>
        <w:t> </w:t>
      </w:r>
      <w:r w:rsidR="006448A9" w:rsidRPr="00225DB4">
        <w:rPr>
          <w:i/>
        </w:rPr>
        <w:t>Part 1: Te tau</w:t>
      </w:r>
      <w:r w:rsidR="00647E27" w:rsidRPr="00225DB4">
        <w:rPr>
          <w:i/>
        </w:rPr>
        <w:t xml:space="preserve">puaki </w:t>
      </w:r>
      <w:r w:rsidR="00647E27" w:rsidRPr="00647E27">
        <w:rPr>
          <w:i/>
          <w:iCs/>
        </w:rPr>
        <w:t>–</w:t>
      </w:r>
      <w:r w:rsidR="00647E27" w:rsidRPr="000A1433">
        <w:rPr>
          <w:i/>
          <w:iCs/>
        </w:rPr>
        <w:t xml:space="preserve"> </w:t>
      </w:r>
      <w:r w:rsidR="00647E27">
        <w:rPr>
          <w:i/>
          <w:iCs/>
        </w:rPr>
        <w:t xml:space="preserve">Introduction </w:t>
      </w:r>
      <w:r w:rsidR="00AA7620">
        <w:t>descri</w:t>
      </w:r>
      <w:r w:rsidR="00647E27">
        <w:t>bes</w:t>
      </w:r>
      <w:r w:rsidR="00AA7620">
        <w:t xml:space="preserve"> the </w:t>
      </w:r>
      <w:r w:rsidR="00647E27">
        <w:t>five</w:t>
      </w:r>
      <w:r w:rsidR="00857E35">
        <w:t xml:space="preserve">-year rolling process </w:t>
      </w:r>
      <w:r w:rsidR="007D56B9">
        <w:t xml:space="preserve">and the </w:t>
      </w:r>
      <w:r w:rsidR="00E756EF">
        <w:t>rules determining</w:t>
      </w:r>
      <w:r w:rsidR="00AD54E4">
        <w:t xml:space="preserve"> when changes can be made</w:t>
      </w:r>
      <w:r w:rsidR="00857E35" w:rsidRPr="00A816BE">
        <w:t>.</w:t>
      </w:r>
    </w:p>
    <w:p w14:paraId="21E042F1" w14:textId="0064DE73" w:rsidR="00CF12AA" w:rsidRPr="00CF12AA" w:rsidRDefault="00AF086C" w:rsidP="00D26EC5">
      <w:pPr>
        <w:pStyle w:val="Heading5"/>
      </w:pPr>
      <w:r>
        <w:t xml:space="preserve">Determining which </w:t>
      </w:r>
      <w:r w:rsidR="009924A0">
        <w:t xml:space="preserve">years of the unit limits to amend </w:t>
      </w:r>
    </w:p>
    <w:p w14:paraId="1F362CB2" w14:textId="087A0A94" w:rsidR="00DF25FC" w:rsidRDefault="00CF12AA" w:rsidP="00CF12AA">
      <w:r>
        <w:t>Within this round of advice</w:t>
      </w:r>
      <w:r w:rsidR="00E22DD9">
        <w:t>,</w:t>
      </w:r>
      <w:r w:rsidR="00B12CEF">
        <w:t xml:space="preserve"> there have been</w:t>
      </w:r>
      <w:r>
        <w:t xml:space="preserve"> changes in </w:t>
      </w:r>
      <w:r w:rsidR="00D54FE3">
        <w:t xml:space="preserve">unit </w:t>
      </w:r>
      <w:r>
        <w:t xml:space="preserve">volume estimates associated with all steps </w:t>
      </w:r>
      <w:r w:rsidR="00A72068">
        <w:t xml:space="preserve">in the methodology </w:t>
      </w:r>
      <w:r>
        <w:t>to reach final auction volumes</w:t>
      </w:r>
      <w:r w:rsidR="007B52D7">
        <w:t xml:space="preserve">. The </w:t>
      </w:r>
      <w:r w:rsidR="00AC52A2">
        <w:t xml:space="preserve">combination of </w:t>
      </w:r>
      <w:r w:rsidR="007B52D7">
        <w:t>changes</w:t>
      </w:r>
      <w:r w:rsidR="00FE7BE2">
        <w:t xml:space="preserve"> </w:t>
      </w:r>
      <w:r w:rsidR="00833C03">
        <w:t>result</w:t>
      </w:r>
      <w:r w:rsidR="00A72068">
        <w:t>s</w:t>
      </w:r>
      <w:r w:rsidR="00833C03">
        <w:t xml:space="preserve"> in higher auction volume</w:t>
      </w:r>
      <w:r w:rsidR="00CB48E4">
        <w:t xml:space="preserve"> </w:t>
      </w:r>
      <w:r w:rsidR="001C2C28">
        <w:t xml:space="preserve">available </w:t>
      </w:r>
      <w:r w:rsidR="00A853F5">
        <w:t>over the 2026</w:t>
      </w:r>
      <w:r w:rsidR="004D05A5">
        <w:t>–</w:t>
      </w:r>
      <w:r w:rsidR="00A853F5">
        <w:t xml:space="preserve">2030 period </w:t>
      </w:r>
      <w:r w:rsidR="001C2C28">
        <w:t xml:space="preserve">than </w:t>
      </w:r>
      <w:r w:rsidR="00A853F5">
        <w:t xml:space="preserve">previously </w:t>
      </w:r>
      <w:r w:rsidR="0009410D">
        <w:t>recommended</w:t>
      </w:r>
      <w:r>
        <w:t xml:space="preserve">. </w:t>
      </w:r>
    </w:p>
    <w:p w14:paraId="24EDC293" w14:textId="61D7C21C" w:rsidR="00CF12AA" w:rsidRDefault="00786210" w:rsidP="00CF12AA">
      <w:r>
        <w:t>The Act</w:t>
      </w:r>
      <w:r w:rsidR="00684CC8">
        <w:t xml:space="preserve"> allows</w:t>
      </w:r>
      <w:r w:rsidR="0013238D">
        <w:t xml:space="preserve"> the </w:t>
      </w:r>
      <w:r w:rsidR="00684CC8">
        <w:t xml:space="preserve">settings for 2026 and 2027 to be changed </w:t>
      </w:r>
      <w:r w:rsidR="00776617">
        <w:t xml:space="preserve">under certain circumstances. </w:t>
      </w:r>
      <w:r w:rsidR="00BA6110">
        <w:t>The relevant</w:t>
      </w:r>
      <w:r w:rsidR="002364DA">
        <w:t xml:space="preserve"> issue for the Commission’s advice this year</w:t>
      </w:r>
      <w:r w:rsidR="00905E7F">
        <w:t xml:space="preserve"> is</w:t>
      </w:r>
      <w:r w:rsidR="001311CD">
        <w:t xml:space="preserve"> whether</w:t>
      </w:r>
      <w:r w:rsidR="00905E7F">
        <w:t xml:space="preserve"> </w:t>
      </w:r>
      <w:r w:rsidR="00684CC8">
        <w:t xml:space="preserve">there has been a change </w:t>
      </w:r>
      <w:r w:rsidR="00906A5E">
        <w:t xml:space="preserve">that has significantly </w:t>
      </w:r>
      <w:r w:rsidR="00066415">
        <w:t>affected any</w:t>
      </w:r>
      <w:r w:rsidR="00684CC8">
        <w:t xml:space="preserve"> matter</w:t>
      </w:r>
      <w:r w:rsidR="00DA0416">
        <w:t xml:space="preserve"> required to be considered</w:t>
      </w:r>
      <w:r w:rsidR="00684CC8">
        <w:t xml:space="preserve">, and </w:t>
      </w:r>
      <w:r w:rsidR="00C85080">
        <w:t>whether any such change</w:t>
      </w:r>
      <w:r w:rsidR="008D621A">
        <w:t xml:space="preserve"> justifie</w:t>
      </w:r>
      <w:r w:rsidR="007B2420">
        <w:t>s</w:t>
      </w:r>
      <w:r w:rsidR="008D621A">
        <w:t xml:space="preserve"> </w:t>
      </w:r>
      <w:r w:rsidR="00F61500">
        <w:t xml:space="preserve">the amendment </w:t>
      </w:r>
      <w:r w:rsidR="006C23DD">
        <w:t>of the first two years</w:t>
      </w:r>
      <w:r w:rsidR="007B2420">
        <w:t xml:space="preserve"> of the settings</w:t>
      </w:r>
      <w:r w:rsidR="00684CC8">
        <w:t xml:space="preserve">. </w:t>
      </w:r>
      <w:r w:rsidR="0013238D">
        <w:t>While the change</w:t>
      </w:r>
      <w:r w:rsidR="00E968AA">
        <w:t xml:space="preserve"> </w:t>
      </w:r>
      <w:r w:rsidR="00684CC8">
        <w:t>in auction volumes</w:t>
      </w:r>
      <w:r w:rsidR="00E968AA">
        <w:t xml:space="preserve"> may be significant</w:t>
      </w:r>
      <w:r w:rsidR="00CF12AA">
        <w:t>,</w:t>
      </w:r>
      <w:r w:rsidR="00B12CEF">
        <w:t xml:space="preserve"> </w:t>
      </w:r>
      <w:r w:rsidR="00B12CEF" w:rsidRPr="00B12CEF">
        <w:t xml:space="preserve">we consider </w:t>
      </w:r>
      <w:r w:rsidR="001D731E">
        <w:t xml:space="preserve">that </w:t>
      </w:r>
      <w:r w:rsidR="00B12CEF" w:rsidRPr="00B12CEF">
        <w:t xml:space="preserve">the </w:t>
      </w:r>
      <w:r w:rsidR="00B9581D">
        <w:t>increase</w:t>
      </w:r>
      <w:r w:rsidR="001D731E">
        <w:t>d</w:t>
      </w:r>
      <w:r w:rsidR="00B9581D">
        <w:t xml:space="preserve"> auction volume</w:t>
      </w:r>
      <w:r w:rsidR="00B12CEF" w:rsidRPr="00B12CEF">
        <w:t xml:space="preserve"> </w:t>
      </w:r>
      <w:r w:rsidR="000F640E" w:rsidRPr="00B12CEF">
        <w:t>do</w:t>
      </w:r>
      <w:r w:rsidR="000F640E">
        <w:t>es</w:t>
      </w:r>
      <w:r w:rsidR="000F640E" w:rsidRPr="00B12CEF">
        <w:t xml:space="preserve"> not justify changing settings for 2026</w:t>
      </w:r>
      <w:r w:rsidR="004D05A5">
        <w:t>–</w:t>
      </w:r>
      <w:r w:rsidR="000F640E" w:rsidRPr="00B12CEF">
        <w:t>2027</w:t>
      </w:r>
      <w:r w:rsidR="002D7099">
        <w:t>,</w:t>
      </w:r>
      <w:r w:rsidR="000F640E">
        <w:t xml:space="preserve"> and </w:t>
      </w:r>
      <w:r w:rsidR="00B12CEF" w:rsidRPr="00B12CEF">
        <w:t xml:space="preserve">can be </w:t>
      </w:r>
      <w:r w:rsidR="005532EF">
        <w:t xml:space="preserve">suitably </w:t>
      </w:r>
      <w:r w:rsidR="00B12CEF" w:rsidRPr="00B12CEF">
        <w:t>addressed though adjusting the latter years’ settings (2028</w:t>
      </w:r>
      <w:r w:rsidR="004D05A5">
        <w:t>–</w:t>
      </w:r>
      <w:r w:rsidR="00B12CEF" w:rsidRPr="00B12CEF">
        <w:t>2030)</w:t>
      </w:r>
      <w:r w:rsidR="00CF12AA">
        <w:t xml:space="preserve">. </w:t>
      </w:r>
    </w:p>
    <w:p w14:paraId="6A7F40C7" w14:textId="25F7C1AC" w:rsidR="006210AA" w:rsidRDefault="00BC139C" w:rsidP="00CF12AA">
      <w:r w:rsidRPr="00BC139C">
        <w:t xml:space="preserve">The </w:t>
      </w:r>
      <w:r w:rsidR="00234A85">
        <w:t>four</w:t>
      </w:r>
      <w:r w:rsidRPr="00BC139C">
        <w:t xml:space="preserve"> key reason</w:t>
      </w:r>
      <w:r w:rsidR="00FF7222">
        <w:t xml:space="preserve">s </w:t>
      </w:r>
      <w:r w:rsidR="00AD31D4">
        <w:t>supporting</w:t>
      </w:r>
      <w:r w:rsidRPr="00BC139C">
        <w:t xml:space="preserve"> this judgement </w:t>
      </w:r>
      <w:r w:rsidR="004C3C68">
        <w:t>are</w:t>
      </w:r>
      <w:r w:rsidR="00EE7FA1">
        <w:t xml:space="preserve"> that</w:t>
      </w:r>
      <w:r w:rsidR="006210AA">
        <w:t>:</w:t>
      </w:r>
    </w:p>
    <w:p w14:paraId="24C9E666" w14:textId="2CB1B80D" w:rsidR="006210AA" w:rsidRDefault="000635DD" w:rsidP="00232492">
      <w:pPr>
        <w:pStyle w:val="BodyBullets"/>
      </w:pPr>
      <w:r>
        <w:t>A</w:t>
      </w:r>
      <w:r w:rsidR="0099069C">
        <w:t>uctioni</w:t>
      </w:r>
      <w:r w:rsidR="0057448D">
        <w:t>ng is a one</w:t>
      </w:r>
      <w:r w:rsidR="000F640E">
        <w:t>-</w:t>
      </w:r>
      <w:r w:rsidR="0057448D">
        <w:t xml:space="preserve">sided tool – it can add more units </w:t>
      </w:r>
      <w:r w:rsidR="00BC139C" w:rsidRPr="00BC139C">
        <w:t xml:space="preserve">to the </w:t>
      </w:r>
      <w:r w:rsidR="00633E9D">
        <w:t>market</w:t>
      </w:r>
      <w:r w:rsidR="0021269E">
        <w:t>,</w:t>
      </w:r>
      <w:r w:rsidR="00633E9D">
        <w:t xml:space="preserve"> </w:t>
      </w:r>
      <w:r w:rsidR="0057448D">
        <w:t>but it cannot claw them back</w:t>
      </w:r>
      <w:r w:rsidR="00633E9D">
        <w:t>.</w:t>
      </w:r>
      <w:r w:rsidR="00DB213A">
        <w:t xml:space="preserve"> </w:t>
      </w:r>
    </w:p>
    <w:p w14:paraId="513AD32B" w14:textId="77777777" w:rsidR="0093441D" w:rsidRDefault="0093441D" w:rsidP="00232492">
      <w:pPr>
        <w:pStyle w:val="BodyBullets"/>
      </w:pPr>
      <w:r>
        <w:lastRenderedPageBreak/>
        <w:t>There is significant uncertainty in our estimate of the surplus units. Auctioning the additional volume later in the settings period allows more time to adjust if new information shows that there are more surplus units than we expect.</w:t>
      </w:r>
    </w:p>
    <w:p w14:paraId="5F932000" w14:textId="0BE57355" w:rsidR="0051002C" w:rsidRDefault="000635DD" w:rsidP="00232492">
      <w:pPr>
        <w:pStyle w:val="BodyBullets"/>
      </w:pPr>
      <w:r>
        <w:t>T</w:t>
      </w:r>
      <w:r w:rsidR="00FC66D3">
        <w:t xml:space="preserve">he </w:t>
      </w:r>
      <w:r w:rsidR="00670407">
        <w:t xml:space="preserve">current </w:t>
      </w:r>
      <w:r w:rsidR="00D311EB">
        <w:t xml:space="preserve">spot price for NZUs </w:t>
      </w:r>
      <w:r w:rsidR="00670407">
        <w:t xml:space="preserve">is </w:t>
      </w:r>
      <w:r w:rsidR="00DE4002">
        <w:t xml:space="preserve">low </w:t>
      </w:r>
      <w:r w:rsidR="00AF3495">
        <w:t xml:space="preserve">and recent auctions have </w:t>
      </w:r>
      <w:r w:rsidR="009E7BC9">
        <w:t xml:space="preserve">either declined or only partially cleared, </w:t>
      </w:r>
      <w:r w:rsidR="00E77099">
        <w:t xml:space="preserve">indicating </w:t>
      </w:r>
      <w:r w:rsidR="00AC57BD">
        <w:t>that participants</w:t>
      </w:r>
      <w:r w:rsidR="00E77099">
        <w:t xml:space="preserve"> </w:t>
      </w:r>
      <w:r w:rsidR="00F66F00">
        <w:t xml:space="preserve">do not need more </w:t>
      </w:r>
      <w:r w:rsidR="00357223">
        <w:t xml:space="preserve">units </w:t>
      </w:r>
      <w:r w:rsidR="00DE6914">
        <w:t>above current</w:t>
      </w:r>
      <w:r w:rsidR="00F033F0">
        <w:t xml:space="preserve"> </w:t>
      </w:r>
      <w:r w:rsidR="00F66F00">
        <w:t>supply in the short term</w:t>
      </w:r>
      <w:r w:rsidR="00DE4002">
        <w:t>.</w:t>
      </w:r>
    </w:p>
    <w:p w14:paraId="696211DC" w14:textId="0C2699B7" w:rsidR="009E7BC9" w:rsidRDefault="00EF118B" w:rsidP="00232492">
      <w:pPr>
        <w:pStyle w:val="BodyBullets"/>
      </w:pPr>
      <w:r>
        <w:t>In our engagement, m</w:t>
      </w:r>
      <w:r w:rsidR="00670E30">
        <w:t xml:space="preserve">arket participants </w:t>
      </w:r>
      <w:r w:rsidR="00E50368">
        <w:t xml:space="preserve">have stressed </w:t>
      </w:r>
      <w:r w:rsidR="00CA007E">
        <w:t xml:space="preserve">that changes to </w:t>
      </w:r>
      <w:r w:rsidR="0091130D">
        <w:t xml:space="preserve">the first two </w:t>
      </w:r>
      <w:r w:rsidR="00CA007E">
        <w:t xml:space="preserve">years are </w:t>
      </w:r>
      <w:r w:rsidR="00D744CB">
        <w:t>very disruptive for the</w:t>
      </w:r>
      <w:r>
        <w:t xml:space="preserve">ir commercial </w:t>
      </w:r>
      <w:r w:rsidR="00105FDF">
        <w:t xml:space="preserve">arrangements </w:t>
      </w:r>
      <w:r w:rsidR="00D744CB">
        <w:t xml:space="preserve">so should be avoided if at all possible. </w:t>
      </w:r>
      <w:r w:rsidR="00CA007E">
        <w:t xml:space="preserve"> </w:t>
      </w:r>
    </w:p>
    <w:p w14:paraId="73D0D71C" w14:textId="3C3C748B" w:rsidR="00BC139C" w:rsidRDefault="00BC139C" w:rsidP="00CF12AA">
      <w:r w:rsidRPr="00BC139C">
        <w:t>The auctioning of units is a one-sided mechanism in terms of its market influence</w:t>
      </w:r>
      <w:r w:rsidR="00E04F20">
        <w:t>. I</w:t>
      </w:r>
      <w:r w:rsidRPr="00BC139C">
        <w:t>f too few units are auctioned, it is possible to make up for that by auctioning more units later</w:t>
      </w:r>
      <w:r w:rsidR="006909A1">
        <w:t>.</w:t>
      </w:r>
      <w:r w:rsidR="00E04F20">
        <w:t xml:space="preserve"> </w:t>
      </w:r>
      <w:r w:rsidR="001C6FE4">
        <w:t>H</w:t>
      </w:r>
      <w:r w:rsidRPr="00BC139C">
        <w:t>owever</w:t>
      </w:r>
      <w:r w:rsidR="009F7422">
        <w:t>,</w:t>
      </w:r>
      <w:r w:rsidRPr="00BC139C">
        <w:t xml:space="preserve"> if too many are auctioned, they cannot be removed from the market other than by reducing future auction volumes. This becomes more challenging as the NZ ETS emissions cap declines over time, as there is less and less auction volume that can be reduced.</w:t>
      </w:r>
    </w:p>
    <w:p w14:paraId="21ED68FF" w14:textId="4D35254B" w:rsidR="002C3D2B" w:rsidRDefault="00E252BC" w:rsidP="00CF12AA">
      <w:r w:rsidRPr="00A31EAB">
        <w:t xml:space="preserve">There is </w:t>
      </w:r>
      <w:r w:rsidR="00B04FDC">
        <w:t xml:space="preserve">also </w:t>
      </w:r>
      <w:r w:rsidRPr="00A31EAB">
        <w:t>significant uncertainty in our estimate of the surplus of units. If the surplus is towards the larger end of our uncertainty range, then adding more auction volumes is likely to allow higher emissions than emissions budgets.</w:t>
      </w:r>
    </w:p>
    <w:p w14:paraId="67F24F41" w14:textId="0F1D32EA" w:rsidR="009D6AB6" w:rsidRDefault="00116DCF" w:rsidP="00CF12AA">
      <w:r>
        <w:t xml:space="preserve">At the time of writing, </w:t>
      </w:r>
      <w:r w:rsidR="00340F92">
        <w:t>secondary market spot NZU</w:t>
      </w:r>
      <w:r>
        <w:t xml:space="preserve"> prices </w:t>
      </w:r>
      <w:r w:rsidR="0098127F">
        <w:t xml:space="preserve">sit below the </w:t>
      </w:r>
      <w:r w:rsidR="00DE0B6E">
        <w:t>auction reserve price</w:t>
      </w:r>
      <w:r w:rsidR="00ED4CA7">
        <w:t xml:space="preserve">, and </w:t>
      </w:r>
      <w:r w:rsidR="00295D9E">
        <w:t>recent auctions have either declined or only partially cleared</w:t>
      </w:r>
      <w:r w:rsidR="003D5AC7">
        <w:t>.</w:t>
      </w:r>
      <w:r w:rsidR="00394BBD">
        <w:t xml:space="preserve"> </w:t>
      </w:r>
      <w:r w:rsidR="00844CB6">
        <w:t>This shows that parti</w:t>
      </w:r>
      <w:r w:rsidR="000363E6">
        <w:t xml:space="preserve">cipants </w:t>
      </w:r>
      <w:r w:rsidR="00A457A4">
        <w:t xml:space="preserve">likely </w:t>
      </w:r>
      <w:r w:rsidR="00642BF7">
        <w:t xml:space="preserve">see the unit supply </w:t>
      </w:r>
      <w:r w:rsidR="00EF0DB5">
        <w:t xml:space="preserve">provided for by the current unit limit settings </w:t>
      </w:r>
      <w:r w:rsidR="006C5D23">
        <w:t>(</w:t>
      </w:r>
      <w:r w:rsidR="00EF0DB5">
        <w:t xml:space="preserve">as </w:t>
      </w:r>
      <w:r w:rsidR="006745E7">
        <w:t>well as from forestry</w:t>
      </w:r>
      <w:r w:rsidR="006C5D23">
        <w:t>)</w:t>
      </w:r>
      <w:r w:rsidR="006745E7">
        <w:t xml:space="preserve"> </w:t>
      </w:r>
      <w:r w:rsidR="00EF0DB5">
        <w:t xml:space="preserve">as sufficient for their </w:t>
      </w:r>
      <w:r w:rsidR="00A457A4">
        <w:t xml:space="preserve">needs </w:t>
      </w:r>
      <w:r w:rsidR="00CB36B0">
        <w:t xml:space="preserve">in </w:t>
      </w:r>
      <w:r w:rsidR="00A457A4">
        <w:t>the short</w:t>
      </w:r>
      <w:r w:rsidR="00C67E74">
        <w:t xml:space="preserve"> </w:t>
      </w:r>
      <w:r w:rsidR="00A457A4">
        <w:t xml:space="preserve">term. </w:t>
      </w:r>
      <w:r w:rsidR="00CB7B08">
        <w:t xml:space="preserve">Making the increase in auction volume </w:t>
      </w:r>
      <w:r w:rsidR="00E32B10">
        <w:t xml:space="preserve">available </w:t>
      </w:r>
      <w:r w:rsidR="00FF655A">
        <w:t xml:space="preserve">from </w:t>
      </w:r>
      <w:r w:rsidR="00AA3E4B">
        <w:t xml:space="preserve">2028 </w:t>
      </w:r>
      <w:r w:rsidR="005866D7">
        <w:t xml:space="preserve">gives more time to see </w:t>
      </w:r>
      <w:r w:rsidR="00E21973">
        <w:t xml:space="preserve">how the market develops and adjust if necessary. </w:t>
      </w:r>
    </w:p>
    <w:p w14:paraId="2D973B50" w14:textId="7326C032" w:rsidR="001D09A4" w:rsidRDefault="00725CAD" w:rsidP="00CF12AA">
      <w:r>
        <w:t xml:space="preserve">Market participants have also </w:t>
      </w:r>
      <w:r w:rsidR="00024175">
        <w:t xml:space="preserve">emphasised to us </w:t>
      </w:r>
      <w:r w:rsidR="005A6857">
        <w:t xml:space="preserve">that </w:t>
      </w:r>
      <w:r w:rsidR="00A94E3A">
        <w:t>changes to these two years d</w:t>
      </w:r>
      <w:r w:rsidR="00041D4F">
        <w:t xml:space="preserve">isrupt their commercial arrangements and are very destabilising for them. </w:t>
      </w:r>
      <w:r w:rsidR="00087170">
        <w:t>As there is a suitable option available to distribute the additional auction volume over 2028</w:t>
      </w:r>
      <w:r w:rsidR="00CA0962" w:rsidRPr="00647E27">
        <w:rPr>
          <w:i/>
          <w:iCs/>
        </w:rPr>
        <w:t>–</w:t>
      </w:r>
      <w:r w:rsidR="00087170">
        <w:t xml:space="preserve">2030, we consider it neither justified nor desirable to </w:t>
      </w:r>
      <w:r w:rsidR="00283FDC">
        <w:t>recommend amendments to the first two years of the settings.</w:t>
      </w:r>
      <w:r w:rsidR="00087170">
        <w:t xml:space="preserve"> </w:t>
      </w:r>
      <w:r w:rsidR="00EA1565">
        <w:t xml:space="preserve"> </w:t>
      </w:r>
    </w:p>
    <w:p w14:paraId="51671466" w14:textId="535AF8EB" w:rsidR="00E711A1" w:rsidRDefault="00037937" w:rsidP="00CF12AA">
      <w:r>
        <w:t xml:space="preserve">Since we do not propose changes to </w:t>
      </w:r>
      <w:r w:rsidR="002E7B57" w:rsidRPr="002E7B57">
        <w:t>the unit limits for 2026</w:t>
      </w:r>
      <w:r w:rsidR="004D05A5">
        <w:t>–</w:t>
      </w:r>
      <w:r w:rsidR="002E7B57" w:rsidRPr="002E7B57">
        <w:t xml:space="preserve">2027, </w:t>
      </w:r>
      <w:r w:rsidR="00881BCC">
        <w:t>we propose</w:t>
      </w:r>
      <w:r w:rsidR="002E7B57" w:rsidRPr="002E7B57">
        <w:t xml:space="preserve"> the use of a discrepancy adjustment to be applied to 2028</w:t>
      </w:r>
      <w:r w:rsidR="00905CF4" w:rsidRPr="000A1433">
        <w:t>–</w:t>
      </w:r>
      <w:r w:rsidR="002E7B57" w:rsidRPr="002E7B57">
        <w:t xml:space="preserve">2030. This accounts for the volume changes that otherwise would have been implemented to those first two years, as well as any discrepancies between regulations and our updated </w:t>
      </w:r>
      <w:r w:rsidR="000C378E">
        <w:t>estimate</w:t>
      </w:r>
      <w:r w:rsidR="007220C0">
        <w:t xml:space="preserve">s of </w:t>
      </w:r>
      <w:r w:rsidR="002133ED">
        <w:t>unit requirements in 2025</w:t>
      </w:r>
      <w:r w:rsidR="002E7B57" w:rsidRPr="002E7B57">
        <w:t xml:space="preserve">.  </w:t>
      </w:r>
    </w:p>
    <w:p w14:paraId="2BCDAB37" w14:textId="4C36D670" w:rsidR="00E81A00" w:rsidRDefault="00F37411" w:rsidP="00CF12AA">
      <w:r>
        <w:t>The</w:t>
      </w:r>
      <w:r w:rsidR="00E81A00" w:rsidRPr="00E81A00">
        <w:t xml:space="preserve"> discrepancy adjustment has been calculated for the 2025</w:t>
      </w:r>
      <w:r w:rsidR="00070192" w:rsidRPr="000A1433">
        <w:t>–</w:t>
      </w:r>
      <w:r w:rsidR="00E81A00" w:rsidRPr="00E81A00">
        <w:t>2027 period</w:t>
      </w:r>
      <w:r>
        <w:t xml:space="preserve"> and sums to </w:t>
      </w:r>
      <w:r w:rsidR="00ED680C">
        <w:br/>
      </w:r>
      <w:r>
        <w:t>4.4 million units.</w:t>
      </w:r>
      <w:r w:rsidR="00E81A00" w:rsidRPr="00E81A00">
        <w:t xml:space="preserve"> This </w:t>
      </w:r>
      <w:r>
        <w:t>reflects</w:t>
      </w:r>
      <w:r w:rsidR="00E81A00" w:rsidRPr="00E81A00">
        <w:t xml:space="preserve"> the differences in the NZ ETS emissions cap, industrial </w:t>
      </w:r>
      <w:r w:rsidR="00B92EE9">
        <w:t>free</w:t>
      </w:r>
      <w:r w:rsidR="00B92EE9" w:rsidRPr="00E81A00">
        <w:t xml:space="preserve"> </w:t>
      </w:r>
      <w:r w:rsidR="00E81A00" w:rsidRPr="00E81A00">
        <w:t xml:space="preserve">allocation forecasts and </w:t>
      </w:r>
      <w:r>
        <w:t>removal of</w:t>
      </w:r>
      <w:r w:rsidR="0006383B">
        <w:t xml:space="preserve"> the </w:t>
      </w:r>
      <w:r w:rsidR="00E81A00" w:rsidRPr="00E81A00">
        <w:t>technical adjustment</w:t>
      </w:r>
      <w:r w:rsidR="0006383B">
        <w:t>.</w:t>
      </w:r>
      <w:r w:rsidR="00E81A00" w:rsidRPr="00E81A00">
        <w:t xml:space="preserve"> This volume is </w:t>
      </w:r>
      <w:r w:rsidR="00921FC3">
        <w:t>divided</w:t>
      </w:r>
      <w:r w:rsidR="00E81A00" w:rsidRPr="00E81A00">
        <w:t xml:space="preserve"> </w:t>
      </w:r>
      <w:r w:rsidR="00553E24">
        <w:t xml:space="preserve">and </w:t>
      </w:r>
      <w:r w:rsidR="00E81A00" w:rsidRPr="00E81A00">
        <w:t xml:space="preserve">added </w:t>
      </w:r>
      <w:r w:rsidR="00553E24">
        <w:t>to</w:t>
      </w:r>
      <w:r w:rsidR="00E81A00" w:rsidRPr="00E81A00">
        <w:t xml:space="preserve"> the </w:t>
      </w:r>
      <w:r w:rsidR="002966FC">
        <w:t xml:space="preserve">calculated </w:t>
      </w:r>
      <w:r w:rsidR="00E81A00" w:rsidRPr="00E81A00">
        <w:t>auction volumes for 2028</w:t>
      </w:r>
      <w:r w:rsidR="00905CF4" w:rsidRPr="000A1433">
        <w:t>–</w:t>
      </w:r>
      <w:r w:rsidR="00E81A00" w:rsidRPr="00E81A00">
        <w:t>2030.</w:t>
      </w:r>
    </w:p>
    <w:p w14:paraId="6D3BD9ED" w14:textId="77777777" w:rsidR="00061E7B" w:rsidRPr="00A2012F" w:rsidRDefault="006A78B4" w:rsidP="005B156E">
      <w:pPr>
        <w:pStyle w:val="Heading2nonumber"/>
      </w:pPr>
      <w:bookmarkStart w:id="33" w:name="_Toc195447240"/>
      <w:r>
        <w:t xml:space="preserve">Step 6: </w:t>
      </w:r>
      <w:r w:rsidR="00061E7B" w:rsidRPr="00A2012F">
        <w:t>Set the approved overseas unit limit</w:t>
      </w:r>
      <w:bookmarkEnd w:id="33"/>
    </w:p>
    <w:p w14:paraId="4897005A" w14:textId="65244400" w:rsidR="00335EEF" w:rsidRDefault="00335EEF" w:rsidP="00061E7B">
      <w:r w:rsidRPr="00335EEF">
        <w:t xml:space="preserve">As discussed in </w:t>
      </w:r>
      <w:r w:rsidR="009E4544" w:rsidRPr="008659E5">
        <w:rPr>
          <w:i/>
        </w:rPr>
        <w:t>Part 2</w:t>
      </w:r>
      <w:r w:rsidR="009E4544">
        <w:rPr>
          <w:i/>
          <w:iCs/>
        </w:rPr>
        <w:t xml:space="preserve">: Te hanga me te </w:t>
      </w:r>
      <w:r w:rsidR="001D0995">
        <w:rPr>
          <w:i/>
          <w:iCs/>
        </w:rPr>
        <w:t>h</w:t>
      </w:r>
      <w:r w:rsidR="009E4544">
        <w:rPr>
          <w:i/>
          <w:iCs/>
        </w:rPr>
        <w:t>aepapa o NZ ETS</w:t>
      </w:r>
      <w:r w:rsidR="009E4544" w:rsidRPr="00F041B6">
        <w:rPr>
          <w:i/>
          <w:iCs/>
        </w:rPr>
        <w:t xml:space="preserve"> </w:t>
      </w:r>
      <w:r w:rsidR="009E4544" w:rsidRPr="005B156E">
        <w:rPr>
          <w:i/>
        </w:rPr>
        <w:t>– Current state and role of the NZ ETS</w:t>
      </w:r>
      <w:r w:rsidR="009E4544" w:rsidRPr="005B156E">
        <w:t xml:space="preserve"> </w:t>
      </w:r>
      <w:r w:rsidR="005A1501" w:rsidRPr="005B156E">
        <w:t xml:space="preserve">of this </w:t>
      </w:r>
      <w:r w:rsidR="005A1501">
        <w:t>advice,</w:t>
      </w:r>
      <w:r w:rsidRPr="00335EEF">
        <w:t xml:space="preserve"> and </w:t>
      </w:r>
      <w:r w:rsidR="00852624">
        <w:t>in</w:t>
      </w:r>
      <w:r w:rsidRPr="00335EEF">
        <w:t xml:space="preserve"> </w:t>
      </w:r>
      <w:r w:rsidR="002F045C">
        <w:t>s</w:t>
      </w:r>
      <w:r w:rsidRPr="00335EEF">
        <w:t xml:space="preserve">tep 1 of this chapter, there are no overseas units approved for use </w:t>
      </w:r>
      <w:r w:rsidRPr="00335EEF">
        <w:lastRenderedPageBreak/>
        <w:t xml:space="preserve">in the NZ ETS. </w:t>
      </w:r>
      <w:r w:rsidR="00620430">
        <w:t>T</w:t>
      </w:r>
      <w:r w:rsidRPr="00335EEF">
        <w:t xml:space="preserve">he Government </w:t>
      </w:r>
      <w:r w:rsidR="00620430">
        <w:t xml:space="preserve">has yet to provide clarity </w:t>
      </w:r>
      <w:r w:rsidRPr="00335EEF">
        <w:t xml:space="preserve">on if and when </w:t>
      </w:r>
      <w:r w:rsidR="00620430">
        <w:t>overseas units</w:t>
      </w:r>
      <w:r w:rsidR="00620430" w:rsidRPr="00335EEF">
        <w:t xml:space="preserve"> </w:t>
      </w:r>
      <w:r w:rsidRPr="00335EEF">
        <w:t>might be available</w:t>
      </w:r>
      <w:r w:rsidR="00620430">
        <w:t>,</w:t>
      </w:r>
      <w:r w:rsidRPr="00335EEF">
        <w:t xml:space="preserve"> and </w:t>
      </w:r>
      <w:r w:rsidR="00620430">
        <w:t xml:space="preserve">Government </w:t>
      </w:r>
      <w:r w:rsidRPr="00335EEF">
        <w:t xml:space="preserve">decisions on the role of the NZ ETS in the delivery of offshore mitigation are still pending as it develops a plan for meeting the </w:t>
      </w:r>
      <w:r w:rsidR="00FF4291">
        <w:t>first</w:t>
      </w:r>
      <w:r w:rsidRPr="00335EEF">
        <w:t xml:space="preserve"> NDC.</w:t>
      </w:r>
    </w:p>
    <w:p w14:paraId="6D295F21" w14:textId="77777777" w:rsidR="00335EEF" w:rsidRDefault="00335EEF" w:rsidP="005B156E">
      <w:pPr>
        <w:pStyle w:val="Heading3"/>
      </w:pPr>
      <w:r>
        <w:t>Analysis and findings</w:t>
      </w:r>
    </w:p>
    <w:p w14:paraId="331A7523" w14:textId="65EF4279" w:rsidR="003C75FB" w:rsidRDefault="003C75FB" w:rsidP="003C75FB">
      <w:r w:rsidRPr="003C75FB">
        <w:t xml:space="preserve">Due to the absence of approved overseas units at this time, we recommend retaining the status quo approach of setting the limit on approved overseas units at zero. This is explained in more detail in </w:t>
      </w:r>
      <w:r w:rsidR="00F35050">
        <w:t>s</w:t>
      </w:r>
      <w:r w:rsidRPr="003C75FB">
        <w:t>teps 1 and 6 of our NZ ETS settings advice from 2022 and 2023.</w:t>
      </w:r>
    </w:p>
    <w:p w14:paraId="7B07EF49" w14:textId="6105FD17" w:rsidR="003C75FB" w:rsidRDefault="003C75FB" w:rsidP="005B156E">
      <w:pPr>
        <w:pStyle w:val="Heading2nonumber"/>
      </w:pPr>
      <w:bookmarkStart w:id="34" w:name="_Toc195447241"/>
      <w:r>
        <w:t>Step 7: Calculate the auction volume and assess risks</w:t>
      </w:r>
      <w:bookmarkEnd w:id="34"/>
    </w:p>
    <w:p w14:paraId="3537F1EA" w14:textId="3F7B5773" w:rsidR="000C23C4" w:rsidRDefault="000C23C4" w:rsidP="000C23C4">
      <w:r>
        <w:t xml:space="preserve">This final step uses the outcomes of the previous </w:t>
      </w:r>
      <w:r w:rsidR="007F3218">
        <w:t xml:space="preserve">six </w:t>
      </w:r>
      <w:r>
        <w:t>steps to identify the proposed annual auction volumes for the 2026</w:t>
      </w:r>
      <w:r w:rsidR="004D05A5">
        <w:t>–</w:t>
      </w:r>
      <w:r>
        <w:t xml:space="preserve">2030 period. These proposed annual auction volumes are a significant part of what informs the Commission’s final recommendation for the limit on NZUs available by auction and the overall unit limit.   </w:t>
      </w:r>
    </w:p>
    <w:p w14:paraId="068CF3E5" w14:textId="1FCC37E3" w:rsidR="000C23C4" w:rsidRDefault="000C23C4" w:rsidP="000C23C4">
      <w:r w:rsidRPr="00BE29FF">
        <w:t>This step also involves assessing the sensitivity and risks associated with these volumes, to provide information about which judgements or uncertainties have the most impact on final auction volumes now</w:t>
      </w:r>
      <w:r w:rsidR="00020652">
        <w:t>,</w:t>
      </w:r>
      <w:r w:rsidRPr="00BE29FF">
        <w:t xml:space="preserve"> or could cause auction volumes to be revised in future iterations of the NZ ETS settings advice.</w:t>
      </w:r>
    </w:p>
    <w:p w14:paraId="484531AC" w14:textId="77777777" w:rsidR="00FA236F" w:rsidRDefault="000C23C4" w:rsidP="005B156E">
      <w:pPr>
        <w:pStyle w:val="Heading3"/>
      </w:pPr>
      <w:r>
        <w:t>Analysis and findings</w:t>
      </w:r>
    </w:p>
    <w:p w14:paraId="09A84E83" w14:textId="3959F091" w:rsidR="008750DF" w:rsidRPr="00486BEC" w:rsidRDefault="009D2674" w:rsidP="008750DF">
      <w:pPr>
        <w:rPr>
          <w:i/>
          <w:iCs/>
        </w:rPr>
      </w:pPr>
      <w:r w:rsidRPr="005B156E">
        <w:t>Our</w:t>
      </w:r>
      <w:r w:rsidR="008750DF" w:rsidRPr="005B156E">
        <w:t xml:space="preserve"> final unit limit recommendations as required under the Act, including additional CCR volumes, are summarised in </w:t>
      </w:r>
      <w:r w:rsidR="008750DF" w:rsidRPr="00486BEC">
        <w:rPr>
          <w:i/>
          <w:iCs/>
        </w:rPr>
        <w:t xml:space="preserve">Part 5: </w:t>
      </w:r>
      <w:r w:rsidR="00F777F7">
        <w:rPr>
          <w:i/>
          <w:iCs/>
        </w:rPr>
        <w:t xml:space="preserve">Te Taupoki </w:t>
      </w:r>
      <w:r w:rsidR="00F777F7" w:rsidRPr="00647E27">
        <w:rPr>
          <w:i/>
          <w:iCs/>
        </w:rPr>
        <w:t>–</w:t>
      </w:r>
      <w:r w:rsidR="00F777F7">
        <w:rPr>
          <w:i/>
          <w:iCs/>
        </w:rPr>
        <w:t xml:space="preserve"> </w:t>
      </w:r>
      <w:r w:rsidR="008750DF" w:rsidRPr="00486BEC">
        <w:rPr>
          <w:i/>
          <w:iCs/>
        </w:rPr>
        <w:t xml:space="preserve">Final </w:t>
      </w:r>
      <w:r w:rsidR="00F777F7">
        <w:rPr>
          <w:i/>
          <w:iCs/>
        </w:rPr>
        <w:t>r</w:t>
      </w:r>
      <w:r w:rsidR="00F777F7" w:rsidRPr="00486BEC">
        <w:rPr>
          <w:i/>
          <w:iCs/>
        </w:rPr>
        <w:t>ecommendations</w:t>
      </w:r>
      <w:r w:rsidR="008750DF" w:rsidRPr="00486BEC">
        <w:rPr>
          <w:i/>
          <w:iCs/>
        </w:rPr>
        <w:t xml:space="preserve">.  </w:t>
      </w:r>
    </w:p>
    <w:p w14:paraId="7C01C53A" w14:textId="2603B85D" w:rsidR="00E97A4E" w:rsidRDefault="0071459A" w:rsidP="00A87577">
      <w:pPr>
        <w:pStyle w:val="Heading4"/>
      </w:pPr>
      <w:r>
        <w:t>S</w:t>
      </w:r>
      <w:r w:rsidR="004C3922">
        <w:t>t</w:t>
      </w:r>
      <w:r>
        <w:t>ep 7a</w:t>
      </w:r>
      <w:r w:rsidR="004C3922">
        <w:t>: Set base auction volumes</w:t>
      </w:r>
    </w:p>
    <w:p w14:paraId="3837A3B3" w14:textId="000EFA10" w:rsidR="00E15B97" w:rsidRDefault="00B02B56" w:rsidP="008750DF">
      <w:r>
        <w:t xml:space="preserve">The </w:t>
      </w:r>
      <w:r w:rsidR="0030484B">
        <w:t>updated auction volume calculations</w:t>
      </w:r>
      <w:r w:rsidR="00743081">
        <w:t xml:space="preserve">, </w:t>
      </w:r>
      <w:r w:rsidR="001A43C4">
        <w:t xml:space="preserve">based on the NZ ETS </w:t>
      </w:r>
      <w:r w:rsidR="007952C2">
        <w:t xml:space="preserve">emissions </w:t>
      </w:r>
      <w:r w:rsidR="001A43C4">
        <w:t xml:space="preserve">cap and </w:t>
      </w:r>
      <w:r w:rsidR="00901593">
        <w:t xml:space="preserve">subtracting from it </w:t>
      </w:r>
      <w:r w:rsidR="001606FE">
        <w:t>the volumes</w:t>
      </w:r>
      <w:r w:rsidR="00266104">
        <w:t xml:space="preserve"> </w:t>
      </w:r>
      <w:r w:rsidR="00FC7EF6">
        <w:t xml:space="preserve">from </w:t>
      </w:r>
      <w:r w:rsidR="00266104">
        <w:t>steps 3</w:t>
      </w:r>
      <w:r w:rsidR="00F777F7" w:rsidRPr="00647E27">
        <w:rPr>
          <w:i/>
          <w:iCs/>
        </w:rPr>
        <w:t>–</w:t>
      </w:r>
      <w:r w:rsidR="00266104">
        <w:t>5,</w:t>
      </w:r>
      <w:r w:rsidR="00743081">
        <w:t xml:space="preserve"> result in </w:t>
      </w:r>
      <w:r w:rsidR="001D105F">
        <w:t>30.5m</w:t>
      </w:r>
      <w:r w:rsidR="00C145DC">
        <w:t xml:space="preserve"> units being </w:t>
      </w:r>
      <w:r w:rsidR="00914A09">
        <w:t>available</w:t>
      </w:r>
      <w:r w:rsidR="00C145DC">
        <w:t xml:space="preserve"> to be auctioned over 2026-2030</w:t>
      </w:r>
      <w:r w:rsidR="00906C8C">
        <w:t>, 1</w:t>
      </w:r>
      <w:r w:rsidR="003036D9">
        <w:t>3.6</w:t>
      </w:r>
      <w:r w:rsidR="00906C8C">
        <w:t>m more</w:t>
      </w:r>
      <w:r w:rsidR="00C145DC">
        <w:t xml:space="preserve"> than </w:t>
      </w:r>
      <w:r w:rsidR="00382802">
        <w:t>current regulat</w:t>
      </w:r>
      <w:r w:rsidR="006D0E04">
        <w:t>ions have set</w:t>
      </w:r>
      <w:r w:rsidR="006F33A5">
        <w:t xml:space="preserve">. </w:t>
      </w:r>
    </w:p>
    <w:p w14:paraId="6F893F04" w14:textId="444115AD" w:rsidR="00E15B97" w:rsidRDefault="00C83B65" w:rsidP="008750DF">
      <w:r>
        <w:t xml:space="preserve">In summary, the factors contributing to the increased </w:t>
      </w:r>
      <w:r w:rsidR="0053450D">
        <w:t xml:space="preserve">available </w:t>
      </w:r>
      <w:r>
        <w:t xml:space="preserve">auction </w:t>
      </w:r>
      <w:r w:rsidR="0053450D">
        <w:t>volume are:</w:t>
      </w:r>
      <w:r w:rsidR="00475F4F">
        <w:rPr>
          <w:rStyle w:val="FootnoteReference"/>
        </w:rPr>
        <w:footnoteReference w:id="26"/>
      </w:r>
      <w:r w:rsidR="0053450D">
        <w:t xml:space="preserve"> </w:t>
      </w:r>
    </w:p>
    <w:p w14:paraId="31089498" w14:textId="46621165" w:rsidR="00E15B97" w:rsidRDefault="00F76263" w:rsidP="00A87577">
      <w:pPr>
        <w:pStyle w:val="BodyBullets"/>
      </w:pPr>
      <w:r>
        <w:t xml:space="preserve">2024 auctions </w:t>
      </w:r>
      <w:r w:rsidR="007A4698">
        <w:t xml:space="preserve">not selling all units available </w:t>
      </w:r>
      <w:r w:rsidR="00304842">
        <w:t>(+7.1m)</w:t>
      </w:r>
    </w:p>
    <w:p w14:paraId="1A843B25" w14:textId="5BC05AE5" w:rsidR="007A4698" w:rsidRDefault="00304842" w:rsidP="00E0397C">
      <w:pPr>
        <w:pStyle w:val="BodyBullets"/>
      </w:pPr>
      <w:r>
        <w:t>L</w:t>
      </w:r>
      <w:r w:rsidR="005C26FA">
        <w:t xml:space="preserve">ower forecasts of industrial allocation </w:t>
      </w:r>
      <w:r>
        <w:t>(</w:t>
      </w:r>
      <w:r w:rsidR="00B73DDF">
        <w:t>+4.4m)</w:t>
      </w:r>
    </w:p>
    <w:p w14:paraId="62AB1896" w14:textId="2C4391A4" w:rsidR="009262D8" w:rsidRDefault="007475C5" w:rsidP="00E0397C">
      <w:pPr>
        <w:pStyle w:val="BodyBullets"/>
      </w:pPr>
      <w:r>
        <w:t>r</w:t>
      </w:r>
      <w:r w:rsidR="004B4254">
        <w:t xml:space="preserve">emoval of </w:t>
      </w:r>
      <w:r w:rsidR="00887431">
        <w:t>a technical adjustment for liquid fossil fuels</w:t>
      </w:r>
      <w:r w:rsidR="00F55C97">
        <w:t xml:space="preserve"> (+3.4m)</w:t>
      </w:r>
    </w:p>
    <w:p w14:paraId="4471B213" w14:textId="0951A385" w:rsidR="009272A0" w:rsidRDefault="009272A0" w:rsidP="00D43055">
      <w:pPr>
        <w:pStyle w:val="BodyBullets"/>
        <w:spacing w:before="0"/>
        <w:ind w:left="714" w:hanging="357"/>
      </w:pPr>
      <w:r>
        <w:t xml:space="preserve">an adjustment for methodological and data updates that cannot be made to 2025 settings </w:t>
      </w:r>
      <w:r w:rsidR="00F66306">
        <w:t>(</w:t>
      </w:r>
      <w:r w:rsidR="00983D79">
        <w:t>+3.1m)</w:t>
      </w:r>
    </w:p>
    <w:p w14:paraId="7FC00C7E" w14:textId="717D2F14" w:rsidR="0019686F" w:rsidRDefault="004404A7" w:rsidP="00E0397C">
      <w:pPr>
        <w:pStyle w:val="BodyBullets"/>
      </w:pPr>
      <w:r>
        <w:t xml:space="preserve">updated data and </w:t>
      </w:r>
      <w:r w:rsidR="007475C5">
        <w:t>c</w:t>
      </w:r>
      <w:r w:rsidR="0019686F">
        <w:t xml:space="preserve">hanges to our methodology to estimate the unit surplus </w:t>
      </w:r>
      <w:r w:rsidR="008746C3">
        <w:t>(+2.4m</w:t>
      </w:r>
      <w:r w:rsidR="002E2601">
        <w:rPr>
          <w:rStyle w:val="FootnoteReference"/>
        </w:rPr>
        <w:footnoteReference w:id="27"/>
      </w:r>
      <w:r w:rsidR="008746C3">
        <w:t>)</w:t>
      </w:r>
      <w:r w:rsidR="008D7B9C">
        <w:t>.</w:t>
      </w:r>
    </w:p>
    <w:p w14:paraId="5CBDFBC6" w14:textId="371BCAB7" w:rsidR="00800A7E" w:rsidRDefault="00FB4929" w:rsidP="00FB4929">
      <w:r>
        <w:lastRenderedPageBreak/>
        <w:t xml:space="preserve">These factors are </w:t>
      </w:r>
      <w:r w:rsidR="007475C5">
        <w:t>p</w:t>
      </w:r>
      <w:r w:rsidR="00CD741D">
        <w:t xml:space="preserve">artially balanced out by </w:t>
      </w:r>
      <w:r w:rsidR="00C422D5">
        <w:t>the provisional</w:t>
      </w:r>
      <w:r w:rsidR="00DE61A9">
        <w:t xml:space="preserve"> </w:t>
      </w:r>
      <w:r w:rsidR="00767124">
        <w:t>NZ ETS cap</w:t>
      </w:r>
      <w:r w:rsidR="00A05391">
        <w:t xml:space="preserve"> </w:t>
      </w:r>
      <w:r w:rsidR="000B3777">
        <w:t>being lower th</w:t>
      </w:r>
      <w:r w:rsidR="00814E77">
        <w:t xml:space="preserve">an the </w:t>
      </w:r>
      <w:r w:rsidR="00A136D6">
        <w:t>previous emissions cap</w:t>
      </w:r>
      <w:r w:rsidR="002F35EE">
        <w:t xml:space="preserve"> (-6.7m)</w:t>
      </w:r>
      <w:r w:rsidR="00A136D6">
        <w:t>.</w:t>
      </w:r>
      <w:r w:rsidR="00A05391">
        <w:t xml:space="preserve"> </w:t>
      </w:r>
    </w:p>
    <w:p w14:paraId="4B6C8B37" w14:textId="03EA1DA3" w:rsidR="006F6151" w:rsidRDefault="004C3922" w:rsidP="00A87577">
      <w:pPr>
        <w:pStyle w:val="Heading4"/>
      </w:pPr>
      <w:r>
        <w:t>Step 7b:</w:t>
      </w:r>
      <w:r w:rsidR="00F27F74">
        <w:t xml:space="preserve"> </w:t>
      </w:r>
      <w:r w:rsidR="00EF1457">
        <w:t xml:space="preserve">Final auction volumes </w:t>
      </w:r>
      <w:r w:rsidR="00AE36D2" w:rsidRPr="00647E27">
        <w:rPr>
          <w:i/>
          <w:iCs/>
        </w:rPr>
        <w:t>–</w:t>
      </w:r>
      <w:r w:rsidR="00700D37">
        <w:t xml:space="preserve"> d</w:t>
      </w:r>
      <w:r w:rsidR="006F6151">
        <w:t>istributing the auction volume over 2028</w:t>
      </w:r>
      <w:r w:rsidR="343EB335" w:rsidRPr="12E598B1">
        <w:rPr>
          <w:rFonts w:eastAsia="Calibri" w:cs="Calibri"/>
        </w:rPr>
        <w:t>–</w:t>
      </w:r>
      <w:r w:rsidR="006F6151">
        <w:t>2030</w:t>
      </w:r>
      <w:r w:rsidR="006F6151" w:rsidRPr="00D205CC">
        <w:t xml:space="preserve"> </w:t>
      </w:r>
    </w:p>
    <w:p w14:paraId="7F588881" w14:textId="19A8A098" w:rsidR="006F33A5" w:rsidRDefault="00131213" w:rsidP="008750DF">
      <w:r>
        <w:t xml:space="preserve">Since we have concluded that </w:t>
      </w:r>
      <w:r w:rsidR="00CD1BEA">
        <w:t>circumstances do not justify changing the settings for 2026 and 2027 (step 5b)</w:t>
      </w:r>
      <w:r w:rsidR="00F03450">
        <w:t>,</w:t>
      </w:r>
      <w:r w:rsidR="00CD1BEA">
        <w:t xml:space="preserve"> </w:t>
      </w:r>
      <w:r w:rsidR="00F27F74">
        <w:t>the resulting changes in auction volume will be apportioned over</w:t>
      </w:r>
      <w:r w:rsidR="00700D37">
        <w:t xml:space="preserve"> 2028</w:t>
      </w:r>
      <w:r w:rsidR="597A1AF3" w:rsidRPr="12E598B1">
        <w:rPr>
          <w:rFonts w:eastAsia="Calibri" w:cs="Calibri"/>
        </w:rPr>
        <w:t>–</w:t>
      </w:r>
      <w:r w:rsidR="00700D37">
        <w:t>2030</w:t>
      </w:r>
      <w:r w:rsidR="00F45071">
        <w:t>.</w:t>
      </w:r>
      <w:r w:rsidR="00F27F74">
        <w:t xml:space="preserve"> </w:t>
      </w:r>
      <w:r w:rsidR="00082823" w:rsidRPr="00082823">
        <w:t>The increased auction volume could be distributed over 2028</w:t>
      </w:r>
      <w:r w:rsidR="00905CF4" w:rsidRPr="000A1433">
        <w:t>–</w:t>
      </w:r>
      <w:r w:rsidR="00082823" w:rsidRPr="00082823">
        <w:t>2030 in different ways.</w:t>
      </w:r>
    </w:p>
    <w:p w14:paraId="49C6F111" w14:textId="67BB2792" w:rsidR="00844C2D" w:rsidRPr="00291417" w:rsidRDefault="00A636C6" w:rsidP="00291417">
      <w:pPr>
        <w:pStyle w:val="FigureTabletitle"/>
        <w:rPr>
          <w:b w:val="0"/>
          <w:bCs w:val="0"/>
        </w:rPr>
      </w:pPr>
      <w:r w:rsidRPr="00DB6E49">
        <w:t>Figure 3</w:t>
      </w:r>
      <w:r w:rsidR="00291417">
        <w:t>.2</w:t>
      </w:r>
      <w:r w:rsidRPr="00DB6E49">
        <w:t xml:space="preserve">: </w:t>
      </w:r>
      <w:r w:rsidRPr="00291417">
        <w:rPr>
          <w:b w:val="0"/>
          <w:bCs w:val="0"/>
        </w:rPr>
        <w:t>Current auction volumes compared to Option 1 and Option 2</w:t>
      </w:r>
    </w:p>
    <w:p w14:paraId="4DE01942" w14:textId="2C440D82" w:rsidR="00A636C6" w:rsidRDefault="00E32E40" w:rsidP="00844C2D">
      <w:pPr>
        <w:spacing w:after="0"/>
        <w:rPr>
          <w:sz w:val="20"/>
          <w:szCs w:val="20"/>
        </w:rPr>
      </w:pPr>
      <w:r w:rsidRPr="00E32E40">
        <w:rPr>
          <w:noProof/>
        </w:rPr>
        <w:drawing>
          <wp:inline distT="0" distB="0" distL="0" distR="0" wp14:anchorId="7D611974" wp14:editId="26C7B1B1">
            <wp:extent cx="5759450" cy="3371850"/>
            <wp:effectExtent l="0" t="0" r="0" b="0"/>
            <wp:docPr id="323553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371850"/>
                    </a:xfrm>
                    <a:prstGeom prst="rect">
                      <a:avLst/>
                    </a:prstGeom>
                    <a:noFill/>
                    <a:ln>
                      <a:noFill/>
                    </a:ln>
                  </pic:spPr>
                </pic:pic>
              </a:graphicData>
            </a:graphic>
          </wp:inline>
        </w:drawing>
      </w:r>
    </w:p>
    <w:p w14:paraId="2935DC7C" w14:textId="77777777" w:rsidR="00A636C6" w:rsidRPr="005B156E" w:rsidRDefault="00A636C6" w:rsidP="00844C2D">
      <w:pPr>
        <w:spacing w:before="0"/>
        <w:rPr>
          <w:sz w:val="20"/>
          <w:szCs w:val="20"/>
        </w:rPr>
      </w:pPr>
      <w:r w:rsidRPr="005B156E">
        <w:rPr>
          <w:sz w:val="20"/>
          <w:szCs w:val="20"/>
        </w:rPr>
        <w:t>Source: Commission analysis</w:t>
      </w:r>
    </w:p>
    <w:p w14:paraId="02028C6D" w14:textId="5C884C74" w:rsidR="0038067C" w:rsidRDefault="007A77AB" w:rsidP="0038067C">
      <w:r w:rsidRPr="007A77AB">
        <w:t xml:space="preserve">The default approach, which we term </w:t>
      </w:r>
      <w:r w:rsidRPr="007A77AB">
        <w:rPr>
          <w:b/>
          <w:bCs/>
        </w:rPr>
        <w:t>option 1</w:t>
      </w:r>
      <w:r w:rsidRPr="007A77AB">
        <w:t>, would be to apportion the volume linearly over 2028</w:t>
      </w:r>
      <w:r w:rsidR="00905CF4" w:rsidRPr="000A1433">
        <w:t>–</w:t>
      </w:r>
      <w:r w:rsidRPr="007A77AB">
        <w:t>2030 so that it declines in line with the NZ ETS emissions cap. This results in more of the auction volume being added to 2028 than to 2029</w:t>
      </w:r>
      <w:r w:rsidR="00C07936" w:rsidRPr="000A1433">
        <w:t>–</w:t>
      </w:r>
      <w:r w:rsidRPr="007A77AB">
        <w:t>2030.</w:t>
      </w:r>
      <w:r w:rsidR="00A636C6">
        <w:t xml:space="preserve"> </w:t>
      </w:r>
      <w:r w:rsidR="00691CBF" w:rsidRPr="00691CBF">
        <w:t xml:space="preserve">An alternative approach, </w:t>
      </w:r>
      <w:r w:rsidR="00691CBF" w:rsidRPr="00691CBF">
        <w:rPr>
          <w:b/>
          <w:bCs/>
        </w:rPr>
        <w:t>option 2</w:t>
      </w:r>
      <w:r w:rsidR="00691CBF" w:rsidRPr="00691CBF">
        <w:t>, would be to evenly spread the increase in auction volume across 2028</w:t>
      </w:r>
      <w:r w:rsidR="00905CF4" w:rsidRPr="000A1433">
        <w:t>–</w:t>
      </w:r>
      <w:r w:rsidR="00691CBF" w:rsidRPr="00691CBF">
        <w:t>2030. This would see a smaller (but still significant) increase in auction volume in 2028, held constant until 2030, before auction volumes start to decline again in line with the NZ ETS cap</w:t>
      </w:r>
      <w:r w:rsidR="00173793">
        <w:t xml:space="preserve"> from 2031</w:t>
      </w:r>
      <w:r w:rsidR="00691CBF" w:rsidRPr="00691CBF">
        <w:t>.</w:t>
      </w:r>
      <w:r w:rsidR="002F7C0F" w:rsidRPr="002F7C0F">
        <w:t xml:space="preserve"> </w:t>
      </w:r>
      <w:r w:rsidR="002F7C0F" w:rsidRPr="00415F94">
        <w:t>Both options distribute the same overall auction volume over 2028</w:t>
      </w:r>
      <w:r w:rsidR="00CE3915" w:rsidRPr="000A1433">
        <w:t>–</w:t>
      </w:r>
      <w:r w:rsidR="002F7C0F" w:rsidRPr="00415F94">
        <w:t>2030.</w:t>
      </w:r>
      <w:r w:rsidR="0038067C">
        <w:t xml:space="preserve"> </w:t>
      </w:r>
    </w:p>
    <w:p w14:paraId="5D047DFB" w14:textId="7E7D2EE6" w:rsidR="00823503" w:rsidRDefault="0038067C" w:rsidP="008750DF">
      <w:r w:rsidRPr="004F30B5">
        <w:t>Next year</w:t>
      </w:r>
      <w:r>
        <w:t>,</w:t>
      </w:r>
      <w:r w:rsidRPr="004F30B5">
        <w:t xml:space="preserve"> when we again provide NZ ETS settings advice, barring any special circumstances we </w:t>
      </w:r>
      <w:r>
        <w:t xml:space="preserve">(and the Government) </w:t>
      </w:r>
      <w:r w:rsidRPr="004F30B5">
        <w:t xml:space="preserve">will not be permitted under the Act to recommend changes to the </w:t>
      </w:r>
      <w:r w:rsidR="00A636C6">
        <w:t xml:space="preserve">2028 </w:t>
      </w:r>
      <w:r w:rsidRPr="004F30B5">
        <w:t xml:space="preserve">volumes. Given that restriction, along with the uncertainty and dynamic nature of the surplus estimate, we prefer option 2. </w:t>
      </w:r>
      <w:r>
        <w:t>O</w:t>
      </w:r>
      <w:r w:rsidRPr="004F30B5">
        <w:t>ption 2 better manages the risk that auctioning more units presents to accordance with targets, as it preserves more volume in the later years of the settings</w:t>
      </w:r>
      <w:r>
        <w:t>,</w:t>
      </w:r>
      <w:r w:rsidRPr="004F30B5">
        <w:t xml:space="preserve"> which can </w:t>
      </w:r>
      <w:r>
        <w:t xml:space="preserve">potentially </w:t>
      </w:r>
      <w:r w:rsidRPr="004F30B5">
        <w:t>be adjusted in 2026 and 2027 NZ ETS settings advice.</w:t>
      </w:r>
    </w:p>
    <w:p w14:paraId="72EDEBF7" w14:textId="471ECCA6" w:rsidR="00702A5F" w:rsidRDefault="00702A5F" w:rsidP="008750DF">
      <w:r w:rsidRPr="00702A5F">
        <w:t>Similar to the consideration of amending the settings for 2026</w:t>
      </w:r>
      <w:r w:rsidR="004D05A5">
        <w:t>–</w:t>
      </w:r>
      <w:r w:rsidRPr="00702A5F">
        <w:t>2027 discussed above</w:t>
      </w:r>
      <w:r w:rsidR="00410625">
        <w:t xml:space="preserve"> </w:t>
      </w:r>
      <w:r w:rsidR="00B5707E">
        <w:t>in step 5b</w:t>
      </w:r>
      <w:r w:rsidRPr="00702A5F">
        <w:t xml:space="preserve">, this judgement in favour of option 2 </w:t>
      </w:r>
      <w:r w:rsidR="004653D5">
        <w:t>i</w:t>
      </w:r>
      <w:r w:rsidRPr="00702A5F">
        <w:t xml:space="preserve">s also influenced by the fact that recent NZU </w:t>
      </w:r>
      <w:r w:rsidRPr="00702A5F">
        <w:lastRenderedPageBreak/>
        <w:t xml:space="preserve">auctions have fully or partially declined, and the NZU spot price is currently tracking below the auction reserve price. </w:t>
      </w:r>
    </w:p>
    <w:p w14:paraId="5F0F94A5" w14:textId="73AEF604" w:rsidR="00192D49" w:rsidRDefault="00192D49" w:rsidP="008750DF">
      <w:r w:rsidRPr="00A44DD6">
        <w:rPr>
          <w:b/>
          <w:bCs/>
        </w:rPr>
        <w:t xml:space="preserve">Table </w:t>
      </w:r>
      <w:r w:rsidR="00757802" w:rsidRPr="00A44DD6">
        <w:rPr>
          <w:b/>
          <w:bCs/>
        </w:rPr>
        <w:t>3.3</w:t>
      </w:r>
      <w:r>
        <w:t xml:space="preserve"> </w:t>
      </w:r>
      <w:r w:rsidR="00E216A7">
        <w:t>shows</w:t>
      </w:r>
      <w:r w:rsidR="00BC7AC2">
        <w:t xml:space="preserve"> the steps </w:t>
      </w:r>
      <w:r w:rsidR="003A0C8F">
        <w:t>(</w:t>
      </w:r>
      <w:r w:rsidR="00B07F7B">
        <w:t xml:space="preserve">described </w:t>
      </w:r>
      <w:r w:rsidR="00BC7AC2">
        <w:t>above</w:t>
      </w:r>
      <w:r w:rsidR="00B07F7B">
        <w:t>) that</w:t>
      </w:r>
      <w:r w:rsidR="004D5243">
        <w:t xml:space="preserve"> have been</w:t>
      </w:r>
      <w:r w:rsidR="00BC7AC2" w:rsidDel="004D5243">
        <w:t xml:space="preserve"> </w:t>
      </w:r>
      <w:r w:rsidR="00BC7AC2">
        <w:t>followed to reach our final proposed annual auction volumes</w:t>
      </w:r>
      <w:r w:rsidR="003B006E">
        <w:t>. This</w:t>
      </w:r>
      <w:r w:rsidR="002C178E" w:rsidDel="005778CD">
        <w:t xml:space="preserve"> </w:t>
      </w:r>
      <w:r w:rsidR="005778CD">
        <w:t xml:space="preserve">shows </w:t>
      </w:r>
      <w:r w:rsidR="002C178E">
        <w:t xml:space="preserve">no changes </w:t>
      </w:r>
      <w:r w:rsidR="00EE5D94">
        <w:t>to 2026 and 2027</w:t>
      </w:r>
      <w:r w:rsidR="0098492B">
        <w:t>,</w:t>
      </w:r>
      <w:r w:rsidR="00962AF0">
        <w:t xml:space="preserve"> the associated discrepancy adjustment over 2028</w:t>
      </w:r>
      <w:r w:rsidR="003F3369" w:rsidRPr="003F3369">
        <w:t>–</w:t>
      </w:r>
      <w:r w:rsidR="00962AF0">
        <w:t xml:space="preserve">2030 and the decision to </w:t>
      </w:r>
      <w:r w:rsidR="0015388E">
        <w:t>evenly spread the increase in available auction volume over 2028</w:t>
      </w:r>
      <w:r w:rsidR="003F3369" w:rsidRPr="000A1433">
        <w:t>–</w:t>
      </w:r>
      <w:r w:rsidR="0015388E">
        <w:t xml:space="preserve">2030. </w:t>
      </w:r>
    </w:p>
    <w:p w14:paraId="7FF448EC" w14:textId="11E9FE03" w:rsidR="009248BE" w:rsidRPr="007E18A2" w:rsidRDefault="009248BE" w:rsidP="00FF4148">
      <w:pPr>
        <w:pStyle w:val="FigureTabletitle"/>
      </w:pPr>
      <w:r w:rsidRPr="007E18A2">
        <w:t>Table</w:t>
      </w:r>
      <w:r w:rsidR="00423A32" w:rsidRPr="007E18A2">
        <w:t xml:space="preserve"> 3.3</w:t>
      </w:r>
      <w:r w:rsidR="00232012" w:rsidRPr="007E18A2">
        <w:t>:</w:t>
      </w:r>
      <w:r w:rsidRPr="007E18A2">
        <w:t xml:space="preserve"> </w:t>
      </w:r>
      <w:r w:rsidRPr="00FF4148">
        <w:rPr>
          <w:b w:val="0"/>
          <w:bCs w:val="0"/>
        </w:rPr>
        <w:t xml:space="preserve">Proposed annual auction volumes within the NZ ETS cap – summary of calculations from applying the seven-step </w:t>
      </w:r>
      <w:r w:rsidR="0010214A" w:rsidRPr="00FF4148">
        <w:rPr>
          <w:b w:val="0"/>
          <w:bCs w:val="0"/>
        </w:rPr>
        <w:t>method</w:t>
      </w:r>
    </w:p>
    <w:tbl>
      <w:tblPr>
        <w:tblStyle w:val="GridTable5Dark-Accent5"/>
        <w:tblW w:w="5003" w:type="pct"/>
        <w:tblInd w:w="-5" w:type="dxa"/>
        <w:tblCellMar>
          <w:left w:w="113" w:type="dxa"/>
          <w:right w:w="113" w:type="dxa"/>
        </w:tblCellMar>
        <w:tblLook w:val="04A0" w:firstRow="1" w:lastRow="0" w:firstColumn="1" w:lastColumn="0" w:noHBand="0" w:noVBand="1"/>
      </w:tblPr>
      <w:tblGrid>
        <w:gridCol w:w="3681"/>
        <w:gridCol w:w="1075"/>
        <w:gridCol w:w="1075"/>
        <w:gridCol w:w="1075"/>
        <w:gridCol w:w="1075"/>
        <w:gridCol w:w="1084"/>
      </w:tblGrid>
      <w:tr w:rsidR="004B1EA7" w:rsidRPr="0091207A" w14:paraId="21044503" w14:textId="77777777" w:rsidTr="00B90A40">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30" w:type="pct"/>
            <w:shd w:val="clear" w:color="auto" w:fill="002060"/>
            <w:vAlign w:val="center"/>
          </w:tcPr>
          <w:p w14:paraId="45954C50" w14:textId="77777777" w:rsidR="009177DB" w:rsidRDefault="009177DB" w:rsidP="009177DB">
            <w:pPr>
              <w:pStyle w:val="Tableparagraphwhite"/>
              <w:rPr>
                <w:rFonts w:ascii="ZWAdobeF" w:hAnsi="ZWAdobeF" w:cs="ZWAdobeF"/>
                <w:color w:val="auto"/>
                <w:sz w:val="2"/>
                <w:szCs w:val="2"/>
              </w:rPr>
            </w:pPr>
          </w:p>
        </w:tc>
        <w:tc>
          <w:tcPr>
            <w:tcW w:w="1186" w:type="pct"/>
            <w:gridSpan w:val="2"/>
            <w:shd w:val="clear" w:color="auto" w:fill="002060"/>
            <w:vAlign w:val="center"/>
          </w:tcPr>
          <w:p w14:paraId="302032AE" w14:textId="16AF34AE" w:rsidR="009177DB" w:rsidRPr="00092121" w:rsidRDefault="009177DB" w:rsidP="009177DB">
            <w:pPr>
              <w:pStyle w:val="Tableparagraphwhite"/>
              <w:cnfStyle w:val="100000000000" w:firstRow="1" w:lastRow="0" w:firstColumn="0" w:lastColumn="0" w:oddVBand="0" w:evenVBand="0" w:oddHBand="0" w:evenHBand="0" w:firstRowFirstColumn="0" w:firstRowLastColumn="0" w:lastRowFirstColumn="0" w:lastRowLastColumn="0"/>
            </w:pPr>
            <w:r w:rsidRPr="00FD0B9B">
              <w:rPr>
                <w:b/>
                <w:bCs/>
              </w:rPr>
              <w:t>No changes</w:t>
            </w:r>
          </w:p>
        </w:tc>
        <w:tc>
          <w:tcPr>
            <w:tcW w:w="1186" w:type="pct"/>
            <w:gridSpan w:val="2"/>
            <w:shd w:val="clear" w:color="auto" w:fill="002060"/>
            <w:vAlign w:val="center"/>
          </w:tcPr>
          <w:p w14:paraId="1A952AC7" w14:textId="223CA107" w:rsidR="009177DB" w:rsidRPr="00092121" w:rsidRDefault="009177DB" w:rsidP="009177DB">
            <w:pPr>
              <w:pStyle w:val="Tableparagraphwhite"/>
              <w:cnfStyle w:val="100000000000" w:firstRow="1" w:lastRow="0" w:firstColumn="0" w:lastColumn="0" w:oddVBand="0" w:evenVBand="0" w:oddHBand="0" w:evenHBand="0" w:firstRowFirstColumn="0" w:firstRowLastColumn="0" w:lastRowFirstColumn="0" w:lastRowLastColumn="0"/>
            </w:pPr>
            <w:r w:rsidRPr="00FD0B9B">
              <w:rPr>
                <w:b/>
                <w:bCs/>
              </w:rPr>
              <w:t>Updated</w:t>
            </w:r>
          </w:p>
        </w:tc>
        <w:tc>
          <w:tcPr>
            <w:tcW w:w="598" w:type="pct"/>
            <w:shd w:val="clear" w:color="auto" w:fill="002060"/>
            <w:vAlign w:val="center"/>
          </w:tcPr>
          <w:p w14:paraId="6796D8B3" w14:textId="0D26A7D9" w:rsidR="009177DB" w:rsidRPr="00092121" w:rsidRDefault="009177DB" w:rsidP="009177DB">
            <w:pPr>
              <w:pStyle w:val="Tableparagraphwhite"/>
              <w:cnfStyle w:val="100000000000" w:firstRow="1" w:lastRow="0" w:firstColumn="0" w:lastColumn="0" w:oddVBand="0" w:evenVBand="0" w:oddHBand="0" w:evenHBand="0" w:firstRowFirstColumn="0" w:firstRowLastColumn="0" w:lastRowFirstColumn="0" w:lastRowLastColumn="0"/>
            </w:pPr>
            <w:r w:rsidRPr="00FD0B9B">
              <w:rPr>
                <w:b/>
                <w:bCs/>
              </w:rPr>
              <w:t>New</w:t>
            </w:r>
          </w:p>
        </w:tc>
      </w:tr>
      <w:tr w:rsidR="004B1EA7" w:rsidRPr="0091207A" w14:paraId="1D838752" w14:textId="77777777" w:rsidTr="00B90A4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30" w:type="pct"/>
            <w:shd w:val="clear" w:color="auto" w:fill="002060"/>
            <w:vAlign w:val="center"/>
          </w:tcPr>
          <w:p w14:paraId="7DB830E0" w14:textId="7254C7C8" w:rsidR="00092121" w:rsidRPr="00976F45" w:rsidRDefault="00987F23" w:rsidP="00B90A40">
            <w:pPr>
              <w:pStyle w:val="Tableparagraphwhite"/>
              <w:jc w:val="left"/>
            </w:pPr>
            <w:r>
              <w:rPr>
                <w:rFonts w:ascii="ZWAdobeF" w:hAnsi="ZWAdobeF" w:cs="ZWAdobeF"/>
                <w:color w:val="auto"/>
                <w:sz w:val="2"/>
                <w:szCs w:val="2"/>
              </w:rPr>
              <w:t>6B</w:t>
            </w:r>
            <w:r w:rsidR="00092121">
              <w:t>Million units</w:t>
            </w:r>
          </w:p>
        </w:tc>
        <w:tc>
          <w:tcPr>
            <w:tcW w:w="593" w:type="pct"/>
            <w:shd w:val="clear" w:color="auto" w:fill="002060"/>
            <w:vAlign w:val="center"/>
          </w:tcPr>
          <w:p w14:paraId="1E37F451" w14:textId="77777777" w:rsidR="00092121" w:rsidRPr="009177DB" w:rsidRDefault="00092121" w:rsidP="009177DB">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9177DB">
              <w:rPr>
                <w:b w:val="0"/>
              </w:rPr>
              <w:t>2026</w:t>
            </w:r>
          </w:p>
        </w:tc>
        <w:tc>
          <w:tcPr>
            <w:tcW w:w="593" w:type="pct"/>
            <w:shd w:val="clear" w:color="auto" w:fill="002060"/>
            <w:vAlign w:val="center"/>
          </w:tcPr>
          <w:p w14:paraId="63A4937A" w14:textId="77777777" w:rsidR="00092121" w:rsidRPr="009177DB" w:rsidRDefault="00092121" w:rsidP="009177DB">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9177DB">
              <w:rPr>
                <w:b w:val="0"/>
              </w:rPr>
              <w:t>2027</w:t>
            </w:r>
          </w:p>
        </w:tc>
        <w:tc>
          <w:tcPr>
            <w:tcW w:w="593" w:type="pct"/>
            <w:shd w:val="clear" w:color="auto" w:fill="002060"/>
            <w:vAlign w:val="center"/>
          </w:tcPr>
          <w:p w14:paraId="3BBA972C" w14:textId="77777777" w:rsidR="00092121" w:rsidRPr="009177DB" w:rsidRDefault="00092121" w:rsidP="009177DB">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9177DB">
              <w:rPr>
                <w:b w:val="0"/>
              </w:rPr>
              <w:t>2028</w:t>
            </w:r>
          </w:p>
        </w:tc>
        <w:tc>
          <w:tcPr>
            <w:tcW w:w="593" w:type="pct"/>
            <w:shd w:val="clear" w:color="auto" w:fill="002060"/>
            <w:vAlign w:val="center"/>
          </w:tcPr>
          <w:p w14:paraId="00464363" w14:textId="77777777" w:rsidR="00092121" w:rsidRPr="009177DB" w:rsidRDefault="00092121" w:rsidP="009177DB">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9177DB">
              <w:rPr>
                <w:b w:val="0"/>
              </w:rPr>
              <w:t>2029</w:t>
            </w:r>
          </w:p>
        </w:tc>
        <w:tc>
          <w:tcPr>
            <w:tcW w:w="598" w:type="pct"/>
            <w:shd w:val="clear" w:color="auto" w:fill="002060"/>
            <w:vAlign w:val="center"/>
          </w:tcPr>
          <w:p w14:paraId="2293DC9F" w14:textId="77777777" w:rsidR="00092121" w:rsidRPr="009177DB" w:rsidRDefault="00092121" w:rsidP="009177DB">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9177DB">
              <w:rPr>
                <w:b w:val="0"/>
              </w:rPr>
              <w:t>2030</w:t>
            </w:r>
          </w:p>
        </w:tc>
      </w:tr>
      <w:tr w:rsidR="001E486F" w:rsidRPr="0091207A" w14:paraId="1DC19976" w14:textId="77777777" w:rsidTr="009177DB">
        <w:trPr>
          <w:trHeight w:val="468"/>
        </w:trPr>
        <w:tc>
          <w:tcPr>
            <w:cnfStyle w:val="001000000000" w:firstRow="0" w:lastRow="0" w:firstColumn="1" w:lastColumn="0" w:oddVBand="0" w:evenVBand="0" w:oddHBand="0" w:evenHBand="0" w:firstRowFirstColumn="0" w:firstRowLastColumn="0" w:lastRowFirstColumn="0" w:lastRowLastColumn="0"/>
            <w:tcW w:w="2030" w:type="pct"/>
            <w:shd w:val="clear" w:color="auto" w:fill="C1DCD5"/>
            <w:vAlign w:val="center"/>
          </w:tcPr>
          <w:p w14:paraId="59EB288F" w14:textId="77777777" w:rsidR="00092121" w:rsidRPr="00C23A47" w:rsidRDefault="00092121" w:rsidP="009177DB">
            <w:pPr>
              <w:pStyle w:val="TableParagraph"/>
              <w:jc w:val="left"/>
              <w:rPr>
                <w:b w:val="0"/>
                <w:bCs w:val="0"/>
                <w:lang w:val="en-NZ"/>
              </w:rPr>
            </w:pPr>
            <w:r w:rsidRPr="00C23A47">
              <w:rPr>
                <w:b w:val="0"/>
                <w:bCs w:val="0"/>
              </w:rPr>
              <w:t>Step 1: Align with emissions reduction targets</w:t>
            </w:r>
          </w:p>
        </w:tc>
        <w:tc>
          <w:tcPr>
            <w:tcW w:w="593" w:type="pct"/>
            <w:shd w:val="clear" w:color="auto" w:fill="E9F5F2"/>
            <w:vAlign w:val="center"/>
          </w:tcPr>
          <w:p w14:paraId="2D7FD2A3" w14:textId="77777777"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lang w:val="en-NZ"/>
              </w:rPr>
            </w:pPr>
            <w:r>
              <w:t>65.7</w:t>
            </w:r>
          </w:p>
        </w:tc>
        <w:tc>
          <w:tcPr>
            <w:tcW w:w="593" w:type="pct"/>
            <w:shd w:val="clear" w:color="auto" w:fill="E9F5F2"/>
            <w:vAlign w:val="center"/>
          </w:tcPr>
          <w:p w14:paraId="1BC08525" w14:textId="77777777"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lang w:val="en-NZ"/>
              </w:rPr>
            </w:pPr>
            <w:r>
              <w:t>63.4</w:t>
            </w:r>
          </w:p>
        </w:tc>
        <w:tc>
          <w:tcPr>
            <w:tcW w:w="593" w:type="pct"/>
            <w:shd w:val="clear" w:color="auto" w:fill="D4E8DE"/>
            <w:vAlign w:val="center"/>
          </w:tcPr>
          <w:p w14:paraId="43C08C52" w14:textId="68EFE9BC"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pPr>
            <w:r>
              <w:t>60.4</w:t>
            </w:r>
          </w:p>
        </w:tc>
        <w:tc>
          <w:tcPr>
            <w:tcW w:w="593" w:type="pct"/>
            <w:shd w:val="clear" w:color="auto" w:fill="D4E8DE"/>
            <w:vAlign w:val="center"/>
          </w:tcPr>
          <w:p w14:paraId="4CD40240" w14:textId="56E6AE95"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pPr>
            <w:r>
              <w:t>57.9</w:t>
            </w:r>
          </w:p>
        </w:tc>
        <w:tc>
          <w:tcPr>
            <w:tcW w:w="598" w:type="pct"/>
            <w:shd w:val="clear" w:color="auto" w:fill="C1DCD5"/>
            <w:vAlign w:val="center"/>
          </w:tcPr>
          <w:p w14:paraId="7C6730A1" w14:textId="6AC4696F"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pPr>
            <w:r>
              <w:t>55.2</w:t>
            </w:r>
          </w:p>
        </w:tc>
      </w:tr>
      <w:tr w:rsidR="001E486F" w:rsidRPr="0091207A" w14:paraId="0621B315" w14:textId="77777777" w:rsidTr="009177DB">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030" w:type="pct"/>
            <w:shd w:val="clear" w:color="auto" w:fill="C1DCD5"/>
            <w:vAlign w:val="center"/>
          </w:tcPr>
          <w:p w14:paraId="2728F8D8" w14:textId="77777777" w:rsidR="00092121" w:rsidRPr="00C23A47" w:rsidRDefault="00092121" w:rsidP="009177DB">
            <w:pPr>
              <w:pStyle w:val="TableParagraph"/>
              <w:jc w:val="left"/>
              <w:rPr>
                <w:b w:val="0"/>
                <w:bCs w:val="0"/>
                <w:lang w:val="en-NZ"/>
              </w:rPr>
            </w:pPr>
            <w:r w:rsidRPr="00C23A47">
              <w:rPr>
                <w:b w:val="0"/>
                <w:bCs w:val="0"/>
              </w:rPr>
              <w:t>Step 2: Allocate volume to sectors outside the NZ ETS</w:t>
            </w:r>
          </w:p>
        </w:tc>
        <w:tc>
          <w:tcPr>
            <w:tcW w:w="593" w:type="pct"/>
            <w:shd w:val="clear" w:color="auto" w:fill="E9F5F2"/>
            <w:vAlign w:val="center"/>
          </w:tcPr>
          <w:p w14:paraId="69DF3A0D" w14:textId="77777777"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-42.3</w:t>
            </w:r>
          </w:p>
        </w:tc>
        <w:tc>
          <w:tcPr>
            <w:tcW w:w="593" w:type="pct"/>
            <w:shd w:val="clear" w:color="auto" w:fill="E9F5F2"/>
            <w:vAlign w:val="center"/>
          </w:tcPr>
          <w:p w14:paraId="33C2FEC8" w14:textId="77777777"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-41.9</w:t>
            </w:r>
          </w:p>
        </w:tc>
        <w:tc>
          <w:tcPr>
            <w:tcW w:w="593" w:type="pct"/>
            <w:shd w:val="clear" w:color="auto" w:fill="D4E8DE"/>
            <w:vAlign w:val="center"/>
          </w:tcPr>
          <w:p w14:paraId="5AB5145F" w14:textId="77777777"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-42.8</w:t>
            </w:r>
          </w:p>
        </w:tc>
        <w:tc>
          <w:tcPr>
            <w:tcW w:w="593" w:type="pct"/>
            <w:shd w:val="clear" w:color="auto" w:fill="D4E8DE"/>
            <w:vAlign w:val="center"/>
          </w:tcPr>
          <w:p w14:paraId="6FDB78EB" w14:textId="77777777"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-42.7</w:t>
            </w:r>
          </w:p>
        </w:tc>
        <w:tc>
          <w:tcPr>
            <w:tcW w:w="598" w:type="pct"/>
            <w:shd w:val="clear" w:color="auto" w:fill="C1DCD5"/>
            <w:vAlign w:val="center"/>
          </w:tcPr>
          <w:p w14:paraId="51BACB9A" w14:textId="77777777"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-42.6</w:t>
            </w:r>
          </w:p>
        </w:tc>
      </w:tr>
      <w:tr w:rsidR="001E486F" w:rsidRPr="005A6D57" w14:paraId="75AA1E6F" w14:textId="77777777" w:rsidTr="009177DB">
        <w:trPr>
          <w:trHeight w:val="483"/>
        </w:trPr>
        <w:tc>
          <w:tcPr>
            <w:cnfStyle w:val="001000000000" w:firstRow="0" w:lastRow="0" w:firstColumn="1" w:lastColumn="0" w:oddVBand="0" w:evenVBand="0" w:oddHBand="0" w:evenHBand="0" w:firstRowFirstColumn="0" w:firstRowLastColumn="0" w:lastRowFirstColumn="0" w:lastRowLastColumn="0"/>
            <w:tcW w:w="2030" w:type="pct"/>
            <w:shd w:val="clear" w:color="auto" w:fill="C1DCD5"/>
            <w:vAlign w:val="center"/>
          </w:tcPr>
          <w:p w14:paraId="55DFE1D4" w14:textId="7FE60119" w:rsidR="00092121" w:rsidRPr="007F5F35" w:rsidRDefault="00092121" w:rsidP="007F5F35">
            <w:pPr>
              <w:pStyle w:val="TableParagraph"/>
              <w:ind w:left="170"/>
              <w:jc w:val="left"/>
              <w:rPr>
                <w:lang w:val="en-NZ"/>
              </w:rPr>
            </w:pPr>
            <w:r w:rsidRPr="005A6D57">
              <w:t xml:space="preserve">Allocate volume to NZ ETS sectors </w:t>
            </w:r>
            <w:r w:rsidR="003A0C8F" w:rsidRPr="005A6D57">
              <w:br/>
            </w:r>
            <w:r w:rsidRPr="005A6D57">
              <w:t xml:space="preserve">(NZ ETS </w:t>
            </w:r>
            <w:r w:rsidR="00E75B0D" w:rsidRPr="005A6D57">
              <w:t>emissions</w:t>
            </w:r>
            <w:r w:rsidRPr="005A6D57">
              <w:t xml:space="preserve"> cap)</w:t>
            </w:r>
          </w:p>
        </w:tc>
        <w:tc>
          <w:tcPr>
            <w:tcW w:w="593" w:type="pct"/>
            <w:shd w:val="clear" w:color="auto" w:fill="E9F5F2"/>
            <w:vAlign w:val="center"/>
          </w:tcPr>
          <w:p w14:paraId="08E75A82" w14:textId="0C0DC954" w:rsidR="00092121" w:rsidRPr="007F5F35"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NZ"/>
              </w:rPr>
            </w:pPr>
            <w:r w:rsidRPr="007F5F35">
              <w:rPr>
                <w:b/>
              </w:rPr>
              <w:t>23.4</w:t>
            </w:r>
          </w:p>
        </w:tc>
        <w:tc>
          <w:tcPr>
            <w:tcW w:w="593" w:type="pct"/>
            <w:shd w:val="clear" w:color="auto" w:fill="E9F5F2"/>
            <w:vAlign w:val="center"/>
          </w:tcPr>
          <w:p w14:paraId="2E87F48F" w14:textId="07F154B1" w:rsidR="00092121" w:rsidRPr="007F5F35"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NZ"/>
              </w:rPr>
            </w:pPr>
            <w:r w:rsidRPr="007F5F35">
              <w:rPr>
                <w:b/>
              </w:rPr>
              <w:t>21.4</w:t>
            </w:r>
          </w:p>
        </w:tc>
        <w:tc>
          <w:tcPr>
            <w:tcW w:w="593" w:type="pct"/>
            <w:shd w:val="clear" w:color="auto" w:fill="D4E8DE"/>
            <w:vAlign w:val="center"/>
          </w:tcPr>
          <w:p w14:paraId="30BDE8CB" w14:textId="504AAE1E" w:rsidR="00092121" w:rsidRPr="007F5F35"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NZ"/>
              </w:rPr>
            </w:pPr>
            <w:r w:rsidRPr="007F5F35">
              <w:rPr>
                <w:b/>
              </w:rPr>
              <w:t>17.6</w:t>
            </w:r>
          </w:p>
        </w:tc>
        <w:tc>
          <w:tcPr>
            <w:tcW w:w="593" w:type="pct"/>
            <w:shd w:val="clear" w:color="auto" w:fill="D4E8DE"/>
            <w:vAlign w:val="center"/>
          </w:tcPr>
          <w:p w14:paraId="00987B3B" w14:textId="5C0687FE" w:rsidR="00092121" w:rsidRPr="007F5F35"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NZ"/>
              </w:rPr>
            </w:pPr>
            <w:r w:rsidRPr="007F5F35">
              <w:rPr>
                <w:b/>
              </w:rPr>
              <w:t>15.1</w:t>
            </w:r>
          </w:p>
        </w:tc>
        <w:tc>
          <w:tcPr>
            <w:tcW w:w="598" w:type="pct"/>
            <w:shd w:val="clear" w:color="auto" w:fill="C1DCD5"/>
            <w:vAlign w:val="center"/>
          </w:tcPr>
          <w:p w14:paraId="74BC44D9" w14:textId="019C05FA" w:rsidR="00092121" w:rsidRPr="007F5F35"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NZ"/>
              </w:rPr>
            </w:pPr>
            <w:r w:rsidRPr="007F5F35">
              <w:rPr>
                <w:b/>
              </w:rPr>
              <w:t>12.6</w:t>
            </w:r>
          </w:p>
        </w:tc>
      </w:tr>
      <w:tr w:rsidR="004B1EA7" w:rsidRPr="0091207A" w14:paraId="3A25B136" w14:textId="77777777" w:rsidTr="00B90A4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30" w:type="pct"/>
            <w:shd w:val="clear" w:color="auto" w:fill="C1DCD5"/>
            <w:vAlign w:val="center"/>
          </w:tcPr>
          <w:p w14:paraId="1A5E7965" w14:textId="77777777" w:rsidR="00092121" w:rsidRPr="00C23A47" w:rsidRDefault="00092121" w:rsidP="009177DB">
            <w:pPr>
              <w:pStyle w:val="TableParagraph"/>
              <w:jc w:val="left"/>
              <w:rPr>
                <w:b w:val="0"/>
                <w:bCs w:val="0"/>
              </w:rPr>
            </w:pPr>
            <w:r w:rsidRPr="00C23A47">
              <w:rPr>
                <w:b w:val="0"/>
                <w:bCs w:val="0"/>
              </w:rPr>
              <w:t>Step 3: Technical adjustments</w:t>
            </w:r>
          </w:p>
        </w:tc>
        <w:tc>
          <w:tcPr>
            <w:tcW w:w="593" w:type="pct"/>
            <w:shd w:val="clear" w:color="auto" w:fill="E9F5F2"/>
            <w:vAlign w:val="center"/>
          </w:tcPr>
          <w:p w14:paraId="3563CEEA" w14:textId="599DEE1C"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0.7</w:t>
            </w:r>
          </w:p>
        </w:tc>
        <w:tc>
          <w:tcPr>
            <w:tcW w:w="593" w:type="pct"/>
            <w:shd w:val="clear" w:color="auto" w:fill="E9F5F2"/>
            <w:vAlign w:val="center"/>
          </w:tcPr>
          <w:p w14:paraId="5105BBD3" w14:textId="1AC47B0C"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0.7</w:t>
            </w:r>
          </w:p>
        </w:tc>
        <w:tc>
          <w:tcPr>
            <w:tcW w:w="593" w:type="pct"/>
            <w:shd w:val="clear" w:color="auto" w:fill="D4E8DE"/>
            <w:vAlign w:val="center"/>
          </w:tcPr>
          <w:p w14:paraId="64037F2B" w14:textId="7EB13640"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0.0</w:t>
            </w:r>
          </w:p>
        </w:tc>
        <w:tc>
          <w:tcPr>
            <w:tcW w:w="593" w:type="pct"/>
            <w:shd w:val="clear" w:color="auto" w:fill="D4E8DE"/>
            <w:vAlign w:val="center"/>
          </w:tcPr>
          <w:p w14:paraId="75327593" w14:textId="6F7B2C9C"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0.0</w:t>
            </w:r>
          </w:p>
        </w:tc>
        <w:tc>
          <w:tcPr>
            <w:tcW w:w="598" w:type="pct"/>
            <w:shd w:val="clear" w:color="auto" w:fill="C1DCD5"/>
            <w:vAlign w:val="center"/>
          </w:tcPr>
          <w:p w14:paraId="2BD58A41" w14:textId="636B4425"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0.0</w:t>
            </w:r>
          </w:p>
        </w:tc>
      </w:tr>
      <w:tr w:rsidR="004B1EA7" w:rsidRPr="0091207A" w14:paraId="5086E261" w14:textId="77777777" w:rsidTr="00B90A40">
        <w:trPr>
          <w:trHeight w:val="425"/>
        </w:trPr>
        <w:tc>
          <w:tcPr>
            <w:cnfStyle w:val="001000000000" w:firstRow="0" w:lastRow="0" w:firstColumn="1" w:lastColumn="0" w:oddVBand="0" w:evenVBand="0" w:oddHBand="0" w:evenHBand="0" w:firstRowFirstColumn="0" w:firstRowLastColumn="0" w:lastRowFirstColumn="0" w:lastRowLastColumn="0"/>
            <w:tcW w:w="2030" w:type="pct"/>
            <w:shd w:val="clear" w:color="auto" w:fill="C1DCD5"/>
            <w:vAlign w:val="center"/>
          </w:tcPr>
          <w:p w14:paraId="530C370A" w14:textId="33C4F56B" w:rsidR="00092121" w:rsidRPr="00C23A47" w:rsidRDefault="00092121" w:rsidP="009177DB">
            <w:pPr>
              <w:pStyle w:val="TableParagraph"/>
              <w:jc w:val="left"/>
              <w:rPr>
                <w:b w:val="0"/>
                <w:bCs w:val="0"/>
              </w:rPr>
            </w:pPr>
            <w:r w:rsidRPr="00C23A47">
              <w:rPr>
                <w:b w:val="0"/>
                <w:bCs w:val="0"/>
              </w:rPr>
              <w:t xml:space="preserve">Step 4: Industrial </w:t>
            </w:r>
            <w:r w:rsidR="00B92EE9" w:rsidRPr="00C23A47">
              <w:rPr>
                <w:b w:val="0"/>
                <w:bCs w:val="0"/>
              </w:rPr>
              <w:t xml:space="preserve">free </w:t>
            </w:r>
            <w:r w:rsidRPr="00C23A47">
              <w:rPr>
                <w:b w:val="0"/>
                <w:bCs w:val="0"/>
              </w:rPr>
              <w:t>allocation</w:t>
            </w:r>
          </w:p>
        </w:tc>
        <w:tc>
          <w:tcPr>
            <w:tcW w:w="593" w:type="pct"/>
            <w:shd w:val="clear" w:color="auto" w:fill="E9F5F2"/>
            <w:vAlign w:val="center"/>
          </w:tcPr>
          <w:p w14:paraId="16A84CFB" w14:textId="252239CD"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t>5.7</w:t>
            </w:r>
          </w:p>
        </w:tc>
        <w:tc>
          <w:tcPr>
            <w:tcW w:w="593" w:type="pct"/>
            <w:shd w:val="clear" w:color="auto" w:fill="E9F5F2"/>
            <w:vAlign w:val="center"/>
          </w:tcPr>
          <w:p w14:paraId="519E0490" w14:textId="2D1038B4"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t>5.7</w:t>
            </w:r>
          </w:p>
        </w:tc>
        <w:tc>
          <w:tcPr>
            <w:tcW w:w="593" w:type="pct"/>
            <w:shd w:val="clear" w:color="auto" w:fill="D4E8DE"/>
            <w:vAlign w:val="center"/>
          </w:tcPr>
          <w:p w14:paraId="3621D7D0" w14:textId="625C12F3"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t>4.</w:t>
            </w:r>
            <w:r w:rsidR="00B727AB">
              <w:t>6</w:t>
            </w:r>
          </w:p>
        </w:tc>
        <w:tc>
          <w:tcPr>
            <w:tcW w:w="593" w:type="pct"/>
            <w:shd w:val="clear" w:color="auto" w:fill="D4E8DE"/>
            <w:vAlign w:val="center"/>
          </w:tcPr>
          <w:p w14:paraId="4B6115B0" w14:textId="014FF203"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t>4.5</w:t>
            </w:r>
          </w:p>
        </w:tc>
        <w:tc>
          <w:tcPr>
            <w:tcW w:w="598" w:type="pct"/>
            <w:shd w:val="clear" w:color="auto" w:fill="C1DCD5"/>
            <w:vAlign w:val="center"/>
          </w:tcPr>
          <w:p w14:paraId="6689D395" w14:textId="7304089F"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t>4.0</w:t>
            </w:r>
          </w:p>
        </w:tc>
      </w:tr>
      <w:tr w:rsidR="004B1EA7" w:rsidRPr="0091207A" w14:paraId="43FA6730" w14:textId="77777777" w:rsidTr="00B90A4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30" w:type="pct"/>
            <w:shd w:val="clear" w:color="auto" w:fill="C1DCD5"/>
            <w:vAlign w:val="center"/>
          </w:tcPr>
          <w:p w14:paraId="61A7889D" w14:textId="77777777" w:rsidR="00092121" w:rsidRPr="00C23A47" w:rsidRDefault="00092121" w:rsidP="009177DB">
            <w:pPr>
              <w:pStyle w:val="TableParagraph"/>
              <w:jc w:val="left"/>
              <w:rPr>
                <w:b w:val="0"/>
                <w:bCs w:val="0"/>
              </w:rPr>
            </w:pPr>
            <w:r w:rsidRPr="00C23A47">
              <w:rPr>
                <w:b w:val="0"/>
                <w:bCs w:val="0"/>
              </w:rPr>
              <w:t>Step 5a: Surplus reduction</w:t>
            </w:r>
          </w:p>
        </w:tc>
        <w:tc>
          <w:tcPr>
            <w:tcW w:w="593" w:type="pct"/>
            <w:shd w:val="clear" w:color="auto" w:fill="E9F5F2"/>
            <w:vAlign w:val="center"/>
          </w:tcPr>
          <w:p w14:paraId="7330E605" w14:textId="7CCBAA0E"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11.5</w:t>
            </w:r>
          </w:p>
        </w:tc>
        <w:tc>
          <w:tcPr>
            <w:tcW w:w="593" w:type="pct"/>
            <w:shd w:val="clear" w:color="auto" w:fill="E9F5F2"/>
            <w:vAlign w:val="center"/>
          </w:tcPr>
          <w:p w14:paraId="35F538BD" w14:textId="2C47CEDA"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10.5</w:t>
            </w:r>
          </w:p>
        </w:tc>
        <w:tc>
          <w:tcPr>
            <w:tcW w:w="593" w:type="pct"/>
            <w:shd w:val="clear" w:color="auto" w:fill="D4E8DE"/>
            <w:vAlign w:val="center"/>
          </w:tcPr>
          <w:p w14:paraId="1B8E8C4B" w14:textId="59D74D19"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5.4</w:t>
            </w:r>
          </w:p>
        </w:tc>
        <w:tc>
          <w:tcPr>
            <w:tcW w:w="593" w:type="pct"/>
            <w:shd w:val="clear" w:color="auto" w:fill="D4E8DE"/>
            <w:vAlign w:val="center"/>
          </w:tcPr>
          <w:p w14:paraId="46A8E6B9" w14:textId="33B591FF"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5.3</w:t>
            </w:r>
          </w:p>
        </w:tc>
        <w:tc>
          <w:tcPr>
            <w:tcW w:w="598" w:type="pct"/>
            <w:shd w:val="clear" w:color="auto" w:fill="C1DCD5"/>
            <w:vAlign w:val="center"/>
          </w:tcPr>
          <w:p w14:paraId="58A81A00" w14:textId="57AEBC47"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5.0</w:t>
            </w:r>
          </w:p>
        </w:tc>
      </w:tr>
      <w:tr w:rsidR="004B1EA7" w:rsidRPr="0091207A" w14:paraId="44B2610A" w14:textId="77777777" w:rsidTr="00B90A40">
        <w:trPr>
          <w:trHeight w:val="425"/>
        </w:trPr>
        <w:tc>
          <w:tcPr>
            <w:cnfStyle w:val="001000000000" w:firstRow="0" w:lastRow="0" w:firstColumn="1" w:lastColumn="0" w:oddVBand="0" w:evenVBand="0" w:oddHBand="0" w:evenHBand="0" w:firstRowFirstColumn="0" w:firstRowLastColumn="0" w:lastRowFirstColumn="0" w:lastRowLastColumn="0"/>
            <w:tcW w:w="2030" w:type="pct"/>
            <w:shd w:val="clear" w:color="auto" w:fill="C1DCD5"/>
            <w:vAlign w:val="center"/>
          </w:tcPr>
          <w:p w14:paraId="78557992" w14:textId="77777777" w:rsidR="00092121" w:rsidRPr="00C23A47" w:rsidRDefault="00092121" w:rsidP="009177DB">
            <w:pPr>
              <w:pStyle w:val="TableParagraph"/>
              <w:jc w:val="left"/>
              <w:rPr>
                <w:b w:val="0"/>
                <w:bCs w:val="0"/>
              </w:rPr>
            </w:pPr>
            <w:r w:rsidRPr="00C23A47">
              <w:rPr>
                <w:b w:val="0"/>
                <w:bCs w:val="0"/>
              </w:rPr>
              <w:t>Step 5b: Discrepancy adjustment</w:t>
            </w:r>
          </w:p>
        </w:tc>
        <w:tc>
          <w:tcPr>
            <w:tcW w:w="593" w:type="pct"/>
            <w:shd w:val="clear" w:color="auto" w:fill="E9F5F2"/>
            <w:vAlign w:val="center"/>
          </w:tcPr>
          <w:p w14:paraId="0225CDC7" w14:textId="6579C50F"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t>0.3</w:t>
            </w:r>
          </w:p>
        </w:tc>
        <w:tc>
          <w:tcPr>
            <w:tcW w:w="593" w:type="pct"/>
            <w:shd w:val="clear" w:color="auto" w:fill="E9F5F2"/>
            <w:vAlign w:val="center"/>
          </w:tcPr>
          <w:p w14:paraId="7F5408F5" w14:textId="0B89C56A"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t>0.3</w:t>
            </w:r>
          </w:p>
        </w:tc>
        <w:tc>
          <w:tcPr>
            <w:tcW w:w="593" w:type="pct"/>
            <w:shd w:val="clear" w:color="auto" w:fill="D4E8DE"/>
            <w:vAlign w:val="center"/>
          </w:tcPr>
          <w:p w14:paraId="55E88BA7" w14:textId="3F673BBD" w:rsidR="00092121" w:rsidRPr="00751111"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751111">
              <w:t>-1.7</w:t>
            </w:r>
          </w:p>
        </w:tc>
        <w:tc>
          <w:tcPr>
            <w:tcW w:w="593" w:type="pct"/>
            <w:shd w:val="clear" w:color="auto" w:fill="D4E8DE"/>
            <w:vAlign w:val="center"/>
          </w:tcPr>
          <w:p w14:paraId="55425EC2" w14:textId="766B9F64" w:rsidR="00092121" w:rsidRPr="00751111"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751111">
              <w:t>-1.5</w:t>
            </w:r>
          </w:p>
        </w:tc>
        <w:tc>
          <w:tcPr>
            <w:tcW w:w="598" w:type="pct"/>
            <w:shd w:val="clear" w:color="auto" w:fill="C1DCD5"/>
            <w:vAlign w:val="center"/>
          </w:tcPr>
          <w:p w14:paraId="6E3A1130" w14:textId="19CEC873" w:rsidR="00092121" w:rsidRPr="00751111"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751111">
              <w:t>-1.2</w:t>
            </w:r>
          </w:p>
        </w:tc>
      </w:tr>
      <w:tr w:rsidR="004B1EA7" w:rsidRPr="0091207A" w14:paraId="7AD0EAB3" w14:textId="77777777" w:rsidTr="00B90A4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30" w:type="pct"/>
            <w:shd w:val="clear" w:color="auto" w:fill="C1DCD5"/>
            <w:vAlign w:val="center"/>
          </w:tcPr>
          <w:p w14:paraId="0A418731" w14:textId="77777777" w:rsidR="00092121" w:rsidRPr="00C23A47" w:rsidRDefault="00092121" w:rsidP="009177DB">
            <w:pPr>
              <w:pStyle w:val="TableParagraph"/>
              <w:jc w:val="left"/>
              <w:rPr>
                <w:b w:val="0"/>
                <w:bCs w:val="0"/>
              </w:rPr>
            </w:pPr>
            <w:r w:rsidRPr="00C23A47">
              <w:rPr>
                <w:b w:val="0"/>
                <w:bCs w:val="0"/>
              </w:rPr>
              <w:t>Step 6: Approved overseas units</w:t>
            </w:r>
          </w:p>
        </w:tc>
        <w:tc>
          <w:tcPr>
            <w:tcW w:w="593" w:type="pct"/>
            <w:shd w:val="clear" w:color="auto" w:fill="E9F5F2"/>
            <w:vAlign w:val="center"/>
          </w:tcPr>
          <w:p w14:paraId="0EEC0C04" w14:textId="2CECA6D7"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0.0</w:t>
            </w:r>
          </w:p>
        </w:tc>
        <w:tc>
          <w:tcPr>
            <w:tcW w:w="593" w:type="pct"/>
            <w:shd w:val="clear" w:color="auto" w:fill="E9F5F2"/>
            <w:vAlign w:val="center"/>
          </w:tcPr>
          <w:p w14:paraId="1095A530" w14:textId="0DC94F64"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0.0</w:t>
            </w:r>
          </w:p>
        </w:tc>
        <w:tc>
          <w:tcPr>
            <w:tcW w:w="593" w:type="pct"/>
            <w:shd w:val="clear" w:color="auto" w:fill="D4E8DE"/>
            <w:vAlign w:val="center"/>
          </w:tcPr>
          <w:p w14:paraId="57EECA99" w14:textId="7EF7552A"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0.0</w:t>
            </w:r>
          </w:p>
        </w:tc>
        <w:tc>
          <w:tcPr>
            <w:tcW w:w="593" w:type="pct"/>
            <w:shd w:val="clear" w:color="auto" w:fill="D4E8DE"/>
            <w:vAlign w:val="center"/>
          </w:tcPr>
          <w:p w14:paraId="7EDF3734" w14:textId="718B220B"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0.0</w:t>
            </w:r>
          </w:p>
        </w:tc>
        <w:tc>
          <w:tcPr>
            <w:tcW w:w="598" w:type="pct"/>
            <w:shd w:val="clear" w:color="auto" w:fill="C1DCD5"/>
            <w:vAlign w:val="center"/>
          </w:tcPr>
          <w:p w14:paraId="5455CE1C" w14:textId="01A5EE85" w:rsidR="00092121" w:rsidRPr="0091207A"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t>0.0</w:t>
            </w:r>
          </w:p>
        </w:tc>
      </w:tr>
      <w:tr w:rsidR="004B1EA7" w:rsidRPr="0091207A" w14:paraId="7338858B" w14:textId="77777777" w:rsidTr="00B90A40">
        <w:trPr>
          <w:trHeight w:val="425"/>
        </w:trPr>
        <w:tc>
          <w:tcPr>
            <w:cnfStyle w:val="001000000000" w:firstRow="0" w:lastRow="0" w:firstColumn="1" w:lastColumn="0" w:oddVBand="0" w:evenVBand="0" w:oddHBand="0" w:evenHBand="0" w:firstRowFirstColumn="0" w:firstRowLastColumn="0" w:lastRowFirstColumn="0" w:lastRowLastColumn="0"/>
            <w:tcW w:w="2030" w:type="pct"/>
            <w:shd w:val="clear" w:color="auto" w:fill="C1DCD5"/>
            <w:vAlign w:val="center"/>
          </w:tcPr>
          <w:p w14:paraId="3BC8CFC3" w14:textId="66571D04" w:rsidR="00092121" w:rsidRPr="00C23A47" w:rsidRDefault="00092121" w:rsidP="009177DB">
            <w:pPr>
              <w:pStyle w:val="TableParagraph"/>
              <w:jc w:val="left"/>
              <w:rPr>
                <w:b w:val="0"/>
                <w:bCs w:val="0"/>
              </w:rPr>
            </w:pPr>
            <w:r w:rsidRPr="00C23A47">
              <w:rPr>
                <w:b w:val="0"/>
                <w:bCs w:val="0"/>
              </w:rPr>
              <w:t>Step 7</w:t>
            </w:r>
            <w:r w:rsidR="00F45071" w:rsidRPr="00C23A47">
              <w:rPr>
                <w:b w:val="0"/>
                <w:bCs w:val="0"/>
              </w:rPr>
              <w:t>a</w:t>
            </w:r>
            <w:r w:rsidRPr="00C23A47">
              <w:rPr>
                <w:b w:val="0"/>
                <w:bCs w:val="0"/>
              </w:rPr>
              <w:t xml:space="preserve">: </w:t>
            </w:r>
            <w:r w:rsidR="00F45071" w:rsidRPr="00C23A47">
              <w:rPr>
                <w:b w:val="0"/>
                <w:bCs w:val="0"/>
              </w:rPr>
              <w:t>Base a</w:t>
            </w:r>
            <w:r w:rsidRPr="00C23A47">
              <w:rPr>
                <w:b w:val="0"/>
                <w:bCs w:val="0"/>
              </w:rPr>
              <w:t>uction volumes</w:t>
            </w:r>
          </w:p>
        </w:tc>
        <w:tc>
          <w:tcPr>
            <w:tcW w:w="593" w:type="pct"/>
            <w:shd w:val="clear" w:color="auto" w:fill="E9F5F2"/>
            <w:vAlign w:val="center"/>
          </w:tcPr>
          <w:p w14:paraId="21D733B3" w14:textId="77777777"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t>5.2</w:t>
            </w:r>
          </w:p>
        </w:tc>
        <w:tc>
          <w:tcPr>
            <w:tcW w:w="593" w:type="pct"/>
            <w:shd w:val="clear" w:color="auto" w:fill="E9F5F2"/>
            <w:vAlign w:val="center"/>
          </w:tcPr>
          <w:p w14:paraId="57E714EB" w14:textId="77777777"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t>4.3</w:t>
            </w:r>
          </w:p>
        </w:tc>
        <w:tc>
          <w:tcPr>
            <w:tcW w:w="593" w:type="pct"/>
            <w:shd w:val="clear" w:color="auto" w:fill="D4E8DE"/>
            <w:vAlign w:val="center"/>
          </w:tcPr>
          <w:p w14:paraId="571A72BB" w14:textId="5D50263A"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t>9.</w:t>
            </w:r>
            <w:r w:rsidR="003E3C2C">
              <w:t>2</w:t>
            </w:r>
          </w:p>
        </w:tc>
        <w:tc>
          <w:tcPr>
            <w:tcW w:w="593" w:type="pct"/>
            <w:shd w:val="clear" w:color="auto" w:fill="D4E8DE"/>
            <w:vAlign w:val="center"/>
          </w:tcPr>
          <w:p w14:paraId="2CB05756" w14:textId="77777777" w:rsidR="00092121" w:rsidRPr="0091207A" w:rsidRDefault="00092121"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t>6.8</w:t>
            </w:r>
          </w:p>
        </w:tc>
        <w:tc>
          <w:tcPr>
            <w:tcW w:w="598" w:type="pct"/>
            <w:shd w:val="clear" w:color="auto" w:fill="C1DCD5"/>
            <w:vAlign w:val="center"/>
          </w:tcPr>
          <w:p w14:paraId="04134B33" w14:textId="728585C2" w:rsidR="00092121" w:rsidRPr="0091207A" w:rsidRDefault="003E3C2C" w:rsidP="009177DB">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t>5.1</w:t>
            </w:r>
          </w:p>
        </w:tc>
      </w:tr>
      <w:tr w:rsidR="004B1EA7" w:rsidRPr="005A6D57" w14:paraId="64CFBF4F" w14:textId="77777777" w:rsidTr="00B90A4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30" w:type="pct"/>
            <w:shd w:val="clear" w:color="auto" w:fill="C1DCD5"/>
            <w:vAlign w:val="center"/>
          </w:tcPr>
          <w:p w14:paraId="5A68112B" w14:textId="55BC14CB" w:rsidR="00092121" w:rsidRPr="007F5F35" w:rsidRDefault="00F45071" w:rsidP="007F5F35">
            <w:pPr>
              <w:pStyle w:val="TableParagraph"/>
              <w:ind w:left="170"/>
              <w:jc w:val="left"/>
            </w:pPr>
            <w:r w:rsidRPr="005A6D57">
              <w:t xml:space="preserve">Step 7b: Final auction </w:t>
            </w:r>
            <w:r w:rsidR="00092121" w:rsidRPr="005A6D57">
              <w:t>volumes</w:t>
            </w:r>
          </w:p>
        </w:tc>
        <w:tc>
          <w:tcPr>
            <w:tcW w:w="593" w:type="pct"/>
            <w:shd w:val="clear" w:color="auto" w:fill="E9F5F2"/>
            <w:vAlign w:val="center"/>
          </w:tcPr>
          <w:p w14:paraId="65677935" w14:textId="77777777" w:rsidR="00092121" w:rsidRPr="007F5F35"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NZ"/>
              </w:rPr>
            </w:pPr>
            <w:r w:rsidRPr="007F5F35">
              <w:rPr>
                <w:b/>
              </w:rPr>
              <w:t>5.2</w:t>
            </w:r>
          </w:p>
        </w:tc>
        <w:tc>
          <w:tcPr>
            <w:tcW w:w="593" w:type="pct"/>
            <w:shd w:val="clear" w:color="auto" w:fill="E9F5F2"/>
            <w:vAlign w:val="center"/>
          </w:tcPr>
          <w:p w14:paraId="4DA1D73F" w14:textId="77777777" w:rsidR="00092121" w:rsidRPr="007F5F35"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NZ"/>
              </w:rPr>
            </w:pPr>
            <w:r w:rsidRPr="007F5F35">
              <w:rPr>
                <w:b/>
              </w:rPr>
              <w:t>4.3</w:t>
            </w:r>
          </w:p>
        </w:tc>
        <w:tc>
          <w:tcPr>
            <w:tcW w:w="593" w:type="pct"/>
            <w:shd w:val="clear" w:color="auto" w:fill="D4E8DE"/>
            <w:vAlign w:val="center"/>
          </w:tcPr>
          <w:p w14:paraId="54CB626E" w14:textId="2B769D98" w:rsidR="00092121" w:rsidRPr="007F5F35"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NZ"/>
              </w:rPr>
            </w:pPr>
            <w:r w:rsidRPr="007F5F35">
              <w:rPr>
                <w:b/>
              </w:rPr>
              <w:t>7.0</w:t>
            </w:r>
          </w:p>
        </w:tc>
        <w:tc>
          <w:tcPr>
            <w:tcW w:w="593" w:type="pct"/>
            <w:shd w:val="clear" w:color="auto" w:fill="D4E8DE"/>
            <w:vAlign w:val="center"/>
          </w:tcPr>
          <w:p w14:paraId="198BE7EF" w14:textId="00889A1A" w:rsidR="00092121" w:rsidRPr="007F5F35"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NZ"/>
              </w:rPr>
            </w:pPr>
            <w:r w:rsidRPr="007F5F35">
              <w:rPr>
                <w:b/>
              </w:rPr>
              <w:t>7.0</w:t>
            </w:r>
          </w:p>
        </w:tc>
        <w:tc>
          <w:tcPr>
            <w:tcW w:w="598" w:type="pct"/>
            <w:shd w:val="clear" w:color="auto" w:fill="C1DCD5"/>
            <w:vAlign w:val="center"/>
          </w:tcPr>
          <w:p w14:paraId="274D8ABA" w14:textId="138C8EAC" w:rsidR="00092121" w:rsidRPr="007F5F35" w:rsidRDefault="00092121" w:rsidP="009177DB">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NZ"/>
              </w:rPr>
            </w:pPr>
            <w:r w:rsidRPr="007F5F35">
              <w:rPr>
                <w:b/>
              </w:rPr>
              <w:t>7.0</w:t>
            </w:r>
          </w:p>
        </w:tc>
      </w:tr>
      <w:tr w:rsidR="00D73882" w:rsidRPr="0091207A" w14:paraId="3A0EA8EF" w14:textId="77777777" w:rsidTr="009177DB">
        <w:trPr>
          <w:trHeight w:val="483"/>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vAlign w:val="center"/>
          </w:tcPr>
          <w:p w14:paraId="7925CBF7" w14:textId="0B169B46" w:rsidR="00D73882" w:rsidRPr="009177DB" w:rsidRDefault="00D73882" w:rsidP="00B90A40">
            <w:pPr>
              <w:pStyle w:val="Sourceline"/>
              <w:spacing w:before="0" w:after="0" w:line="240" w:lineRule="auto"/>
              <w:rPr>
                <w:b w:val="0"/>
              </w:rPr>
            </w:pPr>
            <w:r w:rsidRPr="009177DB">
              <w:rPr>
                <w:b w:val="0"/>
              </w:rPr>
              <w:t>*Unit volume figures are rounded to one decimal place and columns may not sum due to rounding.</w:t>
            </w:r>
          </w:p>
        </w:tc>
      </w:tr>
    </w:tbl>
    <w:p w14:paraId="64560080" w14:textId="669F7CFA" w:rsidR="009A69F1" w:rsidRPr="007E18A2" w:rsidRDefault="009A69F1" w:rsidP="00FF4148">
      <w:pPr>
        <w:pStyle w:val="FigureTabletitle"/>
        <w:ind w:right="0"/>
        <w:rPr>
          <w:i/>
        </w:rPr>
      </w:pPr>
      <w:r w:rsidRPr="007E18A2">
        <w:lastRenderedPageBreak/>
        <w:t>Figure</w:t>
      </w:r>
      <w:r w:rsidR="00D71E95" w:rsidRPr="007E18A2">
        <w:t xml:space="preserve"> 3.</w:t>
      </w:r>
      <w:r w:rsidR="00291417" w:rsidRPr="007E18A2">
        <w:t>3</w:t>
      </w:r>
      <w:r w:rsidR="00D71E95" w:rsidRPr="007E18A2">
        <w:t>:</w:t>
      </w:r>
      <w:r w:rsidRPr="007E18A2">
        <w:t xml:space="preserve"> </w:t>
      </w:r>
      <w:r w:rsidR="00A97538" w:rsidRPr="00FF4148">
        <w:rPr>
          <w:b w:val="0"/>
          <w:bCs w:val="0"/>
        </w:rPr>
        <w:t xml:space="preserve">The </w:t>
      </w:r>
      <w:r w:rsidR="00061DCB" w:rsidRPr="00FF4148">
        <w:rPr>
          <w:b w:val="0"/>
          <w:bCs w:val="0"/>
        </w:rPr>
        <w:t xml:space="preserve">Commission’s </w:t>
      </w:r>
      <w:r w:rsidR="009C5BD9" w:rsidRPr="00FF4148">
        <w:rPr>
          <w:b w:val="0"/>
          <w:bCs w:val="0"/>
        </w:rPr>
        <w:t>proposed auction volumes</w:t>
      </w:r>
      <w:r w:rsidR="00924022" w:rsidRPr="00FF4148">
        <w:rPr>
          <w:b w:val="0"/>
          <w:bCs w:val="0"/>
        </w:rPr>
        <w:t xml:space="preserve"> </w:t>
      </w:r>
      <w:r w:rsidR="00471E65" w:rsidRPr="00FF4148">
        <w:rPr>
          <w:b w:val="0"/>
          <w:bCs w:val="0"/>
        </w:rPr>
        <w:t>and other volumes under the NZ ETS emissions cap</w:t>
      </w:r>
      <w:r w:rsidR="00F2338F" w:rsidRPr="00FF4148">
        <w:rPr>
          <w:rStyle w:val="FootnoteReference"/>
          <w:b w:val="0"/>
          <w:bCs w:val="0"/>
          <w:szCs w:val="20"/>
        </w:rPr>
        <w:footnoteReference w:id="28"/>
      </w:r>
      <w:r w:rsidR="00061DCB" w:rsidRPr="00FF4148">
        <w:rPr>
          <w:b w:val="0"/>
          <w:bCs w:val="0"/>
        </w:rPr>
        <w:t> </w:t>
      </w:r>
    </w:p>
    <w:p w14:paraId="2B19EC84" w14:textId="50D06B47" w:rsidR="00923396" w:rsidRDefault="00C2654A" w:rsidP="00FF4148">
      <w:pPr>
        <w:spacing w:after="0"/>
      </w:pPr>
      <w:r w:rsidRPr="00C2654A">
        <w:rPr>
          <w:noProof/>
        </w:rPr>
        <w:drawing>
          <wp:inline distT="0" distB="0" distL="0" distR="0" wp14:anchorId="67E7487F" wp14:editId="3469382A">
            <wp:extent cx="5759450" cy="3382010"/>
            <wp:effectExtent l="0" t="0" r="0" b="8890"/>
            <wp:docPr id="2126037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382010"/>
                    </a:xfrm>
                    <a:prstGeom prst="rect">
                      <a:avLst/>
                    </a:prstGeom>
                    <a:noFill/>
                    <a:ln>
                      <a:noFill/>
                    </a:ln>
                  </pic:spPr>
                </pic:pic>
              </a:graphicData>
            </a:graphic>
          </wp:inline>
        </w:drawing>
      </w:r>
    </w:p>
    <w:p w14:paraId="76C601E7" w14:textId="65CED466" w:rsidR="0038397F" w:rsidRPr="005B156E" w:rsidRDefault="0038397F" w:rsidP="00FF4148">
      <w:pPr>
        <w:spacing w:before="0"/>
        <w:rPr>
          <w:sz w:val="20"/>
          <w:szCs w:val="20"/>
        </w:rPr>
      </w:pPr>
      <w:r w:rsidRPr="005B156E">
        <w:rPr>
          <w:sz w:val="20"/>
          <w:szCs w:val="20"/>
        </w:rPr>
        <w:t>Source: Commission analysis</w:t>
      </w:r>
    </w:p>
    <w:p w14:paraId="1FCEE652" w14:textId="3819E553" w:rsidR="00585C4E" w:rsidRPr="00AA2117" w:rsidRDefault="00C87E6F" w:rsidP="005B156E">
      <w:pPr>
        <w:pStyle w:val="Heading2nonumber"/>
      </w:pPr>
      <w:bookmarkStart w:id="35" w:name="_Toc195447242"/>
      <w:r w:rsidRPr="00AA2117">
        <w:t>Sensitivities, risks and future developments in auction volumes</w:t>
      </w:r>
      <w:bookmarkEnd w:id="35"/>
    </w:p>
    <w:p w14:paraId="13126300" w14:textId="6D9D004A" w:rsidR="007D0F96" w:rsidRPr="00AA2117" w:rsidRDefault="007D0F96" w:rsidP="007D0F96">
      <w:r w:rsidRPr="00AA2117">
        <w:t>Here we discuss the largest sensitivities, risks, and factors most likely to cause changes within the steps</w:t>
      </w:r>
      <w:r w:rsidR="000E7EAA">
        <w:t xml:space="preserve"> in our methodology</w:t>
      </w:r>
      <w:r w:rsidR="002B2CA6">
        <w:t>. This is</w:t>
      </w:r>
      <w:r w:rsidRPr="00AA2117">
        <w:t xml:space="preserve"> to highlight issues that could </w:t>
      </w:r>
      <w:r w:rsidR="000E7EAA">
        <w:t>lead to</w:t>
      </w:r>
      <w:r w:rsidR="002B2CA6">
        <w:t xml:space="preserve"> the</w:t>
      </w:r>
      <w:r w:rsidRPr="00AA2117">
        <w:t xml:space="preserve"> NZ ETS settings </w:t>
      </w:r>
      <w:r w:rsidR="000E7EAA">
        <w:t xml:space="preserve">needing </w:t>
      </w:r>
      <w:r w:rsidRPr="00AA2117">
        <w:t xml:space="preserve">to be revised over time.  </w:t>
      </w:r>
    </w:p>
    <w:p w14:paraId="3E19565C" w14:textId="7176CB15" w:rsidR="007D0F96" w:rsidRPr="00AA2117" w:rsidRDefault="007D0F96" w:rsidP="007D0F96">
      <w:r w:rsidRPr="005B156E">
        <w:rPr>
          <w:i/>
        </w:rPr>
        <w:t xml:space="preserve">Technical </w:t>
      </w:r>
      <w:r w:rsidR="000C459C">
        <w:rPr>
          <w:i/>
          <w:iCs/>
        </w:rPr>
        <w:t>A</w:t>
      </w:r>
      <w:r w:rsidR="00673189" w:rsidRPr="005B156E">
        <w:rPr>
          <w:i/>
        </w:rPr>
        <w:t xml:space="preserve">nnex </w:t>
      </w:r>
      <w:r w:rsidR="00B35064" w:rsidRPr="005B156E">
        <w:rPr>
          <w:i/>
        </w:rPr>
        <w:t xml:space="preserve">1: Unit </w:t>
      </w:r>
      <w:r w:rsidR="00673189">
        <w:rPr>
          <w:i/>
          <w:iCs/>
        </w:rPr>
        <w:t>l</w:t>
      </w:r>
      <w:r w:rsidR="00673189" w:rsidRPr="005B156E">
        <w:rPr>
          <w:i/>
          <w:iCs/>
        </w:rPr>
        <w:t>imit</w:t>
      </w:r>
      <w:r w:rsidR="006713CD">
        <w:rPr>
          <w:i/>
          <w:iCs/>
        </w:rPr>
        <w:t xml:space="preserve"> setting</w:t>
      </w:r>
      <w:r w:rsidR="00673189" w:rsidRPr="005B156E">
        <w:rPr>
          <w:i/>
          <w:iCs/>
        </w:rPr>
        <w:t>s</w:t>
      </w:r>
      <w:r w:rsidR="00B90D6C">
        <w:t>;</w:t>
      </w:r>
      <w:r w:rsidRPr="00AA2117">
        <w:t xml:space="preserve"> its associated spreadsheet</w:t>
      </w:r>
      <w:r w:rsidR="00B90D6C">
        <w:t>;</w:t>
      </w:r>
      <w:r w:rsidRPr="00AA2117">
        <w:t xml:space="preserve"> </w:t>
      </w:r>
      <w:r w:rsidR="00B35064" w:rsidRPr="005B156E">
        <w:rPr>
          <w:i/>
        </w:rPr>
        <w:t xml:space="preserve">Technical </w:t>
      </w:r>
      <w:r w:rsidR="000C459C">
        <w:rPr>
          <w:i/>
        </w:rPr>
        <w:t>A</w:t>
      </w:r>
      <w:r w:rsidR="00673189" w:rsidRPr="005B156E">
        <w:rPr>
          <w:i/>
        </w:rPr>
        <w:t xml:space="preserve">nnex </w:t>
      </w:r>
      <w:r w:rsidR="00B35064" w:rsidRPr="005B156E">
        <w:rPr>
          <w:i/>
        </w:rPr>
        <w:t xml:space="preserve">2: Price </w:t>
      </w:r>
      <w:r w:rsidR="00673189">
        <w:rPr>
          <w:i/>
          <w:iCs/>
        </w:rPr>
        <w:t>c</w:t>
      </w:r>
      <w:r w:rsidR="00673189" w:rsidRPr="005B156E">
        <w:rPr>
          <w:i/>
        </w:rPr>
        <w:t xml:space="preserve">ontrol </w:t>
      </w:r>
      <w:r w:rsidR="00673189">
        <w:rPr>
          <w:i/>
          <w:iCs/>
        </w:rPr>
        <w:t>s</w:t>
      </w:r>
      <w:r w:rsidR="00673189" w:rsidRPr="005B156E">
        <w:rPr>
          <w:i/>
          <w:iCs/>
        </w:rPr>
        <w:t>ettings</w:t>
      </w:r>
      <w:r w:rsidR="00B90D6C">
        <w:t>;</w:t>
      </w:r>
      <w:r w:rsidR="00B35064">
        <w:t xml:space="preserve"> </w:t>
      </w:r>
      <w:r w:rsidRPr="00AA2117">
        <w:t xml:space="preserve">and </w:t>
      </w:r>
      <w:r w:rsidR="007D1133" w:rsidRPr="00FE7F6C">
        <w:rPr>
          <w:i/>
        </w:rPr>
        <w:t xml:space="preserve">Technical Annex 3: </w:t>
      </w:r>
      <w:r w:rsidRPr="005B156E">
        <w:rPr>
          <w:i/>
        </w:rPr>
        <w:t xml:space="preserve">Assessment of </w:t>
      </w:r>
      <w:r w:rsidR="003746B6">
        <w:rPr>
          <w:i/>
        </w:rPr>
        <w:t>a</w:t>
      </w:r>
      <w:r w:rsidRPr="005B156E">
        <w:rPr>
          <w:i/>
        </w:rPr>
        <w:t>ccordance</w:t>
      </w:r>
      <w:r w:rsidR="00EA54EA">
        <w:rPr>
          <w:iCs/>
        </w:rPr>
        <w:t xml:space="preserve">, all </w:t>
      </w:r>
      <w:r w:rsidRPr="00AA2117">
        <w:t>published separately on our website</w:t>
      </w:r>
      <w:r w:rsidR="00C661D5">
        <w:t>,</w:t>
      </w:r>
      <w:r w:rsidRPr="00AA2117">
        <w:t xml:space="preserve"> cover our assessment </w:t>
      </w:r>
      <w:r w:rsidR="00D11223" w:rsidRPr="00AA2117">
        <w:t>in more depth</w:t>
      </w:r>
      <w:r w:rsidR="008D4AF8">
        <w:t>. This includes</w:t>
      </w:r>
      <w:r w:rsidR="00526F9D">
        <w:t xml:space="preserve"> covering</w:t>
      </w:r>
      <w:r w:rsidR="00D11223" w:rsidRPr="00AA2117">
        <w:t xml:space="preserve"> </w:t>
      </w:r>
      <w:r w:rsidRPr="00AA2117">
        <w:t>how the NZ ETS settings</w:t>
      </w:r>
      <w:r w:rsidR="00926F60">
        <w:t>,</w:t>
      </w:r>
      <w:r w:rsidRPr="00AA2117">
        <w:t xml:space="preserve"> including the unit limits</w:t>
      </w:r>
      <w:r w:rsidR="00926F60">
        <w:t>,</w:t>
      </w:r>
      <w:r w:rsidRPr="00AA2117">
        <w:t xml:space="preserve"> align with the emissions reduction targets beyond 2030 (</w:t>
      </w:r>
      <w:r w:rsidR="00001126">
        <w:t xml:space="preserve">the third </w:t>
      </w:r>
      <w:r w:rsidRPr="00AA2117">
        <w:t>emissions budget</w:t>
      </w:r>
      <w:r w:rsidR="00001126">
        <w:t xml:space="preserve"> </w:t>
      </w:r>
      <w:r w:rsidRPr="00AA2117">
        <w:t xml:space="preserve">and the 2050 target).   </w:t>
      </w:r>
    </w:p>
    <w:p w14:paraId="4A37BA17" w14:textId="39712B8B" w:rsidR="00FB464E" w:rsidRDefault="007D0F96" w:rsidP="00FB464E">
      <w:r w:rsidRPr="00997D18">
        <w:rPr>
          <w:b/>
        </w:rPr>
        <w:t>St</w:t>
      </w:r>
      <w:r w:rsidRPr="00997D18">
        <w:rPr>
          <w:b/>
          <w:bCs/>
        </w:rPr>
        <w:t>ep 1: Aligning with emissions reduction targets:</w:t>
      </w:r>
      <w:r w:rsidRPr="00997D18">
        <w:t xml:space="preserve"> </w:t>
      </w:r>
    </w:p>
    <w:p w14:paraId="69B762C0" w14:textId="30F48F22" w:rsidR="007D0F96" w:rsidRPr="00997D18" w:rsidRDefault="00FB464E" w:rsidP="007D0F96">
      <w:r>
        <w:t xml:space="preserve">In 2025 the Government will need to review </w:t>
      </w:r>
      <w:r w:rsidR="00001126">
        <w:t xml:space="preserve">the second and third </w:t>
      </w:r>
      <w:r>
        <w:t>emissions budget</w:t>
      </w:r>
      <w:r w:rsidR="002106C7">
        <w:t>s</w:t>
      </w:r>
      <w:r>
        <w:t xml:space="preserve"> and set the fourth (2036</w:t>
      </w:r>
      <w:r w:rsidR="006772B0" w:rsidRPr="00647E27">
        <w:rPr>
          <w:i/>
          <w:iCs/>
        </w:rPr>
        <w:t>–</w:t>
      </w:r>
      <w:r>
        <w:t>2040</w:t>
      </w:r>
      <w:r w:rsidR="00353A4E">
        <w:t xml:space="preserve">) </w:t>
      </w:r>
      <w:r>
        <w:t xml:space="preserve">emissions budget. </w:t>
      </w:r>
      <w:r w:rsidR="003C7070">
        <w:t xml:space="preserve">These decisions will have a bearing on </w:t>
      </w:r>
      <w:r w:rsidR="000B335C">
        <w:t xml:space="preserve">the Commission’s </w:t>
      </w:r>
      <w:r w:rsidR="003C7070">
        <w:t>future NZ ETS settings advice</w:t>
      </w:r>
      <w:r w:rsidR="00C945E0">
        <w:t>, as they have the potential to</w:t>
      </w:r>
      <w:r w:rsidR="005F4772">
        <w:t xml:space="preserve"> </w:t>
      </w:r>
      <w:r w:rsidR="000E191E">
        <w:t>chang</w:t>
      </w:r>
      <w:r w:rsidR="00C945E0">
        <w:t>e</w:t>
      </w:r>
      <w:r w:rsidR="000E191E">
        <w:t xml:space="preserve"> the </w:t>
      </w:r>
      <w:r w:rsidR="00AE4C0A">
        <w:t xml:space="preserve">emissions </w:t>
      </w:r>
      <w:r w:rsidR="000E191E">
        <w:t>g</w:t>
      </w:r>
      <w:r w:rsidR="00E70DE7">
        <w:t>oal</w:t>
      </w:r>
      <w:r>
        <w:t xml:space="preserve"> the NZ ETS </w:t>
      </w:r>
      <w:r w:rsidR="00E70DE7">
        <w:t>is being used to support.</w:t>
      </w:r>
      <w:r>
        <w:t xml:space="preserve"> </w:t>
      </w:r>
      <w:r w:rsidR="009512E4">
        <w:t xml:space="preserve">Depending on when </w:t>
      </w:r>
      <w:r w:rsidR="000A7D52">
        <w:t>in 2025</w:t>
      </w:r>
      <w:r>
        <w:t xml:space="preserve"> the Government </w:t>
      </w:r>
      <w:r w:rsidR="00E05256">
        <w:t xml:space="preserve">confirms </w:t>
      </w:r>
      <w:r>
        <w:t xml:space="preserve">the reviewed </w:t>
      </w:r>
      <w:r w:rsidR="00CA14D8">
        <w:t>emission</w:t>
      </w:r>
      <w:r w:rsidR="00F74F1F">
        <w:t>s</w:t>
      </w:r>
      <w:r w:rsidR="00CA14D8">
        <w:t xml:space="preserve"> </w:t>
      </w:r>
      <w:r>
        <w:t>budgets</w:t>
      </w:r>
      <w:r w:rsidR="00406455">
        <w:t>,</w:t>
      </w:r>
      <w:r>
        <w:t xml:space="preserve"> the Commission </w:t>
      </w:r>
      <w:r w:rsidR="00406455">
        <w:t xml:space="preserve">may </w:t>
      </w:r>
      <w:r w:rsidR="00E66304">
        <w:t>or may not be able to incorporate it into</w:t>
      </w:r>
      <w:r>
        <w:t xml:space="preserve"> our advice on recommended settings in early 2026.  </w:t>
      </w:r>
      <w:r w:rsidR="007D0F96" w:rsidRPr="00997D18">
        <w:t xml:space="preserve">   </w:t>
      </w:r>
    </w:p>
    <w:p w14:paraId="479880C0" w14:textId="09D3FF5D" w:rsidR="00C94FAF" w:rsidRDefault="009C3FEA" w:rsidP="009C3FEA">
      <w:r w:rsidRPr="00DD554F">
        <w:rPr>
          <w:b/>
          <w:bCs/>
        </w:rPr>
        <w:lastRenderedPageBreak/>
        <w:t>Step 2:</w:t>
      </w:r>
      <w:r w:rsidRPr="00DD554F">
        <w:t xml:space="preserve"> </w:t>
      </w:r>
      <w:r w:rsidRPr="00DD554F">
        <w:rPr>
          <w:b/>
          <w:bCs/>
        </w:rPr>
        <w:t xml:space="preserve">Allocate the emissions volume to NZ ETS and non-NZ ETS sectors (‘set the emissions cap’): </w:t>
      </w:r>
      <w:r w:rsidR="00862A8C" w:rsidRPr="00862A8C">
        <w:t>The second</w:t>
      </w:r>
      <w:r>
        <w:t xml:space="preserve"> emissions </w:t>
      </w:r>
      <w:r w:rsidR="00862A8C" w:rsidRPr="00862A8C">
        <w:t>reduction plan</w:t>
      </w:r>
      <w:r w:rsidR="00836910" w:rsidRPr="00304E07">
        <w:t xml:space="preserve"> </w:t>
      </w:r>
      <w:r w:rsidR="00080280" w:rsidRPr="00304E07">
        <w:t xml:space="preserve">included </w:t>
      </w:r>
      <w:r w:rsidR="002F49F8">
        <w:t xml:space="preserve">emissions </w:t>
      </w:r>
      <w:r>
        <w:t>projections</w:t>
      </w:r>
      <w:r w:rsidR="002958DD">
        <w:t>. It also</w:t>
      </w:r>
      <w:r w:rsidR="00080280" w:rsidRPr="00304E07" w:rsidDel="002958DD">
        <w:t xml:space="preserve"> </w:t>
      </w:r>
      <w:r w:rsidR="008F4C5D">
        <w:t xml:space="preserve">included a decision by the </w:t>
      </w:r>
      <w:r w:rsidR="00080280" w:rsidRPr="00304E07">
        <w:t>Government</w:t>
      </w:r>
      <w:r w:rsidR="008F4C5D">
        <w:t xml:space="preserve"> on a provisional NZ ETS emissions cap based on the projections</w:t>
      </w:r>
      <w:r w:rsidR="009533C6">
        <w:t xml:space="preserve"> of emissions from NZ ETS sectors</w:t>
      </w:r>
      <w:r>
        <w:t>. We align</w:t>
      </w:r>
      <w:r w:rsidR="00304E07">
        <w:t>ed</w:t>
      </w:r>
      <w:r>
        <w:t xml:space="preserve"> the </w:t>
      </w:r>
      <w:r w:rsidR="004635B2">
        <w:t xml:space="preserve">volumes allocated to </w:t>
      </w:r>
      <w:r>
        <w:t xml:space="preserve">the </w:t>
      </w:r>
      <w:r w:rsidR="00A765CC">
        <w:br/>
      </w:r>
      <w:r>
        <w:t xml:space="preserve">NZ ETS </w:t>
      </w:r>
      <w:r w:rsidR="004635B2">
        <w:t xml:space="preserve">used in this advice </w:t>
      </w:r>
      <w:r>
        <w:t xml:space="preserve">with the </w:t>
      </w:r>
      <w:r w:rsidR="00C94FAF">
        <w:t xml:space="preserve">emissions cap and </w:t>
      </w:r>
      <w:r>
        <w:t>projections provided</w:t>
      </w:r>
      <w:r w:rsidR="004A518D">
        <w:t xml:space="preserve"> in the second emissions reduction plan</w:t>
      </w:r>
      <w:r>
        <w:t xml:space="preserve">, since </w:t>
      </w:r>
      <w:r w:rsidR="00304E07">
        <w:t xml:space="preserve">they </w:t>
      </w:r>
      <w:r w:rsidR="009037BD">
        <w:t>forecast meeting the first and second emissions budgets.</w:t>
      </w:r>
      <w:r>
        <w:t xml:space="preserve"> </w:t>
      </w:r>
    </w:p>
    <w:p w14:paraId="3ED1040A" w14:textId="1650A428" w:rsidR="00DF40F2" w:rsidRDefault="009C3FEA" w:rsidP="009C3FEA">
      <w:r>
        <w:t xml:space="preserve">However, </w:t>
      </w:r>
      <w:r w:rsidR="006C12E0">
        <w:t>the Government has not</w:t>
      </w:r>
      <w:r w:rsidR="004A518D">
        <w:t xml:space="preserve"> yet</w:t>
      </w:r>
      <w:r w:rsidR="006C12E0">
        <w:t xml:space="preserve"> set out</w:t>
      </w:r>
      <w:r>
        <w:t xml:space="preserve"> </w:t>
      </w:r>
      <w:r w:rsidR="00F3535A">
        <w:t xml:space="preserve">its intentions for the emissions cap beyond 2030. </w:t>
      </w:r>
      <w:r w:rsidR="00667075">
        <w:t xml:space="preserve">The </w:t>
      </w:r>
      <w:r w:rsidR="005F49B9">
        <w:t xml:space="preserve">most recent emissions projections </w:t>
      </w:r>
      <w:r w:rsidR="00953130">
        <w:t>do not meet the third emissions budget (2031</w:t>
      </w:r>
      <w:r w:rsidR="000E028A" w:rsidRPr="00647E27">
        <w:rPr>
          <w:i/>
          <w:iCs/>
        </w:rPr>
        <w:t>–</w:t>
      </w:r>
      <w:r w:rsidR="00953130">
        <w:t>2035)</w:t>
      </w:r>
      <w:r w:rsidR="008760D3">
        <w:t xml:space="preserve">, so </w:t>
      </w:r>
      <w:r w:rsidR="00C02D68">
        <w:t xml:space="preserve">projections of emissions from NZ ETS sectors </w:t>
      </w:r>
      <w:r w:rsidR="001779D7">
        <w:t xml:space="preserve">are unlikely to be </w:t>
      </w:r>
      <w:r w:rsidR="00EA1302">
        <w:t>suitable for use</w:t>
      </w:r>
      <w:r w:rsidR="001779D7">
        <w:t xml:space="preserve"> as the emissions cap beyond 2030</w:t>
      </w:r>
      <w:r w:rsidR="00BF32D0">
        <w:t>.</w:t>
      </w:r>
      <w:r w:rsidR="00953130">
        <w:t xml:space="preserve"> </w:t>
      </w:r>
      <w:r w:rsidR="00261359">
        <w:t xml:space="preserve">It would be helpful </w:t>
      </w:r>
      <w:r w:rsidR="00DE5BDB">
        <w:t xml:space="preserve">for </w:t>
      </w:r>
      <w:r w:rsidR="006643BC">
        <w:t xml:space="preserve">the Government </w:t>
      </w:r>
      <w:r w:rsidR="00DE5BDB">
        <w:t xml:space="preserve">to clarify </w:t>
      </w:r>
      <w:r w:rsidR="00855CC0">
        <w:t xml:space="preserve">how </w:t>
      </w:r>
      <w:r w:rsidR="00A9794D">
        <w:t xml:space="preserve">it </w:t>
      </w:r>
      <w:r w:rsidR="006643BC">
        <w:t xml:space="preserve">expects the emissions cap to </w:t>
      </w:r>
      <w:r w:rsidR="00EF43A6">
        <w:t>be extended</w:t>
      </w:r>
      <w:r w:rsidR="00C7700E">
        <w:t xml:space="preserve"> into the 2030s and </w:t>
      </w:r>
      <w:r w:rsidR="00855CC0">
        <w:t xml:space="preserve">whether </w:t>
      </w:r>
      <w:r w:rsidR="00FD766C">
        <w:t xml:space="preserve">(and how) it </w:t>
      </w:r>
      <w:r w:rsidR="00B56419">
        <w:t>expects the cap</w:t>
      </w:r>
      <w:r w:rsidR="00FD766C">
        <w:t xml:space="preserve"> to </w:t>
      </w:r>
      <w:r w:rsidR="00B56419">
        <w:t xml:space="preserve">be adjusted as emissions projections change </w:t>
      </w:r>
      <w:r w:rsidR="00210C13">
        <w:t>in future</w:t>
      </w:r>
      <w:r w:rsidR="00B56419">
        <w:t>.</w:t>
      </w:r>
      <w:r w:rsidR="00AC1AE7">
        <w:t xml:space="preserve"> This will become an issue for the NZ ETS</w:t>
      </w:r>
      <w:r w:rsidR="00DE3540">
        <w:t xml:space="preserve"> from</w:t>
      </w:r>
      <w:r w:rsidR="00927007">
        <w:t xml:space="preserve"> next year, </w:t>
      </w:r>
      <w:r w:rsidR="00DE3540">
        <w:t xml:space="preserve">when </w:t>
      </w:r>
      <w:r w:rsidR="00E22F81">
        <w:t>the</w:t>
      </w:r>
      <w:r w:rsidR="00406F59">
        <w:t xml:space="preserve"> unit limit </w:t>
      </w:r>
      <w:r w:rsidR="00B22669">
        <w:t xml:space="preserve">settings </w:t>
      </w:r>
      <w:r w:rsidR="00DE3540">
        <w:t xml:space="preserve">will start to cover years </w:t>
      </w:r>
      <w:r w:rsidR="008A7892">
        <w:t xml:space="preserve">in the </w:t>
      </w:r>
      <w:r w:rsidR="00927007">
        <w:t xml:space="preserve">third emissions </w:t>
      </w:r>
      <w:r w:rsidR="00547B44">
        <w:t xml:space="preserve">budget </w:t>
      </w:r>
      <w:r w:rsidR="00927007">
        <w:t>period.</w:t>
      </w:r>
    </w:p>
    <w:p w14:paraId="5F5FD3ED" w14:textId="67C147F4" w:rsidR="00110D27" w:rsidRDefault="00110D27" w:rsidP="009C3FEA">
      <w:r>
        <w:t xml:space="preserve">It is </w:t>
      </w:r>
      <w:r w:rsidR="007F0627">
        <w:t xml:space="preserve">also </w:t>
      </w:r>
      <w:r w:rsidR="0019380D">
        <w:t xml:space="preserve">currently </w:t>
      </w:r>
      <w:r>
        <w:t xml:space="preserve">unclear how the Government intends to meet the third emissions budget and what additional policies it </w:t>
      </w:r>
      <w:r w:rsidR="007F0627">
        <w:t>might</w:t>
      </w:r>
      <w:r>
        <w:t xml:space="preserve"> implement</w:t>
      </w:r>
      <w:r w:rsidR="007F0627">
        <w:t xml:space="preserve"> for this. Future</w:t>
      </w:r>
      <w:r>
        <w:t xml:space="preserve"> changes to policies </w:t>
      </w:r>
      <w:r w:rsidR="007F0627">
        <w:t>affecting</w:t>
      </w:r>
      <w:r>
        <w:t xml:space="preserve"> forestry or agricultural emissions </w:t>
      </w:r>
      <w:r w:rsidR="007F0627">
        <w:t>outside the NZ ETS could</w:t>
      </w:r>
      <w:r>
        <w:t xml:space="preserve"> impact the </w:t>
      </w:r>
      <w:r w:rsidR="007F0627">
        <w:t xml:space="preserve">emissions </w:t>
      </w:r>
      <w:r>
        <w:t xml:space="preserve">budget </w:t>
      </w:r>
      <w:r w:rsidR="007F0627">
        <w:t>volume</w:t>
      </w:r>
      <w:r>
        <w:t xml:space="preserve"> available to NZ ETS</w:t>
      </w:r>
      <w:r w:rsidR="007F0627">
        <w:t xml:space="preserve"> sectors.</w:t>
      </w:r>
    </w:p>
    <w:p w14:paraId="2D76BB38" w14:textId="2221A97D" w:rsidR="00D623DE" w:rsidRDefault="009C3FEA" w:rsidP="009C3FEA">
      <w:r>
        <w:t xml:space="preserve">Our estimate of forestry registered within the NZ ETS has a significant impact on </w:t>
      </w:r>
      <w:r w:rsidR="00D678C2">
        <w:t xml:space="preserve">the </w:t>
      </w:r>
      <w:r>
        <w:t xml:space="preserve">calculation of the </w:t>
      </w:r>
      <w:r w:rsidR="008F49E8">
        <w:t xml:space="preserve">emissions </w:t>
      </w:r>
      <w:r>
        <w:t>cap</w:t>
      </w:r>
      <w:r w:rsidR="008F49E8">
        <w:t xml:space="preserve"> allocated to NZ ETS sectors</w:t>
      </w:r>
      <w:r>
        <w:t>. We currently assume that all new forecast afforestation will register within the NZ ETS</w:t>
      </w:r>
      <w:r w:rsidR="00BF6A6E">
        <w:t>,</w:t>
      </w:r>
      <w:r>
        <w:t xml:space="preserve"> and </w:t>
      </w:r>
      <w:r w:rsidR="001E13D9">
        <w:t xml:space="preserve">that </w:t>
      </w:r>
      <w:r>
        <w:t xml:space="preserve">all historic forestry not currently registered will remain unregistered. </w:t>
      </w:r>
      <w:r w:rsidR="0061111A">
        <w:t xml:space="preserve">This assumption </w:t>
      </w:r>
      <w:r w:rsidR="00857DAF">
        <w:t xml:space="preserve">could change depending on changes in </w:t>
      </w:r>
      <w:r w:rsidR="00E47694">
        <w:t>G</w:t>
      </w:r>
      <w:r w:rsidR="00857DAF">
        <w:t>overnment policy.</w:t>
      </w:r>
      <w:r w:rsidR="0061111A">
        <w:t xml:space="preserve"> </w:t>
      </w:r>
    </w:p>
    <w:p w14:paraId="31E92C58" w14:textId="642248B6" w:rsidR="009C3FEA" w:rsidRDefault="0035795B" w:rsidP="009C3FEA">
      <w:r>
        <w:t xml:space="preserve">The </w:t>
      </w:r>
      <w:r w:rsidR="00083367">
        <w:t xml:space="preserve">second emissions reduction plan </w:t>
      </w:r>
      <w:r w:rsidR="009C3FEA">
        <w:t xml:space="preserve">described </w:t>
      </w:r>
      <w:r w:rsidR="00FD59A1">
        <w:t>the</w:t>
      </w:r>
      <w:r w:rsidR="009C3FEA">
        <w:t xml:space="preserve"> Government’s</w:t>
      </w:r>
      <w:r w:rsidR="00FD59A1">
        <w:t xml:space="preserve"> intended</w:t>
      </w:r>
      <w:r w:rsidR="009C3FEA">
        <w:t xml:space="preserve"> policy to partner with the private sector to plant trees on Crown-owned land. </w:t>
      </w:r>
      <w:r w:rsidR="00282C0E">
        <w:t xml:space="preserve">Information is </w:t>
      </w:r>
      <w:r w:rsidR="006C0E0D">
        <w:t>not yet</w:t>
      </w:r>
      <w:r w:rsidR="00532793">
        <w:t xml:space="preserve"> publicly available </w:t>
      </w:r>
      <w:r w:rsidR="005A5A2D">
        <w:t xml:space="preserve">on the </w:t>
      </w:r>
      <w:r w:rsidR="007148BB">
        <w:t xml:space="preserve">area </w:t>
      </w:r>
      <w:r w:rsidR="005A5A2D">
        <w:t xml:space="preserve">of </w:t>
      </w:r>
      <w:r w:rsidR="007148BB">
        <w:t>forests that this might deliver</w:t>
      </w:r>
      <w:r w:rsidR="005A5A2D">
        <w:t xml:space="preserve">, or </w:t>
      </w:r>
      <w:r w:rsidR="009C3FEA">
        <w:t>if th</w:t>
      </w:r>
      <w:r w:rsidR="007C7CBC">
        <w:t>ese</w:t>
      </w:r>
      <w:r w:rsidR="009C3FEA">
        <w:t xml:space="preserve"> forest</w:t>
      </w:r>
      <w:r w:rsidR="007C7CBC">
        <w:t>s</w:t>
      </w:r>
      <w:r w:rsidR="009C3FEA">
        <w:t xml:space="preserve"> </w:t>
      </w:r>
      <w:r w:rsidR="00550A49">
        <w:t>will be regis</w:t>
      </w:r>
      <w:r w:rsidR="009C3FEA">
        <w:t>ter</w:t>
      </w:r>
      <w:r w:rsidR="00550A49">
        <w:t>ed</w:t>
      </w:r>
      <w:r w:rsidR="009C3FEA">
        <w:t xml:space="preserve"> </w:t>
      </w:r>
      <w:r w:rsidR="007C7CBC">
        <w:t>into</w:t>
      </w:r>
      <w:r w:rsidR="009C3FEA">
        <w:t xml:space="preserve"> the NZ ETS. </w:t>
      </w:r>
    </w:p>
    <w:p w14:paraId="104EAD1B" w14:textId="146B6279" w:rsidR="00C510B5" w:rsidRPr="00887EF1" w:rsidRDefault="00C510B5" w:rsidP="00C510B5">
      <w:r w:rsidRPr="00887EF1">
        <w:rPr>
          <w:b/>
          <w:bCs/>
        </w:rPr>
        <w:t>Step 3: Technical adjustments:</w:t>
      </w:r>
      <w:r w:rsidRPr="00887EF1">
        <w:t xml:space="preserve"> </w:t>
      </w:r>
      <w:r>
        <w:t>In this round of advice</w:t>
      </w:r>
      <w:r w:rsidR="00117DA2">
        <w:t>,</w:t>
      </w:r>
      <w:r>
        <w:t xml:space="preserve"> we propose </w:t>
      </w:r>
      <w:r w:rsidR="00F81E64">
        <w:t>that no</w:t>
      </w:r>
      <w:r>
        <w:t xml:space="preserve"> technical adjustments</w:t>
      </w:r>
      <w:r w:rsidR="00D32F4F">
        <w:t xml:space="preserve"> be made</w:t>
      </w:r>
      <w:r>
        <w:t xml:space="preserve">, despite identifying a historical discrepancy in waste emissions. This </w:t>
      </w:r>
      <w:r w:rsidR="00935552">
        <w:t>is</w:t>
      </w:r>
      <w:r>
        <w:t xml:space="preserve"> based on information provided by </w:t>
      </w:r>
      <w:r w:rsidR="00AB73F1">
        <w:t>the Ministry for the Environment</w:t>
      </w:r>
      <w:r>
        <w:t xml:space="preserve"> that the discrepancy </w:t>
      </w:r>
      <w:r w:rsidR="001B51C4">
        <w:t>is</w:t>
      </w:r>
      <w:r>
        <w:t xml:space="preserve"> being addressed this year. If this is not the case</w:t>
      </w:r>
      <w:r w:rsidR="00D623DE">
        <w:t>,</w:t>
      </w:r>
      <w:r>
        <w:t xml:space="preserve"> and the discrepancy continues</w:t>
      </w:r>
      <w:r w:rsidR="00D623DE">
        <w:t>,</w:t>
      </w:r>
      <w:r>
        <w:t xml:space="preserve"> </w:t>
      </w:r>
      <w:r w:rsidR="00D623DE">
        <w:t xml:space="preserve">there </w:t>
      </w:r>
      <w:r>
        <w:t xml:space="preserve">is a risk that the recommended settings </w:t>
      </w:r>
      <w:r w:rsidR="00CE6EFB">
        <w:t xml:space="preserve">would need a technical adjustment in </w:t>
      </w:r>
      <w:r w:rsidR="00D15B10">
        <w:t xml:space="preserve">the </w:t>
      </w:r>
      <w:r w:rsidR="00CE6EFB">
        <w:t>future</w:t>
      </w:r>
      <w:r w:rsidR="00892DCC">
        <w:t xml:space="preserve"> to </w:t>
      </w:r>
      <w:r w:rsidR="008D169C">
        <w:t xml:space="preserve">better </w:t>
      </w:r>
      <w:r w:rsidR="00262B61">
        <w:t xml:space="preserve">align </w:t>
      </w:r>
      <w:r w:rsidR="00594D62">
        <w:t>the unit limits with targets</w:t>
      </w:r>
      <w:r>
        <w:t xml:space="preserve">. </w:t>
      </w:r>
    </w:p>
    <w:p w14:paraId="2084E5B0" w14:textId="79E26B57" w:rsidR="00F1742C" w:rsidRDefault="000A4147" w:rsidP="000A4147">
      <w:r w:rsidRPr="009A3C71">
        <w:rPr>
          <w:b/>
          <w:bCs/>
        </w:rPr>
        <w:lastRenderedPageBreak/>
        <w:t>Step 4: Account for industrial free allocation:</w:t>
      </w:r>
      <w:r w:rsidRPr="009A3C71">
        <w:t xml:space="preserve"> </w:t>
      </w:r>
      <w:r>
        <w:t xml:space="preserve">This year we have updated our </w:t>
      </w:r>
      <w:r w:rsidR="00C90911">
        <w:t xml:space="preserve">forecasts of </w:t>
      </w:r>
      <w:r>
        <w:t xml:space="preserve">industrial free allocation to include changes to allocative baselines released in June 2024. </w:t>
      </w:r>
      <w:r w:rsidR="00775923">
        <w:t>The</w:t>
      </w:r>
      <w:r w:rsidR="00EA7B95">
        <w:t xml:space="preserve"> </w:t>
      </w:r>
      <w:r w:rsidR="009561A8">
        <w:t>Act</w:t>
      </w:r>
      <w:r w:rsidR="00EA7B95">
        <w:t xml:space="preserve"> </w:t>
      </w:r>
      <w:r w:rsidR="001A75C4">
        <w:t xml:space="preserve">generally </w:t>
      </w:r>
      <w:r w:rsidR="00431EBB">
        <w:t xml:space="preserve">does not allow these to be updated again for </w:t>
      </w:r>
      <w:r w:rsidR="00F1742C">
        <w:t>the next five years.</w:t>
      </w:r>
      <w:r w:rsidR="00537FF4">
        <w:rPr>
          <w:rStyle w:val="FootnoteReference"/>
        </w:rPr>
        <w:footnoteReference w:id="29"/>
      </w:r>
      <w:r w:rsidR="00F1742C">
        <w:t xml:space="preserve"> </w:t>
      </w:r>
    </w:p>
    <w:p w14:paraId="4961C946" w14:textId="6580BA31" w:rsidR="000A4147" w:rsidRDefault="000A4147" w:rsidP="000A4147">
      <w:r>
        <w:t xml:space="preserve">Major uncertainties in the forecasts </w:t>
      </w:r>
      <w:r w:rsidR="00DE0FED">
        <w:t>remain with respect</w:t>
      </w:r>
      <w:r>
        <w:t xml:space="preserve"> to potential changes in activity production levels, annual updates to the New Zealand Aluminium Smelter</w:t>
      </w:r>
      <w:r w:rsidR="00AB280C">
        <w:t>’s</w:t>
      </w:r>
      <w:r>
        <w:t xml:space="preserve"> electricity allocation factor</w:t>
      </w:r>
      <w:r w:rsidR="007A63B3">
        <w:t>,</w:t>
      </w:r>
      <w:r>
        <w:t xml:space="preserve"> and the </w:t>
      </w:r>
      <w:r w:rsidR="00EF2791">
        <w:t xml:space="preserve">change in </w:t>
      </w:r>
      <w:r>
        <w:t xml:space="preserve">allocative baseline </w:t>
      </w:r>
      <w:r w:rsidR="00EF2791">
        <w:t>for</w:t>
      </w:r>
      <w:r>
        <w:t xml:space="preserve"> NZ Steel after </w:t>
      </w:r>
      <w:r w:rsidR="008C0A49">
        <w:t xml:space="preserve">the </w:t>
      </w:r>
      <w:r>
        <w:t xml:space="preserve">expected installation of an </w:t>
      </w:r>
      <w:r w:rsidR="00046294">
        <w:t>e</w:t>
      </w:r>
      <w:r>
        <w:t xml:space="preserve">lectric </w:t>
      </w:r>
      <w:r w:rsidR="00046294">
        <w:t>a</w:t>
      </w:r>
      <w:r>
        <w:t xml:space="preserve">rc </w:t>
      </w:r>
      <w:r w:rsidR="00046294">
        <w:t>f</w:t>
      </w:r>
      <w:r>
        <w:t xml:space="preserve">urnace </w:t>
      </w:r>
      <w:r w:rsidR="008C0A49">
        <w:t xml:space="preserve">is completed </w:t>
      </w:r>
      <w:r>
        <w:t xml:space="preserve">in 2026. </w:t>
      </w:r>
    </w:p>
    <w:p w14:paraId="286D62B6" w14:textId="16A487A2" w:rsidR="003B509C" w:rsidRDefault="003B509C" w:rsidP="003B509C">
      <w:r w:rsidRPr="00607F70">
        <w:rPr>
          <w:b/>
          <w:bCs/>
        </w:rPr>
        <w:t>Step 5: Set the unit surplus reduction volume:</w:t>
      </w:r>
      <w:r w:rsidRPr="00607F70">
        <w:t xml:space="preserve"> </w:t>
      </w:r>
      <w:r>
        <w:t xml:space="preserve">As </w:t>
      </w:r>
      <w:r w:rsidR="00582FE8">
        <w:t xml:space="preserve">we have </w:t>
      </w:r>
      <w:r>
        <w:t>emphasised</w:t>
      </w:r>
      <w:r w:rsidR="00582FE8">
        <w:t xml:space="preserve"> in previous advice</w:t>
      </w:r>
      <w:r>
        <w:t xml:space="preserve">, there are significant uncertainties </w:t>
      </w:r>
      <w:r w:rsidR="00A97174">
        <w:t xml:space="preserve">with respect to </w:t>
      </w:r>
      <w:r>
        <w:t>all aspects of estimating the surplus. Forestry is a key uncertainty</w:t>
      </w:r>
      <w:r w:rsidR="00F16205">
        <w:t>,</w:t>
      </w:r>
      <w:r>
        <w:t xml:space="preserve"> </w:t>
      </w:r>
      <w:r w:rsidR="000D06DC">
        <w:t xml:space="preserve">because </w:t>
      </w:r>
      <w:r w:rsidR="002D4418">
        <w:t xml:space="preserve">large components of the </w:t>
      </w:r>
      <w:r w:rsidR="00A20419">
        <w:t xml:space="preserve">estimated </w:t>
      </w:r>
      <w:r w:rsidR="002D4418">
        <w:t xml:space="preserve">surplus </w:t>
      </w:r>
      <w:r w:rsidR="00A03792">
        <w:t>could be affected by</w:t>
      </w:r>
      <w:r w:rsidR="00A97174">
        <w:t xml:space="preserve"> </w:t>
      </w:r>
      <w:r>
        <w:t xml:space="preserve">future decisions of foresters </w:t>
      </w:r>
      <w:r w:rsidR="00754CC8">
        <w:t xml:space="preserve">where they have flexibility to change </w:t>
      </w:r>
      <w:r w:rsidR="005655DB">
        <w:t xml:space="preserve">approach, </w:t>
      </w:r>
      <w:r>
        <w:t>such as at what age and whether to harvest their forests. In this round of advice</w:t>
      </w:r>
      <w:r w:rsidR="00B87C15">
        <w:t>,</w:t>
      </w:r>
      <w:r>
        <w:t xml:space="preserve"> we have consider</w:t>
      </w:r>
      <w:r w:rsidR="0065509E">
        <w:t>ed</w:t>
      </w:r>
      <w:r>
        <w:t xml:space="preserve"> the impact of foresters not having to submit returns for the 2023</w:t>
      </w:r>
      <w:r w:rsidR="002D15F0" w:rsidRPr="000A1433">
        <w:t>–</w:t>
      </w:r>
      <w:r>
        <w:t>2025 MERP4 period until 2026. However, this also involves significant uncertainties</w:t>
      </w:r>
      <w:r w:rsidR="00B87C15">
        <w:t>,</w:t>
      </w:r>
      <w:r>
        <w:t xml:space="preserve"> and the</w:t>
      </w:r>
      <w:r w:rsidR="005A5686">
        <w:t xml:space="preserve"> final</w:t>
      </w:r>
      <w:r>
        <w:t xml:space="preserve"> outcome of MERP4 forestry </w:t>
      </w:r>
      <w:r w:rsidR="00F51B42">
        <w:t xml:space="preserve">emissions and allocations </w:t>
      </w:r>
      <w:r>
        <w:t xml:space="preserve">will not be able to be reflected in our advice until 2027. </w:t>
      </w:r>
      <w:r w:rsidR="00404156">
        <w:t xml:space="preserve">MPI </w:t>
      </w:r>
      <w:r w:rsidR="00176889">
        <w:t xml:space="preserve">is likely to consult later in 2025 on updating the default carbon yield tables for </w:t>
      </w:r>
      <w:r w:rsidR="006F14FE">
        <w:t>exotic</w:t>
      </w:r>
      <w:r w:rsidR="00176889">
        <w:t xml:space="preserve"> forest</w:t>
      </w:r>
      <w:r w:rsidR="006F14FE">
        <w:t>s</w:t>
      </w:r>
      <w:r w:rsidR="00176889">
        <w:t xml:space="preserve"> in the NZ ETS</w:t>
      </w:r>
      <w:r w:rsidR="00711212">
        <w:t>, and the</w:t>
      </w:r>
      <w:r w:rsidR="00176889">
        <w:t xml:space="preserve"> outcome of this process could also have impacts on our estimates related to forestry units </w:t>
      </w:r>
      <w:r w:rsidR="00B86135">
        <w:t>in future.</w:t>
      </w:r>
      <w:r w:rsidR="00711212">
        <w:rPr>
          <w:rStyle w:val="EndnoteReference"/>
        </w:rPr>
        <w:endnoteReference w:id="17"/>
      </w:r>
      <w:r w:rsidR="00B86135">
        <w:t xml:space="preserve"> </w:t>
      </w:r>
    </w:p>
    <w:p w14:paraId="21D021B4" w14:textId="3DDCA4EC" w:rsidR="004B07D0" w:rsidRDefault="004B07D0" w:rsidP="003B509C">
      <w:r>
        <w:t xml:space="preserve">Our </w:t>
      </w:r>
      <w:r w:rsidR="00C13800">
        <w:t>annual</w:t>
      </w:r>
      <w:r>
        <w:t xml:space="preserve"> surplus </w:t>
      </w:r>
      <w:r w:rsidR="00C13800">
        <w:t xml:space="preserve">reduction volumes </w:t>
      </w:r>
      <w:r w:rsidR="00A16E48">
        <w:t>assume</w:t>
      </w:r>
      <w:r w:rsidR="00B93C82">
        <w:t xml:space="preserve"> </w:t>
      </w:r>
      <w:r w:rsidR="00800DB3">
        <w:t xml:space="preserve">that </w:t>
      </w:r>
      <w:r w:rsidR="00665A48">
        <w:t xml:space="preserve">all auction units </w:t>
      </w:r>
      <w:r w:rsidR="00A16E48">
        <w:t>are sold</w:t>
      </w:r>
      <w:r w:rsidR="00665A48">
        <w:t xml:space="preserve"> in 2025</w:t>
      </w:r>
      <w:r w:rsidR="00937A34">
        <w:t xml:space="preserve">. </w:t>
      </w:r>
      <w:r w:rsidR="003422A4">
        <w:t>However,</w:t>
      </w:r>
      <w:r w:rsidR="008D2708">
        <w:t xml:space="preserve"> this</w:t>
      </w:r>
      <w:r w:rsidR="003422A4">
        <w:t xml:space="preserve"> cannot be confirmed until the final unit auction in December 2025</w:t>
      </w:r>
      <w:r w:rsidR="00C16E4C">
        <w:t xml:space="preserve">. </w:t>
      </w:r>
      <w:r w:rsidR="00C13800">
        <w:t xml:space="preserve"> </w:t>
      </w:r>
      <w:r w:rsidR="003422A4">
        <w:t xml:space="preserve"> </w:t>
      </w:r>
    </w:p>
    <w:p w14:paraId="07568047" w14:textId="376C8E18" w:rsidR="00C7170D" w:rsidRDefault="007D0F96" w:rsidP="00F54C7A">
      <w:pPr>
        <w:rPr>
          <w:rFonts w:eastAsiaTheme="majorEastAsia"/>
          <w:b/>
          <w:color w:val="1F3864" w:themeColor="accent1" w:themeShade="80"/>
          <w:sz w:val="44"/>
          <w:szCs w:val="44"/>
        </w:rPr>
      </w:pPr>
      <w:r w:rsidRPr="00795AA8">
        <w:rPr>
          <w:b/>
        </w:rPr>
        <w:t>Step 6: Setting the approved overseas unit limit:</w:t>
      </w:r>
      <w:r w:rsidRPr="00795AA8">
        <w:t xml:space="preserve"> The Government has not yet communicated decisions about obtaining offshore mitigation or approving overseas units for use in the NZ ETS. The end of the first NDC period is approaching</w:t>
      </w:r>
      <w:r w:rsidR="00865198">
        <w:t>,</w:t>
      </w:r>
      <w:r w:rsidRPr="00795AA8">
        <w:t xml:space="preserve"> and </w:t>
      </w:r>
      <w:r w:rsidR="004F220B">
        <w:t xml:space="preserve">clarifying what, if any, role the NZ ETS will play with regard to offshore mitigation will </w:t>
      </w:r>
      <w:r w:rsidR="00CF510B">
        <w:t xml:space="preserve">avoid risk and support the stable operation of the NZ ETS market. </w:t>
      </w:r>
      <w:r w:rsidR="00C7170D">
        <w:br w:type="page"/>
      </w:r>
    </w:p>
    <w:p w14:paraId="0DC9F2DF" w14:textId="0DCFA74B" w:rsidR="00A614AE" w:rsidRDefault="00A614AE" w:rsidP="006A7422">
      <w:pPr>
        <w:pStyle w:val="Heading1nonumber"/>
      </w:pPr>
      <w:bookmarkStart w:id="36" w:name="_Toc195447243"/>
      <w:r>
        <w:lastRenderedPageBreak/>
        <w:t>PART 4: Te ritenga taura-utu – Price control</w:t>
      </w:r>
      <w:r w:rsidR="00C459D9">
        <w:t xml:space="preserve"> setting</w:t>
      </w:r>
      <w:r>
        <w:t>s</w:t>
      </w:r>
      <w:bookmarkEnd w:id="36"/>
    </w:p>
    <w:p w14:paraId="44D592C2" w14:textId="4AB5C68B" w:rsidR="000719D8" w:rsidRDefault="006D7C6F" w:rsidP="000719D8">
      <w:pPr>
        <w:pStyle w:val="Intro"/>
      </w:pPr>
      <w:r>
        <w:t xml:space="preserve">This part contains our analysis and recommendations for updating </w:t>
      </w:r>
      <w:r w:rsidR="004D35B0">
        <w:t xml:space="preserve">the </w:t>
      </w:r>
      <w:r w:rsidR="008800A8">
        <w:t xml:space="preserve">price control </w:t>
      </w:r>
      <w:r w:rsidR="008840C0">
        <w:t xml:space="preserve">settings that operate at government auctions of New Zealand Units </w:t>
      </w:r>
      <w:r w:rsidR="00823A1D">
        <w:t>(NZUs)</w:t>
      </w:r>
      <w:r w:rsidR="008840C0">
        <w:t xml:space="preserve"> </w:t>
      </w:r>
      <w:r>
        <w:t xml:space="preserve">for the years </w:t>
      </w:r>
      <w:r w:rsidR="00E803E0" w:rsidRPr="00E803E0">
        <w:t>2026–2030</w:t>
      </w:r>
      <w:r w:rsidR="00E803E0">
        <w:t>.</w:t>
      </w:r>
    </w:p>
    <w:p w14:paraId="6A37D0D6" w14:textId="32F8D831" w:rsidR="00E803E0" w:rsidRDefault="0015744A" w:rsidP="0015744A">
      <w:r>
        <w:t xml:space="preserve">Under the Climate Change Response Act 2002, </w:t>
      </w:r>
      <w:r w:rsidR="00FD30AB">
        <w:t xml:space="preserve">the </w:t>
      </w:r>
      <w:r>
        <w:t>price contro</w:t>
      </w:r>
      <w:r w:rsidR="0065712F">
        <w:t>ls</w:t>
      </w:r>
      <w:r w:rsidR="000F0707">
        <w:t xml:space="preserve"> </w:t>
      </w:r>
      <w:r w:rsidR="004670AE">
        <w:t>for NZ</w:t>
      </w:r>
      <w:r w:rsidR="00A93B90">
        <w:t xml:space="preserve">U </w:t>
      </w:r>
      <w:r w:rsidR="004670AE">
        <w:t xml:space="preserve">auctions </w:t>
      </w:r>
      <w:r>
        <w:t>consist of:</w:t>
      </w:r>
    </w:p>
    <w:p w14:paraId="6CB500DA" w14:textId="0F8A9291" w:rsidR="00D429AD" w:rsidRDefault="002C110F" w:rsidP="00FD11EB">
      <w:pPr>
        <w:pStyle w:val="BodyBullets"/>
      </w:pPr>
      <w:r>
        <w:t>An</w:t>
      </w:r>
      <w:r w:rsidR="00D429AD">
        <w:t xml:space="preserve"> auction reserve price (ARP), a minimum price </w:t>
      </w:r>
      <w:r w:rsidR="00747268">
        <w:t>below</w:t>
      </w:r>
      <w:r w:rsidR="00D429AD">
        <w:t xml:space="preserve"> which units </w:t>
      </w:r>
      <w:r w:rsidR="00747268">
        <w:t>cannot</w:t>
      </w:r>
      <w:r w:rsidR="00D429AD">
        <w:t xml:space="preserve"> be sold </w:t>
      </w:r>
      <w:r w:rsidR="00747268">
        <w:t>at</w:t>
      </w:r>
      <w:r w:rsidR="00D429AD">
        <w:t xml:space="preserve"> auction</w:t>
      </w:r>
      <w:r w:rsidR="00A345F2">
        <w:t xml:space="preserve">. The ARP can be set at </w:t>
      </w:r>
      <w:r w:rsidR="00D429AD">
        <w:t>zero</w:t>
      </w:r>
      <w:r>
        <w:t>.</w:t>
      </w:r>
    </w:p>
    <w:p w14:paraId="492FC576" w14:textId="16D6C9F3" w:rsidR="0015744A" w:rsidRDefault="002C110F">
      <w:pPr>
        <w:pStyle w:val="BodyBullets"/>
      </w:pPr>
      <w:r>
        <w:t>A</w:t>
      </w:r>
      <w:r w:rsidR="00D429AD">
        <w:t xml:space="preserve"> cost containment reserve (CCR), a reserve amount of </w:t>
      </w:r>
      <w:r w:rsidR="004C627B">
        <w:t xml:space="preserve">NZUs </w:t>
      </w:r>
      <w:r w:rsidR="00D429AD">
        <w:t xml:space="preserve">that </w:t>
      </w:r>
      <w:r w:rsidR="00E577CC">
        <w:t>is</w:t>
      </w:r>
      <w:r w:rsidR="00D429AD">
        <w:t xml:space="preserve"> released for sale at auction, if a trigger price is reached or exceeded by bidding at </w:t>
      </w:r>
      <w:r w:rsidR="00517E99">
        <w:t xml:space="preserve">the </w:t>
      </w:r>
      <w:r w:rsidR="00D429AD">
        <w:t>auction.</w:t>
      </w:r>
    </w:p>
    <w:p w14:paraId="28514324" w14:textId="044D10AE" w:rsidR="00AF4F5E" w:rsidRDefault="00AF4F5E" w:rsidP="00BA38EE">
      <w:r w:rsidRPr="00AF4F5E">
        <w:t xml:space="preserve">The price controls </w:t>
      </w:r>
      <w:r w:rsidR="00EE5B4A">
        <w:t>operate at government auctions</w:t>
      </w:r>
      <w:r w:rsidR="00AF5823">
        <w:t xml:space="preserve"> of New Zealand Units (NZUs)</w:t>
      </w:r>
      <w:r w:rsidR="00EE5B4A">
        <w:t xml:space="preserve">. They </w:t>
      </w:r>
      <w:r w:rsidRPr="00AF4F5E">
        <w:t xml:space="preserve">are safety valves to manage risks of price extremes in either direction, and </w:t>
      </w:r>
      <w:r w:rsidR="00D676C6">
        <w:t xml:space="preserve">to </w:t>
      </w:r>
      <w:r w:rsidRPr="00AF4F5E">
        <w:t xml:space="preserve">signal the bounds of the NZU prices likely needed to meet </w:t>
      </w:r>
      <w:r w:rsidR="00682A02">
        <w:t xml:space="preserve">Aotearoa New Zealand’s </w:t>
      </w:r>
      <w:r w:rsidRPr="00AF4F5E">
        <w:t>emissions reduction targets.</w:t>
      </w:r>
    </w:p>
    <w:p w14:paraId="5A2769F2" w14:textId="77777777" w:rsidR="00E72B11" w:rsidRDefault="00BA38EE" w:rsidP="00BA38EE">
      <w:r>
        <w:t>The</w:t>
      </w:r>
      <w:r w:rsidR="001B5D1F">
        <w:t xml:space="preserve"> price control settings</w:t>
      </w:r>
      <w:r>
        <w:t xml:space="preserve"> </w:t>
      </w:r>
      <w:r w:rsidR="00AC09AF">
        <w:t>do not set</w:t>
      </w:r>
      <w:r w:rsidR="00FE7DAC">
        <w:t xml:space="preserve"> the NZU price, but </w:t>
      </w:r>
      <w:r w:rsidR="009567E5">
        <w:t xml:space="preserve">can </w:t>
      </w:r>
      <w:r w:rsidR="00A13F11">
        <w:t>influence</w:t>
      </w:r>
      <w:r w:rsidR="00FE7DAC">
        <w:t xml:space="preserve"> </w:t>
      </w:r>
      <w:r w:rsidR="00961F5E">
        <w:t xml:space="preserve">that </w:t>
      </w:r>
      <w:r w:rsidR="00DD024C">
        <w:t>price</w:t>
      </w:r>
      <w:r w:rsidR="000D675D">
        <w:t xml:space="preserve"> </w:t>
      </w:r>
      <w:r w:rsidR="007269DF">
        <w:t xml:space="preserve">by withholding </w:t>
      </w:r>
      <w:r w:rsidR="00961F5E">
        <w:t xml:space="preserve">units from, </w:t>
      </w:r>
      <w:r w:rsidR="007269DF">
        <w:t>or adding units</w:t>
      </w:r>
      <w:r w:rsidR="00D13558">
        <w:t xml:space="preserve"> to</w:t>
      </w:r>
      <w:r w:rsidR="00961F5E">
        <w:t>,</w:t>
      </w:r>
      <w:r w:rsidR="00D13558">
        <w:t xml:space="preserve"> the market</w:t>
      </w:r>
      <w:r w:rsidR="00CB092C">
        <w:t xml:space="preserve">. The levels of the </w:t>
      </w:r>
      <w:r w:rsidR="00D10A0E">
        <w:t>ARP and CCR</w:t>
      </w:r>
      <w:r w:rsidR="001A49A7">
        <w:t xml:space="preserve"> </w:t>
      </w:r>
      <w:r w:rsidR="004D363F">
        <w:t xml:space="preserve">give a </w:t>
      </w:r>
      <w:r w:rsidR="00EF19CD">
        <w:t xml:space="preserve">price range </w:t>
      </w:r>
      <w:r w:rsidR="007410CD">
        <w:t>within which price dis</w:t>
      </w:r>
      <w:r w:rsidR="00EF19CD">
        <w:t xml:space="preserve">covery </w:t>
      </w:r>
      <w:r w:rsidR="004D363F">
        <w:t>is largely expected to occur</w:t>
      </w:r>
      <w:r w:rsidR="00942BEF">
        <w:t xml:space="preserve">. </w:t>
      </w:r>
      <w:r w:rsidR="00E22C93">
        <w:t>However, the</w:t>
      </w:r>
      <w:r w:rsidR="00C2212A">
        <w:t xml:space="preserve"> </w:t>
      </w:r>
      <w:r w:rsidR="00E22C93">
        <w:t xml:space="preserve">secondary market can (and has) traded outside the </w:t>
      </w:r>
      <w:r w:rsidR="001C5F5D">
        <w:t>range of the price control settings</w:t>
      </w:r>
      <w:r w:rsidR="00E66D15">
        <w:t xml:space="preserve">. </w:t>
      </w:r>
    </w:p>
    <w:p w14:paraId="596EFAA5" w14:textId="10912433" w:rsidR="00C12E20" w:rsidRDefault="00C12E20" w:rsidP="00BA38EE">
      <w:r w:rsidRPr="005D5E45">
        <w:t>The Act requires the Commission to recommend price control settings which</w:t>
      </w:r>
      <w:r w:rsidR="00D5093A">
        <w:t>,</w:t>
      </w:r>
      <w:r w:rsidRPr="005D5E45">
        <w:t xml:space="preserve"> in combination with the unit limit settings, either ‘strictly accord’, or ‘accord’ with emissions reduction targets.</w:t>
      </w:r>
      <w:r w:rsidRPr="005D5E45">
        <w:rPr>
          <w:rStyle w:val="FootnoteReference"/>
        </w:rPr>
        <w:footnoteReference w:id="30"/>
      </w:r>
      <w:r w:rsidRPr="005D5E45">
        <w:t xml:space="preserve"> We understand this to mean that we must recommend price control settings that align to these targets to a high degree, in terms of the range of NZU prices that are likely to be needed to achieve them. Alternatively, if the Commission recommends price control settings that do not </w:t>
      </w:r>
      <w:r w:rsidR="00260186" w:rsidRPr="005D5E45">
        <w:t>do this</w:t>
      </w:r>
      <w:r w:rsidRPr="005D5E45">
        <w:t xml:space="preserve">, the discrepancy must be </w:t>
      </w:r>
      <w:r w:rsidR="00DC00C6" w:rsidRPr="005D5E45">
        <w:t xml:space="preserve">justified. The recommended settings must </w:t>
      </w:r>
      <w:r w:rsidRPr="005D5E45">
        <w:t xml:space="preserve">still </w:t>
      </w:r>
      <w:r w:rsidR="00DC00C6" w:rsidRPr="005D5E45">
        <w:t>have</w:t>
      </w:r>
      <w:r w:rsidRPr="005D5E45">
        <w:t xml:space="preserve"> a good </w:t>
      </w:r>
      <w:r w:rsidR="00DC00C6" w:rsidRPr="005D5E45">
        <w:t>likelihood</w:t>
      </w:r>
      <w:r w:rsidRPr="005D5E45">
        <w:t xml:space="preserve"> of </w:t>
      </w:r>
      <w:r w:rsidR="00DC00C6" w:rsidRPr="005D5E45">
        <w:t>achieving what is required</w:t>
      </w:r>
      <w:r w:rsidRPr="005D5E45">
        <w:t xml:space="preserve"> or </w:t>
      </w:r>
      <w:r w:rsidR="00DC00C6" w:rsidRPr="005D5E45">
        <w:t xml:space="preserve">the discrepancy </w:t>
      </w:r>
      <w:r w:rsidR="00C25611" w:rsidRPr="005D5E45">
        <w:t xml:space="preserve">must be one that </w:t>
      </w:r>
      <w:r w:rsidR="00DC00C6" w:rsidRPr="005D5E45">
        <w:t>can</w:t>
      </w:r>
      <w:r w:rsidRPr="005D5E45">
        <w:t xml:space="preserve"> be made up for elsewhere.</w:t>
      </w:r>
      <w:r>
        <w:t xml:space="preserve"> </w:t>
      </w:r>
    </w:p>
    <w:p w14:paraId="35F694F1" w14:textId="5CC00E29" w:rsidR="007103EE" w:rsidRDefault="007103EE" w:rsidP="007103EE">
      <w:pPr>
        <w:pStyle w:val="Heading2nonumber"/>
      </w:pPr>
      <w:bookmarkStart w:id="37" w:name="_Toc195447244"/>
      <w:r>
        <w:t>Summary and recommendations</w:t>
      </w:r>
      <w:bookmarkEnd w:id="37"/>
      <w:r>
        <w:t xml:space="preserve"> </w:t>
      </w:r>
    </w:p>
    <w:p w14:paraId="41134BEC" w14:textId="08B556AC" w:rsidR="00AD4D1E" w:rsidRDefault="00B350BA" w:rsidP="00BA38EE">
      <w:r>
        <w:t>He Pou a Rangi Climate Change</w:t>
      </w:r>
      <w:r w:rsidR="008238CA">
        <w:t xml:space="preserve"> Commission’s recommendations on the price control settings are first and foremost informed by our analysis of the range of emissions prices that would be consistent with meeting emissions reduction targets.</w:t>
      </w:r>
      <w:r w:rsidR="00E10305">
        <w:t xml:space="preserve"> </w:t>
      </w:r>
      <w:r w:rsidR="005B73A3">
        <w:t xml:space="preserve">This is </w:t>
      </w:r>
      <w:r w:rsidR="00915427">
        <w:t>critical</w:t>
      </w:r>
      <w:r w:rsidR="00443048">
        <w:t xml:space="preserve"> for </w:t>
      </w:r>
      <w:r w:rsidR="00915427">
        <w:t xml:space="preserve">the NZ ETS </w:t>
      </w:r>
      <w:r w:rsidR="005A417F">
        <w:t xml:space="preserve">to play its role as the Government’s main tool </w:t>
      </w:r>
      <w:r w:rsidR="006E49A5">
        <w:t xml:space="preserve">for reducing emissions. If the price control settings do not align with </w:t>
      </w:r>
      <w:r w:rsidR="00DA0B4F">
        <w:t xml:space="preserve">Aotearoa New Zealand’s </w:t>
      </w:r>
      <w:r w:rsidR="00C160A4">
        <w:t>targets</w:t>
      </w:r>
      <w:r w:rsidR="004635F5">
        <w:t xml:space="preserve">, </w:t>
      </w:r>
      <w:r w:rsidR="00EF2071">
        <w:t xml:space="preserve">then </w:t>
      </w:r>
      <w:r w:rsidR="00A61D49">
        <w:t xml:space="preserve">this will undermine the </w:t>
      </w:r>
      <w:r w:rsidR="00282954">
        <w:lastRenderedPageBreak/>
        <w:t>credibility of the scheme</w:t>
      </w:r>
      <w:r w:rsidR="00417AED">
        <w:t>. It will also mean the scheme</w:t>
      </w:r>
      <w:r w:rsidR="00282954">
        <w:t xml:space="preserve"> will </w:t>
      </w:r>
      <w:r w:rsidR="00C23509">
        <w:t xml:space="preserve">not be </w:t>
      </w:r>
      <w:r w:rsidR="00D956E1">
        <w:t xml:space="preserve">able to </w:t>
      </w:r>
      <w:r w:rsidR="00C716DE">
        <w:t xml:space="preserve">encourage </w:t>
      </w:r>
      <w:r w:rsidR="00D956E1">
        <w:t xml:space="preserve">the </w:t>
      </w:r>
      <w:r w:rsidR="00417AED">
        <w:t>cost-effective</w:t>
      </w:r>
      <w:r w:rsidR="00BB37C5">
        <w:t xml:space="preserve"> </w:t>
      </w:r>
      <w:r w:rsidR="007176A7">
        <w:t>emissions reductions</w:t>
      </w:r>
      <w:r w:rsidR="00417AED">
        <w:t>,</w:t>
      </w:r>
      <w:r w:rsidR="007176A7">
        <w:t xml:space="preserve"> across the economy</w:t>
      </w:r>
      <w:r w:rsidR="00417AED">
        <w:t>,</w:t>
      </w:r>
      <w:r w:rsidR="007176A7">
        <w:t xml:space="preserve"> that the Government is relying on</w:t>
      </w:r>
      <w:r w:rsidR="00C02378">
        <w:t xml:space="preserve">. </w:t>
      </w:r>
    </w:p>
    <w:p w14:paraId="5B2C3F90" w14:textId="556866C7" w:rsidR="00C37CF8" w:rsidRDefault="006F2B7E" w:rsidP="00BA38EE">
      <w:r>
        <w:t>T</w:t>
      </w:r>
      <w:r w:rsidR="00633D3C">
        <w:t>he publication of the Government’s second emissions reduction plan</w:t>
      </w:r>
      <w:r w:rsidR="00C1171B">
        <w:t xml:space="preserve"> in December 2024</w:t>
      </w:r>
      <w:r w:rsidR="00633D3C">
        <w:t xml:space="preserve"> has prompted us to </w:t>
      </w:r>
      <w:r w:rsidR="0007035B">
        <w:t xml:space="preserve">fully </w:t>
      </w:r>
      <w:r w:rsidR="00AF093F">
        <w:t xml:space="preserve">reassess the </w:t>
      </w:r>
      <w:r w:rsidR="008462D4">
        <w:t>suitability of</w:t>
      </w:r>
      <w:r w:rsidR="0007035B">
        <w:t xml:space="preserve"> the </w:t>
      </w:r>
      <w:r w:rsidR="00C1171B">
        <w:t>current CCR and ARP price levels.</w:t>
      </w:r>
      <w:r w:rsidR="00A9144F">
        <w:t xml:space="preserve"> This new plan represents a different strategy </w:t>
      </w:r>
      <w:r w:rsidR="00DF4CF0">
        <w:t>for</w:t>
      </w:r>
      <w:r w:rsidR="007E677C">
        <w:t xml:space="preserve"> meeting emissions budgets</w:t>
      </w:r>
      <w:r w:rsidR="00800CA4">
        <w:t>, compared to the first emissions reduction plan</w:t>
      </w:r>
      <w:r w:rsidR="00D51089">
        <w:t xml:space="preserve">. </w:t>
      </w:r>
    </w:p>
    <w:p w14:paraId="23131511" w14:textId="1659F7EA" w:rsidR="00FB74A3" w:rsidRDefault="00EC7CEC" w:rsidP="00BA38EE">
      <w:r>
        <w:t xml:space="preserve">Reassessing </w:t>
      </w:r>
      <w:r w:rsidR="003A4EC5">
        <w:t xml:space="preserve">the </w:t>
      </w:r>
      <w:r>
        <w:t>price control</w:t>
      </w:r>
      <w:r w:rsidR="00137402">
        <w:t xml:space="preserve">s </w:t>
      </w:r>
      <w:r>
        <w:t xml:space="preserve">in light of the second emissions reduction plan </w:t>
      </w:r>
      <w:r w:rsidR="00541AA0">
        <w:t>required us to update the ev</w:t>
      </w:r>
      <w:r w:rsidR="00C77C8B">
        <w:t xml:space="preserve">idence base </w:t>
      </w:r>
      <w:r w:rsidR="00622117">
        <w:t xml:space="preserve">about </w:t>
      </w:r>
      <w:r w:rsidR="00874100">
        <w:t xml:space="preserve">the NZU prices that might be needed to </w:t>
      </w:r>
      <w:r w:rsidR="00332FB8">
        <w:t xml:space="preserve">meet the second and third emissions </w:t>
      </w:r>
      <w:r w:rsidR="00223D41">
        <w:t xml:space="preserve">budgets, as </w:t>
      </w:r>
      <w:r w:rsidR="00E13AFB">
        <w:t xml:space="preserve">the settings </w:t>
      </w:r>
      <w:r w:rsidR="00BD78D1">
        <w:t>are required</w:t>
      </w:r>
      <w:r w:rsidR="00E13AFB">
        <w:t xml:space="preserve"> to be consistent with achieving </w:t>
      </w:r>
      <w:r w:rsidR="008A28DA">
        <w:t>both</w:t>
      </w:r>
      <w:r w:rsidR="00E13AFB">
        <w:t xml:space="preserve">. </w:t>
      </w:r>
      <w:r w:rsidR="006C28F7">
        <w:t>Our</w:t>
      </w:r>
      <w:r w:rsidR="005859DD">
        <w:t xml:space="preserve"> analysis</w:t>
      </w:r>
      <w:r w:rsidR="00694157">
        <w:t xml:space="preserve"> also</w:t>
      </w:r>
      <w:r w:rsidR="005859DD">
        <w:t xml:space="preserve"> factor</w:t>
      </w:r>
      <w:r w:rsidR="00474760">
        <w:t>ed</w:t>
      </w:r>
      <w:r w:rsidR="005859DD">
        <w:t xml:space="preserve"> in the </w:t>
      </w:r>
      <w:r w:rsidR="00C62590">
        <w:t xml:space="preserve">considerable uncertainties involved in looking </w:t>
      </w:r>
      <w:r w:rsidR="00EA4B2A">
        <w:t>10 years into the future</w:t>
      </w:r>
      <w:r w:rsidR="00D47917">
        <w:t xml:space="preserve"> to 2035, the end of </w:t>
      </w:r>
      <w:r w:rsidR="00853400">
        <w:t xml:space="preserve">the </w:t>
      </w:r>
      <w:r w:rsidR="00D47917">
        <w:t xml:space="preserve">third budget period. </w:t>
      </w:r>
    </w:p>
    <w:p w14:paraId="075E8917" w14:textId="69F46B1A" w:rsidR="007C3109" w:rsidRDefault="00BD0978" w:rsidP="00BA38EE">
      <w:r w:rsidRPr="00941499">
        <w:t xml:space="preserve">We conclude that </w:t>
      </w:r>
      <w:r w:rsidR="00BA2838" w:rsidRPr="00941499">
        <w:t>both the CCR and the ARP remain fit for purpose for the time being</w:t>
      </w:r>
      <w:r w:rsidR="000163DA" w:rsidRPr="00941499">
        <w:t xml:space="preserve">. </w:t>
      </w:r>
      <w:r w:rsidR="00CA50E4" w:rsidRPr="00941499">
        <w:t xml:space="preserve">They </w:t>
      </w:r>
      <w:r w:rsidR="009A27FD" w:rsidRPr="00941499">
        <w:t xml:space="preserve">align to a high degree to </w:t>
      </w:r>
      <w:r w:rsidR="00AF1A39" w:rsidRPr="00941499">
        <w:t xml:space="preserve">the NZU prices </w:t>
      </w:r>
      <w:r w:rsidR="000240AF" w:rsidRPr="00941499">
        <w:t xml:space="preserve">likely to be needed to meet </w:t>
      </w:r>
      <w:r w:rsidR="000E0667" w:rsidRPr="00941499">
        <w:t>the second emissions budget</w:t>
      </w:r>
      <w:r w:rsidR="00607B2F" w:rsidRPr="00941499">
        <w:t>. They also align</w:t>
      </w:r>
      <w:r w:rsidR="002D79BE" w:rsidRPr="00941499">
        <w:t xml:space="preserve"> t</w:t>
      </w:r>
      <w:r w:rsidR="00E641E0" w:rsidRPr="00941499">
        <w:t xml:space="preserve">o a good degree to what </w:t>
      </w:r>
      <w:r w:rsidR="00BC4229" w:rsidRPr="00941499">
        <w:t>may</w:t>
      </w:r>
      <w:r w:rsidR="00607B2F" w:rsidRPr="00941499" w:rsidDel="00BC4229">
        <w:t xml:space="preserve"> </w:t>
      </w:r>
      <w:r w:rsidR="00607B2F" w:rsidRPr="00941499">
        <w:t xml:space="preserve">be </w:t>
      </w:r>
      <w:r w:rsidR="00E641E0" w:rsidRPr="00941499">
        <w:t xml:space="preserve">needed </w:t>
      </w:r>
      <w:r w:rsidR="00607B2F" w:rsidRPr="00941499">
        <w:t>to meet</w:t>
      </w:r>
      <w:r w:rsidR="00746798" w:rsidRPr="00941499">
        <w:t xml:space="preserve"> the third emissions budget and </w:t>
      </w:r>
      <w:r w:rsidR="004B1672" w:rsidRPr="00941499">
        <w:t xml:space="preserve">second </w:t>
      </w:r>
      <w:r w:rsidR="007C79B3" w:rsidRPr="00941499">
        <w:t>nationally determined contribution (</w:t>
      </w:r>
      <w:r w:rsidR="004B1672" w:rsidRPr="00941499">
        <w:t>NDC</w:t>
      </w:r>
      <w:r w:rsidR="007C79B3" w:rsidRPr="00941499">
        <w:t>)</w:t>
      </w:r>
      <w:r w:rsidR="00892F61" w:rsidRPr="00941499">
        <w:t xml:space="preserve">, and with </w:t>
      </w:r>
      <w:r w:rsidR="008446D5" w:rsidRPr="00941499">
        <w:t>the first NDC</w:t>
      </w:r>
      <w:r w:rsidR="006B0E3F" w:rsidRPr="00941499">
        <w:t xml:space="preserve"> (</w:t>
      </w:r>
      <w:r w:rsidR="00800A46" w:rsidRPr="00941499">
        <w:t xml:space="preserve">taking into account the </w:t>
      </w:r>
      <w:r w:rsidR="00E154BE" w:rsidRPr="00941499">
        <w:t xml:space="preserve">issues set out in </w:t>
      </w:r>
      <w:r w:rsidR="006B0E3F" w:rsidRPr="00941499">
        <w:rPr>
          <w:i/>
        </w:rPr>
        <w:t>Part 3: Te herenga utu – Unit limits</w:t>
      </w:r>
      <w:r w:rsidR="006B0E3F" w:rsidRPr="00941499">
        <w:t xml:space="preserve">, </w:t>
      </w:r>
      <w:r w:rsidR="00560082">
        <w:t>s</w:t>
      </w:r>
      <w:r w:rsidR="00560082" w:rsidRPr="00941499">
        <w:t xml:space="preserve">tep </w:t>
      </w:r>
      <w:r w:rsidR="006B0E3F" w:rsidRPr="00941499">
        <w:t>1)</w:t>
      </w:r>
      <w:r w:rsidR="00BA2838" w:rsidRPr="00941499">
        <w:t xml:space="preserve">. </w:t>
      </w:r>
      <w:r w:rsidR="00207957" w:rsidRPr="00941499">
        <w:t>We also consider that these existing settings align to a high degree to the 2050 target</w:t>
      </w:r>
      <w:r w:rsidR="001F6EF3">
        <w:t xml:space="preserve">. This is </w:t>
      </w:r>
      <w:r w:rsidR="00207957" w:rsidRPr="00941499">
        <w:t xml:space="preserve">because they align with emissions budgets – the stepping stones to the 2050 target – and the latest government emissions projections show Aotearoa New Zealand is on track to meet </w:t>
      </w:r>
      <w:r w:rsidR="001F6EF3">
        <w:t>the 2050 target</w:t>
      </w:r>
      <w:r w:rsidR="00207957" w:rsidRPr="00941499">
        <w:t>.</w:t>
      </w:r>
      <w:r w:rsidR="0059010B">
        <w:t xml:space="preserve"> </w:t>
      </w:r>
      <w:r w:rsidR="0059010B" w:rsidRPr="00941499">
        <w:t xml:space="preserve">See </w:t>
      </w:r>
      <w:r w:rsidR="0059010B" w:rsidRPr="00C767A8">
        <w:rPr>
          <w:i/>
        </w:rPr>
        <w:t xml:space="preserve">Technical Annex 3: </w:t>
      </w:r>
      <w:r w:rsidR="0059010B" w:rsidRPr="00EB0CBB">
        <w:rPr>
          <w:i/>
        </w:rPr>
        <w:t>Assessment of accordance</w:t>
      </w:r>
      <w:r w:rsidR="0059010B">
        <w:rPr>
          <w:i/>
        </w:rPr>
        <w:t xml:space="preserve"> </w:t>
      </w:r>
      <w:r w:rsidR="0059010B" w:rsidRPr="00063B32">
        <w:rPr>
          <w:iCs/>
        </w:rPr>
        <w:t xml:space="preserve">for more information about </w:t>
      </w:r>
      <w:r w:rsidR="0059010B">
        <w:rPr>
          <w:iCs/>
        </w:rPr>
        <w:t xml:space="preserve">our assessment of </w:t>
      </w:r>
      <w:r w:rsidR="00195575">
        <w:rPr>
          <w:iCs/>
        </w:rPr>
        <w:t>how our recommended price control settings align with targets</w:t>
      </w:r>
      <w:r w:rsidR="0059010B" w:rsidRPr="00063B32">
        <w:rPr>
          <w:iCs/>
        </w:rPr>
        <w:t>.</w:t>
      </w:r>
    </w:p>
    <w:p w14:paraId="68F732AE" w14:textId="62375649" w:rsidR="00B90A40" w:rsidRDefault="002F0B3D" w:rsidP="00BA38EE">
      <w:r>
        <w:t>We recommend that the</w:t>
      </w:r>
      <w:r w:rsidR="00160F49">
        <w:t>se</w:t>
      </w:r>
      <w:r w:rsidR="006207F6">
        <w:t xml:space="preserve"> price control settings </w:t>
      </w:r>
      <w:r w:rsidR="00EA73A3">
        <w:t xml:space="preserve">be </w:t>
      </w:r>
      <w:r w:rsidR="00084CF2">
        <w:t>extended to 2030</w:t>
      </w:r>
      <w:r w:rsidR="00CC3F0F">
        <w:t xml:space="preserve">, </w:t>
      </w:r>
      <w:r w:rsidR="00160F49">
        <w:t xml:space="preserve">and </w:t>
      </w:r>
      <w:r w:rsidR="00174DE1">
        <w:t xml:space="preserve">otherwise </w:t>
      </w:r>
      <w:r w:rsidR="006207F6">
        <w:t xml:space="preserve">remain unchanged </w:t>
      </w:r>
      <w:r w:rsidR="00174DE1">
        <w:t xml:space="preserve">except for </w:t>
      </w:r>
      <w:r w:rsidR="004427EC">
        <w:t xml:space="preserve">minor </w:t>
      </w:r>
      <w:r w:rsidR="00B255F1">
        <w:t xml:space="preserve">inflation </w:t>
      </w:r>
      <w:r w:rsidR="00CE4107">
        <w:t>adjustments</w:t>
      </w:r>
      <w:r w:rsidR="00B255F1">
        <w:t>.</w:t>
      </w:r>
      <w:r w:rsidR="000E2E03">
        <w:rPr>
          <w:rStyle w:val="FootnoteReference"/>
        </w:rPr>
        <w:footnoteReference w:id="31"/>
      </w:r>
      <w:r w:rsidR="00B647AC">
        <w:t xml:space="preserve"> </w:t>
      </w:r>
      <w:r w:rsidR="00B255F1">
        <w:t>We</w:t>
      </w:r>
      <w:r w:rsidR="007B1A91">
        <w:t xml:space="preserve"> have not identified any reasons </w:t>
      </w:r>
      <w:r w:rsidR="00A84207">
        <w:t xml:space="preserve">that </w:t>
      </w:r>
      <w:r w:rsidR="00A84207" w:rsidRPr="00BF1BD5">
        <w:t>would</w:t>
      </w:r>
      <w:r w:rsidR="000F6D68" w:rsidRPr="00BF1BD5">
        <w:t xml:space="preserve"> justify </w:t>
      </w:r>
      <w:r w:rsidR="007B1A91" w:rsidRPr="00BF1BD5">
        <w:t>amending the first two years of the settings</w:t>
      </w:r>
      <w:r w:rsidR="00F56FAC" w:rsidRPr="00BF1BD5">
        <w:t>.</w:t>
      </w:r>
    </w:p>
    <w:p w14:paraId="7E47E9BC" w14:textId="77777777" w:rsidR="00645F47" w:rsidRDefault="00645F47" w:rsidP="00645F47">
      <w:r>
        <w:t xml:space="preserve">Our analysis finds that there is a risk that the CCR price triggers are too low to be consistent with meeting the third (2031–2035) emissions budget and the second NDC. However, there are large uncertainties about what actions will be needed to meet this budget and the NZU prices that might be required, so it is not clear that this risk will materialise. Some of this uncertainty could be resolved within two to three years. Rather than recommending an increase to the CCR now, we consider it acceptable to review this issue annually. The process for updating the regulations each year enables the adaptive management of the NZ ETS settings in this way. </w:t>
      </w:r>
    </w:p>
    <w:p w14:paraId="32E60345" w14:textId="77777777" w:rsidR="00645F47" w:rsidRDefault="00645F47" w:rsidP="00645F47">
      <w:r>
        <w:t xml:space="preserve">Similarly, it is also unclear whether the ARP will need to continue its current or an increased upward trajectory into the 2030s, or whether from 2031 onwards it could be flattened out. </w:t>
      </w:r>
    </w:p>
    <w:p w14:paraId="7170953F" w14:textId="77777777" w:rsidR="00645F47" w:rsidRPr="00BF1BD5" w:rsidRDefault="00645F47" w:rsidP="00BA38EE"/>
    <w:p w14:paraId="5A569A11" w14:textId="0B145720" w:rsidR="0054689B" w:rsidRPr="003C5738" w:rsidRDefault="00E34C9C" w:rsidP="00FF4148">
      <w:pPr>
        <w:pStyle w:val="FigureTabletitle"/>
        <w:rPr>
          <w:highlight w:val="yellow"/>
          <w:lang w:val="en-US"/>
        </w:rPr>
      </w:pPr>
      <w:r w:rsidRPr="00BF1BD5">
        <w:rPr>
          <w:lang w:val="en-US"/>
        </w:rPr>
        <w:lastRenderedPageBreak/>
        <w:t xml:space="preserve">Table </w:t>
      </w:r>
      <w:r w:rsidR="002726EF" w:rsidRPr="00BF1BD5">
        <w:rPr>
          <w:lang w:val="en-US"/>
        </w:rPr>
        <w:t>4.1</w:t>
      </w:r>
      <w:r w:rsidRPr="00BF1BD5">
        <w:rPr>
          <w:lang w:val="en-US"/>
        </w:rPr>
        <w:t xml:space="preserve">: </w:t>
      </w:r>
      <w:r w:rsidR="0054689B" w:rsidRPr="00FF4148">
        <w:rPr>
          <w:b w:val="0"/>
          <w:bCs w:val="0"/>
          <w:lang w:val="en-US"/>
        </w:rPr>
        <w:t xml:space="preserve">Recommended </w:t>
      </w:r>
      <w:r w:rsidRPr="00FF4148">
        <w:rPr>
          <w:b w:val="0"/>
          <w:bCs w:val="0"/>
          <w:lang w:val="en-US"/>
        </w:rPr>
        <w:t xml:space="preserve">price control settings for </w:t>
      </w:r>
      <w:r w:rsidR="00D870A2" w:rsidRPr="00FF4148">
        <w:rPr>
          <w:b w:val="0"/>
          <w:bCs w:val="0"/>
          <w:lang w:val="en-US"/>
        </w:rPr>
        <w:t>2026</w:t>
      </w:r>
      <w:r w:rsidR="004D05A5" w:rsidRPr="00FF4148">
        <w:rPr>
          <w:b w:val="0"/>
          <w:bCs w:val="0"/>
        </w:rPr>
        <w:t>–</w:t>
      </w:r>
      <w:r w:rsidR="00D870A2" w:rsidRPr="00FF4148">
        <w:rPr>
          <w:b w:val="0"/>
          <w:bCs w:val="0"/>
          <w:lang w:val="en-US"/>
        </w:rPr>
        <w:t>2030</w:t>
      </w:r>
    </w:p>
    <w:tbl>
      <w:tblPr>
        <w:tblStyle w:val="GridTable5Dark-Accent5"/>
        <w:tblW w:w="5003" w:type="pct"/>
        <w:tblCellMar>
          <w:left w:w="113" w:type="dxa"/>
          <w:right w:w="113" w:type="dxa"/>
        </w:tblCellMar>
        <w:tblLook w:val="04A0" w:firstRow="1" w:lastRow="0" w:firstColumn="1" w:lastColumn="0" w:noHBand="0" w:noVBand="1"/>
      </w:tblPr>
      <w:tblGrid>
        <w:gridCol w:w="3057"/>
        <w:gridCol w:w="1200"/>
        <w:gridCol w:w="1202"/>
        <w:gridCol w:w="1200"/>
        <w:gridCol w:w="1202"/>
        <w:gridCol w:w="1204"/>
      </w:tblGrid>
      <w:tr w:rsidR="00071FF1" w:rsidRPr="00B90A40" w14:paraId="6CE058E5" w14:textId="77777777" w:rsidTr="00071FF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86" w:type="pct"/>
            <w:shd w:val="clear" w:color="auto" w:fill="002060"/>
            <w:vAlign w:val="center"/>
          </w:tcPr>
          <w:p w14:paraId="45EE2A9B" w14:textId="3C199AAE" w:rsidR="00071FF1" w:rsidRPr="00B90A40" w:rsidRDefault="00071FF1" w:rsidP="003E425B">
            <w:pPr>
              <w:pStyle w:val="Tableparagraphwhite"/>
              <w:jc w:val="left"/>
              <w:rPr>
                <w:b/>
                <w:bCs/>
              </w:rPr>
            </w:pPr>
            <w:r>
              <w:rPr>
                <w:b/>
                <w:bCs/>
              </w:rPr>
              <w:t>Cost containment reserve</w:t>
            </w:r>
          </w:p>
        </w:tc>
        <w:tc>
          <w:tcPr>
            <w:tcW w:w="1325" w:type="pct"/>
            <w:gridSpan w:val="2"/>
            <w:shd w:val="clear" w:color="auto" w:fill="002060"/>
            <w:vAlign w:val="center"/>
          </w:tcPr>
          <w:p w14:paraId="62E7DB57" w14:textId="45070E21" w:rsidR="00071FF1" w:rsidRPr="00B90A40" w:rsidRDefault="00071FF1" w:rsidP="002F2559">
            <w:pPr>
              <w:pStyle w:val="Tableparagraphwhite"/>
              <w:cnfStyle w:val="100000000000" w:firstRow="1" w:lastRow="0" w:firstColumn="0" w:lastColumn="0" w:oddVBand="0" w:evenVBand="0" w:oddHBand="0" w:evenHBand="0" w:firstRowFirstColumn="0" w:firstRowLastColumn="0" w:lastRowFirstColumn="0" w:lastRowLastColumn="0"/>
              <w:rPr>
                <w:b/>
                <w:bCs/>
              </w:rPr>
            </w:pPr>
            <w:r>
              <w:rPr>
                <w:b/>
                <w:bCs/>
              </w:rPr>
              <w:t>No changes</w:t>
            </w:r>
          </w:p>
        </w:tc>
        <w:tc>
          <w:tcPr>
            <w:tcW w:w="1325" w:type="pct"/>
            <w:gridSpan w:val="2"/>
            <w:shd w:val="clear" w:color="auto" w:fill="002060"/>
            <w:vAlign w:val="center"/>
          </w:tcPr>
          <w:p w14:paraId="07A8F1CB" w14:textId="30EE2545" w:rsidR="00071FF1" w:rsidRPr="00B90A40" w:rsidRDefault="00071FF1" w:rsidP="002F2559">
            <w:pPr>
              <w:pStyle w:val="Tableparagraphwhite"/>
              <w:cnfStyle w:val="100000000000" w:firstRow="1" w:lastRow="0" w:firstColumn="0" w:lastColumn="0" w:oddVBand="0" w:evenVBand="0" w:oddHBand="0" w:evenHBand="0" w:firstRowFirstColumn="0" w:firstRowLastColumn="0" w:lastRowFirstColumn="0" w:lastRowLastColumn="0"/>
              <w:rPr>
                <w:b/>
                <w:bCs/>
              </w:rPr>
            </w:pPr>
            <w:r>
              <w:rPr>
                <w:b/>
                <w:bCs/>
              </w:rPr>
              <w:t>Updated for inflation</w:t>
            </w:r>
          </w:p>
        </w:tc>
        <w:tc>
          <w:tcPr>
            <w:tcW w:w="664" w:type="pct"/>
            <w:shd w:val="clear" w:color="auto" w:fill="002060"/>
            <w:vAlign w:val="center"/>
          </w:tcPr>
          <w:p w14:paraId="7750ABEB" w14:textId="3008BA05" w:rsidR="00071FF1" w:rsidRPr="00B90A40" w:rsidRDefault="00071FF1" w:rsidP="002F2559">
            <w:pPr>
              <w:pStyle w:val="Tableparagraphwhite"/>
              <w:cnfStyle w:val="100000000000" w:firstRow="1" w:lastRow="0" w:firstColumn="0" w:lastColumn="0" w:oddVBand="0" w:evenVBand="0" w:oddHBand="0" w:evenHBand="0" w:firstRowFirstColumn="0" w:firstRowLastColumn="0" w:lastRowFirstColumn="0" w:lastRowLastColumn="0"/>
              <w:rPr>
                <w:b/>
                <w:bCs/>
              </w:rPr>
            </w:pPr>
            <w:r>
              <w:rPr>
                <w:b/>
                <w:bCs/>
              </w:rPr>
              <w:t>New</w:t>
            </w:r>
          </w:p>
        </w:tc>
      </w:tr>
      <w:tr w:rsidR="004B36F0" w:rsidRPr="00B90A40" w14:paraId="5158800B" w14:textId="77777777" w:rsidTr="00071F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86" w:type="pct"/>
            <w:tcBorders>
              <w:top w:val="single" w:sz="4" w:space="0" w:color="FFFFFF" w:themeColor="background1"/>
            </w:tcBorders>
            <w:shd w:val="clear" w:color="auto" w:fill="002060"/>
            <w:vAlign w:val="center"/>
          </w:tcPr>
          <w:p w14:paraId="02014031" w14:textId="77777777" w:rsidR="008B78FB" w:rsidRPr="00B729C8" w:rsidRDefault="008B78FB" w:rsidP="002F2559">
            <w:pPr>
              <w:pStyle w:val="Tableparagraphwhite"/>
            </w:pPr>
          </w:p>
        </w:tc>
        <w:tc>
          <w:tcPr>
            <w:tcW w:w="662" w:type="pct"/>
            <w:tcBorders>
              <w:top w:val="single" w:sz="4" w:space="0" w:color="FFFFFF" w:themeColor="background1"/>
            </w:tcBorders>
            <w:shd w:val="clear" w:color="auto" w:fill="002060"/>
            <w:vAlign w:val="center"/>
          </w:tcPr>
          <w:p w14:paraId="05083F71" w14:textId="1CB4332D" w:rsidR="008B78FB" w:rsidRPr="00B90A40" w:rsidRDefault="008B78FB" w:rsidP="002F2559">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B90A40">
              <w:rPr>
                <w:b w:val="0"/>
              </w:rPr>
              <w:t>2026</w:t>
            </w:r>
          </w:p>
        </w:tc>
        <w:tc>
          <w:tcPr>
            <w:tcW w:w="663" w:type="pct"/>
            <w:tcBorders>
              <w:top w:val="single" w:sz="4" w:space="0" w:color="FFFFFF" w:themeColor="background1"/>
            </w:tcBorders>
            <w:shd w:val="clear" w:color="auto" w:fill="002060"/>
            <w:vAlign w:val="center"/>
          </w:tcPr>
          <w:p w14:paraId="287688E7" w14:textId="3D2D9D99" w:rsidR="008B78FB" w:rsidRPr="00B90A40" w:rsidRDefault="008B78FB" w:rsidP="002F2559">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B90A40">
              <w:rPr>
                <w:b w:val="0"/>
              </w:rPr>
              <w:t>2027</w:t>
            </w:r>
          </w:p>
        </w:tc>
        <w:tc>
          <w:tcPr>
            <w:tcW w:w="662" w:type="pct"/>
            <w:tcBorders>
              <w:top w:val="single" w:sz="4" w:space="0" w:color="FFFFFF" w:themeColor="background1"/>
            </w:tcBorders>
            <w:shd w:val="clear" w:color="auto" w:fill="002060"/>
            <w:vAlign w:val="center"/>
          </w:tcPr>
          <w:p w14:paraId="666ECEE3" w14:textId="3D73DB0F" w:rsidR="008B78FB" w:rsidRPr="00B90A40" w:rsidRDefault="008B78FB" w:rsidP="002F2559">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B90A40">
              <w:rPr>
                <w:b w:val="0"/>
              </w:rPr>
              <w:t>2028</w:t>
            </w:r>
          </w:p>
        </w:tc>
        <w:tc>
          <w:tcPr>
            <w:tcW w:w="663" w:type="pct"/>
            <w:tcBorders>
              <w:top w:val="single" w:sz="4" w:space="0" w:color="FFFFFF" w:themeColor="background1"/>
            </w:tcBorders>
            <w:shd w:val="clear" w:color="auto" w:fill="002060"/>
            <w:vAlign w:val="center"/>
          </w:tcPr>
          <w:p w14:paraId="4403C846" w14:textId="4570BD01" w:rsidR="008B78FB" w:rsidRPr="00B90A40" w:rsidRDefault="008B78FB" w:rsidP="002F2559">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B90A40">
              <w:rPr>
                <w:b w:val="0"/>
              </w:rPr>
              <w:t>2029</w:t>
            </w:r>
          </w:p>
        </w:tc>
        <w:tc>
          <w:tcPr>
            <w:tcW w:w="664" w:type="pct"/>
            <w:tcBorders>
              <w:top w:val="single" w:sz="4" w:space="0" w:color="FFFFFF" w:themeColor="background1"/>
            </w:tcBorders>
            <w:shd w:val="clear" w:color="auto" w:fill="002060"/>
            <w:vAlign w:val="center"/>
          </w:tcPr>
          <w:p w14:paraId="6026F381" w14:textId="38058830" w:rsidR="008B78FB" w:rsidRPr="00B90A40" w:rsidRDefault="008B78FB" w:rsidP="002F2559">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B90A40">
              <w:rPr>
                <w:b w:val="0"/>
              </w:rPr>
              <w:t>2030</w:t>
            </w:r>
          </w:p>
        </w:tc>
      </w:tr>
      <w:tr w:rsidR="008E3990" w:rsidRPr="002E2349" w14:paraId="5D85F6C3" w14:textId="77777777" w:rsidTr="00071FF1">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C1DCD5"/>
            <w:vAlign w:val="center"/>
          </w:tcPr>
          <w:p w14:paraId="0FD0EFA3" w14:textId="0901798D" w:rsidR="0021764F" w:rsidRPr="002E2349" w:rsidRDefault="00713D41" w:rsidP="002F2559">
            <w:pPr>
              <w:pStyle w:val="TableParagraph"/>
              <w:rPr>
                <w:b w:val="0"/>
              </w:rPr>
            </w:pPr>
            <w:r w:rsidRPr="002E2349">
              <w:t>Tier 1</w:t>
            </w:r>
          </w:p>
        </w:tc>
      </w:tr>
      <w:tr w:rsidR="004B36F0" w:rsidRPr="0091207A" w14:paraId="21007D83" w14:textId="77777777" w:rsidTr="00E33E5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2F866217" w14:textId="77777777" w:rsidR="003A1B60" w:rsidRPr="00B90A40" w:rsidRDefault="003A1B60" w:rsidP="002952E7">
            <w:pPr>
              <w:pStyle w:val="TableParagraph"/>
              <w:jc w:val="left"/>
              <w:rPr>
                <w:b w:val="0"/>
              </w:rPr>
            </w:pPr>
            <w:r w:rsidRPr="00B90A40">
              <w:rPr>
                <w:b w:val="0"/>
              </w:rPr>
              <w:t>Trigger price</w:t>
            </w:r>
            <w:r w:rsidRPr="00B90A40">
              <w:rPr>
                <w:b w:val="0"/>
              </w:rPr>
              <w:tab/>
            </w:r>
          </w:p>
        </w:tc>
        <w:tc>
          <w:tcPr>
            <w:tcW w:w="0" w:type="pct"/>
            <w:shd w:val="clear" w:color="auto" w:fill="E9F5F2"/>
            <w:vAlign w:val="center"/>
          </w:tcPr>
          <w:p w14:paraId="516DE346" w14:textId="02AA88C7" w:rsidR="003A1B60" w:rsidRPr="00B90A40" w:rsidRDefault="006D0439" w:rsidP="002F2559">
            <w:pPr>
              <w:pStyle w:val="TableParagraph"/>
              <w:cnfStyle w:val="000000100000" w:firstRow="0" w:lastRow="0" w:firstColumn="0" w:lastColumn="0" w:oddVBand="0" w:evenVBand="0" w:oddHBand="1" w:evenHBand="0" w:firstRowFirstColumn="0" w:firstRowLastColumn="0" w:lastRowFirstColumn="0" w:lastRowLastColumn="0"/>
            </w:pPr>
            <w:r w:rsidRPr="006D0439">
              <w:t>$203</w:t>
            </w:r>
          </w:p>
        </w:tc>
        <w:tc>
          <w:tcPr>
            <w:tcW w:w="0" w:type="pct"/>
            <w:shd w:val="clear" w:color="auto" w:fill="E9F5F2"/>
            <w:vAlign w:val="center"/>
          </w:tcPr>
          <w:p w14:paraId="7FB4C2E0" w14:textId="403A1524" w:rsidR="003A1B60" w:rsidRPr="00B90A40" w:rsidRDefault="006D0439" w:rsidP="002F2559">
            <w:pPr>
              <w:pStyle w:val="TableParagraph"/>
              <w:cnfStyle w:val="000000100000" w:firstRow="0" w:lastRow="0" w:firstColumn="0" w:lastColumn="0" w:oddVBand="0" w:evenVBand="0" w:oddHBand="1" w:evenHBand="0" w:firstRowFirstColumn="0" w:firstRowLastColumn="0" w:lastRowFirstColumn="0" w:lastRowLastColumn="0"/>
            </w:pPr>
            <w:r w:rsidRPr="006D0439">
              <w:t>$213</w:t>
            </w:r>
          </w:p>
        </w:tc>
        <w:tc>
          <w:tcPr>
            <w:tcW w:w="0" w:type="pct"/>
            <w:shd w:val="clear" w:color="auto" w:fill="E9F5F2"/>
            <w:vAlign w:val="center"/>
          </w:tcPr>
          <w:p w14:paraId="54A51265" w14:textId="21CF38A5" w:rsidR="003A1B60" w:rsidRPr="00B90A40" w:rsidRDefault="006D0439" w:rsidP="002F2559">
            <w:pPr>
              <w:pStyle w:val="TableParagraph"/>
              <w:cnfStyle w:val="000000100000" w:firstRow="0" w:lastRow="0" w:firstColumn="0" w:lastColumn="0" w:oddVBand="0" w:evenVBand="0" w:oddHBand="1" w:evenHBand="0" w:firstRowFirstColumn="0" w:firstRowLastColumn="0" w:lastRowFirstColumn="0" w:lastRowLastColumn="0"/>
            </w:pPr>
            <w:r w:rsidRPr="006D0439">
              <w:t>$223</w:t>
            </w:r>
          </w:p>
        </w:tc>
        <w:tc>
          <w:tcPr>
            <w:tcW w:w="0" w:type="pct"/>
            <w:shd w:val="clear" w:color="auto" w:fill="E9F5F2"/>
            <w:vAlign w:val="center"/>
          </w:tcPr>
          <w:p w14:paraId="5BBF92D1" w14:textId="5AF6319B" w:rsidR="003A1B60" w:rsidRPr="00B90A40" w:rsidRDefault="006D0439" w:rsidP="002F2559">
            <w:pPr>
              <w:pStyle w:val="TableParagraph"/>
              <w:cnfStyle w:val="000000100000" w:firstRow="0" w:lastRow="0" w:firstColumn="0" w:lastColumn="0" w:oddVBand="0" w:evenVBand="0" w:oddHBand="1" w:evenHBand="0" w:firstRowFirstColumn="0" w:firstRowLastColumn="0" w:lastRowFirstColumn="0" w:lastRowLastColumn="0"/>
            </w:pPr>
            <w:r w:rsidRPr="006D0439">
              <w:t>$235</w:t>
            </w:r>
          </w:p>
        </w:tc>
        <w:tc>
          <w:tcPr>
            <w:tcW w:w="0" w:type="pct"/>
            <w:shd w:val="clear" w:color="auto" w:fill="D4E8DE"/>
            <w:vAlign w:val="center"/>
          </w:tcPr>
          <w:p w14:paraId="5F704BDE" w14:textId="0DD60988" w:rsidR="003A1B60" w:rsidRPr="00B90A40" w:rsidRDefault="006D0439" w:rsidP="002F2559">
            <w:pPr>
              <w:pStyle w:val="TableParagraph"/>
              <w:cnfStyle w:val="000000100000" w:firstRow="0" w:lastRow="0" w:firstColumn="0" w:lastColumn="0" w:oddVBand="0" w:evenVBand="0" w:oddHBand="1" w:evenHBand="0" w:firstRowFirstColumn="0" w:firstRowLastColumn="0" w:lastRowFirstColumn="0" w:lastRowLastColumn="0"/>
            </w:pPr>
            <w:r w:rsidRPr="006D0439">
              <w:t>$246</w:t>
            </w:r>
          </w:p>
        </w:tc>
      </w:tr>
      <w:tr w:rsidR="004B36F0" w:rsidRPr="0091207A" w14:paraId="393DF50A" w14:textId="77777777" w:rsidTr="00E33E59">
        <w:trPr>
          <w:trHeight w:val="397"/>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2ADBD43F" w14:textId="77777777" w:rsidR="003A1B60" w:rsidRPr="00B90A40" w:rsidRDefault="003A1B60" w:rsidP="002952E7">
            <w:pPr>
              <w:pStyle w:val="TableParagraph"/>
              <w:jc w:val="left"/>
              <w:rPr>
                <w:b w:val="0"/>
              </w:rPr>
            </w:pPr>
            <w:r w:rsidRPr="00B90A40">
              <w:rPr>
                <w:b w:val="0"/>
              </w:rPr>
              <w:t>Reserve volume (million units)</w:t>
            </w:r>
          </w:p>
        </w:tc>
        <w:tc>
          <w:tcPr>
            <w:tcW w:w="0" w:type="pct"/>
            <w:shd w:val="clear" w:color="auto" w:fill="E9F5F2"/>
            <w:vAlign w:val="center"/>
          </w:tcPr>
          <w:p w14:paraId="4E6A3D91" w14:textId="7907B6E4" w:rsidR="003A1B60" w:rsidRPr="00B90A40" w:rsidRDefault="000C2ECA" w:rsidP="002F2559">
            <w:pPr>
              <w:pStyle w:val="TableParagraph"/>
              <w:cnfStyle w:val="000000000000" w:firstRow="0" w:lastRow="0" w:firstColumn="0" w:lastColumn="0" w:oddVBand="0" w:evenVBand="0" w:oddHBand="0" w:evenHBand="0" w:firstRowFirstColumn="0" w:firstRowLastColumn="0" w:lastRowFirstColumn="0" w:lastRowLastColumn="0"/>
            </w:pPr>
            <w:r w:rsidRPr="0097728C">
              <w:t>2.3</w:t>
            </w:r>
          </w:p>
        </w:tc>
        <w:tc>
          <w:tcPr>
            <w:tcW w:w="0" w:type="pct"/>
            <w:shd w:val="clear" w:color="auto" w:fill="E9F5F2"/>
            <w:vAlign w:val="center"/>
          </w:tcPr>
          <w:p w14:paraId="5CC8C4DB" w14:textId="380052FF" w:rsidR="003A1B60" w:rsidRPr="00B90A40" w:rsidRDefault="000C2ECA" w:rsidP="002F2559">
            <w:pPr>
              <w:pStyle w:val="TableParagraph"/>
              <w:cnfStyle w:val="000000000000" w:firstRow="0" w:lastRow="0" w:firstColumn="0" w:lastColumn="0" w:oddVBand="0" w:evenVBand="0" w:oddHBand="0" w:evenHBand="0" w:firstRowFirstColumn="0" w:firstRowLastColumn="0" w:lastRowFirstColumn="0" w:lastRowLastColumn="0"/>
            </w:pPr>
            <w:r w:rsidRPr="0097728C">
              <w:t>2.1</w:t>
            </w:r>
          </w:p>
        </w:tc>
        <w:tc>
          <w:tcPr>
            <w:tcW w:w="0" w:type="pct"/>
            <w:shd w:val="clear" w:color="auto" w:fill="E9F5F2"/>
            <w:vAlign w:val="center"/>
          </w:tcPr>
          <w:p w14:paraId="1D34F5F4" w14:textId="7F7CD860" w:rsidR="003A1B60" w:rsidRPr="00B90A40" w:rsidRDefault="000C2ECA" w:rsidP="002F2559">
            <w:pPr>
              <w:pStyle w:val="TableParagraph"/>
              <w:cnfStyle w:val="000000000000" w:firstRow="0" w:lastRow="0" w:firstColumn="0" w:lastColumn="0" w:oddVBand="0" w:evenVBand="0" w:oddHBand="0" w:evenHBand="0" w:firstRowFirstColumn="0" w:firstRowLastColumn="0" w:lastRowFirstColumn="0" w:lastRowLastColumn="0"/>
            </w:pPr>
            <w:r w:rsidRPr="0097728C">
              <w:t>1.9</w:t>
            </w:r>
          </w:p>
        </w:tc>
        <w:tc>
          <w:tcPr>
            <w:tcW w:w="0" w:type="pct"/>
            <w:shd w:val="clear" w:color="auto" w:fill="E9F5F2"/>
            <w:vAlign w:val="center"/>
          </w:tcPr>
          <w:p w14:paraId="13CC56CD" w14:textId="7385CF9C" w:rsidR="003A1B60" w:rsidRPr="00B90A40" w:rsidRDefault="000C2ECA" w:rsidP="002F2559">
            <w:pPr>
              <w:pStyle w:val="TableParagraph"/>
              <w:cnfStyle w:val="000000000000" w:firstRow="0" w:lastRow="0" w:firstColumn="0" w:lastColumn="0" w:oddVBand="0" w:evenVBand="0" w:oddHBand="0" w:evenHBand="0" w:firstRowFirstColumn="0" w:firstRowLastColumn="0" w:lastRowFirstColumn="0" w:lastRowLastColumn="0"/>
            </w:pPr>
            <w:r w:rsidRPr="0097728C">
              <w:t>1.7</w:t>
            </w:r>
          </w:p>
        </w:tc>
        <w:tc>
          <w:tcPr>
            <w:tcW w:w="0" w:type="pct"/>
            <w:shd w:val="clear" w:color="auto" w:fill="D4E8DE"/>
            <w:vAlign w:val="center"/>
          </w:tcPr>
          <w:p w14:paraId="212AC30D" w14:textId="6F7A93DF" w:rsidR="003A1B60" w:rsidRPr="00B90A40" w:rsidRDefault="000C2ECA" w:rsidP="002F2559">
            <w:pPr>
              <w:pStyle w:val="TableParagraph"/>
              <w:cnfStyle w:val="000000000000" w:firstRow="0" w:lastRow="0" w:firstColumn="0" w:lastColumn="0" w:oddVBand="0" w:evenVBand="0" w:oddHBand="0" w:evenHBand="0" w:firstRowFirstColumn="0" w:firstRowLastColumn="0" w:lastRowFirstColumn="0" w:lastRowLastColumn="0"/>
            </w:pPr>
            <w:r w:rsidRPr="0097728C">
              <w:t>1.4</w:t>
            </w:r>
          </w:p>
        </w:tc>
      </w:tr>
      <w:tr w:rsidR="003A1B60" w:rsidRPr="0091207A" w14:paraId="6F54F931" w14:textId="77777777" w:rsidTr="00071F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C1DCD5"/>
            <w:vAlign w:val="center"/>
          </w:tcPr>
          <w:p w14:paraId="23711BFB" w14:textId="4125D4F6" w:rsidR="003A1B60" w:rsidRPr="002E2349" w:rsidRDefault="00C952DB" w:rsidP="00B90A40">
            <w:pPr>
              <w:pStyle w:val="TableParagraph"/>
              <w:rPr>
                <w:rFonts w:asciiTheme="minorHAnsi" w:hAnsiTheme="minorHAnsi" w:cstheme="minorHAnsi"/>
                <w:sz w:val="20"/>
                <w:szCs w:val="20"/>
              </w:rPr>
            </w:pPr>
            <w:r w:rsidRPr="002E2349">
              <w:t>Tier 2</w:t>
            </w:r>
          </w:p>
        </w:tc>
      </w:tr>
      <w:tr w:rsidR="004B36F0" w:rsidRPr="0091207A" w14:paraId="7658FCDD" w14:textId="77777777" w:rsidTr="00E33E59">
        <w:trPr>
          <w:trHeight w:val="397"/>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29E8BEFE" w14:textId="77777777" w:rsidR="003A1B60" w:rsidRPr="00B90A40" w:rsidRDefault="003A1B60" w:rsidP="002952E7">
            <w:pPr>
              <w:pStyle w:val="TableParagraph"/>
              <w:jc w:val="left"/>
              <w:rPr>
                <w:b w:val="0"/>
              </w:rPr>
            </w:pPr>
            <w:r w:rsidRPr="00B90A40">
              <w:rPr>
                <w:b w:val="0"/>
              </w:rPr>
              <w:t>Trigger price</w:t>
            </w:r>
          </w:p>
        </w:tc>
        <w:tc>
          <w:tcPr>
            <w:tcW w:w="0" w:type="pct"/>
            <w:shd w:val="clear" w:color="auto" w:fill="E9F5F2"/>
            <w:vAlign w:val="center"/>
          </w:tcPr>
          <w:p w14:paraId="60F3E938" w14:textId="69EC495A" w:rsidR="003A1B60" w:rsidRPr="0091207A" w:rsidRDefault="006D0439" w:rsidP="002F255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6D0439">
              <w:t>$254</w:t>
            </w:r>
          </w:p>
        </w:tc>
        <w:tc>
          <w:tcPr>
            <w:tcW w:w="0" w:type="pct"/>
            <w:shd w:val="clear" w:color="auto" w:fill="E9F5F2"/>
            <w:vAlign w:val="center"/>
          </w:tcPr>
          <w:p w14:paraId="0846E61C" w14:textId="75392AE1" w:rsidR="003A1B60" w:rsidRPr="0091207A" w:rsidRDefault="006D0439" w:rsidP="002F255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6D0439">
              <w:t>$267</w:t>
            </w:r>
          </w:p>
        </w:tc>
        <w:tc>
          <w:tcPr>
            <w:tcW w:w="0" w:type="pct"/>
            <w:shd w:val="clear" w:color="auto" w:fill="E9F5F2"/>
            <w:vAlign w:val="center"/>
          </w:tcPr>
          <w:p w14:paraId="22F66EB4" w14:textId="7D62ADDD" w:rsidR="003A1B60" w:rsidRPr="0091207A" w:rsidRDefault="006D0439" w:rsidP="002F255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6D0439">
              <w:t>$279</w:t>
            </w:r>
          </w:p>
        </w:tc>
        <w:tc>
          <w:tcPr>
            <w:tcW w:w="0" w:type="pct"/>
            <w:shd w:val="clear" w:color="auto" w:fill="E9F5F2"/>
            <w:vAlign w:val="center"/>
          </w:tcPr>
          <w:p w14:paraId="6301C183" w14:textId="3336A032" w:rsidR="003A1B60" w:rsidRPr="0091207A" w:rsidRDefault="006D0439" w:rsidP="002F255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6D0439">
              <w:t>$293</w:t>
            </w:r>
          </w:p>
        </w:tc>
        <w:tc>
          <w:tcPr>
            <w:tcW w:w="0" w:type="pct"/>
            <w:shd w:val="clear" w:color="auto" w:fill="D4E8DE"/>
            <w:vAlign w:val="center"/>
          </w:tcPr>
          <w:p w14:paraId="55699B6D" w14:textId="5D45D569" w:rsidR="003A1B60" w:rsidRPr="0091207A" w:rsidRDefault="006D0439" w:rsidP="002F255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6D0439">
              <w:t>$308</w:t>
            </w:r>
          </w:p>
        </w:tc>
      </w:tr>
      <w:tr w:rsidR="004B36F0" w:rsidRPr="0091207A" w14:paraId="713ADC66" w14:textId="77777777" w:rsidTr="00E33E5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4EE9ADDC" w14:textId="77777777" w:rsidR="003A1B60" w:rsidRPr="00036326" w:rsidRDefault="003A1B60" w:rsidP="00B90A40">
            <w:pPr>
              <w:pStyle w:val="TableParagraph"/>
              <w:jc w:val="left"/>
              <w:rPr>
                <w:b w:val="0"/>
                <w:bCs w:val="0"/>
                <w:color w:val="auto"/>
                <w:lang w:val="en-NZ"/>
              </w:rPr>
            </w:pPr>
            <w:r w:rsidRPr="00036326">
              <w:rPr>
                <w:b w:val="0"/>
                <w:bCs w:val="0"/>
                <w:color w:val="auto"/>
                <w:lang w:val="en-NZ"/>
              </w:rPr>
              <w:t>Reserve volume (million units)</w:t>
            </w:r>
          </w:p>
        </w:tc>
        <w:tc>
          <w:tcPr>
            <w:tcW w:w="0" w:type="pct"/>
            <w:shd w:val="clear" w:color="auto" w:fill="E9F5F2"/>
            <w:vAlign w:val="center"/>
          </w:tcPr>
          <w:p w14:paraId="75BFA942" w14:textId="70BA6610" w:rsidR="003A1B60" w:rsidRPr="0091207A" w:rsidRDefault="0097728C" w:rsidP="002F255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97728C">
              <w:t>4.2</w:t>
            </w:r>
          </w:p>
        </w:tc>
        <w:tc>
          <w:tcPr>
            <w:tcW w:w="0" w:type="pct"/>
            <w:shd w:val="clear" w:color="auto" w:fill="E9F5F2"/>
            <w:vAlign w:val="center"/>
          </w:tcPr>
          <w:p w14:paraId="54CD4F19" w14:textId="39EA7404" w:rsidR="003A1B60" w:rsidRPr="0091207A" w:rsidRDefault="0097728C" w:rsidP="002F255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97728C">
              <w:t>3.8</w:t>
            </w:r>
          </w:p>
        </w:tc>
        <w:tc>
          <w:tcPr>
            <w:tcW w:w="0" w:type="pct"/>
            <w:shd w:val="clear" w:color="auto" w:fill="E9F5F2"/>
            <w:vAlign w:val="center"/>
          </w:tcPr>
          <w:p w14:paraId="63605150" w14:textId="72718F32" w:rsidR="003A1B60" w:rsidRPr="0091207A" w:rsidRDefault="0097728C" w:rsidP="002F255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97728C">
              <w:t>3.4</w:t>
            </w:r>
          </w:p>
        </w:tc>
        <w:tc>
          <w:tcPr>
            <w:tcW w:w="0" w:type="pct"/>
            <w:shd w:val="clear" w:color="auto" w:fill="E9F5F2"/>
            <w:vAlign w:val="center"/>
          </w:tcPr>
          <w:p w14:paraId="011C6519" w14:textId="098F77E4" w:rsidR="003A1B60" w:rsidRPr="0091207A" w:rsidRDefault="0097728C" w:rsidP="002F255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97728C">
              <w:t>3.0</w:t>
            </w:r>
          </w:p>
        </w:tc>
        <w:tc>
          <w:tcPr>
            <w:tcW w:w="0" w:type="pct"/>
            <w:shd w:val="clear" w:color="auto" w:fill="E9F5F2"/>
            <w:vAlign w:val="center"/>
          </w:tcPr>
          <w:p w14:paraId="395F2D4D" w14:textId="5FF709B8" w:rsidR="003A1B60" w:rsidRPr="0091207A" w:rsidRDefault="0097728C" w:rsidP="002F255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97728C">
              <w:t>2.5</w:t>
            </w:r>
          </w:p>
        </w:tc>
      </w:tr>
    </w:tbl>
    <w:p w14:paraId="7A262BF6" w14:textId="7A357D6F" w:rsidR="0013620B" w:rsidRPr="00092B4B" w:rsidRDefault="0013620B" w:rsidP="0013620B">
      <w:pPr>
        <w:spacing w:before="0" w:after="0" w:line="120" w:lineRule="auto"/>
      </w:pPr>
    </w:p>
    <w:tbl>
      <w:tblPr>
        <w:tblStyle w:val="GridTable5Dark-Accent5"/>
        <w:tblW w:w="5003" w:type="pct"/>
        <w:tblCellMar>
          <w:left w:w="113" w:type="dxa"/>
          <w:right w:w="113" w:type="dxa"/>
        </w:tblCellMar>
        <w:tblLook w:val="04A0" w:firstRow="1" w:lastRow="0" w:firstColumn="1" w:lastColumn="0" w:noHBand="0" w:noVBand="1"/>
      </w:tblPr>
      <w:tblGrid>
        <w:gridCol w:w="3118"/>
        <w:gridCol w:w="1189"/>
        <w:gridCol w:w="1189"/>
        <w:gridCol w:w="1189"/>
        <w:gridCol w:w="1189"/>
        <w:gridCol w:w="1191"/>
      </w:tblGrid>
      <w:tr w:rsidR="00B742CD" w:rsidRPr="00B90A40" w14:paraId="1FF44A51" w14:textId="77777777" w:rsidTr="00627A7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9" w:type="pct"/>
            <w:shd w:val="clear" w:color="auto" w:fill="002060"/>
            <w:vAlign w:val="center"/>
          </w:tcPr>
          <w:p w14:paraId="3EAF6C35" w14:textId="17F7B57E" w:rsidR="00B742CD" w:rsidRPr="00B90A40" w:rsidRDefault="00B742CD" w:rsidP="003E425B">
            <w:pPr>
              <w:pStyle w:val="Tableparagraphwhite"/>
              <w:jc w:val="left"/>
              <w:rPr>
                <w:b/>
                <w:bCs/>
              </w:rPr>
            </w:pPr>
            <w:r>
              <w:rPr>
                <w:b/>
                <w:bCs/>
              </w:rPr>
              <w:t>Auction reserve price</w:t>
            </w:r>
          </w:p>
        </w:tc>
        <w:tc>
          <w:tcPr>
            <w:tcW w:w="1312" w:type="pct"/>
            <w:gridSpan w:val="2"/>
            <w:shd w:val="clear" w:color="auto" w:fill="002060"/>
            <w:vAlign w:val="center"/>
          </w:tcPr>
          <w:p w14:paraId="6AD71135" w14:textId="77777777" w:rsidR="00B742CD" w:rsidRPr="00B90A40" w:rsidRDefault="00B742CD">
            <w:pPr>
              <w:pStyle w:val="Tableparagraphwhite"/>
              <w:cnfStyle w:val="100000000000" w:firstRow="1" w:lastRow="0" w:firstColumn="0" w:lastColumn="0" w:oddVBand="0" w:evenVBand="0" w:oddHBand="0" w:evenHBand="0" w:firstRowFirstColumn="0" w:firstRowLastColumn="0" w:lastRowFirstColumn="0" w:lastRowLastColumn="0"/>
              <w:rPr>
                <w:b/>
                <w:bCs/>
              </w:rPr>
            </w:pPr>
            <w:r>
              <w:rPr>
                <w:b/>
                <w:bCs/>
              </w:rPr>
              <w:t>No changes</w:t>
            </w:r>
          </w:p>
        </w:tc>
        <w:tc>
          <w:tcPr>
            <w:tcW w:w="1312" w:type="pct"/>
            <w:gridSpan w:val="2"/>
            <w:shd w:val="clear" w:color="auto" w:fill="002060"/>
            <w:vAlign w:val="center"/>
          </w:tcPr>
          <w:p w14:paraId="57BC03EE" w14:textId="77777777" w:rsidR="00B742CD" w:rsidRPr="00B90A40" w:rsidRDefault="00B742CD">
            <w:pPr>
              <w:pStyle w:val="Tableparagraphwhite"/>
              <w:cnfStyle w:val="100000000000" w:firstRow="1" w:lastRow="0" w:firstColumn="0" w:lastColumn="0" w:oddVBand="0" w:evenVBand="0" w:oddHBand="0" w:evenHBand="0" w:firstRowFirstColumn="0" w:firstRowLastColumn="0" w:lastRowFirstColumn="0" w:lastRowLastColumn="0"/>
              <w:rPr>
                <w:b/>
                <w:bCs/>
              </w:rPr>
            </w:pPr>
            <w:r>
              <w:rPr>
                <w:b/>
                <w:bCs/>
              </w:rPr>
              <w:t>Updated for inflation</w:t>
            </w:r>
          </w:p>
        </w:tc>
        <w:tc>
          <w:tcPr>
            <w:tcW w:w="658" w:type="pct"/>
            <w:shd w:val="clear" w:color="auto" w:fill="002060"/>
            <w:vAlign w:val="center"/>
          </w:tcPr>
          <w:p w14:paraId="62EFAE08" w14:textId="77777777" w:rsidR="00B742CD" w:rsidRPr="00B90A40" w:rsidRDefault="00B742CD">
            <w:pPr>
              <w:pStyle w:val="Tableparagraphwhite"/>
              <w:cnfStyle w:val="100000000000" w:firstRow="1" w:lastRow="0" w:firstColumn="0" w:lastColumn="0" w:oddVBand="0" w:evenVBand="0" w:oddHBand="0" w:evenHBand="0" w:firstRowFirstColumn="0" w:firstRowLastColumn="0" w:lastRowFirstColumn="0" w:lastRowLastColumn="0"/>
              <w:rPr>
                <w:b/>
                <w:bCs/>
              </w:rPr>
            </w:pPr>
            <w:r>
              <w:rPr>
                <w:b/>
                <w:bCs/>
              </w:rPr>
              <w:t>New</w:t>
            </w:r>
          </w:p>
        </w:tc>
      </w:tr>
      <w:tr w:rsidR="00B742CD" w:rsidRPr="00B90A40" w14:paraId="7A83800B" w14:textId="77777777" w:rsidTr="00627A7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9" w:type="pct"/>
            <w:tcBorders>
              <w:top w:val="single" w:sz="4" w:space="0" w:color="FFFFFF" w:themeColor="background1"/>
            </w:tcBorders>
            <w:shd w:val="clear" w:color="auto" w:fill="002060"/>
            <w:vAlign w:val="center"/>
          </w:tcPr>
          <w:p w14:paraId="79D3BDFE" w14:textId="77777777" w:rsidR="00B742CD" w:rsidRPr="00B90A40" w:rsidRDefault="00B742CD">
            <w:pPr>
              <w:pStyle w:val="Tableparagraphwhite"/>
            </w:pPr>
          </w:p>
        </w:tc>
        <w:tc>
          <w:tcPr>
            <w:tcW w:w="656" w:type="pct"/>
            <w:tcBorders>
              <w:top w:val="single" w:sz="4" w:space="0" w:color="FFFFFF" w:themeColor="background1"/>
            </w:tcBorders>
            <w:shd w:val="clear" w:color="auto" w:fill="002060"/>
            <w:vAlign w:val="center"/>
          </w:tcPr>
          <w:p w14:paraId="4B2CBECC" w14:textId="77777777" w:rsidR="00B742CD" w:rsidRPr="00B90A40" w:rsidRDefault="00B742CD">
            <w:pPr>
              <w:pStyle w:val="Tableparagraphwhite"/>
              <w:cnfStyle w:val="000000100000" w:firstRow="0" w:lastRow="0" w:firstColumn="0" w:lastColumn="0" w:oddVBand="0" w:evenVBand="0" w:oddHBand="1" w:evenHBand="0" w:firstRowFirstColumn="0" w:firstRowLastColumn="0" w:lastRowFirstColumn="0" w:lastRowLastColumn="0"/>
              <w:rPr>
                <w:b w:val="0"/>
                <w:bCs w:val="0"/>
              </w:rPr>
            </w:pPr>
            <w:r w:rsidRPr="00B90A40">
              <w:rPr>
                <w:b w:val="0"/>
                <w:bCs w:val="0"/>
              </w:rPr>
              <w:t>2026</w:t>
            </w:r>
          </w:p>
        </w:tc>
        <w:tc>
          <w:tcPr>
            <w:tcW w:w="656" w:type="pct"/>
            <w:tcBorders>
              <w:top w:val="single" w:sz="4" w:space="0" w:color="FFFFFF" w:themeColor="background1"/>
            </w:tcBorders>
            <w:shd w:val="clear" w:color="auto" w:fill="002060"/>
            <w:vAlign w:val="center"/>
          </w:tcPr>
          <w:p w14:paraId="0EA065F7" w14:textId="77777777" w:rsidR="00B742CD" w:rsidRPr="00B90A40" w:rsidRDefault="00B742CD">
            <w:pPr>
              <w:pStyle w:val="Tableparagraphwhite"/>
              <w:cnfStyle w:val="000000100000" w:firstRow="0" w:lastRow="0" w:firstColumn="0" w:lastColumn="0" w:oddVBand="0" w:evenVBand="0" w:oddHBand="1" w:evenHBand="0" w:firstRowFirstColumn="0" w:firstRowLastColumn="0" w:lastRowFirstColumn="0" w:lastRowLastColumn="0"/>
              <w:rPr>
                <w:b w:val="0"/>
                <w:bCs w:val="0"/>
              </w:rPr>
            </w:pPr>
            <w:r w:rsidRPr="00B90A40">
              <w:rPr>
                <w:b w:val="0"/>
                <w:bCs w:val="0"/>
              </w:rPr>
              <w:t>2027</w:t>
            </w:r>
          </w:p>
        </w:tc>
        <w:tc>
          <w:tcPr>
            <w:tcW w:w="656" w:type="pct"/>
            <w:tcBorders>
              <w:top w:val="single" w:sz="4" w:space="0" w:color="FFFFFF" w:themeColor="background1"/>
            </w:tcBorders>
            <w:shd w:val="clear" w:color="auto" w:fill="002060"/>
            <w:vAlign w:val="center"/>
          </w:tcPr>
          <w:p w14:paraId="3A745DA4" w14:textId="77777777" w:rsidR="00B742CD" w:rsidRPr="00B90A40" w:rsidRDefault="00B742CD">
            <w:pPr>
              <w:pStyle w:val="Tableparagraphwhite"/>
              <w:cnfStyle w:val="000000100000" w:firstRow="0" w:lastRow="0" w:firstColumn="0" w:lastColumn="0" w:oddVBand="0" w:evenVBand="0" w:oddHBand="1" w:evenHBand="0" w:firstRowFirstColumn="0" w:firstRowLastColumn="0" w:lastRowFirstColumn="0" w:lastRowLastColumn="0"/>
              <w:rPr>
                <w:b w:val="0"/>
                <w:bCs w:val="0"/>
              </w:rPr>
            </w:pPr>
            <w:r w:rsidRPr="00B90A40">
              <w:rPr>
                <w:b w:val="0"/>
                <w:bCs w:val="0"/>
              </w:rPr>
              <w:t>2028</w:t>
            </w:r>
          </w:p>
        </w:tc>
        <w:tc>
          <w:tcPr>
            <w:tcW w:w="656" w:type="pct"/>
            <w:tcBorders>
              <w:top w:val="single" w:sz="4" w:space="0" w:color="FFFFFF" w:themeColor="background1"/>
            </w:tcBorders>
            <w:shd w:val="clear" w:color="auto" w:fill="002060"/>
            <w:vAlign w:val="center"/>
          </w:tcPr>
          <w:p w14:paraId="1D393D2A" w14:textId="77777777" w:rsidR="00B742CD" w:rsidRPr="00B90A40" w:rsidRDefault="00B742CD">
            <w:pPr>
              <w:pStyle w:val="Tableparagraphwhite"/>
              <w:cnfStyle w:val="000000100000" w:firstRow="0" w:lastRow="0" w:firstColumn="0" w:lastColumn="0" w:oddVBand="0" w:evenVBand="0" w:oddHBand="1" w:evenHBand="0" w:firstRowFirstColumn="0" w:firstRowLastColumn="0" w:lastRowFirstColumn="0" w:lastRowLastColumn="0"/>
              <w:rPr>
                <w:b w:val="0"/>
                <w:bCs w:val="0"/>
              </w:rPr>
            </w:pPr>
            <w:r w:rsidRPr="00B90A40">
              <w:rPr>
                <w:b w:val="0"/>
                <w:bCs w:val="0"/>
              </w:rPr>
              <w:t>2029</w:t>
            </w:r>
          </w:p>
        </w:tc>
        <w:tc>
          <w:tcPr>
            <w:tcW w:w="658" w:type="pct"/>
            <w:tcBorders>
              <w:top w:val="single" w:sz="4" w:space="0" w:color="FFFFFF" w:themeColor="background1"/>
            </w:tcBorders>
            <w:shd w:val="clear" w:color="auto" w:fill="002060"/>
            <w:vAlign w:val="center"/>
          </w:tcPr>
          <w:p w14:paraId="37EC2CE8" w14:textId="77777777" w:rsidR="00B742CD" w:rsidRPr="00B90A40" w:rsidRDefault="00B742CD">
            <w:pPr>
              <w:pStyle w:val="Tableparagraphwhite"/>
              <w:cnfStyle w:val="000000100000" w:firstRow="0" w:lastRow="0" w:firstColumn="0" w:lastColumn="0" w:oddVBand="0" w:evenVBand="0" w:oddHBand="1" w:evenHBand="0" w:firstRowFirstColumn="0" w:firstRowLastColumn="0" w:lastRowFirstColumn="0" w:lastRowLastColumn="0"/>
              <w:rPr>
                <w:b w:val="0"/>
                <w:bCs w:val="0"/>
              </w:rPr>
            </w:pPr>
            <w:r w:rsidRPr="00B90A40">
              <w:rPr>
                <w:b w:val="0"/>
                <w:bCs w:val="0"/>
              </w:rPr>
              <w:t>2030</w:t>
            </w:r>
          </w:p>
        </w:tc>
      </w:tr>
      <w:tr w:rsidR="00B742CD" w:rsidRPr="0091207A" w14:paraId="18CD6238" w14:textId="77777777" w:rsidTr="00E33E59">
        <w:trPr>
          <w:trHeight w:val="397"/>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0AFD2F63" w14:textId="63BE565D" w:rsidR="00B742CD" w:rsidRPr="00B90A40" w:rsidRDefault="00B742CD">
            <w:pPr>
              <w:pStyle w:val="TableParagraph"/>
              <w:jc w:val="left"/>
              <w:rPr>
                <w:b w:val="0"/>
                <w:bCs w:val="0"/>
              </w:rPr>
            </w:pPr>
            <w:r>
              <w:rPr>
                <w:b w:val="0"/>
                <w:bCs w:val="0"/>
              </w:rPr>
              <w:t>Auction reserve price</w:t>
            </w:r>
            <w:r w:rsidRPr="00B90A40">
              <w:rPr>
                <w:b w:val="0"/>
                <w:bCs w:val="0"/>
              </w:rPr>
              <w:tab/>
            </w:r>
          </w:p>
        </w:tc>
        <w:tc>
          <w:tcPr>
            <w:tcW w:w="0" w:type="pct"/>
            <w:shd w:val="clear" w:color="auto" w:fill="E9F5F2"/>
            <w:vAlign w:val="center"/>
          </w:tcPr>
          <w:p w14:paraId="2E0FAA61" w14:textId="4F572BEC" w:rsidR="00B742CD" w:rsidRPr="00B90A40" w:rsidRDefault="00B742CD">
            <w:pPr>
              <w:pStyle w:val="TableParagraph"/>
              <w:cnfStyle w:val="000000000000" w:firstRow="0" w:lastRow="0" w:firstColumn="0" w:lastColumn="0" w:oddVBand="0" w:evenVBand="0" w:oddHBand="0" w:evenHBand="0" w:firstRowFirstColumn="0" w:firstRowLastColumn="0" w:lastRowFirstColumn="0" w:lastRowLastColumn="0"/>
            </w:pPr>
            <w:r w:rsidRPr="00B90A40">
              <w:t>$</w:t>
            </w:r>
            <w:r>
              <w:t>71</w:t>
            </w:r>
          </w:p>
        </w:tc>
        <w:tc>
          <w:tcPr>
            <w:tcW w:w="0" w:type="pct"/>
            <w:shd w:val="clear" w:color="auto" w:fill="E9F5F2"/>
            <w:vAlign w:val="center"/>
          </w:tcPr>
          <w:p w14:paraId="2A0814AB" w14:textId="7C791370" w:rsidR="00B742CD" w:rsidRPr="00B90A40" w:rsidRDefault="00B742CD">
            <w:pPr>
              <w:pStyle w:val="TableParagraph"/>
              <w:cnfStyle w:val="000000000000" w:firstRow="0" w:lastRow="0" w:firstColumn="0" w:lastColumn="0" w:oddVBand="0" w:evenVBand="0" w:oddHBand="0" w:evenHBand="0" w:firstRowFirstColumn="0" w:firstRowLastColumn="0" w:lastRowFirstColumn="0" w:lastRowLastColumn="0"/>
            </w:pPr>
            <w:r w:rsidRPr="00B90A40">
              <w:t>$</w:t>
            </w:r>
            <w:r>
              <w:t>75</w:t>
            </w:r>
          </w:p>
        </w:tc>
        <w:tc>
          <w:tcPr>
            <w:tcW w:w="0" w:type="pct"/>
            <w:shd w:val="clear" w:color="auto" w:fill="E9F5F2"/>
            <w:vAlign w:val="center"/>
          </w:tcPr>
          <w:p w14:paraId="130DBE43" w14:textId="77FA61CB" w:rsidR="00B742CD" w:rsidRPr="00B90A40" w:rsidRDefault="00B742CD">
            <w:pPr>
              <w:pStyle w:val="TableParagraph"/>
              <w:cnfStyle w:val="000000000000" w:firstRow="0" w:lastRow="0" w:firstColumn="0" w:lastColumn="0" w:oddVBand="0" w:evenVBand="0" w:oddHBand="0" w:evenHBand="0" w:firstRowFirstColumn="0" w:firstRowLastColumn="0" w:lastRowFirstColumn="0" w:lastRowLastColumn="0"/>
            </w:pPr>
            <w:r w:rsidRPr="00B90A40">
              <w:t>$</w:t>
            </w:r>
            <w:r>
              <w:t>78</w:t>
            </w:r>
          </w:p>
        </w:tc>
        <w:tc>
          <w:tcPr>
            <w:tcW w:w="0" w:type="pct"/>
            <w:shd w:val="clear" w:color="auto" w:fill="E9F5F2"/>
            <w:vAlign w:val="center"/>
          </w:tcPr>
          <w:p w14:paraId="1148D786" w14:textId="129651D8" w:rsidR="00B742CD" w:rsidRPr="00B90A40" w:rsidRDefault="00B742CD">
            <w:pPr>
              <w:pStyle w:val="TableParagraph"/>
              <w:cnfStyle w:val="000000000000" w:firstRow="0" w:lastRow="0" w:firstColumn="0" w:lastColumn="0" w:oddVBand="0" w:evenVBand="0" w:oddHBand="0" w:evenHBand="0" w:firstRowFirstColumn="0" w:firstRowLastColumn="0" w:lastRowFirstColumn="0" w:lastRowLastColumn="0"/>
            </w:pPr>
            <w:r w:rsidRPr="00B90A40">
              <w:t>$</w:t>
            </w:r>
            <w:r>
              <w:t>82</w:t>
            </w:r>
          </w:p>
        </w:tc>
        <w:tc>
          <w:tcPr>
            <w:tcW w:w="0" w:type="pct"/>
            <w:shd w:val="clear" w:color="auto" w:fill="D4E8DE"/>
            <w:vAlign w:val="center"/>
          </w:tcPr>
          <w:p w14:paraId="3280F896" w14:textId="029F8F2C" w:rsidR="00B742CD" w:rsidRPr="00B90A40" w:rsidRDefault="00B742CD">
            <w:pPr>
              <w:pStyle w:val="TableParagraph"/>
              <w:cnfStyle w:val="000000000000" w:firstRow="0" w:lastRow="0" w:firstColumn="0" w:lastColumn="0" w:oddVBand="0" w:evenVBand="0" w:oddHBand="0" w:evenHBand="0" w:firstRowFirstColumn="0" w:firstRowLastColumn="0" w:lastRowFirstColumn="0" w:lastRowLastColumn="0"/>
            </w:pPr>
            <w:r w:rsidRPr="00B90A40">
              <w:t>$</w:t>
            </w:r>
            <w:r>
              <w:t>86</w:t>
            </w:r>
          </w:p>
        </w:tc>
      </w:tr>
    </w:tbl>
    <w:p w14:paraId="183DF792" w14:textId="27294E0E" w:rsidR="00B942D9" w:rsidRDefault="00541CA3" w:rsidP="002D5965">
      <w:r>
        <w:t>B</w:t>
      </w:r>
      <w:r w:rsidR="008171FD">
        <w:t>ased on current evidenc</w:t>
      </w:r>
      <w:r w:rsidR="007E00CB">
        <w:t xml:space="preserve">e we see no case for lowering the ARP, either now or in the future. </w:t>
      </w:r>
      <w:r w:rsidR="00243E15">
        <w:t>As the Government stated in the second emissions reduction plan: “t</w:t>
      </w:r>
      <w:r w:rsidR="00243E15" w:rsidRPr="00130A74">
        <w:t>o deliver a credible NZ ETS, market participants must trust that governments will remain committed to targets and choose NZ ETS settings and other policy accordingly. This is important to give businesses the confidence to make long-term investment decisions that reduce emissions.</w:t>
      </w:r>
      <w:r w:rsidR="00243E15">
        <w:t>”</w:t>
      </w:r>
      <w:r w:rsidR="00243E15">
        <w:rPr>
          <w:rStyle w:val="EndnoteReference"/>
        </w:rPr>
        <w:endnoteReference w:id="18"/>
      </w:r>
      <w:r w:rsidR="00243E15" w:rsidRPr="00130A74">
        <w:t xml:space="preserve"> </w:t>
      </w:r>
      <w:r w:rsidR="0051019A">
        <w:t xml:space="preserve">If the Government chose to </w:t>
      </w:r>
      <w:r w:rsidR="002711EB">
        <w:t xml:space="preserve">lower the ARP, </w:t>
      </w:r>
      <w:r w:rsidR="00096C17">
        <w:t xml:space="preserve">it would </w:t>
      </w:r>
      <w:r w:rsidR="00DD11AB">
        <w:t xml:space="preserve">damage </w:t>
      </w:r>
      <w:r w:rsidR="00137B01">
        <w:t>its efforts to rebuild confidence in a stable and credible NZ ETS</w:t>
      </w:r>
      <w:r w:rsidR="009E4A2C">
        <w:t xml:space="preserve"> and </w:t>
      </w:r>
      <w:r w:rsidR="00137B01">
        <w:t>undermine investments</w:t>
      </w:r>
      <w:r w:rsidR="003613CB">
        <w:t xml:space="preserve"> in</w:t>
      </w:r>
      <w:r w:rsidR="008D0E4C">
        <w:t xml:space="preserve"> forestry and decarbonisation – both those that </w:t>
      </w:r>
      <w:r w:rsidR="00965BBA">
        <w:t xml:space="preserve">have already been made, and those that need to be made in future. </w:t>
      </w:r>
    </w:p>
    <w:p w14:paraId="4294BE97" w14:textId="449C3A1A" w:rsidR="007B6810" w:rsidRDefault="00AA7E8A" w:rsidP="002D5965">
      <w:r>
        <w:t xml:space="preserve">In the following sections, we </w:t>
      </w:r>
      <w:r w:rsidR="002F258F">
        <w:t>summarise the</w:t>
      </w:r>
      <w:r w:rsidR="003859AA">
        <w:t xml:space="preserve"> relevance of the second emissions reduction plan for the price control settings</w:t>
      </w:r>
      <w:r w:rsidR="00840AFF">
        <w:t>. We</w:t>
      </w:r>
      <w:r w:rsidR="003859AA">
        <w:t xml:space="preserve"> </w:t>
      </w:r>
      <w:r w:rsidR="003A1660">
        <w:t xml:space="preserve">then </w:t>
      </w:r>
      <w:r>
        <w:t xml:space="preserve">set out </w:t>
      </w:r>
      <w:r w:rsidR="007044BF">
        <w:t xml:space="preserve">the </w:t>
      </w:r>
      <w:r w:rsidR="00772F12">
        <w:t xml:space="preserve">evidence and </w:t>
      </w:r>
      <w:r>
        <w:t xml:space="preserve">analysis that underpins </w:t>
      </w:r>
      <w:r w:rsidR="00211A79">
        <w:t>our conclusions on the CCR and ARP</w:t>
      </w:r>
      <w:r w:rsidR="00E66E01">
        <w:t xml:space="preserve">, </w:t>
      </w:r>
      <w:r w:rsidR="00B1353C">
        <w:t xml:space="preserve">and our </w:t>
      </w:r>
      <w:r w:rsidR="001B7241">
        <w:t>consideration of whether to recommend a desirable price path</w:t>
      </w:r>
      <w:r w:rsidR="00211A79">
        <w:t xml:space="preserve">. </w:t>
      </w:r>
      <w:r w:rsidR="00A0698F">
        <w:t xml:space="preserve">This part then closes with a </w:t>
      </w:r>
      <w:r w:rsidR="00FD60E5">
        <w:t xml:space="preserve">summary of the </w:t>
      </w:r>
      <w:r w:rsidR="006D5DCE">
        <w:t xml:space="preserve">state of knowledge about the impacts of emissions </w:t>
      </w:r>
      <w:r w:rsidR="007B6810">
        <w:t xml:space="preserve">prices on households and the economy. </w:t>
      </w:r>
    </w:p>
    <w:p w14:paraId="35C26C85" w14:textId="77777777" w:rsidR="006D3A51" w:rsidRDefault="006D3A51" w:rsidP="006D3A51">
      <w:pPr>
        <w:pStyle w:val="Heading2nonumber"/>
      </w:pPr>
      <w:bookmarkStart w:id="38" w:name="_Toc195447245"/>
      <w:r>
        <w:t>The second emissions reduction plan</w:t>
      </w:r>
      <w:bookmarkEnd w:id="38"/>
    </w:p>
    <w:p w14:paraId="3629E450" w14:textId="26AD7DC7" w:rsidR="003A6A42" w:rsidRDefault="000B17AD" w:rsidP="000B17AD">
      <w:r>
        <w:t>The second emissions reduction plan differs considerably from the first emissions reduction plan</w:t>
      </w:r>
      <w:r w:rsidR="001E7EEE">
        <w:t xml:space="preserve">. It places </w:t>
      </w:r>
      <w:r w:rsidR="006D03EE">
        <w:t>more emphasis on the NZ ETS as the main tool for reducing emissions</w:t>
      </w:r>
      <w:r w:rsidR="00AA1013">
        <w:t>,</w:t>
      </w:r>
      <w:r w:rsidR="006D03EE">
        <w:t xml:space="preserve"> and less on</w:t>
      </w:r>
      <w:r w:rsidR="003A6A42">
        <w:t xml:space="preserve"> complementary policies. </w:t>
      </w:r>
    </w:p>
    <w:p w14:paraId="1936BCC0" w14:textId="7C93C3B8" w:rsidR="005E425D" w:rsidRDefault="005E425D" w:rsidP="000B17AD">
      <w:r>
        <w:t xml:space="preserve">This different strategy for meeting emissions budgets means that part of the evidence base on which the Commission has based its price controls recommendations so far is now out of date. The assumptions and scenarios in the Commission’s modelling using the Energy and Emissions in New Zealand (ENZ) model, </w:t>
      </w:r>
      <w:r w:rsidR="0063467F">
        <w:t xml:space="preserve">undertaken in </w:t>
      </w:r>
      <w:r w:rsidR="001E52DF">
        <w:t xml:space="preserve">2022 to inform </w:t>
      </w:r>
      <w:r>
        <w:t xml:space="preserve">its first (2022) NZ ETS settings advice, do not reflect the new plan’s approach. The state of knowledge about available emissions reductions has also changed, as reflected in the updated version of ENZ that the </w:t>
      </w:r>
      <w:r w:rsidR="002570AA">
        <w:t>G</w:t>
      </w:r>
      <w:r>
        <w:t xml:space="preserve">overnment used in its modelling to develop the second emissions reduction plan. </w:t>
      </w:r>
    </w:p>
    <w:p w14:paraId="78866E1D" w14:textId="0356D797" w:rsidR="00795235" w:rsidRDefault="0020356B" w:rsidP="00DA4068">
      <w:r>
        <w:lastRenderedPageBreak/>
        <w:t xml:space="preserve">While </w:t>
      </w:r>
      <w:r w:rsidR="00C876EF" w:rsidRPr="0051326F">
        <w:t xml:space="preserve">the </w:t>
      </w:r>
      <w:r w:rsidR="0051326F" w:rsidRPr="0051326F">
        <w:t>second emissions reduction plan</w:t>
      </w:r>
      <w:r w:rsidR="0095426C">
        <w:t xml:space="preserve"> is designed to meet </w:t>
      </w:r>
      <w:r w:rsidR="00CE1479">
        <w:t>the second emissions budget</w:t>
      </w:r>
      <w:r w:rsidR="004C6EAC">
        <w:t>,</w:t>
      </w:r>
      <w:r w:rsidR="0095426C">
        <w:t xml:space="preserve"> and to contribute significant progress </w:t>
      </w:r>
      <w:r w:rsidR="00B31760">
        <w:t>on</w:t>
      </w:r>
      <w:r w:rsidR="005A3D4D">
        <w:t xml:space="preserve"> emissions</w:t>
      </w:r>
      <w:r w:rsidR="00F30900">
        <w:t xml:space="preserve"> reductions </w:t>
      </w:r>
      <w:r w:rsidR="00ED76F5">
        <w:t xml:space="preserve">after that, </w:t>
      </w:r>
      <w:r w:rsidR="000C1ECE">
        <w:t xml:space="preserve">it does not put Aotearoa New Zealand on track </w:t>
      </w:r>
      <w:r w:rsidR="00795235">
        <w:t xml:space="preserve">to meet the third emissions budget. </w:t>
      </w:r>
      <w:r w:rsidR="00136C01">
        <w:t>T</w:t>
      </w:r>
      <w:r w:rsidR="00342FD0">
        <w:t>he third emissions reduction plan</w:t>
      </w:r>
      <w:r w:rsidR="00924DA1">
        <w:t xml:space="preserve"> </w:t>
      </w:r>
      <w:r w:rsidR="00E05010">
        <w:t xml:space="preserve">is not due until </w:t>
      </w:r>
      <w:r w:rsidR="0010155F" w:rsidRPr="00731A09">
        <w:t xml:space="preserve">late 2029. </w:t>
      </w:r>
      <w:r w:rsidR="0095262D" w:rsidRPr="00731A09">
        <w:t xml:space="preserve">The </w:t>
      </w:r>
      <w:r w:rsidR="002570AA">
        <w:t>G</w:t>
      </w:r>
      <w:r w:rsidR="00731A09" w:rsidRPr="00731A09">
        <w:t xml:space="preserve">overnment’s modelling </w:t>
      </w:r>
      <w:r w:rsidR="002640C2" w:rsidRPr="00731A09">
        <w:t xml:space="preserve">estimates the </w:t>
      </w:r>
      <w:r w:rsidR="00E37D04" w:rsidRPr="00731A09">
        <w:t xml:space="preserve">gap to meeting </w:t>
      </w:r>
      <w:r w:rsidR="00554087">
        <w:t>the third</w:t>
      </w:r>
      <w:r w:rsidR="00E37D04" w:rsidRPr="00731A09">
        <w:t xml:space="preserve"> </w:t>
      </w:r>
      <w:r w:rsidR="002640C2" w:rsidRPr="00731A09">
        <w:t xml:space="preserve">emissions budget </w:t>
      </w:r>
      <w:r w:rsidR="005552FD">
        <w:t>to be</w:t>
      </w:r>
      <w:r w:rsidR="005552FD" w:rsidRPr="00731A09">
        <w:t xml:space="preserve"> </w:t>
      </w:r>
      <w:r w:rsidR="00E37D04" w:rsidRPr="00731A09">
        <w:t xml:space="preserve">around </w:t>
      </w:r>
      <w:r w:rsidR="00731A09" w:rsidRPr="00731A09">
        <w:t>9</w:t>
      </w:r>
      <w:r w:rsidR="00C4020E">
        <w:t xml:space="preserve"> </w:t>
      </w:r>
      <w:r w:rsidR="00E37D04" w:rsidRPr="00731A09">
        <w:t>Mt</w:t>
      </w:r>
      <w:r w:rsidR="005C0BA7" w:rsidRPr="00731A09">
        <w:t>CO</w:t>
      </w:r>
      <w:r w:rsidR="005C0BA7" w:rsidRPr="00731A09">
        <w:rPr>
          <w:vertAlign w:val="subscript"/>
        </w:rPr>
        <w:t>2</w:t>
      </w:r>
      <w:r w:rsidR="005C0BA7" w:rsidRPr="00731A09">
        <w:t xml:space="preserve">e </w:t>
      </w:r>
      <w:r w:rsidR="00E37D04" w:rsidRPr="00731A09">
        <w:t>over 2031</w:t>
      </w:r>
      <w:r w:rsidR="000C1468">
        <w:t>–</w:t>
      </w:r>
      <w:r w:rsidR="00E37D04" w:rsidRPr="00731A09">
        <w:t>2035.</w:t>
      </w:r>
      <w:r w:rsidR="00826D91">
        <w:rPr>
          <w:rStyle w:val="EndnoteReference"/>
        </w:rPr>
        <w:endnoteReference w:id="19"/>
      </w:r>
      <w:r w:rsidR="00E37D04" w:rsidRPr="00E37D04" w:rsidDel="005E0BC3">
        <w:t xml:space="preserve"> </w:t>
      </w:r>
    </w:p>
    <w:p w14:paraId="163E6A71" w14:textId="7411A998" w:rsidR="00346A39" w:rsidRPr="0051326F" w:rsidRDefault="00A34781" w:rsidP="00DA4068">
      <w:r>
        <w:t xml:space="preserve">This </w:t>
      </w:r>
      <w:r w:rsidR="00EC3B93">
        <w:t xml:space="preserve">year, the Commission must recommend </w:t>
      </w:r>
      <w:r w:rsidR="00E538F0">
        <w:t>NZ ETS settings for the</w:t>
      </w:r>
      <w:r w:rsidR="00D56F21">
        <w:t xml:space="preserve"> same years as covered by </w:t>
      </w:r>
      <w:r w:rsidR="00E538F0">
        <w:t xml:space="preserve">the </w:t>
      </w:r>
      <w:r w:rsidR="003B75C7">
        <w:t xml:space="preserve">second </w:t>
      </w:r>
      <w:r w:rsidR="005854DF">
        <w:t xml:space="preserve">(2026–2030) </w:t>
      </w:r>
      <w:r w:rsidR="003B75C7">
        <w:t>emissions budget</w:t>
      </w:r>
      <w:r w:rsidR="00B96F6D">
        <w:t>, but t</w:t>
      </w:r>
      <w:r w:rsidR="002F503F">
        <w:t xml:space="preserve">he </w:t>
      </w:r>
      <w:r w:rsidR="00533EE4">
        <w:t xml:space="preserve">Act requires </w:t>
      </w:r>
      <w:r w:rsidR="00B96F6D">
        <w:t xml:space="preserve">our </w:t>
      </w:r>
      <w:r w:rsidR="00FC38A3">
        <w:t>recommend</w:t>
      </w:r>
      <w:r w:rsidR="00B96F6D">
        <w:t>ed</w:t>
      </w:r>
      <w:r w:rsidR="00FC38A3">
        <w:t xml:space="preserve"> settings </w:t>
      </w:r>
      <w:r w:rsidR="00B96F6D">
        <w:t xml:space="preserve">to be </w:t>
      </w:r>
      <w:r w:rsidR="00B46A3A">
        <w:t xml:space="preserve">consistent not only with </w:t>
      </w:r>
      <w:r w:rsidR="005854DF">
        <w:t xml:space="preserve">the second </w:t>
      </w:r>
      <w:r w:rsidR="00B46A3A">
        <w:t xml:space="preserve">emissions budget but also </w:t>
      </w:r>
      <w:r w:rsidR="005854DF">
        <w:t>the third</w:t>
      </w:r>
      <w:r w:rsidR="00B46A3A">
        <w:t xml:space="preserve"> emissions budget</w:t>
      </w:r>
      <w:r w:rsidR="00501437">
        <w:t xml:space="preserve">, </w:t>
      </w:r>
      <w:r w:rsidR="00366E55">
        <w:t>nationally determined contributions</w:t>
      </w:r>
      <w:r w:rsidR="00D9578E">
        <w:t xml:space="preserve"> (NDCs) under the Paris Agreement</w:t>
      </w:r>
      <w:r w:rsidR="00B153D1">
        <w:t xml:space="preserve">, </w:t>
      </w:r>
      <w:r w:rsidR="00B46A3A">
        <w:t>and the 2050 target</w:t>
      </w:r>
      <w:r w:rsidR="00952FA5">
        <w:t>.</w:t>
      </w:r>
    </w:p>
    <w:p w14:paraId="6B8FC269" w14:textId="16D62E66" w:rsidR="00BF1CDC" w:rsidRPr="007637BF" w:rsidRDefault="001D1EDF" w:rsidP="00DA4068">
      <w:r w:rsidRPr="007637BF">
        <w:t xml:space="preserve">As discussed in </w:t>
      </w:r>
      <w:r w:rsidRPr="007637BF">
        <w:rPr>
          <w:i/>
        </w:rPr>
        <w:t>Part 3</w:t>
      </w:r>
      <w:r w:rsidR="00F97ECC" w:rsidRPr="007637BF">
        <w:rPr>
          <w:i/>
        </w:rPr>
        <w:t xml:space="preserve">: </w:t>
      </w:r>
      <w:r w:rsidR="00E15F27" w:rsidRPr="007637BF">
        <w:rPr>
          <w:i/>
        </w:rPr>
        <w:t>Te herenga utu – U</w:t>
      </w:r>
      <w:r w:rsidRPr="007637BF">
        <w:rPr>
          <w:i/>
        </w:rPr>
        <w:t>nit limits</w:t>
      </w:r>
      <w:r w:rsidRPr="007637BF">
        <w:t xml:space="preserve">, </w:t>
      </w:r>
      <w:r w:rsidR="00FE35C0" w:rsidRPr="007637BF">
        <w:t xml:space="preserve">we </w:t>
      </w:r>
      <w:r w:rsidR="00CF2158" w:rsidRPr="007637BF">
        <w:t xml:space="preserve">propose </w:t>
      </w:r>
      <w:r w:rsidR="008E06DC" w:rsidRPr="007637BF">
        <w:t xml:space="preserve">to align the NZ ETS settings with </w:t>
      </w:r>
      <w:r w:rsidR="00DF6246" w:rsidRPr="007637BF">
        <w:t>the domestic component of the first NDC</w:t>
      </w:r>
      <w:r w:rsidR="00FC06DE" w:rsidRPr="007637BF">
        <w:t xml:space="preserve">, which </w:t>
      </w:r>
      <w:r w:rsidR="00280057" w:rsidRPr="007637BF">
        <w:t>is consistent with the level of the second emissions budget. T</w:t>
      </w:r>
      <w:r w:rsidR="009B15DB" w:rsidRPr="007637BF">
        <w:t xml:space="preserve">he </w:t>
      </w:r>
      <w:r w:rsidR="00CF2158" w:rsidRPr="007637BF">
        <w:t xml:space="preserve">second NDC </w:t>
      </w:r>
      <w:r w:rsidR="00662016" w:rsidRPr="007637BF">
        <w:t xml:space="preserve">is closely aligned to the third emissions budget. Despite not meeting </w:t>
      </w:r>
      <w:r w:rsidR="002E7B52" w:rsidRPr="007637BF">
        <w:t>the third</w:t>
      </w:r>
      <w:r w:rsidR="00662016" w:rsidRPr="007637BF">
        <w:t xml:space="preserve"> </w:t>
      </w:r>
      <w:r w:rsidRPr="007637BF">
        <w:t xml:space="preserve">emissions budget, the </w:t>
      </w:r>
      <w:r w:rsidR="002570AA" w:rsidRPr="007637BF">
        <w:t>G</w:t>
      </w:r>
      <w:r w:rsidRPr="007637BF">
        <w:t xml:space="preserve">overnment’s analysis for the second emissions reduction plan projects that Aotearoa New Zealand will achieve and sustain its 2050 target. </w:t>
      </w:r>
      <w:r w:rsidR="00021378" w:rsidRPr="007637BF">
        <w:t>Therefore</w:t>
      </w:r>
      <w:r w:rsidR="00C8460D" w:rsidRPr="007637BF">
        <w:t>,</w:t>
      </w:r>
      <w:r w:rsidR="00021378" w:rsidRPr="007637BF">
        <w:t xml:space="preserve"> t</w:t>
      </w:r>
      <w:r w:rsidR="00A32872" w:rsidRPr="007637BF">
        <w:t xml:space="preserve">he key challenge for </w:t>
      </w:r>
      <w:r w:rsidR="00127722" w:rsidRPr="007637BF">
        <w:t xml:space="preserve">our analysis on the price control settings this year </w:t>
      </w:r>
      <w:r w:rsidR="00A721D1" w:rsidRPr="007637BF">
        <w:t xml:space="preserve">is assessing whether the current settings are </w:t>
      </w:r>
      <w:r w:rsidR="007D0BA4" w:rsidRPr="007637BF">
        <w:t xml:space="preserve">consistent with </w:t>
      </w:r>
      <w:r w:rsidR="002E7B52" w:rsidRPr="007637BF">
        <w:t xml:space="preserve">the third </w:t>
      </w:r>
      <w:r w:rsidR="007D0BA4" w:rsidRPr="007637BF">
        <w:t>emissions budget</w:t>
      </w:r>
      <w:r w:rsidR="00E52FE7" w:rsidRPr="007637BF">
        <w:t xml:space="preserve"> (and therefore with </w:t>
      </w:r>
      <w:r w:rsidR="00FA2B5F" w:rsidRPr="007637BF">
        <w:t>the second NDC</w:t>
      </w:r>
      <w:r w:rsidR="00E52FE7" w:rsidRPr="007637BF">
        <w:t>)</w:t>
      </w:r>
      <w:r w:rsidR="007D0BA4" w:rsidRPr="007637BF">
        <w:t xml:space="preserve">, </w:t>
      </w:r>
      <w:r w:rsidR="0039415B" w:rsidRPr="007637BF">
        <w:t xml:space="preserve">and if not, </w:t>
      </w:r>
      <w:r w:rsidR="006251E3" w:rsidRPr="007637BF">
        <w:t xml:space="preserve">how they might need to change to be </w:t>
      </w:r>
      <w:r w:rsidR="00C33637" w:rsidRPr="007637BF">
        <w:t>brought into alignment</w:t>
      </w:r>
      <w:r w:rsidR="00D00478" w:rsidRPr="007637BF">
        <w:t>.</w:t>
      </w:r>
    </w:p>
    <w:p w14:paraId="3ACD7F1C" w14:textId="51667F90" w:rsidR="00DA4068" w:rsidRDefault="0045439B" w:rsidP="00DA4068">
      <w:pPr>
        <w:pStyle w:val="Heading2nonumber"/>
      </w:pPr>
      <w:bookmarkStart w:id="39" w:name="_Toc195447246"/>
      <w:r>
        <w:t>Cost cont</w:t>
      </w:r>
      <w:r w:rsidR="006D0704">
        <w:t>ainment reserve</w:t>
      </w:r>
      <w:bookmarkEnd w:id="39"/>
      <w:r w:rsidR="006D0704">
        <w:t xml:space="preserve"> </w:t>
      </w:r>
    </w:p>
    <w:p w14:paraId="3E9DB6FC" w14:textId="01873CCD" w:rsidR="003F246C" w:rsidRDefault="003F246C" w:rsidP="003F246C">
      <w:r>
        <w:t>The cost containment reserve (CCR) is a supply of NZUs that only become available for sale if the auction clearing price meets or exceeds a specified trigger price.</w:t>
      </w:r>
    </w:p>
    <w:p w14:paraId="2857EEAB" w14:textId="68C94EFD" w:rsidR="0089572B" w:rsidRDefault="0089572B" w:rsidP="002C690E">
      <w:r>
        <w:t xml:space="preserve">The trigger prices </w:t>
      </w:r>
      <w:r w:rsidR="00A46D9F">
        <w:t>for the</w:t>
      </w:r>
      <w:r w:rsidR="00852B5D">
        <w:t xml:space="preserve"> </w:t>
      </w:r>
      <w:r>
        <w:t>CCR currently in regulations for 2025</w:t>
      </w:r>
      <w:r w:rsidR="00070192" w:rsidRPr="000A1433">
        <w:t>–</w:t>
      </w:r>
      <w:r>
        <w:t xml:space="preserve">2029 are set out </w:t>
      </w:r>
      <w:r w:rsidRPr="00760B46">
        <w:t xml:space="preserve">in </w:t>
      </w:r>
      <w:r w:rsidRPr="00CD03F6">
        <w:rPr>
          <w:b/>
          <w:bCs/>
        </w:rPr>
        <w:t xml:space="preserve">Table </w:t>
      </w:r>
      <w:r w:rsidR="00A9079A" w:rsidRPr="00CD03F6">
        <w:rPr>
          <w:b/>
          <w:bCs/>
        </w:rPr>
        <w:t>4.2</w:t>
      </w:r>
      <w:r w:rsidRPr="00580F72">
        <w:rPr>
          <w:b/>
        </w:rPr>
        <w:t>.</w:t>
      </w:r>
      <w:r w:rsidRPr="00760B46">
        <w:t xml:space="preserve"> </w:t>
      </w:r>
      <w:r w:rsidR="001D78D3" w:rsidRPr="00760B46">
        <w:t>The table</w:t>
      </w:r>
      <w:r w:rsidRPr="00760B46">
        <w:t xml:space="preserve"> also shows the value for 2030 that would result from continuing the same trajectory, an annual increase of 3% plus inflation. </w:t>
      </w:r>
      <w:r w:rsidR="00C94ADD" w:rsidRPr="00760B46">
        <w:t xml:space="preserve">The trigger prices </w:t>
      </w:r>
      <w:r w:rsidR="00C6052E" w:rsidRPr="00760B46">
        <w:t>are in line with the Commission’s previous advice on the CCR</w:t>
      </w:r>
      <w:r w:rsidR="009F0604" w:rsidRPr="00760B46">
        <w:t xml:space="preserve"> </w:t>
      </w:r>
      <w:r w:rsidR="00F94A8B" w:rsidRPr="00760B46">
        <w:t xml:space="preserve">during the years </w:t>
      </w:r>
      <w:r w:rsidR="009F0604" w:rsidRPr="00760B46">
        <w:t>2022</w:t>
      </w:r>
      <w:r w:rsidR="00315432" w:rsidRPr="00760B46">
        <w:t>–</w:t>
      </w:r>
      <w:r w:rsidR="009F0604" w:rsidRPr="00760B46">
        <w:t>2024</w:t>
      </w:r>
      <w:r w:rsidR="00C6052E" w:rsidRPr="00760B46">
        <w:t xml:space="preserve">. </w:t>
      </w:r>
      <w:r w:rsidR="001276F5" w:rsidRPr="00760B46">
        <w:t xml:space="preserve">The trigger prices are also shown in 2024 dollars, </w:t>
      </w:r>
      <w:r w:rsidR="002C690E" w:rsidRPr="00760B46">
        <w:t>to enable comparison with today’s prices</w:t>
      </w:r>
      <w:r w:rsidR="009F0604" w:rsidRPr="00760B46">
        <w:t>,</w:t>
      </w:r>
      <w:r w:rsidR="002C690E" w:rsidRPr="00760B46">
        <w:t xml:space="preserve"> and</w:t>
      </w:r>
      <w:r w:rsidR="009F0604" w:rsidRPr="00760B46">
        <w:t xml:space="preserve"> with</w:t>
      </w:r>
      <w:r w:rsidR="002C690E" w:rsidRPr="00760B46">
        <w:t xml:space="preserve"> modelling results</w:t>
      </w:r>
      <w:r w:rsidR="00E748B1" w:rsidRPr="00760B46">
        <w:t xml:space="preserve">. </w:t>
      </w:r>
      <w:r w:rsidR="00B12A73" w:rsidRPr="00760B46">
        <w:t>Other</w:t>
      </w:r>
      <w:r w:rsidR="00E0212D" w:rsidRPr="00760B46">
        <w:t xml:space="preserve"> prices </w:t>
      </w:r>
      <w:r w:rsidR="00B12A73" w:rsidRPr="00760B46">
        <w:t xml:space="preserve">in this </w:t>
      </w:r>
      <w:r w:rsidR="005201DE" w:rsidRPr="00760B46">
        <w:t xml:space="preserve">chapter </w:t>
      </w:r>
      <w:r w:rsidR="00E0212D" w:rsidRPr="00760B46">
        <w:t xml:space="preserve">are </w:t>
      </w:r>
      <w:r w:rsidR="00B12A73" w:rsidRPr="00760B46">
        <w:t xml:space="preserve">also </w:t>
      </w:r>
      <w:r w:rsidR="00292F69" w:rsidRPr="00760B46">
        <w:t>given in 2024 dollars</w:t>
      </w:r>
      <w:r w:rsidR="004E2363" w:rsidRPr="00760B46">
        <w:t>, u</w:t>
      </w:r>
      <w:r w:rsidR="00E0212D" w:rsidRPr="00760B46">
        <w:t>nless otherwise specified</w:t>
      </w:r>
      <w:r w:rsidR="00292F69" w:rsidRPr="00760B46">
        <w:t xml:space="preserve">. </w:t>
      </w:r>
    </w:p>
    <w:p w14:paraId="5BF2B150" w14:textId="63607416" w:rsidR="00B24E5F" w:rsidRPr="00760B46" w:rsidRDefault="00B24E5F" w:rsidP="00B24E5F">
      <w:pPr>
        <w:pStyle w:val="FigureTabletitle"/>
      </w:pPr>
      <w:r w:rsidRPr="00B24E5F">
        <w:t>Table 4.2</w:t>
      </w:r>
      <w:r w:rsidRPr="00760B46">
        <w:t xml:space="preserve">: </w:t>
      </w:r>
      <w:r w:rsidRPr="00B24E5F">
        <w:rPr>
          <w:b w:val="0"/>
          <w:bCs w:val="0"/>
        </w:rPr>
        <w:t>The current CCR trigger prices in regulations, and in 2024 dollars</w:t>
      </w:r>
    </w:p>
    <w:tbl>
      <w:tblPr>
        <w:tblStyle w:val="GridTable5Dark-Accent5"/>
        <w:tblW w:w="9284" w:type="dxa"/>
        <w:tblLayout w:type="fixed"/>
        <w:tblCellMar>
          <w:left w:w="113" w:type="dxa"/>
          <w:right w:w="113" w:type="dxa"/>
        </w:tblCellMar>
        <w:tblLook w:val="04A0" w:firstRow="1" w:lastRow="0" w:firstColumn="1" w:lastColumn="0" w:noHBand="0" w:noVBand="1"/>
      </w:tblPr>
      <w:tblGrid>
        <w:gridCol w:w="3436"/>
        <w:gridCol w:w="974"/>
        <w:gridCol w:w="974"/>
        <w:gridCol w:w="975"/>
        <w:gridCol w:w="975"/>
        <w:gridCol w:w="975"/>
        <w:gridCol w:w="975"/>
      </w:tblGrid>
      <w:tr w:rsidR="00D76B3D" w:rsidRPr="0091207A" w14:paraId="62A0D9AD" w14:textId="77777777" w:rsidTr="00B24E5F">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36" w:type="dxa"/>
            <w:shd w:val="clear" w:color="auto" w:fill="002060"/>
            <w:vAlign w:val="center"/>
          </w:tcPr>
          <w:p w14:paraId="5C78AE72" w14:textId="3553FE6F" w:rsidR="0089572B" w:rsidRPr="003470EF" w:rsidRDefault="00987F23" w:rsidP="003E425B">
            <w:pPr>
              <w:pStyle w:val="Tableparagraphwhite"/>
              <w:jc w:val="left"/>
            </w:pPr>
            <w:r>
              <w:rPr>
                <w:rFonts w:ascii="ZWAdobeF" w:hAnsi="ZWAdobeF" w:cs="ZWAdobeF"/>
                <w:color w:val="auto"/>
                <w:sz w:val="2"/>
                <w:szCs w:val="2"/>
              </w:rPr>
              <w:t>7B</w:t>
            </w:r>
            <w:r w:rsidR="003470EF" w:rsidRPr="003470EF">
              <w:t>In regulations</w:t>
            </w:r>
          </w:p>
        </w:tc>
        <w:tc>
          <w:tcPr>
            <w:tcW w:w="974" w:type="dxa"/>
            <w:shd w:val="clear" w:color="auto" w:fill="002060"/>
            <w:vAlign w:val="center"/>
          </w:tcPr>
          <w:p w14:paraId="1CC9434D" w14:textId="486A693C" w:rsidR="0089572B" w:rsidRPr="005F1FCE" w:rsidRDefault="00987F23" w:rsidP="00CA6D9C">
            <w:pPr>
              <w:pStyle w:val="Tableparagraphwhite"/>
              <w:cnfStyle w:val="100000000000" w:firstRow="1" w:lastRow="0" w:firstColumn="0" w:lastColumn="0" w:oddVBand="0" w:evenVBand="0" w:oddHBand="0" w:evenHBand="0" w:firstRowFirstColumn="0" w:firstRowLastColumn="0" w:lastRowFirstColumn="0" w:lastRowLastColumn="0"/>
            </w:pPr>
            <w:r>
              <w:rPr>
                <w:rFonts w:ascii="ZWAdobeF" w:hAnsi="ZWAdobeF" w:cs="ZWAdobeF"/>
                <w:color w:val="auto"/>
                <w:sz w:val="2"/>
                <w:szCs w:val="2"/>
              </w:rPr>
              <w:t>8B</w:t>
            </w:r>
            <w:r w:rsidR="0089572B" w:rsidRPr="005F1FCE">
              <w:t>2025</w:t>
            </w:r>
          </w:p>
        </w:tc>
        <w:tc>
          <w:tcPr>
            <w:tcW w:w="974" w:type="dxa"/>
            <w:shd w:val="clear" w:color="auto" w:fill="002060"/>
            <w:vAlign w:val="center"/>
          </w:tcPr>
          <w:p w14:paraId="7027AC6C" w14:textId="3AE398D1" w:rsidR="0089572B" w:rsidRPr="005F1FCE" w:rsidRDefault="00987F23" w:rsidP="00CA6D9C">
            <w:pPr>
              <w:pStyle w:val="Tableparagraphwhite"/>
              <w:cnfStyle w:val="100000000000" w:firstRow="1" w:lastRow="0" w:firstColumn="0" w:lastColumn="0" w:oddVBand="0" w:evenVBand="0" w:oddHBand="0" w:evenHBand="0" w:firstRowFirstColumn="0" w:firstRowLastColumn="0" w:lastRowFirstColumn="0" w:lastRowLastColumn="0"/>
            </w:pPr>
            <w:r>
              <w:rPr>
                <w:rFonts w:ascii="ZWAdobeF" w:hAnsi="ZWAdobeF" w:cs="ZWAdobeF"/>
                <w:color w:val="auto"/>
                <w:sz w:val="2"/>
                <w:szCs w:val="2"/>
              </w:rPr>
              <w:t>9B</w:t>
            </w:r>
            <w:r w:rsidR="0089572B" w:rsidRPr="005F1FCE">
              <w:t>2026</w:t>
            </w:r>
          </w:p>
        </w:tc>
        <w:tc>
          <w:tcPr>
            <w:tcW w:w="975" w:type="dxa"/>
            <w:shd w:val="clear" w:color="auto" w:fill="002060"/>
            <w:vAlign w:val="center"/>
          </w:tcPr>
          <w:p w14:paraId="3D0EA811" w14:textId="42EDE128" w:rsidR="0089572B" w:rsidRPr="005F1FCE" w:rsidRDefault="00987F23" w:rsidP="00CA6D9C">
            <w:pPr>
              <w:pStyle w:val="Tableparagraphwhite"/>
              <w:cnfStyle w:val="100000000000" w:firstRow="1" w:lastRow="0" w:firstColumn="0" w:lastColumn="0" w:oddVBand="0" w:evenVBand="0" w:oddHBand="0" w:evenHBand="0" w:firstRowFirstColumn="0" w:firstRowLastColumn="0" w:lastRowFirstColumn="0" w:lastRowLastColumn="0"/>
            </w:pPr>
            <w:r>
              <w:rPr>
                <w:rFonts w:ascii="ZWAdobeF" w:hAnsi="ZWAdobeF" w:cs="ZWAdobeF"/>
                <w:color w:val="auto"/>
                <w:sz w:val="2"/>
                <w:szCs w:val="2"/>
              </w:rPr>
              <w:t>10B</w:t>
            </w:r>
            <w:r w:rsidR="0089572B" w:rsidRPr="005F1FCE">
              <w:t>2027</w:t>
            </w:r>
          </w:p>
        </w:tc>
        <w:tc>
          <w:tcPr>
            <w:tcW w:w="975" w:type="dxa"/>
            <w:shd w:val="clear" w:color="auto" w:fill="002060"/>
            <w:vAlign w:val="center"/>
          </w:tcPr>
          <w:p w14:paraId="76525F53" w14:textId="6942CE36" w:rsidR="0089572B" w:rsidRPr="005F1FCE" w:rsidRDefault="00987F23" w:rsidP="00CA6D9C">
            <w:pPr>
              <w:pStyle w:val="Tableparagraphwhite"/>
              <w:cnfStyle w:val="100000000000" w:firstRow="1" w:lastRow="0" w:firstColumn="0" w:lastColumn="0" w:oddVBand="0" w:evenVBand="0" w:oddHBand="0" w:evenHBand="0" w:firstRowFirstColumn="0" w:firstRowLastColumn="0" w:lastRowFirstColumn="0" w:lastRowLastColumn="0"/>
            </w:pPr>
            <w:r>
              <w:rPr>
                <w:rFonts w:ascii="ZWAdobeF" w:hAnsi="ZWAdobeF" w:cs="ZWAdobeF"/>
                <w:color w:val="auto"/>
                <w:sz w:val="2"/>
                <w:szCs w:val="2"/>
              </w:rPr>
              <w:t>11B</w:t>
            </w:r>
            <w:r w:rsidR="0089572B" w:rsidRPr="005F1FCE">
              <w:t>2028</w:t>
            </w:r>
          </w:p>
        </w:tc>
        <w:tc>
          <w:tcPr>
            <w:tcW w:w="975" w:type="dxa"/>
            <w:shd w:val="clear" w:color="auto" w:fill="002060"/>
            <w:vAlign w:val="center"/>
          </w:tcPr>
          <w:p w14:paraId="511FFA79" w14:textId="182547DE" w:rsidR="0089572B" w:rsidRPr="005F1FCE" w:rsidRDefault="00987F23" w:rsidP="00CA6D9C">
            <w:pPr>
              <w:pStyle w:val="Tableparagraphwhite"/>
              <w:cnfStyle w:val="100000000000" w:firstRow="1" w:lastRow="0" w:firstColumn="0" w:lastColumn="0" w:oddVBand="0" w:evenVBand="0" w:oddHBand="0" w:evenHBand="0" w:firstRowFirstColumn="0" w:firstRowLastColumn="0" w:lastRowFirstColumn="0" w:lastRowLastColumn="0"/>
            </w:pPr>
            <w:r>
              <w:rPr>
                <w:rFonts w:ascii="ZWAdobeF" w:hAnsi="ZWAdobeF" w:cs="ZWAdobeF"/>
                <w:color w:val="auto"/>
                <w:sz w:val="2"/>
                <w:szCs w:val="2"/>
              </w:rPr>
              <w:t>12B</w:t>
            </w:r>
            <w:r w:rsidR="0089572B" w:rsidRPr="005F1FCE">
              <w:t>2029</w:t>
            </w:r>
          </w:p>
        </w:tc>
        <w:tc>
          <w:tcPr>
            <w:tcW w:w="975" w:type="dxa"/>
            <w:shd w:val="clear" w:color="auto" w:fill="002060"/>
            <w:vAlign w:val="center"/>
          </w:tcPr>
          <w:p w14:paraId="52D8CF98" w14:textId="6248A66B" w:rsidR="0089572B" w:rsidRPr="005F1FCE" w:rsidRDefault="00987F23" w:rsidP="00CA6D9C">
            <w:pPr>
              <w:pStyle w:val="Tableparagraphwhite"/>
              <w:cnfStyle w:val="100000000000" w:firstRow="1" w:lastRow="0" w:firstColumn="0" w:lastColumn="0" w:oddVBand="0" w:evenVBand="0" w:oddHBand="0" w:evenHBand="0" w:firstRowFirstColumn="0" w:firstRowLastColumn="0" w:lastRowFirstColumn="0" w:lastRowLastColumn="0"/>
            </w:pPr>
            <w:r>
              <w:rPr>
                <w:rFonts w:ascii="ZWAdobeF" w:hAnsi="ZWAdobeF" w:cs="ZWAdobeF"/>
                <w:color w:val="auto"/>
                <w:sz w:val="2"/>
                <w:szCs w:val="2"/>
              </w:rPr>
              <w:t>13B</w:t>
            </w:r>
            <w:r w:rsidR="0089572B" w:rsidRPr="005F1FCE">
              <w:t>2030</w:t>
            </w:r>
          </w:p>
        </w:tc>
      </w:tr>
      <w:tr w:rsidR="00D76B3D" w:rsidRPr="0091207A" w14:paraId="785EB9CB" w14:textId="77777777" w:rsidTr="00B24E5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36" w:type="dxa"/>
            <w:shd w:val="clear" w:color="auto" w:fill="C1DCD5"/>
            <w:vAlign w:val="center"/>
          </w:tcPr>
          <w:p w14:paraId="54D8AFCE" w14:textId="77777777" w:rsidR="0089572B" w:rsidRPr="007A43F5" w:rsidRDefault="0089572B" w:rsidP="00CA6D9C">
            <w:pPr>
              <w:pStyle w:val="TableParagraph"/>
              <w:rPr>
                <w:b w:val="0"/>
                <w:bCs w:val="0"/>
              </w:rPr>
            </w:pPr>
            <w:r w:rsidRPr="007A43F5">
              <w:rPr>
                <w:b w:val="0"/>
                <w:bCs w:val="0"/>
              </w:rPr>
              <w:t>Cost containment reserve tier 1</w:t>
            </w:r>
          </w:p>
        </w:tc>
        <w:tc>
          <w:tcPr>
            <w:tcW w:w="974" w:type="dxa"/>
            <w:shd w:val="clear" w:color="auto" w:fill="E9F5F2"/>
            <w:vAlign w:val="center"/>
          </w:tcPr>
          <w:p w14:paraId="17DD5532" w14:textId="77777777" w:rsidR="0089572B" w:rsidRPr="00D738F9" w:rsidRDefault="0089572B" w:rsidP="00CA6D9C">
            <w:pPr>
              <w:pStyle w:val="TableParagraph"/>
              <w:cnfStyle w:val="000000100000" w:firstRow="0" w:lastRow="0" w:firstColumn="0" w:lastColumn="0" w:oddVBand="0" w:evenVBand="0" w:oddHBand="1" w:evenHBand="0" w:firstRowFirstColumn="0" w:firstRowLastColumn="0" w:lastRowFirstColumn="0" w:lastRowLastColumn="0"/>
            </w:pPr>
            <w:r w:rsidRPr="00D738F9">
              <w:t>$193</w:t>
            </w:r>
          </w:p>
        </w:tc>
        <w:tc>
          <w:tcPr>
            <w:tcW w:w="974" w:type="dxa"/>
            <w:shd w:val="clear" w:color="auto" w:fill="E9F5F2"/>
            <w:vAlign w:val="center"/>
          </w:tcPr>
          <w:p w14:paraId="211A0D19" w14:textId="77777777" w:rsidR="0089572B" w:rsidRPr="00D738F9" w:rsidRDefault="0089572B" w:rsidP="00CA6D9C">
            <w:pPr>
              <w:pStyle w:val="TableParagraph"/>
              <w:cnfStyle w:val="000000100000" w:firstRow="0" w:lastRow="0" w:firstColumn="0" w:lastColumn="0" w:oddVBand="0" w:evenVBand="0" w:oddHBand="1" w:evenHBand="0" w:firstRowFirstColumn="0" w:firstRowLastColumn="0" w:lastRowFirstColumn="0" w:lastRowLastColumn="0"/>
            </w:pPr>
            <w:r w:rsidRPr="00D738F9">
              <w:t>$203</w:t>
            </w:r>
          </w:p>
        </w:tc>
        <w:tc>
          <w:tcPr>
            <w:tcW w:w="975" w:type="dxa"/>
            <w:shd w:val="clear" w:color="auto" w:fill="E9F5F2"/>
            <w:vAlign w:val="center"/>
          </w:tcPr>
          <w:p w14:paraId="7F7538D1" w14:textId="77777777" w:rsidR="0089572B" w:rsidRPr="00D738F9" w:rsidRDefault="0089572B" w:rsidP="00CA6D9C">
            <w:pPr>
              <w:pStyle w:val="TableParagraph"/>
              <w:cnfStyle w:val="000000100000" w:firstRow="0" w:lastRow="0" w:firstColumn="0" w:lastColumn="0" w:oddVBand="0" w:evenVBand="0" w:oddHBand="1" w:evenHBand="0" w:firstRowFirstColumn="0" w:firstRowLastColumn="0" w:lastRowFirstColumn="0" w:lastRowLastColumn="0"/>
            </w:pPr>
            <w:r w:rsidRPr="00D738F9">
              <w:t>$213</w:t>
            </w:r>
          </w:p>
        </w:tc>
        <w:tc>
          <w:tcPr>
            <w:tcW w:w="975" w:type="dxa"/>
            <w:shd w:val="clear" w:color="auto" w:fill="E9F5F2"/>
            <w:vAlign w:val="center"/>
          </w:tcPr>
          <w:p w14:paraId="4F11A7BB" w14:textId="77777777" w:rsidR="0089572B" w:rsidRPr="00D738F9" w:rsidRDefault="0089572B" w:rsidP="00CA6D9C">
            <w:pPr>
              <w:pStyle w:val="TableParagraph"/>
              <w:cnfStyle w:val="000000100000" w:firstRow="0" w:lastRow="0" w:firstColumn="0" w:lastColumn="0" w:oddVBand="0" w:evenVBand="0" w:oddHBand="1" w:evenHBand="0" w:firstRowFirstColumn="0" w:firstRowLastColumn="0" w:lastRowFirstColumn="0" w:lastRowLastColumn="0"/>
            </w:pPr>
            <w:r w:rsidRPr="00D738F9">
              <w:t>$224</w:t>
            </w:r>
          </w:p>
        </w:tc>
        <w:tc>
          <w:tcPr>
            <w:tcW w:w="975" w:type="dxa"/>
            <w:shd w:val="clear" w:color="auto" w:fill="E9F5F2"/>
            <w:vAlign w:val="center"/>
          </w:tcPr>
          <w:p w14:paraId="735C89DF" w14:textId="77777777" w:rsidR="0089572B" w:rsidRPr="00D738F9" w:rsidRDefault="0089572B" w:rsidP="00CA6D9C">
            <w:pPr>
              <w:pStyle w:val="TableParagraph"/>
              <w:cnfStyle w:val="000000100000" w:firstRow="0" w:lastRow="0" w:firstColumn="0" w:lastColumn="0" w:oddVBand="0" w:evenVBand="0" w:oddHBand="1" w:evenHBand="0" w:firstRowFirstColumn="0" w:firstRowLastColumn="0" w:lastRowFirstColumn="0" w:lastRowLastColumn="0"/>
            </w:pPr>
            <w:r w:rsidRPr="00D738F9">
              <w:t>$235</w:t>
            </w:r>
          </w:p>
        </w:tc>
        <w:tc>
          <w:tcPr>
            <w:tcW w:w="975" w:type="dxa"/>
            <w:shd w:val="clear" w:color="auto" w:fill="D4E8DE"/>
            <w:vAlign w:val="center"/>
          </w:tcPr>
          <w:p w14:paraId="40222127" w14:textId="77777777" w:rsidR="0089572B" w:rsidRPr="00D738F9" w:rsidRDefault="0089572B" w:rsidP="00CA6D9C">
            <w:pPr>
              <w:pStyle w:val="TableParagraph"/>
              <w:cnfStyle w:val="000000100000" w:firstRow="0" w:lastRow="0" w:firstColumn="0" w:lastColumn="0" w:oddVBand="0" w:evenVBand="0" w:oddHBand="1" w:evenHBand="0" w:firstRowFirstColumn="0" w:firstRowLastColumn="0" w:lastRowFirstColumn="0" w:lastRowLastColumn="0"/>
            </w:pPr>
            <w:r w:rsidRPr="00D738F9">
              <w:t>$247</w:t>
            </w:r>
          </w:p>
        </w:tc>
      </w:tr>
      <w:tr w:rsidR="00D76B3D" w:rsidRPr="0091207A" w14:paraId="455D47E1" w14:textId="77777777" w:rsidTr="00B24E5F">
        <w:trPr>
          <w:trHeight w:val="482"/>
        </w:trPr>
        <w:tc>
          <w:tcPr>
            <w:cnfStyle w:val="001000000000" w:firstRow="0" w:lastRow="0" w:firstColumn="1" w:lastColumn="0" w:oddVBand="0" w:evenVBand="0" w:oddHBand="0" w:evenHBand="0" w:firstRowFirstColumn="0" w:firstRowLastColumn="0" w:lastRowFirstColumn="0" w:lastRowLastColumn="0"/>
            <w:tcW w:w="3436" w:type="dxa"/>
            <w:shd w:val="clear" w:color="auto" w:fill="C1DCD5"/>
            <w:vAlign w:val="center"/>
          </w:tcPr>
          <w:p w14:paraId="650A9EC6" w14:textId="77777777" w:rsidR="0089572B" w:rsidRPr="007A43F5" w:rsidRDefault="0089572B" w:rsidP="00CA6D9C">
            <w:pPr>
              <w:pStyle w:val="TableParagraph"/>
              <w:rPr>
                <w:b w:val="0"/>
                <w:bCs w:val="0"/>
              </w:rPr>
            </w:pPr>
            <w:r w:rsidRPr="007A43F5">
              <w:rPr>
                <w:b w:val="0"/>
                <w:bCs w:val="0"/>
              </w:rPr>
              <w:t>Cost containment reserve tier 2</w:t>
            </w:r>
          </w:p>
        </w:tc>
        <w:tc>
          <w:tcPr>
            <w:tcW w:w="974" w:type="dxa"/>
            <w:shd w:val="clear" w:color="auto" w:fill="E9F5F2"/>
            <w:vAlign w:val="center"/>
          </w:tcPr>
          <w:p w14:paraId="6379FFD9" w14:textId="77777777" w:rsidR="0089572B" w:rsidRPr="00D738F9" w:rsidRDefault="0089572B" w:rsidP="00CA6D9C">
            <w:pPr>
              <w:pStyle w:val="TableParagraph"/>
              <w:cnfStyle w:val="000000000000" w:firstRow="0" w:lastRow="0" w:firstColumn="0" w:lastColumn="0" w:oddVBand="0" w:evenVBand="0" w:oddHBand="0" w:evenHBand="0" w:firstRowFirstColumn="0" w:firstRowLastColumn="0" w:lastRowFirstColumn="0" w:lastRowLastColumn="0"/>
            </w:pPr>
            <w:r w:rsidRPr="00D738F9">
              <w:t>$242</w:t>
            </w:r>
          </w:p>
        </w:tc>
        <w:tc>
          <w:tcPr>
            <w:tcW w:w="974" w:type="dxa"/>
            <w:shd w:val="clear" w:color="auto" w:fill="E9F5F2"/>
            <w:vAlign w:val="center"/>
          </w:tcPr>
          <w:p w14:paraId="5A591394" w14:textId="77777777" w:rsidR="0089572B" w:rsidRPr="00D738F9" w:rsidRDefault="0089572B" w:rsidP="00CA6D9C">
            <w:pPr>
              <w:pStyle w:val="TableParagraph"/>
              <w:cnfStyle w:val="000000000000" w:firstRow="0" w:lastRow="0" w:firstColumn="0" w:lastColumn="0" w:oddVBand="0" w:evenVBand="0" w:oddHBand="0" w:evenHBand="0" w:firstRowFirstColumn="0" w:firstRowLastColumn="0" w:lastRowFirstColumn="0" w:lastRowLastColumn="0"/>
            </w:pPr>
            <w:r w:rsidRPr="00D738F9">
              <w:t>$254</w:t>
            </w:r>
          </w:p>
        </w:tc>
        <w:tc>
          <w:tcPr>
            <w:tcW w:w="975" w:type="dxa"/>
            <w:shd w:val="clear" w:color="auto" w:fill="E9F5F2"/>
            <w:vAlign w:val="center"/>
          </w:tcPr>
          <w:p w14:paraId="2650F640" w14:textId="77777777" w:rsidR="0089572B" w:rsidRPr="00D738F9" w:rsidRDefault="0089572B" w:rsidP="00CA6D9C">
            <w:pPr>
              <w:pStyle w:val="TableParagraph"/>
              <w:cnfStyle w:val="000000000000" w:firstRow="0" w:lastRow="0" w:firstColumn="0" w:lastColumn="0" w:oddVBand="0" w:evenVBand="0" w:oddHBand="0" w:evenHBand="0" w:firstRowFirstColumn="0" w:firstRowLastColumn="0" w:lastRowFirstColumn="0" w:lastRowLastColumn="0"/>
            </w:pPr>
            <w:r w:rsidRPr="00D738F9">
              <w:t>$267</w:t>
            </w:r>
          </w:p>
        </w:tc>
        <w:tc>
          <w:tcPr>
            <w:tcW w:w="975" w:type="dxa"/>
            <w:shd w:val="clear" w:color="auto" w:fill="E9F5F2"/>
            <w:vAlign w:val="center"/>
          </w:tcPr>
          <w:p w14:paraId="0B03B4CB" w14:textId="77777777" w:rsidR="0089572B" w:rsidRPr="00D738F9" w:rsidRDefault="0089572B" w:rsidP="00CA6D9C">
            <w:pPr>
              <w:pStyle w:val="TableParagraph"/>
              <w:cnfStyle w:val="000000000000" w:firstRow="0" w:lastRow="0" w:firstColumn="0" w:lastColumn="0" w:oddVBand="0" w:evenVBand="0" w:oddHBand="0" w:evenHBand="0" w:firstRowFirstColumn="0" w:firstRowLastColumn="0" w:lastRowFirstColumn="0" w:lastRowLastColumn="0"/>
            </w:pPr>
            <w:r w:rsidRPr="00D738F9">
              <w:t>$280</w:t>
            </w:r>
          </w:p>
        </w:tc>
        <w:tc>
          <w:tcPr>
            <w:tcW w:w="975" w:type="dxa"/>
            <w:shd w:val="clear" w:color="auto" w:fill="E9F5F2"/>
            <w:vAlign w:val="center"/>
          </w:tcPr>
          <w:p w14:paraId="283B846C" w14:textId="77777777" w:rsidR="0089572B" w:rsidRPr="00D738F9" w:rsidRDefault="0089572B" w:rsidP="00CA6D9C">
            <w:pPr>
              <w:pStyle w:val="TableParagraph"/>
              <w:cnfStyle w:val="000000000000" w:firstRow="0" w:lastRow="0" w:firstColumn="0" w:lastColumn="0" w:oddVBand="0" w:evenVBand="0" w:oddHBand="0" w:evenHBand="0" w:firstRowFirstColumn="0" w:firstRowLastColumn="0" w:lastRowFirstColumn="0" w:lastRowLastColumn="0"/>
            </w:pPr>
            <w:r w:rsidRPr="00D738F9">
              <w:t>$294</w:t>
            </w:r>
          </w:p>
        </w:tc>
        <w:tc>
          <w:tcPr>
            <w:tcW w:w="975" w:type="dxa"/>
            <w:shd w:val="clear" w:color="auto" w:fill="D4E8DE"/>
            <w:vAlign w:val="center"/>
          </w:tcPr>
          <w:p w14:paraId="0E53F150" w14:textId="77777777" w:rsidR="0089572B" w:rsidRPr="00D738F9" w:rsidRDefault="0089572B" w:rsidP="00CA6D9C">
            <w:pPr>
              <w:pStyle w:val="TableParagraph"/>
              <w:cnfStyle w:val="000000000000" w:firstRow="0" w:lastRow="0" w:firstColumn="0" w:lastColumn="0" w:oddVBand="0" w:evenVBand="0" w:oddHBand="0" w:evenHBand="0" w:firstRowFirstColumn="0" w:firstRowLastColumn="0" w:lastRowFirstColumn="0" w:lastRowLastColumn="0"/>
            </w:pPr>
            <w:r w:rsidRPr="00D738F9">
              <w:t>$309</w:t>
            </w:r>
          </w:p>
        </w:tc>
      </w:tr>
      <w:tr w:rsidR="00D76B3D" w:rsidRPr="0091207A" w14:paraId="4B8F89FB" w14:textId="77777777" w:rsidTr="00B24E5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36" w:type="dxa"/>
            <w:shd w:val="clear" w:color="auto" w:fill="002060"/>
            <w:vAlign w:val="center"/>
          </w:tcPr>
          <w:p w14:paraId="05295F34" w14:textId="417145E4" w:rsidR="003470EF" w:rsidRPr="00ED7DD2" w:rsidRDefault="00987F23" w:rsidP="003E425B">
            <w:pPr>
              <w:pStyle w:val="Tableparagraphwhite"/>
              <w:jc w:val="left"/>
            </w:pPr>
            <w:r>
              <w:rPr>
                <w:rFonts w:ascii="ZWAdobeF" w:hAnsi="ZWAdobeF" w:cs="ZWAdobeF"/>
                <w:color w:val="auto"/>
                <w:sz w:val="2"/>
                <w:szCs w:val="2"/>
              </w:rPr>
              <w:t>14B</w:t>
            </w:r>
            <w:r w:rsidR="003470EF" w:rsidRPr="00ED7DD2">
              <w:t xml:space="preserve">In </w:t>
            </w:r>
            <w:r w:rsidR="00ED7DD2">
              <w:t>2024</w:t>
            </w:r>
            <w:r w:rsidR="007016C7">
              <w:t xml:space="preserve"> dollars</w:t>
            </w:r>
          </w:p>
        </w:tc>
        <w:tc>
          <w:tcPr>
            <w:tcW w:w="974" w:type="dxa"/>
            <w:shd w:val="clear" w:color="auto" w:fill="002060"/>
            <w:vAlign w:val="center"/>
          </w:tcPr>
          <w:p w14:paraId="1F35F18F" w14:textId="77777777" w:rsidR="003470EF" w:rsidRPr="00ED7DD2" w:rsidRDefault="003470EF" w:rsidP="00CA6D9C">
            <w:pPr>
              <w:pStyle w:val="Tableparagraphwhite"/>
              <w:cnfStyle w:val="000000100000" w:firstRow="0" w:lastRow="0" w:firstColumn="0" w:lastColumn="0" w:oddVBand="0" w:evenVBand="0" w:oddHBand="1" w:evenHBand="0" w:firstRowFirstColumn="0" w:firstRowLastColumn="0" w:lastRowFirstColumn="0" w:lastRowLastColumn="0"/>
            </w:pPr>
          </w:p>
        </w:tc>
        <w:tc>
          <w:tcPr>
            <w:tcW w:w="974" w:type="dxa"/>
            <w:shd w:val="clear" w:color="auto" w:fill="002060"/>
            <w:vAlign w:val="center"/>
          </w:tcPr>
          <w:p w14:paraId="7380C01B" w14:textId="77777777" w:rsidR="003470EF" w:rsidRPr="00ED7DD2" w:rsidRDefault="003470EF" w:rsidP="00CA6D9C">
            <w:pPr>
              <w:pStyle w:val="Tableparagraphwhite"/>
              <w:cnfStyle w:val="000000100000" w:firstRow="0" w:lastRow="0" w:firstColumn="0" w:lastColumn="0" w:oddVBand="0" w:evenVBand="0" w:oddHBand="1" w:evenHBand="0" w:firstRowFirstColumn="0" w:firstRowLastColumn="0" w:lastRowFirstColumn="0" w:lastRowLastColumn="0"/>
            </w:pPr>
          </w:p>
        </w:tc>
        <w:tc>
          <w:tcPr>
            <w:tcW w:w="975" w:type="dxa"/>
            <w:shd w:val="clear" w:color="auto" w:fill="002060"/>
            <w:vAlign w:val="center"/>
          </w:tcPr>
          <w:p w14:paraId="2D56BEC0" w14:textId="77777777" w:rsidR="003470EF" w:rsidRPr="00ED7DD2" w:rsidRDefault="003470EF" w:rsidP="00CA6D9C">
            <w:pPr>
              <w:pStyle w:val="Tableparagraphwhite"/>
              <w:cnfStyle w:val="000000100000" w:firstRow="0" w:lastRow="0" w:firstColumn="0" w:lastColumn="0" w:oddVBand="0" w:evenVBand="0" w:oddHBand="1" w:evenHBand="0" w:firstRowFirstColumn="0" w:firstRowLastColumn="0" w:lastRowFirstColumn="0" w:lastRowLastColumn="0"/>
            </w:pPr>
          </w:p>
        </w:tc>
        <w:tc>
          <w:tcPr>
            <w:tcW w:w="975" w:type="dxa"/>
            <w:shd w:val="clear" w:color="auto" w:fill="002060"/>
            <w:vAlign w:val="center"/>
          </w:tcPr>
          <w:p w14:paraId="73E097CD" w14:textId="77777777" w:rsidR="003470EF" w:rsidRPr="00ED7DD2" w:rsidRDefault="003470EF" w:rsidP="00CA6D9C">
            <w:pPr>
              <w:pStyle w:val="Tableparagraphwhite"/>
              <w:cnfStyle w:val="000000100000" w:firstRow="0" w:lastRow="0" w:firstColumn="0" w:lastColumn="0" w:oddVBand="0" w:evenVBand="0" w:oddHBand="1" w:evenHBand="0" w:firstRowFirstColumn="0" w:firstRowLastColumn="0" w:lastRowFirstColumn="0" w:lastRowLastColumn="0"/>
            </w:pPr>
          </w:p>
        </w:tc>
        <w:tc>
          <w:tcPr>
            <w:tcW w:w="975" w:type="dxa"/>
            <w:shd w:val="clear" w:color="auto" w:fill="002060"/>
            <w:vAlign w:val="center"/>
          </w:tcPr>
          <w:p w14:paraId="0A2C7B54" w14:textId="77777777" w:rsidR="003470EF" w:rsidRPr="00ED7DD2" w:rsidRDefault="003470EF" w:rsidP="00CA6D9C">
            <w:pPr>
              <w:pStyle w:val="Tableparagraphwhite"/>
              <w:cnfStyle w:val="000000100000" w:firstRow="0" w:lastRow="0" w:firstColumn="0" w:lastColumn="0" w:oddVBand="0" w:evenVBand="0" w:oddHBand="1" w:evenHBand="0" w:firstRowFirstColumn="0" w:firstRowLastColumn="0" w:lastRowFirstColumn="0" w:lastRowLastColumn="0"/>
            </w:pPr>
          </w:p>
        </w:tc>
        <w:tc>
          <w:tcPr>
            <w:tcW w:w="975" w:type="dxa"/>
            <w:shd w:val="clear" w:color="auto" w:fill="002060"/>
            <w:vAlign w:val="center"/>
          </w:tcPr>
          <w:p w14:paraId="6783EFB3" w14:textId="77777777" w:rsidR="003470EF" w:rsidRPr="00ED7DD2" w:rsidRDefault="003470EF" w:rsidP="00CA6D9C">
            <w:pPr>
              <w:pStyle w:val="Tableparagraphwhite"/>
              <w:cnfStyle w:val="000000100000" w:firstRow="0" w:lastRow="0" w:firstColumn="0" w:lastColumn="0" w:oddVBand="0" w:evenVBand="0" w:oddHBand="1" w:evenHBand="0" w:firstRowFirstColumn="0" w:firstRowLastColumn="0" w:lastRowFirstColumn="0" w:lastRowLastColumn="0"/>
            </w:pPr>
          </w:p>
        </w:tc>
      </w:tr>
      <w:tr w:rsidR="00D76B3D" w:rsidRPr="0091207A" w14:paraId="690FC7A4" w14:textId="77777777" w:rsidTr="00B24E5F">
        <w:trPr>
          <w:trHeight w:val="482"/>
        </w:trPr>
        <w:tc>
          <w:tcPr>
            <w:cnfStyle w:val="001000000000" w:firstRow="0" w:lastRow="0" w:firstColumn="1" w:lastColumn="0" w:oddVBand="0" w:evenVBand="0" w:oddHBand="0" w:evenHBand="0" w:firstRowFirstColumn="0" w:firstRowLastColumn="0" w:lastRowFirstColumn="0" w:lastRowLastColumn="0"/>
            <w:tcW w:w="3436" w:type="dxa"/>
            <w:shd w:val="clear" w:color="auto" w:fill="C1DCD5"/>
            <w:vAlign w:val="center"/>
          </w:tcPr>
          <w:p w14:paraId="4045D552" w14:textId="2300F09F" w:rsidR="00ED7DD2" w:rsidRPr="007A43F5" w:rsidRDefault="00ED7DD2" w:rsidP="00CA6D9C">
            <w:pPr>
              <w:pStyle w:val="TableParagraph"/>
              <w:rPr>
                <w:b w:val="0"/>
                <w:bCs w:val="0"/>
              </w:rPr>
            </w:pPr>
            <w:r w:rsidRPr="007A43F5">
              <w:rPr>
                <w:b w:val="0"/>
                <w:bCs w:val="0"/>
              </w:rPr>
              <w:t>Cost containment reserve tier 1</w:t>
            </w:r>
          </w:p>
        </w:tc>
        <w:tc>
          <w:tcPr>
            <w:tcW w:w="974" w:type="dxa"/>
            <w:shd w:val="clear" w:color="auto" w:fill="E9F5F2"/>
            <w:vAlign w:val="center"/>
          </w:tcPr>
          <w:p w14:paraId="52158288" w14:textId="761BD3B5" w:rsidR="00ED7DD2" w:rsidRPr="00D738F9" w:rsidRDefault="00ED7DD2" w:rsidP="00CA6D9C">
            <w:pPr>
              <w:pStyle w:val="TableParagraph"/>
              <w:cnfStyle w:val="000000000000" w:firstRow="0" w:lastRow="0" w:firstColumn="0" w:lastColumn="0" w:oddVBand="0" w:evenVBand="0" w:oddHBand="0" w:evenHBand="0" w:firstRowFirstColumn="0" w:firstRowLastColumn="0" w:lastRowFirstColumn="0" w:lastRowLastColumn="0"/>
            </w:pPr>
            <w:r w:rsidRPr="00D738F9">
              <w:t>$190</w:t>
            </w:r>
          </w:p>
        </w:tc>
        <w:tc>
          <w:tcPr>
            <w:tcW w:w="974" w:type="dxa"/>
            <w:shd w:val="clear" w:color="auto" w:fill="E9F5F2"/>
            <w:vAlign w:val="center"/>
          </w:tcPr>
          <w:p w14:paraId="1E3D69C9" w14:textId="2495BFB1" w:rsidR="00ED7DD2" w:rsidRPr="00D738F9" w:rsidRDefault="00ED7DD2" w:rsidP="00CA6D9C">
            <w:pPr>
              <w:pStyle w:val="TableParagraph"/>
              <w:cnfStyle w:val="000000000000" w:firstRow="0" w:lastRow="0" w:firstColumn="0" w:lastColumn="0" w:oddVBand="0" w:evenVBand="0" w:oddHBand="0" w:evenHBand="0" w:firstRowFirstColumn="0" w:firstRowLastColumn="0" w:lastRowFirstColumn="0" w:lastRowLastColumn="0"/>
            </w:pPr>
            <w:r w:rsidRPr="00D738F9">
              <w:t>$195</w:t>
            </w:r>
          </w:p>
        </w:tc>
        <w:tc>
          <w:tcPr>
            <w:tcW w:w="975" w:type="dxa"/>
            <w:shd w:val="clear" w:color="auto" w:fill="E9F5F2"/>
            <w:vAlign w:val="center"/>
          </w:tcPr>
          <w:p w14:paraId="350FF759" w14:textId="1FE7A35F" w:rsidR="00ED7DD2" w:rsidRPr="00D738F9" w:rsidRDefault="00ED7DD2" w:rsidP="00CA6D9C">
            <w:pPr>
              <w:pStyle w:val="TableParagraph"/>
              <w:cnfStyle w:val="000000000000" w:firstRow="0" w:lastRow="0" w:firstColumn="0" w:lastColumn="0" w:oddVBand="0" w:evenVBand="0" w:oddHBand="0" w:evenHBand="0" w:firstRowFirstColumn="0" w:firstRowLastColumn="0" w:lastRowFirstColumn="0" w:lastRowLastColumn="0"/>
            </w:pPr>
            <w:r w:rsidRPr="00D738F9">
              <w:t>$201</w:t>
            </w:r>
          </w:p>
        </w:tc>
        <w:tc>
          <w:tcPr>
            <w:tcW w:w="975" w:type="dxa"/>
            <w:shd w:val="clear" w:color="auto" w:fill="E9F5F2"/>
            <w:vAlign w:val="center"/>
          </w:tcPr>
          <w:p w14:paraId="4090D511" w14:textId="14734496" w:rsidR="00ED7DD2" w:rsidRPr="00D738F9" w:rsidRDefault="00ED7DD2" w:rsidP="00CA6D9C">
            <w:pPr>
              <w:pStyle w:val="TableParagraph"/>
              <w:cnfStyle w:val="000000000000" w:firstRow="0" w:lastRow="0" w:firstColumn="0" w:lastColumn="0" w:oddVBand="0" w:evenVBand="0" w:oddHBand="0" w:evenHBand="0" w:firstRowFirstColumn="0" w:firstRowLastColumn="0" w:lastRowFirstColumn="0" w:lastRowLastColumn="0"/>
            </w:pPr>
            <w:r w:rsidRPr="00D738F9">
              <w:t>$207</w:t>
            </w:r>
          </w:p>
        </w:tc>
        <w:tc>
          <w:tcPr>
            <w:tcW w:w="975" w:type="dxa"/>
            <w:shd w:val="clear" w:color="auto" w:fill="E9F5F2"/>
            <w:vAlign w:val="center"/>
          </w:tcPr>
          <w:p w14:paraId="0F4ACED0" w14:textId="251AF680" w:rsidR="00ED7DD2" w:rsidRPr="00D738F9" w:rsidRDefault="00ED7DD2" w:rsidP="00CA6D9C">
            <w:pPr>
              <w:pStyle w:val="TableParagraph"/>
              <w:cnfStyle w:val="000000000000" w:firstRow="0" w:lastRow="0" w:firstColumn="0" w:lastColumn="0" w:oddVBand="0" w:evenVBand="0" w:oddHBand="0" w:evenHBand="0" w:firstRowFirstColumn="0" w:firstRowLastColumn="0" w:lastRowFirstColumn="0" w:lastRowLastColumn="0"/>
            </w:pPr>
            <w:r w:rsidRPr="00D738F9">
              <w:t>$213</w:t>
            </w:r>
          </w:p>
        </w:tc>
        <w:tc>
          <w:tcPr>
            <w:tcW w:w="975" w:type="dxa"/>
            <w:shd w:val="clear" w:color="auto" w:fill="D4E8DE"/>
            <w:vAlign w:val="center"/>
          </w:tcPr>
          <w:p w14:paraId="43ECA8AD" w14:textId="166F5555" w:rsidR="00ED7DD2" w:rsidRPr="00D738F9" w:rsidRDefault="00ED7DD2" w:rsidP="00CA6D9C">
            <w:pPr>
              <w:pStyle w:val="TableParagraph"/>
              <w:cnfStyle w:val="000000000000" w:firstRow="0" w:lastRow="0" w:firstColumn="0" w:lastColumn="0" w:oddVBand="0" w:evenVBand="0" w:oddHBand="0" w:evenHBand="0" w:firstRowFirstColumn="0" w:firstRowLastColumn="0" w:lastRowFirstColumn="0" w:lastRowLastColumn="0"/>
            </w:pPr>
            <w:r w:rsidRPr="00D738F9">
              <w:t>$219</w:t>
            </w:r>
          </w:p>
        </w:tc>
      </w:tr>
      <w:tr w:rsidR="00D76B3D" w:rsidRPr="0091207A" w14:paraId="71C6F382" w14:textId="77777777" w:rsidTr="00B24E5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436" w:type="dxa"/>
            <w:shd w:val="clear" w:color="auto" w:fill="C1DCD5"/>
            <w:vAlign w:val="center"/>
          </w:tcPr>
          <w:p w14:paraId="51AAA07E" w14:textId="482966A2" w:rsidR="00ED7DD2" w:rsidRPr="007A43F5" w:rsidRDefault="00ED7DD2" w:rsidP="00CA6D9C">
            <w:pPr>
              <w:pStyle w:val="TableParagraph"/>
              <w:rPr>
                <w:b w:val="0"/>
                <w:bCs w:val="0"/>
              </w:rPr>
            </w:pPr>
            <w:r w:rsidRPr="007A43F5">
              <w:rPr>
                <w:b w:val="0"/>
                <w:bCs w:val="0"/>
              </w:rPr>
              <w:t>Cost containment reserve tier 2</w:t>
            </w:r>
          </w:p>
        </w:tc>
        <w:tc>
          <w:tcPr>
            <w:tcW w:w="974" w:type="dxa"/>
            <w:shd w:val="clear" w:color="auto" w:fill="E9F5F2"/>
            <w:vAlign w:val="center"/>
          </w:tcPr>
          <w:p w14:paraId="19DBEF79" w14:textId="77533D00" w:rsidR="00ED7DD2" w:rsidRPr="00D738F9" w:rsidRDefault="00ED7DD2" w:rsidP="00CA6D9C">
            <w:pPr>
              <w:pStyle w:val="TableParagraph"/>
              <w:cnfStyle w:val="000000100000" w:firstRow="0" w:lastRow="0" w:firstColumn="0" w:lastColumn="0" w:oddVBand="0" w:evenVBand="0" w:oddHBand="1" w:evenHBand="0" w:firstRowFirstColumn="0" w:firstRowLastColumn="0" w:lastRowFirstColumn="0" w:lastRowLastColumn="0"/>
            </w:pPr>
            <w:r w:rsidRPr="00D738F9">
              <w:t>$238</w:t>
            </w:r>
          </w:p>
        </w:tc>
        <w:tc>
          <w:tcPr>
            <w:tcW w:w="974" w:type="dxa"/>
            <w:shd w:val="clear" w:color="auto" w:fill="E9F5F2"/>
            <w:vAlign w:val="center"/>
          </w:tcPr>
          <w:p w14:paraId="257EA570" w14:textId="4F581545" w:rsidR="00ED7DD2" w:rsidRPr="00D738F9" w:rsidRDefault="00ED7DD2" w:rsidP="00CA6D9C">
            <w:pPr>
              <w:pStyle w:val="TableParagraph"/>
              <w:cnfStyle w:val="000000100000" w:firstRow="0" w:lastRow="0" w:firstColumn="0" w:lastColumn="0" w:oddVBand="0" w:evenVBand="0" w:oddHBand="1" w:evenHBand="0" w:firstRowFirstColumn="0" w:firstRowLastColumn="0" w:lastRowFirstColumn="0" w:lastRowLastColumn="0"/>
            </w:pPr>
            <w:r w:rsidRPr="00D738F9">
              <w:t>$244</w:t>
            </w:r>
          </w:p>
        </w:tc>
        <w:tc>
          <w:tcPr>
            <w:tcW w:w="975" w:type="dxa"/>
            <w:shd w:val="clear" w:color="auto" w:fill="E9F5F2"/>
            <w:vAlign w:val="center"/>
          </w:tcPr>
          <w:p w14:paraId="069D812C" w14:textId="0134E40B" w:rsidR="00ED7DD2" w:rsidRPr="00D738F9" w:rsidRDefault="00ED7DD2" w:rsidP="00CA6D9C">
            <w:pPr>
              <w:pStyle w:val="TableParagraph"/>
              <w:cnfStyle w:val="000000100000" w:firstRow="0" w:lastRow="0" w:firstColumn="0" w:lastColumn="0" w:oddVBand="0" w:evenVBand="0" w:oddHBand="1" w:evenHBand="0" w:firstRowFirstColumn="0" w:firstRowLastColumn="0" w:lastRowFirstColumn="0" w:lastRowLastColumn="0"/>
            </w:pPr>
            <w:r w:rsidRPr="00D738F9">
              <w:t>$252</w:t>
            </w:r>
          </w:p>
        </w:tc>
        <w:tc>
          <w:tcPr>
            <w:tcW w:w="975" w:type="dxa"/>
            <w:shd w:val="clear" w:color="auto" w:fill="E9F5F2"/>
            <w:vAlign w:val="center"/>
          </w:tcPr>
          <w:p w14:paraId="63713366" w14:textId="651D23A7" w:rsidR="00ED7DD2" w:rsidRPr="00D738F9" w:rsidRDefault="00ED7DD2" w:rsidP="00CA6D9C">
            <w:pPr>
              <w:pStyle w:val="TableParagraph"/>
              <w:cnfStyle w:val="000000100000" w:firstRow="0" w:lastRow="0" w:firstColumn="0" w:lastColumn="0" w:oddVBand="0" w:evenVBand="0" w:oddHBand="1" w:evenHBand="0" w:firstRowFirstColumn="0" w:firstRowLastColumn="0" w:lastRowFirstColumn="0" w:lastRowLastColumn="0"/>
            </w:pPr>
            <w:r w:rsidRPr="00D738F9">
              <w:t>$259</w:t>
            </w:r>
          </w:p>
        </w:tc>
        <w:tc>
          <w:tcPr>
            <w:tcW w:w="975" w:type="dxa"/>
            <w:shd w:val="clear" w:color="auto" w:fill="E9F5F2"/>
            <w:vAlign w:val="center"/>
          </w:tcPr>
          <w:p w14:paraId="08CDB5A9" w14:textId="29EDBD93" w:rsidR="00ED7DD2" w:rsidRPr="00D738F9" w:rsidRDefault="00ED7DD2" w:rsidP="00CA6D9C">
            <w:pPr>
              <w:pStyle w:val="TableParagraph"/>
              <w:cnfStyle w:val="000000100000" w:firstRow="0" w:lastRow="0" w:firstColumn="0" w:lastColumn="0" w:oddVBand="0" w:evenVBand="0" w:oddHBand="1" w:evenHBand="0" w:firstRowFirstColumn="0" w:firstRowLastColumn="0" w:lastRowFirstColumn="0" w:lastRowLastColumn="0"/>
            </w:pPr>
            <w:r w:rsidRPr="00D738F9">
              <w:t>$267</w:t>
            </w:r>
          </w:p>
        </w:tc>
        <w:tc>
          <w:tcPr>
            <w:tcW w:w="975" w:type="dxa"/>
            <w:shd w:val="clear" w:color="auto" w:fill="D4E8DE"/>
            <w:vAlign w:val="center"/>
          </w:tcPr>
          <w:p w14:paraId="56BED38F" w14:textId="208E71AB" w:rsidR="00ED7DD2" w:rsidRPr="00D738F9" w:rsidRDefault="00ED7DD2" w:rsidP="00CA6D9C">
            <w:pPr>
              <w:pStyle w:val="TableParagraph"/>
              <w:cnfStyle w:val="000000100000" w:firstRow="0" w:lastRow="0" w:firstColumn="0" w:lastColumn="0" w:oddVBand="0" w:evenVBand="0" w:oddHBand="1" w:evenHBand="0" w:firstRowFirstColumn="0" w:firstRowLastColumn="0" w:lastRowFirstColumn="0" w:lastRowLastColumn="0"/>
            </w:pPr>
            <w:r w:rsidRPr="00D738F9">
              <w:t>$274</w:t>
            </w:r>
          </w:p>
        </w:tc>
      </w:tr>
    </w:tbl>
    <w:p w14:paraId="61BBE411" w14:textId="63B064B9" w:rsidR="003470EF" w:rsidRDefault="003470EF" w:rsidP="003470EF">
      <w:r>
        <w:lastRenderedPageBreak/>
        <w:t>In this section we set out our analysis of whether the current CCR setting in regulations remain</w:t>
      </w:r>
      <w:r w:rsidR="00D158AE">
        <w:t>s</w:t>
      </w:r>
      <w:r>
        <w:t xml:space="preserve"> appropriate in light of the second emissions reduction plan. First, we consider whether the CCR price trigger levels are consistent with the range of NZU prices potentially needed to meet the second and third emissions budgets, then our assessment of the unit volumes in the reserve. </w:t>
      </w:r>
    </w:p>
    <w:p w14:paraId="20795907" w14:textId="66466A2A" w:rsidR="006D3A51" w:rsidRDefault="00E91C92" w:rsidP="00FA0055">
      <w:pPr>
        <w:pStyle w:val="Heading3"/>
      </w:pPr>
      <w:r>
        <w:t xml:space="preserve">The CCR price triggers are consistent with the </w:t>
      </w:r>
      <w:r w:rsidR="00167347">
        <w:t>second emissions budget</w:t>
      </w:r>
    </w:p>
    <w:p w14:paraId="42209398" w14:textId="4103F15F" w:rsidR="00526CB9" w:rsidRDefault="00E72ADF" w:rsidP="00BA38EE">
      <w:r>
        <w:t xml:space="preserve">The key role the NZ ETS needs to play </w:t>
      </w:r>
      <w:r w:rsidR="006702D5">
        <w:t xml:space="preserve">over the period of the </w:t>
      </w:r>
      <w:r w:rsidR="004141AC">
        <w:t>regulations (2026</w:t>
      </w:r>
      <w:r w:rsidR="004D05A5">
        <w:t>–</w:t>
      </w:r>
      <w:r w:rsidR="004141AC">
        <w:t>203</w:t>
      </w:r>
      <w:r w:rsidR="009D310E">
        <w:t>0)</w:t>
      </w:r>
      <w:r w:rsidR="006702D5">
        <w:t xml:space="preserve"> </w:t>
      </w:r>
      <w:r w:rsidR="007470F2">
        <w:t xml:space="preserve">is </w:t>
      </w:r>
      <w:r>
        <w:t>to encourage further gross emissions reductions.</w:t>
      </w:r>
      <w:r w:rsidR="00FA7C8D">
        <w:t xml:space="preserve"> </w:t>
      </w:r>
      <w:r w:rsidR="00536E9D">
        <w:t>This is because b</w:t>
      </w:r>
      <w:r w:rsidR="00526CB9">
        <w:t>y 2026</w:t>
      </w:r>
      <w:r w:rsidR="001E1610">
        <w:t>,</w:t>
      </w:r>
      <w:r w:rsidR="00526CB9">
        <w:t xml:space="preserve"> </w:t>
      </w:r>
      <w:r w:rsidR="00490CC7">
        <w:t xml:space="preserve">there will not be time for </w:t>
      </w:r>
      <w:r w:rsidR="00526CB9">
        <w:t>further afforestation t</w:t>
      </w:r>
      <w:r w:rsidR="00641512">
        <w:t xml:space="preserve">o make a </w:t>
      </w:r>
      <w:r w:rsidR="00E271A8">
        <w:t xml:space="preserve">material contribution </w:t>
      </w:r>
      <w:r w:rsidR="001E654D">
        <w:t>to meet</w:t>
      </w:r>
      <w:r w:rsidR="00E271A8">
        <w:t>ing</w:t>
      </w:r>
      <w:r w:rsidR="001E654D">
        <w:t xml:space="preserve"> the second emissions budget</w:t>
      </w:r>
      <w:r w:rsidR="00E966A0">
        <w:t xml:space="preserve">, </w:t>
      </w:r>
      <w:r w:rsidR="00641512">
        <w:t xml:space="preserve">as it takes around </w:t>
      </w:r>
      <w:r w:rsidR="00E271A8">
        <w:t>four years for a newly</w:t>
      </w:r>
      <w:r w:rsidR="00631817">
        <w:t xml:space="preserve"> </w:t>
      </w:r>
      <w:r w:rsidR="00E271A8">
        <w:t xml:space="preserve">planted forest to </w:t>
      </w:r>
      <w:r w:rsidR="00AB31E1">
        <w:t>become a carbon sink</w:t>
      </w:r>
      <w:r w:rsidR="001E654D">
        <w:t xml:space="preserve">. </w:t>
      </w:r>
      <w:r w:rsidR="00526CB9">
        <w:t xml:space="preserve"> </w:t>
      </w:r>
    </w:p>
    <w:p w14:paraId="7053D94D" w14:textId="1B44A5D4" w:rsidR="006A0BBD" w:rsidRDefault="00AB31E1" w:rsidP="00016F38">
      <w:r>
        <w:t xml:space="preserve">The CCR needs to align </w:t>
      </w:r>
      <w:r w:rsidR="00A626AC">
        <w:t xml:space="preserve">with the upper </w:t>
      </w:r>
      <w:r w:rsidR="00442892">
        <w:t xml:space="preserve">bounds of the </w:t>
      </w:r>
      <w:r w:rsidR="00884398">
        <w:t>range of NZU prices compatible with delivering the</w:t>
      </w:r>
      <w:r w:rsidR="00A626AC">
        <w:t xml:space="preserve"> gross</w:t>
      </w:r>
      <w:r w:rsidR="00884398">
        <w:t xml:space="preserve"> emissions reductions needed</w:t>
      </w:r>
      <w:r w:rsidR="005D420E">
        <w:t xml:space="preserve"> to meet </w:t>
      </w:r>
      <w:r w:rsidR="002E7B52">
        <w:t xml:space="preserve">the second </w:t>
      </w:r>
      <w:r w:rsidR="005D420E">
        <w:t>emissions budget</w:t>
      </w:r>
      <w:r w:rsidR="00884398">
        <w:t>.</w:t>
      </w:r>
      <w:r w:rsidR="001379CF">
        <w:t xml:space="preserve"> </w:t>
      </w:r>
      <w:r w:rsidR="00257CCE">
        <w:t xml:space="preserve">There </w:t>
      </w:r>
      <w:r w:rsidR="00A574CC">
        <w:t xml:space="preserve">are several sources of evidence </w:t>
      </w:r>
      <w:r w:rsidR="00B1284F">
        <w:t xml:space="preserve">indicating </w:t>
      </w:r>
      <w:r w:rsidR="00A574CC">
        <w:t xml:space="preserve">that </w:t>
      </w:r>
      <w:r w:rsidR="00523191">
        <w:t xml:space="preserve">in Aotearoa New Zealand </w:t>
      </w:r>
      <w:r w:rsidR="005A0D97">
        <w:t xml:space="preserve">significant gross </w:t>
      </w:r>
      <w:r w:rsidR="00523191">
        <w:t xml:space="preserve">emissions reductions are economic at prices below </w:t>
      </w:r>
      <w:r w:rsidR="003F3294">
        <w:t>$</w:t>
      </w:r>
      <w:r w:rsidR="00523191">
        <w:t>200</w:t>
      </w:r>
      <w:r w:rsidR="003F3294">
        <w:t xml:space="preserve"> per tonne of CO</w:t>
      </w:r>
      <w:r w:rsidR="003F3294" w:rsidRPr="003F3294">
        <w:rPr>
          <w:vertAlign w:val="subscript"/>
        </w:rPr>
        <w:t>2</w:t>
      </w:r>
      <w:r w:rsidR="003F3294">
        <w:t>e</w:t>
      </w:r>
      <w:r w:rsidR="00B87E26">
        <w:t xml:space="preserve">, roughly the </w:t>
      </w:r>
      <w:r w:rsidR="00E0722B">
        <w:t xml:space="preserve">location of the </w:t>
      </w:r>
      <w:r w:rsidR="00B87E26">
        <w:t xml:space="preserve">first tier of CCR </w:t>
      </w:r>
      <w:r w:rsidR="00903C01">
        <w:t>trigger prices</w:t>
      </w:r>
      <w:r w:rsidR="000928FC">
        <w:t>.</w:t>
      </w:r>
      <w:r w:rsidR="000928FC">
        <w:rPr>
          <w:rStyle w:val="FootnoteReference"/>
        </w:rPr>
        <w:footnoteReference w:id="32"/>
      </w:r>
      <w:r w:rsidR="00903C01">
        <w:t xml:space="preserve"> </w:t>
      </w:r>
    </w:p>
    <w:p w14:paraId="40A6CE4B" w14:textId="1DF6D3D4" w:rsidR="00097601" w:rsidRDefault="00C41EEF" w:rsidP="00016F38">
      <w:r>
        <w:t xml:space="preserve">To add to </w:t>
      </w:r>
      <w:r w:rsidRPr="001D3D5B">
        <w:t>this, t</w:t>
      </w:r>
      <w:r w:rsidR="00BE76EC" w:rsidRPr="001D3D5B">
        <w:t xml:space="preserve">he </w:t>
      </w:r>
      <w:r w:rsidR="002570AA">
        <w:t>G</w:t>
      </w:r>
      <w:r w:rsidR="001A5FCA" w:rsidRPr="00D864F3">
        <w:t>overnment</w:t>
      </w:r>
      <w:r w:rsidR="001A5FCA" w:rsidRPr="001D3D5B">
        <w:t xml:space="preserve"> </w:t>
      </w:r>
      <w:r w:rsidR="00D7305A" w:rsidRPr="001D3D5B">
        <w:t xml:space="preserve">modelling </w:t>
      </w:r>
      <w:r w:rsidR="00D77DD6" w:rsidRPr="001D3D5B">
        <w:t>looking</w:t>
      </w:r>
      <w:r w:rsidR="00D77DD6">
        <w:t xml:space="preserve"> at </w:t>
      </w:r>
      <w:r w:rsidR="00E5152E">
        <w:t xml:space="preserve">whether the </w:t>
      </w:r>
      <w:r w:rsidR="006D0BBD">
        <w:t>second emissions reduction plan</w:t>
      </w:r>
      <w:r w:rsidR="00E5152E">
        <w:t xml:space="preserve"> </w:t>
      </w:r>
      <w:r w:rsidR="00F60CCE">
        <w:t>is</w:t>
      </w:r>
      <w:r w:rsidR="00E5152E">
        <w:t xml:space="preserve"> sufficient</w:t>
      </w:r>
      <w:r w:rsidR="00655F58">
        <w:t xml:space="preserve"> generated some </w:t>
      </w:r>
      <w:r w:rsidR="007F35A1">
        <w:t xml:space="preserve">information about </w:t>
      </w:r>
      <w:r w:rsidR="0084383C">
        <w:t xml:space="preserve">the </w:t>
      </w:r>
      <w:r w:rsidR="007F35A1">
        <w:t xml:space="preserve">NZU prices </w:t>
      </w:r>
      <w:r w:rsidR="00FF499F">
        <w:t xml:space="preserve">potentially needed to </w:t>
      </w:r>
      <w:r w:rsidR="007F35A1">
        <w:t xml:space="preserve">meet </w:t>
      </w:r>
      <w:r w:rsidR="002E7B52">
        <w:t>the second</w:t>
      </w:r>
      <w:r w:rsidR="007F35A1">
        <w:t xml:space="preserve"> emissions budget</w:t>
      </w:r>
      <w:r w:rsidR="006D0BBD">
        <w:t>.</w:t>
      </w:r>
      <w:r w:rsidR="003E7C04">
        <w:t xml:space="preserve"> </w:t>
      </w:r>
      <w:r w:rsidR="00602F1E">
        <w:t>This used a combination of the Ministry for the Environment’s NZ ETS market model and the ENZ model</w:t>
      </w:r>
      <w:r w:rsidR="002E341E">
        <w:t xml:space="preserve">. </w:t>
      </w:r>
      <w:r w:rsidR="00A64534">
        <w:t xml:space="preserve">Based on </w:t>
      </w:r>
      <w:r w:rsidR="00E80359">
        <w:t>second emissions reduction plan polic</w:t>
      </w:r>
      <w:r w:rsidR="0093033D">
        <w:t xml:space="preserve">ies and </w:t>
      </w:r>
      <w:r w:rsidR="00CD104C">
        <w:t>assumptions</w:t>
      </w:r>
      <w:r w:rsidR="0093033D">
        <w:t>,</w:t>
      </w:r>
      <w:r w:rsidR="00CD104C">
        <w:t xml:space="preserve"> as well as current NZ ETS settings, the modelling projected that </w:t>
      </w:r>
      <w:r w:rsidR="00E80359">
        <w:t xml:space="preserve">the second </w:t>
      </w:r>
      <w:r w:rsidR="00170C3D">
        <w:t>emission</w:t>
      </w:r>
      <w:r w:rsidR="08F17641">
        <w:t>s</w:t>
      </w:r>
      <w:r w:rsidR="00170C3D">
        <w:t xml:space="preserve"> budget </w:t>
      </w:r>
      <w:r w:rsidR="00097601">
        <w:t xml:space="preserve">could be met with an NZU price path rising to </w:t>
      </w:r>
      <w:r w:rsidR="00016F38">
        <w:t>$92.60 in 2030</w:t>
      </w:r>
      <w:r w:rsidR="00C635D2">
        <w:t>, in 2023 dollars</w:t>
      </w:r>
      <w:r w:rsidR="0090371A">
        <w:t xml:space="preserve"> (</w:t>
      </w:r>
      <w:r w:rsidR="005910E2">
        <w:t>$95.66 in 2024 dollars)</w:t>
      </w:r>
      <w:r w:rsidR="00016F38">
        <w:t>.</w:t>
      </w:r>
      <w:r w:rsidR="00DD11DA">
        <w:rPr>
          <w:rStyle w:val="EndnoteReference"/>
        </w:rPr>
        <w:endnoteReference w:id="20"/>
      </w:r>
      <w:r w:rsidR="00016F38">
        <w:t xml:space="preserve"> </w:t>
      </w:r>
    </w:p>
    <w:p w14:paraId="11E44347" w14:textId="0F8B5877" w:rsidR="00636DEA" w:rsidRDefault="007D3D51" w:rsidP="00820FA9">
      <w:r>
        <w:t xml:space="preserve">This </w:t>
      </w:r>
      <w:r w:rsidR="000D1152">
        <w:t>provides assurance that the</w:t>
      </w:r>
      <w:r w:rsidR="00A935A9">
        <w:t xml:space="preserve"> current CCR trigger prices are still </w:t>
      </w:r>
      <w:r w:rsidR="00107C90">
        <w:t>consistent with what</w:t>
      </w:r>
      <w:r w:rsidR="001101FE">
        <w:t xml:space="preserve"> is </w:t>
      </w:r>
      <w:r w:rsidR="00107C90">
        <w:t xml:space="preserve">needed </w:t>
      </w:r>
      <w:r w:rsidR="002B040B">
        <w:t xml:space="preserve">for </w:t>
      </w:r>
      <w:r w:rsidR="002E7B52">
        <w:t xml:space="preserve">the second </w:t>
      </w:r>
      <w:r w:rsidR="002B040B">
        <w:t>emissions budget. The</w:t>
      </w:r>
      <w:r w:rsidR="00917440">
        <w:t xml:space="preserve"> modelled </w:t>
      </w:r>
      <w:r w:rsidR="004E3BD3">
        <w:t xml:space="preserve">2030 </w:t>
      </w:r>
      <w:r w:rsidR="00917440">
        <w:t xml:space="preserve">NZU price is comfortably below the </w:t>
      </w:r>
      <w:r w:rsidR="00E0212D">
        <w:t xml:space="preserve">first </w:t>
      </w:r>
      <w:r w:rsidR="00917440">
        <w:t>trigger</w:t>
      </w:r>
      <w:r w:rsidR="00081878">
        <w:t xml:space="preserve"> price </w:t>
      </w:r>
      <w:r w:rsidR="004E3BD3">
        <w:t xml:space="preserve">applying in that year </w:t>
      </w:r>
      <w:r w:rsidR="00874580">
        <w:t>($219</w:t>
      </w:r>
      <w:r w:rsidR="00E0212D">
        <w:t>)</w:t>
      </w:r>
      <w:r w:rsidR="00F52204">
        <w:t>.</w:t>
      </w:r>
      <w:r w:rsidR="004D2CF8">
        <w:t xml:space="preserve"> There is </w:t>
      </w:r>
      <w:r w:rsidR="000767BD">
        <w:t xml:space="preserve">substantial </w:t>
      </w:r>
      <w:r w:rsidR="004D2CF8">
        <w:t>headroom</w:t>
      </w:r>
      <w:r w:rsidR="00506CE1">
        <w:t>,</w:t>
      </w:r>
      <w:r w:rsidR="004D2CF8">
        <w:t xml:space="preserve"> of over </w:t>
      </w:r>
      <w:r w:rsidR="00533FF5">
        <w:t>$120</w:t>
      </w:r>
      <w:r w:rsidR="00506CE1">
        <w:t>,</w:t>
      </w:r>
      <w:r w:rsidR="00533FF5">
        <w:t xml:space="preserve"> for the price to range higher if necessary. This is important</w:t>
      </w:r>
      <w:r w:rsidR="00506CE1">
        <w:t>,</w:t>
      </w:r>
      <w:r w:rsidR="00533FF5">
        <w:t xml:space="preserve"> </w:t>
      </w:r>
      <w:r w:rsidR="009778C2">
        <w:t xml:space="preserve">as it is unlikely that the future </w:t>
      </w:r>
      <w:r w:rsidR="00E26788">
        <w:t>will play out exactly as assumed in the modelling</w:t>
      </w:r>
      <w:r w:rsidR="007E19A4">
        <w:t>. T</w:t>
      </w:r>
      <w:r w:rsidR="00E26788">
        <w:t xml:space="preserve">here are a range of factors that could vary to make a higher </w:t>
      </w:r>
      <w:r w:rsidR="00CE09E5">
        <w:t>NZU price necessary</w:t>
      </w:r>
      <w:r w:rsidR="003A1929">
        <w:t xml:space="preserve"> </w:t>
      </w:r>
      <w:r w:rsidR="000B462A">
        <w:t>–</w:t>
      </w:r>
      <w:r w:rsidR="003A1929">
        <w:t xml:space="preserve"> </w:t>
      </w:r>
      <w:r w:rsidR="00CE09E5">
        <w:t>for example</w:t>
      </w:r>
      <w:r w:rsidR="003D4882">
        <w:t>,</w:t>
      </w:r>
      <w:r w:rsidR="00CE09E5">
        <w:t xml:space="preserve"> if fo</w:t>
      </w:r>
      <w:r w:rsidR="00A1527B">
        <w:t xml:space="preserve">ssil fuel prices </w:t>
      </w:r>
      <w:r w:rsidR="007D7B10">
        <w:t xml:space="preserve">are </w:t>
      </w:r>
      <w:r w:rsidR="002626B8">
        <w:t xml:space="preserve">lower than assumed, higher NZU prices </w:t>
      </w:r>
      <w:r w:rsidR="00301FF0">
        <w:t xml:space="preserve">would </w:t>
      </w:r>
      <w:r w:rsidR="002626B8">
        <w:t>be needed</w:t>
      </w:r>
      <w:r w:rsidR="00301FF0">
        <w:t xml:space="preserve"> to achieve the same outcome, all else being equal</w:t>
      </w:r>
      <w:r w:rsidR="002626B8">
        <w:t xml:space="preserve">. </w:t>
      </w:r>
    </w:p>
    <w:p w14:paraId="77A53710" w14:textId="35859BE7" w:rsidR="00167347" w:rsidRDefault="00FF1ED3" w:rsidP="00FA0055">
      <w:pPr>
        <w:pStyle w:val="Heading3"/>
      </w:pPr>
      <w:r>
        <w:t xml:space="preserve">NZU prices needed to meet the </w:t>
      </w:r>
      <w:r w:rsidR="00167347">
        <w:t xml:space="preserve">third emissions budget </w:t>
      </w:r>
      <w:r w:rsidR="006A7253">
        <w:t>are highly uncertain</w:t>
      </w:r>
    </w:p>
    <w:p w14:paraId="097CBB19" w14:textId="0B861155" w:rsidR="005B2C3B" w:rsidRDefault="00932EA3" w:rsidP="005B2C3B">
      <w:r>
        <w:t>L</w:t>
      </w:r>
      <w:r w:rsidR="006D1CB5">
        <w:t>ook</w:t>
      </w:r>
      <w:r>
        <w:t>ing</w:t>
      </w:r>
      <w:r w:rsidR="006D1CB5">
        <w:t xml:space="preserve"> further </w:t>
      </w:r>
      <w:r w:rsidR="00287006">
        <w:t xml:space="preserve">ahead to </w:t>
      </w:r>
      <w:r w:rsidR="006D1CB5">
        <w:t>a</w:t>
      </w:r>
      <w:r w:rsidR="00E14037">
        <w:t xml:space="preserve">ssess </w:t>
      </w:r>
      <w:r w:rsidR="00287006">
        <w:t>what</w:t>
      </w:r>
      <w:r w:rsidR="00E14037">
        <w:t xml:space="preserve"> </w:t>
      </w:r>
      <w:r w:rsidR="005B2C3B">
        <w:t xml:space="preserve">CCR price trigger levels </w:t>
      </w:r>
      <w:r w:rsidR="006D1CB5">
        <w:t xml:space="preserve">are compatible with </w:t>
      </w:r>
      <w:r w:rsidR="00517C6B">
        <w:t xml:space="preserve">meeting </w:t>
      </w:r>
      <w:r w:rsidR="005B2C3B">
        <w:t>the third emissions budget</w:t>
      </w:r>
      <w:r>
        <w:t xml:space="preserve"> is more challenging</w:t>
      </w:r>
      <w:r w:rsidR="005B2C3B">
        <w:t xml:space="preserve">. </w:t>
      </w:r>
      <w:r w:rsidR="00B67067">
        <w:t>We approached this by</w:t>
      </w:r>
      <w:r w:rsidR="00341932">
        <w:t xml:space="preserve"> examining</w:t>
      </w:r>
      <w:r w:rsidR="005B2C3B">
        <w:t xml:space="preserve">:   </w:t>
      </w:r>
    </w:p>
    <w:p w14:paraId="11225BDE" w14:textId="370A3313" w:rsidR="005B2C3B" w:rsidRDefault="00311E66" w:rsidP="006A2D03">
      <w:pPr>
        <w:pStyle w:val="BodyBullets"/>
      </w:pPr>
      <w:r>
        <w:t>how</w:t>
      </w:r>
      <w:r w:rsidR="005B2C3B">
        <w:t xml:space="preserve"> high NZU prices might need to be to meet </w:t>
      </w:r>
      <w:r w:rsidR="007F22B9">
        <w:t xml:space="preserve">the third emissions budget </w:t>
      </w:r>
      <w:r w:rsidR="005B2C3B">
        <w:t xml:space="preserve">via gross emissions reductions  </w:t>
      </w:r>
    </w:p>
    <w:p w14:paraId="6E2B0673" w14:textId="032FD403" w:rsidR="005B2C3B" w:rsidRDefault="00311E66" w:rsidP="006A2D03">
      <w:pPr>
        <w:pStyle w:val="BodyBullets"/>
      </w:pPr>
      <w:r>
        <w:lastRenderedPageBreak/>
        <w:t>how</w:t>
      </w:r>
      <w:r w:rsidR="005B2C3B">
        <w:t xml:space="preserve"> high NZU prices might need to be to meet</w:t>
      </w:r>
      <w:r w:rsidR="007F22B9">
        <w:t xml:space="preserve"> the third emissions budget</w:t>
      </w:r>
      <w:r w:rsidR="00ED1091">
        <w:t xml:space="preserve"> via </w:t>
      </w:r>
      <w:r w:rsidR="005B2C3B">
        <w:t>further afforestation</w:t>
      </w:r>
      <w:r w:rsidR="00ED1091">
        <w:t xml:space="preserve">, </w:t>
      </w:r>
      <w:r w:rsidR="005B2C3B">
        <w:t>before 2031</w:t>
      </w:r>
      <w:r w:rsidR="00ED1091">
        <w:t xml:space="preserve"> </w:t>
      </w:r>
    </w:p>
    <w:p w14:paraId="03A34977" w14:textId="6BAF6B5C" w:rsidR="005B2C3B" w:rsidRDefault="00311E66" w:rsidP="006A2D03">
      <w:pPr>
        <w:pStyle w:val="BodyBullets"/>
      </w:pPr>
      <w:r>
        <w:t xml:space="preserve">uncertainties </w:t>
      </w:r>
      <w:r w:rsidR="005B2C3B">
        <w:t xml:space="preserve">around how Government policy may evolve over time. </w:t>
      </w:r>
    </w:p>
    <w:p w14:paraId="2A460C0F" w14:textId="238CCC50" w:rsidR="005B2C3B" w:rsidRPr="005E59E0" w:rsidRDefault="004E1E0A" w:rsidP="005E59E0">
      <w:pPr>
        <w:pStyle w:val="Heading4"/>
        <w:rPr>
          <w:color w:val="2F5496"/>
        </w:rPr>
      </w:pPr>
      <w:r>
        <w:rPr>
          <w:color w:val="2F5496"/>
        </w:rPr>
        <w:t>Significantly higher</w:t>
      </w:r>
      <w:r w:rsidR="00D55F6C">
        <w:rPr>
          <w:color w:val="2F5496"/>
        </w:rPr>
        <w:t xml:space="preserve"> NZU</w:t>
      </w:r>
      <w:r>
        <w:rPr>
          <w:color w:val="2F5496"/>
        </w:rPr>
        <w:t xml:space="preserve"> prices </w:t>
      </w:r>
      <w:r w:rsidR="00B72A27">
        <w:rPr>
          <w:color w:val="2F5496"/>
        </w:rPr>
        <w:t xml:space="preserve">are likely </w:t>
      </w:r>
      <w:r>
        <w:rPr>
          <w:color w:val="2F5496"/>
        </w:rPr>
        <w:t xml:space="preserve">needed to </w:t>
      </w:r>
      <w:r w:rsidR="004B6E01">
        <w:rPr>
          <w:color w:val="2F5496"/>
        </w:rPr>
        <w:t>reduce gross emission</w:t>
      </w:r>
      <w:r w:rsidR="00AE4641">
        <w:rPr>
          <w:color w:val="2F5496"/>
        </w:rPr>
        <w:t xml:space="preserve">s to </w:t>
      </w:r>
      <w:r>
        <w:rPr>
          <w:color w:val="2F5496"/>
        </w:rPr>
        <w:t xml:space="preserve">meet </w:t>
      </w:r>
      <w:r w:rsidR="002E7B52">
        <w:rPr>
          <w:color w:val="2F5496"/>
        </w:rPr>
        <w:t xml:space="preserve">the third </w:t>
      </w:r>
      <w:r w:rsidR="005B2C3B" w:rsidRPr="005E59E0">
        <w:rPr>
          <w:color w:val="2F5496"/>
        </w:rPr>
        <w:t xml:space="preserve">emissions budget </w:t>
      </w:r>
    </w:p>
    <w:p w14:paraId="233E35A4" w14:textId="64207C04" w:rsidR="00346DBA" w:rsidRDefault="00AD7660" w:rsidP="005B2C3B">
      <w:r>
        <w:t>Reducing gross emissions</w:t>
      </w:r>
      <w:r w:rsidR="00054B79">
        <w:t xml:space="preserve"> will be the only option available to</w:t>
      </w:r>
      <w:r w:rsidR="003B4312">
        <w:t xml:space="preserve"> meet the third emissions budget, if </w:t>
      </w:r>
      <w:r w:rsidR="00AB4FD8">
        <w:t xml:space="preserve">the </w:t>
      </w:r>
      <w:r w:rsidR="00414A0A">
        <w:t>G</w:t>
      </w:r>
      <w:r w:rsidR="00AB4FD8">
        <w:t xml:space="preserve">overnment’s </w:t>
      </w:r>
      <w:r w:rsidR="0042765D">
        <w:t xml:space="preserve">latest </w:t>
      </w:r>
      <w:r w:rsidR="003B4312">
        <w:t xml:space="preserve">emissions </w:t>
      </w:r>
      <w:r w:rsidR="0042765D">
        <w:t>projections play out</w:t>
      </w:r>
      <w:r w:rsidR="008C334A">
        <w:t xml:space="preserve"> in </w:t>
      </w:r>
      <w:r w:rsidR="0042765D">
        <w:t>reality.</w:t>
      </w:r>
      <w:r w:rsidR="003B4312">
        <w:t xml:space="preserve"> </w:t>
      </w:r>
      <w:r w:rsidR="00634D40">
        <w:t xml:space="preserve">In other words, if by 2031 </w:t>
      </w:r>
      <w:r w:rsidR="00A14A29">
        <w:t>emissions are still projected to be above the budget level</w:t>
      </w:r>
      <w:r w:rsidR="004A5124">
        <w:t xml:space="preserve">, it will be too late for further afforestation to assist due to the lag between </w:t>
      </w:r>
      <w:r w:rsidR="007B758D">
        <w:t>planting and new forests delivering material sequestration.</w:t>
      </w:r>
      <w:r w:rsidR="00293D73">
        <w:t xml:space="preserve"> In this case, the CCR </w:t>
      </w:r>
      <w:r w:rsidR="00087CEE">
        <w:t>would</w:t>
      </w:r>
      <w:r w:rsidR="00293D73">
        <w:t xml:space="preserve"> need to be high enough to allow for NZU prices </w:t>
      </w:r>
      <w:r w:rsidR="00584309">
        <w:t>that can drive</w:t>
      </w:r>
      <w:r w:rsidR="00F85585">
        <w:t xml:space="preserve"> decarbonisation</w:t>
      </w:r>
      <w:r w:rsidR="00293D73">
        <w:t>.</w:t>
      </w:r>
    </w:p>
    <w:p w14:paraId="63E103AC" w14:textId="0B0EE94B" w:rsidR="005B2C3B" w:rsidRDefault="005B2C3B" w:rsidP="005B2C3B">
      <w:r>
        <w:t xml:space="preserve">To develop evidence on this issue, </w:t>
      </w:r>
      <w:r w:rsidR="00B76F90">
        <w:t xml:space="preserve">we </w:t>
      </w:r>
      <w:r>
        <w:t>work</w:t>
      </w:r>
      <w:r w:rsidR="00B76F90">
        <w:t>ed</w:t>
      </w:r>
      <w:r>
        <w:t xml:space="preserve"> with Concept Consulting </w:t>
      </w:r>
      <w:r w:rsidR="00B76F90">
        <w:t>who</w:t>
      </w:r>
      <w:r>
        <w:t xml:space="preserve"> modelled scenarios </w:t>
      </w:r>
      <w:r w:rsidR="00730D4D">
        <w:t xml:space="preserve">with the </w:t>
      </w:r>
      <w:r>
        <w:t xml:space="preserve">ENZ </w:t>
      </w:r>
      <w:r w:rsidR="00730D4D">
        <w:t xml:space="preserve">model </w:t>
      </w:r>
      <w:r>
        <w:t xml:space="preserve">to generate the shadow prices to meet </w:t>
      </w:r>
      <w:r w:rsidR="003869E4">
        <w:t>the third</w:t>
      </w:r>
      <w:r>
        <w:t xml:space="preserve"> emissions budget through gross </w:t>
      </w:r>
      <w:r w:rsidR="00320738">
        <w:t xml:space="preserve">emissions </w:t>
      </w:r>
      <w:r>
        <w:t>reductions</w:t>
      </w:r>
      <w:r w:rsidR="00694F0F">
        <w:t xml:space="preserve">. The scenarios were </w:t>
      </w:r>
      <w:r>
        <w:t xml:space="preserve">based on the </w:t>
      </w:r>
      <w:r w:rsidR="00496F95">
        <w:t xml:space="preserve">second emissions reduction plan policies </w:t>
      </w:r>
      <w:r>
        <w:t>and assumptions</w:t>
      </w:r>
      <w:r w:rsidR="00496F95">
        <w:t>.</w:t>
      </w:r>
      <w:r w:rsidR="0097605C">
        <w:t xml:space="preserve"> We</w:t>
      </w:r>
      <w:r w:rsidR="00954879">
        <w:t xml:space="preserve"> varied different parameters to t</w:t>
      </w:r>
      <w:r w:rsidR="0097605C">
        <w:t>est the effects of uncertain factors</w:t>
      </w:r>
      <w:r w:rsidR="00C81344">
        <w:t xml:space="preserve"> </w:t>
      </w:r>
      <w:r w:rsidR="0097605C">
        <w:t xml:space="preserve">such as </w:t>
      </w:r>
      <w:r w:rsidR="00C81344">
        <w:t xml:space="preserve">baseline activity, </w:t>
      </w:r>
      <w:r w:rsidR="008972E2">
        <w:t>the costs of reducing emissions</w:t>
      </w:r>
      <w:r w:rsidR="00C81344">
        <w:t xml:space="preserve">, and </w:t>
      </w:r>
      <w:r w:rsidR="000F687B">
        <w:t>G</w:t>
      </w:r>
      <w:r w:rsidR="00C81344">
        <w:t xml:space="preserve">overnment policies </w:t>
      </w:r>
      <w:r w:rsidR="00320738">
        <w:t>affecting NZ ETS sectors</w:t>
      </w:r>
      <w:r>
        <w:t xml:space="preserve">. </w:t>
      </w:r>
      <w:r w:rsidR="00954879">
        <w:t xml:space="preserve">More detail on the modelling can </w:t>
      </w:r>
      <w:r w:rsidR="00954879" w:rsidRPr="00EA713B">
        <w:t xml:space="preserve">be </w:t>
      </w:r>
      <w:r w:rsidR="00EB1E61" w:rsidRPr="00EA713B">
        <w:t xml:space="preserve">found in </w:t>
      </w:r>
      <w:r w:rsidR="00EB1E61" w:rsidRPr="00EA713B">
        <w:rPr>
          <w:i/>
          <w:iCs/>
        </w:rPr>
        <w:t>Technical Annex 2: Price control</w:t>
      </w:r>
      <w:r w:rsidR="005A5776" w:rsidRPr="00EA713B">
        <w:rPr>
          <w:i/>
          <w:iCs/>
        </w:rPr>
        <w:t xml:space="preserve"> setting</w:t>
      </w:r>
      <w:r w:rsidR="00B67067" w:rsidRPr="00EA713B">
        <w:rPr>
          <w:i/>
          <w:iCs/>
        </w:rPr>
        <w:t>s</w:t>
      </w:r>
      <w:r w:rsidR="00EB1E61" w:rsidRPr="00EA713B">
        <w:t>.</w:t>
      </w:r>
      <w:r w:rsidR="00EB1E61">
        <w:t xml:space="preserve"> </w:t>
      </w:r>
    </w:p>
    <w:p w14:paraId="2AC3D5EE" w14:textId="04E70EC8" w:rsidR="00613BBC" w:rsidRDefault="00613BBC" w:rsidP="00613BBC">
      <w:r>
        <w:t>The shadow prices generated by ENZ can shed light on the NZU prices required</w:t>
      </w:r>
      <w:r w:rsidR="00AB5F55">
        <w:t xml:space="preserve">. We note, however, that </w:t>
      </w:r>
      <w:r w:rsidR="008C6665">
        <w:t xml:space="preserve">this type of modelling does not </w:t>
      </w:r>
      <w:r w:rsidR="00407DC5">
        <w:t xml:space="preserve">incorporate </w:t>
      </w:r>
      <w:r w:rsidR="00EA2B3F">
        <w:t xml:space="preserve">the </w:t>
      </w:r>
      <w:r>
        <w:t xml:space="preserve">dynamics present in the </w:t>
      </w:r>
      <w:r w:rsidR="009B2D8D">
        <w:br/>
      </w:r>
      <w:r>
        <w:t>NZ ETS</w:t>
      </w:r>
      <w:r w:rsidR="008C6665">
        <w:t xml:space="preserve"> market</w:t>
      </w:r>
      <w:r>
        <w:t xml:space="preserve">. </w:t>
      </w:r>
      <w:r w:rsidR="00331205">
        <w:t>That is to say</w:t>
      </w:r>
      <w:r w:rsidR="00321C24">
        <w:t xml:space="preserve">, </w:t>
      </w:r>
      <w:r>
        <w:t>the shadow prices from these scenarios give an indication of the NZU prices needed, but no indication of whether the NZ ETS can</w:t>
      </w:r>
      <w:r w:rsidR="00EE20BC">
        <w:t>,</w:t>
      </w:r>
      <w:r w:rsidR="004B6E01">
        <w:t xml:space="preserve"> or will</w:t>
      </w:r>
      <w:r w:rsidR="00EE20BC">
        <w:t>,</w:t>
      </w:r>
      <w:r w:rsidR="004B6E01">
        <w:t xml:space="preserve"> </w:t>
      </w:r>
      <w:r>
        <w:t xml:space="preserve">deliver these prices.    </w:t>
      </w:r>
    </w:p>
    <w:p w14:paraId="4A56D059" w14:textId="657CA80D" w:rsidR="005B2C3B" w:rsidRPr="005477F6" w:rsidRDefault="00CE71BE" w:rsidP="005477F6">
      <w:pPr>
        <w:pStyle w:val="Heading5"/>
        <w:rPr>
          <w:color w:val="2F5496"/>
        </w:rPr>
      </w:pPr>
      <w:r>
        <w:rPr>
          <w:color w:val="2F5496"/>
        </w:rPr>
        <w:t xml:space="preserve">Testing </w:t>
      </w:r>
      <w:r w:rsidR="005B2C3B" w:rsidRPr="005477F6">
        <w:rPr>
          <w:color w:val="2F5496"/>
        </w:rPr>
        <w:t>policy uncertainty</w:t>
      </w:r>
    </w:p>
    <w:p w14:paraId="6C717698" w14:textId="14C524CE" w:rsidR="00A86A37" w:rsidRDefault="00A86A37" w:rsidP="00A86A37">
      <w:r>
        <w:t xml:space="preserve">To explore policy uncertainty, we modelled scenarios which varied the </w:t>
      </w:r>
      <w:r w:rsidR="4D99ED1C">
        <w:t>assumed</w:t>
      </w:r>
      <w:r>
        <w:t xml:space="preserve"> supply of electric vehicles (EVs). </w:t>
      </w:r>
      <w:r w:rsidR="2C961D87">
        <w:t>This</w:t>
      </w:r>
      <w:r w:rsidR="2F88A321">
        <w:t xml:space="preserve"> assumption</w:t>
      </w:r>
      <w:r w:rsidR="2C961D87">
        <w:t xml:space="preserve"> represents constraints on EV </w:t>
      </w:r>
      <w:r w:rsidR="00BB37ED">
        <w:t xml:space="preserve">supply chains and </w:t>
      </w:r>
      <w:r w:rsidR="2C961D87">
        <w:t>imports</w:t>
      </w:r>
      <w:r w:rsidR="00FD445F">
        <w:t xml:space="preserve">, that is, the constraint on the amount of EVs entering the country </w:t>
      </w:r>
      <w:r w:rsidR="00BB37ED">
        <w:t>so that they are available to New Zealanders for purchase</w:t>
      </w:r>
      <w:r w:rsidR="2C961D87">
        <w:t xml:space="preserve">. </w:t>
      </w:r>
      <w:r>
        <w:t>The more constrained</w:t>
      </w:r>
      <w:r w:rsidR="001249D3">
        <w:t xml:space="preserve"> the</w:t>
      </w:r>
      <w:r>
        <w:t xml:space="preserve"> EV supply, the lower the rate </w:t>
      </w:r>
      <w:r w:rsidR="00831931">
        <w:t xml:space="preserve">at which </w:t>
      </w:r>
      <w:r>
        <w:t>EVs will replace higher emitting vehicles</w:t>
      </w:r>
      <w:r w:rsidR="008C03DA">
        <w:t xml:space="preserve">. This would </w:t>
      </w:r>
      <w:r w:rsidR="008037A1">
        <w:t xml:space="preserve">lead to </w:t>
      </w:r>
      <w:r w:rsidR="00A323E2">
        <w:t>higher transport emissions</w:t>
      </w:r>
      <w:r w:rsidR="008C03DA">
        <w:t xml:space="preserve">, requiring </w:t>
      </w:r>
      <w:r w:rsidR="00A323E2">
        <w:t xml:space="preserve">the NZ ETS to drive greater </w:t>
      </w:r>
      <w:r w:rsidR="00640E09">
        <w:t xml:space="preserve">reductions from other sectors.  </w:t>
      </w:r>
    </w:p>
    <w:p w14:paraId="34F8287C" w14:textId="52B075A0" w:rsidR="00F14467" w:rsidRDefault="008F19B7" w:rsidP="005B2C3B">
      <w:r>
        <w:t>We chose this factor to vary as</w:t>
      </w:r>
      <w:r w:rsidR="00016B48">
        <w:t xml:space="preserve"> </w:t>
      </w:r>
      <w:r w:rsidR="004E61BC">
        <w:t xml:space="preserve">a </w:t>
      </w:r>
      <w:r w:rsidR="00422860">
        <w:t>proxy</w:t>
      </w:r>
      <w:r w:rsidR="006D26EF">
        <w:t xml:space="preserve"> to </w:t>
      </w:r>
      <w:r w:rsidR="00422860">
        <w:t xml:space="preserve">represent policy </w:t>
      </w:r>
      <w:r w:rsidR="006D26EF">
        <w:t>uncertainty</w:t>
      </w:r>
      <w:r w:rsidR="004E61BC">
        <w:t xml:space="preserve">. </w:t>
      </w:r>
      <w:r w:rsidR="001A6720">
        <w:t>Reasons</w:t>
      </w:r>
      <w:r w:rsidR="004E61BC">
        <w:t xml:space="preserve"> </w:t>
      </w:r>
      <w:r w:rsidR="00992D1A">
        <w:t>for this include that</w:t>
      </w:r>
      <w:r w:rsidR="00016B48">
        <w:t xml:space="preserve"> </w:t>
      </w:r>
      <w:r w:rsidR="00D43FAA">
        <w:t xml:space="preserve">transport is </w:t>
      </w:r>
      <w:r w:rsidR="00C34046">
        <w:t>a</w:t>
      </w:r>
      <w:r w:rsidR="00D43FAA">
        <w:t xml:space="preserve"> key sector </w:t>
      </w:r>
      <w:r w:rsidR="009E0818">
        <w:t xml:space="preserve">where </w:t>
      </w:r>
      <w:r w:rsidR="005F6C41">
        <w:t xml:space="preserve">emissions </w:t>
      </w:r>
      <w:r w:rsidR="00D43FAA">
        <w:t xml:space="preserve">are </w:t>
      </w:r>
      <w:r w:rsidR="00C34046">
        <w:t xml:space="preserve">likely to be </w:t>
      </w:r>
      <w:r w:rsidR="00D43FAA">
        <w:t xml:space="preserve">material </w:t>
      </w:r>
      <w:r w:rsidR="00C34046">
        <w:t>to whether</w:t>
      </w:r>
      <w:r w:rsidR="00016B48">
        <w:t xml:space="preserve"> </w:t>
      </w:r>
      <w:r w:rsidR="005056A2">
        <w:t xml:space="preserve">the </w:t>
      </w:r>
      <w:r w:rsidR="000852AF">
        <w:t>third emissions budget is met</w:t>
      </w:r>
      <w:r w:rsidR="00E861FF">
        <w:t>.</w:t>
      </w:r>
      <w:r w:rsidR="00715D75">
        <w:t xml:space="preserve"> EV uptake rates </w:t>
      </w:r>
      <w:r w:rsidR="00153FAA">
        <w:t xml:space="preserve">will be an important determinant of transport emissions </w:t>
      </w:r>
      <w:r w:rsidR="003806C6">
        <w:t>for that period</w:t>
      </w:r>
      <w:r w:rsidR="004905CE">
        <w:t xml:space="preserve">, and </w:t>
      </w:r>
      <w:r w:rsidR="00DD22B5">
        <w:t>different</w:t>
      </w:r>
      <w:r w:rsidR="001051AF">
        <w:t xml:space="preserve"> uptake rates </w:t>
      </w:r>
      <w:r w:rsidR="009F2C3F">
        <w:t>are</w:t>
      </w:r>
      <w:r w:rsidR="00E5409C">
        <w:t xml:space="preserve"> expected to have a large </w:t>
      </w:r>
      <w:r w:rsidR="009F2C3F">
        <w:t xml:space="preserve">effect on the </w:t>
      </w:r>
      <w:r w:rsidR="00AF2203">
        <w:t xml:space="preserve">emissions </w:t>
      </w:r>
      <w:r w:rsidR="005F6C41">
        <w:t>price needed</w:t>
      </w:r>
      <w:r w:rsidR="00AF2203">
        <w:t xml:space="preserve"> in the NZ ETS to drive emissions reductions in other, non-transport sectors (</w:t>
      </w:r>
      <w:r w:rsidR="004F70B7">
        <w:t>such as</w:t>
      </w:r>
      <w:r w:rsidR="00AF2203">
        <w:t xml:space="preserve"> industrial heat)</w:t>
      </w:r>
      <w:r w:rsidR="000852AF">
        <w:t>.</w:t>
      </w:r>
      <w:r w:rsidR="005F6C41">
        <w:t xml:space="preserve"> </w:t>
      </w:r>
      <w:r w:rsidR="00861FD6">
        <w:t xml:space="preserve">In addition, </w:t>
      </w:r>
      <w:r w:rsidR="00D01824">
        <w:t>t</w:t>
      </w:r>
      <w:r w:rsidR="00540B73">
        <w:t xml:space="preserve">he EV market is thought to be relatively unresponsive to price signals from the </w:t>
      </w:r>
      <w:r w:rsidR="003806C6">
        <w:t xml:space="preserve">NZ ETS, </w:t>
      </w:r>
      <w:r w:rsidR="00FD41EB">
        <w:t>but</w:t>
      </w:r>
      <w:r w:rsidR="003806C6">
        <w:t xml:space="preserve"> there is</w:t>
      </w:r>
      <w:r w:rsidR="00540B73">
        <w:t xml:space="preserve"> </w:t>
      </w:r>
      <w:r w:rsidR="00FD41EB">
        <w:t>uncertainty about this</w:t>
      </w:r>
      <w:r w:rsidR="004D2B24">
        <w:t xml:space="preserve">. </w:t>
      </w:r>
      <w:r w:rsidR="001F5606">
        <w:t xml:space="preserve">It is </w:t>
      </w:r>
      <w:r w:rsidR="00902671">
        <w:t>also</w:t>
      </w:r>
      <w:r w:rsidR="00861FD6">
        <w:t xml:space="preserve"> an area where </w:t>
      </w:r>
      <w:r w:rsidR="006F044F">
        <w:t>complementary policy, beyond what i</w:t>
      </w:r>
      <w:r w:rsidR="009468E5">
        <w:t>s</w:t>
      </w:r>
      <w:r w:rsidR="006F044F">
        <w:t xml:space="preserve"> included in the second emissions reduction plan</w:t>
      </w:r>
      <w:r w:rsidR="00DD4DAE">
        <w:t xml:space="preserve">, </w:t>
      </w:r>
      <w:r w:rsidR="009468E5">
        <w:t xml:space="preserve">has </w:t>
      </w:r>
      <w:r w:rsidR="000B063F">
        <w:t>clear</w:t>
      </w:r>
      <w:r w:rsidR="00242000">
        <w:t xml:space="preserve"> </w:t>
      </w:r>
      <w:r w:rsidR="009468E5">
        <w:t xml:space="preserve">potential </w:t>
      </w:r>
      <w:r w:rsidR="00242000">
        <w:t xml:space="preserve">to deliver </w:t>
      </w:r>
      <w:r w:rsidR="00F4669C">
        <w:t xml:space="preserve">further </w:t>
      </w:r>
      <w:r w:rsidR="00912207">
        <w:t xml:space="preserve">emissions </w:t>
      </w:r>
      <w:r w:rsidR="00DE0101">
        <w:t xml:space="preserve">reductions </w:t>
      </w:r>
      <w:r w:rsidR="005714D4">
        <w:t xml:space="preserve">– </w:t>
      </w:r>
      <w:r w:rsidR="00F4669C">
        <w:t>which are unlikely to occur through emissions pricing alon</w:t>
      </w:r>
      <w:r w:rsidR="00E141F6">
        <w:t>e</w:t>
      </w:r>
      <w:r w:rsidR="00F4669C">
        <w:t>.</w:t>
      </w:r>
      <w:r w:rsidR="00861FD6">
        <w:t xml:space="preserve"> </w:t>
      </w:r>
    </w:p>
    <w:p w14:paraId="59BD65D7" w14:textId="5F60BCD6" w:rsidR="00A27CA7" w:rsidRDefault="008F1FDB" w:rsidP="005B2C3B">
      <w:r>
        <w:lastRenderedPageBreak/>
        <w:t>Finally,</w:t>
      </w:r>
      <w:r w:rsidR="005F7BA4">
        <w:t xml:space="preserve"> the second emissions reduction plan set out clearly that the Government’s policy approach </w:t>
      </w:r>
      <w:r w:rsidR="0044376E">
        <w:t>is</w:t>
      </w:r>
      <w:r w:rsidR="005F7BA4">
        <w:t xml:space="preserve"> to focus on the NZ ETS </w:t>
      </w:r>
      <w:r w:rsidR="00D81496">
        <w:t xml:space="preserve">as the main tool </w:t>
      </w:r>
      <w:r w:rsidR="00865568">
        <w:t>to reduce emissions</w:t>
      </w:r>
      <w:r w:rsidR="00B12D75">
        <w:t xml:space="preserve">. </w:t>
      </w:r>
      <w:r w:rsidR="00B12D75" w:rsidRPr="00B12D75">
        <w:t>As relatively few complementary policies are expected to be implemented as part of the plan, we took a more limited approach to testing the impact of such policies.</w:t>
      </w:r>
      <w:r w:rsidR="00B12D75">
        <w:t xml:space="preserve"> </w:t>
      </w:r>
    </w:p>
    <w:p w14:paraId="2280982E" w14:textId="5E19ED11" w:rsidR="005B2C3B" w:rsidRDefault="00161E0C" w:rsidP="005B2C3B">
      <w:r>
        <w:t>We modelled high, central and low EV constraint scenarios</w:t>
      </w:r>
      <w:r w:rsidR="001E5F63">
        <w:t xml:space="preserve">. </w:t>
      </w:r>
      <w:r w:rsidR="00B635DE">
        <w:t>The two scenarios relevant for inform</w:t>
      </w:r>
      <w:r w:rsidR="00FA069E">
        <w:t xml:space="preserve">ing </w:t>
      </w:r>
      <w:r w:rsidR="00B635DE">
        <w:t>the CCR are those with the high and central EV constraints</w:t>
      </w:r>
      <w:r w:rsidR="00A406FF">
        <w:t xml:space="preserve">, as these are </w:t>
      </w:r>
      <w:r w:rsidR="003F3917">
        <w:t xml:space="preserve">the scenarios that give the </w:t>
      </w:r>
      <w:r w:rsidR="00751FB2">
        <w:t xml:space="preserve">high- and mid-range </w:t>
      </w:r>
      <w:r w:rsidR="003F3917">
        <w:t xml:space="preserve">emissions </w:t>
      </w:r>
      <w:r w:rsidR="00751FB2">
        <w:t>prices</w:t>
      </w:r>
      <w:r w:rsidR="00B635DE">
        <w:t xml:space="preserve">. </w:t>
      </w:r>
      <w:r w:rsidR="003C5C94">
        <w:t>These resulted in</w:t>
      </w:r>
      <w:r w:rsidR="00C80607">
        <w:t xml:space="preserve"> modelled </w:t>
      </w:r>
      <w:r w:rsidR="003C5C94">
        <w:t xml:space="preserve">shadow prices of $350 and </w:t>
      </w:r>
      <w:r w:rsidR="00C80607">
        <w:t xml:space="preserve">$250 in 2035 respectively. </w:t>
      </w:r>
      <w:r w:rsidR="005B2C3B">
        <w:t xml:space="preserve">The results are displayed in </w:t>
      </w:r>
      <w:r w:rsidR="005B2C3B" w:rsidRPr="00C65D5D">
        <w:rPr>
          <w:b/>
          <w:bCs/>
        </w:rPr>
        <w:t xml:space="preserve">Figure </w:t>
      </w:r>
      <w:r w:rsidR="00DB6BB5" w:rsidRPr="00C65D5D">
        <w:rPr>
          <w:b/>
          <w:bCs/>
        </w:rPr>
        <w:t>4.1</w:t>
      </w:r>
      <w:r w:rsidR="005B2C3B" w:rsidRPr="006948F8">
        <w:t>.</w:t>
      </w:r>
    </w:p>
    <w:p w14:paraId="3CA56846" w14:textId="48078F46" w:rsidR="005215C7" w:rsidRDefault="005215C7" w:rsidP="005B2C3B">
      <w:r>
        <w:t>The</w:t>
      </w:r>
      <w:r w:rsidR="00AE01DB">
        <w:t>se</w:t>
      </w:r>
      <w:r>
        <w:t xml:space="preserve"> results indicate that the current CCR levels may not </w:t>
      </w:r>
      <w:r w:rsidR="0096141D">
        <w:t>be</w:t>
      </w:r>
      <w:r>
        <w:t xml:space="preserve"> high </w:t>
      </w:r>
      <w:r w:rsidR="008415BD">
        <w:t>enough.</w:t>
      </w:r>
      <w:r>
        <w:t xml:space="preserve"> In particular, the central scenario’s price path is very close to the lower tier of the CCR, and the high EV constraint gives a price path above the top tier of the CCR. </w:t>
      </w:r>
    </w:p>
    <w:p w14:paraId="32E9511F" w14:textId="77777777" w:rsidR="00194BE7" w:rsidRDefault="005B2C3B" w:rsidP="00194BE7">
      <w:pPr>
        <w:pStyle w:val="FigureTabletitle"/>
        <w:rPr>
          <w:lang w:val="en-US"/>
        </w:rPr>
      </w:pPr>
      <w:r w:rsidRPr="002C7EE9">
        <w:rPr>
          <w:lang w:val="en-US"/>
        </w:rPr>
        <w:t xml:space="preserve">Figure </w:t>
      </w:r>
      <w:r w:rsidR="002726EF" w:rsidRPr="002C7EE9">
        <w:rPr>
          <w:lang w:val="en-US"/>
        </w:rPr>
        <w:t>4.1</w:t>
      </w:r>
      <w:r w:rsidRPr="002C7EE9">
        <w:rPr>
          <w:lang w:val="en-US"/>
        </w:rPr>
        <w:t xml:space="preserve">: </w:t>
      </w:r>
      <w:r w:rsidRPr="00194BE7">
        <w:rPr>
          <w:b w:val="0"/>
          <w:bCs w:val="0"/>
          <w:lang w:val="en-US"/>
        </w:rPr>
        <w:t>ENZ modelled shadow emissions prices needed to</w:t>
      </w:r>
      <w:r w:rsidR="00C45335" w:rsidRPr="00194BE7">
        <w:rPr>
          <w:b w:val="0"/>
          <w:bCs w:val="0"/>
          <w:lang w:val="en-US"/>
        </w:rPr>
        <w:t xml:space="preserve"> reduce gross emissions to the </w:t>
      </w:r>
      <w:r w:rsidR="00BE345C" w:rsidRPr="00194BE7">
        <w:rPr>
          <w:b w:val="0"/>
          <w:bCs w:val="0"/>
          <w:lang w:val="en-US"/>
        </w:rPr>
        <w:t xml:space="preserve">levels required by the third </w:t>
      </w:r>
      <w:r w:rsidR="00664D36" w:rsidRPr="00194BE7">
        <w:rPr>
          <w:b w:val="0"/>
          <w:bCs w:val="0"/>
          <w:lang w:val="en-US"/>
        </w:rPr>
        <w:t>emissions budget</w:t>
      </w:r>
      <w:r w:rsidR="00C45335" w:rsidRPr="00194BE7">
        <w:rPr>
          <w:b w:val="0"/>
          <w:bCs w:val="0"/>
          <w:lang w:val="en-US"/>
        </w:rPr>
        <w:t xml:space="preserve">, </w:t>
      </w:r>
      <w:r w:rsidRPr="00194BE7">
        <w:rPr>
          <w:b w:val="0"/>
          <w:bCs w:val="0"/>
          <w:lang w:val="en-US"/>
        </w:rPr>
        <w:t xml:space="preserve">under different </w:t>
      </w:r>
      <w:r w:rsidR="00664D36" w:rsidRPr="00194BE7">
        <w:rPr>
          <w:b w:val="0"/>
          <w:bCs w:val="0"/>
          <w:lang w:val="en-US"/>
        </w:rPr>
        <w:t xml:space="preserve">EV </w:t>
      </w:r>
      <w:r w:rsidRPr="00194BE7">
        <w:rPr>
          <w:b w:val="0"/>
          <w:bCs w:val="0"/>
          <w:lang w:val="en-US"/>
        </w:rPr>
        <w:t>constraint</w:t>
      </w:r>
      <w:r w:rsidR="00C45335" w:rsidRPr="00194BE7">
        <w:rPr>
          <w:b w:val="0"/>
          <w:bCs w:val="0"/>
          <w:lang w:val="en-US"/>
        </w:rPr>
        <w:t>s</w:t>
      </w:r>
    </w:p>
    <w:p w14:paraId="4BA653F1" w14:textId="55E4504C" w:rsidR="005B2C3B" w:rsidRDefault="00875B6A" w:rsidP="00922A74">
      <w:r w:rsidRPr="00875B6A">
        <w:rPr>
          <w:noProof/>
        </w:rPr>
        <w:drawing>
          <wp:inline distT="0" distB="0" distL="0" distR="0" wp14:anchorId="14D82D09" wp14:editId="409E5CEE">
            <wp:extent cx="5759450" cy="3018790"/>
            <wp:effectExtent l="0" t="0" r="0" b="0"/>
            <wp:docPr id="1580057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018790"/>
                    </a:xfrm>
                    <a:prstGeom prst="rect">
                      <a:avLst/>
                    </a:prstGeom>
                    <a:noFill/>
                    <a:ln>
                      <a:noFill/>
                    </a:ln>
                  </pic:spPr>
                </pic:pic>
              </a:graphicData>
            </a:graphic>
          </wp:inline>
        </w:drawing>
      </w:r>
    </w:p>
    <w:p w14:paraId="0E62009D" w14:textId="2FDA6F05" w:rsidR="00922A74" w:rsidRPr="005B156E" w:rsidRDefault="0038397F" w:rsidP="00922A74">
      <w:pPr>
        <w:rPr>
          <w:sz w:val="20"/>
          <w:szCs w:val="20"/>
        </w:rPr>
      </w:pPr>
      <w:r w:rsidRPr="11B6A7B3">
        <w:rPr>
          <w:sz w:val="20"/>
          <w:szCs w:val="20"/>
        </w:rPr>
        <w:t xml:space="preserve">Source: </w:t>
      </w:r>
      <w:r w:rsidR="27520ED8" w:rsidRPr="11B6A7B3">
        <w:rPr>
          <w:sz w:val="20"/>
          <w:szCs w:val="20"/>
        </w:rPr>
        <w:t>Concept Consulting analysis</w:t>
      </w:r>
    </w:p>
    <w:p w14:paraId="5F004D67" w14:textId="35D38354" w:rsidR="005B2C3B" w:rsidRPr="005477F6" w:rsidRDefault="00CE71BE" w:rsidP="005477F6">
      <w:pPr>
        <w:pStyle w:val="Heading5"/>
        <w:rPr>
          <w:color w:val="2F5496"/>
        </w:rPr>
      </w:pPr>
      <w:r>
        <w:rPr>
          <w:color w:val="2F5496"/>
        </w:rPr>
        <w:t xml:space="preserve">Testing </w:t>
      </w:r>
      <w:r w:rsidR="005B2C3B" w:rsidRPr="005477F6">
        <w:rPr>
          <w:color w:val="2F5496"/>
        </w:rPr>
        <w:t xml:space="preserve">uncertainties affecting baseline emissions </w:t>
      </w:r>
    </w:p>
    <w:p w14:paraId="18783E9D" w14:textId="53C4D247" w:rsidR="00AD6817" w:rsidRDefault="005B2C3B" w:rsidP="005B2C3B">
      <w:r>
        <w:t>We also explored the impact of</w:t>
      </w:r>
      <w:r w:rsidR="00CD1E80">
        <w:t xml:space="preserve"> baseline emissions </w:t>
      </w:r>
      <w:r>
        <w:t>uncertaint</w:t>
      </w:r>
      <w:r w:rsidR="00CD1E80">
        <w:t>y</w:t>
      </w:r>
      <w:r>
        <w:t>, through scenarios varying baseline emissions assumptions</w:t>
      </w:r>
      <w:r w:rsidR="00936802">
        <w:t xml:space="preserve"> –</w:t>
      </w:r>
      <w:r w:rsidR="00764833">
        <w:t xml:space="preserve"> such as those about </w:t>
      </w:r>
      <w:r>
        <w:t xml:space="preserve">GDP, population growth, fossil </w:t>
      </w:r>
      <w:r w:rsidR="00764833">
        <w:t xml:space="preserve">fuel prices, </w:t>
      </w:r>
      <w:r w:rsidR="00AD6817">
        <w:t xml:space="preserve">battery costs and so on. </w:t>
      </w:r>
      <w:r>
        <w:t xml:space="preserve">The value of these scenarios was in the insights they gave about the key external uncertainties, mostly outside of the Government’s control, that could affect the NZU prices needed to meet </w:t>
      </w:r>
      <w:r w:rsidR="00AD6817">
        <w:t xml:space="preserve">the third </w:t>
      </w:r>
      <w:r>
        <w:t>emissions budget</w:t>
      </w:r>
      <w:r w:rsidR="00AD6817">
        <w:t xml:space="preserve">. </w:t>
      </w:r>
    </w:p>
    <w:p w14:paraId="6F514228" w14:textId="61ED3915" w:rsidR="005B2C3B" w:rsidRDefault="005B2C3B" w:rsidP="005B2C3B">
      <w:r>
        <w:t xml:space="preserve">The key insight from the development of these scenarios was that over the period </w:t>
      </w:r>
      <w:r w:rsidR="00296645">
        <w:t>to 2035</w:t>
      </w:r>
      <w:r>
        <w:t xml:space="preserve">, the modelled shadow price was most sensitive to fossil gas prices. High </w:t>
      </w:r>
      <w:r w:rsidR="002F17A9">
        <w:t xml:space="preserve">fossil </w:t>
      </w:r>
      <w:r>
        <w:t xml:space="preserve">gas prices significantly reduced the emissions price needed to meet </w:t>
      </w:r>
      <w:r w:rsidR="0091153E">
        <w:t xml:space="preserve">the third </w:t>
      </w:r>
      <w:r>
        <w:t xml:space="preserve">emissions budget; conversely, low </w:t>
      </w:r>
      <w:r w:rsidR="000C435A">
        <w:t>fossil</w:t>
      </w:r>
      <w:r>
        <w:t xml:space="preserve"> gas prices increase</w:t>
      </w:r>
      <w:r w:rsidR="00D113F6">
        <w:t>d</w:t>
      </w:r>
      <w:r>
        <w:t xml:space="preserve"> it</w:t>
      </w:r>
      <w:r w:rsidR="00D113F6">
        <w:t xml:space="preserve"> considerably</w:t>
      </w:r>
      <w:r>
        <w:t>. The other factors varied had more impact over the longer term</w:t>
      </w:r>
      <w:r w:rsidR="004502ED">
        <w:t>,</w:t>
      </w:r>
      <w:r w:rsidR="00576DBB">
        <w:t xml:space="preserve"> beyond 2035</w:t>
      </w:r>
      <w:r>
        <w:t xml:space="preserve">.    </w:t>
      </w:r>
    </w:p>
    <w:p w14:paraId="1B63DBF7" w14:textId="50CFF3CD" w:rsidR="005B2C3B" w:rsidRDefault="005B2C3B" w:rsidP="005B2C3B">
      <w:r>
        <w:lastRenderedPageBreak/>
        <w:t xml:space="preserve">Recent material declines in fossil gas production and reserves saw high </w:t>
      </w:r>
      <w:r w:rsidR="009B2B6B">
        <w:t>fossil</w:t>
      </w:r>
      <w:r>
        <w:t xml:space="preserve"> gas prices through winter 2024. How the fossil gas price will develop is very uncertain, but it seems more likely over coming years that the prices could be higher rather than lower. This tempers our view of the</w:t>
      </w:r>
      <w:r w:rsidR="00D44268">
        <w:t xml:space="preserve"> relatively high </w:t>
      </w:r>
      <w:r>
        <w:t xml:space="preserve">shadow prices </w:t>
      </w:r>
      <w:r w:rsidR="003A423C">
        <w:t>in</w:t>
      </w:r>
      <w:r>
        <w:t xml:space="preserve"> the scenarios</w:t>
      </w:r>
      <w:r w:rsidR="00681EA8">
        <w:t xml:space="preserve"> discussed above</w:t>
      </w:r>
      <w:r>
        <w:t xml:space="preserve">. </w:t>
      </w:r>
    </w:p>
    <w:p w14:paraId="7C9DAE56" w14:textId="7620C20A" w:rsidR="005B2C3B" w:rsidRPr="005E59E0" w:rsidRDefault="001E154F" w:rsidP="005E59E0">
      <w:pPr>
        <w:pStyle w:val="Heading4"/>
        <w:rPr>
          <w:color w:val="2F5496"/>
        </w:rPr>
      </w:pPr>
      <w:r>
        <w:rPr>
          <w:color w:val="2F5496"/>
        </w:rPr>
        <w:t xml:space="preserve">More </w:t>
      </w:r>
      <w:r w:rsidR="009B264F">
        <w:rPr>
          <w:color w:val="2F5496"/>
        </w:rPr>
        <w:t xml:space="preserve">afforestation before 2031 would </w:t>
      </w:r>
      <w:r w:rsidR="00160B4F">
        <w:rPr>
          <w:color w:val="2F5496"/>
        </w:rPr>
        <w:t>reduce</w:t>
      </w:r>
      <w:r w:rsidR="00681EA8">
        <w:rPr>
          <w:color w:val="2F5496"/>
        </w:rPr>
        <w:t xml:space="preserve"> NZU prices to m</w:t>
      </w:r>
      <w:r w:rsidR="00E80B7C">
        <w:rPr>
          <w:color w:val="2F5496"/>
        </w:rPr>
        <w:t xml:space="preserve">eet </w:t>
      </w:r>
      <w:r w:rsidR="0091153E">
        <w:rPr>
          <w:color w:val="2F5496"/>
        </w:rPr>
        <w:t xml:space="preserve">the third </w:t>
      </w:r>
      <w:r w:rsidR="005B2C3B" w:rsidRPr="005E59E0">
        <w:rPr>
          <w:color w:val="2F5496"/>
        </w:rPr>
        <w:t>emissions budget</w:t>
      </w:r>
    </w:p>
    <w:p w14:paraId="4836134D" w14:textId="0BCD8DE3" w:rsidR="005B2C3B" w:rsidRDefault="005B2C3B" w:rsidP="005B2C3B">
      <w:r>
        <w:t xml:space="preserve">It is also possible that the gap to meeting the third emissions budget could be closed through additional afforestation over the next few years. This could bring down the NZU prices needed, given the relatively low cost of further afforestation </w:t>
      </w:r>
      <w:r w:rsidR="00DA40B6">
        <w:t xml:space="preserve">when </w:t>
      </w:r>
      <w:r>
        <w:t xml:space="preserve">compared </w:t>
      </w:r>
      <w:r w:rsidR="00DA40B6">
        <w:t xml:space="preserve">with </w:t>
      </w:r>
      <w:r>
        <w:t xml:space="preserve">gross emissions reductions.  </w:t>
      </w:r>
    </w:p>
    <w:p w14:paraId="5D8F46C4" w14:textId="0AB0042D" w:rsidR="005B2C3B" w:rsidRDefault="005B2C3B" w:rsidP="005B2C3B">
      <w:r>
        <w:t xml:space="preserve">The </w:t>
      </w:r>
      <w:r w:rsidR="000F687B">
        <w:t>G</w:t>
      </w:r>
      <w:r>
        <w:t xml:space="preserve">overnment’s </w:t>
      </w:r>
      <w:r w:rsidR="00591BA0">
        <w:t>second emissions reduction plan assumes a</w:t>
      </w:r>
      <w:r w:rsidR="00031D46">
        <w:t xml:space="preserve">n average of </w:t>
      </w:r>
      <w:r w:rsidR="00E50A97">
        <w:t xml:space="preserve">around </w:t>
      </w:r>
      <w:r w:rsidR="00031D46" w:rsidRPr="00EA713B">
        <w:t>3</w:t>
      </w:r>
      <w:r w:rsidR="001D7204" w:rsidRPr="00EA713B">
        <w:t>5</w:t>
      </w:r>
      <w:r w:rsidR="00031D46" w:rsidRPr="00EA713B">
        <w:t>,000</w:t>
      </w:r>
      <w:r w:rsidRPr="00EA713B" w:rsidDel="00031D46">
        <w:t xml:space="preserve"> </w:t>
      </w:r>
      <w:r w:rsidR="00591BA0" w:rsidRPr="00EA713B">
        <w:t xml:space="preserve">hectares of exotic </w:t>
      </w:r>
      <w:r w:rsidRPr="00EA713B">
        <w:t>afforestation per year</w:t>
      </w:r>
      <w:r w:rsidR="00031D46">
        <w:t xml:space="preserve"> </w:t>
      </w:r>
      <w:r w:rsidR="00C50F13">
        <w:t xml:space="preserve">in the years leading up to </w:t>
      </w:r>
      <w:r w:rsidR="0091153E">
        <w:t>the third</w:t>
      </w:r>
      <w:r w:rsidR="00C50F13">
        <w:t xml:space="preserve"> emissions budget</w:t>
      </w:r>
      <w:r w:rsidR="00591BA0">
        <w:t xml:space="preserve">. </w:t>
      </w:r>
      <w:r>
        <w:t>It is, however, uncertain how much afforestation will occur</w:t>
      </w:r>
      <w:r w:rsidR="00591BA0">
        <w:t xml:space="preserve">. </w:t>
      </w:r>
      <w:r w:rsidR="006D1A40">
        <w:t xml:space="preserve">For example, the Government is </w:t>
      </w:r>
      <w:r w:rsidR="009F6A60">
        <w:t>e</w:t>
      </w:r>
      <w:r w:rsidR="008960D3" w:rsidRPr="008960D3">
        <w:t>xploring partnering with the private sector to plant trees on Crown-owned land</w:t>
      </w:r>
      <w:r w:rsidR="00B112ED">
        <w:t xml:space="preserve">, and the contribution this could provide is </w:t>
      </w:r>
      <w:r w:rsidR="007506D2">
        <w:t>un</w:t>
      </w:r>
      <w:r w:rsidR="00685F00">
        <w:t>certain</w:t>
      </w:r>
      <w:r w:rsidR="008960D3" w:rsidRPr="008960D3">
        <w:t>.</w:t>
      </w:r>
      <w:r w:rsidR="007506D2">
        <w:t xml:space="preserve"> </w:t>
      </w:r>
      <w:r w:rsidR="00A23210">
        <w:t xml:space="preserve">Planting must occur before 2031 if it is to contribute to meeting </w:t>
      </w:r>
      <w:r w:rsidR="0091153E">
        <w:t xml:space="preserve">the third </w:t>
      </w:r>
      <w:r w:rsidR="00A23210">
        <w:t>emissions budget</w:t>
      </w:r>
      <w:r w:rsidR="00976EB1">
        <w:t>,</w:t>
      </w:r>
      <w:r w:rsidR="00A23210">
        <w:t xml:space="preserve"> as it takes</w:t>
      </w:r>
      <w:r w:rsidR="00976EB1">
        <w:t xml:space="preserve"> four </w:t>
      </w:r>
      <w:r w:rsidR="00A23210">
        <w:t>years for a new forest to become a carbon sink.</w:t>
      </w:r>
    </w:p>
    <w:p w14:paraId="5C9AA637" w14:textId="0C85D614" w:rsidR="005B2C3B" w:rsidRDefault="005B2C3B" w:rsidP="005B2C3B">
      <w:r>
        <w:t xml:space="preserve">We undertook a desktop analysis of how additional forests could help meet </w:t>
      </w:r>
      <w:r w:rsidR="0091153E">
        <w:t>the third</w:t>
      </w:r>
      <w:r>
        <w:t xml:space="preserve"> emissions budget. This showed an additional 1</w:t>
      </w:r>
      <w:r w:rsidDel="00E50A97">
        <w:t>5</w:t>
      </w:r>
      <w:r>
        <w:t xml:space="preserve">,000 hectares </w:t>
      </w:r>
      <w:r w:rsidR="00797C15">
        <w:t xml:space="preserve">of </w:t>
      </w:r>
      <w:r w:rsidR="00797C15" w:rsidRPr="0069659E">
        <w:t>exotic forests</w:t>
      </w:r>
      <w:r w:rsidR="00797C15">
        <w:t xml:space="preserve"> </w:t>
      </w:r>
      <w:r w:rsidR="00D000FB">
        <w:t xml:space="preserve">planted </w:t>
      </w:r>
      <w:r>
        <w:t xml:space="preserve">per </w:t>
      </w:r>
      <w:r w:rsidR="00D000FB">
        <w:t xml:space="preserve">year </w:t>
      </w:r>
      <w:r>
        <w:t>over 2027</w:t>
      </w:r>
      <w:r w:rsidR="009536FA" w:rsidRPr="000A1433">
        <w:t>–</w:t>
      </w:r>
      <w:r>
        <w:t>203</w:t>
      </w:r>
      <w:r w:rsidR="00995801">
        <w:t>1</w:t>
      </w:r>
      <w:r>
        <w:t xml:space="preserve"> would bridge the entire abatement gap</w:t>
      </w:r>
      <w:r w:rsidR="00D000FB">
        <w:t xml:space="preserve">, </w:t>
      </w:r>
      <w:r w:rsidR="00681F70">
        <w:t>totalling</w:t>
      </w:r>
      <w:r w:rsidR="00995801">
        <w:t xml:space="preserve"> an average </w:t>
      </w:r>
      <w:r w:rsidR="00995801" w:rsidRPr="00EA713B">
        <w:t>of</w:t>
      </w:r>
      <w:r w:rsidR="00681F70" w:rsidRPr="00EA713B">
        <w:t xml:space="preserve"> </w:t>
      </w:r>
      <w:r w:rsidR="001B4B45" w:rsidRPr="00EA713B">
        <w:t>5</w:t>
      </w:r>
      <w:r w:rsidRPr="00EA713B">
        <w:t>0,000</w:t>
      </w:r>
      <w:r w:rsidR="00D000FB">
        <w:t xml:space="preserve"> hectares of afforestation </w:t>
      </w:r>
      <w:r>
        <w:t>each year</w:t>
      </w:r>
      <w:r w:rsidR="00681F70">
        <w:t xml:space="preserve">. This </w:t>
      </w:r>
      <w:r>
        <w:t>is significant</w:t>
      </w:r>
      <w:r w:rsidR="00B33CBD">
        <w:t>,</w:t>
      </w:r>
      <w:r>
        <w:t xml:space="preserve"> but not outside the realms of possibility, as shown by afforestation rates of around </w:t>
      </w:r>
      <w:r w:rsidR="000C41BB">
        <w:t>4</w:t>
      </w:r>
      <w:r>
        <w:t>0</w:t>
      </w:r>
      <w:r w:rsidR="003B7B18">
        <w:t>,000–</w:t>
      </w:r>
      <w:r>
        <w:t xml:space="preserve">70,000 </w:t>
      </w:r>
      <w:r w:rsidR="00057D7B">
        <w:t>hectares per year</w:t>
      </w:r>
      <w:r>
        <w:t xml:space="preserve"> over 2021–2</w:t>
      </w:r>
      <w:r w:rsidR="00167B57">
        <w:t>3</w:t>
      </w:r>
      <w:r w:rsidR="00A23210">
        <w:t>.</w:t>
      </w:r>
      <w:r w:rsidR="004968B8">
        <w:rPr>
          <w:rStyle w:val="FootnoteReference"/>
        </w:rPr>
        <w:footnoteReference w:id="33"/>
      </w:r>
      <w:r w:rsidR="004968B8" w:rsidRPr="00CA6D9C">
        <w:rPr>
          <w:vertAlign w:val="superscript"/>
        </w:rPr>
        <w:t xml:space="preserve">, </w:t>
      </w:r>
      <w:r w:rsidR="006B3F62">
        <w:rPr>
          <w:rStyle w:val="EndnoteReference"/>
        </w:rPr>
        <w:endnoteReference w:id="21"/>
      </w:r>
      <w:r>
        <w:t xml:space="preserve">  </w:t>
      </w:r>
    </w:p>
    <w:p w14:paraId="33E78417" w14:textId="11C133C0" w:rsidR="005B2C3B" w:rsidRDefault="005B2C3B" w:rsidP="005B2C3B">
      <w:r>
        <w:t xml:space="preserve">Relatively low NZU prices can drive </w:t>
      </w:r>
      <w:r w:rsidR="0021135A">
        <w:t xml:space="preserve">exotic forest </w:t>
      </w:r>
      <w:r w:rsidR="000A4DBE">
        <w:t>planting</w:t>
      </w:r>
      <w:r>
        <w:t xml:space="preserve">. </w:t>
      </w:r>
      <w:r w:rsidRPr="006948F8">
        <w:t xml:space="preserve">The </w:t>
      </w:r>
      <w:r w:rsidR="002968A2">
        <w:t>G</w:t>
      </w:r>
      <w:r w:rsidRPr="006948F8">
        <w:t>overnment</w:t>
      </w:r>
      <w:r>
        <w:t xml:space="preserve"> estimates the cost of generating a 10% return on investment from converting sheep and beef land to forestry is $50 per tonne CO</w:t>
      </w:r>
      <w:r w:rsidRPr="005B156E">
        <w:rPr>
          <w:vertAlign w:val="subscript"/>
        </w:rPr>
        <w:t>2</w:t>
      </w:r>
      <w:r>
        <w:t>, within a $25-$75 per tonne CO</w:t>
      </w:r>
      <w:r w:rsidRPr="005B156E">
        <w:rPr>
          <w:vertAlign w:val="subscript"/>
        </w:rPr>
        <w:t>2</w:t>
      </w:r>
      <w:r>
        <w:t xml:space="preserve"> range.</w:t>
      </w:r>
      <w:r w:rsidR="007378DE">
        <w:rPr>
          <w:rStyle w:val="EndnoteReference"/>
        </w:rPr>
        <w:endnoteReference w:id="22"/>
      </w:r>
      <w:r>
        <w:t xml:space="preserve"> </w:t>
      </w:r>
      <w:r w:rsidR="0021135A">
        <w:t>At the time of writing</w:t>
      </w:r>
      <w:r w:rsidR="00EC0B7C">
        <w:t xml:space="preserve"> this report</w:t>
      </w:r>
      <w:r w:rsidR="0021135A">
        <w:t>, s</w:t>
      </w:r>
      <w:r>
        <w:t xml:space="preserve">pot NZUs </w:t>
      </w:r>
      <w:r w:rsidR="005134B2">
        <w:t xml:space="preserve">were at </w:t>
      </w:r>
      <w:r>
        <w:t>around $6</w:t>
      </w:r>
      <w:r w:rsidR="0021135A">
        <w:t>0</w:t>
      </w:r>
      <w:r w:rsidR="008B3993">
        <w:t xml:space="preserve"> per </w:t>
      </w:r>
      <w:r w:rsidR="00A81E39">
        <w:t xml:space="preserve">unit, representing a </w:t>
      </w:r>
      <w:r w:rsidR="008B3993">
        <w:t>tonne</w:t>
      </w:r>
      <w:r w:rsidR="00A81E39">
        <w:t xml:space="preserve"> CO</w:t>
      </w:r>
      <w:r w:rsidR="00A81E39" w:rsidRPr="00A81E39">
        <w:rPr>
          <w:vertAlign w:val="subscript"/>
        </w:rPr>
        <w:t>2</w:t>
      </w:r>
      <w:r w:rsidR="00A81E39">
        <w:t>e</w:t>
      </w:r>
      <w:r>
        <w:t>.</w:t>
      </w:r>
    </w:p>
    <w:p w14:paraId="53C346B6" w14:textId="5BD65154" w:rsidR="005B2C3B" w:rsidRDefault="005B2C3B" w:rsidP="005B2C3B">
      <w:r>
        <w:t>The NZU price is only one factor influencing afforestation rates and there are other factors that are likely to limit its effect on afforestation going forward.</w:t>
      </w:r>
      <w:r w:rsidR="00366890">
        <w:t xml:space="preserve"> This </w:t>
      </w:r>
      <w:r w:rsidR="00C748C1">
        <w:t xml:space="preserve">was highlighted in feedback we heard through our engagement (see </w:t>
      </w:r>
      <w:r w:rsidR="00C748C1" w:rsidRPr="005B156E">
        <w:rPr>
          <w:i/>
        </w:rPr>
        <w:t>Part 2</w:t>
      </w:r>
      <w:r w:rsidR="00852624" w:rsidRPr="005B156E">
        <w:rPr>
          <w:i/>
        </w:rPr>
        <w:t xml:space="preserve">: </w:t>
      </w:r>
      <w:r w:rsidR="00852624">
        <w:rPr>
          <w:i/>
          <w:iCs/>
        </w:rPr>
        <w:t xml:space="preserve">Te hanga me te </w:t>
      </w:r>
      <w:r w:rsidR="001D0995">
        <w:rPr>
          <w:i/>
          <w:iCs/>
        </w:rPr>
        <w:t>h</w:t>
      </w:r>
      <w:r w:rsidR="00852624">
        <w:rPr>
          <w:i/>
          <w:iCs/>
        </w:rPr>
        <w:t xml:space="preserve">aepapa o NZ ETS </w:t>
      </w:r>
      <w:r w:rsidR="00852624">
        <w:t xml:space="preserve">– </w:t>
      </w:r>
      <w:r w:rsidR="00852624" w:rsidRPr="005B156E">
        <w:rPr>
          <w:i/>
        </w:rPr>
        <w:t>Current state and role of the NZ ETS</w:t>
      </w:r>
      <w:r w:rsidR="00C748C1">
        <w:t xml:space="preserve">) and discussed in the most recent </w:t>
      </w:r>
      <w:r w:rsidR="00C748C1" w:rsidRPr="003E2E95">
        <w:rPr>
          <w:i/>
        </w:rPr>
        <w:t>2023 Afforestation and Deforestation Intentions Survey</w:t>
      </w:r>
      <w:r w:rsidR="0029551E">
        <w:rPr>
          <w:i/>
          <w:iCs/>
        </w:rPr>
        <w:t xml:space="preserve"> Report</w:t>
      </w:r>
      <w:r w:rsidR="00C748C1">
        <w:t>.</w:t>
      </w:r>
      <w:r w:rsidR="00C748C1">
        <w:rPr>
          <w:rStyle w:val="EndnoteReference"/>
        </w:rPr>
        <w:endnoteReference w:id="23"/>
      </w:r>
      <w:r w:rsidR="00C748C1">
        <w:t xml:space="preserve"> </w:t>
      </w:r>
    </w:p>
    <w:p w14:paraId="057CA497" w14:textId="56EA29FB" w:rsidR="005B2C3B" w:rsidRDefault="005B2C3B" w:rsidP="006F43A9">
      <w:r>
        <w:t>The Government has also announced that it plans to implement restrictions by Land Use Capability (LUC) on land that can register into the NZ ETS for forestry.</w:t>
      </w:r>
      <w:r w:rsidR="007945F4">
        <w:rPr>
          <w:rStyle w:val="EndnoteReference"/>
        </w:rPr>
        <w:endnoteReference w:id="24"/>
      </w:r>
      <w:r>
        <w:t xml:space="preserve"> This </w:t>
      </w:r>
      <w:r w:rsidR="00333B37" w:rsidRPr="00333B37">
        <w:t xml:space="preserve">change </w:t>
      </w:r>
      <w:r w:rsidR="00333B37">
        <w:t>is a response to</w:t>
      </w:r>
      <w:r w:rsidR="00333B37" w:rsidRPr="00333B37">
        <w:t xml:space="preserve"> concern among rural communities about the social and economic impacts of farm conversions to forestry.</w:t>
      </w:r>
      <w:r w:rsidR="00333B37">
        <w:t xml:space="preserve"> </w:t>
      </w:r>
      <w:r w:rsidR="00A13733">
        <w:t>The policy</w:t>
      </w:r>
      <w:r w:rsidR="00333B37">
        <w:t xml:space="preserve"> </w:t>
      </w:r>
      <w:r>
        <w:t xml:space="preserve">aims to limit whole farm conversions, rather than afforestation overall. </w:t>
      </w:r>
      <w:r w:rsidR="00AE63C6">
        <w:t xml:space="preserve">It is </w:t>
      </w:r>
      <w:r w:rsidR="0023222E">
        <w:t xml:space="preserve">uncertain </w:t>
      </w:r>
      <w:r w:rsidR="006F43A9">
        <w:t xml:space="preserve">what the effect of this policy will be. </w:t>
      </w:r>
      <w:r>
        <w:t xml:space="preserve">Whether </w:t>
      </w:r>
      <w:r w:rsidR="006F43A9">
        <w:lastRenderedPageBreak/>
        <w:t xml:space="preserve">afforestation </w:t>
      </w:r>
      <w:r>
        <w:t xml:space="preserve">rates reach or exceed </w:t>
      </w:r>
      <w:r w:rsidR="00BE6022" w:rsidRPr="00EA713B">
        <w:t>35</w:t>
      </w:r>
      <w:r w:rsidRPr="00EA713B">
        <w:t>,000</w:t>
      </w:r>
      <w:r w:rsidR="006F43A9">
        <w:t xml:space="preserve"> hectare per annum </w:t>
      </w:r>
      <w:r>
        <w:t xml:space="preserve">may depend on </w:t>
      </w:r>
      <w:r w:rsidR="00B41329">
        <w:t xml:space="preserve">the behaviour of </w:t>
      </w:r>
      <w:r>
        <w:t>those excluded from the</w:t>
      </w:r>
      <w:r w:rsidR="00B41329">
        <w:t xml:space="preserve"> </w:t>
      </w:r>
      <w:r>
        <w:t>LUC restrictions</w:t>
      </w:r>
      <w:r w:rsidR="0029613D">
        <w:t xml:space="preserve">, and it is difficult to predict how </w:t>
      </w:r>
      <w:r w:rsidR="00976EB1">
        <w:t xml:space="preserve">these </w:t>
      </w:r>
      <w:r w:rsidR="0029613D">
        <w:t>landowners will respond</w:t>
      </w:r>
      <w:r w:rsidR="00B41329">
        <w:t>.</w:t>
      </w:r>
      <w:r w:rsidR="00B41329">
        <w:rPr>
          <w:rStyle w:val="FootnoteReference"/>
        </w:rPr>
        <w:footnoteReference w:id="34"/>
      </w:r>
      <w:r>
        <w:t xml:space="preserve"> </w:t>
      </w:r>
    </w:p>
    <w:p w14:paraId="19C2DA9F" w14:textId="0B719D6B" w:rsidR="005B2C3B" w:rsidRDefault="005B2C3B" w:rsidP="005B2C3B">
      <w:r>
        <w:t>In two to three years</w:t>
      </w:r>
      <w:r w:rsidR="00C50C00">
        <w:t>,</w:t>
      </w:r>
      <w:r>
        <w:t xml:space="preserve"> it will be much clearer how afforestation is tracking</w:t>
      </w:r>
      <w:r w:rsidR="003D227C">
        <w:t>,</w:t>
      </w:r>
      <w:r>
        <w:t xml:space="preserve"> and how it might contribute to meeting</w:t>
      </w:r>
      <w:r w:rsidR="00976EB1">
        <w:t xml:space="preserve"> the third</w:t>
      </w:r>
      <w:r>
        <w:t xml:space="preserve"> emissions budget. </w:t>
      </w:r>
    </w:p>
    <w:p w14:paraId="6349CE37" w14:textId="5ACC1DD1" w:rsidR="005B2C3B" w:rsidRPr="005E59E0" w:rsidRDefault="005E59E0" w:rsidP="005E59E0">
      <w:pPr>
        <w:pStyle w:val="Heading4"/>
        <w:rPr>
          <w:color w:val="2F5496"/>
        </w:rPr>
      </w:pPr>
      <w:r>
        <w:rPr>
          <w:color w:val="2F5496"/>
        </w:rPr>
        <w:t xml:space="preserve">Government policy will evolve </w:t>
      </w:r>
    </w:p>
    <w:p w14:paraId="2179069F" w14:textId="3143F245" w:rsidR="005B2C3B" w:rsidRDefault="001A4C5C" w:rsidP="005B2C3B">
      <w:r>
        <w:t xml:space="preserve">There are also </w:t>
      </w:r>
      <w:r w:rsidR="005B2C3B">
        <w:t>more difficult-to-quantify uncertainties</w:t>
      </w:r>
      <w:r w:rsidR="0032540A">
        <w:t xml:space="preserve"> related to </w:t>
      </w:r>
      <w:r w:rsidR="005B2C3B">
        <w:t>policies</w:t>
      </w:r>
      <w:r w:rsidR="000765E0">
        <w:t xml:space="preserve">. </w:t>
      </w:r>
      <w:r w:rsidR="00831CF6">
        <w:t xml:space="preserve">The </w:t>
      </w:r>
      <w:r w:rsidR="0041020B">
        <w:t xml:space="preserve">second emissions reduction plan </w:t>
      </w:r>
      <w:r w:rsidR="006B658C">
        <w:t>sets out the Government’s current intentions</w:t>
      </w:r>
      <w:r w:rsidR="00E26416">
        <w:t>. As</w:t>
      </w:r>
      <w:r w:rsidR="006B658C">
        <w:t xml:space="preserve"> </w:t>
      </w:r>
      <w:r w:rsidR="000A7205">
        <w:t>the policies it contains are developed and implement</w:t>
      </w:r>
      <w:r w:rsidR="00AE6C59">
        <w:t>ed</w:t>
      </w:r>
      <w:r w:rsidR="000A7205">
        <w:t>, they will evolve</w:t>
      </w:r>
      <w:r w:rsidR="00C3392E">
        <w:t xml:space="preserve"> and their impacts may differ from expectations. </w:t>
      </w:r>
      <w:r w:rsidR="00F9711E">
        <w:t xml:space="preserve">In addition to </w:t>
      </w:r>
      <w:r w:rsidR="000B46F7">
        <w:t>f</w:t>
      </w:r>
      <w:r w:rsidR="00A761DF">
        <w:t>orestry</w:t>
      </w:r>
      <w:r w:rsidR="00B863B3">
        <w:t xml:space="preserve"> (as </w:t>
      </w:r>
      <w:r w:rsidR="00A761DF">
        <w:t>highlighted above</w:t>
      </w:r>
      <w:r w:rsidR="00B863B3">
        <w:t>)</w:t>
      </w:r>
      <w:r w:rsidR="00A761DF">
        <w:t>, there are other areas where the impact of policies is un</w:t>
      </w:r>
      <w:r w:rsidR="00B863B3">
        <w:t>certain</w:t>
      </w:r>
      <w:r w:rsidR="00A761DF">
        <w:t xml:space="preserve">, or where policy initiatives </w:t>
      </w:r>
      <w:r w:rsidR="008E0975">
        <w:t>and</w:t>
      </w:r>
      <w:r w:rsidR="00A761DF">
        <w:t xml:space="preserve"> reviews could</w:t>
      </w:r>
      <w:r w:rsidR="00B863B3">
        <w:t xml:space="preserve"> lead to different outcomes </w:t>
      </w:r>
      <w:r w:rsidR="007D1488">
        <w:t>than expected</w:t>
      </w:r>
      <w:r w:rsidR="008416DE">
        <w:t>,</w:t>
      </w:r>
      <w:r w:rsidR="005F384C">
        <w:t xml:space="preserve"> for example, </w:t>
      </w:r>
      <w:r w:rsidR="00A761DF">
        <w:t>in the electricity sector.</w:t>
      </w:r>
    </w:p>
    <w:p w14:paraId="1DAEB32D" w14:textId="238FC36A" w:rsidR="00770535" w:rsidRDefault="000B4497" w:rsidP="00770535">
      <w:r>
        <w:t xml:space="preserve">The Act also sets out a framework for climate policies to </w:t>
      </w:r>
      <w:r w:rsidR="00247E5E">
        <w:t>be reviewed and updated over time</w:t>
      </w:r>
      <w:r w:rsidR="00C87238">
        <w:t>, giving some waypoints</w:t>
      </w:r>
      <w:r w:rsidR="00AF4B76">
        <w:t xml:space="preserve"> for potential changes</w:t>
      </w:r>
      <w:r w:rsidR="00247E5E">
        <w:t xml:space="preserve">. </w:t>
      </w:r>
      <w:r w:rsidR="00F50F34">
        <w:t xml:space="preserve">The Government </w:t>
      </w:r>
      <w:r w:rsidR="00A71EBC">
        <w:t xml:space="preserve">must </w:t>
      </w:r>
      <w:r w:rsidR="00F50F34">
        <w:t xml:space="preserve">set the fourth emissions budget </w:t>
      </w:r>
      <w:r w:rsidR="00A71EBC">
        <w:t xml:space="preserve">by the end of </w:t>
      </w:r>
      <w:r w:rsidR="00F50F34">
        <w:t xml:space="preserve">2025, and </w:t>
      </w:r>
      <w:r w:rsidR="00FA0192">
        <w:t xml:space="preserve">the second and third </w:t>
      </w:r>
      <w:r w:rsidR="00F50F34">
        <w:t>emissions budgets</w:t>
      </w:r>
      <w:r w:rsidR="00E7177C">
        <w:t xml:space="preserve"> </w:t>
      </w:r>
      <w:r w:rsidR="00F50F34">
        <w:t xml:space="preserve">could be revised. </w:t>
      </w:r>
      <w:r w:rsidR="008F2E76">
        <w:t xml:space="preserve">The </w:t>
      </w:r>
      <w:r w:rsidR="00F50F34">
        <w:t xml:space="preserve">Commission </w:t>
      </w:r>
      <w:r w:rsidR="008F2E76">
        <w:t>will</w:t>
      </w:r>
      <w:r w:rsidR="001F02A9">
        <w:t xml:space="preserve"> then</w:t>
      </w:r>
      <w:r w:rsidR="008F2E76">
        <w:t xml:space="preserve"> need to</w:t>
      </w:r>
      <w:r w:rsidR="0012428A">
        <w:t xml:space="preserve"> take account of the new budget in its </w:t>
      </w:r>
      <w:r w:rsidR="00F50F34">
        <w:t>re-consider</w:t>
      </w:r>
      <w:r w:rsidR="0012428A">
        <w:t>ation</w:t>
      </w:r>
      <w:r w:rsidR="00F50F34">
        <w:t xml:space="preserve"> </w:t>
      </w:r>
      <w:r w:rsidR="004D3AEF">
        <w:t xml:space="preserve">of </w:t>
      </w:r>
      <w:r w:rsidR="00F50F34">
        <w:t>the price control</w:t>
      </w:r>
      <w:r w:rsidR="00370EE3">
        <w:t xml:space="preserve">s </w:t>
      </w:r>
      <w:r w:rsidR="00257EF7">
        <w:t xml:space="preserve">in either its 2026 or 2027 </w:t>
      </w:r>
      <w:r w:rsidR="00370EE3">
        <w:t xml:space="preserve">NZ ETS settings </w:t>
      </w:r>
      <w:r w:rsidR="00257EF7">
        <w:t>advice</w:t>
      </w:r>
      <w:r w:rsidR="00F50F34">
        <w:t xml:space="preserve">. </w:t>
      </w:r>
      <w:r w:rsidR="00AC11EB">
        <w:t xml:space="preserve">The plan to meet the third emissions budget </w:t>
      </w:r>
      <w:r w:rsidR="009A140E">
        <w:t xml:space="preserve">will </w:t>
      </w:r>
      <w:r w:rsidR="00FF0BD5">
        <w:t xml:space="preserve">also </w:t>
      </w:r>
      <w:r w:rsidR="009A140E">
        <w:t xml:space="preserve">become clearer </w:t>
      </w:r>
      <w:r w:rsidR="00733086">
        <w:t xml:space="preserve">before </w:t>
      </w:r>
      <w:r w:rsidR="00E26D6C">
        <w:t>its starts in 2031</w:t>
      </w:r>
      <w:r w:rsidR="00156FE5">
        <w:t xml:space="preserve">. The </w:t>
      </w:r>
      <w:r w:rsidR="00E26D6C">
        <w:t xml:space="preserve">Commission </w:t>
      </w:r>
      <w:r w:rsidR="00156FE5">
        <w:t xml:space="preserve">must </w:t>
      </w:r>
      <w:r w:rsidR="00E26D6C">
        <w:t>advi</w:t>
      </w:r>
      <w:r w:rsidR="00604CA5">
        <w:t xml:space="preserve">se </w:t>
      </w:r>
      <w:r w:rsidR="00E26D6C">
        <w:t xml:space="preserve">on </w:t>
      </w:r>
      <w:r w:rsidR="00B651AB">
        <w:t xml:space="preserve">the plan </w:t>
      </w:r>
      <w:r w:rsidR="00E26D6C">
        <w:t xml:space="preserve">by late 2028, </w:t>
      </w:r>
      <w:r w:rsidR="00B651AB">
        <w:t xml:space="preserve">with the </w:t>
      </w:r>
      <w:r w:rsidR="00E26D6C">
        <w:t xml:space="preserve">Government to publish </w:t>
      </w:r>
      <w:r w:rsidR="00B651AB">
        <w:t xml:space="preserve">it </w:t>
      </w:r>
      <w:r w:rsidR="00E26D6C">
        <w:t>by the end of 202</w:t>
      </w:r>
      <w:r w:rsidR="00257EF7">
        <w:t>9.</w:t>
      </w:r>
    </w:p>
    <w:p w14:paraId="51184386" w14:textId="3D987AE0" w:rsidR="007437C3" w:rsidRDefault="00090805" w:rsidP="004C0281">
      <w:pPr>
        <w:pStyle w:val="Heading3"/>
      </w:pPr>
      <w:r>
        <w:t xml:space="preserve">The current CCR price triggers </w:t>
      </w:r>
      <w:r w:rsidR="002C49E1">
        <w:t xml:space="preserve">remain </w:t>
      </w:r>
      <w:r w:rsidR="00103E01">
        <w:t xml:space="preserve">appropriate for the time being </w:t>
      </w:r>
    </w:p>
    <w:p w14:paraId="6A40993B" w14:textId="0E4EA374" w:rsidR="00A248B0" w:rsidRDefault="005406BA" w:rsidP="00A248B0">
      <w:r>
        <w:t xml:space="preserve">Our </w:t>
      </w:r>
      <w:r w:rsidR="00A248B0">
        <w:t xml:space="preserve">analysis indicates </w:t>
      </w:r>
      <w:r>
        <w:t>th</w:t>
      </w:r>
      <w:r w:rsidR="00B40F53">
        <w:t xml:space="preserve">at there is a risk </w:t>
      </w:r>
      <w:r w:rsidR="00A248B0">
        <w:t xml:space="preserve">that the current CCR price levels </w:t>
      </w:r>
      <w:r w:rsidR="002E5F3C">
        <w:t xml:space="preserve">are too low to </w:t>
      </w:r>
      <w:r w:rsidR="00A248B0">
        <w:t>allow</w:t>
      </w:r>
      <w:r w:rsidR="002E5F3C">
        <w:t xml:space="preserve"> </w:t>
      </w:r>
      <w:r w:rsidR="00A248B0">
        <w:t xml:space="preserve">the NZU prices that might be needed to meet the third emissions budget. However, there are large uncertainties </w:t>
      </w:r>
      <w:r w:rsidR="00FF4D12">
        <w:t>around</w:t>
      </w:r>
      <w:r w:rsidR="00A248B0">
        <w:t xml:space="preserve"> </w:t>
      </w:r>
      <w:r w:rsidR="009A12CE">
        <w:t>this</w:t>
      </w:r>
      <w:r w:rsidR="007B204F">
        <w:t xml:space="preserve">, </w:t>
      </w:r>
      <w:r w:rsidR="00A248B0">
        <w:t xml:space="preserve">so it is not clear that the risk will materialise. </w:t>
      </w:r>
    </w:p>
    <w:p w14:paraId="4B435BB4" w14:textId="651A4E99" w:rsidR="00A248B0" w:rsidRPr="00176C67" w:rsidRDefault="00A0630A" w:rsidP="00A248B0">
      <w:r>
        <w:t xml:space="preserve">If higher than forecast forest planting between now and 2030 closes the gap </w:t>
      </w:r>
      <w:r w:rsidR="00BC3A38">
        <w:t xml:space="preserve">to meeting </w:t>
      </w:r>
      <w:r w:rsidR="0091153E">
        <w:t xml:space="preserve">the third </w:t>
      </w:r>
      <w:r w:rsidR="00A248B0">
        <w:t>emissions budget</w:t>
      </w:r>
      <w:r>
        <w:t xml:space="preserve">, </w:t>
      </w:r>
      <w:r w:rsidR="00A248B0">
        <w:t>the current CCR triggers and trajectory</w:t>
      </w:r>
      <w:r w:rsidR="00633D75">
        <w:t xml:space="preserve"> could remain appropriate </w:t>
      </w:r>
      <w:r w:rsidR="00B4172D">
        <w:t>i</w:t>
      </w:r>
      <w:r w:rsidR="00516FD9">
        <w:t>nto</w:t>
      </w:r>
      <w:r w:rsidR="00F75BA5">
        <w:t xml:space="preserve"> the </w:t>
      </w:r>
      <w:r w:rsidR="00516FD9" w:rsidRPr="00176C67">
        <w:t>future</w:t>
      </w:r>
      <w:r w:rsidR="00A248B0" w:rsidRPr="00176C67">
        <w:t xml:space="preserve">. </w:t>
      </w:r>
      <w:r w:rsidR="00E07C0E" w:rsidRPr="00176C67">
        <w:t>I</w:t>
      </w:r>
      <w:r w:rsidR="00A248B0" w:rsidRPr="00176C67">
        <w:t xml:space="preserve">f gross emissions reductions must fill the gap, the CCR may need to be increased. </w:t>
      </w:r>
    </w:p>
    <w:p w14:paraId="3D570AF4" w14:textId="013EA43F" w:rsidR="00BC2590" w:rsidRPr="00176C67" w:rsidRDefault="00A248B0" w:rsidP="009C32EA">
      <w:r w:rsidRPr="00176C67">
        <w:t xml:space="preserve">The </w:t>
      </w:r>
      <w:r w:rsidR="00AB7B4A" w:rsidRPr="00176C67">
        <w:t xml:space="preserve">existing </w:t>
      </w:r>
      <w:r w:rsidRPr="00176C67">
        <w:t>CCR trigger</w:t>
      </w:r>
      <w:r w:rsidR="00E0192D" w:rsidRPr="00176C67">
        <w:t xml:space="preserve"> prices</w:t>
      </w:r>
      <w:r w:rsidRPr="00176C67">
        <w:t xml:space="preserve"> are not currently inhibiting the NZU price</w:t>
      </w:r>
      <w:r w:rsidR="00282AA3" w:rsidRPr="00176C67">
        <w:t xml:space="preserve">. They </w:t>
      </w:r>
      <w:r w:rsidRPr="00176C67">
        <w:t xml:space="preserve">provide significant room for the market price to </w:t>
      </w:r>
      <w:r w:rsidR="00BA3144" w:rsidRPr="00176C67">
        <w:t>range higher to help</w:t>
      </w:r>
      <w:r w:rsidRPr="00176C67">
        <w:t xml:space="preserve"> meet the second emissions budget</w:t>
      </w:r>
      <w:r w:rsidR="00E45A50" w:rsidRPr="00176C67">
        <w:t>,</w:t>
      </w:r>
      <w:r w:rsidRPr="00176C67">
        <w:t xml:space="preserve"> and lay the foundations for meeting the third emissions budget. </w:t>
      </w:r>
    </w:p>
    <w:p w14:paraId="2D5B03F7" w14:textId="3940C4E7" w:rsidR="0038376C" w:rsidRPr="00176C67" w:rsidRDefault="00A248B0" w:rsidP="0038376C">
      <w:r w:rsidRPr="00176C67">
        <w:t xml:space="preserve">We </w:t>
      </w:r>
      <w:r w:rsidR="00A75EDE" w:rsidRPr="00176C67">
        <w:t>judge</w:t>
      </w:r>
      <w:r w:rsidR="00470361" w:rsidRPr="00176C67">
        <w:t xml:space="preserve"> </w:t>
      </w:r>
      <w:r w:rsidRPr="00176C67">
        <w:t xml:space="preserve">that it would be premature to </w:t>
      </w:r>
      <w:r w:rsidR="005F79C1" w:rsidRPr="00176C67">
        <w:t xml:space="preserve">increase the </w:t>
      </w:r>
      <w:r w:rsidRPr="00176C67">
        <w:t xml:space="preserve">CCR </w:t>
      </w:r>
      <w:r w:rsidR="005F79C1" w:rsidRPr="00176C67">
        <w:t>price triggers now</w:t>
      </w:r>
      <w:r w:rsidR="003B0DC5" w:rsidRPr="00176C67">
        <w:t xml:space="preserve">, when it is </w:t>
      </w:r>
      <w:r w:rsidR="0042430A" w:rsidRPr="00176C67">
        <w:t>very un</w:t>
      </w:r>
      <w:r w:rsidR="003B0DC5" w:rsidRPr="00176C67">
        <w:t>c</w:t>
      </w:r>
      <w:r w:rsidR="00C65164" w:rsidRPr="00176C67">
        <w:t>ertain</w:t>
      </w:r>
      <w:r w:rsidR="003B0DC5" w:rsidRPr="00176C67">
        <w:t xml:space="preserve"> that this will actually </w:t>
      </w:r>
      <w:r w:rsidR="005F6DC3" w:rsidRPr="00176C67">
        <w:t>be needed</w:t>
      </w:r>
      <w:r w:rsidRPr="00176C67">
        <w:t xml:space="preserve">. </w:t>
      </w:r>
      <w:r w:rsidR="00733FA0" w:rsidRPr="00176C67">
        <w:t xml:space="preserve">The risk that higher prices </w:t>
      </w:r>
      <w:r w:rsidR="00EB00F3" w:rsidRPr="00176C67">
        <w:t xml:space="preserve">will be needed </w:t>
      </w:r>
      <w:r w:rsidR="00DB7F8A" w:rsidRPr="00176C67">
        <w:t>should be monitored</w:t>
      </w:r>
      <w:r w:rsidR="00E71517" w:rsidRPr="00176C67">
        <w:t xml:space="preserve">, </w:t>
      </w:r>
      <w:r w:rsidR="0098154A" w:rsidRPr="00176C67">
        <w:t xml:space="preserve">as </w:t>
      </w:r>
      <w:r w:rsidR="00C80204" w:rsidRPr="00176C67">
        <w:t>further evidence and</w:t>
      </w:r>
      <w:r w:rsidR="00EC7870" w:rsidRPr="00176C67">
        <w:t xml:space="preserve"> information </w:t>
      </w:r>
      <w:r w:rsidR="00874DE9" w:rsidRPr="00176C67">
        <w:t xml:space="preserve">is </w:t>
      </w:r>
      <w:r w:rsidR="00332024" w:rsidRPr="00176C67">
        <w:t>likely to com</w:t>
      </w:r>
      <w:r w:rsidR="002C7B01" w:rsidRPr="00176C67">
        <w:t>e</w:t>
      </w:r>
      <w:r w:rsidR="00332024" w:rsidRPr="00176C67">
        <w:t xml:space="preserve"> to light </w:t>
      </w:r>
      <w:r w:rsidR="00723DA5" w:rsidRPr="00176C67">
        <w:t xml:space="preserve">over the next two to three years </w:t>
      </w:r>
      <w:r w:rsidR="006C4A83" w:rsidRPr="00176C67">
        <w:t xml:space="preserve">to reduce </w:t>
      </w:r>
      <w:r w:rsidR="006C6B0A" w:rsidRPr="00176C67">
        <w:t xml:space="preserve">the </w:t>
      </w:r>
      <w:r w:rsidR="006247E1" w:rsidRPr="00176C67">
        <w:t>uncertainty</w:t>
      </w:r>
      <w:r w:rsidR="003E088E" w:rsidRPr="00176C67">
        <w:t xml:space="preserve"> about what is needed to meet the third </w:t>
      </w:r>
      <w:r w:rsidR="003E088E" w:rsidRPr="00176C67">
        <w:lastRenderedPageBreak/>
        <w:t>emissions budget and second NDC</w:t>
      </w:r>
      <w:r w:rsidR="006C6B0A" w:rsidRPr="00176C67">
        <w:t>.</w:t>
      </w:r>
      <w:r w:rsidR="006F5A6E" w:rsidRPr="00176C67">
        <w:t xml:space="preserve"> If </w:t>
      </w:r>
      <w:r w:rsidR="0038376C" w:rsidRPr="00176C67">
        <w:t xml:space="preserve">adjustments are required to </w:t>
      </w:r>
      <w:r w:rsidR="005C778F" w:rsidRPr="00176C67">
        <w:t xml:space="preserve">the </w:t>
      </w:r>
      <w:r w:rsidR="0038376C" w:rsidRPr="00176C67">
        <w:t>price control settings, they can be made then</w:t>
      </w:r>
      <w:r w:rsidR="00176C67" w:rsidRPr="00176C67">
        <w:t xml:space="preserve"> – </w:t>
      </w:r>
      <w:r w:rsidR="0038376C" w:rsidRPr="00176C67">
        <w:t xml:space="preserve">still well ahead of the beginning of the third emissions budget period. </w:t>
      </w:r>
    </w:p>
    <w:p w14:paraId="2AC569FA" w14:textId="5B09C00D" w:rsidR="0035344D" w:rsidRPr="00176C67" w:rsidRDefault="0035344D" w:rsidP="0035344D">
      <w:r w:rsidRPr="00176C67">
        <w:t>We therefore recommend that the CCR price triggers be extended to 2030 along their existing trajectories</w:t>
      </w:r>
      <w:r w:rsidR="000C2A80" w:rsidRPr="00176C67">
        <w:t xml:space="preserve"> </w:t>
      </w:r>
      <w:r w:rsidR="00283544" w:rsidRPr="00176C67">
        <w:t xml:space="preserve">and </w:t>
      </w:r>
      <w:r w:rsidRPr="00176C67">
        <w:t>remain unchanged except for minor adjustments to reflect the latest inflation forecasts</w:t>
      </w:r>
      <w:r w:rsidR="003A6DBB" w:rsidRPr="00176C67">
        <w:t>.</w:t>
      </w:r>
      <w:r w:rsidRPr="00176C67">
        <w:rPr>
          <w:rStyle w:val="FootnoteReference"/>
        </w:rPr>
        <w:footnoteReference w:id="35"/>
      </w:r>
      <w:r w:rsidRPr="00176C67">
        <w:t xml:space="preserve"> </w:t>
      </w:r>
      <w:r w:rsidR="00B96A50" w:rsidRPr="00176C67">
        <w:t>We</w:t>
      </w:r>
      <w:r w:rsidRPr="00176C67">
        <w:t xml:space="preserve"> have not identified any </w:t>
      </w:r>
      <w:r w:rsidR="00B96A50" w:rsidRPr="00176C67">
        <w:t>justif</w:t>
      </w:r>
      <w:r w:rsidR="008E03D6" w:rsidRPr="00176C67">
        <w:t>ication</w:t>
      </w:r>
      <w:r w:rsidRPr="00176C67">
        <w:t xml:space="preserve"> </w:t>
      </w:r>
      <w:r w:rsidR="00143FB4" w:rsidRPr="00176C67">
        <w:t xml:space="preserve">for </w:t>
      </w:r>
      <w:r w:rsidRPr="00176C67">
        <w:t>amending the first two years of the settings</w:t>
      </w:r>
      <w:r w:rsidR="008C653D" w:rsidRPr="00176C67">
        <w:t>, so the inflation adjustments would only apply from 2028 onwards</w:t>
      </w:r>
      <w:r w:rsidRPr="00176C67">
        <w:t>.</w:t>
      </w:r>
    </w:p>
    <w:p w14:paraId="39BC392C" w14:textId="4536932E" w:rsidR="00480A36" w:rsidRDefault="00480A36" w:rsidP="0092435A">
      <w:pPr>
        <w:pStyle w:val="FigureTabletitle"/>
      </w:pPr>
      <w:r w:rsidRPr="00176C67">
        <w:rPr>
          <w:color w:val="1F3864" w:themeColor="accent1" w:themeShade="80"/>
        </w:rPr>
        <w:t>Table 4</w:t>
      </w:r>
      <w:r w:rsidR="002726EF" w:rsidRPr="00176C67">
        <w:rPr>
          <w:color w:val="1F3864" w:themeColor="accent1" w:themeShade="80"/>
        </w:rPr>
        <w:t>.3</w:t>
      </w:r>
      <w:r w:rsidRPr="00176C67">
        <w:rPr>
          <w:color w:val="1F3864" w:themeColor="accent1" w:themeShade="80"/>
          <w:szCs w:val="20"/>
        </w:rPr>
        <w:t>:</w:t>
      </w:r>
      <w:r w:rsidRPr="00176C67">
        <w:rPr>
          <w:b w:val="0"/>
          <w:color w:val="1F3864" w:themeColor="accent1" w:themeShade="80"/>
          <w:szCs w:val="20"/>
        </w:rPr>
        <w:t xml:space="preserve"> Recommended trigger prices for the CCR</w:t>
      </w:r>
    </w:p>
    <w:tbl>
      <w:tblPr>
        <w:tblStyle w:val="GridTable5Dark-Accent5"/>
        <w:tblW w:w="5000" w:type="pct"/>
        <w:tblCellMar>
          <w:left w:w="113" w:type="dxa"/>
          <w:right w:w="113" w:type="dxa"/>
        </w:tblCellMar>
        <w:tblLook w:val="04A0" w:firstRow="1" w:lastRow="0" w:firstColumn="1" w:lastColumn="0" w:noHBand="0" w:noVBand="1"/>
      </w:tblPr>
      <w:tblGrid>
        <w:gridCol w:w="1984"/>
        <w:gridCol w:w="1417"/>
        <w:gridCol w:w="945"/>
        <w:gridCol w:w="472"/>
        <w:gridCol w:w="1417"/>
        <w:gridCol w:w="473"/>
        <w:gridCol w:w="943"/>
        <w:gridCol w:w="1419"/>
      </w:tblGrid>
      <w:tr w:rsidR="00D76B3D" w:rsidRPr="00FC0DBD" w14:paraId="58864B40" w14:textId="77777777" w:rsidTr="009C7796">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094" w:type="pct"/>
            <w:tcBorders>
              <w:top w:val="nil"/>
              <w:left w:val="nil"/>
              <w:bottom w:val="single" w:sz="4" w:space="0" w:color="FFFFFF" w:themeColor="background1"/>
            </w:tcBorders>
            <w:shd w:val="clear" w:color="auto" w:fill="002060"/>
            <w:vAlign w:val="center"/>
          </w:tcPr>
          <w:p w14:paraId="5EF83BE0" w14:textId="5D7D8C11" w:rsidR="00FC0DBD" w:rsidRPr="00525F0E" w:rsidRDefault="00FC0DBD" w:rsidP="00CA6D9C">
            <w:pPr>
              <w:pStyle w:val="Tableparagraphwhite"/>
            </w:pPr>
            <w:r w:rsidRPr="00CA6D9C">
              <w:rPr>
                <w:b/>
              </w:rPr>
              <w:t>CCR trigger prices</w:t>
            </w:r>
          </w:p>
        </w:tc>
        <w:tc>
          <w:tcPr>
            <w:tcW w:w="1302" w:type="pct"/>
            <w:gridSpan w:val="2"/>
            <w:tcBorders>
              <w:top w:val="nil"/>
              <w:bottom w:val="single" w:sz="4" w:space="0" w:color="FFFFFF" w:themeColor="background1"/>
            </w:tcBorders>
            <w:shd w:val="clear" w:color="auto" w:fill="002060"/>
            <w:vAlign w:val="center"/>
          </w:tcPr>
          <w:p w14:paraId="3A1B03B5" w14:textId="47A9AABA" w:rsidR="00FC0DBD" w:rsidRPr="00CA6D9C" w:rsidRDefault="00FC0DBD" w:rsidP="00CA6D9C">
            <w:pPr>
              <w:pStyle w:val="Tableparagraphwhite"/>
              <w:cnfStyle w:val="100000000000" w:firstRow="1" w:lastRow="0" w:firstColumn="0" w:lastColumn="0" w:oddVBand="0" w:evenVBand="0" w:oddHBand="0" w:evenHBand="0" w:firstRowFirstColumn="0" w:firstRowLastColumn="0" w:lastRowFirstColumn="0" w:lastRowLastColumn="0"/>
            </w:pPr>
            <w:r w:rsidRPr="00CA6D9C">
              <w:rPr>
                <w:b/>
              </w:rPr>
              <w:t>No changes</w:t>
            </w:r>
          </w:p>
        </w:tc>
        <w:tc>
          <w:tcPr>
            <w:tcW w:w="1302" w:type="pct"/>
            <w:gridSpan w:val="3"/>
            <w:tcBorders>
              <w:top w:val="nil"/>
              <w:bottom w:val="single" w:sz="4" w:space="0" w:color="FFFFFF" w:themeColor="background1"/>
            </w:tcBorders>
            <w:shd w:val="clear" w:color="auto" w:fill="002060"/>
            <w:vAlign w:val="center"/>
          </w:tcPr>
          <w:p w14:paraId="315113D4" w14:textId="33F14B7C" w:rsidR="00FC0DBD" w:rsidRPr="00CA6D9C" w:rsidRDefault="00FC0DBD" w:rsidP="00CA6D9C">
            <w:pPr>
              <w:pStyle w:val="Tableparagraphwhite"/>
              <w:cnfStyle w:val="100000000000" w:firstRow="1" w:lastRow="0" w:firstColumn="0" w:lastColumn="0" w:oddVBand="0" w:evenVBand="0" w:oddHBand="0" w:evenHBand="0" w:firstRowFirstColumn="0" w:firstRowLastColumn="0" w:lastRowFirstColumn="0" w:lastRowLastColumn="0"/>
            </w:pPr>
            <w:r w:rsidRPr="00CA6D9C">
              <w:rPr>
                <w:b/>
              </w:rPr>
              <w:t>Updated recommendations</w:t>
            </w:r>
          </w:p>
        </w:tc>
        <w:tc>
          <w:tcPr>
            <w:tcW w:w="1302" w:type="pct"/>
            <w:gridSpan w:val="2"/>
            <w:tcBorders>
              <w:top w:val="nil"/>
              <w:bottom w:val="single" w:sz="4" w:space="0" w:color="FFFFFF" w:themeColor="background1"/>
              <w:right w:val="nil"/>
            </w:tcBorders>
            <w:shd w:val="clear" w:color="auto" w:fill="002060"/>
            <w:vAlign w:val="center"/>
          </w:tcPr>
          <w:p w14:paraId="0E727885" w14:textId="2DED91D8" w:rsidR="00FC0DBD" w:rsidRPr="00CA6D9C" w:rsidRDefault="00FC0DBD" w:rsidP="00CA6D9C">
            <w:pPr>
              <w:pStyle w:val="Tableparagraphwhite"/>
              <w:cnfStyle w:val="100000000000" w:firstRow="1" w:lastRow="0" w:firstColumn="0" w:lastColumn="0" w:oddVBand="0" w:evenVBand="0" w:oddHBand="0" w:evenHBand="0" w:firstRowFirstColumn="0" w:firstRowLastColumn="0" w:lastRowFirstColumn="0" w:lastRowLastColumn="0"/>
            </w:pPr>
            <w:r w:rsidRPr="00CA6D9C">
              <w:rPr>
                <w:b/>
              </w:rPr>
              <w:t>New</w:t>
            </w:r>
          </w:p>
        </w:tc>
      </w:tr>
      <w:tr w:rsidR="00D76B3D" w:rsidRPr="00FC0DBD" w14:paraId="0CC8F82E" w14:textId="77777777" w:rsidTr="009C779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FFFFFF" w:themeColor="background1"/>
            </w:tcBorders>
            <w:shd w:val="clear" w:color="auto" w:fill="002060"/>
            <w:vAlign w:val="center"/>
          </w:tcPr>
          <w:p w14:paraId="16E61107" w14:textId="77777777" w:rsidR="00FC0DBD" w:rsidRPr="00FC0DBD" w:rsidRDefault="00FC0DBD" w:rsidP="00CA6D9C">
            <w:pPr>
              <w:pStyle w:val="Tableparagraphwhite"/>
            </w:pPr>
          </w:p>
        </w:tc>
        <w:tc>
          <w:tcPr>
            <w:tcW w:w="781" w:type="pct"/>
            <w:tcBorders>
              <w:top w:val="single" w:sz="4" w:space="0" w:color="FFFFFF" w:themeColor="background1"/>
            </w:tcBorders>
            <w:shd w:val="clear" w:color="auto" w:fill="002060"/>
            <w:vAlign w:val="center"/>
          </w:tcPr>
          <w:p w14:paraId="1327F6EA" w14:textId="60FE1755" w:rsidR="00FC0DBD" w:rsidRPr="003252CE" w:rsidRDefault="00FC0DBD" w:rsidP="00CA6D9C">
            <w:pPr>
              <w:pStyle w:val="Tableparagraphwhite"/>
              <w:cnfStyle w:val="000000100000" w:firstRow="0" w:lastRow="0" w:firstColumn="0" w:lastColumn="0" w:oddVBand="0" w:evenVBand="0" w:oddHBand="1" w:evenHBand="0" w:firstRowFirstColumn="0" w:firstRowLastColumn="0" w:lastRowFirstColumn="0" w:lastRowLastColumn="0"/>
              <w:rPr>
                <w:rFonts w:cs="Calibri"/>
                <w:sz w:val="20"/>
                <w:szCs w:val="20"/>
              </w:rPr>
            </w:pPr>
            <w:r w:rsidRPr="003252CE">
              <w:t>2026</w:t>
            </w:r>
          </w:p>
        </w:tc>
        <w:tc>
          <w:tcPr>
            <w:tcW w:w="781" w:type="pct"/>
            <w:gridSpan w:val="2"/>
            <w:tcBorders>
              <w:top w:val="single" w:sz="4" w:space="0" w:color="FFFFFF" w:themeColor="background1"/>
            </w:tcBorders>
            <w:shd w:val="clear" w:color="auto" w:fill="002060"/>
            <w:vAlign w:val="center"/>
          </w:tcPr>
          <w:p w14:paraId="7F38196A" w14:textId="7EEE88DC" w:rsidR="00FC0DBD" w:rsidRPr="003252CE" w:rsidRDefault="00FC0DBD" w:rsidP="00CA6D9C">
            <w:pPr>
              <w:pStyle w:val="Tableparagraphwhite"/>
              <w:cnfStyle w:val="000000100000" w:firstRow="0" w:lastRow="0" w:firstColumn="0" w:lastColumn="0" w:oddVBand="0" w:evenVBand="0" w:oddHBand="1" w:evenHBand="0" w:firstRowFirstColumn="0" w:firstRowLastColumn="0" w:lastRowFirstColumn="0" w:lastRowLastColumn="0"/>
              <w:rPr>
                <w:rFonts w:cs="Calibri"/>
                <w:sz w:val="20"/>
                <w:szCs w:val="20"/>
              </w:rPr>
            </w:pPr>
            <w:r w:rsidRPr="003252CE">
              <w:t>2027</w:t>
            </w:r>
          </w:p>
        </w:tc>
        <w:tc>
          <w:tcPr>
            <w:tcW w:w="781" w:type="pct"/>
            <w:tcBorders>
              <w:top w:val="single" w:sz="4" w:space="0" w:color="FFFFFF" w:themeColor="background1"/>
            </w:tcBorders>
            <w:shd w:val="clear" w:color="auto" w:fill="002060"/>
            <w:vAlign w:val="center"/>
          </w:tcPr>
          <w:p w14:paraId="2633F05E" w14:textId="528F3E10" w:rsidR="00FC0DBD" w:rsidRPr="003252CE" w:rsidRDefault="00FC0DBD" w:rsidP="00CA6D9C">
            <w:pPr>
              <w:pStyle w:val="Tableparagraphwhite"/>
              <w:cnfStyle w:val="000000100000" w:firstRow="0" w:lastRow="0" w:firstColumn="0" w:lastColumn="0" w:oddVBand="0" w:evenVBand="0" w:oddHBand="1" w:evenHBand="0" w:firstRowFirstColumn="0" w:firstRowLastColumn="0" w:lastRowFirstColumn="0" w:lastRowLastColumn="0"/>
              <w:rPr>
                <w:rFonts w:cs="Calibri"/>
                <w:sz w:val="20"/>
                <w:szCs w:val="20"/>
              </w:rPr>
            </w:pPr>
            <w:r w:rsidRPr="003252CE">
              <w:t>2028</w:t>
            </w:r>
          </w:p>
        </w:tc>
        <w:tc>
          <w:tcPr>
            <w:tcW w:w="781" w:type="pct"/>
            <w:gridSpan w:val="2"/>
            <w:tcBorders>
              <w:top w:val="single" w:sz="4" w:space="0" w:color="FFFFFF" w:themeColor="background1"/>
            </w:tcBorders>
            <w:shd w:val="clear" w:color="auto" w:fill="002060"/>
            <w:vAlign w:val="center"/>
          </w:tcPr>
          <w:p w14:paraId="31991F8A" w14:textId="16E6C0E3" w:rsidR="00FC0DBD" w:rsidRPr="003252CE" w:rsidRDefault="00FC0DBD" w:rsidP="00CA6D9C">
            <w:pPr>
              <w:pStyle w:val="Tableparagraphwhite"/>
              <w:cnfStyle w:val="000000100000" w:firstRow="0" w:lastRow="0" w:firstColumn="0" w:lastColumn="0" w:oddVBand="0" w:evenVBand="0" w:oddHBand="1" w:evenHBand="0" w:firstRowFirstColumn="0" w:firstRowLastColumn="0" w:lastRowFirstColumn="0" w:lastRowLastColumn="0"/>
              <w:rPr>
                <w:rFonts w:cs="Calibri"/>
                <w:sz w:val="20"/>
                <w:szCs w:val="20"/>
              </w:rPr>
            </w:pPr>
            <w:r w:rsidRPr="003252CE">
              <w:t>2029</w:t>
            </w:r>
          </w:p>
        </w:tc>
        <w:tc>
          <w:tcPr>
            <w:tcW w:w="781" w:type="pct"/>
            <w:tcBorders>
              <w:top w:val="single" w:sz="4" w:space="0" w:color="FFFFFF" w:themeColor="background1"/>
            </w:tcBorders>
            <w:shd w:val="clear" w:color="auto" w:fill="002060"/>
            <w:vAlign w:val="center"/>
          </w:tcPr>
          <w:p w14:paraId="5A5BBF5B" w14:textId="61DF2A90" w:rsidR="00FC0DBD" w:rsidRPr="003252CE" w:rsidRDefault="00FC0DBD" w:rsidP="00CA6D9C">
            <w:pPr>
              <w:pStyle w:val="Tableparagraphwhite"/>
              <w:cnfStyle w:val="000000100000" w:firstRow="0" w:lastRow="0" w:firstColumn="0" w:lastColumn="0" w:oddVBand="0" w:evenVBand="0" w:oddHBand="1" w:evenHBand="0" w:firstRowFirstColumn="0" w:firstRowLastColumn="0" w:lastRowFirstColumn="0" w:lastRowLastColumn="0"/>
              <w:rPr>
                <w:rFonts w:cs="Calibri"/>
                <w:sz w:val="20"/>
                <w:szCs w:val="20"/>
              </w:rPr>
            </w:pPr>
            <w:r w:rsidRPr="003252CE">
              <w:t>2030</w:t>
            </w:r>
          </w:p>
        </w:tc>
      </w:tr>
      <w:tr w:rsidR="00D76B3D" w:rsidRPr="0091207A" w14:paraId="25FBD3BA" w14:textId="77777777" w:rsidTr="009C7796">
        <w:trPr>
          <w:trHeight w:val="482"/>
        </w:trPr>
        <w:tc>
          <w:tcPr>
            <w:cnfStyle w:val="001000000000" w:firstRow="0" w:lastRow="0" w:firstColumn="1" w:lastColumn="0" w:oddVBand="0" w:evenVBand="0" w:oddHBand="0" w:evenHBand="0" w:firstRowFirstColumn="0" w:firstRowLastColumn="0" w:lastRowFirstColumn="0" w:lastRowLastColumn="0"/>
            <w:tcW w:w="1094" w:type="pct"/>
            <w:shd w:val="clear" w:color="auto" w:fill="C1DCD5"/>
            <w:vAlign w:val="center"/>
          </w:tcPr>
          <w:p w14:paraId="7D6281C1" w14:textId="77777777" w:rsidR="007437C3" w:rsidRPr="009C7796" w:rsidRDefault="007437C3" w:rsidP="00BB42BC">
            <w:pPr>
              <w:pStyle w:val="TableParagraph"/>
              <w:jc w:val="left"/>
              <w:rPr>
                <w:b w:val="0"/>
                <w:bCs w:val="0"/>
              </w:rPr>
            </w:pPr>
            <w:r w:rsidRPr="009C7796">
              <w:rPr>
                <w:b w:val="0"/>
                <w:bCs w:val="0"/>
              </w:rPr>
              <w:t>Tier 1</w:t>
            </w:r>
          </w:p>
        </w:tc>
        <w:tc>
          <w:tcPr>
            <w:tcW w:w="781" w:type="pct"/>
            <w:shd w:val="clear" w:color="auto" w:fill="E9F5F2"/>
            <w:vAlign w:val="center"/>
          </w:tcPr>
          <w:p w14:paraId="4718D3BB" w14:textId="68077058" w:rsidR="007437C3" w:rsidRPr="007E34F5" w:rsidRDefault="007E34F5" w:rsidP="00CA6D9C">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7E34F5">
              <w:t>$203</w:t>
            </w:r>
          </w:p>
        </w:tc>
        <w:tc>
          <w:tcPr>
            <w:tcW w:w="781" w:type="pct"/>
            <w:gridSpan w:val="2"/>
            <w:shd w:val="clear" w:color="auto" w:fill="E9F5F2"/>
            <w:vAlign w:val="center"/>
          </w:tcPr>
          <w:p w14:paraId="1E7F8846" w14:textId="0D640187" w:rsidR="007437C3" w:rsidRPr="007E34F5" w:rsidRDefault="007E34F5" w:rsidP="00CA6D9C">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7E34F5">
              <w:t>$213</w:t>
            </w:r>
          </w:p>
        </w:tc>
        <w:tc>
          <w:tcPr>
            <w:tcW w:w="781" w:type="pct"/>
            <w:shd w:val="clear" w:color="auto" w:fill="D4E8DE"/>
            <w:vAlign w:val="center"/>
          </w:tcPr>
          <w:p w14:paraId="1D9BA904" w14:textId="72F1B05D" w:rsidR="007437C3" w:rsidRPr="007E34F5" w:rsidRDefault="007E34F5" w:rsidP="00CA6D9C">
            <w:pPr>
              <w:pStyle w:val="TableParagraph"/>
              <w:cnfStyle w:val="000000000000" w:firstRow="0" w:lastRow="0" w:firstColumn="0" w:lastColumn="0" w:oddVBand="0" w:evenVBand="0" w:oddHBand="0" w:evenHBand="0" w:firstRowFirstColumn="0" w:firstRowLastColumn="0" w:lastRowFirstColumn="0" w:lastRowLastColumn="0"/>
            </w:pPr>
            <w:r w:rsidRPr="007E34F5">
              <w:t>$223</w:t>
            </w:r>
          </w:p>
        </w:tc>
        <w:tc>
          <w:tcPr>
            <w:tcW w:w="781" w:type="pct"/>
            <w:gridSpan w:val="2"/>
            <w:shd w:val="clear" w:color="auto" w:fill="D4E8DE"/>
            <w:vAlign w:val="center"/>
          </w:tcPr>
          <w:p w14:paraId="77AFD225" w14:textId="7042F496" w:rsidR="007437C3" w:rsidRPr="007E34F5" w:rsidRDefault="007E34F5" w:rsidP="00CA6D9C">
            <w:pPr>
              <w:pStyle w:val="TableParagraph"/>
              <w:cnfStyle w:val="000000000000" w:firstRow="0" w:lastRow="0" w:firstColumn="0" w:lastColumn="0" w:oddVBand="0" w:evenVBand="0" w:oddHBand="0" w:evenHBand="0" w:firstRowFirstColumn="0" w:firstRowLastColumn="0" w:lastRowFirstColumn="0" w:lastRowLastColumn="0"/>
            </w:pPr>
            <w:r w:rsidRPr="007E34F5">
              <w:t>$235</w:t>
            </w:r>
          </w:p>
        </w:tc>
        <w:tc>
          <w:tcPr>
            <w:tcW w:w="781" w:type="pct"/>
            <w:shd w:val="clear" w:color="auto" w:fill="C1DCD5"/>
            <w:vAlign w:val="center"/>
          </w:tcPr>
          <w:p w14:paraId="2F1DD186" w14:textId="57052534" w:rsidR="007437C3" w:rsidRPr="007E34F5" w:rsidRDefault="007E34F5" w:rsidP="00CA6D9C">
            <w:pPr>
              <w:pStyle w:val="TableParagraph"/>
              <w:cnfStyle w:val="000000000000" w:firstRow="0" w:lastRow="0" w:firstColumn="0" w:lastColumn="0" w:oddVBand="0" w:evenVBand="0" w:oddHBand="0" w:evenHBand="0" w:firstRowFirstColumn="0" w:firstRowLastColumn="0" w:lastRowFirstColumn="0" w:lastRowLastColumn="0"/>
            </w:pPr>
            <w:r w:rsidRPr="007E34F5">
              <w:t>$246</w:t>
            </w:r>
          </w:p>
        </w:tc>
      </w:tr>
      <w:tr w:rsidR="00D76B3D" w:rsidRPr="0091207A" w14:paraId="417EBA0E" w14:textId="77777777" w:rsidTr="009C779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094" w:type="pct"/>
            <w:shd w:val="clear" w:color="auto" w:fill="C1DCD5"/>
            <w:vAlign w:val="center"/>
          </w:tcPr>
          <w:p w14:paraId="48F65C70" w14:textId="77777777" w:rsidR="007437C3" w:rsidRPr="009C7796" w:rsidRDefault="007437C3" w:rsidP="00BB42BC">
            <w:pPr>
              <w:pStyle w:val="TableParagraph"/>
              <w:jc w:val="left"/>
              <w:rPr>
                <w:b w:val="0"/>
                <w:bCs w:val="0"/>
              </w:rPr>
            </w:pPr>
            <w:r w:rsidRPr="009C7796">
              <w:rPr>
                <w:b w:val="0"/>
                <w:bCs w:val="0"/>
              </w:rPr>
              <w:t>Tier 2</w:t>
            </w:r>
          </w:p>
        </w:tc>
        <w:tc>
          <w:tcPr>
            <w:tcW w:w="781" w:type="pct"/>
            <w:shd w:val="clear" w:color="auto" w:fill="E9F5F2"/>
            <w:vAlign w:val="center"/>
          </w:tcPr>
          <w:p w14:paraId="2E4514AC" w14:textId="3F66758F" w:rsidR="007437C3" w:rsidRPr="0091207A" w:rsidRDefault="007E34F5" w:rsidP="00CA6D9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7E34F5">
              <w:t>$254</w:t>
            </w:r>
          </w:p>
        </w:tc>
        <w:tc>
          <w:tcPr>
            <w:tcW w:w="781" w:type="pct"/>
            <w:gridSpan w:val="2"/>
            <w:shd w:val="clear" w:color="auto" w:fill="E9F5F2"/>
            <w:vAlign w:val="center"/>
          </w:tcPr>
          <w:p w14:paraId="2B36D81D" w14:textId="43498713" w:rsidR="007437C3" w:rsidRPr="0091207A" w:rsidRDefault="007E34F5" w:rsidP="00CA6D9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7E34F5">
              <w:t>$267</w:t>
            </w:r>
          </w:p>
        </w:tc>
        <w:tc>
          <w:tcPr>
            <w:tcW w:w="781" w:type="pct"/>
            <w:shd w:val="clear" w:color="auto" w:fill="D4E8DE"/>
            <w:vAlign w:val="center"/>
          </w:tcPr>
          <w:p w14:paraId="720D8AE7" w14:textId="18A98AFA" w:rsidR="007437C3" w:rsidRPr="0091207A" w:rsidRDefault="007E34F5" w:rsidP="00CA6D9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7E34F5">
              <w:t>$279</w:t>
            </w:r>
          </w:p>
        </w:tc>
        <w:tc>
          <w:tcPr>
            <w:tcW w:w="781" w:type="pct"/>
            <w:gridSpan w:val="2"/>
            <w:shd w:val="clear" w:color="auto" w:fill="D4E8DE"/>
            <w:vAlign w:val="center"/>
          </w:tcPr>
          <w:p w14:paraId="0C96ACDE" w14:textId="6E6FBB8D" w:rsidR="007437C3" w:rsidRPr="0091207A" w:rsidRDefault="007E34F5" w:rsidP="00CA6D9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7E34F5">
              <w:t>$293</w:t>
            </w:r>
          </w:p>
        </w:tc>
        <w:tc>
          <w:tcPr>
            <w:tcW w:w="781" w:type="pct"/>
            <w:shd w:val="clear" w:color="auto" w:fill="C1DCD5"/>
            <w:vAlign w:val="center"/>
          </w:tcPr>
          <w:p w14:paraId="0B727853" w14:textId="3EDBBB39" w:rsidR="007437C3" w:rsidRPr="0091207A" w:rsidRDefault="007E34F5" w:rsidP="00CA6D9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7E34F5">
              <w:t>$308</w:t>
            </w:r>
          </w:p>
        </w:tc>
      </w:tr>
    </w:tbl>
    <w:p w14:paraId="7C72FE6B" w14:textId="77777777" w:rsidR="00E95E6D" w:rsidRDefault="004D2B57" w:rsidP="004D2B57">
      <w:r w:rsidRPr="00C32E12">
        <w:t xml:space="preserve">This approach means that the recommended CCR trigger price levels may not align with meeting the third emissions budget </w:t>
      </w:r>
      <w:r w:rsidRPr="00725F58">
        <w:t xml:space="preserve">and second NDC under all possible scenarios of the NZU prices that could be needed to meet them. </w:t>
      </w:r>
    </w:p>
    <w:p w14:paraId="216703A0" w14:textId="713EF177" w:rsidR="00482041" w:rsidRPr="00A37847" w:rsidRDefault="004D2B57" w:rsidP="004D2B57">
      <w:r w:rsidRPr="00725F58">
        <w:t xml:space="preserve">Nevertheless, we consider that there is a good likelihood that the proposed settings align with what is needed, and that having considered </w:t>
      </w:r>
      <w:r w:rsidR="004E7BA0" w:rsidRPr="00725F58">
        <w:t xml:space="preserve">various </w:t>
      </w:r>
      <w:r w:rsidR="00F228B6" w:rsidRPr="00725F58">
        <w:t>relevant matters</w:t>
      </w:r>
      <w:r w:rsidR="00890204" w:rsidRPr="00725F58">
        <w:t xml:space="preserve">, </w:t>
      </w:r>
      <w:r w:rsidR="00797EF7">
        <w:t>the discrepancy</w:t>
      </w:r>
      <w:r w:rsidR="00890204" w:rsidRPr="00725F58">
        <w:t xml:space="preserve"> is justified</w:t>
      </w:r>
      <w:r w:rsidR="00F228B6" w:rsidRPr="00725F58">
        <w:t>.</w:t>
      </w:r>
      <w:r w:rsidR="003B14C9" w:rsidRPr="00725F58">
        <w:rPr>
          <w:rStyle w:val="FootnoteReference"/>
        </w:rPr>
        <w:footnoteReference w:id="36"/>
      </w:r>
      <w:r w:rsidR="00F228B6" w:rsidRPr="00725F58">
        <w:t xml:space="preserve"> In particular, we have considered</w:t>
      </w:r>
      <w:r w:rsidR="00482041" w:rsidRPr="00725F58">
        <w:t xml:space="preserve">: </w:t>
      </w:r>
    </w:p>
    <w:p w14:paraId="4555F6F0" w14:textId="6120C405" w:rsidR="00CC5B63" w:rsidRPr="00A37847" w:rsidRDefault="00563680" w:rsidP="00987F23">
      <w:pPr>
        <w:pStyle w:val="ListParagraph"/>
        <w:numPr>
          <w:ilvl w:val="0"/>
          <w:numId w:val="17"/>
        </w:numPr>
      </w:pPr>
      <w:r w:rsidRPr="00A37847">
        <w:t>T</w:t>
      </w:r>
      <w:r w:rsidR="00CC5B63" w:rsidRPr="00A37847">
        <w:t xml:space="preserve">he forecast availability and costs of ways to reduce </w:t>
      </w:r>
      <w:r w:rsidR="00494D15" w:rsidRPr="00A37847">
        <w:t>emissions</w:t>
      </w:r>
      <w:r w:rsidRPr="00A37847">
        <w:t xml:space="preserve">. This included looking </w:t>
      </w:r>
      <w:r w:rsidR="00506957" w:rsidRPr="00A37847">
        <w:t xml:space="preserve">at </w:t>
      </w:r>
      <w:r w:rsidR="0069185A" w:rsidRPr="00A37847">
        <w:t xml:space="preserve">how uncertainty in </w:t>
      </w:r>
      <w:r w:rsidR="00A14FD0" w:rsidRPr="00A37847">
        <w:t>afforestation rates</w:t>
      </w:r>
      <w:r w:rsidR="0069185A" w:rsidRPr="00A37847">
        <w:t xml:space="preserve"> </w:t>
      </w:r>
      <w:r w:rsidR="00FB39C8" w:rsidRPr="00A37847">
        <w:t>would affect the availability of net removals by forests over 2031</w:t>
      </w:r>
      <w:r w:rsidR="00B74166" w:rsidRPr="12E598B1">
        <w:rPr>
          <w:rFonts w:eastAsia="Calibri" w:cs="Calibri"/>
        </w:rPr>
        <w:t>–</w:t>
      </w:r>
      <w:r w:rsidR="00FB39C8" w:rsidRPr="00A37847">
        <w:t>2035</w:t>
      </w:r>
      <w:r w:rsidR="003D7B1E" w:rsidRPr="00A37847">
        <w:t xml:space="preserve">. This </w:t>
      </w:r>
      <w:r w:rsidR="005134D5" w:rsidRPr="00A37847">
        <w:t>has</w:t>
      </w:r>
      <w:r w:rsidR="00B106BE" w:rsidRPr="00A37847" w:rsidDel="003D7B1E">
        <w:t xml:space="preserve"> </w:t>
      </w:r>
      <w:r w:rsidR="00B106BE" w:rsidRPr="00A37847">
        <w:t>flow</w:t>
      </w:r>
      <w:r w:rsidR="00933589">
        <w:t>-</w:t>
      </w:r>
      <w:r w:rsidR="00B106BE" w:rsidRPr="00A37847">
        <w:t xml:space="preserve">on effects for the costs of emissions reductions that may have to be incentivised by the NZ ETS in other sectors. </w:t>
      </w:r>
    </w:p>
    <w:p w14:paraId="5DEAE914" w14:textId="5F3F67E5" w:rsidR="00B0734D" w:rsidRPr="00F812D8" w:rsidRDefault="00DD63AF" w:rsidP="00987F23">
      <w:pPr>
        <w:pStyle w:val="ListParagraph"/>
        <w:numPr>
          <w:ilvl w:val="0"/>
          <w:numId w:val="17"/>
        </w:numPr>
      </w:pPr>
      <w:r w:rsidRPr="00A37847">
        <w:t>T</w:t>
      </w:r>
      <w:r w:rsidR="00766CF5" w:rsidRPr="00A37847">
        <w:t xml:space="preserve">he </w:t>
      </w:r>
      <w:r w:rsidR="002F15E9" w:rsidRPr="00A37847">
        <w:t xml:space="preserve">role of regulatory predictability </w:t>
      </w:r>
      <w:r w:rsidR="00CA442A" w:rsidRPr="00A37847">
        <w:t xml:space="preserve">in the </w:t>
      </w:r>
      <w:r w:rsidR="00766CF5" w:rsidRPr="00A37847">
        <w:t>proper functioning of the NZ ETS</w:t>
      </w:r>
      <w:r w:rsidR="00CA442A" w:rsidRPr="00A37847">
        <w:t>. We</w:t>
      </w:r>
      <w:r w:rsidR="00B0734D" w:rsidRPr="00A37847">
        <w:t xml:space="preserve"> consider </w:t>
      </w:r>
      <w:r w:rsidR="00CA442A" w:rsidRPr="00A37847">
        <w:t xml:space="preserve">it </w:t>
      </w:r>
      <w:r w:rsidR="00B0734D" w:rsidRPr="00A37847">
        <w:t xml:space="preserve">important for the effectiveness of the scheme that the price </w:t>
      </w:r>
      <w:r w:rsidR="00B0734D" w:rsidRPr="00F812D8">
        <w:t>settings are not changed unnecessarily</w:t>
      </w:r>
      <w:r w:rsidR="00976809" w:rsidRPr="00F812D8">
        <w:t>,</w:t>
      </w:r>
      <w:r w:rsidR="000E0066" w:rsidRPr="00F812D8">
        <w:t xml:space="preserve"> and if there is a need to do so, it should be signalled as </w:t>
      </w:r>
      <w:r w:rsidR="00EA37CD">
        <w:t>far</w:t>
      </w:r>
      <w:r w:rsidR="00EA37CD" w:rsidRPr="00F812D8">
        <w:t xml:space="preserve"> </w:t>
      </w:r>
      <w:r w:rsidR="000E0066" w:rsidRPr="00F812D8">
        <w:t>in advance as possible</w:t>
      </w:r>
      <w:r w:rsidR="00C20E61" w:rsidRPr="00F812D8">
        <w:t xml:space="preserve">. </w:t>
      </w:r>
    </w:p>
    <w:p w14:paraId="0851D0ED" w14:textId="4B56177F" w:rsidR="00801E81" w:rsidRPr="00F812D8" w:rsidRDefault="007C0EE1" w:rsidP="001338CB">
      <w:r w:rsidRPr="00F812D8">
        <w:t>Another</w:t>
      </w:r>
      <w:r w:rsidR="00122235" w:rsidRPr="00F812D8">
        <w:t xml:space="preserve"> relevant matter </w:t>
      </w:r>
      <w:r w:rsidR="00290D63">
        <w:t>we have considered</w:t>
      </w:r>
      <w:r w:rsidR="00122235" w:rsidRPr="00F812D8">
        <w:t xml:space="preserve"> </w:t>
      </w:r>
      <w:r w:rsidR="001338CB" w:rsidRPr="00F812D8">
        <w:t>is</w:t>
      </w:r>
      <w:r w:rsidR="004D2B57" w:rsidRPr="00F812D8">
        <w:t xml:space="preserve"> that the policies to meet the third emissions budget are evolving, with the third emissions reduction plan due in 2029.     </w:t>
      </w:r>
    </w:p>
    <w:p w14:paraId="74C8F6D3" w14:textId="0E76F62E" w:rsidR="003D7934" w:rsidRDefault="003D7934" w:rsidP="00FA0055">
      <w:pPr>
        <w:pStyle w:val="Heading3"/>
      </w:pPr>
      <w:r>
        <w:lastRenderedPageBreak/>
        <w:t>Determining the</w:t>
      </w:r>
      <w:r w:rsidR="0022473C">
        <w:t xml:space="preserve"> CCR</w:t>
      </w:r>
      <w:r>
        <w:t xml:space="preserve"> reserve volumes</w:t>
      </w:r>
    </w:p>
    <w:p w14:paraId="5CB1E553" w14:textId="70361FBD" w:rsidR="003D7934" w:rsidRDefault="003D7934" w:rsidP="003D7934">
      <w:r>
        <w:t xml:space="preserve">The existing CCR reserve volume </w:t>
      </w:r>
      <w:r w:rsidR="00480658">
        <w:t>is</w:t>
      </w:r>
      <w:r>
        <w:t xml:space="preserve"> based on recommendations the Commission made in its first, 2022 advice on the NZ ETS settings. The total volume in the two tiers of the CCR was set to be equal to the total surplus reduction volume estimated in 2022. </w:t>
      </w:r>
    </w:p>
    <w:p w14:paraId="2FB797EA" w14:textId="04992FF7" w:rsidR="003D7934" w:rsidRDefault="003D7934" w:rsidP="003D7934">
      <w:r>
        <w:t xml:space="preserve">This volume has not been adjusted as the surplus estimate has changed. The CCR’s ability to contain prices, in the unlikely event that it is triggered, will be related to whether reserve volume is sufficient to </w:t>
      </w:r>
      <w:r w:rsidR="00687088">
        <w:t xml:space="preserve">satisfy </w:t>
      </w:r>
      <w:r>
        <w:t>participants</w:t>
      </w:r>
      <w:r w:rsidR="000D6EBE">
        <w:t>’</w:t>
      </w:r>
      <w:r>
        <w:t xml:space="preserve"> </w:t>
      </w:r>
      <w:r w:rsidR="00EE0513">
        <w:t>near-term</w:t>
      </w:r>
      <w:r>
        <w:t xml:space="preserve"> surrender obligations and hedging needs. Fluctuations in the surplus have not been caused by increased unit demand, so it does not follow that they justify an increase to the reserve volume. </w:t>
      </w:r>
      <w:r w:rsidR="004A2A9D">
        <w:t xml:space="preserve">We have </w:t>
      </w:r>
      <w:r w:rsidR="00B25C81">
        <w:t xml:space="preserve">also not seen </w:t>
      </w:r>
      <w:r w:rsidR="000B5CD6">
        <w:t xml:space="preserve">other </w:t>
      </w:r>
      <w:r w:rsidR="00B25C81">
        <w:t>evidence</w:t>
      </w:r>
      <w:r w:rsidR="001C3AE5">
        <w:t xml:space="preserve"> to</w:t>
      </w:r>
      <w:r w:rsidR="00B25C81">
        <w:t xml:space="preserve"> suggest</w:t>
      </w:r>
      <w:r w:rsidR="001C3AE5">
        <w:t xml:space="preserve"> </w:t>
      </w:r>
      <w:r w:rsidR="00B25C81">
        <w:t xml:space="preserve">that the existing </w:t>
      </w:r>
      <w:r w:rsidR="008C6A40">
        <w:t xml:space="preserve">volumes are inappropriate. </w:t>
      </w:r>
    </w:p>
    <w:p w14:paraId="2E8B6EB7" w14:textId="0FF9C638" w:rsidR="001D20B8" w:rsidRPr="00602E4B" w:rsidRDefault="003D7934" w:rsidP="003D7934">
      <w:r>
        <w:t xml:space="preserve">As </w:t>
      </w:r>
      <w:r w:rsidR="00A948D1">
        <w:t xml:space="preserve">in </w:t>
      </w:r>
      <w:r>
        <w:t>last year</w:t>
      </w:r>
      <w:r w:rsidR="00FF7D6D">
        <w:t>’</w:t>
      </w:r>
      <w:r>
        <w:t>s advice, we see no compelling case to change the reserve volume. Retaining the existing volumes would support regulatory predictability</w:t>
      </w:r>
      <w:r w:rsidR="00CF0622">
        <w:t>, and</w:t>
      </w:r>
      <w:r w:rsidR="00B22F10">
        <w:t xml:space="preserve"> would</w:t>
      </w:r>
      <w:r>
        <w:t xml:space="preserve"> be consistent with our recommended continuation of the existing CCR price triggers. </w:t>
      </w:r>
    </w:p>
    <w:p w14:paraId="792AB281" w14:textId="22C11E25" w:rsidR="006070FC" w:rsidRPr="006070FC" w:rsidRDefault="006070FC" w:rsidP="00FF4148">
      <w:pPr>
        <w:pStyle w:val="FigureTabletitle"/>
      </w:pPr>
      <w:r w:rsidRPr="008659E5">
        <w:t>Table 4</w:t>
      </w:r>
      <w:r w:rsidR="00C16E22" w:rsidRPr="008659E5">
        <w:t>.4</w:t>
      </w:r>
      <w:r w:rsidRPr="008659E5">
        <w:t>:</w:t>
      </w:r>
      <w:r w:rsidRPr="006070FC">
        <w:t xml:space="preserve"> </w:t>
      </w:r>
      <w:r w:rsidRPr="00FF4148">
        <w:rPr>
          <w:b w:val="0"/>
          <w:bCs w:val="0"/>
        </w:rPr>
        <w:t xml:space="preserve">Recommended </w:t>
      </w:r>
      <w:r w:rsidR="00174036" w:rsidRPr="00FF4148">
        <w:rPr>
          <w:b w:val="0"/>
          <w:bCs w:val="0"/>
        </w:rPr>
        <w:t>CCR reserve volumes</w:t>
      </w:r>
      <w:r w:rsidR="00174036">
        <w:t xml:space="preserve"> </w:t>
      </w:r>
    </w:p>
    <w:tbl>
      <w:tblPr>
        <w:tblStyle w:val="GridTable5Dark-Accent5"/>
        <w:tblW w:w="5000" w:type="pct"/>
        <w:tblCellMar>
          <w:left w:w="113" w:type="dxa"/>
          <w:right w:w="113" w:type="dxa"/>
        </w:tblCellMar>
        <w:tblLook w:val="04A0" w:firstRow="1" w:lastRow="0" w:firstColumn="1" w:lastColumn="0" w:noHBand="0" w:noVBand="1"/>
      </w:tblPr>
      <w:tblGrid>
        <w:gridCol w:w="2126"/>
        <w:gridCol w:w="1386"/>
        <w:gridCol w:w="1386"/>
        <w:gridCol w:w="1386"/>
        <w:gridCol w:w="1388"/>
        <w:gridCol w:w="1388"/>
      </w:tblGrid>
      <w:tr w:rsidR="00104D04" w:rsidRPr="00104D04" w14:paraId="679AD8EB" w14:textId="77777777" w:rsidTr="00104D04">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173" w:type="pct"/>
            <w:shd w:val="clear" w:color="auto" w:fill="002060"/>
            <w:vAlign w:val="center"/>
          </w:tcPr>
          <w:p w14:paraId="3B52F0A6" w14:textId="77777777" w:rsidR="00104D04" w:rsidRPr="00104D04" w:rsidRDefault="00104D04" w:rsidP="00104D04">
            <w:pPr>
              <w:pStyle w:val="Tableparagraphwhite"/>
              <w:jc w:val="left"/>
              <w:rPr>
                <w:rFonts w:ascii="ZWAdobeF" w:hAnsi="ZWAdobeF" w:cs="ZWAdobeF"/>
                <w:b/>
                <w:bCs/>
                <w:color w:val="auto"/>
                <w:sz w:val="2"/>
                <w:szCs w:val="2"/>
              </w:rPr>
            </w:pPr>
          </w:p>
        </w:tc>
        <w:tc>
          <w:tcPr>
            <w:tcW w:w="3061" w:type="pct"/>
            <w:gridSpan w:val="4"/>
            <w:shd w:val="clear" w:color="auto" w:fill="002060"/>
            <w:vAlign w:val="center"/>
          </w:tcPr>
          <w:p w14:paraId="6E47D0D4" w14:textId="2EEBE743" w:rsidR="00104D04" w:rsidRPr="00104D04" w:rsidRDefault="00104D04" w:rsidP="00CA6D9C">
            <w:pPr>
              <w:pStyle w:val="Tableparagraphwhite"/>
              <w:cnfStyle w:val="100000000000" w:firstRow="1" w:lastRow="0" w:firstColumn="0" w:lastColumn="0" w:oddVBand="0" w:evenVBand="0" w:oddHBand="0" w:evenHBand="0" w:firstRowFirstColumn="0" w:firstRowLastColumn="0" w:lastRowFirstColumn="0" w:lastRowLastColumn="0"/>
              <w:rPr>
                <w:b/>
                <w:bCs/>
              </w:rPr>
            </w:pPr>
            <w:r w:rsidRPr="00104D04">
              <w:rPr>
                <w:b/>
                <w:bCs/>
              </w:rPr>
              <w:t>No change</w:t>
            </w:r>
          </w:p>
        </w:tc>
        <w:tc>
          <w:tcPr>
            <w:tcW w:w="766" w:type="pct"/>
            <w:shd w:val="clear" w:color="auto" w:fill="002060"/>
            <w:vAlign w:val="center"/>
          </w:tcPr>
          <w:p w14:paraId="542341A9" w14:textId="1FAA5BDD" w:rsidR="00104D04" w:rsidRPr="00104D04" w:rsidRDefault="00104D04" w:rsidP="00CA6D9C">
            <w:pPr>
              <w:pStyle w:val="Tableparagraphwhite"/>
              <w:cnfStyle w:val="100000000000" w:firstRow="1" w:lastRow="0" w:firstColumn="0" w:lastColumn="0" w:oddVBand="0" w:evenVBand="0" w:oddHBand="0" w:evenHBand="0" w:firstRowFirstColumn="0" w:firstRowLastColumn="0" w:lastRowFirstColumn="0" w:lastRowLastColumn="0"/>
              <w:rPr>
                <w:b/>
                <w:bCs/>
              </w:rPr>
            </w:pPr>
            <w:r w:rsidRPr="00104D04">
              <w:rPr>
                <w:b/>
                <w:bCs/>
              </w:rPr>
              <w:t>New</w:t>
            </w:r>
          </w:p>
        </w:tc>
      </w:tr>
      <w:tr w:rsidR="00D76B3D" w:rsidRPr="00104D04" w14:paraId="401EC705" w14:textId="77777777" w:rsidTr="00104D0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173" w:type="pct"/>
            <w:shd w:val="clear" w:color="auto" w:fill="002060"/>
            <w:vAlign w:val="center"/>
          </w:tcPr>
          <w:p w14:paraId="12908236" w14:textId="43FA9D00" w:rsidR="00225911" w:rsidRPr="00104D04" w:rsidRDefault="00987F23" w:rsidP="00104D04">
            <w:pPr>
              <w:pStyle w:val="Tableparagraphwhite"/>
              <w:jc w:val="left"/>
              <w:rPr>
                <w:rFonts w:asciiTheme="majorHAnsi" w:hAnsiTheme="majorHAnsi" w:cstheme="majorHAnsi"/>
              </w:rPr>
            </w:pPr>
            <w:r w:rsidRPr="00104D04">
              <w:rPr>
                <w:rFonts w:asciiTheme="majorHAnsi" w:hAnsiTheme="majorHAnsi" w:cstheme="majorHAnsi"/>
                <w:color w:val="auto"/>
                <w:sz w:val="2"/>
                <w:szCs w:val="2"/>
              </w:rPr>
              <w:t>15B</w:t>
            </w:r>
            <w:r w:rsidR="00C36C60" w:rsidRPr="00104D04">
              <w:rPr>
                <w:rFonts w:asciiTheme="majorHAnsi" w:hAnsiTheme="majorHAnsi" w:cstheme="majorHAnsi"/>
              </w:rPr>
              <w:t>Million NZUs</w:t>
            </w:r>
          </w:p>
        </w:tc>
        <w:tc>
          <w:tcPr>
            <w:tcW w:w="765" w:type="pct"/>
            <w:shd w:val="clear" w:color="auto" w:fill="002060"/>
            <w:vAlign w:val="center"/>
          </w:tcPr>
          <w:p w14:paraId="4CE00B63" w14:textId="77777777" w:rsidR="00225911" w:rsidRPr="00104D04" w:rsidRDefault="00225911" w:rsidP="00CA6D9C">
            <w:pPr>
              <w:pStyle w:val="Tableparagraphwhit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lang w:val="en-NZ"/>
              </w:rPr>
            </w:pPr>
            <w:r w:rsidRPr="00104D04">
              <w:rPr>
                <w:rFonts w:asciiTheme="majorHAnsi" w:hAnsiTheme="majorHAnsi" w:cstheme="majorHAnsi"/>
                <w:b w:val="0"/>
              </w:rPr>
              <w:t>2026</w:t>
            </w:r>
          </w:p>
        </w:tc>
        <w:tc>
          <w:tcPr>
            <w:tcW w:w="765" w:type="pct"/>
            <w:shd w:val="clear" w:color="auto" w:fill="002060"/>
            <w:vAlign w:val="center"/>
          </w:tcPr>
          <w:p w14:paraId="4A21BC07" w14:textId="77777777" w:rsidR="00225911" w:rsidRPr="00104D04" w:rsidRDefault="00225911" w:rsidP="00CA6D9C">
            <w:pPr>
              <w:pStyle w:val="Tableparagraphwhit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lang w:val="en-NZ"/>
              </w:rPr>
            </w:pPr>
            <w:r w:rsidRPr="00104D04">
              <w:rPr>
                <w:rFonts w:asciiTheme="majorHAnsi" w:hAnsiTheme="majorHAnsi" w:cstheme="majorHAnsi"/>
                <w:b w:val="0"/>
              </w:rPr>
              <w:t>2027</w:t>
            </w:r>
          </w:p>
        </w:tc>
        <w:tc>
          <w:tcPr>
            <w:tcW w:w="765" w:type="pct"/>
            <w:shd w:val="clear" w:color="auto" w:fill="002060"/>
            <w:vAlign w:val="center"/>
          </w:tcPr>
          <w:p w14:paraId="0B373FA6" w14:textId="77777777" w:rsidR="00225911" w:rsidRPr="00104D04" w:rsidRDefault="00225911" w:rsidP="00CA6D9C">
            <w:pPr>
              <w:pStyle w:val="Tableparagraphwhit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rPr>
            </w:pPr>
            <w:r w:rsidRPr="00104D04">
              <w:rPr>
                <w:rFonts w:asciiTheme="majorHAnsi" w:hAnsiTheme="majorHAnsi" w:cstheme="majorHAnsi"/>
                <w:b w:val="0"/>
              </w:rPr>
              <w:t>2028</w:t>
            </w:r>
          </w:p>
        </w:tc>
        <w:tc>
          <w:tcPr>
            <w:tcW w:w="765" w:type="pct"/>
            <w:shd w:val="clear" w:color="auto" w:fill="002060"/>
            <w:vAlign w:val="center"/>
          </w:tcPr>
          <w:p w14:paraId="61917462" w14:textId="77777777" w:rsidR="00225911" w:rsidRPr="00104D04" w:rsidRDefault="00225911" w:rsidP="00CA6D9C">
            <w:pPr>
              <w:pStyle w:val="Tableparagraphwhit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rPr>
            </w:pPr>
            <w:r w:rsidRPr="00104D04">
              <w:rPr>
                <w:rFonts w:asciiTheme="majorHAnsi" w:hAnsiTheme="majorHAnsi" w:cstheme="majorHAnsi"/>
                <w:b w:val="0"/>
              </w:rPr>
              <w:t>2029</w:t>
            </w:r>
          </w:p>
        </w:tc>
        <w:tc>
          <w:tcPr>
            <w:tcW w:w="766" w:type="pct"/>
            <w:shd w:val="clear" w:color="auto" w:fill="002060"/>
            <w:vAlign w:val="center"/>
          </w:tcPr>
          <w:p w14:paraId="242AAC78" w14:textId="1E9A802D" w:rsidR="00225911" w:rsidRPr="00104D04" w:rsidRDefault="00225911" w:rsidP="00CA6D9C">
            <w:pPr>
              <w:pStyle w:val="Tableparagraphwhit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rPr>
            </w:pPr>
            <w:r w:rsidRPr="00104D04">
              <w:rPr>
                <w:rFonts w:asciiTheme="majorHAnsi" w:hAnsiTheme="majorHAnsi" w:cstheme="majorHAnsi"/>
                <w:b w:val="0"/>
              </w:rPr>
              <w:t>2030</w:t>
            </w:r>
          </w:p>
        </w:tc>
      </w:tr>
      <w:tr w:rsidR="00D76B3D" w:rsidRPr="0091207A" w14:paraId="10B0894A" w14:textId="77777777" w:rsidTr="00104D04">
        <w:trPr>
          <w:trHeight w:val="482"/>
        </w:trPr>
        <w:tc>
          <w:tcPr>
            <w:cnfStyle w:val="001000000000" w:firstRow="0" w:lastRow="0" w:firstColumn="1" w:lastColumn="0" w:oddVBand="0" w:evenVBand="0" w:oddHBand="0" w:evenHBand="0" w:firstRowFirstColumn="0" w:firstRowLastColumn="0" w:lastRowFirstColumn="0" w:lastRowLastColumn="0"/>
            <w:tcW w:w="1173" w:type="pct"/>
            <w:shd w:val="clear" w:color="auto" w:fill="D4E8DE"/>
            <w:vAlign w:val="center"/>
          </w:tcPr>
          <w:p w14:paraId="77C5D42B" w14:textId="53FFA1A0" w:rsidR="00225911" w:rsidRPr="004E58BB" w:rsidRDefault="00225911" w:rsidP="00104D04">
            <w:pPr>
              <w:pStyle w:val="TableParagraph"/>
              <w:jc w:val="left"/>
              <w:rPr>
                <w:b w:val="0"/>
                <w:bCs w:val="0"/>
                <w:lang w:val="en-NZ"/>
              </w:rPr>
            </w:pPr>
            <w:r w:rsidRPr="004E58BB">
              <w:rPr>
                <w:b w:val="0"/>
                <w:bCs w:val="0"/>
              </w:rPr>
              <w:t>Tier 1 volume</w:t>
            </w:r>
          </w:p>
        </w:tc>
        <w:tc>
          <w:tcPr>
            <w:tcW w:w="765" w:type="pct"/>
            <w:shd w:val="clear" w:color="auto" w:fill="E9F5F2"/>
            <w:vAlign w:val="center"/>
          </w:tcPr>
          <w:p w14:paraId="7B696F27" w14:textId="0EB76683" w:rsidR="00225911" w:rsidRPr="00C16E22" w:rsidRDefault="001D1183" w:rsidP="00CA6D9C">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C16E22">
              <w:t>2.3</w:t>
            </w:r>
          </w:p>
        </w:tc>
        <w:tc>
          <w:tcPr>
            <w:tcW w:w="765" w:type="pct"/>
            <w:shd w:val="clear" w:color="auto" w:fill="E9F5F2"/>
            <w:vAlign w:val="center"/>
          </w:tcPr>
          <w:p w14:paraId="16DA1CFD" w14:textId="5262C1B5" w:rsidR="00225911" w:rsidRPr="00C16E22" w:rsidRDefault="001D1183" w:rsidP="00CA6D9C">
            <w:pPr>
              <w:pStyle w:val="TableParagraph"/>
              <w:cnfStyle w:val="000000000000" w:firstRow="0" w:lastRow="0" w:firstColumn="0" w:lastColumn="0" w:oddVBand="0" w:evenVBand="0" w:oddHBand="0" w:evenHBand="0" w:firstRowFirstColumn="0" w:firstRowLastColumn="0" w:lastRowFirstColumn="0" w:lastRowLastColumn="0"/>
              <w:rPr>
                <w:lang w:val="en-NZ"/>
              </w:rPr>
            </w:pPr>
            <w:r w:rsidRPr="00C16E22">
              <w:t>2.1</w:t>
            </w:r>
          </w:p>
        </w:tc>
        <w:tc>
          <w:tcPr>
            <w:tcW w:w="765" w:type="pct"/>
            <w:shd w:val="clear" w:color="auto" w:fill="E9F5F2"/>
            <w:vAlign w:val="center"/>
          </w:tcPr>
          <w:p w14:paraId="4896C617" w14:textId="7F29D0F0" w:rsidR="00225911" w:rsidRPr="00C16E22" w:rsidRDefault="001D1183" w:rsidP="00CA6D9C">
            <w:pPr>
              <w:pStyle w:val="TableParagraph"/>
              <w:cnfStyle w:val="000000000000" w:firstRow="0" w:lastRow="0" w:firstColumn="0" w:lastColumn="0" w:oddVBand="0" w:evenVBand="0" w:oddHBand="0" w:evenHBand="0" w:firstRowFirstColumn="0" w:firstRowLastColumn="0" w:lastRowFirstColumn="0" w:lastRowLastColumn="0"/>
            </w:pPr>
            <w:r w:rsidRPr="00C16E22">
              <w:t>1.9</w:t>
            </w:r>
          </w:p>
        </w:tc>
        <w:tc>
          <w:tcPr>
            <w:tcW w:w="765" w:type="pct"/>
            <w:shd w:val="clear" w:color="auto" w:fill="E9F5F2"/>
            <w:vAlign w:val="center"/>
          </w:tcPr>
          <w:p w14:paraId="5B3A3253" w14:textId="2738D5F9" w:rsidR="00225911" w:rsidRPr="00C16E22" w:rsidRDefault="001D1183" w:rsidP="00CA6D9C">
            <w:pPr>
              <w:pStyle w:val="TableParagraph"/>
              <w:cnfStyle w:val="000000000000" w:firstRow="0" w:lastRow="0" w:firstColumn="0" w:lastColumn="0" w:oddVBand="0" w:evenVBand="0" w:oddHBand="0" w:evenHBand="0" w:firstRowFirstColumn="0" w:firstRowLastColumn="0" w:lastRowFirstColumn="0" w:lastRowLastColumn="0"/>
            </w:pPr>
            <w:r w:rsidRPr="00C16E22">
              <w:t>1.7</w:t>
            </w:r>
          </w:p>
        </w:tc>
        <w:tc>
          <w:tcPr>
            <w:tcW w:w="766" w:type="pct"/>
            <w:shd w:val="clear" w:color="auto" w:fill="D4E8DE"/>
            <w:vAlign w:val="center"/>
          </w:tcPr>
          <w:p w14:paraId="62A98F6A" w14:textId="18150651" w:rsidR="00225911" w:rsidRPr="00C16E22" w:rsidRDefault="001D1183" w:rsidP="00CA6D9C">
            <w:pPr>
              <w:pStyle w:val="TableParagraph"/>
              <w:cnfStyle w:val="000000000000" w:firstRow="0" w:lastRow="0" w:firstColumn="0" w:lastColumn="0" w:oddVBand="0" w:evenVBand="0" w:oddHBand="0" w:evenHBand="0" w:firstRowFirstColumn="0" w:firstRowLastColumn="0" w:lastRowFirstColumn="0" w:lastRowLastColumn="0"/>
            </w:pPr>
            <w:r w:rsidRPr="00C16E22">
              <w:t>1.4</w:t>
            </w:r>
          </w:p>
        </w:tc>
      </w:tr>
      <w:tr w:rsidR="00D76B3D" w:rsidRPr="0091207A" w14:paraId="2CC38878" w14:textId="77777777" w:rsidTr="00104D0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173" w:type="pct"/>
            <w:shd w:val="clear" w:color="auto" w:fill="D4E8DE"/>
            <w:vAlign w:val="center"/>
          </w:tcPr>
          <w:p w14:paraId="5F8F99C6" w14:textId="77777777" w:rsidR="00225911" w:rsidRPr="004E58BB" w:rsidRDefault="00225911" w:rsidP="00104D04">
            <w:pPr>
              <w:pStyle w:val="TableParagraph"/>
              <w:jc w:val="left"/>
              <w:rPr>
                <w:b w:val="0"/>
                <w:bCs w:val="0"/>
                <w:lang w:val="en-NZ"/>
              </w:rPr>
            </w:pPr>
            <w:r w:rsidRPr="004E58BB">
              <w:rPr>
                <w:b w:val="0"/>
                <w:bCs w:val="0"/>
              </w:rPr>
              <w:t>Tier 2 volume</w:t>
            </w:r>
          </w:p>
        </w:tc>
        <w:tc>
          <w:tcPr>
            <w:tcW w:w="765" w:type="pct"/>
            <w:shd w:val="clear" w:color="auto" w:fill="E9F5F2"/>
            <w:vAlign w:val="center"/>
          </w:tcPr>
          <w:p w14:paraId="230B1C1F" w14:textId="0C13D625" w:rsidR="00225911" w:rsidRPr="00C16E22" w:rsidRDefault="001D1183" w:rsidP="00CA6D9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C16E22">
              <w:t>4.2</w:t>
            </w:r>
          </w:p>
        </w:tc>
        <w:tc>
          <w:tcPr>
            <w:tcW w:w="765" w:type="pct"/>
            <w:shd w:val="clear" w:color="auto" w:fill="E9F5F2"/>
            <w:vAlign w:val="center"/>
          </w:tcPr>
          <w:p w14:paraId="7C4286E8" w14:textId="6F8D20F0" w:rsidR="00225911" w:rsidRPr="00C16E22" w:rsidRDefault="001D1183" w:rsidP="00CA6D9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C16E22">
              <w:t>3.8</w:t>
            </w:r>
          </w:p>
        </w:tc>
        <w:tc>
          <w:tcPr>
            <w:tcW w:w="765" w:type="pct"/>
            <w:shd w:val="clear" w:color="auto" w:fill="E9F5F2"/>
            <w:vAlign w:val="center"/>
          </w:tcPr>
          <w:p w14:paraId="1F3E7495" w14:textId="6645B15A" w:rsidR="00225911" w:rsidRPr="00C16E22" w:rsidRDefault="001D1183" w:rsidP="00CA6D9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C16E22">
              <w:t>3.4</w:t>
            </w:r>
          </w:p>
        </w:tc>
        <w:tc>
          <w:tcPr>
            <w:tcW w:w="765" w:type="pct"/>
            <w:shd w:val="clear" w:color="auto" w:fill="E9F5F2"/>
            <w:vAlign w:val="center"/>
          </w:tcPr>
          <w:p w14:paraId="3A0B4D2C" w14:textId="2C1DAD78" w:rsidR="00225911" w:rsidRPr="00C16E22" w:rsidRDefault="001D1183" w:rsidP="00CA6D9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C16E22">
              <w:t>3.0</w:t>
            </w:r>
          </w:p>
        </w:tc>
        <w:tc>
          <w:tcPr>
            <w:tcW w:w="766" w:type="pct"/>
            <w:shd w:val="clear" w:color="auto" w:fill="D4E8DE"/>
            <w:vAlign w:val="center"/>
          </w:tcPr>
          <w:p w14:paraId="5E9C710A" w14:textId="252EA9F1" w:rsidR="00225911" w:rsidRPr="00C16E22" w:rsidRDefault="001D1183" w:rsidP="00CA6D9C">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C16E22">
              <w:t>2.5</w:t>
            </w:r>
          </w:p>
        </w:tc>
      </w:tr>
      <w:tr w:rsidR="00D76B3D" w:rsidRPr="0091207A" w14:paraId="260C678A" w14:textId="77777777" w:rsidTr="00104D04">
        <w:trPr>
          <w:trHeight w:val="624"/>
        </w:trPr>
        <w:tc>
          <w:tcPr>
            <w:cnfStyle w:val="001000000000" w:firstRow="0" w:lastRow="0" w:firstColumn="1" w:lastColumn="0" w:oddVBand="0" w:evenVBand="0" w:oddHBand="0" w:evenHBand="0" w:firstRowFirstColumn="0" w:firstRowLastColumn="0" w:lastRowFirstColumn="0" w:lastRowLastColumn="0"/>
            <w:tcW w:w="1173" w:type="pct"/>
            <w:shd w:val="clear" w:color="auto" w:fill="C1DCD5"/>
            <w:vAlign w:val="center"/>
          </w:tcPr>
          <w:p w14:paraId="64572A8D" w14:textId="77777777" w:rsidR="00225911" w:rsidRPr="004E58BB" w:rsidRDefault="00225911" w:rsidP="00104D04">
            <w:pPr>
              <w:pStyle w:val="TableParagraph"/>
              <w:jc w:val="left"/>
              <w:rPr>
                <w:b w:val="0"/>
                <w:bCs w:val="0"/>
                <w:lang w:val="en-NZ"/>
              </w:rPr>
            </w:pPr>
            <w:r w:rsidRPr="004E58BB">
              <w:rPr>
                <w:b w:val="0"/>
                <w:bCs w:val="0"/>
              </w:rPr>
              <w:t>Total CCR volume</w:t>
            </w:r>
          </w:p>
        </w:tc>
        <w:tc>
          <w:tcPr>
            <w:tcW w:w="765" w:type="pct"/>
            <w:shd w:val="clear" w:color="auto" w:fill="D4E8DE"/>
            <w:vAlign w:val="center"/>
          </w:tcPr>
          <w:p w14:paraId="7F083D95" w14:textId="7936F9AE" w:rsidR="00225911" w:rsidRPr="00C16E22" w:rsidRDefault="001D1183" w:rsidP="00CA6D9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C16E22">
              <w:t>6.5</w:t>
            </w:r>
          </w:p>
        </w:tc>
        <w:tc>
          <w:tcPr>
            <w:tcW w:w="765" w:type="pct"/>
            <w:shd w:val="clear" w:color="auto" w:fill="D4E8DE"/>
            <w:vAlign w:val="center"/>
          </w:tcPr>
          <w:p w14:paraId="7A2F7F93" w14:textId="4FE267E0" w:rsidR="00225911" w:rsidRPr="00C16E22" w:rsidRDefault="001D1183" w:rsidP="00CA6D9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C16E22">
              <w:t>5.9</w:t>
            </w:r>
          </w:p>
        </w:tc>
        <w:tc>
          <w:tcPr>
            <w:tcW w:w="765" w:type="pct"/>
            <w:shd w:val="clear" w:color="auto" w:fill="D4E8DE"/>
            <w:vAlign w:val="center"/>
          </w:tcPr>
          <w:p w14:paraId="0B3E33C0" w14:textId="1756E582" w:rsidR="00225911" w:rsidRPr="00C16E22" w:rsidRDefault="001D1183" w:rsidP="00CA6D9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C16E22">
              <w:t>5.3</w:t>
            </w:r>
          </w:p>
        </w:tc>
        <w:tc>
          <w:tcPr>
            <w:tcW w:w="765" w:type="pct"/>
            <w:shd w:val="clear" w:color="auto" w:fill="D4E8DE"/>
            <w:vAlign w:val="center"/>
          </w:tcPr>
          <w:p w14:paraId="6C53FE46" w14:textId="133C1F74" w:rsidR="00225911" w:rsidRPr="00C16E22" w:rsidRDefault="001D1183" w:rsidP="00CA6D9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C16E22">
              <w:t>4.7</w:t>
            </w:r>
          </w:p>
        </w:tc>
        <w:tc>
          <w:tcPr>
            <w:tcW w:w="766" w:type="pct"/>
            <w:shd w:val="clear" w:color="auto" w:fill="D4E8DE"/>
            <w:vAlign w:val="center"/>
          </w:tcPr>
          <w:p w14:paraId="6D4EC61A" w14:textId="096D00E7" w:rsidR="00225911" w:rsidRPr="00C16E22" w:rsidRDefault="001D1183" w:rsidP="00CA6D9C">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NZ"/>
              </w:rPr>
            </w:pPr>
            <w:r w:rsidRPr="00C16E22">
              <w:t>3.9</w:t>
            </w:r>
          </w:p>
        </w:tc>
      </w:tr>
    </w:tbl>
    <w:p w14:paraId="04D3F41D" w14:textId="6624486B" w:rsidR="002C72F8" w:rsidRDefault="002C72F8" w:rsidP="002C72F8">
      <w:pPr>
        <w:pStyle w:val="Heading2nonumber"/>
      </w:pPr>
      <w:bookmarkStart w:id="40" w:name="_Toc195447247"/>
      <w:r>
        <w:t>Auction reserve price</w:t>
      </w:r>
      <w:bookmarkEnd w:id="40"/>
      <w:r>
        <w:t xml:space="preserve"> </w:t>
      </w:r>
    </w:p>
    <w:p w14:paraId="056A8A7E" w14:textId="47FD834B" w:rsidR="009C162C" w:rsidRDefault="009C162C" w:rsidP="009C162C">
      <w:r>
        <w:t xml:space="preserve">The auction reserve price (ARP) is the price below which the </w:t>
      </w:r>
      <w:r w:rsidR="002968A2">
        <w:t>G</w:t>
      </w:r>
      <w:r w:rsidR="00CB6138">
        <w:t>o</w:t>
      </w:r>
      <w:r>
        <w:t>vernment will not sell units at auction.</w:t>
      </w:r>
      <w:r>
        <w:rPr>
          <w:rStyle w:val="FootnoteReference"/>
        </w:rPr>
        <w:footnoteReference w:id="37"/>
      </w:r>
      <w:r w:rsidR="00C90948">
        <w:t xml:space="preserve"> </w:t>
      </w:r>
      <w:r>
        <w:t xml:space="preserve">The purpose of the ARP is to act as a safety valve that helps guard against NZU prices dropping below what is needed for meeting emissions budgets. </w:t>
      </w:r>
    </w:p>
    <w:p w14:paraId="634FC050" w14:textId="0E46AC4B" w:rsidR="009C162C" w:rsidRDefault="009C162C" w:rsidP="009C162C">
      <w:r>
        <w:t>The ARP is not a hard price floor</w:t>
      </w:r>
      <w:r w:rsidR="00F61ECA">
        <w:t>,</w:t>
      </w:r>
      <w:r>
        <w:t xml:space="preserve"> as secondary market prices can fall below it. Instead, it </w:t>
      </w:r>
      <w:r w:rsidR="00226163">
        <w:t xml:space="preserve">supports price by preventing </w:t>
      </w:r>
      <w:r w:rsidRPr="00226163">
        <w:t xml:space="preserve">the </w:t>
      </w:r>
      <w:r w:rsidR="002968A2">
        <w:t>G</w:t>
      </w:r>
      <w:r w:rsidRPr="00226163">
        <w:t>overnment from adding further NZUs into the market when prices are low.</w:t>
      </w:r>
    </w:p>
    <w:p w14:paraId="2EE8BA8D" w14:textId="4F30EF4D" w:rsidR="00DC42B5" w:rsidRDefault="00E748B1" w:rsidP="009C162C">
      <w:r>
        <w:t>The ARP levels currently in regulations for 2025</w:t>
      </w:r>
      <w:r w:rsidR="00070192" w:rsidRPr="000A1433">
        <w:t>–</w:t>
      </w:r>
      <w:r>
        <w:t xml:space="preserve">2029 are set out in </w:t>
      </w:r>
      <w:r w:rsidRPr="002258B2">
        <w:rPr>
          <w:b/>
          <w:bCs/>
        </w:rPr>
        <w:t xml:space="preserve">Table </w:t>
      </w:r>
      <w:r w:rsidR="0066743C" w:rsidRPr="002258B2">
        <w:rPr>
          <w:b/>
          <w:bCs/>
        </w:rPr>
        <w:t>4.5</w:t>
      </w:r>
      <w:r w:rsidR="00C90948">
        <w:t xml:space="preserve">, along with </w:t>
      </w:r>
      <w:r w:rsidR="005C66F2">
        <w:t xml:space="preserve">the value for </w:t>
      </w:r>
      <w:r w:rsidR="00724061">
        <w:t>extending them to</w:t>
      </w:r>
      <w:r w:rsidR="005C66F2">
        <w:t xml:space="preserve"> 2030</w:t>
      </w:r>
      <w:r>
        <w:t xml:space="preserve">. </w:t>
      </w:r>
      <w:r w:rsidR="001817A3">
        <w:t>The</w:t>
      </w:r>
      <w:r w:rsidR="002A1E1F">
        <w:t>y</w:t>
      </w:r>
      <w:r w:rsidR="001817A3">
        <w:t xml:space="preserve"> reflect the </w:t>
      </w:r>
      <w:r w:rsidR="00D53A03">
        <w:t>Commission</w:t>
      </w:r>
      <w:r w:rsidR="00EE4BF6">
        <w:t>’s</w:t>
      </w:r>
      <w:r w:rsidR="00AD333F">
        <w:t xml:space="preserve"> 2022 advice </w:t>
      </w:r>
      <w:r w:rsidR="00D53A03">
        <w:t xml:space="preserve">that the ARP be based </w:t>
      </w:r>
      <w:r w:rsidR="0029660F">
        <w:t xml:space="preserve">on </w:t>
      </w:r>
      <w:r w:rsidR="00D53A03">
        <w:t xml:space="preserve">a price of $70 in 2030 (in 2022 dollars), discounted at 3% a year and adjusted for inflation to avoid </w:t>
      </w:r>
      <w:r w:rsidR="002A1E1F">
        <w:t xml:space="preserve">the levels being eroded in real terms. The ARP levels are also shown </w:t>
      </w:r>
      <w:r>
        <w:lastRenderedPageBreak/>
        <w:t xml:space="preserve">2024 dollars, to enable comparison with prices </w:t>
      </w:r>
      <w:r w:rsidR="002A1E1F">
        <w:t xml:space="preserve">now </w:t>
      </w:r>
      <w:r>
        <w:t xml:space="preserve">and </w:t>
      </w:r>
      <w:r w:rsidR="002A596B">
        <w:t xml:space="preserve">with </w:t>
      </w:r>
      <w:r>
        <w:t>modelling results.</w:t>
      </w:r>
      <w:r w:rsidR="006B16EE">
        <w:t xml:space="preserve"> Unless otherwise stated, prices in this section are quoted in 2024 dollars. </w:t>
      </w:r>
    </w:p>
    <w:p w14:paraId="6D6C9740" w14:textId="098E3480" w:rsidR="007812D1" w:rsidRDefault="007812D1" w:rsidP="009C162C">
      <w:r>
        <w:t xml:space="preserve">Like the CCR, recent developments such as publication of the second emissions reduction plan, and declined auctions in 2024, mean the current ARP levels’ consistency with emissions budgets needs to be re-assessed. </w:t>
      </w:r>
    </w:p>
    <w:p w14:paraId="25FD6E17" w14:textId="06752DF8" w:rsidR="009867BF" w:rsidRPr="009867BF" w:rsidRDefault="009867BF" w:rsidP="009867BF">
      <w:pPr>
        <w:pStyle w:val="FigureTabletitle"/>
        <w:rPr>
          <w:b w:val="0"/>
          <w:bCs w:val="0"/>
        </w:rPr>
      </w:pPr>
      <w:r w:rsidRPr="00B94D05">
        <w:t>Table 4.5:</w:t>
      </w:r>
      <w:r w:rsidRPr="00104D04">
        <w:t xml:space="preserve"> </w:t>
      </w:r>
      <w:r w:rsidRPr="009867BF">
        <w:rPr>
          <w:b w:val="0"/>
          <w:bCs w:val="0"/>
        </w:rPr>
        <w:t>The current ARP prices in regulations, and in 2024 dollars</w:t>
      </w:r>
    </w:p>
    <w:tbl>
      <w:tblPr>
        <w:tblStyle w:val="GridTable5Dark-Accent5"/>
        <w:tblW w:w="5000" w:type="pct"/>
        <w:tblCellMar>
          <w:left w:w="113" w:type="dxa"/>
          <w:right w:w="113" w:type="dxa"/>
        </w:tblCellMar>
        <w:tblLook w:val="04A0" w:firstRow="1" w:lastRow="0" w:firstColumn="1" w:lastColumn="0" w:noHBand="0" w:noVBand="1"/>
      </w:tblPr>
      <w:tblGrid>
        <w:gridCol w:w="3232"/>
        <w:gridCol w:w="971"/>
        <w:gridCol w:w="971"/>
        <w:gridCol w:w="971"/>
        <w:gridCol w:w="971"/>
        <w:gridCol w:w="971"/>
        <w:gridCol w:w="973"/>
      </w:tblGrid>
      <w:tr w:rsidR="00D76B3D" w:rsidRPr="005F1FCE" w14:paraId="10AA7B09" w14:textId="77777777" w:rsidTr="009867BF">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783" w:type="pct"/>
            <w:shd w:val="clear" w:color="auto" w:fill="002060"/>
            <w:vAlign w:val="center"/>
          </w:tcPr>
          <w:p w14:paraId="6B759CF5" w14:textId="7E115957" w:rsidR="00941DCC" w:rsidRPr="002A79F5" w:rsidRDefault="00941DCC" w:rsidP="00104D04">
            <w:pPr>
              <w:pStyle w:val="Tableparagraphwhite"/>
              <w:jc w:val="left"/>
            </w:pPr>
            <w:r w:rsidRPr="00104D04">
              <w:t>In regulations</w:t>
            </w:r>
          </w:p>
        </w:tc>
        <w:tc>
          <w:tcPr>
            <w:tcW w:w="536" w:type="pct"/>
            <w:shd w:val="clear" w:color="auto" w:fill="002060"/>
          </w:tcPr>
          <w:p w14:paraId="1A135B44" w14:textId="45410458" w:rsidR="00941DCC" w:rsidRPr="00104D04" w:rsidRDefault="00941DCC">
            <w:pPr>
              <w:pStyle w:val="Tableheading"/>
              <w:spacing w:before="120" w:after="120" w:line="240" w:lineRule="auto"/>
              <w:ind w:left="142"/>
              <w:cnfStyle w:val="100000000000" w:firstRow="1" w:lastRow="0" w:firstColumn="0" w:lastColumn="0" w:oddVBand="0" w:evenVBand="0" w:oddHBand="0" w:evenHBand="0" w:firstRowFirstColumn="0" w:firstRowLastColumn="0" w:lastRowFirstColumn="0" w:lastRowLastColumn="0"/>
              <w:rPr>
                <w:sz w:val="20"/>
                <w:szCs w:val="20"/>
              </w:rPr>
            </w:pPr>
            <w:r w:rsidRPr="00104D04">
              <w:rPr>
                <w:sz w:val="20"/>
                <w:szCs w:val="20"/>
              </w:rPr>
              <w:t>2025</w:t>
            </w:r>
          </w:p>
        </w:tc>
        <w:tc>
          <w:tcPr>
            <w:tcW w:w="536" w:type="pct"/>
            <w:shd w:val="clear" w:color="auto" w:fill="002060"/>
          </w:tcPr>
          <w:p w14:paraId="73A107B5" w14:textId="162398C6" w:rsidR="00941DCC" w:rsidRPr="00104D04" w:rsidRDefault="00941DCC">
            <w:pPr>
              <w:pStyle w:val="Tableheading"/>
              <w:spacing w:before="120" w:after="120" w:line="240" w:lineRule="auto"/>
              <w:ind w:left="142"/>
              <w:cnfStyle w:val="100000000000" w:firstRow="1" w:lastRow="0" w:firstColumn="0" w:lastColumn="0" w:oddVBand="0" w:evenVBand="0" w:oddHBand="0" w:evenHBand="0" w:firstRowFirstColumn="0" w:firstRowLastColumn="0" w:lastRowFirstColumn="0" w:lastRowLastColumn="0"/>
              <w:rPr>
                <w:sz w:val="20"/>
                <w:szCs w:val="20"/>
              </w:rPr>
            </w:pPr>
            <w:r w:rsidRPr="00104D04">
              <w:rPr>
                <w:sz w:val="20"/>
                <w:szCs w:val="20"/>
              </w:rPr>
              <w:t>2026</w:t>
            </w:r>
          </w:p>
        </w:tc>
        <w:tc>
          <w:tcPr>
            <w:tcW w:w="536" w:type="pct"/>
            <w:shd w:val="clear" w:color="auto" w:fill="002060"/>
          </w:tcPr>
          <w:p w14:paraId="03B199F4" w14:textId="68269381" w:rsidR="00941DCC" w:rsidRPr="00104D04" w:rsidRDefault="00941DCC">
            <w:pPr>
              <w:pStyle w:val="Tableheading"/>
              <w:spacing w:before="120" w:after="120" w:line="240" w:lineRule="auto"/>
              <w:ind w:left="142"/>
              <w:cnfStyle w:val="100000000000" w:firstRow="1" w:lastRow="0" w:firstColumn="0" w:lastColumn="0" w:oddVBand="0" w:evenVBand="0" w:oddHBand="0" w:evenHBand="0" w:firstRowFirstColumn="0" w:firstRowLastColumn="0" w:lastRowFirstColumn="0" w:lastRowLastColumn="0"/>
              <w:rPr>
                <w:sz w:val="20"/>
                <w:szCs w:val="20"/>
              </w:rPr>
            </w:pPr>
            <w:r w:rsidRPr="00104D04">
              <w:rPr>
                <w:sz w:val="20"/>
                <w:szCs w:val="20"/>
              </w:rPr>
              <w:t>2027</w:t>
            </w:r>
          </w:p>
        </w:tc>
        <w:tc>
          <w:tcPr>
            <w:tcW w:w="536" w:type="pct"/>
            <w:shd w:val="clear" w:color="auto" w:fill="002060"/>
          </w:tcPr>
          <w:p w14:paraId="4F6BC808" w14:textId="4F77F153" w:rsidR="00941DCC" w:rsidRPr="00104D04" w:rsidRDefault="00941DCC">
            <w:pPr>
              <w:pStyle w:val="Tableheading"/>
              <w:spacing w:before="120" w:after="120" w:line="240" w:lineRule="auto"/>
              <w:ind w:left="142"/>
              <w:cnfStyle w:val="100000000000" w:firstRow="1" w:lastRow="0" w:firstColumn="0" w:lastColumn="0" w:oddVBand="0" w:evenVBand="0" w:oddHBand="0" w:evenHBand="0" w:firstRowFirstColumn="0" w:firstRowLastColumn="0" w:lastRowFirstColumn="0" w:lastRowLastColumn="0"/>
              <w:rPr>
                <w:sz w:val="20"/>
                <w:szCs w:val="20"/>
              </w:rPr>
            </w:pPr>
            <w:r w:rsidRPr="00104D04">
              <w:rPr>
                <w:sz w:val="20"/>
                <w:szCs w:val="20"/>
              </w:rPr>
              <w:t>2028</w:t>
            </w:r>
          </w:p>
        </w:tc>
        <w:tc>
          <w:tcPr>
            <w:tcW w:w="536" w:type="pct"/>
            <w:shd w:val="clear" w:color="auto" w:fill="002060"/>
          </w:tcPr>
          <w:p w14:paraId="74E5C30E" w14:textId="6D242C6A" w:rsidR="00941DCC" w:rsidRPr="00104D04" w:rsidRDefault="00941DCC">
            <w:pPr>
              <w:pStyle w:val="Tableheading"/>
              <w:spacing w:before="120" w:after="120" w:line="240" w:lineRule="auto"/>
              <w:ind w:left="142"/>
              <w:cnfStyle w:val="100000000000" w:firstRow="1" w:lastRow="0" w:firstColumn="0" w:lastColumn="0" w:oddVBand="0" w:evenVBand="0" w:oddHBand="0" w:evenHBand="0" w:firstRowFirstColumn="0" w:firstRowLastColumn="0" w:lastRowFirstColumn="0" w:lastRowLastColumn="0"/>
              <w:rPr>
                <w:sz w:val="20"/>
                <w:szCs w:val="20"/>
              </w:rPr>
            </w:pPr>
            <w:r w:rsidRPr="00104D04">
              <w:rPr>
                <w:sz w:val="20"/>
                <w:szCs w:val="20"/>
              </w:rPr>
              <w:t>2029</w:t>
            </w:r>
          </w:p>
        </w:tc>
        <w:tc>
          <w:tcPr>
            <w:tcW w:w="538" w:type="pct"/>
            <w:shd w:val="clear" w:color="auto" w:fill="002060"/>
          </w:tcPr>
          <w:p w14:paraId="2D78DC5C" w14:textId="7D71B8AC" w:rsidR="00941DCC" w:rsidRPr="00104D04" w:rsidRDefault="00941DCC">
            <w:pPr>
              <w:pStyle w:val="Tableheading"/>
              <w:spacing w:before="120" w:after="120" w:line="240" w:lineRule="auto"/>
              <w:ind w:left="142"/>
              <w:cnfStyle w:val="100000000000" w:firstRow="1" w:lastRow="0" w:firstColumn="0" w:lastColumn="0" w:oddVBand="0" w:evenVBand="0" w:oddHBand="0" w:evenHBand="0" w:firstRowFirstColumn="0" w:firstRowLastColumn="0" w:lastRowFirstColumn="0" w:lastRowLastColumn="0"/>
              <w:rPr>
                <w:sz w:val="20"/>
                <w:szCs w:val="20"/>
              </w:rPr>
            </w:pPr>
            <w:r w:rsidRPr="00104D04">
              <w:rPr>
                <w:sz w:val="20"/>
                <w:szCs w:val="20"/>
              </w:rPr>
              <w:t>2030</w:t>
            </w:r>
          </w:p>
        </w:tc>
      </w:tr>
      <w:tr w:rsidR="00D76B3D" w14:paraId="53E65684" w14:textId="77777777" w:rsidTr="009867B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783" w:type="pct"/>
            <w:shd w:val="clear" w:color="auto" w:fill="C1DCD5"/>
            <w:vAlign w:val="center"/>
          </w:tcPr>
          <w:p w14:paraId="773EB1ED" w14:textId="54A1FF67" w:rsidR="00941DCC" w:rsidRPr="00F515D5" w:rsidRDefault="00941DCC" w:rsidP="00104D04">
            <w:pPr>
              <w:pStyle w:val="TableParagraph"/>
              <w:jc w:val="left"/>
              <w:rPr>
                <w:b w:val="0"/>
              </w:rPr>
            </w:pPr>
            <w:r w:rsidRPr="00104D04">
              <w:rPr>
                <w:b w:val="0"/>
              </w:rPr>
              <w:t>Auction reserve price (ARP)</w:t>
            </w:r>
          </w:p>
        </w:tc>
        <w:tc>
          <w:tcPr>
            <w:tcW w:w="536" w:type="pct"/>
            <w:shd w:val="clear" w:color="auto" w:fill="E9F5F2"/>
            <w:vAlign w:val="center"/>
          </w:tcPr>
          <w:p w14:paraId="3B3CD100" w14:textId="73C45BDD" w:rsidR="00941DCC" w:rsidRDefault="00941DCC" w:rsidP="00104D04">
            <w:pPr>
              <w:pStyle w:val="TableParagraph"/>
              <w:cnfStyle w:val="000000100000" w:firstRow="0" w:lastRow="0" w:firstColumn="0" w:lastColumn="0" w:oddVBand="0" w:evenVBand="0" w:oddHBand="1" w:evenHBand="0" w:firstRowFirstColumn="0" w:firstRowLastColumn="0" w:lastRowFirstColumn="0" w:lastRowLastColumn="0"/>
            </w:pPr>
            <w:r>
              <w:t>$</w:t>
            </w:r>
            <w:r w:rsidRPr="000E15CA">
              <w:t>68</w:t>
            </w:r>
          </w:p>
        </w:tc>
        <w:tc>
          <w:tcPr>
            <w:tcW w:w="536" w:type="pct"/>
            <w:shd w:val="clear" w:color="auto" w:fill="E9F5F2"/>
            <w:vAlign w:val="center"/>
          </w:tcPr>
          <w:p w14:paraId="272AC93D" w14:textId="11A9A906" w:rsidR="00941DCC" w:rsidRDefault="00941DCC" w:rsidP="00104D04">
            <w:pPr>
              <w:pStyle w:val="TableParagraph"/>
              <w:cnfStyle w:val="000000100000" w:firstRow="0" w:lastRow="0" w:firstColumn="0" w:lastColumn="0" w:oddVBand="0" w:evenVBand="0" w:oddHBand="1" w:evenHBand="0" w:firstRowFirstColumn="0" w:firstRowLastColumn="0" w:lastRowFirstColumn="0" w:lastRowLastColumn="0"/>
            </w:pPr>
            <w:r>
              <w:t>$71</w:t>
            </w:r>
          </w:p>
        </w:tc>
        <w:tc>
          <w:tcPr>
            <w:tcW w:w="536" w:type="pct"/>
            <w:shd w:val="clear" w:color="auto" w:fill="E9F5F2"/>
            <w:vAlign w:val="center"/>
          </w:tcPr>
          <w:p w14:paraId="2F76F3A4" w14:textId="2C345448" w:rsidR="00941DCC" w:rsidRDefault="00941DCC" w:rsidP="00104D04">
            <w:pPr>
              <w:pStyle w:val="TableParagraph"/>
              <w:cnfStyle w:val="000000100000" w:firstRow="0" w:lastRow="0" w:firstColumn="0" w:lastColumn="0" w:oddVBand="0" w:evenVBand="0" w:oddHBand="1" w:evenHBand="0" w:firstRowFirstColumn="0" w:firstRowLastColumn="0" w:lastRowFirstColumn="0" w:lastRowLastColumn="0"/>
            </w:pPr>
            <w:r>
              <w:t>$75</w:t>
            </w:r>
          </w:p>
        </w:tc>
        <w:tc>
          <w:tcPr>
            <w:tcW w:w="536" w:type="pct"/>
            <w:shd w:val="clear" w:color="auto" w:fill="E9F5F2"/>
            <w:vAlign w:val="center"/>
          </w:tcPr>
          <w:p w14:paraId="016DA330" w14:textId="74523EA1" w:rsidR="00941DCC" w:rsidRDefault="00941DCC" w:rsidP="00104D04">
            <w:pPr>
              <w:pStyle w:val="TableParagraph"/>
              <w:cnfStyle w:val="000000100000" w:firstRow="0" w:lastRow="0" w:firstColumn="0" w:lastColumn="0" w:oddVBand="0" w:evenVBand="0" w:oddHBand="1" w:evenHBand="0" w:firstRowFirstColumn="0" w:firstRowLastColumn="0" w:lastRowFirstColumn="0" w:lastRowLastColumn="0"/>
            </w:pPr>
            <w:r>
              <w:t>$78</w:t>
            </w:r>
          </w:p>
        </w:tc>
        <w:tc>
          <w:tcPr>
            <w:tcW w:w="536" w:type="pct"/>
            <w:shd w:val="clear" w:color="auto" w:fill="E9F5F2"/>
            <w:vAlign w:val="center"/>
          </w:tcPr>
          <w:p w14:paraId="661A1C49" w14:textId="489A2799" w:rsidR="00941DCC" w:rsidRDefault="00941DCC" w:rsidP="00104D04">
            <w:pPr>
              <w:pStyle w:val="TableParagraph"/>
              <w:cnfStyle w:val="000000100000" w:firstRow="0" w:lastRow="0" w:firstColumn="0" w:lastColumn="0" w:oddVBand="0" w:evenVBand="0" w:oddHBand="1" w:evenHBand="0" w:firstRowFirstColumn="0" w:firstRowLastColumn="0" w:lastRowFirstColumn="0" w:lastRowLastColumn="0"/>
            </w:pPr>
            <w:r>
              <w:t>$82</w:t>
            </w:r>
          </w:p>
        </w:tc>
        <w:tc>
          <w:tcPr>
            <w:tcW w:w="538" w:type="pct"/>
            <w:shd w:val="clear" w:color="auto" w:fill="D4E8DE"/>
            <w:vAlign w:val="center"/>
          </w:tcPr>
          <w:p w14:paraId="12BC110A" w14:textId="321D6C84" w:rsidR="00941DCC" w:rsidRDefault="00941DCC" w:rsidP="00104D04">
            <w:pPr>
              <w:pStyle w:val="TableParagraph"/>
              <w:cnfStyle w:val="000000100000" w:firstRow="0" w:lastRow="0" w:firstColumn="0" w:lastColumn="0" w:oddVBand="0" w:evenVBand="0" w:oddHBand="1" w:evenHBand="0" w:firstRowFirstColumn="0" w:firstRowLastColumn="0" w:lastRowFirstColumn="0" w:lastRowLastColumn="0"/>
            </w:pPr>
            <w:r>
              <w:t>$86</w:t>
            </w:r>
          </w:p>
        </w:tc>
      </w:tr>
      <w:tr w:rsidR="00D76B3D" w:rsidRPr="00ED7DD2" w14:paraId="6718D30A" w14:textId="77777777" w:rsidTr="009867BF">
        <w:trPr>
          <w:trHeight w:val="482"/>
        </w:trPr>
        <w:tc>
          <w:tcPr>
            <w:cnfStyle w:val="001000000000" w:firstRow="0" w:lastRow="0" w:firstColumn="1" w:lastColumn="0" w:oddVBand="0" w:evenVBand="0" w:oddHBand="0" w:evenHBand="0" w:firstRowFirstColumn="0" w:firstRowLastColumn="0" w:lastRowFirstColumn="0" w:lastRowLastColumn="0"/>
            <w:tcW w:w="1783" w:type="pct"/>
            <w:shd w:val="clear" w:color="auto" w:fill="002060"/>
            <w:vAlign w:val="center"/>
          </w:tcPr>
          <w:p w14:paraId="61400F62" w14:textId="1FD633C7" w:rsidR="00941DCC" w:rsidRPr="002A79F5" w:rsidRDefault="00987F23" w:rsidP="00104D04">
            <w:pPr>
              <w:pStyle w:val="Tableparagraphwhite"/>
              <w:jc w:val="left"/>
            </w:pPr>
            <w:r w:rsidRPr="00104D04">
              <w:rPr>
                <w:rFonts w:ascii="ZWAdobeF" w:hAnsi="ZWAdobeF" w:cs="ZWAdobeF"/>
                <w:color w:val="auto"/>
                <w:sz w:val="2"/>
                <w:szCs w:val="2"/>
              </w:rPr>
              <w:t>23B</w:t>
            </w:r>
            <w:r w:rsidR="00941DCC" w:rsidRPr="00104D04">
              <w:t xml:space="preserve">In 2024 </w:t>
            </w:r>
            <w:r w:rsidR="007016C7" w:rsidRPr="00104D04">
              <w:t>dollars</w:t>
            </w:r>
            <w:r w:rsidR="00941DCC" w:rsidRPr="00104D04">
              <w:t xml:space="preserve"> </w:t>
            </w:r>
          </w:p>
        </w:tc>
        <w:tc>
          <w:tcPr>
            <w:tcW w:w="536" w:type="pct"/>
            <w:shd w:val="clear" w:color="auto" w:fill="002060"/>
          </w:tcPr>
          <w:p w14:paraId="719B19BC" w14:textId="77777777" w:rsidR="00941DCC" w:rsidRPr="00ED7DD2" w:rsidRDefault="00941DCC">
            <w:pPr>
              <w:pStyle w:val="Tableheading"/>
              <w:spacing w:before="120" w:after="120" w:line="240" w:lineRule="auto"/>
              <w:ind w:left="142"/>
              <w:cnfStyle w:val="000000000000" w:firstRow="0" w:lastRow="0" w:firstColumn="0" w:lastColumn="0" w:oddVBand="0" w:evenVBand="0" w:oddHBand="0" w:evenHBand="0" w:firstRowFirstColumn="0" w:firstRowLastColumn="0" w:lastRowFirstColumn="0" w:lastRowLastColumn="0"/>
              <w:rPr>
                <w:sz w:val="20"/>
                <w:szCs w:val="20"/>
              </w:rPr>
            </w:pPr>
          </w:p>
        </w:tc>
        <w:tc>
          <w:tcPr>
            <w:tcW w:w="536" w:type="pct"/>
            <w:shd w:val="clear" w:color="auto" w:fill="002060"/>
          </w:tcPr>
          <w:p w14:paraId="66373A27" w14:textId="77777777" w:rsidR="00941DCC" w:rsidRPr="00ED7DD2" w:rsidRDefault="00941DCC">
            <w:pPr>
              <w:pStyle w:val="Tableheading"/>
              <w:spacing w:before="120" w:after="120" w:line="240" w:lineRule="auto"/>
              <w:ind w:left="142"/>
              <w:cnfStyle w:val="000000000000" w:firstRow="0" w:lastRow="0" w:firstColumn="0" w:lastColumn="0" w:oddVBand="0" w:evenVBand="0" w:oddHBand="0" w:evenHBand="0" w:firstRowFirstColumn="0" w:firstRowLastColumn="0" w:lastRowFirstColumn="0" w:lastRowLastColumn="0"/>
              <w:rPr>
                <w:sz w:val="20"/>
                <w:szCs w:val="20"/>
              </w:rPr>
            </w:pPr>
          </w:p>
        </w:tc>
        <w:tc>
          <w:tcPr>
            <w:tcW w:w="536" w:type="pct"/>
            <w:shd w:val="clear" w:color="auto" w:fill="002060"/>
          </w:tcPr>
          <w:p w14:paraId="6FBEE9EB" w14:textId="77777777" w:rsidR="00941DCC" w:rsidRPr="00ED7DD2" w:rsidRDefault="00941DCC">
            <w:pPr>
              <w:pStyle w:val="Tableheading"/>
              <w:spacing w:before="120" w:after="120" w:line="240" w:lineRule="auto"/>
              <w:ind w:left="142"/>
              <w:cnfStyle w:val="000000000000" w:firstRow="0" w:lastRow="0" w:firstColumn="0" w:lastColumn="0" w:oddVBand="0" w:evenVBand="0" w:oddHBand="0" w:evenHBand="0" w:firstRowFirstColumn="0" w:firstRowLastColumn="0" w:lastRowFirstColumn="0" w:lastRowLastColumn="0"/>
              <w:rPr>
                <w:sz w:val="20"/>
                <w:szCs w:val="20"/>
              </w:rPr>
            </w:pPr>
          </w:p>
        </w:tc>
        <w:tc>
          <w:tcPr>
            <w:tcW w:w="536" w:type="pct"/>
            <w:shd w:val="clear" w:color="auto" w:fill="002060"/>
          </w:tcPr>
          <w:p w14:paraId="0A20D0F7" w14:textId="77777777" w:rsidR="00941DCC" w:rsidRPr="00ED7DD2" w:rsidRDefault="00941DCC">
            <w:pPr>
              <w:pStyle w:val="Tableheading"/>
              <w:spacing w:before="120" w:after="120" w:line="240" w:lineRule="auto"/>
              <w:ind w:left="142"/>
              <w:cnfStyle w:val="000000000000" w:firstRow="0" w:lastRow="0" w:firstColumn="0" w:lastColumn="0" w:oddVBand="0" w:evenVBand="0" w:oddHBand="0" w:evenHBand="0" w:firstRowFirstColumn="0" w:firstRowLastColumn="0" w:lastRowFirstColumn="0" w:lastRowLastColumn="0"/>
              <w:rPr>
                <w:sz w:val="20"/>
                <w:szCs w:val="20"/>
              </w:rPr>
            </w:pPr>
          </w:p>
        </w:tc>
        <w:tc>
          <w:tcPr>
            <w:tcW w:w="536" w:type="pct"/>
            <w:shd w:val="clear" w:color="auto" w:fill="002060"/>
          </w:tcPr>
          <w:p w14:paraId="27FD391F" w14:textId="77777777" w:rsidR="00941DCC" w:rsidRPr="00ED7DD2" w:rsidRDefault="00941DCC">
            <w:pPr>
              <w:pStyle w:val="Tableheading"/>
              <w:spacing w:before="120" w:after="120" w:line="240" w:lineRule="auto"/>
              <w:ind w:left="142"/>
              <w:cnfStyle w:val="000000000000" w:firstRow="0" w:lastRow="0" w:firstColumn="0" w:lastColumn="0" w:oddVBand="0" w:evenVBand="0" w:oddHBand="0" w:evenHBand="0" w:firstRowFirstColumn="0" w:firstRowLastColumn="0" w:lastRowFirstColumn="0" w:lastRowLastColumn="0"/>
              <w:rPr>
                <w:sz w:val="20"/>
                <w:szCs w:val="20"/>
              </w:rPr>
            </w:pPr>
          </w:p>
        </w:tc>
        <w:tc>
          <w:tcPr>
            <w:tcW w:w="538" w:type="pct"/>
            <w:shd w:val="clear" w:color="auto" w:fill="002060"/>
          </w:tcPr>
          <w:p w14:paraId="3885263D" w14:textId="77777777" w:rsidR="00941DCC" w:rsidRPr="00ED7DD2" w:rsidRDefault="00941DCC">
            <w:pPr>
              <w:pStyle w:val="Tableheading"/>
              <w:spacing w:before="120" w:after="120" w:line="240" w:lineRule="auto"/>
              <w:ind w:left="142"/>
              <w:cnfStyle w:val="000000000000" w:firstRow="0" w:lastRow="0" w:firstColumn="0" w:lastColumn="0" w:oddVBand="0" w:evenVBand="0" w:oddHBand="0" w:evenHBand="0" w:firstRowFirstColumn="0" w:firstRowLastColumn="0" w:lastRowFirstColumn="0" w:lastRowLastColumn="0"/>
              <w:rPr>
                <w:sz w:val="20"/>
                <w:szCs w:val="20"/>
              </w:rPr>
            </w:pPr>
          </w:p>
        </w:tc>
      </w:tr>
      <w:tr w:rsidR="00D76B3D" w14:paraId="0EDF716C" w14:textId="77777777" w:rsidTr="009867B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783" w:type="pct"/>
            <w:shd w:val="clear" w:color="auto" w:fill="C1DCD5"/>
            <w:vAlign w:val="center"/>
          </w:tcPr>
          <w:p w14:paraId="3E652184" w14:textId="243F9E41" w:rsidR="00941DCC" w:rsidRPr="00F515D5" w:rsidRDefault="00941DCC" w:rsidP="00104D04">
            <w:pPr>
              <w:pStyle w:val="TableParagraph"/>
              <w:jc w:val="left"/>
              <w:rPr>
                <w:b w:val="0"/>
              </w:rPr>
            </w:pPr>
            <w:r w:rsidRPr="00104D04">
              <w:rPr>
                <w:b w:val="0"/>
              </w:rPr>
              <w:t>Auction reserve price (ARP)</w:t>
            </w:r>
          </w:p>
        </w:tc>
        <w:tc>
          <w:tcPr>
            <w:tcW w:w="536" w:type="pct"/>
            <w:shd w:val="clear" w:color="auto" w:fill="E9F5F2"/>
            <w:vAlign w:val="center"/>
          </w:tcPr>
          <w:p w14:paraId="48C39A99" w14:textId="1BAF6451" w:rsidR="00941DCC" w:rsidRDefault="00941DCC" w:rsidP="00104D04">
            <w:pPr>
              <w:pStyle w:val="TableParagraph"/>
              <w:cnfStyle w:val="000000100000" w:firstRow="0" w:lastRow="0" w:firstColumn="0" w:lastColumn="0" w:oddVBand="0" w:evenVBand="0" w:oddHBand="1" w:evenHBand="0" w:firstRowFirstColumn="0" w:firstRowLastColumn="0" w:lastRowFirstColumn="0" w:lastRowLastColumn="0"/>
            </w:pPr>
            <w:r>
              <w:t>$</w:t>
            </w:r>
            <w:r w:rsidRPr="005051F2">
              <w:t>67</w:t>
            </w:r>
          </w:p>
        </w:tc>
        <w:tc>
          <w:tcPr>
            <w:tcW w:w="536" w:type="pct"/>
            <w:shd w:val="clear" w:color="auto" w:fill="E9F5F2"/>
            <w:vAlign w:val="center"/>
          </w:tcPr>
          <w:p w14:paraId="130EAAAA" w14:textId="79C4A31A" w:rsidR="00941DCC" w:rsidRDefault="00941DCC" w:rsidP="00104D04">
            <w:pPr>
              <w:pStyle w:val="TableParagraph"/>
              <w:cnfStyle w:val="000000100000" w:firstRow="0" w:lastRow="0" w:firstColumn="0" w:lastColumn="0" w:oddVBand="0" w:evenVBand="0" w:oddHBand="1" w:evenHBand="0" w:firstRowFirstColumn="0" w:firstRowLastColumn="0" w:lastRowFirstColumn="0" w:lastRowLastColumn="0"/>
            </w:pPr>
            <w:r>
              <w:t>$</w:t>
            </w:r>
            <w:r w:rsidRPr="005051F2">
              <w:t>68</w:t>
            </w:r>
          </w:p>
        </w:tc>
        <w:tc>
          <w:tcPr>
            <w:tcW w:w="536" w:type="pct"/>
            <w:shd w:val="clear" w:color="auto" w:fill="E9F5F2"/>
            <w:vAlign w:val="center"/>
          </w:tcPr>
          <w:p w14:paraId="34B5EF62" w14:textId="56C2A0E5" w:rsidR="00941DCC" w:rsidRDefault="00941DCC" w:rsidP="00104D04">
            <w:pPr>
              <w:pStyle w:val="TableParagraph"/>
              <w:cnfStyle w:val="000000100000" w:firstRow="0" w:lastRow="0" w:firstColumn="0" w:lastColumn="0" w:oddVBand="0" w:evenVBand="0" w:oddHBand="1" w:evenHBand="0" w:firstRowFirstColumn="0" w:firstRowLastColumn="0" w:lastRowFirstColumn="0" w:lastRowLastColumn="0"/>
            </w:pPr>
            <w:r>
              <w:t>$</w:t>
            </w:r>
            <w:r w:rsidRPr="005051F2">
              <w:t>71</w:t>
            </w:r>
          </w:p>
        </w:tc>
        <w:tc>
          <w:tcPr>
            <w:tcW w:w="536" w:type="pct"/>
            <w:shd w:val="clear" w:color="auto" w:fill="E9F5F2"/>
            <w:vAlign w:val="center"/>
          </w:tcPr>
          <w:p w14:paraId="42AD6236" w14:textId="2D930046" w:rsidR="00941DCC" w:rsidRDefault="00941DCC" w:rsidP="00104D04">
            <w:pPr>
              <w:pStyle w:val="TableParagraph"/>
              <w:cnfStyle w:val="000000100000" w:firstRow="0" w:lastRow="0" w:firstColumn="0" w:lastColumn="0" w:oddVBand="0" w:evenVBand="0" w:oddHBand="1" w:evenHBand="0" w:firstRowFirstColumn="0" w:firstRowLastColumn="0" w:lastRowFirstColumn="0" w:lastRowLastColumn="0"/>
            </w:pPr>
            <w:r>
              <w:t>$</w:t>
            </w:r>
            <w:r w:rsidRPr="005051F2">
              <w:t>72</w:t>
            </w:r>
          </w:p>
        </w:tc>
        <w:tc>
          <w:tcPr>
            <w:tcW w:w="536" w:type="pct"/>
            <w:shd w:val="clear" w:color="auto" w:fill="E9F5F2"/>
            <w:vAlign w:val="center"/>
          </w:tcPr>
          <w:p w14:paraId="109D82C5" w14:textId="36F57A1D" w:rsidR="00941DCC" w:rsidRDefault="00941DCC" w:rsidP="00104D04">
            <w:pPr>
              <w:pStyle w:val="TableParagraph"/>
              <w:cnfStyle w:val="000000100000" w:firstRow="0" w:lastRow="0" w:firstColumn="0" w:lastColumn="0" w:oddVBand="0" w:evenVBand="0" w:oddHBand="1" w:evenHBand="0" w:firstRowFirstColumn="0" w:firstRowLastColumn="0" w:lastRowFirstColumn="0" w:lastRowLastColumn="0"/>
            </w:pPr>
            <w:r>
              <w:t>$</w:t>
            </w:r>
            <w:r w:rsidRPr="005051F2">
              <w:t>74</w:t>
            </w:r>
          </w:p>
        </w:tc>
        <w:tc>
          <w:tcPr>
            <w:tcW w:w="538" w:type="pct"/>
            <w:shd w:val="clear" w:color="auto" w:fill="D4E8DE"/>
            <w:vAlign w:val="center"/>
          </w:tcPr>
          <w:p w14:paraId="05AE682E" w14:textId="632284BD" w:rsidR="00941DCC" w:rsidRDefault="00941DCC" w:rsidP="00104D04">
            <w:pPr>
              <w:pStyle w:val="TableParagraph"/>
              <w:cnfStyle w:val="000000100000" w:firstRow="0" w:lastRow="0" w:firstColumn="0" w:lastColumn="0" w:oddVBand="0" w:evenVBand="0" w:oddHBand="1" w:evenHBand="0" w:firstRowFirstColumn="0" w:firstRowLastColumn="0" w:lastRowFirstColumn="0" w:lastRowLastColumn="0"/>
            </w:pPr>
            <w:r>
              <w:t>$</w:t>
            </w:r>
            <w:r w:rsidRPr="005051F2">
              <w:t>77</w:t>
            </w:r>
          </w:p>
        </w:tc>
      </w:tr>
    </w:tbl>
    <w:p w14:paraId="61D8779B" w14:textId="70714673" w:rsidR="002275FC" w:rsidRDefault="002275FC" w:rsidP="00C97C61">
      <w:pPr>
        <w:spacing w:before="160"/>
      </w:pPr>
      <w:r>
        <w:t xml:space="preserve">We </w:t>
      </w:r>
      <w:r w:rsidR="00984D0E">
        <w:t>consider</w:t>
      </w:r>
      <w:r>
        <w:t xml:space="preserve"> that determining the appropriate levels for the ARP over 2026</w:t>
      </w:r>
      <w:r w:rsidR="004D05A5">
        <w:t>–</w:t>
      </w:r>
      <w:r>
        <w:t xml:space="preserve">2030 should include </w:t>
      </w:r>
      <w:r w:rsidR="00821BD8">
        <w:t>examining</w:t>
      </w:r>
      <w:r>
        <w:t xml:space="preserve"> the issues below. </w:t>
      </w:r>
    </w:p>
    <w:p w14:paraId="1747D84F" w14:textId="2DE51191" w:rsidR="003F5860" w:rsidRDefault="002275FC" w:rsidP="00C365DE">
      <w:pPr>
        <w:pStyle w:val="BodyBullets"/>
      </w:pPr>
      <w:r>
        <w:t xml:space="preserve">The minimum prices </w:t>
      </w:r>
      <w:r w:rsidR="00B73132">
        <w:t xml:space="preserve">likely </w:t>
      </w:r>
      <w:r>
        <w:t xml:space="preserve">needed to meet </w:t>
      </w:r>
      <w:r w:rsidR="0091153E">
        <w:t>the second</w:t>
      </w:r>
      <w:r>
        <w:t xml:space="preserve"> emissions budget, including:  </w:t>
      </w:r>
    </w:p>
    <w:p w14:paraId="3F1E4928" w14:textId="2978B86C" w:rsidR="002275FC" w:rsidRDefault="002275FC" w:rsidP="00C365DE">
      <w:pPr>
        <w:pStyle w:val="Bodybullet-sub-list"/>
      </w:pPr>
      <w:r>
        <w:t xml:space="preserve">the cost of the emissions reductions to meet the second emissions budget, </w:t>
      </w:r>
    </w:p>
    <w:p w14:paraId="07E95A74" w14:textId="21206F28" w:rsidR="002275FC" w:rsidRDefault="002275FC" w:rsidP="00C365DE">
      <w:pPr>
        <w:pStyle w:val="Bodybullet-sub-list"/>
      </w:pPr>
      <w:r>
        <w:t>why the ARP caused auctions to decline in 2024, and its role in supporting confidence</w:t>
      </w:r>
      <w:r w:rsidR="00056E60">
        <w:t xml:space="preserve"> in the market</w:t>
      </w:r>
      <w:r>
        <w:t xml:space="preserve">, and </w:t>
      </w:r>
    </w:p>
    <w:p w14:paraId="1E3FBC3B" w14:textId="18C1F0AC" w:rsidR="002275FC" w:rsidRDefault="002275FC" w:rsidP="00C365DE">
      <w:pPr>
        <w:pStyle w:val="Bodybullet-sub-list"/>
      </w:pPr>
      <w:r>
        <w:t xml:space="preserve">whether the current ARP levels align with the Government’s stated goal of </w:t>
      </w:r>
      <w:r w:rsidR="00302E38">
        <w:t>maximising domestic emissions reduction</w:t>
      </w:r>
      <w:r w:rsidR="00A9366A">
        <w:t>s</w:t>
      </w:r>
      <w:r w:rsidR="00302E38">
        <w:t xml:space="preserve"> </w:t>
      </w:r>
      <w:r w:rsidR="00A9366A">
        <w:t>and minimising the costs of achieving</w:t>
      </w:r>
      <w:r w:rsidR="00302E38">
        <w:t xml:space="preserve"> </w:t>
      </w:r>
      <w:r w:rsidR="00002B87">
        <w:t>the first NDC</w:t>
      </w:r>
      <w:r>
        <w:t xml:space="preserve">.   </w:t>
      </w:r>
    </w:p>
    <w:p w14:paraId="1422EF31" w14:textId="6D705B7C" w:rsidR="00941DCC" w:rsidRDefault="002275FC" w:rsidP="00C365DE">
      <w:pPr>
        <w:pStyle w:val="BodyBullets"/>
      </w:pPr>
      <w:r>
        <w:t xml:space="preserve">The minimum prices </w:t>
      </w:r>
      <w:r w:rsidR="00B73132">
        <w:t xml:space="preserve">likely </w:t>
      </w:r>
      <w:r>
        <w:t xml:space="preserve">needed to meet </w:t>
      </w:r>
      <w:r w:rsidR="0091153E">
        <w:t xml:space="preserve">the third </w:t>
      </w:r>
      <w:r>
        <w:t>emissions budget.</w:t>
      </w:r>
    </w:p>
    <w:p w14:paraId="5F12B2C6" w14:textId="091DE874" w:rsidR="0022473C" w:rsidRDefault="00AD1B86" w:rsidP="00FA0055">
      <w:pPr>
        <w:pStyle w:val="Heading3"/>
      </w:pPr>
      <w:r>
        <w:t xml:space="preserve">The </w:t>
      </w:r>
      <w:r w:rsidR="00D974B3">
        <w:t xml:space="preserve">ARP </w:t>
      </w:r>
      <w:r w:rsidR="00D565FF">
        <w:t xml:space="preserve">aligns </w:t>
      </w:r>
      <w:r w:rsidR="000E5857">
        <w:t xml:space="preserve">with </w:t>
      </w:r>
      <w:r w:rsidR="00D565FF">
        <w:t xml:space="preserve">the second emissions budget </w:t>
      </w:r>
    </w:p>
    <w:p w14:paraId="780F5CAD" w14:textId="7F4CDC92" w:rsidR="008B3BD3" w:rsidRPr="008B3BD3" w:rsidRDefault="008B3BD3" w:rsidP="00346216">
      <w:pPr>
        <w:pStyle w:val="Heading4"/>
        <w:rPr>
          <w:color w:val="2F5496"/>
        </w:rPr>
      </w:pPr>
      <w:r w:rsidRPr="008B3BD3">
        <w:rPr>
          <w:color w:val="2F5496"/>
        </w:rPr>
        <w:t xml:space="preserve">The ARP </w:t>
      </w:r>
      <w:r w:rsidR="00DC53D1">
        <w:rPr>
          <w:color w:val="2F5496"/>
        </w:rPr>
        <w:t>for 2026</w:t>
      </w:r>
      <w:r w:rsidR="00F1107E">
        <w:t>–</w:t>
      </w:r>
      <w:r w:rsidR="00DC53D1">
        <w:rPr>
          <w:color w:val="2F5496"/>
        </w:rPr>
        <w:t>2030</w:t>
      </w:r>
      <w:r w:rsidRPr="008B3BD3">
        <w:rPr>
          <w:color w:val="2F5496"/>
        </w:rPr>
        <w:t xml:space="preserve"> needs to be based on the cost of reducing gross emissions</w:t>
      </w:r>
    </w:p>
    <w:p w14:paraId="46BFA11D" w14:textId="6D1F4E79" w:rsidR="006A1E9E" w:rsidRDefault="006A1E9E" w:rsidP="006A1E9E">
      <w:r>
        <w:t xml:space="preserve">To meet </w:t>
      </w:r>
      <w:r w:rsidR="00C8121E">
        <w:t xml:space="preserve">the second </w:t>
      </w:r>
      <w:r>
        <w:t>emissions budget, actions must now focus on reducing gross emissions</w:t>
      </w:r>
      <w:r w:rsidR="00AE45EA">
        <w:t xml:space="preserve">, </w:t>
      </w:r>
      <w:r w:rsidR="00801E31">
        <w:t>so</w:t>
      </w:r>
      <w:r w:rsidR="00AE45EA">
        <w:t xml:space="preserve"> the ARP levels for 2026</w:t>
      </w:r>
      <w:r w:rsidR="00F1107E">
        <w:t>–</w:t>
      </w:r>
      <w:r w:rsidR="00AE45EA">
        <w:t>2030 need to reflect the cost of gross reductions</w:t>
      </w:r>
      <w:r w:rsidR="00E4715E">
        <w:t>,</w:t>
      </w:r>
      <w:r w:rsidR="00AE45EA">
        <w:t xml:space="preserve"> rather than of forests</w:t>
      </w:r>
      <w:r>
        <w:t xml:space="preserve">. It is too late for planting more forests to assist, due to the four-year lag </w:t>
      </w:r>
      <w:r w:rsidR="00C8121E">
        <w:t xml:space="preserve">after planting </w:t>
      </w:r>
      <w:r>
        <w:t xml:space="preserve">before a new forest starts sequestering carbon. </w:t>
      </w:r>
    </w:p>
    <w:p w14:paraId="4094BE36" w14:textId="1300CCD0" w:rsidR="006A1E9E" w:rsidRDefault="00A84D86" w:rsidP="006A1E9E">
      <w:r>
        <w:t xml:space="preserve">There is a range of </w:t>
      </w:r>
      <w:r w:rsidR="006A1E9E">
        <w:t>evidence point</w:t>
      </w:r>
      <w:r>
        <w:t>ing</w:t>
      </w:r>
      <w:r w:rsidR="006A1E9E">
        <w:t xml:space="preserve"> to prices </w:t>
      </w:r>
      <w:r w:rsidR="003615A4">
        <w:t>around</w:t>
      </w:r>
      <w:r w:rsidR="006A1E9E">
        <w:t xml:space="preserve"> or above the current ARP levels ($68 this year) being needed to support gross reductions. A recent example is a 2024 EECA study that examined costs to decarbonise process heat in the South Island.</w:t>
      </w:r>
      <w:r w:rsidR="003615A4">
        <w:rPr>
          <w:rStyle w:val="EndnoteReference"/>
        </w:rPr>
        <w:endnoteReference w:id="25"/>
      </w:r>
      <w:r w:rsidR="006A1E9E">
        <w:t xml:space="preserve"> This found that 75% of the abatement would require an emissions price greater than $75 to be economic. </w:t>
      </w:r>
    </w:p>
    <w:p w14:paraId="2551EDF1" w14:textId="28CA0F3B" w:rsidR="006A1E9E" w:rsidRDefault="006A1E9E" w:rsidP="006A1E9E">
      <w:r>
        <w:t xml:space="preserve">The </w:t>
      </w:r>
      <w:r w:rsidR="002968A2">
        <w:t>G</w:t>
      </w:r>
      <w:r>
        <w:t xml:space="preserve">overnment’s </w:t>
      </w:r>
      <w:r w:rsidR="003615A4">
        <w:t>second emissions reduction plan</w:t>
      </w:r>
      <w:r>
        <w:t xml:space="preserve"> modelling also supports the </w:t>
      </w:r>
      <w:r w:rsidR="00801AD9">
        <w:t xml:space="preserve">current </w:t>
      </w:r>
      <w:r>
        <w:t>ARP</w:t>
      </w:r>
      <w:r w:rsidR="00801AD9">
        <w:t>. This</w:t>
      </w:r>
      <w:r>
        <w:t xml:space="preserve"> modelled meeting </w:t>
      </w:r>
      <w:r w:rsidR="0091153E">
        <w:t xml:space="preserve">the second </w:t>
      </w:r>
      <w:r>
        <w:t xml:space="preserve">emissions budget with a price path above the ARP levels, with an NZU price in 2030 of around </w:t>
      </w:r>
      <w:r w:rsidRPr="008659E5">
        <w:t>$9</w:t>
      </w:r>
      <w:r w:rsidR="00A3112B" w:rsidRPr="008659E5">
        <w:t>6</w:t>
      </w:r>
      <w:r>
        <w:t xml:space="preserve">. </w:t>
      </w:r>
    </w:p>
    <w:p w14:paraId="53220599" w14:textId="0138E0D0" w:rsidR="006A1E9E" w:rsidRPr="008B3BD3" w:rsidRDefault="006A1E9E" w:rsidP="00346216">
      <w:pPr>
        <w:pStyle w:val="Heading4"/>
        <w:rPr>
          <w:color w:val="2F5496"/>
        </w:rPr>
      </w:pPr>
      <w:r w:rsidRPr="008B3BD3">
        <w:rPr>
          <w:color w:val="2F5496"/>
        </w:rPr>
        <w:lastRenderedPageBreak/>
        <w:t>Declined auctions in 2024</w:t>
      </w:r>
    </w:p>
    <w:p w14:paraId="5B3DB09F" w14:textId="538B6AA5" w:rsidR="006A1E9E" w:rsidRDefault="006A1E9E" w:rsidP="006A1E9E">
      <w:r>
        <w:t>When the price controls have effect, it is relevant to consider the cause</w:t>
      </w:r>
      <w:r w:rsidR="009B00BF">
        <w:t>,</w:t>
      </w:r>
      <w:r>
        <w:t xml:space="preserve"> and whether this suggests they are set at an incorrect level. The ARP caused auctions to decline in 2024. The 2024 March and December auctions only partially cleared, and the June and September auctions declined </w:t>
      </w:r>
      <w:r w:rsidR="0059752D">
        <w:t xml:space="preserve">fully </w:t>
      </w:r>
      <w:r>
        <w:t>as no bids were received at or above the 2024 ARP level ($64).</w:t>
      </w:r>
    </w:p>
    <w:p w14:paraId="075F35B9" w14:textId="4D33FA28" w:rsidR="00D51EDC" w:rsidRDefault="00EB14FC" w:rsidP="006A1E9E">
      <w:r>
        <w:t xml:space="preserve">As highlighted </w:t>
      </w:r>
      <w:r w:rsidRPr="008659E5">
        <w:t xml:space="preserve">in </w:t>
      </w:r>
      <w:r w:rsidRPr="008659E5">
        <w:rPr>
          <w:i/>
        </w:rPr>
        <w:t>Part 2</w:t>
      </w:r>
      <w:r w:rsidR="00F041B6">
        <w:rPr>
          <w:i/>
          <w:iCs/>
        </w:rPr>
        <w:t xml:space="preserve">: Te hanga me te </w:t>
      </w:r>
      <w:r w:rsidR="001D0995">
        <w:rPr>
          <w:i/>
          <w:iCs/>
        </w:rPr>
        <w:t>h</w:t>
      </w:r>
      <w:r w:rsidR="00F041B6">
        <w:rPr>
          <w:i/>
          <w:iCs/>
        </w:rPr>
        <w:t>aepapa o NZ ETS</w:t>
      </w:r>
      <w:r w:rsidR="00F041B6" w:rsidRPr="00F041B6">
        <w:rPr>
          <w:i/>
          <w:iCs/>
        </w:rPr>
        <w:t xml:space="preserve"> </w:t>
      </w:r>
      <w:r w:rsidR="00F041B6" w:rsidRPr="005B156E">
        <w:rPr>
          <w:i/>
        </w:rPr>
        <w:t>– Current state and role of the NZ ETS</w:t>
      </w:r>
      <w:r>
        <w:t xml:space="preserve">, this </w:t>
      </w:r>
      <w:r w:rsidR="006A1E9E">
        <w:t>occurred after a period of volatile secondary market prices and policy uncertainty over 2022</w:t>
      </w:r>
      <w:r w:rsidR="00315432" w:rsidRPr="000A1433">
        <w:t>–</w:t>
      </w:r>
      <w:r w:rsidR="006A1E9E">
        <w:t>2024 which negatively affect</w:t>
      </w:r>
      <w:r>
        <w:t>ed</w:t>
      </w:r>
      <w:r w:rsidR="006A1E9E">
        <w:t xml:space="preserve"> sentiment. </w:t>
      </w:r>
      <w:r w:rsidR="008A7BB5">
        <w:t>T</w:t>
      </w:r>
      <w:r w:rsidR="00D51EDC">
        <w:t xml:space="preserve">he </w:t>
      </w:r>
      <w:r w:rsidR="0079560C">
        <w:t>G</w:t>
      </w:r>
      <w:r w:rsidR="00D51EDC">
        <w:t xml:space="preserve">overnment’s </w:t>
      </w:r>
      <w:r w:rsidR="00582637">
        <w:t xml:space="preserve">May 2024 </w:t>
      </w:r>
      <w:r w:rsidR="00D51EDC">
        <w:t>NZ ETS settings consultation document</w:t>
      </w:r>
      <w:r w:rsidR="008A7BB5">
        <w:t xml:space="preserve"> compounded this by </w:t>
      </w:r>
      <w:r w:rsidR="00D51EDC">
        <w:t>mention</w:t>
      </w:r>
      <w:r w:rsidR="008A7BB5">
        <w:t>ing</w:t>
      </w:r>
      <w:r w:rsidR="00D51EDC">
        <w:t xml:space="preserve"> the possibility of lowering the ARP, with</w:t>
      </w:r>
      <w:r w:rsidR="00A028B9">
        <w:t xml:space="preserve"> no </w:t>
      </w:r>
      <w:r w:rsidR="00D51EDC">
        <w:t xml:space="preserve">rationale for why it might </w:t>
      </w:r>
      <w:r w:rsidR="003812F6">
        <w:t xml:space="preserve">consider </w:t>
      </w:r>
      <w:r w:rsidR="00D51EDC">
        <w:t>do</w:t>
      </w:r>
      <w:r w:rsidR="003812F6">
        <w:t>ing</w:t>
      </w:r>
      <w:r w:rsidR="00D51EDC">
        <w:t xml:space="preserve"> </w:t>
      </w:r>
      <w:r w:rsidR="00582637">
        <w:t>so</w:t>
      </w:r>
      <w:r w:rsidR="00D51EDC">
        <w:t>. NZU price</w:t>
      </w:r>
      <w:r w:rsidR="00EA5C78">
        <w:t>s</w:t>
      </w:r>
      <w:r w:rsidR="00D51EDC">
        <w:t xml:space="preserve"> immediately </w:t>
      </w:r>
      <w:r w:rsidR="002E37CD">
        <w:t xml:space="preserve">dropped, </w:t>
      </w:r>
      <w:r w:rsidR="005D1D62">
        <w:t xml:space="preserve">followed by the two </w:t>
      </w:r>
      <w:r w:rsidR="00810A21">
        <w:t xml:space="preserve">declined auctions. </w:t>
      </w:r>
      <w:r w:rsidR="00812E5D">
        <w:t xml:space="preserve">Prices only </w:t>
      </w:r>
      <w:r w:rsidR="00D02F34">
        <w:t>started to</w:t>
      </w:r>
      <w:r w:rsidR="00812E5D">
        <w:t xml:space="preserve"> materially </w:t>
      </w:r>
      <w:r w:rsidR="00557C5B">
        <w:t>recover</w:t>
      </w:r>
      <w:r w:rsidR="00812E5D">
        <w:t xml:space="preserve"> after the </w:t>
      </w:r>
      <w:r w:rsidR="00810A21">
        <w:t xml:space="preserve">Government announced </w:t>
      </w:r>
      <w:r w:rsidR="006A1927">
        <w:t xml:space="preserve">in August </w:t>
      </w:r>
      <w:r w:rsidR="00810A21">
        <w:t xml:space="preserve">that it was </w:t>
      </w:r>
      <w:r w:rsidR="0075754E">
        <w:t xml:space="preserve">not changing </w:t>
      </w:r>
      <w:r w:rsidR="00BC619B">
        <w:t>the ARP</w:t>
      </w:r>
      <w:r w:rsidR="00810A21">
        <w:t>.</w:t>
      </w:r>
    </w:p>
    <w:p w14:paraId="6A24905A" w14:textId="52FCCF20" w:rsidR="006A1E9E" w:rsidRDefault="007743C6" w:rsidP="006A1E9E">
      <w:r>
        <w:t xml:space="preserve">We </w:t>
      </w:r>
      <w:r w:rsidR="00F83D0C">
        <w:t xml:space="preserve">consider </w:t>
      </w:r>
      <w:r>
        <w:t>t</w:t>
      </w:r>
      <w:r w:rsidR="006A1E9E">
        <w:t xml:space="preserve">he ARP having </w:t>
      </w:r>
      <w:r w:rsidR="005B1C28">
        <w:t>had</w:t>
      </w:r>
      <w:r w:rsidR="006A1E9E">
        <w:t xml:space="preserve"> effect in 2024 </w:t>
      </w:r>
      <w:r w:rsidR="00E3263C">
        <w:t xml:space="preserve">to be </w:t>
      </w:r>
      <w:r w:rsidR="00F73929">
        <w:t xml:space="preserve">the ARP </w:t>
      </w:r>
      <w:r w:rsidR="006A1E9E">
        <w:t>working as intended,</w:t>
      </w:r>
      <w:r w:rsidR="001D2EFA">
        <w:t xml:space="preserve"> not </w:t>
      </w:r>
      <w:r w:rsidR="000E7E47">
        <w:t xml:space="preserve">an indication </w:t>
      </w:r>
      <w:r w:rsidR="001D2EFA">
        <w:t xml:space="preserve">that it is set at an inappropriately high level. The ARP having </w:t>
      </w:r>
      <w:r w:rsidR="0029793B">
        <w:t>had effect</w:t>
      </w:r>
      <w:r w:rsidR="001D2EFA">
        <w:t xml:space="preserve"> is </w:t>
      </w:r>
      <w:r w:rsidR="0029793B">
        <w:t>simply</w:t>
      </w:r>
      <w:r w:rsidR="001D2EFA">
        <w:t xml:space="preserve"> the ARP playing its role </w:t>
      </w:r>
      <w:r w:rsidR="005B24D6">
        <w:t xml:space="preserve">to manage the uncertainty and risk of exceeding budgets by </w:t>
      </w:r>
      <w:r w:rsidR="006A1E9E">
        <w:t xml:space="preserve">preventing the </w:t>
      </w:r>
      <w:r w:rsidR="002968A2">
        <w:t>G</w:t>
      </w:r>
      <w:r w:rsidR="006A1E9E">
        <w:t xml:space="preserve">overnment from selling units at low prices inconsistent with meeting </w:t>
      </w:r>
      <w:r w:rsidR="00931CAC">
        <w:t>those budgets</w:t>
      </w:r>
      <w:r w:rsidR="006A1E9E">
        <w:t xml:space="preserve">. </w:t>
      </w:r>
    </w:p>
    <w:p w14:paraId="17C2C735" w14:textId="77777777" w:rsidR="006A1E9E" w:rsidRPr="008B3BD3" w:rsidRDefault="006A1E9E" w:rsidP="00346216">
      <w:pPr>
        <w:pStyle w:val="Heading4"/>
        <w:rPr>
          <w:color w:val="2F5496"/>
        </w:rPr>
      </w:pPr>
      <w:r w:rsidRPr="008B3BD3">
        <w:rPr>
          <w:color w:val="2F5496"/>
        </w:rPr>
        <w:t xml:space="preserve">The ARP’s role in supporting market and investor confidence </w:t>
      </w:r>
    </w:p>
    <w:p w14:paraId="2660EF0F" w14:textId="6787B91E" w:rsidR="006A1E9E" w:rsidRDefault="00A6466F" w:rsidP="006A1E9E">
      <w:r>
        <w:t xml:space="preserve">For the </w:t>
      </w:r>
      <w:r w:rsidR="004D4FA9">
        <w:t xml:space="preserve">NZ ETS </w:t>
      </w:r>
      <w:r>
        <w:t xml:space="preserve">to help meet </w:t>
      </w:r>
      <w:r w:rsidR="0091153E">
        <w:t>the second</w:t>
      </w:r>
      <w:r>
        <w:t xml:space="preserve"> emissions budget, i</w:t>
      </w:r>
      <w:r w:rsidR="006A1E9E">
        <w:t xml:space="preserve">nvestors need sufficient confidence in the </w:t>
      </w:r>
      <w:r w:rsidR="004D4FA9">
        <w:t>scheme</w:t>
      </w:r>
      <w:r w:rsidR="00A07518">
        <w:t xml:space="preserve"> </w:t>
      </w:r>
      <w:r w:rsidR="006A1E9E">
        <w:t>emissions price to invest in reducing emissions. The ARP support</w:t>
      </w:r>
      <w:r w:rsidR="00D42889">
        <w:t>s</w:t>
      </w:r>
      <w:r w:rsidR="006A1E9E">
        <w:t xml:space="preserve"> this confidence by signalling the lower bounds of the emissions price that can be expected, reducing downside risks to investment in both decarbonisation and forestry. </w:t>
      </w:r>
    </w:p>
    <w:p w14:paraId="6FBFCBC4" w14:textId="1E8AAC39" w:rsidR="006A1E9E" w:rsidRDefault="006A1E9E" w:rsidP="006A1E9E">
      <w:r>
        <w:t xml:space="preserve">The market is highly responsive to Government signals about the ARP. </w:t>
      </w:r>
      <w:r w:rsidR="000607A3">
        <w:t>The 19% fall</w:t>
      </w:r>
      <w:r>
        <w:t xml:space="preserve"> in </w:t>
      </w:r>
      <w:r w:rsidR="000607A3">
        <w:t xml:space="preserve">NZU prices </w:t>
      </w:r>
      <w:r>
        <w:t>after the 2024 NZ ETS settings consultation</w:t>
      </w:r>
      <w:r w:rsidR="000607A3">
        <w:t xml:space="preserve"> </w:t>
      </w:r>
      <w:r w:rsidR="00903409">
        <w:t xml:space="preserve">discussed lowering the ARP </w:t>
      </w:r>
      <w:r w:rsidR="00AD1853">
        <w:t xml:space="preserve">shows </w:t>
      </w:r>
      <w:r w:rsidR="00903409">
        <w:t>this</w:t>
      </w:r>
      <w:r w:rsidR="00EA5C78">
        <w:t>.</w:t>
      </w:r>
      <w:r w:rsidR="00F321AA">
        <w:rPr>
          <w:rStyle w:val="FootnoteReference"/>
        </w:rPr>
        <w:footnoteReference w:id="38"/>
      </w:r>
      <w:r>
        <w:t xml:space="preserve"> Respondents to the consultation also mostly opposed lowering the ARP, seeing it as destabilising the market and increasing uncertainty. </w:t>
      </w:r>
    </w:p>
    <w:p w14:paraId="2BF91CAF" w14:textId="5EFE7AAA" w:rsidR="006A1E9E" w:rsidRDefault="006A1E9E" w:rsidP="006A1E9E">
      <w:r>
        <w:t xml:space="preserve">This indicates that </w:t>
      </w:r>
      <w:r w:rsidR="00A469A7">
        <w:t xml:space="preserve">retaining current </w:t>
      </w:r>
      <w:r>
        <w:t xml:space="preserve">ARP </w:t>
      </w:r>
      <w:r w:rsidR="00A469A7">
        <w:t xml:space="preserve">levels </w:t>
      </w:r>
      <w:r>
        <w:t xml:space="preserve">is critical </w:t>
      </w:r>
      <w:r w:rsidR="00A469A7">
        <w:t>to</w:t>
      </w:r>
      <w:r>
        <w:t xml:space="preserve"> rebuilding confidence and the effectiveness of the NZ ETS. </w:t>
      </w:r>
      <w:r w:rsidR="00B03172">
        <w:t>This is likely to support t</w:t>
      </w:r>
      <w:r>
        <w:t>he Government</w:t>
      </w:r>
      <w:r w:rsidR="00B03172">
        <w:t>’s</w:t>
      </w:r>
      <w:r>
        <w:t xml:space="preserve"> stated </w:t>
      </w:r>
      <w:r w:rsidR="00B43789">
        <w:t xml:space="preserve">intent </w:t>
      </w:r>
      <w:r>
        <w:t xml:space="preserve">to </w:t>
      </w:r>
      <w:r w:rsidR="00B03172">
        <w:t xml:space="preserve">continue </w:t>
      </w:r>
      <w:r>
        <w:t>restor</w:t>
      </w:r>
      <w:r w:rsidR="00B03172">
        <w:t>ing</w:t>
      </w:r>
      <w:r>
        <w:t xml:space="preserve"> credibility to the NZ ETS. </w:t>
      </w:r>
      <w:r w:rsidR="002B4881">
        <w:t xml:space="preserve">Retaining current ARP levels </w:t>
      </w:r>
      <w:r w:rsidR="00E213F4">
        <w:t>also helps send a clear and stable investment signal</w:t>
      </w:r>
      <w:r w:rsidR="00B37438">
        <w:t xml:space="preserve">, supporting </w:t>
      </w:r>
      <w:r w:rsidR="00590592">
        <w:t>recent and potential upcoming investments to reduce emissions</w:t>
      </w:r>
      <w:r w:rsidR="00A20AE3">
        <w:t>.</w:t>
      </w:r>
      <w:r>
        <w:t xml:space="preserve"> </w:t>
      </w:r>
    </w:p>
    <w:p w14:paraId="0ECE306E" w14:textId="77777777" w:rsidR="006A1E9E" w:rsidRPr="008B3BD3" w:rsidRDefault="006A1E9E" w:rsidP="00346216">
      <w:pPr>
        <w:pStyle w:val="Heading4"/>
        <w:rPr>
          <w:color w:val="2F5496"/>
        </w:rPr>
      </w:pPr>
      <w:r w:rsidRPr="008B3BD3">
        <w:rPr>
          <w:color w:val="2F5496"/>
        </w:rPr>
        <w:t>Achieving the first NDC domestically as much as possible</w:t>
      </w:r>
    </w:p>
    <w:p w14:paraId="1724B10C" w14:textId="6BE2DF83" w:rsidR="006A1E9E" w:rsidRDefault="007568D5" w:rsidP="006A1E9E">
      <w:r>
        <w:t>Another</w:t>
      </w:r>
      <w:r w:rsidR="006A1E9E">
        <w:t xml:space="preserve"> relevant consideration for the ARP is the prices at which the Government </w:t>
      </w:r>
      <w:r w:rsidR="00C17DC4">
        <w:t>c</w:t>
      </w:r>
      <w:r w:rsidR="006A1E9E">
        <w:t xml:space="preserve">ould need to purchase offshore mitigation to meet the first NDC. As discussed in </w:t>
      </w:r>
      <w:r w:rsidR="00C07776" w:rsidRPr="00BD02EA">
        <w:rPr>
          <w:i/>
        </w:rPr>
        <w:t>Part 3</w:t>
      </w:r>
      <w:r w:rsidR="00C07776">
        <w:rPr>
          <w:i/>
          <w:iCs/>
        </w:rPr>
        <w:t>: Te herenga utu</w:t>
      </w:r>
      <w:r w:rsidR="00C07776">
        <w:t xml:space="preserve"> </w:t>
      </w:r>
      <w:r w:rsidR="00C07776" w:rsidRPr="000A1433">
        <w:rPr>
          <w:i/>
          <w:iCs/>
        </w:rPr>
        <w:t>–</w:t>
      </w:r>
      <w:r w:rsidR="00C07776">
        <w:rPr>
          <w:i/>
          <w:iCs/>
        </w:rPr>
        <w:t xml:space="preserve"> Unit limits</w:t>
      </w:r>
      <w:r w:rsidR="006A1E9E" w:rsidRPr="00A86506">
        <w:t>,</w:t>
      </w:r>
      <w:r w:rsidR="006A1E9E">
        <w:t xml:space="preserve"> the </w:t>
      </w:r>
      <w:r w:rsidR="00343141">
        <w:t>G</w:t>
      </w:r>
      <w:r w:rsidR="006A1E9E" w:rsidRPr="0028581B">
        <w:t xml:space="preserve">overnment’s </w:t>
      </w:r>
      <w:r w:rsidR="00236F75">
        <w:t>emissions</w:t>
      </w:r>
      <w:r w:rsidR="006A1E9E">
        <w:t xml:space="preserve"> projections show </w:t>
      </w:r>
      <w:r w:rsidR="006A1E9E" w:rsidRPr="00A86506">
        <w:t>84</w:t>
      </w:r>
      <w:r w:rsidR="00376C04">
        <w:t>–</w:t>
      </w:r>
      <w:r w:rsidR="006A1E9E" w:rsidRPr="00A86506">
        <w:t>89 MtCO</w:t>
      </w:r>
      <w:r w:rsidR="006A1E9E" w:rsidRPr="00A86506">
        <w:rPr>
          <w:vertAlign w:val="subscript"/>
        </w:rPr>
        <w:t>2</w:t>
      </w:r>
      <w:r w:rsidR="006A1E9E" w:rsidRPr="00A86506">
        <w:t>e</w:t>
      </w:r>
      <w:r w:rsidR="006A1E9E">
        <w:t xml:space="preserve"> offshore mitigation may be needed to meet the </w:t>
      </w:r>
      <w:r w:rsidR="00236F75">
        <w:t xml:space="preserve">first </w:t>
      </w:r>
      <w:r w:rsidR="006A1E9E">
        <w:t>NDC</w:t>
      </w:r>
      <w:r w:rsidR="00D1226C">
        <w:t xml:space="preserve">. The </w:t>
      </w:r>
      <w:r w:rsidR="00EE5A1F">
        <w:t>Government</w:t>
      </w:r>
      <w:r w:rsidR="00D1226C">
        <w:t xml:space="preserve">’s </w:t>
      </w:r>
      <w:r w:rsidR="00D1226C" w:rsidRPr="00D1226C">
        <w:t xml:space="preserve">official </w:t>
      </w:r>
      <w:r w:rsidR="00D1226C" w:rsidRPr="00D1226C">
        <w:lastRenderedPageBreak/>
        <w:t>communications and statements continue to affirm that it is seeking offshore mitigation to meet the first NDC</w:t>
      </w:r>
      <w:r w:rsidR="006A1E9E">
        <w:t xml:space="preserve">. </w:t>
      </w:r>
    </w:p>
    <w:p w14:paraId="75A8DEF7" w14:textId="534A4EFF" w:rsidR="006A1E9E" w:rsidRDefault="006A1E9E" w:rsidP="006A1E9E">
      <w:r>
        <w:t>If the Government sold NZUs into the NZ ETS at prices below the cost of offshore mitigation, it would incur direct fiscal costs by allowing emitters to emit more cheaply tha</w:t>
      </w:r>
      <w:r w:rsidR="00C016DE">
        <w:t>n</w:t>
      </w:r>
      <w:r>
        <w:t xml:space="preserve"> </w:t>
      </w:r>
      <w:r w:rsidR="000F10BC">
        <w:t>the costs involved in meeting</w:t>
      </w:r>
      <w:r>
        <w:t xml:space="preserve"> its international emissions reduction target. The Government has also set out that it wants to achieve </w:t>
      </w:r>
      <w:r w:rsidR="001E78A1">
        <w:t xml:space="preserve">the first </w:t>
      </w:r>
      <w:r>
        <w:t>NDC through domestic emissions reduction</w:t>
      </w:r>
      <w:r w:rsidR="006A68CA">
        <w:t>s</w:t>
      </w:r>
      <w:r>
        <w:t xml:space="preserve"> as much as possible and minimi</w:t>
      </w:r>
      <w:r w:rsidR="006A68CA">
        <w:t>s</w:t>
      </w:r>
      <w:r>
        <w:t xml:space="preserve">e the use of offshore mitigation. </w:t>
      </w:r>
    </w:p>
    <w:p w14:paraId="29B0B000" w14:textId="010ACA6D" w:rsidR="001414AE" w:rsidRDefault="006A1E9E" w:rsidP="006A1E9E">
      <w:r>
        <w:t xml:space="preserve">The cost of offshore mitigation is uncertain. </w:t>
      </w:r>
      <w:r w:rsidR="00AB7F27">
        <w:t>L</w:t>
      </w:r>
      <w:r>
        <w:t xml:space="preserve">imited information is available from estimates published by countries seeking offshore mitigation to meet their </w:t>
      </w:r>
      <w:r w:rsidR="00AD7ED2">
        <w:t xml:space="preserve">2030 </w:t>
      </w:r>
      <w:r>
        <w:t xml:space="preserve">NDCs, set out in </w:t>
      </w:r>
      <w:r w:rsidRPr="0021084B">
        <w:rPr>
          <w:b/>
        </w:rPr>
        <w:t>Table</w:t>
      </w:r>
      <w:r w:rsidR="00E45E41">
        <w:rPr>
          <w:b/>
        </w:rPr>
        <w:t> </w:t>
      </w:r>
      <w:r w:rsidR="0066743C" w:rsidRPr="0021084B">
        <w:rPr>
          <w:b/>
        </w:rPr>
        <w:t>4.6</w:t>
      </w:r>
      <w:r w:rsidRPr="00635B5E">
        <w:rPr>
          <w:bCs/>
        </w:rPr>
        <w:t>.</w:t>
      </w:r>
      <w:r>
        <w:t xml:space="preserve"> The estimates range from around $30 to $1</w:t>
      </w:r>
      <w:r w:rsidR="00E13F5E">
        <w:t>0</w:t>
      </w:r>
      <w:r>
        <w:t>0</w:t>
      </w:r>
      <w:r w:rsidR="00C5204C">
        <w:t xml:space="preserve">. </w:t>
      </w:r>
    </w:p>
    <w:p w14:paraId="6B613CE1" w14:textId="51A55DCF" w:rsidR="0022473C" w:rsidRPr="005B160F" w:rsidRDefault="006A1E9E" w:rsidP="00FF4148">
      <w:pPr>
        <w:pStyle w:val="FigureTabletitle"/>
        <w:rPr>
          <w:highlight w:val="yellow"/>
          <w:lang w:val="en-US"/>
        </w:rPr>
      </w:pPr>
      <w:r w:rsidRPr="00635B5E">
        <w:rPr>
          <w:lang w:val="en-US"/>
        </w:rPr>
        <w:t xml:space="preserve">Table </w:t>
      </w:r>
      <w:r w:rsidR="00C16E22" w:rsidRPr="00635B5E">
        <w:rPr>
          <w:lang w:val="en-US"/>
        </w:rPr>
        <w:t>4.6</w:t>
      </w:r>
      <w:r w:rsidRPr="00635B5E">
        <w:rPr>
          <w:lang w:val="en-US"/>
        </w:rPr>
        <w:t xml:space="preserve">: </w:t>
      </w:r>
      <w:r w:rsidRPr="00FF4148">
        <w:rPr>
          <w:b w:val="0"/>
          <w:bCs w:val="0"/>
          <w:lang w:val="en-US"/>
        </w:rPr>
        <w:t>Estimates of the cost of offshore mitigation</w:t>
      </w:r>
      <w:r w:rsidRPr="00F43BF9">
        <w:rPr>
          <w:lang w:val="en-US"/>
        </w:rPr>
        <w:t xml:space="preserve"> </w:t>
      </w:r>
    </w:p>
    <w:tbl>
      <w:tblPr>
        <w:tblStyle w:val="GridTable5Dark-Accent5"/>
        <w:tblW w:w="5000" w:type="pct"/>
        <w:tblCellMar>
          <w:left w:w="113" w:type="dxa"/>
          <w:right w:w="113" w:type="dxa"/>
        </w:tblCellMar>
        <w:tblLook w:val="04A0" w:firstRow="1" w:lastRow="0" w:firstColumn="1" w:lastColumn="0" w:noHBand="0" w:noVBand="1"/>
      </w:tblPr>
      <w:tblGrid>
        <w:gridCol w:w="2748"/>
        <w:gridCol w:w="2872"/>
        <w:gridCol w:w="3440"/>
      </w:tblGrid>
      <w:tr w:rsidR="009916B9" w:rsidRPr="0091207A" w14:paraId="6C6F9413" w14:textId="77777777" w:rsidTr="0094164F">
        <w:trPr>
          <w:cnfStyle w:val="100000000000" w:firstRow="1" w:lastRow="0" w:firstColumn="0" w:lastColumn="0" w:oddVBand="0" w:evenVBand="0" w:oddHBand="0" w:evenHBand="0" w:firstRowFirstColumn="0" w:firstRowLastColumn="0" w:lastRowFirstColumn="0" w:lastRowLastColumn="0"/>
          <w:cantSplit/>
          <w:trHeight w:val="483"/>
        </w:trPr>
        <w:tc>
          <w:tcPr>
            <w:cnfStyle w:val="001000000000" w:firstRow="0" w:lastRow="0" w:firstColumn="1" w:lastColumn="0" w:oddVBand="0" w:evenVBand="0" w:oddHBand="0" w:evenHBand="0" w:firstRowFirstColumn="0" w:firstRowLastColumn="0" w:lastRowFirstColumn="0" w:lastRowLastColumn="0"/>
            <w:tcW w:w="0" w:type="pct"/>
            <w:shd w:val="clear" w:color="auto" w:fill="002060"/>
            <w:vAlign w:val="center"/>
          </w:tcPr>
          <w:p w14:paraId="11B02500" w14:textId="290A6B07" w:rsidR="005B160F" w:rsidRPr="002A79F5" w:rsidRDefault="00E80318" w:rsidP="009150F9">
            <w:pPr>
              <w:pStyle w:val="Tableparagraphwhite"/>
              <w:jc w:val="left"/>
            </w:pPr>
            <w:r w:rsidRPr="009150F9">
              <w:rPr>
                <w:b/>
              </w:rPr>
              <w:t>Country</w:t>
            </w:r>
          </w:p>
        </w:tc>
        <w:tc>
          <w:tcPr>
            <w:tcW w:w="0" w:type="pct"/>
            <w:shd w:val="clear" w:color="auto" w:fill="002060"/>
            <w:vAlign w:val="center"/>
          </w:tcPr>
          <w:p w14:paraId="2D883137" w14:textId="78E56C79" w:rsidR="005B160F" w:rsidRPr="00F515D5" w:rsidRDefault="00E80318" w:rsidP="009150F9">
            <w:pPr>
              <w:pStyle w:val="Tableparagraphwhite"/>
              <w:cnfStyle w:val="100000000000" w:firstRow="1" w:lastRow="0" w:firstColumn="0" w:lastColumn="0" w:oddVBand="0" w:evenVBand="0" w:oddHBand="0" w:evenHBand="0" w:firstRowFirstColumn="0" w:firstRowLastColumn="0" w:lastRowFirstColumn="0" w:lastRowLastColumn="0"/>
              <w:rPr>
                <w:lang w:val="en-NZ"/>
              </w:rPr>
            </w:pPr>
            <w:r w:rsidRPr="009150F9">
              <w:rPr>
                <w:b/>
                <w:lang w:val="en-NZ"/>
              </w:rPr>
              <w:t>Source</w:t>
            </w:r>
          </w:p>
        </w:tc>
        <w:tc>
          <w:tcPr>
            <w:tcW w:w="0" w:type="pct"/>
            <w:shd w:val="clear" w:color="auto" w:fill="002060"/>
            <w:vAlign w:val="center"/>
          </w:tcPr>
          <w:p w14:paraId="5CD4D801" w14:textId="259FCFB6" w:rsidR="005B160F" w:rsidRPr="00F515D5" w:rsidRDefault="00E80318" w:rsidP="009150F9">
            <w:pPr>
              <w:pStyle w:val="Tableparagraphwhite"/>
              <w:cnfStyle w:val="100000000000" w:firstRow="1" w:lastRow="0" w:firstColumn="0" w:lastColumn="0" w:oddVBand="0" w:evenVBand="0" w:oddHBand="0" w:evenHBand="0" w:firstRowFirstColumn="0" w:firstRowLastColumn="0" w:lastRowFirstColumn="0" w:lastRowLastColumn="0"/>
              <w:rPr>
                <w:lang w:val="en-NZ"/>
              </w:rPr>
            </w:pPr>
            <w:r w:rsidRPr="009150F9">
              <w:rPr>
                <w:b/>
                <w:lang w:val="en-NZ"/>
              </w:rPr>
              <w:t>Cost per tonne CO</w:t>
            </w:r>
            <w:r w:rsidRPr="009150F9">
              <w:rPr>
                <w:b/>
                <w:vertAlign w:val="subscript"/>
                <w:lang w:val="en-NZ"/>
              </w:rPr>
              <w:t>2</w:t>
            </w:r>
            <w:r w:rsidRPr="009150F9">
              <w:rPr>
                <w:b/>
                <w:lang w:val="en-NZ"/>
              </w:rPr>
              <w:t>e</w:t>
            </w:r>
            <w:r w:rsidR="002231D6" w:rsidRPr="009150F9">
              <w:rPr>
                <w:b/>
                <w:lang w:val="en-NZ"/>
              </w:rPr>
              <w:t xml:space="preserve"> (</w:t>
            </w:r>
            <w:r w:rsidR="00A02994" w:rsidRPr="009150F9">
              <w:rPr>
                <w:b/>
                <w:lang w:val="en-NZ"/>
              </w:rPr>
              <w:t>NZ$)</w:t>
            </w:r>
          </w:p>
        </w:tc>
      </w:tr>
      <w:tr w:rsidR="009916B9" w:rsidRPr="0091207A" w14:paraId="7F782632" w14:textId="77777777" w:rsidTr="0094164F">
        <w:trPr>
          <w:cnfStyle w:val="000000100000" w:firstRow="0" w:lastRow="0" w:firstColumn="0" w:lastColumn="0" w:oddVBand="0" w:evenVBand="0" w:oddHBand="1" w:evenHBand="0" w:firstRowFirstColumn="0" w:firstRowLastColumn="0" w:lastRowFirstColumn="0" w:lastRowLastColumn="0"/>
          <w:cantSplit/>
          <w:trHeight w:val="468"/>
        </w:trPr>
        <w:tc>
          <w:tcPr>
            <w:cnfStyle w:val="001000000000" w:firstRow="0" w:lastRow="0" w:firstColumn="1" w:lastColumn="0" w:oddVBand="0" w:evenVBand="0" w:oddHBand="0" w:evenHBand="0" w:firstRowFirstColumn="0" w:firstRowLastColumn="0" w:lastRowFirstColumn="0" w:lastRowLastColumn="0"/>
            <w:tcW w:w="0" w:type="pct"/>
            <w:shd w:val="clear" w:color="auto" w:fill="C1DCD5"/>
            <w:vAlign w:val="center"/>
          </w:tcPr>
          <w:p w14:paraId="0F908475" w14:textId="50A6A96B" w:rsidR="005B160F" w:rsidRPr="00E80318" w:rsidRDefault="00E80318" w:rsidP="009150F9">
            <w:pPr>
              <w:pStyle w:val="TableParagraph"/>
              <w:jc w:val="left"/>
            </w:pPr>
            <w:r w:rsidRPr="00E80318">
              <w:t>New Zealand</w:t>
            </w:r>
          </w:p>
        </w:tc>
        <w:tc>
          <w:tcPr>
            <w:tcW w:w="0" w:type="pct"/>
            <w:shd w:val="clear" w:color="auto" w:fill="E9F5F2"/>
            <w:vAlign w:val="center"/>
          </w:tcPr>
          <w:p w14:paraId="3636312E" w14:textId="50B59F67" w:rsidR="005B160F" w:rsidRPr="0091207A" w:rsidRDefault="00C41B40" w:rsidP="009150F9">
            <w:pPr>
              <w:pStyle w:val="TableParagraph"/>
              <w:jc w:val="left"/>
              <w:cnfStyle w:val="000000100000" w:firstRow="0" w:lastRow="0" w:firstColumn="0" w:lastColumn="0" w:oddVBand="0" w:evenVBand="0" w:oddHBand="1" w:evenHBand="0" w:firstRowFirstColumn="0" w:firstRowLastColumn="0" w:lastRowFirstColumn="0" w:lastRowLastColumn="0"/>
            </w:pPr>
            <w:r w:rsidRPr="00C41B40">
              <w:t>Climate Economic and Fiscal Assessment</w:t>
            </w:r>
            <w:r w:rsidR="007A2A48">
              <w:rPr>
                <w:rStyle w:val="EndnoteReference"/>
                <w:lang w:val="en-NZ"/>
              </w:rPr>
              <w:endnoteReference w:id="26"/>
            </w:r>
          </w:p>
        </w:tc>
        <w:tc>
          <w:tcPr>
            <w:tcW w:w="0" w:type="pct"/>
            <w:shd w:val="clear" w:color="auto" w:fill="E9F5F2"/>
            <w:vAlign w:val="center"/>
          </w:tcPr>
          <w:p w14:paraId="3E54FA0E" w14:textId="723F8596" w:rsidR="00790274" w:rsidRPr="00790274" w:rsidRDefault="00790274" w:rsidP="009150F9">
            <w:pPr>
              <w:pStyle w:val="TableParagraph"/>
              <w:jc w:val="left"/>
              <w:cnfStyle w:val="000000100000" w:firstRow="0" w:lastRow="0" w:firstColumn="0" w:lastColumn="0" w:oddVBand="0" w:evenVBand="0" w:oddHBand="1" w:evenHBand="0" w:firstRowFirstColumn="0" w:firstRowLastColumn="0" w:lastRowFirstColumn="0" w:lastRowLastColumn="0"/>
            </w:pPr>
            <w:r w:rsidRPr="00790274">
              <w:t>This estimated three price ranges, but we consider only two are credible:</w:t>
            </w:r>
            <w:r>
              <w:rPr>
                <w:rStyle w:val="FootnoteReference"/>
                <w:lang w:val="en-NZ"/>
              </w:rPr>
              <w:footnoteReference w:id="39"/>
            </w:r>
            <w:r w:rsidRPr="00790274">
              <w:t xml:space="preserve">  </w:t>
            </w:r>
          </w:p>
          <w:p w14:paraId="5D09C346" w14:textId="383D0275" w:rsidR="00790274" w:rsidRPr="00790274" w:rsidRDefault="00790274" w:rsidP="00816CCC">
            <w:pPr>
              <w:pStyle w:val="BodyBullets"/>
              <w:ind w:left="583" w:hanging="283"/>
              <w:cnfStyle w:val="000000100000" w:firstRow="0" w:lastRow="0" w:firstColumn="0" w:lastColumn="0" w:oddVBand="0" w:evenVBand="0" w:oddHBand="1" w:evenHBand="0" w:firstRowFirstColumn="0" w:firstRowLastColumn="0" w:lastRowFirstColumn="0" w:lastRowLastColumn="0"/>
            </w:pPr>
            <w:r w:rsidRPr="00790274">
              <w:t>$38-43, based on mitigation costs in developing economies</w:t>
            </w:r>
            <w:r>
              <w:t xml:space="preserve">. </w:t>
            </w:r>
          </w:p>
          <w:p w14:paraId="58097FC9" w14:textId="2AAB4E35" w:rsidR="005B160F" w:rsidRPr="0091207A" w:rsidRDefault="00790274" w:rsidP="00816CCC">
            <w:pPr>
              <w:pStyle w:val="BodyBullets"/>
              <w:ind w:left="583" w:hanging="283"/>
              <w:cnfStyle w:val="000000100000" w:firstRow="0" w:lastRow="0" w:firstColumn="0" w:lastColumn="0" w:oddVBand="0" w:evenVBand="0" w:oddHBand="1" w:evenHBand="0" w:firstRowFirstColumn="0" w:firstRowLastColumn="0" w:lastRowFirstColumn="0" w:lastRowLastColumn="0"/>
            </w:pPr>
            <w:r w:rsidRPr="00790274">
              <w:t>$89</w:t>
            </w:r>
            <w:r w:rsidR="00097274" w:rsidRPr="000A1433">
              <w:t>–</w:t>
            </w:r>
            <w:r w:rsidRPr="00790274">
              <w:t xml:space="preserve">102, based on average prices across comparable established </w:t>
            </w:r>
            <w:r w:rsidRPr="00781C6A">
              <w:t>ETS</w:t>
            </w:r>
            <w:r>
              <w:t xml:space="preserve">. </w:t>
            </w:r>
          </w:p>
        </w:tc>
      </w:tr>
      <w:tr w:rsidR="009916B9" w:rsidRPr="0091207A" w14:paraId="20CCAA3B" w14:textId="77777777" w:rsidTr="0094164F">
        <w:trPr>
          <w:cantSplit/>
          <w:trHeight w:val="483"/>
        </w:trPr>
        <w:tc>
          <w:tcPr>
            <w:cnfStyle w:val="001000000000" w:firstRow="0" w:lastRow="0" w:firstColumn="1" w:lastColumn="0" w:oddVBand="0" w:evenVBand="0" w:oddHBand="0" w:evenHBand="0" w:firstRowFirstColumn="0" w:firstRowLastColumn="0" w:lastRowFirstColumn="0" w:lastRowLastColumn="0"/>
            <w:tcW w:w="0" w:type="pct"/>
            <w:shd w:val="clear" w:color="auto" w:fill="C1DCD5"/>
            <w:vAlign w:val="center"/>
          </w:tcPr>
          <w:p w14:paraId="3F5E46BF" w14:textId="6140A7A8" w:rsidR="005B160F" w:rsidRPr="00E80318" w:rsidRDefault="00E80318" w:rsidP="009150F9">
            <w:pPr>
              <w:pStyle w:val="TableParagraph"/>
              <w:jc w:val="left"/>
            </w:pPr>
            <w:r w:rsidRPr="00E80318">
              <w:t>Switzerland</w:t>
            </w:r>
          </w:p>
        </w:tc>
        <w:tc>
          <w:tcPr>
            <w:tcW w:w="0" w:type="pct"/>
            <w:shd w:val="clear" w:color="auto" w:fill="D4E8DE"/>
            <w:vAlign w:val="center"/>
          </w:tcPr>
          <w:p w14:paraId="1ECCED86" w14:textId="11E11982" w:rsidR="005B160F" w:rsidRPr="00781C6A" w:rsidRDefault="003B78D1" w:rsidP="009150F9">
            <w:pPr>
              <w:pStyle w:val="TableParagraph"/>
              <w:jc w:val="left"/>
              <w:cnfStyle w:val="000000000000" w:firstRow="0" w:lastRow="0" w:firstColumn="0" w:lastColumn="0" w:oddVBand="0" w:evenVBand="0" w:oddHBand="0" w:evenHBand="0" w:firstRowFirstColumn="0" w:firstRowLastColumn="0" w:lastRowFirstColumn="0" w:lastRowLastColumn="0"/>
            </w:pPr>
            <w:r w:rsidRPr="00781C6A">
              <w:t xml:space="preserve">2023 annual report of the Klik Foundation, an entity tasked by the Government to </w:t>
            </w:r>
            <w:r w:rsidR="00742F56" w:rsidRPr="00781C6A">
              <w:t>obtain</w:t>
            </w:r>
            <w:r w:rsidRPr="00781C6A">
              <w:t xml:space="preserve"> offshore mitigation.</w:t>
            </w:r>
            <w:r w:rsidR="00A24FB2" w:rsidRPr="00781C6A">
              <w:rPr>
                <w:rStyle w:val="EndnoteReference"/>
                <w:rFonts w:asciiTheme="minorHAnsi" w:hAnsiTheme="minorHAnsi" w:cstheme="minorHAnsi"/>
                <w:lang w:val="en-NZ"/>
              </w:rPr>
              <w:endnoteReference w:id="27"/>
            </w:r>
            <w:r w:rsidRPr="00781C6A">
              <w:t xml:space="preserve">  </w:t>
            </w:r>
          </w:p>
        </w:tc>
        <w:tc>
          <w:tcPr>
            <w:tcW w:w="0" w:type="pct"/>
            <w:shd w:val="clear" w:color="auto" w:fill="D4E8DE"/>
            <w:vAlign w:val="center"/>
          </w:tcPr>
          <w:p w14:paraId="1CE5429E" w14:textId="24954100" w:rsidR="00C1213A" w:rsidRPr="00C1213A" w:rsidRDefault="00C1213A" w:rsidP="00816CCC">
            <w:pPr>
              <w:pStyle w:val="BodyBullets"/>
              <w:ind w:left="583" w:hanging="283"/>
              <w:cnfStyle w:val="000000000000" w:firstRow="0" w:lastRow="0" w:firstColumn="0" w:lastColumn="0" w:oddVBand="0" w:evenVBand="0" w:oddHBand="0" w:evenHBand="0" w:firstRowFirstColumn="0" w:firstRowLastColumn="0" w:lastRowFirstColumn="0" w:lastRowLastColumn="0"/>
            </w:pPr>
            <w:r w:rsidRPr="00C1213A">
              <w:t>Klik reported an average cost of $51 for the limited volume of purchases so far.</w:t>
            </w:r>
          </w:p>
          <w:p w14:paraId="36C0E2E1" w14:textId="5D553B56" w:rsidR="005B160F" w:rsidRPr="00C1213A" w:rsidRDefault="00C1213A" w:rsidP="00816CCC">
            <w:pPr>
              <w:pStyle w:val="BodyBullets"/>
              <w:ind w:left="583" w:hanging="283"/>
              <w:cnfStyle w:val="000000000000" w:firstRow="0" w:lastRow="0" w:firstColumn="0" w:lastColumn="0" w:oddVBand="0" w:evenVBand="0" w:oddHBand="0" w:evenHBand="0" w:firstRowFirstColumn="0" w:firstRowLastColumn="0" w:lastRowFirstColumn="0" w:lastRowLastColumn="0"/>
            </w:pPr>
            <w:r>
              <w:t>It e</w:t>
            </w:r>
            <w:r w:rsidRPr="00C1213A">
              <w:t xml:space="preserve">xpects </w:t>
            </w:r>
            <w:r>
              <w:t xml:space="preserve">a </w:t>
            </w:r>
            <w:r w:rsidRPr="00C1213A">
              <w:t xml:space="preserve">likely cost of $78 on average for future purchases to meet </w:t>
            </w:r>
            <w:r w:rsidR="00E93075">
              <w:t>Switzerland’s</w:t>
            </w:r>
            <w:r w:rsidR="00120823">
              <w:t xml:space="preserve"> </w:t>
            </w:r>
            <w:r w:rsidRPr="00C1213A">
              <w:t>2030 NDC.</w:t>
            </w:r>
          </w:p>
        </w:tc>
      </w:tr>
      <w:tr w:rsidR="009916B9" w:rsidRPr="0091207A" w14:paraId="65A5C9E2" w14:textId="77777777" w:rsidTr="0094164F">
        <w:trPr>
          <w:cnfStyle w:val="000000100000" w:firstRow="0" w:lastRow="0" w:firstColumn="0" w:lastColumn="0" w:oddVBand="0" w:evenVBand="0" w:oddHBand="1" w:evenHBand="0" w:firstRowFirstColumn="0" w:firstRowLastColumn="0" w:lastRowFirstColumn="0" w:lastRowLastColumn="0"/>
          <w:cantSplit/>
          <w:trHeight w:val="483"/>
        </w:trPr>
        <w:tc>
          <w:tcPr>
            <w:cnfStyle w:val="001000000000" w:firstRow="0" w:lastRow="0" w:firstColumn="1" w:lastColumn="0" w:oddVBand="0" w:evenVBand="0" w:oddHBand="0" w:evenHBand="0" w:firstRowFirstColumn="0" w:firstRowLastColumn="0" w:lastRowFirstColumn="0" w:lastRowLastColumn="0"/>
            <w:tcW w:w="0" w:type="pct"/>
            <w:shd w:val="clear" w:color="auto" w:fill="C1DCD5"/>
            <w:vAlign w:val="center"/>
          </w:tcPr>
          <w:p w14:paraId="66AB60C3" w14:textId="478F4A64" w:rsidR="005B160F" w:rsidRPr="00E80318" w:rsidRDefault="00E80318" w:rsidP="009150F9">
            <w:pPr>
              <w:pStyle w:val="TableParagraph"/>
              <w:jc w:val="left"/>
            </w:pPr>
            <w:r w:rsidRPr="00E80318">
              <w:t xml:space="preserve">Singapore </w:t>
            </w:r>
          </w:p>
        </w:tc>
        <w:tc>
          <w:tcPr>
            <w:tcW w:w="0" w:type="pct"/>
            <w:shd w:val="clear" w:color="auto" w:fill="E9F5F2"/>
            <w:vAlign w:val="center"/>
          </w:tcPr>
          <w:p w14:paraId="57AC160B" w14:textId="36B153D6" w:rsidR="005B160F" w:rsidRPr="00781C6A" w:rsidRDefault="002A170A" w:rsidP="009150F9">
            <w:pPr>
              <w:pStyle w:val="TableParagraph"/>
              <w:jc w:val="left"/>
              <w:cnfStyle w:val="000000100000" w:firstRow="0" w:lastRow="0" w:firstColumn="0" w:lastColumn="0" w:oddVBand="0" w:evenVBand="0" w:oddHBand="1" w:evenHBand="0" w:firstRowFirstColumn="0" w:firstRowLastColumn="0" w:lastRowFirstColumn="0" w:lastRowLastColumn="0"/>
            </w:pPr>
            <w:r w:rsidRPr="00781C6A">
              <w:t>Reported results of a Government Request for Proposals, February 2025.</w:t>
            </w:r>
            <w:r w:rsidR="00A02994">
              <w:rPr>
                <w:rStyle w:val="EndnoteReference"/>
                <w:rFonts w:asciiTheme="minorHAnsi" w:hAnsiTheme="minorHAnsi" w:cstheme="minorHAnsi"/>
                <w:lang w:val="en-NZ"/>
              </w:rPr>
              <w:endnoteReference w:id="28"/>
            </w:r>
          </w:p>
        </w:tc>
        <w:tc>
          <w:tcPr>
            <w:tcW w:w="0" w:type="pct"/>
            <w:shd w:val="clear" w:color="auto" w:fill="E9F5F2"/>
            <w:vAlign w:val="center"/>
          </w:tcPr>
          <w:p w14:paraId="7FD691D6" w14:textId="66412BB9" w:rsidR="005B160F" w:rsidRPr="00781C6A" w:rsidRDefault="0069464A" w:rsidP="00816CCC">
            <w:pPr>
              <w:pStyle w:val="BodyBullets"/>
              <w:ind w:left="583"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9464A">
              <w:t>NZ$32</w:t>
            </w:r>
            <w:r w:rsidR="004C5227" w:rsidRPr="000A1433">
              <w:t>–</w:t>
            </w:r>
            <w:r w:rsidRPr="0069464A">
              <w:t>$72</w:t>
            </w:r>
            <w:r w:rsidRPr="00781C6A">
              <w:t>.</w:t>
            </w:r>
          </w:p>
        </w:tc>
      </w:tr>
    </w:tbl>
    <w:p w14:paraId="5E3CEB58" w14:textId="0E32F55E" w:rsidR="001C6108" w:rsidRDefault="001C6108" w:rsidP="001C6108">
      <w:r>
        <w:t>Commentary on how the market for offshore mitigation may develop suggests that its cost will increase over time.</w:t>
      </w:r>
      <w:r>
        <w:rPr>
          <w:rStyle w:val="EndnoteReference"/>
        </w:rPr>
        <w:endnoteReference w:id="29"/>
      </w:r>
      <w:r>
        <w:t xml:space="preserve"> The low-end costs quoted for Switzerland and Singapore may reflect first mover advantage, a position Aotearoa New Zealand is unlikely to share. </w:t>
      </w:r>
    </w:p>
    <w:p w14:paraId="576ABCC3" w14:textId="77777777" w:rsidR="001C6108" w:rsidRDefault="001C6108" w:rsidP="001C6108">
      <w:r>
        <w:t xml:space="preserve">We consider that the offshore mitigation cost estimates support maintaining, or potentially increasing, the current ARP, which sits around the middle of the range. If the ARP were to be </w:t>
      </w:r>
      <w:r>
        <w:lastRenderedPageBreak/>
        <w:t xml:space="preserve">moved towards the lower end of cost estimates, it would likely create a high risk of the Government increasing the cost of meeting the NDC. </w:t>
      </w:r>
    </w:p>
    <w:p w14:paraId="4484E27E" w14:textId="54B41FA0" w:rsidR="0022473C" w:rsidRDefault="00652595" w:rsidP="00FA0055">
      <w:pPr>
        <w:pStyle w:val="Heading3"/>
      </w:pPr>
      <w:r>
        <w:t>How the ARP should evolve in the 2030s is less clear</w:t>
      </w:r>
      <w:r w:rsidR="0022473C">
        <w:t xml:space="preserve"> </w:t>
      </w:r>
    </w:p>
    <w:p w14:paraId="523625B1" w14:textId="506C422B" w:rsidR="00E04578" w:rsidRDefault="00E04578" w:rsidP="00E04578">
      <w:r>
        <w:t xml:space="preserve">The ENZ modelling described earlier in this </w:t>
      </w:r>
      <w:r w:rsidR="00592B1A">
        <w:t>chapter</w:t>
      </w:r>
      <w:r>
        <w:t xml:space="preserve"> provides insight into the minimum emissions prices that may be needed to meet the third emissions budget. The low EV constraint scenario</w:t>
      </w:r>
      <w:r w:rsidR="00520EA0">
        <w:t>,</w:t>
      </w:r>
      <w:r>
        <w:t xml:space="preserve"> which is most relevant for the ARP</w:t>
      </w:r>
      <w:r w:rsidR="00520EA0">
        <w:t>,</w:t>
      </w:r>
      <w:r>
        <w:t xml:space="preserve"> gave a shadow price of $188 in 2035</w:t>
      </w:r>
      <w:r w:rsidR="003E433C">
        <w:t xml:space="preserve">; </w:t>
      </w:r>
      <w:r w:rsidR="003025F7">
        <w:t xml:space="preserve">once </w:t>
      </w:r>
      <w:r>
        <w:t>discounted back to 2026</w:t>
      </w:r>
      <w:r w:rsidR="00F1107E">
        <w:t>–</w:t>
      </w:r>
      <w:r>
        <w:t>2030</w:t>
      </w:r>
      <w:r w:rsidR="006C2477">
        <w:t>,</w:t>
      </w:r>
      <w:r>
        <w:t xml:space="preserve"> </w:t>
      </w:r>
      <w:r w:rsidR="003E433C">
        <w:t xml:space="preserve">this </w:t>
      </w:r>
      <w:r>
        <w:t xml:space="preserve">is well above current ARP levels. This suggests that if </w:t>
      </w:r>
      <w:r w:rsidR="00FE01B7">
        <w:t xml:space="preserve">further action to </w:t>
      </w:r>
      <w:r>
        <w:t>achiev</w:t>
      </w:r>
      <w:r w:rsidR="00FE01B7">
        <w:t>e</w:t>
      </w:r>
      <w:r>
        <w:t xml:space="preserve"> </w:t>
      </w:r>
      <w:r w:rsidR="0091153E">
        <w:t xml:space="preserve">the third </w:t>
      </w:r>
      <w:r>
        <w:t xml:space="preserve">emissions budget </w:t>
      </w:r>
      <w:r w:rsidR="00FD45EB">
        <w:t>must involve</w:t>
      </w:r>
      <w:r>
        <w:t xml:space="preserve"> gross emissions reductions, there could be a case to increase the ARP levels. </w:t>
      </w:r>
    </w:p>
    <w:p w14:paraId="0250D51D" w14:textId="42EBF72B" w:rsidR="00E04578" w:rsidRDefault="00E04578" w:rsidP="00E04578">
      <w:r>
        <w:t xml:space="preserve">Our view of this result is moderated, however, by the analysis </w:t>
      </w:r>
      <w:r w:rsidR="003320C2">
        <w:t>looking at</w:t>
      </w:r>
      <w:r>
        <w:t xml:space="preserve"> baseline emissions assumptions. This highlighted that a high fossil gas price could </w:t>
      </w:r>
      <w:r w:rsidR="003320C2">
        <w:t>significantly reduce</w:t>
      </w:r>
      <w:r>
        <w:t xml:space="preserve"> the emissions price needed to achieve </w:t>
      </w:r>
      <w:r w:rsidR="00FD45EB">
        <w:t xml:space="preserve">the third </w:t>
      </w:r>
      <w:r>
        <w:t xml:space="preserve">emissions budget. </w:t>
      </w:r>
      <w:r w:rsidR="000800D5">
        <w:t>Af</w:t>
      </w:r>
      <w:r>
        <w:t>forestation</w:t>
      </w:r>
      <w:r w:rsidR="00FD45EB">
        <w:t xml:space="preserve"> before 2031</w:t>
      </w:r>
      <w:r>
        <w:t xml:space="preserve"> </w:t>
      </w:r>
      <w:r w:rsidR="000800D5">
        <w:t xml:space="preserve">over </w:t>
      </w:r>
      <w:r w:rsidRPr="008659E5">
        <w:t xml:space="preserve">the </w:t>
      </w:r>
      <w:r w:rsidR="00F6299F" w:rsidRPr="008659E5">
        <w:t>3</w:t>
      </w:r>
      <w:r w:rsidRPr="008659E5">
        <w:t>5,000</w:t>
      </w:r>
      <w:r>
        <w:t xml:space="preserve"> h</w:t>
      </w:r>
      <w:r w:rsidR="000800D5">
        <w:t xml:space="preserve">ectares </w:t>
      </w:r>
      <w:r>
        <w:t xml:space="preserve">per year </w:t>
      </w:r>
      <w:r w:rsidR="00FD45EB">
        <w:t>assumed in</w:t>
      </w:r>
      <w:r>
        <w:t xml:space="preserve"> the </w:t>
      </w:r>
      <w:r w:rsidR="00FB61D3">
        <w:t>G</w:t>
      </w:r>
      <w:r w:rsidRPr="00B67659">
        <w:t>overnment’s</w:t>
      </w:r>
      <w:r>
        <w:t xml:space="preserve"> </w:t>
      </w:r>
      <w:r w:rsidR="00FD45EB">
        <w:t xml:space="preserve">emissions projections </w:t>
      </w:r>
      <w:r>
        <w:t xml:space="preserve">could </w:t>
      </w:r>
      <w:r w:rsidR="000E41E9">
        <w:t xml:space="preserve">also </w:t>
      </w:r>
      <w:r>
        <w:t xml:space="preserve">close some of the gap and reduce the emissions prices needed. </w:t>
      </w:r>
    </w:p>
    <w:p w14:paraId="1539B232" w14:textId="173076F8" w:rsidR="0022473C" w:rsidRDefault="00E04578" w:rsidP="00BA38EE">
      <w:r>
        <w:t xml:space="preserve">If planting forests is increasingly relied on to meet targets in future, </w:t>
      </w:r>
      <w:r w:rsidR="00F0571A">
        <w:t xml:space="preserve">after </w:t>
      </w:r>
      <w:r>
        <w:t>2030 the emissions price may not need to continue an upward trajectory</w:t>
      </w:r>
      <w:r w:rsidR="00673C78">
        <w:t>.</w:t>
      </w:r>
      <w:r w:rsidR="003469A2">
        <w:t xml:space="preserve"> T</w:t>
      </w:r>
      <w:r w:rsidR="00673C78">
        <w:t>he emissions price</w:t>
      </w:r>
      <w:r>
        <w:t xml:space="preserve"> could tend towards the marginal cost of afforestation </w:t>
      </w:r>
      <w:r w:rsidR="009150BD" w:rsidRPr="000A1433">
        <w:t>–</w:t>
      </w:r>
      <w:r w:rsidR="003469A2">
        <w:t xml:space="preserve"> </w:t>
      </w:r>
      <w:r>
        <w:t>around $50 in a range of $25</w:t>
      </w:r>
      <w:r w:rsidR="009150BD" w:rsidRPr="000A1433">
        <w:t>–</w:t>
      </w:r>
      <w:r>
        <w:t xml:space="preserve">75, according to </w:t>
      </w:r>
      <w:r w:rsidR="003469A2">
        <w:t xml:space="preserve">the </w:t>
      </w:r>
      <w:r w:rsidR="00FB61D3">
        <w:t>G</w:t>
      </w:r>
      <w:r>
        <w:t xml:space="preserve">overnment. This </w:t>
      </w:r>
      <w:r w:rsidR="0004702E">
        <w:t xml:space="preserve">could mean </w:t>
      </w:r>
      <w:r>
        <w:t xml:space="preserve">there </w:t>
      </w:r>
      <w:r w:rsidR="0004702E">
        <w:t xml:space="preserve">is </w:t>
      </w:r>
      <w:r>
        <w:t>a case to flatten out the ARP</w:t>
      </w:r>
      <w:r w:rsidR="0004702E">
        <w:t xml:space="preserve"> levels in the </w:t>
      </w:r>
      <w:r>
        <w:t>2030s, rather than continu</w:t>
      </w:r>
      <w:r w:rsidR="0004702E">
        <w:t>e</w:t>
      </w:r>
      <w:r>
        <w:t xml:space="preserve"> its 3% annual increase in real terms. </w:t>
      </w:r>
      <w:r w:rsidR="0011209B">
        <w:t>However, since the current trajectory is still required to accord with the second emissions budget, we see no case to do this now.</w:t>
      </w:r>
      <w:r>
        <w:t xml:space="preserve"> This is</w:t>
      </w:r>
      <w:r w:rsidR="009968B9">
        <w:t xml:space="preserve"> therefore</w:t>
      </w:r>
      <w:r>
        <w:t xml:space="preserve"> an issue for </w:t>
      </w:r>
      <w:r w:rsidR="009034B8">
        <w:t xml:space="preserve">settings </w:t>
      </w:r>
      <w:r w:rsidR="0074200D">
        <w:t>to</w:t>
      </w:r>
      <w:r w:rsidR="009034B8">
        <w:t xml:space="preserve"> be decid</w:t>
      </w:r>
      <w:r w:rsidR="0031621B">
        <w:t>ed</w:t>
      </w:r>
      <w:r w:rsidR="009034B8">
        <w:t xml:space="preserve"> in future that apply to years in</w:t>
      </w:r>
      <w:r>
        <w:t xml:space="preserve"> the 2030s, </w:t>
      </w:r>
      <w:r w:rsidR="001D5A21">
        <w:t>not the 2026</w:t>
      </w:r>
      <w:r w:rsidR="00F1107E">
        <w:t>–</w:t>
      </w:r>
      <w:r w:rsidR="001D5A21">
        <w:t xml:space="preserve">2030 period covered by the </w:t>
      </w:r>
      <w:r w:rsidR="000800D5">
        <w:t xml:space="preserve">settings in this advice. </w:t>
      </w:r>
      <w:r w:rsidR="0011209B">
        <w:t xml:space="preserve"> </w:t>
      </w:r>
    </w:p>
    <w:p w14:paraId="685C33BF" w14:textId="60DF29C6" w:rsidR="00542BE7" w:rsidRDefault="00542BE7" w:rsidP="00542BE7">
      <w:pPr>
        <w:pStyle w:val="Heading3"/>
      </w:pPr>
      <w:r>
        <w:t>The current ARP remains appropriate and should not be lowered</w:t>
      </w:r>
    </w:p>
    <w:p w14:paraId="119BCE2A" w14:textId="68890D84" w:rsidR="00542BE7" w:rsidRDefault="00E93694" w:rsidP="00542BE7">
      <w:r>
        <w:t xml:space="preserve">We </w:t>
      </w:r>
      <w:r w:rsidR="00A20935">
        <w:t xml:space="preserve">recommend extending the </w:t>
      </w:r>
      <w:r w:rsidR="00724E7A">
        <w:t xml:space="preserve">current ARP </w:t>
      </w:r>
      <w:r w:rsidR="00A20935">
        <w:t>to 203</w:t>
      </w:r>
      <w:r w:rsidR="00B0681A">
        <w:t>0</w:t>
      </w:r>
      <w:r w:rsidR="00A20935">
        <w:t xml:space="preserve">, as it </w:t>
      </w:r>
      <w:r w:rsidR="00724E7A">
        <w:t xml:space="preserve">is set at the right level </w:t>
      </w:r>
      <w:r w:rsidR="00B42D9C">
        <w:t>for the 2026</w:t>
      </w:r>
      <w:r w:rsidR="00F1107E">
        <w:t>–</w:t>
      </w:r>
      <w:r w:rsidR="00B42D9C">
        <w:t>2030 period</w:t>
      </w:r>
      <w:r w:rsidR="00EF10C5">
        <w:t xml:space="preserve">, aligning with the low end of costs to reduce </w:t>
      </w:r>
      <w:r w:rsidR="007C53E7">
        <w:t xml:space="preserve">gross </w:t>
      </w:r>
      <w:r w:rsidR="00EF10C5">
        <w:t>emissions</w:t>
      </w:r>
      <w:r w:rsidR="00B42D9C">
        <w:t xml:space="preserve">. </w:t>
      </w:r>
      <w:r w:rsidR="00542BE7">
        <w:t>Looking out to 2035, the</w:t>
      </w:r>
      <w:r w:rsidR="00B42D9C">
        <w:t xml:space="preserve"> picture is less clear</w:t>
      </w:r>
      <w:r w:rsidR="00FE7DCA">
        <w:t xml:space="preserve">, but if </w:t>
      </w:r>
      <w:r w:rsidR="00746DA2">
        <w:t>change is needed</w:t>
      </w:r>
      <w:r w:rsidR="00FE7DCA">
        <w:t xml:space="preserve">, it could </w:t>
      </w:r>
      <w:r w:rsidR="00746DA2">
        <w:t xml:space="preserve">be </w:t>
      </w:r>
      <w:r w:rsidR="000C3157">
        <w:t xml:space="preserve">implemented </w:t>
      </w:r>
      <w:r w:rsidR="004D50E4">
        <w:t>later</w:t>
      </w:r>
      <w:r w:rsidR="00746DA2">
        <w:t xml:space="preserve">. </w:t>
      </w:r>
    </w:p>
    <w:p w14:paraId="1BA06134" w14:textId="1E4A675E" w:rsidR="00BB42BC" w:rsidRDefault="00542BE7" w:rsidP="00D36BD0">
      <w:r>
        <w:t xml:space="preserve">Based on current evidence, we do not see any case for lowering the ARP, either now or in the 2030s. </w:t>
      </w:r>
      <w:r w:rsidR="00297E0E">
        <w:t xml:space="preserve">In the period to 2030, </w:t>
      </w:r>
      <w:r w:rsidR="00AB6499">
        <w:t>doing so</w:t>
      </w:r>
      <w:r w:rsidR="00297E0E">
        <w:t xml:space="preserve"> would likely create a high risk of the Government increasing the cost of meeting the first NDC.</w:t>
      </w:r>
      <w:r>
        <w:t xml:space="preserve"> While it may seem consistent with a low-cost, forestry-led approach to meeting targets, gross emissions reductions are clearly needed for meeting </w:t>
      </w:r>
      <w:r w:rsidR="00B976F7">
        <w:t xml:space="preserve">the second </w:t>
      </w:r>
      <w:r>
        <w:t xml:space="preserve">emissions budget </w:t>
      </w:r>
      <w:r w:rsidR="00986713">
        <w:t xml:space="preserve">– </w:t>
      </w:r>
      <w:r>
        <w:t xml:space="preserve">and it is highly likely that at least some will be needed to meet </w:t>
      </w:r>
      <w:r w:rsidR="00B976F7">
        <w:t>the third</w:t>
      </w:r>
      <w:r w:rsidR="00E417EC">
        <w:t xml:space="preserve"> emissions budget</w:t>
      </w:r>
      <w:r w:rsidR="00B976F7">
        <w:t>.</w:t>
      </w:r>
      <w:r>
        <w:t xml:space="preserve"> Lowering the ARP would undermine</w:t>
      </w:r>
      <w:r w:rsidR="00A273CE">
        <w:t xml:space="preserve"> existing</w:t>
      </w:r>
      <w:r w:rsidR="00177E7D">
        <w:t xml:space="preserve"> decarbonisation and forestry</w:t>
      </w:r>
      <w:r w:rsidR="00A273CE">
        <w:t xml:space="preserve"> </w:t>
      </w:r>
      <w:r w:rsidR="00E7041D">
        <w:t>investments, as it is likely that the current ARP was a factor in th</w:t>
      </w:r>
      <w:r w:rsidR="00D6125D">
        <w:t>os</w:t>
      </w:r>
      <w:r w:rsidR="00E7041D">
        <w:t>e investment decisions,</w:t>
      </w:r>
      <w:r w:rsidR="00C22ECF">
        <w:t xml:space="preserve"> </w:t>
      </w:r>
      <w:r>
        <w:t xml:space="preserve">and future investments in reducing emissions. </w:t>
      </w:r>
    </w:p>
    <w:p w14:paraId="2A8C22C3" w14:textId="556D9A11" w:rsidR="002707EC" w:rsidRDefault="002707EC" w:rsidP="00D36BD0">
      <w:pPr>
        <w:rPr>
          <w:b/>
          <w:bCs/>
          <w:color w:val="1F3864"/>
          <w:sz w:val="20"/>
          <w:szCs w:val="18"/>
        </w:rPr>
      </w:pPr>
      <w:r>
        <w:t xml:space="preserve">In any event, by the 2030s the ARP is likely to have less influence on the market. As the </w:t>
      </w:r>
      <w:r>
        <w:br/>
        <w:t>NZ ETS emissions cap declines towards zero, the auction volumes will also decline to become a smaller share of unit supply, with forestry likely to increasingly dominate the market.</w:t>
      </w:r>
    </w:p>
    <w:p w14:paraId="049E77B1" w14:textId="3FBEF3EB" w:rsidR="00536E29" w:rsidRDefault="00536E29" w:rsidP="00536E29">
      <w:pPr>
        <w:pStyle w:val="FigureTabletitle"/>
        <w:ind w:right="139"/>
      </w:pPr>
      <w:r w:rsidRPr="002D564A">
        <w:lastRenderedPageBreak/>
        <w:t xml:space="preserve">Table </w:t>
      </w:r>
      <w:r w:rsidR="00C16E22">
        <w:t>4.7</w:t>
      </w:r>
      <w:r>
        <w:t xml:space="preserve">: </w:t>
      </w:r>
      <w:r w:rsidR="001D3C0B" w:rsidRPr="006273B6">
        <w:rPr>
          <w:b w:val="0"/>
        </w:rPr>
        <w:t xml:space="preserve">Recommended </w:t>
      </w:r>
      <w:r w:rsidR="006E61BE" w:rsidRPr="006273B6">
        <w:rPr>
          <w:b w:val="0"/>
        </w:rPr>
        <w:t>auction reserve prices</w:t>
      </w:r>
      <w:r w:rsidR="006E61BE">
        <w:t xml:space="preserve"> </w:t>
      </w:r>
    </w:p>
    <w:tbl>
      <w:tblPr>
        <w:tblStyle w:val="GridTable5Dark-Accent5"/>
        <w:tblW w:w="5000" w:type="pct"/>
        <w:tblCellMar>
          <w:left w:w="113" w:type="dxa"/>
          <w:right w:w="113" w:type="dxa"/>
        </w:tblCellMar>
        <w:tblLook w:val="04A0" w:firstRow="1" w:lastRow="0" w:firstColumn="1" w:lastColumn="0" w:noHBand="0" w:noVBand="1"/>
      </w:tblPr>
      <w:tblGrid>
        <w:gridCol w:w="2276"/>
        <w:gridCol w:w="1356"/>
        <w:gridCol w:w="1357"/>
        <w:gridCol w:w="1357"/>
        <w:gridCol w:w="1357"/>
        <w:gridCol w:w="1357"/>
      </w:tblGrid>
      <w:tr w:rsidR="00BD36F8" w:rsidRPr="0091207A" w14:paraId="2DA1D8C5" w14:textId="77777777" w:rsidTr="005A4F34">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76" w:type="dxa"/>
            <w:shd w:val="clear" w:color="auto" w:fill="002060"/>
            <w:vAlign w:val="center"/>
          </w:tcPr>
          <w:p w14:paraId="5CC82050" w14:textId="6D169E28" w:rsidR="00BD36F8" w:rsidRPr="00821368" w:rsidRDefault="00026ED8" w:rsidP="00821368">
            <w:pPr>
              <w:pStyle w:val="Tableparagraphwhite"/>
              <w:jc w:val="left"/>
              <w:rPr>
                <w:b/>
                <w:bCs/>
              </w:rPr>
            </w:pPr>
            <w:r w:rsidRPr="004358E1">
              <w:rPr>
                <w:rFonts w:ascii="ZWAdobeF" w:hAnsi="ZWAdobeF" w:cs="ZWAdobeF"/>
                <w:b/>
                <w:bCs/>
                <w:color w:val="auto"/>
                <w:sz w:val="2"/>
                <w:szCs w:val="2"/>
              </w:rPr>
              <w:t>25B</w:t>
            </w:r>
            <w:r w:rsidRPr="00821368">
              <w:rPr>
                <w:b/>
                <w:bCs/>
              </w:rPr>
              <w:t>Auction reserve price</w:t>
            </w:r>
          </w:p>
        </w:tc>
        <w:tc>
          <w:tcPr>
            <w:tcW w:w="2713" w:type="dxa"/>
            <w:gridSpan w:val="2"/>
            <w:shd w:val="clear" w:color="auto" w:fill="002060"/>
            <w:vAlign w:val="center"/>
          </w:tcPr>
          <w:p w14:paraId="048C7DCD" w14:textId="77777777" w:rsidR="00BD36F8" w:rsidRPr="00F515D5" w:rsidRDefault="00BD36F8" w:rsidP="009150F9">
            <w:pPr>
              <w:pStyle w:val="Tableparagraphwhite"/>
              <w:cnfStyle w:val="100000000000" w:firstRow="1" w:lastRow="0" w:firstColumn="0" w:lastColumn="0" w:oddVBand="0" w:evenVBand="0" w:oddHBand="0" w:evenHBand="0" w:firstRowFirstColumn="0" w:firstRowLastColumn="0" w:lastRowFirstColumn="0" w:lastRowLastColumn="0"/>
            </w:pPr>
            <w:r w:rsidRPr="009150F9">
              <w:rPr>
                <w:b/>
              </w:rPr>
              <w:t>No changes</w:t>
            </w:r>
          </w:p>
        </w:tc>
        <w:tc>
          <w:tcPr>
            <w:tcW w:w="2714" w:type="dxa"/>
            <w:gridSpan w:val="2"/>
            <w:shd w:val="clear" w:color="auto" w:fill="002060"/>
            <w:vAlign w:val="center"/>
          </w:tcPr>
          <w:p w14:paraId="1CC2C1B2" w14:textId="179BF632" w:rsidR="00BD36F8" w:rsidRPr="00F515D5" w:rsidRDefault="00BD36F8" w:rsidP="009150F9">
            <w:pPr>
              <w:pStyle w:val="Tableparagraphwhite"/>
              <w:cnfStyle w:val="100000000000" w:firstRow="1" w:lastRow="0" w:firstColumn="0" w:lastColumn="0" w:oddVBand="0" w:evenVBand="0" w:oddHBand="0" w:evenHBand="0" w:firstRowFirstColumn="0" w:firstRowLastColumn="0" w:lastRowFirstColumn="0" w:lastRowLastColumn="0"/>
            </w:pPr>
            <w:r w:rsidRPr="009150F9">
              <w:rPr>
                <w:b/>
              </w:rPr>
              <w:t>Updated for inflation</w:t>
            </w:r>
          </w:p>
        </w:tc>
        <w:tc>
          <w:tcPr>
            <w:tcW w:w="1357" w:type="dxa"/>
            <w:shd w:val="clear" w:color="auto" w:fill="002060"/>
            <w:vAlign w:val="center"/>
          </w:tcPr>
          <w:p w14:paraId="768D812F" w14:textId="77777777" w:rsidR="00BD36F8" w:rsidRPr="00F515D5" w:rsidRDefault="00BD36F8" w:rsidP="009150F9">
            <w:pPr>
              <w:pStyle w:val="Tableparagraphwhite"/>
              <w:cnfStyle w:val="100000000000" w:firstRow="1" w:lastRow="0" w:firstColumn="0" w:lastColumn="0" w:oddVBand="0" w:evenVBand="0" w:oddHBand="0" w:evenHBand="0" w:firstRowFirstColumn="0" w:firstRowLastColumn="0" w:lastRowFirstColumn="0" w:lastRowLastColumn="0"/>
            </w:pPr>
            <w:r w:rsidRPr="009150F9">
              <w:rPr>
                <w:b/>
              </w:rPr>
              <w:t>New</w:t>
            </w:r>
          </w:p>
        </w:tc>
      </w:tr>
      <w:tr w:rsidR="00D76B3D" w:rsidRPr="0091207A" w14:paraId="5FBC3104" w14:textId="77777777" w:rsidTr="005A4F3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76" w:type="dxa"/>
            <w:shd w:val="clear" w:color="auto" w:fill="002060"/>
            <w:vAlign w:val="center"/>
          </w:tcPr>
          <w:p w14:paraId="3505B83C" w14:textId="1FBD5E73" w:rsidR="00BD36F8" w:rsidRPr="00E308CE" w:rsidRDefault="00BD36F8" w:rsidP="009150F9">
            <w:pPr>
              <w:pStyle w:val="Tableparagraphwhite"/>
              <w:jc w:val="left"/>
            </w:pPr>
          </w:p>
        </w:tc>
        <w:tc>
          <w:tcPr>
            <w:tcW w:w="1356" w:type="dxa"/>
            <w:shd w:val="clear" w:color="auto" w:fill="002060"/>
            <w:vAlign w:val="center"/>
          </w:tcPr>
          <w:p w14:paraId="3779B841" w14:textId="77777777" w:rsidR="00BD36F8" w:rsidRPr="009916B9" w:rsidRDefault="00BD36F8" w:rsidP="009150F9">
            <w:pPr>
              <w:pStyle w:val="Tableparagraphwhite"/>
              <w:cnfStyle w:val="000000100000" w:firstRow="0" w:lastRow="0" w:firstColumn="0" w:lastColumn="0" w:oddVBand="0" w:evenVBand="0" w:oddHBand="1" w:evenHBand="0" w:firstRowFirstColumn="0" w:firstRowLastColumn="0" w:lastRowFirstColumn="0" w:lastRowLastColumn="0"/>
              <w:rPr>
                <w:lang w:val="en-NZ"/>
              </w:rPr>
            </w:pPr>
            <w:r w:rsidRPr="009150F9">
              <w:rPr>
                <w:b w:val="0"/>
                <w:lang w:val="en-NZ"/>
              </w:rPr>
              <w:t>2026</w:t>
            </w:r>
          </w:p>
        </w:tc>
        <w:tc>
          <w:tcPr>
            <w:tcW w:w="1357" w:type="dxa"/>
            <w:shd w:val="clear" w:color="auto" w:fill="002060"/>
            <w:vAlign w:val="center"/>
          </w:tcPr>
          <w:p w14:paraId="539E6303" w14:textId="77777777" w:rsidR="00BD36F8" w:rsidRPr="009916B9" w:rsidRDefault="00BD36F8" w:rsidP="009150F9">
            <w:pPr>
              <w:pStyle w:val="Tableparagraphwhite"/>
              <w:cnfStyle w:val="000000100000" w:firstRow="0" w:lastRow="0" w:firstColumn="0" w:lastColumn="0" w:oddVBand="0" w:evenVBand="0" w:oddHBand="1" w:evenHBand="0" w:firstRowFirstColumn="0" w:firstRowLastColumn="0" w:lastRowFirstColumn="0" w:lastRowLastColumn="0"/>
              <w:rPr>
                <w:lang w:val="en-NZ"/>
              </w:rPr>
            </w:pPr>
            <w:r w:rsidRPr="009150F9">
              <w:rPr>
                <w:b w:val="0"/>
                <w:lang w:val="en-NZ"/>
              </w:rPr>
              <w:t>2027</w:t>
            </w:r>
          </w:p>
        </w:tc>
        <w:tc>
          <w:tcPr>
            <w:tcW w:w="1357" w:type="dxa"/>
            <w:shd w:val="clear" w:color="auto" w:fill="002060"/>
            <w:vAlign w:val="center"/>
          </w:tcPr>
          <w:p w14:paraId="7E495C47" w14:textId="77777777" w:rsidR="00BD36F8" w:rsidRPr="009916B9" w:rsidRDefault="00BD36F8" w:rsidP="009150F9">
            <w:pPr>
              <w:pStyle w:val="Tableparagraphwhite"/>
              <w:cnfStyle w:val="000000100000" w:firstRow="0" w:lastRow="0" w:firstColumn="0" w:lastColumn="0" w:oddVBand="0" w:evenVBand="0" w:oddHBand="1" w:evenHBand="0" w:firstRowFirstColumn="0" w:firstRowLastColumn="0" w:lastRowFirstColumn="0" w:lastRowLastColumn="0"/>
            </w:pPr>
            <w:r w:rsidRPr="009150F9">
              <w:rPr>
                <w:b w:val="0"/>
              </w:rPr>
              <w:t>2028</w:t>
            </w:r>
          </w:p>
        </w:tc>
        <w:tc>
          <w:tcPr>
            <w:tcW w:w="1357" w:type="dxa"/>
            <w:shd w:val="clear" w:color="auto" w:fill="002060"/>
            <w:vAlign w:val="center"/>
          </w:tcPr>
          <w:p w14:paraId="5F66091A" w14:textId="77777777" w:rsidR="00BD36F8" w:rsidRPr="009916B9" w:rsidRDefault="00BD36F8" w:rsidP="009150F9">
            <w:pPr>
              <w:pStyle w:val="Tableparagraphwhite"/>
              <w:cnfStyle w:val="000000100000" w:firstRow="0" w:lastRow="0" w:firstColumn="0" w:lastColumn="0" w:oddVBand="0" w:evenVBand="0" w:oddHBand="1" w:evenHBand="0" w:firstRowFirstColumn="0" w:firstRowLastColumn="0" w:lastRowFirstColumn="0" w:lastRowLastColumn="0"/>
            </w:pPr>
            <w:r w:rsidRPr="009150F9">
              <w:rPr>
                <w:b w:val="0"/>
              </w:rPr>
              <w:t>2029</w:t>
            </w:r>
          </w:p>
        </w:tc>
        <w:tc>
          <w:tcPr>
            <w:tcW w:w="1357" w:type="dxa"/>
            <w:shd w:val="clear" w:color="auto" w:fill="002060"/>
            <w:vAlign w:val="center"/>
          </w:tcPr>
          <w:p w14:paraId="68780748" w14:textId="77777777" w:rsidR="00BD36F8" w:rsidRPr="009916B9" w:rsidRDefault="00BD36F8" w:rsidP="009150F9">
            <w:pPr>
              <w:pStyle w:val="Tableparagraphwhite"/>
              <w:cnfStyle w:val="000000100000" w:firstRow="0" w:lastRow="0" w:firstColumn="0" w:lastColumn="0" w:oddVBand="0" w:evenVBand="0" w:oddHBand="1" w:evenHBand="0" w:firstRowFirstColumn="0" w:firstRowLastColumn="0" w:lastRowFirstColumn="0" w:lastRowLastColumn="0"/>
            </w:pPr>
            <w:r w:rsidRPr="009150F9">
              <w:rPr>
                <w:b w:val="0"/>
              </w:rPr>
              <w:t>2030</w:t>
            </w:r>
          </w:p>
        </w:tc>
      </w:tr>
      <w:tr w:rsidR="00D76B3D" w:rsidRPr="00BF79C4" w14:paraId="080AD61F" w14:textId="77777777" w:rsidTr="005A4F34">
        <w:trPr>
          <w:trHeight w:val="482"/>
        </w:trPr>
        <w:tc>
          <w:tcPr>
            <w:cnfStyle w:val="001000000000" w:firstRow="0" w:lastRow="0" w:firstColumn="1" w:lastColumn="0" w:oddVBand="0" w:evenVBand="0" w:oddHBand="0" w:evenHBand="0" w:firstRowFirstColumn="0" w:firstRowLastColumn="0" w:lastRowFirstColumn="0" w:lastRowLastColumn="0"/>
            <w:tcW w:w="2276" w:type="dxa"/>
            <w:shd w:val="clear" w:color="auto" w:fill="D4E8DE"/>
            <w:vAlign w:val="center"/>
          </w:tcPr>
          <w:p w14:paraId="51B15AD1" w14:textId="77777777" w:rsidR="00BD36F8" w:rsidRPr="00821368" w:rsidRDefault="00BD36F8" w:rsidP="009150F9">
            <w:pPr>
              <w:pStyle w:val="TableParagraph"/>
              <w:jc w:val="left"/>
              <w:rPr>
                <w:b w:val="0"/>
                <w:bCs w:val="0"/>
              </w:rPr>
            </w:pPr>
            <w:r w:rsidRPr="00821368">
              <w:rPr>
                <w:b w:val="0"/>
                <w:bCs w:val="0"/>
              </w:rPr>
              <w:t>Auction reserve price</w:t>
            </w:r>
          </w:p>
        </w:tc>
        <w:tc>
          <w:tcPr>
            <w:tcW w:w="1356" w:type="dxa"/>
            <w:shd w:val="clear" w:color="auto" w:fill="E9F5F2"/>
            <w:vAlign w:val="center"/>
          </w:tcPr>
          <w:p w14:paraId="1BF5E124" w14:textId="77777777" w:rsidR="00BD36F8" w:rsidRPr="00BF79C4" w:rsidRDefault="00BD36F8" w:rsidP="009150F9">
            <w:pPr>
              <w:pStyle w:val="TableParagraph"/>
              <w:cnfStyle w:val="000000000000" w:firstRow="0" w:lastRow="0" w:firstColumn="0" w:lastColumn="0" w:oddVBand="0" w:evenVBand="0" w:oddHBand="0" w:evenHBand="0" w:firstRowFirstColumn="0" w:firstRowLastColumn="0" w:lastRowFirstColumn="0" w:lastRowLastColumn="0"/>
            </w:pPr>
            <w:r w:rsidRPr="00BF79C4">
              <w:rPr>
                <w:rFonts w:cs="Calibri"/>
              </w:rPr>
              <w:t>$71</w:t>
            </w:r>
          </w:p>
        </w:tc>
        <w:tc>
          <w:tcPr>
            <w:tcW w:w="1357" w:type="dxa"/>
            <w:shd w:val="clear" w:color="auto" w:fill="E9F5F2"/>
            <w:vAlign w:val="center"/>
          </w:tcPr>
          <w:p w14:paraId="42CAD40E" w14:textId="77777777" w:rsidR="00BD36F8" w:rsidRPr="00BF79C4" w:rsidRDefault="00BD36F8" w:rsidP="009150F9">
            <w:pPr>
              <w:pStyle w:val="TableParagraph"/>
              <w:cnfStyle w:val="000000000000" w:firstRow="0" w:lastRow="0" w:firstColumn="0" w:lastColumn="0" w:oddVBand="0" w:evenVBand="0" w:oddHBand="0" w:evenHBand="0" w:firstRowFirstColumn="0" w:firstRowLastColumn="0" w:lastRowFirstColumn="0" w:lastRowLastColumn="0"/>
            </w:pPr>
            <w:r w:rsidRPr="00BF79C4">
              <w:rPr>
                <w:rFonts w:cs="Calibri"/>
              </w:rPr>
              <w:t>$75</w:t>
            </w:r>
          </w:p>
        </w:tc>
        <w:tc>
          <w:tcPr>
            <w:tcW w:w="1357" w:type="dxa"/>
            <w:shd w:val="clear" w:color="auto" w:fill="E9F5F2"/>
            <w:vAlign w:val="center"/>
          </w:tcPr>
          <w:p w14:paraId="7A35FCD7" w14:textId="77777777" w:rsidR="00BD36F8" w:rsidRPr="00BF79C4" w:rsidRDefault="00BD36F8" w:rsidP="009150F9">
            <w:pPr>
              <w:pStyle w:val="TableParagraph"/>
              <w:cnfStyle w:val="000000000000" w:firstRow="0" w:lastRow="0" w:firstColumn="0" w:lastColumn="0" w:oddVBand="0" w:evenVBand="0" w:oddHBand="0" w:evenHBand="0" w:firstRowFirstColumn="0" w:firstRowLastColumn="0" w:lastRowFirstColumn="0" w:lastRowLastColumn="0"/>
            </w:pPr>
            <w:r w:rsidRPr="00BF79C4">
              <w:rPr>
                <w:rFonts w:cs="Calibri"/>
                <w:color w:val="000000"/>
              </w:rPr>
              <w:t>$78</w:t>
            </w:r>
          </w:p>
        </w:tc>
        <w:tc>
          <w:tcPr>
            <w:tcW w:w="1357" w:type="dxa"/>
            <w:shd w:val="clear" w:color="auto" w:fill="E9F5F2"/>
            <w:vAlign w:val="center"/>
          </w:tcPr>
          <w:p w14:paraId="0431C98F" w14:textId="77777777" w:rsidR="00BD36F8" w:rsidRPr="00BF79C4" w:rsidRDefault="00BD36F8" w:rsidP="009150F9">
            <w:pPr>
              <w:pStyle w:val="TableParagraph"/>
              <w:cnfStyle w:val="000000000000" w:firstRow="0" w:lastRow="0" w:firstColumn="0" w:lastColumn="0" w:oddVBand="0" w:evenVBand="0" w:oddHBand="0" w:evenHBand="0" w:firstRowFirstColumn="0" w:firstRowLastColumn="0" w:lastRowFirstColumn="0" w:lastRowLastColumn="0"/>
            </w:pPr>
            <w:r w:rsidRPr="00BF79C4">
              <w:rPr>
                <w:rFonts w:cs="Calibri"/>
                <w:color w:val="000000"/>
              </w:rPr>
              <w:t>$82</w:t>
            </w:r>
          </w:p>
        </w:tc>
        <w:tc>
          <w:tcPr>
            <w:tcW w:w="1357" w:type="dxa"/>
            <w:shd w:val="clear" w:color="auto" w:fill="C1DCD5"/>
            <w:vAlign w:val="center"/>
          </w:tcPr>
          <w:p w14:paraId="050E1366" w14:textId="77777777" w:rsidR="00BD36F8" w:rsidRPr="00BF79C4" w:rsidRDefault="00BD36F8" w:rsidP="009150F9">
            <w:pPr>
              <w:pStyle w:val="TableParagraph"/>
              <w:cnfStyle w:val="000000000000" w:firstRow="0" w:lastRow="0" w:firstColumn="0" w:lastColumn="0" w:oddVBand="0" w:evenVBand="0" w:oddHBand="0" w:evenHBand="0" w:firstRowFirstColumn="0" w:firstRowLastColumn="0" w:lastRowFirstColumn="0" w:lastRowLastColumn="0"/>
            </w:pPr>
            <w:r w:rsidRPr="00BF79C4">
              <w:rPr>
                <w:rFonts w:cs="Calibri"/>
                <w:color w:val="000000"/>
              </w:rPr>
              <w:t>$86</w:t>
            </w:r>
          </w:p>
        </w:tc>
      </w:tr>
    </w:tbl>
    <w:p w14:paraId="468B75AD" w14:textId="166C747D" w:rsidR="00BC4BE7" w:rsidRPr="00360AFF" w:rsidRDefault="00C97825" w:rsidP="00BC4BE7">
      <w:r w:rsidRPr="00360AFF">
        <w:t xml:space="preserve">The evidence </w:t>
      </w:r>
      <w:r w:rsidR="007218A6" w:rsidRPr="00360AFF">
        <w:t xml:space="preserve">suggesting </w:t>
      </w:r>
      <w:r w:rsidR="00883D84" w:rsidRPr="00360AFF">
        <w:t xml:space="preserve">that </w:t>
      </w:r>
      <w:r w:rsidR="007218A6" w:rsidRPr="00360AFF">
        <w:t xml:space="preserve">in some </w:t>
      </w:r>
      <w:r w:rsidR="00636327" w:rsidRPr="00360AFF">
        <w:t>scenarios of the future</w:t>
      </w:r>
      <w:r w:rsidR="007218A6" w:rsidRPr="00360AFF">
        <w:t xml:space="preserve"> the ARP</w:t>
      </w:r>
      <w:r w:rsidR="00BC4BE7" w:rsidRPr="00360AFF">
        <w:t xml:space="preserve"> </w:t>
      </w:r>
      <w:r w:rsidR="00FB56A5" w:rsidRPr="00360AFF">
        <w:t xml:space="preserve">might need to be higher </w:t>
      </w:r>
      <w:r w:rsidR="00BC4BE7" w:rsidRPr="00360AFF">
        <w:t xml:space="preserve">means that </w:t>
      </w:r>
      <w:r w:rsidR="00F851C3" w:rsidRPr="00360AFF">
        <w:t xml:space="preserve">at this time, we are unable to say that </w:t>
      </w:r>
      <w:r w:rsidR="00FB56A5" w:rsidRPr="00360AFF">
        <w:t xml:space="preserve">our </w:t>
      </w:r>
      <w:r w:rsidR="00537F55" w:rsidRPr="00360AFF">
        <w:t>recommend</w:t>
      </w:r>
      <w:r w:rsidR="00FF0006" w:rsidRPr="00360AFF">
        <w:t>ed</w:t>
      </w:r>
      <w:r w:rsidR="00BC4BE7" w:rsidRPr="00360AFF">
        <w:t xml:space="preserve"> </w:t>
      </w:r>
      <w:r w:rsidR="001F1B00" w:rsidRPr="00360AFF">
        <w:t>ARP</w:t>
      </w:r>
      <w:r w:rsidR="00BC4BE7" w:rsidRPr="00360AFF">
        <w:t xml:space="preserve"> levels align </w:t>
      </w:r>
      <w:r w:rsidR="00537F55" w:rsidRPr="00360AFF">
        <w:t xml:space="preserve">to a high degree </w:t>
      </w:r>
      <w:r w:rsidR="00BC4BE7" w:rsidRPr="00360AFF">
        <w:t xml:space="preserve">with meeting the third emissions budget and second NDC. Nevertheless, we consider that there is a good likelihood that the proposed settings align with what is needed, and that </w:t>
      </w:r>
      <w:r w:rsidR="00F80F48">
        <w:t>taking this approach</w:t>
      </w:r>
      <w:r w:rsidR="00BC4BE7" w:rsidRPr="00360AFF">
        <w:t xml:space="preserve"> is justified, having considered various relevant matters.</w:t>
      </w:r>
      <w:r w:rsidR="00BC4BE7">
        <w:rPr>
          <w:rStyle w:val="FootnoteReference"/>
        </w:rPr>
        <w:footnoteReference w:id="40"/>
      </w:r>
      <w:r w:rsidR="00BC4BE7" w:rsidRPr="00360AFF">
        <w:t xml:space="preserve"> </w:t>
      </w:r>
    </w:p>
    <w:p w14:paraId="6F2E570B" w14:textId="77777777" w:rsidR="00BC4BE7" w:rsidRPr="00360AFF" w:rsidRDefault="00BC4BE7" w:rsidP="00BC4BE7">
      <w:r w:rsidRPr="00360AFF">
        <w:t xml:space="preserve">In particular, we have considered: </w:t>
      </w:r>
    </w:p>
    <w:p w14:paraId="5FCE4219" w14:textId="7F773DC2" w:rsidR="00BC4BE7" w:rsidRPr="00360AFF" w:rsidRDefault="0068376B" w:rsidP="00987F23">
      <w:pPr>
        <w:pStyle w:val="ListParagraph"/>
        <w:numPr>
          <w:ilvl w:val="0"/>
          <w:numId w:val="17"/>
        </w:numPr>
      </w:pPr>
      <w:r>
        <w:t>T</w:t>
      </w:r>
      <w:r w:rsidR="008855C7" w:rsidRPr="00360AFF">
        <w:t>he forecast availability and costs of ways to reduce emission</w:t>
      </w:r>
      <w:r w:rsidR="00975B7E" w:rsidRPr="00360AFF">
        <w:t>s</w:t>
      </w:r>
      <w:r w:rsidR="003C7525" w:rsidRPr="00360AFF">
        <w:t xml:space="preserve">. </w:t>
      </w:r>
      <w:r w:rsidR="0031324A" w:rsidRPr="00360AFF">
        <w:t xml:space="preserve">There is large uncertainty </w:t>
      </w:r>
      <w:r w:rsidR="00154CD8" w:rsidRPr="00360AFF">
        <w:t>about</w:t>
      </w:r>
      <w:r w:rsidR="0031324A" w:rsidRPr="00360AFF">
        <w:t xml:space="preserve"> the costs of abatement </w:t>
      </w:r>
      <w:r w:rsidR="004A6FDD" w:rsidRPr="00360AFF">
        <w:t>that may be applicable when looking 10 years into the future</w:t>
      </w:r>
      <w:r w:rsidR="00112A38" w:rsidRPr="00360AFF">
        <w:t>, when assessing</w:t>
      </w:r>
      <w:r w:rsidR="00337E86" w:rsidRPr="00360AFF">
        <w:t xml:space="preserve"> </w:t>
      </w:r>
      <w:r w:rsidR="00245541" w:rsidRPr="00360AFF">
        <w:t xml:space="preserve">what emissions reductions will </w:t>
      </w:r>
      <w:r w:rsidR="00112A38" w:rsidRPr="00360AFF">
        <w:t>be</w:t>
      </w:r>
      <w:r w:rsidR="00245541" w:rsidRPr="00360AFF">
        <w:t xml:space="preserve"> needed to meet</w:t>
      </w:r>
      <w:r w:rsidR="00337E86" w:rsidRPr="00360AFF">
        <w:t xml:space="preserve"> </w:t>
      </w:r>
      <w:r w:rsidR="00D75509" w:rsidRPr="00360AFF">
        <w:t>the third emissions budget and second NDC.</w:t>
      </w:r>
      <w:r w:rsidR="008855C7" w:rsidRPr="00360AFF">
        <w:t xml:space="preserve"> </w:t>
      </w:r>
      <w:r w:rsidR="00BC4BE7" w:rsidRPr="00360AFF">
        <w:t xml:space="preserve"> </w:t>
      </w:r>
    </w:p>
    <w:p w14:paraId="24453B7A" w14:textId="22FFEF2A" w:rsidR="00BC4BE7" w:rsidRPr="00360AFF" w:rsidRDefault="00BC4BE7" w:rsidP="00987F23">
      <w:pPr>
        <w:pStyle w:val="ListParagraph"/>
        <w:numPr>
          <w:ilvl w:val="0"/>
          <w:numId w:val="17"/>
        </w:numPr>
      </w:pPr>
      <w:r w:rsidRPr="00360AFF">
        <w:t xml:space="preserve">The </w:t>
      </w:r>
      <w:r w:rsidR="00B160B2" w:rsidRPr="00360AFF">
        <w:t xml:space="preserve">important </w:t>
      </w:r>
      <w:r w:rsidR="003E3566" w:rsidRPr="00360AFF">
        <w:t>role</w:t>
      </w:r>
      <w:r w:rsidRPr="00360AFF">
        <w:t xml:space="preserve"> of the </w:t>
      </w:r>
      <w:r w:rsidR="00110693" w:rsidRPr="00360AFF">
        <w:t xml:space="preserve">ARP </w:t>
      </w:r>
      <w:r w:rsidR="00EB4846" w:rsidRPr="00360AFF">
        <w:t xml:space="preserve">in supporting </w:t>
      </w:r>
      <w:r w:rsidR="008D4E47" w:rsidRPr="00360AFF">
        <w:t>confidence to invest, as well as of regulatory predictability</w:t>
      </w:r>
      <w:r w:rsidR="0084219B" w:rsidRPr="00360AFF">
        <w:t>, which</w:t>
      </w:r>
      <w:r w:rsidR="008D4E47" w:rsidRPr="00360AFF">
        <w:t xml:space="preserve"> are </w:t>
      </w:r>
      <w:r w:rsidR="00A34D5C" w:rsidRPr="00360AFF">
        <w:t xml:space="preserve">part of the </w:t>
      </w:r>
      <w:r w:rsidR="0084219B" w:rsidRPr="00360AFF">
        <w:t xml:space="preserve">effective and </w:t>
      </w:r>
      <w:r w:rsidR="00A34D5C" w:rsidRPr="00360AFF">
        <w:t xml:space="preserve">proper functioning of the NZ ETS. </w:t>
      </w:r>
    </w:p>
    <w:p w14:paraId="79F924F0" w14:textId="7E1BDE09" w:rsidR="0014113D" w:rsidRPr="00360AFF" w:rsidRDefault="0014113D" w:rsidP="00360AFF">
      <w:r w:rsidRPr="00360AFF">
        <w:t xml:space="preserve">Another relevant matter </w:t>
      </w:r>
      <w:r w:rsidR="00110693" w:rsidRPr="00360AFF">
        <w:t xml:space="preserve">we have considered </w:t>
      </w:r>
      <w:r w:rsidRPr="00360AFF">
        <w:t xml:space="preserve">is that the policies to meet the third emissions budget are evolving, with the third emissions reduction plan due in 2029.     </w:t>
      </w:r>
    </w:p>
    <w:p w14:paraId="36C3E6EA" w14:textId="795FD54F" w:rsidR="00EA5421" w:rsidRDefault="00A33B8A" w:rsidP="00536E29">
      <w:pPr>
        <w:pStyle w:val="Heading2nonumber"/>
      </w:pPr>
      <w:bookmarkStart w:id="41" w:name="_Toc195447248"/>
      <w:r>
        <w:t>Des</w:t>
      </w:r>
      <w:r w:rsidR="00536E29">
        <w:t>irable emissions price path</w:t>
      </w:r>
      <w:bookmarkEnd w:id="41"/>
    </w:p>
    <w:p w14:paraId="5E8DC798" w14:textId="3C848558" w:rsidR="00536E29" w:rsidRDefault="00536E29" w:rsidP="00536E29">
      <w:r w:rsidRPr="00714C3A">
        <w:t>The Act states that the Commission must recommend limits and price control settings for units, including “any desirable emissions price path”</w:t>
      </w:r>
      <w:r>
        <w:t>.</w:t>
      </w:r>
      <w:r>
        <w:rPr>
          <w:rStyle w:val="FootnoteReference"/>
        </w:rPr>
        <w:footnoteReference w:id="41"/>
      </w:r>
    </w:p>
    <w:p w14:paraId="3676EF83" w14:textId="023AD04A" w:rsidR="00536E29" w:rsidRDefault="00750B97" w:rsidP="00536E29">
      <w:r>
        <w:t xml:space="preserve">In previous years, we </w:t>
      </w:r>
      <w:r w:rsidR="00263205">
        <w:t>have concluded that</w:t>
      </w:r>
      <w:r w:rsidR="003731B3">
        <w:t xml:space="preserve"> uncertainty about the context and </w:t>
      </w:r>
      <w:r w:rsidR="00713F8B">
        <w:t xml:space="preserve">NZ ETS </w:t>
      </w:r>
      <w:r w:rsidR="006D453E">
        <w:t xml:space="preserve">policy </w:t>
      </w:r>
      <w:r w:rsidR="009B0DD8">
        <w:t xml:space="preserve">means that we have not been </w:t>
      </w:r>
      <w:r w:rsidR="00A65B0D">
        <w:t xml:space="preserve">able to </w:t>
      </w:r>
      <w:r w:rsidR="00F234AF">
        <w:t xml:space="preserve">define </w:t>
      </w:r>
      <w:r w:rsidR="003E3341">
        <w:t xml:space="preserve">such a </w:t>
      </w:r>
      <w:r w:rsidR="001C3F36">
        <w:t xml:space="preserve">path. </w:t>
      </w:r>
      <w:r w:rsidR="0070554F">
        <w:t xml:space="preserve">Our position this year remains </w:t>
      </w:r>
      <w:r w:rsidR="00301AD3">
        <w:t>the same, particularly give</w:t>
      </w:r>
      <w:r w:rsidR="000E41E9">
        <w:t>n</w:t>
      </w:r>
      <w:r w:rsidR="00301AD3">
        <w:t xml:space="preserve"> the </w:t>
      </w:r>
      <w:r w:rsidR="00536E29" w:rsidRPr="00CB16CC">
        <w:t>uncertainty around the emissions prices needed to meet the third emissions budget</w:t>
      </w:r>
      <w:r w:rsidR="00301AD3">
        <w:t xml:space="preserve">. </w:t>
      </w:r>
    </w:p>
    <w:p w14:paraId="405A2472" w14:textId="2F62BFA2" w:rsidR="00293528" w:rsidRPr="00F10748" w:rsidRDefault="00293528" w:rsidP="00293528">
      <w:pPr>
        <w:pStyle w:val="Heading2nonumber"/>
      </w:pPr>
      <w:bookmarkStart w:id="42" w:name="_Toc195447249"/>
      <w:r w:rsidRPr="00231FF7">
        <w:t>Impacts of emis</w:t>
      </w:r>
      <w:r w:rsidRPr="00F10748">
        <w:t>sions prices on households and the economy</w:t>
      </w:r>
      <w:bookmarkEnd w:id="42"/>
    </w:p>
    <w:p w14:paraId="117C1854" w14:textId="6872B78B" w:rsidR="00293528" w:rsidRPr="00BB602A" w:rsidRDefault="00293528" w:rsidP="00293528">
      <w:pPr>
        <w:rPr>
          <w:rFonts w:eastAsia="Arial" w:cs="Calibri"/>
        </w:rPr>
      </w:pPr>
      <w:r w:rsidRPr="00BB602A">
        <w:rPr>
          <w:rFonts w:eastAsia="Arial" w:cs="Calibri"/>
        </w:rPr>
        <w:t xml:space="preserve">Modelling shows that </w:t>
      </w:r>
      <w:r>
        <w:rPr>
          <w:rFonts w:eastAsia="Arial" w:cs="Calibri"/>
        </w:rPr>
        <w:t xml:space="preserve">Aotearoa New </w:t>
      </w:r>
      <w:r w:rsidRPr="00E01155">
        <w:rPr>
          <w:rFonts w:eastAsia="Arial" w:cs="Calibri"/>
        </w:rPr>
        <w:t xml:space="preserve">Zealand’s </w:t>
      </w:r>
      <w:r w:rsidRPr="00BB602A">
        <w:rPr>
          <w:rFonts w:eastAsia="Arial" w:cs="Calibri"/>
        </w:rPr>
        <w:t>economy would continue to grow under the emissions budgets. In many cases, low emissions investments made now will more than pay for themselves in the medium to long</w:t>
      </w:r>
      <w:r w:rsidR="00473527">
        <w:rPr>
          <w:rFonts w:eastAsia="Arial" w:cs="Calibri"/>
        </w:rPr>
        <w:t xml:space="preserve"> </w:t>
      </w:r>
      <w:r w:rsidRPr="00BB602A">
        <w:rPr>
          <w:rFonts w:eastAsia="Arial" w:cs="Calibri"/>
        </w:rPr>
        <w:t>term. In addition, the health benefits could be up to</w:t>
      </w:r>
      <w:r w:rsidRPr="00E01155">
        <w:rPr>
          <w:rFonts w:eastAsia="Arial" w:cs="Calibri"/>
        </w:rPr>
        <w:t xml:space="preserve"> $2.1 billion a year</w:t>
      </w:r>
      <w:r w:rsidR="004704BD">
        <w:rPr>
          <w:rFonts w:eastAsia="Arial" w:cs="Calibri"/>
        </w:rPr>
        <w:t>,</w:t>
      </w:r>
      <w:r w:rsidRPr="00E01155">
        <w:rPr>
          <w:rFonts w:eastAsia="Arial" w:cs="Calibri"/>
        </w:rPr>
        <w:t xml:space="preserve"> due to cleaner air from less fossil fuels being burned for transport.</w:t>
      </w:r>
      <w:r w:rsidRPr="00E01155">
        <w:rPr>
          <w:rStyle w:val="EndnoteReference"/>
          <w:rFonts w:eastAsia="Arial" w:cs="Calibri"/>
        </w:rPr>
        <w:endnoteReference w:id="30"/>
      </w:r>
    </w:p>
    <w:p w14:paraId="60BE1180" w14:textId="52B072CB" w:rsidR="00293528" w:rsidRPr="00BB602A" w:rsidRDefault="00293528" w:rsidP="00293528">
      <w:pPr>
        <w:rPr>
          <w:rFonts w:eastAsia="Arial" w:cs="Calibri"/>
        </w:rPr>
      </w:pPr>
      <w:r w:rsidRPr="00BB602A">
        <w:rPr>
          <w:rFonts w:eastAsia="Arial" w:cs="Calibri"/>
        </w:rPr>
        <w:lastRenderedPageBreak/>
        <w:t xml:space="preserve">The Government has identified the NZ ETS </w:t>
      </w:r>
      <w:r w:rsidRPr="00E01155">
        <w:rPr>
          <w:rFonts w:eastAsia="Arial" w:cs="Calibri"/>
        </w:rPr>
        <w:t>a</w:t>
      </w:r>
      <w:r w:rsidRPr="00BB602A">
        <w:rPr>
          <w:rFonts w:eastAsia="Arial" w:cs="Calibri"/>
        </w:rPr>
        <w:t>s the primary mechanism to incentivi</w:t>
      </w:r>
      <w:r w:rsidR="00473527">
        <w:rPr>
          <w:rFonts w:eastAsia="Arial" w:cs="Calibri"/>
        </w:rPr>
        <w:t>s</w:t>
      </w:r>
      <w:r w:rsidRPr="00BB602A">
        <w:rPr>
          <w:rFonts w:eastAsia="Arial" w:cs="Calibri"/>
        </w:rPr>
        <w:t xml:space="preserve">e the changes </w:t>
      </w:r>
      <w:r>
        <w:rPr>
          <w:rFonts w:eastAsia="Arial" w:cs="Calibri"/>
        </w:rPr>
        <w:t xml:space="preserve">and investments </w:t>
      </w:r>
      <w:r w:rsidRPr="00BB602A">
        <w:rPr>
          <w:rFonts w:eastAsia="Arial" w:cs="Calibri"/>
        </w:rPr>
        <w:t xml:space="preserve">needed to meet emissions budgets. To do this, </w:t>
      </w:r>
      <w:r>
        <w:rPr>
          <w:rFonts w:eastAsia="Arial" w:cs="Calibri"/>
        </w:rPr>
        <w:t>it</w:t>
      </w:r>
      <w:r w:rsidRPr="00BB602A">
        <w:rPr>
          <w:rFonts w:eastAsia="Arial" w:cs="Calibri"/>
        </w:rPr>
        <w:t xml:space="preserve"> must incentivi</w:t>
      </w:r>
      <w:r w:rsidR="00852F5D">
        <w:rPr>
          <w:rFonts w:eastAsia="Arial" w:cs="Calibri"/>
        </w:rPr>
        <w:t>s</w:t>
      </w:r>
      <w:r w:rsidRPr="00BB602A">
        <w:rPr>
          <w:rFonts w:eastAsia="Arial" w:cs="Calibri"/>
        </w:rPr>
        <w:t>e more efficient choices by changing the relative prices of emissions-intensive activities, products and services.</w:t>
      </w:r>
      <w:r>
        <w:rPr>
          <w:rFonts w:eastAsia="Arial" w:cs="Calibri"/>
        </w:rPr>
        <w:t xml:space="preserve"> </w:t>
      </w:r>
    </w:p>
    <w:p w14:paraId="76B2442C" w14:textId="056CAE85" w:rsidR="00293528" w:rsidRPr="00BB602A" w:rsidRDefault="00293528" w:rsidP="00293528">
      <w:pPr>
        <w:rPr>
          <w:rFonts w:eastAsia="Arial" w:cs="Calibri"/>
        </w:rPr>
      </w:pPr>
      <w:r w:rsidRPr="00BB602A">
        <w:rPr>
          <w:rFonts w:eastAsia="Arial" w:cs="Calibri"/>
        </w:rPr>
        <w:t>Over time,</w:t>
      </w:r>
      <w:r w:rsidR="00421749">
        <w:rPr>
          <w:rFonts w:eastAsia="Arial" w:cs="Calibri"/>
        </w:rPr>
        <w:t xml:space="preserve"> changes such as</w:t>
      </w:r>
      <w:r w:rsidRPr="00BB602A">
        <w:rPr>
          <w:rFonts w:eastAsia="Arial" w:cs="Calibri"/>
        </w:rPr>
        <w:t xml:space="preserve"> improved building quality, declining cost of electric vehicle ownership, and energy efficiency </w:t>
      </w:r>
      <w:r>
        <w:rPr>
          <w:rFonts w:eastAsia="Arial" w:cs="Calibri"/>
        </w:rPr>
        <w:t xml:space="preserve">improvements </w:t>
      </w:r>
      <w:r w:rsidRPr="00BB602A">
        <w:rPr>
          <w:rFonts w:eastAsia="Arial" w:cs="Calibri"/>
        </w:rPr>
        <w:t xml:space="preserve">will also mean that households and businesses are increasingly less exposed to the emissions price. </w:t>
      </w:r>
    </w:p>
    <w:p w14:paraId="2FEE42AC" w14:textId="4177168A" w:rsidR="00293528" w:rsidRDefault="00293528" w:rsidP="00293528">
      <w:pPr>
        <w:rPr>
          <w:rFonts w:eastAsia="Arial" w:cs="Calibri"/>
        </w:rPr>
      </w:pPr>
      <w:r w:rsidRPr="00BB602A">
        <w:rPr>
          <w:rFonts w:eastAsia="Arial" w:cs="Calibri"/>
        </w:rPr>
        <w:t>In certain instances, particularly in the short</w:t>
      </w:r>
      <w:r w:rsidR="00ED680C">
        <w:rPr>
          <w:rFonts w:eastAsia="Arial" w:cs="Calibri"/>
        </w:rPr>
        <w:t xml:space="preserve"> </w:t>
      </w:r>
      <w:r w:rsidRPr="00BB602A">
        <w:rPr>
          <w:rFonts w:eastAsia="Arial" w:cs="Calibri"/>
        </w:rPr>
        <w:t>term, households and businesses will not have the options available to be able to respond to the change in relative prices</w:t>
      </w:r>
      <w:r w:rsidR="0064341E">
        <w:rPr>
          <w:rFonts w:eastAsia="Arial" w:cs="Calibri"/>
        </w:rPr>
        <w:t>,</w:t>
      </w:r>
      <w:r w:rsidRPr="00BB602A">
        <w:rPr>
          <w:rFonts w:eastAsia="Arial" w:cs="Calibri"/>
        </w:rPr>
        <w:t xml:space="preserve"> and so will pay the full cost that is passed onto them. </w:t>
      </w:r>
    </w:p>
    <w:p w14:paraId="12425CD0" w14:textId="3FF0C165" w:rsidR="00CF1087" w:rsidRPr="00BB602A" w:rsidRDefault="00D4394E" w:rsidP="00293528">
      <w:pPr>
        <w:rPr>
          <w:rFonts w:eastAsia="Arial" w:cs="Calibri"/>
        </w:rPr>
      </w:pPr>
      <w:r>
        <w:rPr>
          <w:rFonts w:eastAsia="Arial" w:cs="Calibri"/>
        </w:rPr>
        <w:t xml:space="preserve">However, </w:t>
      </w:r>
      <w:r w:rsidR="006D3696">
        <w:rPr>
          <w:rFonts w:eastAsia="Arial" w:cs="Calibri"/>
        </w:rPr>
        <w:t xml:space="preserve">we assess that </w:t>
      </w:r>
      <w:r>
        <w:rPr>
          <w:rFonts w:eastAsia="Arial" w:cs="Calibri"/>
        </w:rPr>
        <w:t>lowering</w:t>
      </w:r>
      <w:r w:rsidR="00013AD9" w:rsidRPr="00013AD9">
        <w:rPr>
          <w:rFonts w:eastAsia="Arial" w:cs="Calibri"/>
        </w:rPr>
        <w:t xml:space="preserve"> the price control settings to </w:t>
      </w:r>
      <w:r w:rsidR="001D4621">
        <w:rPr>
          <w:rFonts w:eastAsia="Arial" w:cs="Calibri"/>
        </w:rPr>
        <w:t>reduce</w:t>
      </w:r>
      <w:r w:rsidR="00013AD9" w:rsidRPr="00013AD9">
        <w:rPr>
          <w:rFonts w:eastAsia="Arial" w:cs="Calibri"/>
        </w:rPr>
        <w:t xml:space="preserve"> </w:t>
      </w:r>
      <w:r w:rsidR="008F153C">
        <w:rPr>
          <w:rFonts w:eastAsia="Arial" w:cs="Calibri"/>
        </w:rPr>
        <w:t xml:space="preserve">the flow-on impacts of </w:t>
      </w:r>
      <w:r w:rsidR="00013AD9" w:rsidRPr="00013AD9">
        <w:rPr>
          <w:rFonts w:eastAsia="Arial" w:cs="Calibri"/>
        </w:rPr>
        <w:t xml:space="preserve">emissions prices would </w:t>
      </w:r>
      <w:r w:rsidR="009123A2">
        <w:rPr>
          <w:rFonts w:eastAsia="Arial" w:cs="Calibri"/>
        </w:rPr>
        <w:t>counteract</w:t>
      </w:r>
      <w:r w:rsidR="00013AD9" w:rsidRPr="00013AD9">
        <w:rPr>
          <w:rFonts w:eastAsia="Arial" w:cs="Calibri"/>
        </w:rPr>
        <w:t xml:space="preserve"> the NZ ETS</w:t>
      </w:r>
      <w:r w:rsidR="00E11968">
        <w:rPr>
          <w:rFonts w:eastAsia="Arial" w:cs="Calibri"/>
        </w:rPr>
        <w:t>’</w:t>
      </w:r>
      <w:r w:rsidR="007A0220">
        <w:rPr>
          <w:rFonts w:eastAsia="Arial" w:cs="Calibri"/>
        </w:rPr>
        <w:t>s</w:t>
      </w:r>
      <w:r w:rsidR="00E11968">
        <w:rPr>
          <w:rFonts w:eastAsia="Arial" w:cs="Calibri"/>
        </w:rPr>
        <w:t xml:space="preserve"> ability to</w:t>
      </w:r>
      <w:r w:rsidR="00013AD9" w:rsidRPr="00013AD9">
        <w:rPr>
          <w:rFonts w:eastAsia="Arial" w:cs="Calibri"/>
        </w:rPr>
        <w:t xml:space="preserve"> </w:t>
      </w:r>
      <w:r w:rsidR="00013AD9">
        <w:rPr>
          <w:rFonts w:eastAsia="Arial" w:cs="Calibri"/>
        </w:rPr>
        <w:t>drive change</w:t>
      </w:r>
      <w:r w:rsidR="00013AD9" w:rsidRPr="00013AD9">
        <w:rPr>
          <w:rFonts w:eastAsia="Arial" w:cs="Calibri"/>
        </w:rPr>
        <w:t>. </w:t>
      </w:r>
    </w:p>
    <w:p w14:paraId="62808F88" w14:textId="53FDA35C" w:rsidR="00293528" w:rsidRPr="00BB602A" w:rsidRDefault="00293528" w:rsidP="00293528">
      <w:pPr>
        <w:rPr>
          <w:rFonts w:eastAsia="Arial" w:cs="Calibri"/>
        </w:rPr>
      </w:pPr>
      <w:r w:rsidRPr="00BB602A">
        <w:rPr>
          <w:rFonts w:eastAsia="Arial" w:cs="Calibri"/>
        </w:rPr>
        <w:t>Modelling shows that any sustained cost would be modest in comparison to other drivers of inflation.</w:t>
      </w:r>
      <w:r>
        <w:rPr>
          <w:rStyle w:val="EndnoteReference"/>
          <w:rFonts w:eastAsia="Arial" w:cs="Calibri"/>
        </w:rPr>
        <w:endnoteReference w:id="31"/>
      </w:r>
      <w:r w:rsidRPr="00BB602A">
        <w:rPr>
          <w:rFonts w:eastAsia="Arial" w:cs="Calibri"/>
        </w:rPr>
        <w:t xml:space="preserve"> It also shows that the Government </w:t>
      </w:r>
      <w:r w:rsidR="00AA3FFE" w:rsidRPr="006F1ED9">
        <w:rPr>
          <w:rFonts w:eastAsia="Arial" w:cs="Calibri"/>
        </w:rPr>
        <w:t>has options to</w:t>
      </w:r>
      <w:r w:rsidRPr="00BB602A">
        <w:rPr>
          <w:rFonts w:eastAsia="Arial" w:cs="Calibri"/>
        </w:rPr>
        <w:t xml:space="preserve"> mitigate any regressive effects through existing transfer mechanisms.</w:t>
      </w:r>
      <w:r w:rsidRPr="006F1ED9">
        <w:rPr>
          <w:rStyle w:val="EndnoteReference"/>
          <w:rFonts w:eastAsia="Arial" w:cs="Calibri"/>
        </w:rPr>
        <w:endnoteReference w:id="32"/>
      </w:r>
      <w:r w:rsidRPr="00BB602A">
        <w:rPr>
          <w:rFonts w:eastAsia="Arial" w:cs="Calibri"/>
        </w:rPr>
        <w:t xml:space="preserve"> </w:t>
      </w:r>
      <w:r w:rsidRPr="006F1ED9">
        <w:rPr>
          <w:rFonts w:eastAsia="Arial" w:cs="Calibri"/>
        </w:rPr>
        <w:t xml:space="preserve">Targeted </w:t>
      </w:r>
      <w:r w:rsidRPr="006F1ED9">
        <w:t>Government</w:t>
      </w:r>
      <w:r w:rsidRPr="00BB602A">
        <w:t xml:space="preserve"> policies</w:t>
      </w:r>
      <w:r w:rsidRPr="006F1ED9">
        <w:t xml:space="preserve"> outside the NZ ETS can also remove barriers to transition – for example, </w:t>
      </w:r>
      <w:r w:rsidR="004F0A38" w:rsidRPr="006F1ED9">
        <w:t xml:space="preserve">providing </w:t>
      </w:r>
      <w:r w:rsidRPr="006F1ED9">
        <w:t xml:space="preserve">support </w:t>
      </w:r>
      <w:r w:rsidR="004F0A38" w:rsidRPr="006F1ED9">
        <w:t>for</w:t>
      </w:r>
      <w:r w:rsidR="005E427C" w:rsidRPr="006F1ED9">
        <w:t xml:space="preserve"> the upfront costs of</w:t>
      </w:r>
      <w:r w:rsidRPr="006F1ED9">
        <w:t xml:space="preserve"> electrification.</w:t>
      </w:r>
    </w:p>
    <w:p w14:paraId="47CD8886" w14:textId="77777777" w:rsidR="00293528" w:rsidRPr="00BB602A" w:rsidRDefault="00293528" w:rsidP="00E74B82">
      <w:pPr>
        <w:spacing w:after="60"/>
      </w:pPr>
      <w:r w:rsidRPr="00BB602A">
        <w:t>In the second emissions reduction plan the Government described its approach to addressing the impact of climate policies on households, business, iwi/Māori and across regions, focusing on:</w:t>
      </w:r>
    </w:p>
    <w:p w14:paraId="32FB6AAD" w14:textId="77777777" w:rsidR="00293528" w:rsidRPr="006D0EF9" w:rsidRDefault="00293528" w:rsidP="00E74B82">
      <w:pPr>
        <w:pStyle w:val="ListParagraph"/>
        <w:numPr>
          <w:ilvl w:val="0"/>
          <w:numId w:val="18"/>
        </w:numPr>
        <w:spacing w:before="0"/>
      </w:pPr>
      <w:r w:rsidRPr="006D0EF9">
        <w:t>reducing income taxes</w:t>
      </w:r>
    </w:p>
    <w:p w14:paraId="72383B32" w14:textId="77777777" w:rsidR="00293528" w:rsidRPr="006D0EF9" w:rsidRDefault="00293528" w:rsidP="00987F23">
      <w:pPr>
        <w:pStyle w:val="ListParagraph"/>
        <w:numPr>
          <w:ilvl w:val="0"/>
          <w:numId w:val="18"/>
        </w:numPr>
      </w:pPr>
      <w:r w:rsidRPr="006D0EF9">
        <w:t>support for retraining</w:t>
      </w:r>
    </w:p>
    <w:p w14:paraId="7243F0E3" w14:textId="77777777" w:rsidR="00293528" w:rsidRPr="006D0EF9" w:rsidRDefault="00293528" w:rsidP="00987F23">
      <w:pPr>
        <w:pStyle w:val="ListParagraph"/>
        <w:numPr>
          <w:ilvl w:val="0"/>
          <w:numId w:val="18"/>
        </w:numPr>
      </w:pPr>
      <w:r w:rsidRPr="006D0EF9">
        <w:t>targeted support for iwi/Māori – particularly Māori agribusiness</w:t>
      </w:r>
    </w:p>
    <w:p w14:paraId="337D1AE5" w14:textId="77777777" w:rsidR="00293528" w:rsidRPr="006D0EF9" w:rsidRDefault="00293528" w:rsidP="00987F23">
      <w:pPr>
        <w:pStyle w:val="ListParagraph"/>
        <w:numPr>
          <w:ilvl w:val="0"/>
          <w:numId w:val="18"/>
        </w:numPr>
      </w:pPr>
      <w:r w:rsidRPr="006D0EF9">
        <w:t>targeted sector support – to limit the impacts on the agriculture sector.</w:t>
      </w:r>
    </w:p>
    <w:p w14:paraId="6084C44F" w14:textId="4234E1F5" w:rsidR="00293528" w:rsidRPr="00BB602A" w:rsidRDefault="00293528" w:rsidP="00293528">
      <w:pPr>
        <w:rPr>
          <w:rFonts w:eastAsia="Arial" w:cs="Calibri"/>
        </w:rPr>
      </w:pPr>
      <w:r w:rsidRPr="00BB602A">
        <w:rPr>
          <w:rFonts w:eastAsia="Arial" w:cs="Calibri"/>
        </w:rPr>
        <w:t xml:space="preserve">Under targeted sector </w:t>
      </w:r>
      <w:r>
        <w:rPr>
          <w:rFonts w:eastAsia="Arial" w:cs="Calibri"/>
        </w:rPr>
        <w:t>support,</w:t>
      </w:r>
      <w:r w:rsidRPr="00BB602A">
        <w:rPr>
          <w:rFonts w:eastAsia="Arial" w:cs="Calibri"/>
        </w:rPr>
        <w:t xml:space="preserve"> the Government included delaying the entry of agriculture into the NZ ETS and supporting on-farm mitigation tools and technologies. A change to </w:t>
      </w:r>
      <w:r w:rsidR="002441CC">
        <w:rPr>
          <w:rFonts w:eastAsia="Arial" w:cs="Calibri"/>
        </w:rPr>
        <w:br/>
      </w:r>
      <w:r w:rsidRPr="00BB602A">
        <w:rPr>
          <w:rFonts w:eastAsia="Arial" w:cs="Calibri"/>
        </w:rPr>
        <w:t xml:space="preserve">NZ ETS rules to limit conversion of whole farms into forest is also set out, but otherwise this approach does not affect the sectors that remain within scope of the NZ ETS. </w:t>
      </w:r>
    </w:p>
    <w:p w14:paraId="22970B2A" w14:textId="1A186F43" w:rsidR="005D0A27" w:rsidRPr="00890928" w:rsidRDefault="005D0A27" w:rsidP="007417D7">
      <w:pPr>
        <w:pStyle w:val="Heading3"/>
        <w:rPr>
          <w:color w:val="2F5496" w:themeColor="accent1" w:themeShade="BF"/>
        </w:rPr>
      </w:pPr>
      <w:r>
        <w:t>Impacts on iwi/Māori</w:t>
      </w:r>
    </w:p>
    <w:p w14:paraId="17941DBB" w14:textId="15951EE1" w:rsidR="00B76A11" w:rsidRPr="00890928" w:rsidRDefault="00B76A11" w:rsidP="00B76A11">
      <w:pPr>
        <w:rPr>
          <w:rFonts w:eastAsia="Arial" w:cs="Calibri"/>
        </w:rPr>
      </w:pPr>
      <w:r w:rsidRPr="00890928">
        <w:rPr>
          <w:rFonts w:eastAsia="Arial" w:cs="Calibri"/>
        </w:rPr>
        <w:t xml:space="preserve">In our </w:t>
      </w:r>
      <w:r w:rsidR="00C7179E">
        <w:rPr>
          <w:rFonts w:eastAsia="Arial" w:cs="Calibri"/>
        </w:rPr>
        <w:t>2023</w:t>
      </w:r>
      <w:r w:rsidRPr="00890928">
        <w:rPr>
          <w:rFonts w:eastAsia="Arial" w:cs="Calibri"/>
        </w:rPr>
        <w:t xml:space="preserve"> </w:t>
      </w:r>
      <w:r w:rsidR="00C7179E" w:rsidRPr="005B156E">
        <w:rPr>
          <w:rFonts w:eastAsia="Arial" w:cs="Calibri"/>
          <w:i/>
          <w:iCs/>
        </w:rPr>
        <w:t xml:space="preserve">Advice </w:t>
      </w:r>
      <w:r w:rsidRPr="005B156E">
        <w:rPr>
          <w:rFonts w:eastAsia="Arial" w:cs="Calibri"/>
          <w:i/>
        </w:rPr>
        <w:t xml:space="preserve">on the direction of policy for the </w:t>
      </w:r>
      <w:r w:rsidR="00C7179E" w:rsidRPr="005B156E">
        <w:rPr>
          <w:rFonts w:eastAsia="Arial" w:cs="Calibri"/>
          <w:i/>
          <w:iCs/>
        </w:rPr>
        <w:t xml:space="preserve">Government’s </w:t>
      </w:r>
      <w:r w:rsidRPr="005B156E">
        <w:rPr>
          <w:rFonts w:eastAsia="Arial" w:cs="Calibri"/>
          <w:i/>
        </w:rPr>
        <w:t xml:space="preserve">second emissions </w:t>
      </w:r>
      <w:r w:rsidR="00C76088" w:rsidRPr="005B156E">
        <w:rPr>
          <w:rFonts w:eastAsia="Arial" w:cs="Calibri"/>
          <w:i/>
          <w:iCs/>
        </w:rPr>
        <w:t xml:space="preserve">reduction </w:t>
      </w:r>
      <w:r w:rsidRPr="005B156E">
        <w:rPr>
          <w:rFonts w:eastAsia="Arial" w:cs="Calibri"/>
          <w:i/>
        </w:rPr>
        <w:t>plan</w:t>
      </w:r>
      <w:r w:rsidRPr="00890928">
        <w:rPr>
          <w:rFonts w:eastAsia="Arial" w:cs="Calibri"/>
        </w:rPr>
        <w:t>, we recommended the Government use targeted policies to promote equity and in setting those policies to also include the impacts of climate change and adaptation</w:t>
      </w:r>
      <w:r w:rsidR="00E30E68">
        <w:rPr>
          <w:rFonts w:eastAsia="Arial" w:cs="Calibri"/>
        </w:rPr>
        <w:t>,</w:t>
      </w:r>
      <w:r w:rsidRPr="00890928">
        <w:rPr>
          <w:rFonts w:eastAsia="Arial" w:cs="Calibri"/>
        </w:rPr>
        <w:t xml:space="preserve"> as well as mitigation.</w:t>
      </w:r>
      <w:r w:rsidR="002732E0">
        <w:rPr>
          <w:rStyle w:val="EndnoteReference"/>
          <w:rFonts w:eastAsia="Arial" w:cs="Calibri"/>
        </w:rPr>
        <w:endnoteReference w:id="33"/>
      </w:r>
      <w:r w:rsidRPr="00890928">
        <w:rPr>
          <w:rFonts w:eastAsia="Arial" w:cs="Calibri"/>
        </w:rPr>
        <w:t xml:space="preserve"> </w:t>
      </w:r>
    </w:p>
    <w:p w14:paraId="28454FC0" w14:textId="4291EDD3" w:rsidR="00B76A11" w:rsidRPr="00890928" w:rsidRDefault="00B76A11" w:rsidP="00B76A11">
      <w:r w:rsidRPr="00890928">
        <w:t xml:space="preserve">The Commission has also emphasised that </w:t>
      </w:r>
      <w:r w:rsidR="00264629">
        <w:t xml:space="preserve">it is important </w:t>
      </w:r>
      <w:r w:rsidRPr="00890928">
        <w:t>the Government ensure a fair and equitable transition for and with iwi/Māori. This includes acknowledging the Crown’s responsibilities under Te Tiriti</w:t>
      </w:r>
      <w:r w:rsidR="000B7D56">
        <w:t xml:space="preserve"> o Waitangi</w:t>
      </w:r>
      <w:r w:rsidRPr="00890928">
        <w:t xml:space="preserve">/The Treaty </w:t>
      </w:r>
      <w:r w:rsidR="000B7D56">
        <w:t>of Waitangi</w:t>
      </w:r>
      <w:r w:rsidRPr="00890928">
        <w:t xml:space="preserve"> and the necessity of agency under iwi/Māori leadership.  </w:t>
      </w:r>
    </w:p>
    <w:p w14:paraId="061130CD" w14:textId="219A2BEB" w:rsidR="00B76A11" w:rsidRPr="00890928" w:rsidRDefault="00B76A11" w:rsidP="00B76A11">
      <w:r w:rsidRPr="002E64A4">
        <w:lastRenderedPageBreak/>
        <w:t>Iwi/Māori communities</w:t>
      </w:r>
      <w:r>
        <w:t xml:space="preserve"> and entities</w:t>
      </w:r>
      <w:r w:rsidRPr="00661D44">
        <w:t xml:space="preserve"> have </w:t>
      </w:r>
      <w:r w:rsidR="00661D44" w:rsidRPr="00661D44">
        <w:t>varied priorities and aspirations, and a range of different</w:t>
      </w:r>
      <w:r w:rsidRPr="00661D44">
        <w:t xml:space="preserve"> interests relating to the NZ ETS</w:t>
      </w:r>
      <w:r w:rsidR="00661D44" w:rsidRPr="00661D44">
        <w:t>. </w:t>
      </w:r>
      <w:r w:rsidRPr="00890928">
        <w:t xml:space="preserve"> </w:t>
      </w:r>
    </w:p>
    <w:p w14:paraId="5C89D6DA" w14:textId="77777777" w:rsidR="00B76A11" w:rsidRPr="00890928" w:rsidRDefault="00B76A11" w:rsidP="00B76A11">
      <w:r w:rsidRPr="00890928">
        <w:t xml:space="preserve">Iwi/Māori account for a larger share of employment in emissions-intensive industries. In addition, many iwi/Māori face resource challenges that may generate further inequities and affect their ability to participate in an equitable transition to a low emissions economy. </w:t>
      </w:r>
      <w:r w:rsidRPr="00AF07E1">
        <w:t>Iwi/</w:t>
      </w:r>
      <w:r w:rsidRPr="00494E93">
        <w:t xml:space="preserve">Māori </w:t>
      </w:r>
      <w:r w:rsidRPr="00890928">
        <w:t>own a significant proportion of primary sector assets and face historic barriers that make updating those assets to facilitate lower emissions activities highly challenging.</w:t>
      </w:r>
    </w:p>
    <w:p w14:paraId="2F0453BF" w14:textId="60E0FD78" w:rsidR="00B76A11" w:rsidRPr="00890928" w:rsidRDefault="00B76A11" w:rsidP="00B76A11">
      <w:r w:rsidRPr="00890928">
        <w:t>A recent analysis from BERL on the Māori economy showed that the Māori asset base is diversify</w:t>
      </w:r>
      <w:r>
        <w:t>ing</w:t>
      </w:r>
      <w:r w:rsidRPr="00890928">
        <w:t xml:space="preserve"> beyond the primary sectors.</w:t>
      </w:r>
      <w:r w:rsidRPr="00890928">
        <w:rPr>
          <w:rStyle w:val="EndnoteReference"/>
        </w:rPr>
        <w:endnoteReference w:id="34"/>
      </w:r>
      <w:r w:rsidRPr="00890928">
        <w:t xml:space="preserve"> It reported that between 2018 and 2023 professional and technical services</w:t>
      </w:r>
      <w:r w:rsidR="009574D0">
        <w:t>,</w:t>
      </w:r>
      <w:r w:rsidRPr="00890928">
        <w:t xml:space="preserve"> and real estate and property</w:t>
      </w:r>
      <w:r w:rsidR="00CF1FD3">
        <w:t>,</w:t>
      </w:r>
      <w:r w:rsidRPr="00890928">
        <w:t xml:space="preserve"> collectively generated 39% of the growth in Māori assets over the period, more than the share from agriculture</w:t>
      </w:r>
      <w:r w:rsidR="00572E23">
        <w:t>,</w:t>
      </w:r>
      <w:r w:rsidRPr="00890928">
        <w:t xml:space="preserve"> forestry and fishing (29%). Diversification into lower emitting activities such as these </w:t>
      </w:r>
      <w:r>
        <w:t xml:space="preserve">may </w:t>
      </w:r>
      <w:r w:rsidRPr="00890928">
        <w:t xml:space="preserve">reduce the impact of the transition on iwi/Māori.  </w:t>
      </w:r>
    </w:p>
    <w:p w14:paraId="540D851A" w14:textId="1D72A41D" w:rsidR="00B76A11" w:rsidRPr="00890928" w:rsidRDefault="00B76A11" w:rsidP="00B76A11">
      <w:r w:rsidRPr="00890928">
        <w:t xml:space="preserve">Iwi/Māori have considerable interests in existing forests registered in the NZ ETS. Some of this is Māori operated commercial forestry and some is non-Māori operated forestry on whenua Māori land managed by trusts. </w:t>
      </w:r>
      <w:r w:rsidRPr="004E373D">
        <w:t xml:space="preserve">As discussed in the section on engagement in </w:t>
      </w:r>
      <w:r w:rsidRPr="005B156E">
        <w:rPr>
          <w:i/>
        </w:rPr>
        <w:t>Part 2</w:t>
      </w:r>
      <w:r w:rsidR="00E7638B">
        <w:t xml:space="preserve"> of this advice</w:t>
      </w:r>
      <w:r w:rsidRPr="004E373D">
        <w:t xml:space="preserve">, there are diverse views and practices around managing NZUs received and </w:t>
      </w:r>
      <w:r w:rsidR="0073471A" w:rsidRPr="004E373D">
        <w:t xml:space="preserve">interactions with the </w:t>
      </w:r>
      <w:r w:rsidRPr="004E373D">
        <w:t>NZ ETS.</w:t>
      </w:r>
      <w:r w:rsidRPr="00890928">
        <w:t xml:space="preserve"> It is important to ensure approaches to understanding such interests are built alongside iwi/Māori and appreciative of diversity.</w:t>
      </w:r>
    </w:p>
    <w:p w14:paraId="25B8118F" w14:textId="459F0D33" w:rsidR="00B76A11" w:rsidRPr="00890928" w:rsidRDefault="00B76A11" w:rsidP="00B76A11">
      <w:r w:rsidRPr="00890928">
        <w:t>Forestry is a large part of the Māori economy, so any Government decisions on operating the NZ ETS or reforming its structure can impact on different hapū and iwi around Aotearoa</w:t>
      </w:r>
      <w:r w:rsidR="008F69CB">
        <w:t xml:space="preserve"> </w:t>
      </w:r>
      <w:r w:rsidRPr="00890928">
        <w:t>and would require consistent consideration of Te Tiriti o Waitangi/The Treaty of Waitangi and Treaty principles. The Government’s announcements on plans to restrict the registration into the NZ ETS of new forests on certain land-use classes is an example of a proposed policy that has the potential to disproportionately affect iwi/Māori. The Government has said the policy will exclude certain categories of Māori-owned land, in line with Treaty obligations</w:t>
      </w:r>
      <w:r>
        <w:t>.</w:t>
      </w:r>
      <w:r w:rsidRPr="00890928">
        <w:t xml:space="preserve">  </w:t>
      </w:r>
    </w:p>
    <w:p w14:paraId="21866FFF" w14:textId="62E5D676" w:rsidR="00B76A11" w:rsidRPr="00890928" w:rsidRDefault="00B76A11" w:rsidP="00B76A11">
      <w:r w:rsidRPr="004E373D">
        <w:t xml:space="preserve">In </w:t>
      </w:r>
      <w:r w:rsidRPr="005B156E">
        <w:rPr>
          <w:i/>
        </w:rPr>
        <w:t>Part 2</w:t>
      </w:r>
      <w:r w:rsidRPr="004E373D">
        <w:t xml:space="preserve"> of this advice we highlight</w:t>
      </w:r>
      <w:r w:rsidR="00AF314A">
        <w:t>ed</w:t>
      </w:r>
      <w:r w:rsidRPr="004E373D">
        <w:t xml:space="preserve"> perspectives on the NZ ETS that we have heard from iwi/Māori, including the concern that aspects of the NZ ETS have inequitable impacts on Māori.</w:t>
      </w:r>
      <w:r w:rsidRPr="00890928">
        <w:t xml:space="preserve"> </w:t>
      </w:r>
    </w:p>
    <w:p w14:paraId="3D834355" w14:textId="77777777" w:rsidR="005D0A27" w:rsidRPr="00890928" w:rsidRDefault="005D0A27" w:rsidP="007417D7">
      <w:pPr>
        <w:pStyle w:val="Heading3"/>
        <w:rPr>
          <w:color w:val="2F5496" w:themeColor="accent1" w:themeShade="BF"/>
        </w:rPr>
      </w:pPr>
      <w:r>
        <w:t>Impacts on businesses and industries</w:t>
      </w:r>
    </w:p>
    <w:p w14:paraId="6FBAE878" w14:textId="77777777" w:rsidR="00B76A11" w:rsidRPr="00890928" w:rsidRDefault="00B76A11" w:rsidP="00B76A11">
      <w:r w:rsidRPr="00890928">
        <w:t xml:space="preserve">For emissions-intensive and trade-exposed (EITE) businesses and industries, emissions leakage risk – the possibility that a rising emissions price could cause some production to shift overseas in a way that increases global emissions – is currently being managed through industrial free allocation. This substantially reduces the cost of the NZ ETS for these businesses and therefore the risk of economic slowdown and regional employment impacts. </w:t>
      </w:r>
    </w:p>
    <w:p w14:paraId="70754691" w14:textId="77777777" w:rsidR="00B76A11" w:rsidRPr="00890928" w:rsidRDefault="00B76A11" w:rsidP="00B76A11">
      <w:r w:rsidRPr="00890928">
        <w:t>The effect of emissions pricing will be more manageable for less emissions-intensive businesses</w:t>
      </w:r>
      <w:r>
        <w:t xml:space="preserve"> who have more ability to pass on increased costs</w:t>
      </w:r>
      <w:r w:rsidRPr="00890928">
        <w:t>, and the NZ ETS may enable more opportunities for these and other (new) low emissions businesses.</w:t>
      </w:r>
    </w:p>
    <w:p w14:paraId="5E2115FF" w14:textId="15492179" w:rsidR="00B76A11" w:rsidRPr="00890928" w:rsidRDefault="00B76A11" w:rsidP="00B76A11">
      <w:r w:rsidRPr="00890928">
        <w:lastRenderedPageBreak/>
        <w:t>In the medium to long</w:t>
      </w:r>
      <w:r w:rsidR="00CD48B8">
        <w:t xml:space="preserve"> </w:t>
      </w:r>
      <w:r w:rsidRPr="00890928">
        <w:t xml:space="preserve">term, the NZ ETS will help drive more efficient and competitive businesses. Internationally, there are growing expectations from investors, customers and consumers around disclosing emissions and taking climate action through the value-chain. To remain competitive, Aotearoa New Zealand’s businesses will need to act on their emissions and the NZ ETS incentive can support them to make the shift. </w:t>
      </w:r>
    </w:p>
    <w:p w14:paraId="3655B213" w14:textId="77777777" w:rsidR="005D0A27" w:rsidRPr="00890928" w:rsidRDefault="005D0A27" w:rsidP="007417D7">
      <w:pPr>
        <w:pStyle w:val="Heading3"/>
        <w:rPr>
          <w:color w:val="2F5496" w:themeColor="accent1" w:themeShade="BF"/>
        </w:rPr>
      </w:pPr>
      <w:r>
        <w:t>Impacts on sectors and regions</w:t>
      </w:r>
    </w:p>
    <w:p w14:paraId="109D65F6" w14:textId="20432521" w:rsidR="00B76A11" w:rsidRPr="00890928" w:rsidRDefault="00B76A11" w:rsidP="00B76A11">
      <w:r w:rsidRPr="00890928">
        <w:t xml:space="preserve">The impacts of the NZ ETS price on different sectors and regions </w:t>
      </w:r>
      <w:r>
        <w:t>are</w:t>
      </w:r>
      <w:r w:rsidRPr="00890928">
        <w:t xml:space="preserve"> influenced by the make-up of the local economy and workforce. It is important that </w:t>
      </w:r>
      <w:r w:rsidR="002C2721">
        <w:t xml:space="preserve">the </w:t>
      </w:r>
      <w:r w:rsidRPr="00890928">
        <w:t>Government ensure</w:t>
      </w:r>
      <w:r w:rsidR="00B17C3D">
        <w:t>s</w:t>
      </w:r>
      <w:r w:rsidRPr="00890928">
        <w:t xml:space="preserve"> the outcomes of these impacts are not inequitable.</w:t>
      </w:r>
    </w:p>
    <w:p w14:paraId="015D46CB" w14:textId="53892B32" w:rsidR="00B76A11" w:rsidRPr="00890928" w:rsidRDefault="00B76A11" w:rsidP="00B76A11">
      <w:r w:rsidRPr="00890928">
        <w:t>Some regions have a higher concentration of emissions-intensive industries, particularly Southland, Taranaki and the West Coast. In contrast, employment in more urban areas is often concentrated around lower emissions intensity service sectors.</w:t>
      </w:r>
    </w:p>
    <w:p w14:paraId="7271849A" w14:textId="77777777" w:rsidR="00B76A11" w:rsidRPr="00F1218B" w:rsidRDefault="00B76A11" w:rsidP="00B76A11">
      <w:r w:rsidRPr="00F1218B">
        <w:t xml:space="preserve">Some regions, such as Tairāwhiti, have significant areas of forest, much of which is voluntarily registered into the NZ ETS, augmenting income from forestry activities. </w:t>
      </w:r>
    </w:p>
    <w:p w14:paraId="07F90442" w14:textId="77777777" w:rsidR="00B76A11" w:rsidRPr="00F1218B" w:rsidRDefault="00B76A11" w:rsidP="00B76A11">
      <w:r w:rsidRPr="00F1218B">
        <w:t xml:space="preserve">Increases to the NZ ETS emissions price over recent years have played a role in increases to forest planting rates across the country, with land conversions more concentrated in some regions. This has impacts for people and regions affected by land-use change, particularly rural communities that thrive on a diversity of land uses. </w:t>
      </w:r>
    </w:p>
    <w:p w14:paraId="7724FDD0" w14:textId="25325D38" w:rsidR="00B76A11" w:rsidRPr="00F1218B" w:rsidRDefault="0006440C" w:rsidP="00B76A11">
      <w:r>
        <w:t>W</w:t>
      </w:r>
      <w:r w:rsidR="00B76A11" w:rsidRPr="00F1218B">
        <w:t xml:space="preserve">e </w:t>
      </w:r>
      <w:r>
        <w:t xml:space="preserve">have </w:t>
      </w:r>
      <w:r w:rsidR="00B76A11" w:rsidRPr="00F1218B">
        <w:t>heard concerns that land-use change to forestry could reduce employment in rural communities.</w:t>
      </w:r>
      <w:r>
        <w:rPr>
          <w:rStyle w:val="EndnoteReference"/>
        </w:rPr>
        <w:endnoteReference w:id="35"/>
      </w:r>
      <w:r w:rsidR="00B76A11" w:rsidRPr="00F1218B">
        <w:t xml:space="preserve"> The second emission</w:t>
      </w:r>
      <w:r w:rsidR="2445C5CE" w:rsidRPr="00F1218B">
        <w:t>s</w:t>
      </w:r>
      <w:r w:rsidR="00B76A11" w:rsidRPr="00F1218B">
        <w:t xml:space="preserve"> reduction plan set out the Government’s intended policies to reduce the distributional impacts of land</w:t>
      </w:r>
      <w:r w:rsidR="00CB4213">
        <w:t>-</w:t>
      </w:r>
      <w:r w:rsidR="00B76A11" w:rsidRPr="00F1218B">
        <w:t xml:space="preserve">use change. These included limiting registrations into the NZ ETS of farms converted to forests. The effects of this policy remain somewhat unclear, as it is still under development. </w:t>
      </w:r>
    </w:p>
    <w:p w14:paraId="4843130C" w14:textId="5ED36AE2" w:rsidR="00445FDD" w:rsidRDefault="00445FDD" w:rsidP="00C767A8">
      <w:pPr>
        <w:rPr>
          <w:rFonts w:eastAsiaTheme="majorEastAsia"/>
          <w:b/>
          <w:color w:val="1F3864" w:themeColor="accent1" w:themeShade="80"/>
          <w:sz w:val="44"/>
          <w:szCs w:val="44"/>
        </w:rPr>
      </w:pPr>
      <w:r>
        <w:br w:type="page"/>
      </w:r>
    </w:p>
    <w:p w14:paraId="17770ABD" w14:textId="1C935B19" w:rsidR="00A614AE" w:rsidRDefault="00A614AE" w:rsidP="006A7422">
      <w:pPr>
        <w:pStyle w:val="Heading1nonumber"/>
      </w:pPr>
      <w:bookmarkStart w:id="43" w:name="_Toc195447250"/>
      <w:r>
        <w:lastRenderedPageBreak/>
        <w:t>PART 5: Te taupoki – Final recommendations</w:t>
      </w:r>
      <w:bookmarkEnd w:id="43"/>
    </w:p>
    <w:p w14:paraId="3F6E7B3C" w14:textId="77777777" w:rsidR="00102D7A" w:rsidRPr="007B6651" w:rsidRDefault="00102D7A" w:rsidP="007B6651">
      <w:pPr>
        <w:pStyle w:val="Heading3"/>
      </w:pPr>
      <w:r w:rsidRPr="007B6651">
        <w:t>Recommended limits and price control settings</w:t>
      </w:r>
    </w:p>
    <w:tbl>
      <w:tblPr>
        <w:tblStyle w:val="GridTable5Dark-Accent5"/>
        <w:tblW w:w="5000" w:type="pct"/>
        <w:tblLayout w:type="fixed"/>
        <w:tblCellMar>
          <w:left w:w="113" w:type="dxa"/>
          <w:right w:w="113" w:type="dxa"/>
        </w:tblCellMar>
        <w:tblLook w:val="04A0" w:firstRow="1" w:lastRow="0" w:firstColumn="1" w:lastColumn="0" w:noHBand="0" w:noVBand="1"/>
      </w:tblPr>
      <w:tblGrid>
        <w:gridCol w:w="3540"/>
        <w:gridCol w:w="991"/>
        <w:gridCol w:w="964"/>
        <w:gridCol w:w="1163"/>
        <w:gridCol w:w="1134"/>
        <w:gridCol w:w="1268"/>
      </w:tblGrid>
      <w:tr w:rsidR="00F63CFC" w:rsidRPr="00E8092E" w14:paraId="4551BF4F" w14:textId="77777777" w:rsidTr="00715F5F">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953" w:type="pct"/>
            <w:shd w:val="clear" w:color="auto" w:fill="002060"/>
            <w:vAlign w:val="center"/>
          </w:tcPr>
          <w:p w14:paraId="0C7A95C6" w14:textId="77777777" w:rsidR="00F63CFC" w:rsidRPr="007B6651" w:rsidRDefault="00F63CFC" w:rsidP="000E15CA">
            <w:pPr>
              <w:pStyle w:val="Tableparagraphwhite"/>
              <w:rPr>
                <w:b/>
              </w:rPr>
            </w:pPr>
          </w:p>
        </w:tc>
        <w:tc>
          <w:tcPr>
            <w:tcW w:w="1079" w:type="pct"/>
            <w:gridSpan w:val="2"/>
            <w:shd w:val="clear" w:color="auto" w:fill="002060"/>
            <w:vAlign w:val="center"/>
          </w:tcPr>
          <w:p w14:paraId="55D092C3" w14:textId="77777777" w:rsidR="00F63CFC" w:rsidRPr="007B6651" w:rsidRDefault="00F63CFC"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7B6651">
              <w:rPr>
                <w:b/>
              </w:rPr>
              <w:t>No changes</w:t>
            </w:r>
          </w:p>
        </w:tc>
        <w:tc>
          <w:tcPr>
            <w:tcW w:w="1268" w:type="pct"/>
            <w:gridSpan w:val="2"/>
            <w:shd w:val="clear" w:color="auto" w:fill="002060"/>
            <w:vAlign w:val="center"/>
          </w:tcPr>
          <w:p w14:paraId="3D9B27C5" w14:textId="77777777" w:rsidR="00F63CFC" w:rsidRPr="007B6651" w:rsidRDefault="00F63CFC"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7B6651">
              <w:rPr>
                <w:b/>
              </w:rPr>
              <w:t>Updated</w:t>
            </w:r>
          </w:p>
        </w:tc>
        <w:tc>
          <w:tcPr>
            <w:tcW w:w="700" w:type="pct"/>
            <w:shd w:val="clear" w:color="auto" w:fill="002060"/>
            <w:vAlign w:val="center"/>
          </w:tcPr>
          <w:p w14:paraId="04517DBF" w14:textId="77777777" w:rsidR="00F63CFC" w:rsidRPr="007B6651" w:rsidRDefault="00F63CFC"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7B6651">
              <w:rPr>
                <w:b/>
              </w:rPr>
              <w:t>New</w:t>
            </w:r>
          </w:p>
        </w:tc>
      </w:tr>
      <w:tr w:rsidR="00F63CFC" w:rsidRPr="007B6651" w14:paraId="1992933D" w14:textId="77777777" w:rsidTr="00715F5F">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953" w:type="pct"/>
            <w:shd w:val="clear" w:color="auto" w:fill="002060"/>
            <w:vAlign w:val="center"/>
          </w:tcPr>
          <w:p w14:paraId="6C251901" w14:textId="77777777" w:rsidR="00F63CFC" w:rsidRPr="007B6651" w:rsidRDefault="00F63CFC" w:rsidP="00D651B7">
            <w:pPr>
              <w:pStyle w:val="Tableparagraphwhite"/>
              <w:jc w:val="left"/>
              <w:rPr>
                <w:bCs/>
              </w:rPr>
            </w:pPr>
            <w:r w:rsidRPr="007B6651">
              <w:rPr>
                <w:bCs/>
              </w:rPr>
              <w:t>Million units</w:t>
            </w:r>
          </w:p>
        </w:tc>
        <w:tc>
          <w:tcPr>
            <w:tcW w:w="547" w:type="pct"/>
            <w:shd w:val="clear" w:color="auto" w:fill="002060"/>
            <w:vAlign w:val="center"/>
          </w:tcPr>
          <w:p w14:paraId="663D3D5D"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2026</w:t>
            </w:r>
          </w:p>
        </w:tc>
        <w:tc>
          <w:tcPr>
            <w:tcW w:w="532" w:type="pct"/>
            <w:shd w:val="clear" w:color="auto" w:fill="002060"/>
            <w:vAlign w:val="center"/>
          </w:tcPr>
          <w:p w14:paraId="5667F851"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2027</w:t>
            </w:r>
          </w:p>
        </w:tc>
        <w:tc>
          <w:tcPr>
            <w:tcW w:w="642" w:type="pct"/>
            <w:shd w:val="clear" w:color="auto" w:fill="002060"/>
            <w:vAlign w:val="center"/>
          </w:tcPr>
          <w:p w14:paraId="6DAE2BF7"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2028</w:t>
            </w:r>
          </w:p>
        </w:tc>
        <w:tc>
          <w:tcPr>
            <w:tcW w:w="626" w:type="pct"/>
            <w:shd w:val="clear" w:color="auto" w:fill="002060"/>
            <w:vAlign w:val="center"/>
          </w:tcPr>
          <w:p w14:paraId="4DD99C30"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2029</w:t>
            </w:r>
          </w:p>
        </w:tc>
        <w:tc>
          <w:tcPr>
            <w:tcW w:w="700" w:type="pct"/>
            <w:shd w:val="clear" w:color="auto" w:fill="002060"/>
            <w:vAlign w:val="center"/>
          </w:tcPr>
          <w:p w14:paraId="3049C836"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2030</w:t>
            </w:r>
          </w:p>
        </w:tc>
      </w:tr>
      <w:tr w:rsidR="00F63CFC" w:rsidRPr="007B6651" w14:paraId="51BCCE63" w14:textId="77777777" w:rsidTr="00D26A8D">
        <w:trPr>
          <w:trHeight w:val="624"/>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272759E9" w14:textId="77777777" w:rsidR="00F63CFC" w:rsidRPr="007B6651" w:rsidRDefault="00F63CFC" w:rsidP="007B6D8C">
            <w:pPr>
              <w:pStyle w:val="TableParagraph"/>
              <w:jc w:val="left"/>
              <w:rPr>
                <w:b w:val="0"/>
              </w:rPr>
            </w:pPr>
            <w:r w:rsidRPr="007B6651">
              <w:rPr>
                <w:b w:val="0"/>
              </w:rPr>
              <w:t>Limit on New Zealand Units available by auction (</w:t>
            </w:r>
            <w:r w:rsidRPr="007B6651">
              <w:rPr>
                <w:b w:val="0"/>
                <w:i/>
              </w:rPr>
              <w:t>including CCR volume</w:t>
            </w:r>
            <w:r w:rsidRPr="007B6651">
              <w:rPr>
                <w:b w:val="0"/>
              </w:rPr>
              <w:t>)</w:t>
            </w:r>
          </w:p>
        </w:tc>
        <w:tc>
          <w:tcPr>
            <w:tcW w:w="0" w:type="pct"/>
            <w:shd w:val="clear" w:color="auto" w:fill="E9F5F2"/>
            <w:vAlign w:val="center"/>
          </w:tcPr>
          <w:p w14:paraId="2BB115D0"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rPr>
            </w:pPr>
            <w:r w:rsidRPr="007B6651">
              <w:rPr>
                <w:bCs/>
              </w:rPr>
              <w:t>11.7</w:t>
            </w:r>
          </w:p>
        </w:tc>
        <w:tc>
          <w:tcPr>
            <w:tcW w:w="0" w:type="pct"/>
            <w:shd w:val="clear" w:color="auto" w:fill="E9F5F2"/>
            <w:vAlign w:val="center"/>
          </w:tcPr>
          <w:p w14:paraId="439EA20E"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rPr>
            </w:pPr>
            <w:r w:rsidRPr="007B6651">
              <w:rPr>
                <w:bCs/>
              </w:rPr>
              <w:t>10.2</w:t>
            </w:r>
          </w:p>
        </w:tc>
        <w:tc>
          <w:tcPr>
            <w:tcW w:w="0" w:type="pct"/>
            <w:shd w:val="clear" w:color="auto" w:fill="E9F5F2"/>
            <w:vAlign w:val="center"/>
          </w:tcPr>
          <w:p w14:paraId="37BBD697"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rPr>
            </w:pPr>
            <w:r w:rsidRPr="007B6651">
              <w:rPr>
                <w:bCs/>
              </w:rPr>
              <w:t>12.3</w:t>
            </w:r>
          </w:p>
        </w:tc>
        <w:tc>
          <w:tcPr>
            <w:tcW w:w="0" w:type="pct"/>
            <w:shd w:val="clear" w:color="auto" w:fill="E9F5F2"/>
            <w:vAlign w:val="center"/>
          </w:tcPr>
          <w:p w14:paraId="3C244116"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rPr>
            </w:pPr>
            <w:r w:rsidRPr="007B6651">
              <w:rPr>
                <w:bCs/>
              </w:rPr>
              <w:t>11.7</w:t>
            </w:r>
          </w:p>
        </w:tc>
        <w:tc>
          <w:tcPr>
            <w:tcW w:w="0" w:type="pct"/>
            <w:shd w:val="clear" w:color="auto" w:fill="D4E8DE"/>
            <w:vAlign w:val="center"/>
          </w:tcPr>
          <w:p w14:paraId="55E1C7DA"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rPr>
            </w:pPr>
            <w:r w:rsidRPr="007B6651">
              <w:rPr>
                <w:bCs/>
              </w:rPr>
              <w:t>10.9</w:t>
            </w:r>
          </w:p>
        </w:tc>
      </w:tr>
      <w:tr w:rsidR="00F63CFC" w:rsidRPr="007B6651" w14:paraId="54C728D6" w14:textId="77777777" w:rsidTr="00D26A8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53467DC9" w14:textId="77777777" w:rsidR="00F63CFC" w:rsidRPr="007B6651" w:rsidRDefault="00F63CFC" w:rsidP="007B6D8C">
            <w:pPr>
              <w:pStyle w:val="TableParagraph"/>
              <w:jc w:val="left"/>
              <w:rPr>
                <w:b w:val="0"/>
              </w:rPr>
            </w:pPr>
            <w:r w:rsidRPr="007B6651">
              <w:rPr>
                <w:b w:val="0"/>
              </w:rPr>
              <w:t>Limit on the approved overseas units used</w:t>
            </w:r>
          </w:p>
        </w:tc>
        <w:tc>
          <w:tcPr>
            <w:tcW w:w="0" w:type="pct"/>
            <w:shd w:val="clear" w:color="auto" w:fill="E9F5F2"/>
            <w:vAlign w:val="center"/>
          </w:tcPr>
          <w:p w14:paraId="52546F58"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B6651">
              <w:rPr>
                <w:bCs/>
              </w:rPr>
              <w:t>0.0</w:t>
            </w:r>
          </w:p>
        </w:tc>
        <w:tc>
          <w:tcPr>
            <w:tcW w:w="0" w:type="pct"/>
            <w:shd w:val="clear" w:color="auto" w:fill="E9F5F2"/>
            <w:vAlign w:val="center"/>
          </w:tcPr>
          <w:p w14:paraId="0C406F52"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B6651">
              <w:rPr>
                <w:bCs/>
              </w:rPr>
              <w:t>0.0</w:t>
            </w:r>
          </w:p>
        </w:tc>
        <w:tc>
          <w:tcPr>
            <w:tcW w:w="0" w:type="pct"/>
            <w:shd w:val="clear" w:color="auto" w:fill="E9F5F2"/>
            <w:vAlign w:val="center"/>
          </w:tcPr>
          <w:p w14:paraId="1EFB42EE"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B6651">
              <w:rPr>
                <w:bCs/>
              </w:rPr>
              <w:t>0.0</w:t>
            </w:r>
          </w:p>
        </w:tc>
        <w:tc>
          <w:tcPr>
            <w:tcW w:w="0" w:type="pct"/>
            <w:shd w:val="clear" w:color="auto" w:fill="E9F5F2"/>
            <w:vAlign w:val="center"/>
          </w:tcPr>
          <w:p w14:paraId="28436966"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B6651">
              <w:rPr>
                <w:bCs/>
              </w:rPr>
              <w:t>0.0</w:t>
            </w:r>
          </w:p>
        </w:tc>
        <w:tc>
          <w:tcPr>
            <w:tcW w:w="0" w:type="pct"/>
            <w:shd w:val="clear" w:color="auto" w:fill="D4E8DE"/>
            <w:vAlign w:val="center"/>
          </w:tcPr>
          <w:p w14:paraId="3D2F25BA"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B6651">
              <w:rPr>
                <w:bCs/>
              </w:rPr>
              <w:t>0.0</w:t>
            </w:r>
          </w:p>
        </w:tc>
      </w:tr>
      <w:tr w:rsidR="00F63CFC" w:rsidRPr="007B6651" w14:paraId="2193DFA3" w14:textId="77777777" w:rsidTr="00D26A8D">
        <w:trPr>
          <w:trHeight w:val="483"/>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77767287" w14:textId="77777777" w:rsidR="00F63CFC" w:rsidRPr="007B6651" w:rsidRDefault="00F63CFC" w:rsidP="007B6D8C">
            <w:pPr>
              <w:pStyle w:val="TableParagraph"/>
              <w:jc w:val="left"/>
              <w:rPr>
                <w:b w:val="0"/>
              </w:rPr>
            </w:pPr>
            <w:r w:rsidRPr="007B6651">
              <w:rPr>
                <w:b w:val="0"/>
              </w:rPr>
              <w:t>Overall limit on units</w:t>
            </w:r>
          </w:p>
        </w:tc>
        <w:tc>
          <w:tcPr>
            <w:tcW w:w="0" w:type="pct"/>
            <w:shd w:val="clear" w:color="auto" w:fill="E9F5F2"/>
            <w:vAlign w:val="center"/>
          </w:tcPr>
          <w:p w14:paraId="1614AE9D"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B6651">
              <w:rPr>
                <w:bCs/>
              </w:rPr>
              <w:t>17.4</w:t>
            </w:r>
          </w:p>
        </w:tc>
        <w:tc>
          <w:tcPr>
            <w:tcW w:w="0" w:type="pct"/>
            <w:shd w:val="clear" w:color="auto" w:fill="E9F5F2"/>
            <w:vAlign w:val="center"/>
          </w:tcPr>
          <w:p w14:paraId="327B8365"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B6651">
              <w:rPr>
                <w:bCs/>
              </w:rPr>
              <w:t>15.9</w:t>
            </w:r>
          </w:p>
        </w:tc>
        <w:tc>
          <w:tcPr>
            <w:tcW w:w="0" w:type="pct"/>
            <w:shd w:val="clear" w:color="auto" w:fill="E9F5F2"/>
            <w:vAlign w:val="center"/>
          </w:tcPr>
          <w:p w14:paraId="476C82AC"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B6651">
              <w:rPr>
                <w:bCs/>
              </w:rPr>
              <w:t>16.9</w:t>
            </w:r>
          </w:p>
        </w:tc>
        <w:tc>
          <w:tcPr>
            <w:tcW w:w="0" w:type="pct"/>
            <w:shd w:val="clear" w:color="auto" w:fill="E9F5F2"/>
            <w:vAlign w:val="center"/>
          </w:tcPr>
          <w:p w14:paraId="28DDD72E"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B6651">
              <w:rPr>
                <w:bCs/>
              </w:rPr>
              <w:t>16.2</w:t>
            </w:r>
          </w:p>
        </w:tc>
        <w:tc>
          <w:tcPr>
            <w:tcW w:w="0" w:type="pct"/>
            <w:shd w:val="clear" w:color="auto" w:fill="D4E8DE"/>
            <w:vAlign w:val="center"/>
          </w:tcPr>
          <w:p w14:paraId="6194B941"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B6651">
              <w:rPr>
                <w:bCs/>
              </w:rPr>
              <w:t>14.9</w:t>
            </w:r>
          </w:p>
        </w:tc>
      </w:tr>
    </w:tbl>
    <w:p w14:paraId="40F72EB5" w14:textId="77777777" w:rsidR="00102D7A" w:rsidRPr="007B6651" w:rsidRDefault="00102D7A" w:rsidP="00102D7A">
      <w:pPr>
        <w:spacing w:before="0" w:after="0" w:line="120" w:lineRule="auto"/>
        <w:rPr>
          <w:bCs/>
        </w:rPr>
      </w:pPr>
    </w:p>
    <w:tbl>
      <w:tblPr>
        <w:tblStyle w:val="GridTable5Dark-Accent5"/>
        <w:tblW w:w="5004" w:type="pct"/>
        <w:tblLayout w:type="fixed"/>
        <w:tblCellMar>
          <w:left w:w="113" w:type="dxa"/>
          <w:right w:w="113" w:type="dxa"/>
        </w:tblCellMar>
        <w:tblLook w:val="04A0" w:firstRow="1" w:lastRow="0" w:firstColumn="1" w:lastColumn="0" w:noHBand="0" w:noVBand="1"/>
      </w:tblPr>
      <w:tblGrid>
        <w:gridCol w:w="3433"/>
        <w:gridCol w:w="1126"/>
        <w:gridCol w:w="1126"/>
        <w:gridCol w:w="1126"/>
        <w:gridCol w:w="1126"/>
        <w:gridCol w:w="1130"/>
      </w:tblGrid>
      <w:tr w:rsidR="00F63CFC" w:rsidRPr="00E8092E" w14:paraId="4664671D" w14:textId="77777777" w:rsidTr="00715F5F">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893" w:type="pct"/>
            <w:shd w:val="clear" w:color="auto" w:fill="002060"/>
            <w:vAlign w:val="center"/>
          </w:tcPr>
          <w:p w14:paraId="65C79BF6" w14:textId="77777777" w:rsidR="00F63CFC" w:rsidRPr="007B6651" w:rsidRDefault="00F63CFC" w:rsidP="000E15CA">
            <w:pPr>
              <w:pStyle w:val="Tableparagraphwhite"/>
              <w:rPr>
                <w:b/>
              </w:rPr>
            </w:pPr>
          </w:p>
        </w:tc>
        <w:tc>
          <w:tcPr>
            <w:tcW w:w="1242" w:type="pct"/>
            <w:gridSpan w:val="2"/>
            <w:shd w:val="clear" w:color="auto" w:fill="002060"/>
            <w:vAlign w:val="center"/>
          </w:tcPr>
          <w:p w14:paraId="35B70DC6" w14:textId="77777777" w:rsidR="00F63CFC" w:rsidRPr="007B6651" w:rsidRDefault="00F63CFC"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7B6651">
              <w:rPr>
                <w:b/>
              </w:rPr>
              <w:t>No changes</w:t>
            </w:r>
          </w:p>
        </w:tc>
        <w:tc>
          <w:tcPr>
            <w:tcW w:w="1242" w:type="pct"/>
            <w:gridSpan w:val="2"/>
            <w:shd w:val="clear" w:color="auto" w:fill="002060"/>
            <w:vAlign w:val="center"/>
          </w:tcPr>
          <w:p w14:paraId="4A9843DD" w14:textId="77777777" w:rsidR="00F63CFC" w:rsidRPr="007B6651" w:rsidRDefault="00F63CFC"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7B6651">
              <w:rPr>
                <w:b/>
              </w:rPr>
              <w:t>Updated</w:t>
            </w:r>
          </w:p>
        </w:tc>
        <w:tc>
          <w:tcPr>
            <w:tcW w:w="623" w:type="pct"/>
            <w:shd w:val="clear" w:color="auto" w:fill="002060"/>
            <w:vAlign w:val="center"/>
          </w:tcPr>
          <w:p w14:paraId="4E705472" w14:textId="77777777" w:rsidR="00F63CFC" w:rsidRPr="007B6651" w:rsidRDefault="00F63CFC"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7B6651">
              <w:rPr>
                <w:b/>
              </w:rPr>
              <w:t>New</w:t>
            </w:r>
          </w:p>
        </w:tc>
      </w:tr>
      <w:tr w:rsidR="00F63CFC" w:rsidRPr="007B6651" w14:paraId="29534332" w14:textId="77777777" w:rsidTr="00715F5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893" w:type="pct"/>
            <w:shd w:val="clear" w:color="auto" w:fill="002060"/>
            <w:vAlign w:val="center"/>
          </w:tcPr>
          <w:p w14:paraId="14D4AB3D" w14:textId="77777777" w:rsidR="00F63CFC" w:rsidRPr="007B6651" w:rsidRDefault="00F63CFC" w:rsidP="00D651B7">
            <w:pPr>
              <w:pStyle w:val="Tableparagraphwhite"/>
              <w:jc w:val="left"/>
              <w:rPr>
                <w:b/>
              </w:rPr>
            </w:pPr>
            <w:r w:rsidRPr="007B6651">
              <w:rPr>
                <w:rFonts w:ascii="ZWAdobeF" w:hAnsi="ZWAdobeF" w:cs="ZWAdobeF"/>
                <w:b/>
                <w:color w:val="auto"/>
                <w:sz w:val="2"/>
                <w:szCs w:val="2"/>
              </w:rPr>
              <w:t>2B</w:t>
            </w:r>
            <w:r w:rsidRPr="007B6651">
              <w:rPr>
                <w:b/>
              </w:rPr>
              <w:t>Cost containment reserve</w:t>
            </w:r>
          </w:p>
        </w:tc>
        <w:tc>
          <w:tcPr>
            <w:tcW w:w="621" w:type="pct"/>
            <w:shd w:val="clear" w:color="auto" w:fill="002060"/>
            <w:vAlign w:val="center"/>
          </w:tcPr>
          <w:p w14:paraId="3DBA059F"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2026</w:t>
            </w:r>
          </w:p>
        </w:tc>
        <w:tc>
          <w:tcPr>
            <w:tcW w:w="621" w:type="pct"/>
            <w:shd w:val="clear" w:color="auto" w:fill="002060"/>
            <w:vAlign w:val="center"/>
          </w:tcPr>
          <w:p w14:paraId="24768306"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2027</w:t>
            </w:r>
          </w:p>
        </w:tc>
        <w:tc>
          <w:tcPr>
            <w:tcW w:w="621" w:type="pct"/>
            <w:shd w:val="clear" w:color="auto" w:fill="002060"/>
            <w:vAlign w:val="center"/>
          </w:tcPr>
          <w:p w14:paraId="718D43FC"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2028</w:t>
            </w:r>
          </w:p>
        </w:tc>
        <w:tc>
          <w:tcPr>
            <w:tcW w:w="621" w:type="pct"/>
            <w:shd w:val="clear" w:color="auto" w:fill="002060"/>
            <w:vAlign w:val="center"/>
          </w:tcPr>
          <w:p w14:paraId="53760D56"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2029</w:t>
            </w:r>
          </w:p>
        </w:tc>
        <w:tc>
          <w:tcPr>
            <w:tcW w:w="623" w:type="pct"/>
            <w:shd w:val="clear" w:color="auto" w:fill="002060"/>
            <w:vAlign w:val="center"/>
          </w:tcPr>
          <w:p w14:paraId="72EA8092"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2030</w:t>
            </w:r>
          </w:p>
        </w:tc>
      </w:tr>
      <w:tr w:rsidR="00F63CFC" w:rsidRPr="007B6651" w14:paraId="5E128E23" w14:textId="77777777" w:rsidTr="00715F5F">
        <w:trPr>
          <w:trHeight w:val="4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C1DCD5"/>
            <w:vAlign w:val="center"/>
          </w:tcPr>
          <w:p w14:paraId="7A45AD34" w14:textId="77777777" w:rsidR="00F63CFC" w:rsidRPr="007B6651" w:rsidRDefault="00F63CFC" w:rsidP="000E15CA">
            <w:pPr>
              <w:pStyle w:val="TableParagraph"/>
              <w:rPr>
                <w:bCs w:val="0"/>
              </w:rPr>
            </w:pPr>
            <w:r w:rsidRPr="007B6651">
              <w:rPr>
                <w:bCs w:val="0"/>
              </w:rPr>
              <w:t>Tier 1</w:t>
            </w:r>
          </w:p>
        </w:tc>
      </w:tr>
      <w:tr w:rsidR="00F63CFC" w:rsidRPr="007B6651" w14:paraId="4353A15D" w14:textId="77777777" w:rsidTr="00D26A8D">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08E3C470" w14:textId="77777777" w:rsidR="00F63CFC" w:rsidRPr="007B6651" w:rsidRDefault="00F63CFC" w:rsidP="007B6D8C">
            <w:pPr>
              <w:pStyle w:val="TableParagraph"/>
              <w:jc w:val="left"/>
              <w:rPr>
                <w:b w:val="0"/>
                <w:lang w:val="en-NZ"/>
              </w:rPr>
            </w:pPr>
            <w:r w:rsidRPr="007B6651">
              <w:rPr>
                <w:b w:val="0"/>
              </w:rPr>
              <w:t>Trigger price</w:t>
            </w:r>
          </w:p>
        </w:tc>
        <w:tc>
          <w:tcPr>
            <w:tcW w:w="0" w:type="pct"/>
            <w:shd w:val="clear" w:color="auto" w:fill="E9F5F2"/>
            <w:vAlign w:val="center"/>
          </w:tcPr>
          <w:p w14:paraId="24F3A97F"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bCs/>
                <w:lang w:val="en-NZ"/>
              </w:rPr>
            </w:pPr>
            <w:r w:rsidRPr="007B6651">
              <w:rPr>
                <w:bCs/>
              </w:rPr>
              <w:t>$203</w:t>
            </w:r>
          </w:p>
        </w:tc>
        <w:tc>
          <w:tcPr>
            <w:tcW w:w="0" w:type="pct"/>
            <w:shd w:val="clear" w:color="auto" w:fill="E9F5F2"/>
            <w:vAlign w:val="center"/>
          </w:tcPr>
          <w:p w14:paraId="32BA3871"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bCs/>
                <w:lang w:val="en-NZ"/>
              </w:rPr>
            </w:pPr>
            <w:r w:rsidRPr="007B6651">
              <w:rPr>
                <w:bCs/>
              </w:rPr>
              <w:t>$213</w:t>
            </w:r>
          </w:p>
        </w:tc>
        <w:tc>
          <w:tcPr>
            <w:tcW w:w="0" w:type="pct"/>
            <w:shd w:val="clear" w:color="auto" w:fill="E9F5F2"/>
            <w:vAlign w:val="center"/>
          </w:tcPr>
          <w:p w14:paraId="2D140F95"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bCs/>
              </w:rPr>
            </w:pPr>
            <w:r w:rsidRPr="007B6651">
              <w:rPr>
                <w:bCs/>
              </w:rPr>
              <w:t>$223</w:t>
            </w:r>
          </w:p>
        </w:tc>
        <w:tc>
          <w:tcPr>
            <w:tcW w:w="0" w:type="pct"/>
            <w:shd w:val="clear" w:color="auto" w:fill="E9F5F2"/>
            <w:vAlign w:val="center"/>
          </w:tcPr>
          <w:p w14:paraId="75A69A5F"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bCs/>
              </w:rPr>
            </w:pPr>
            <w:r w:rsidRPr="007B6651">
              <w:rPr>
                <w:bCs/>
              </w:rPr>
              <w:t>$235</w:t>
            </w:r>
          </w:p>
        </w:tc>
        <w:tc>
          <w:tcPr>
            <w:tcW w:w="0" w:type="pct"/>
            <w:shd w:val="clear" w:color="auto" w:fill="D4E8DE"/>
            <w:vAlign w:val="center"/>
          </w:tcPr>
          <w:p w14:paraId="137D2726"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bCs/>
              </w:rPr>
            </w:pPr>
            <w:r w:rsidRPr="007B6651">
              <w:rPr>
                <w:bCs/>
              </w:rPr>
              <w:t>$246</w:t>
            </w:r>
          </w:p>
        </w:tc>
      </w:tr>
      <w:tr w:rsidR="00F63CFC" w:rsidRPr="007B6651" w14:paraId="35E81526" w14:textId="77777777" w:rsidTr="00D26A8D">
        <w:trPr>
          <w:trHeight w:val="482"/>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7A624E57" w14:textId="77777777" w:rsidR="00F63CFC" w:rsidRPr="007B6651" w:rsidRDefault="00F63CFC" w:rsidP="007B6D8C">
            <w:pPr>
              <w:pStyle w:val="TableParagraph"/>
              <w:jc w:val="left"/>
              <w:rPr>
                <w:b w:val="0"/>
                <w:lang w:val="en-NZ"/>
              </w:rPr>
            </w:pPr>
            <w:r w:rsidRPr="007B6651">
              <w:rPr>
                <w:b w:val="0"/>
              </w:rPr>
              <w:t>Reserve volume (million units)</w:t>
            </w:r>
          </w:p>
        </w:tc>
        <w:tc>
          <w:tcPr>
            <w:tcW w:w="0" w:type="pct"/>
            <w:shd w:val="clear" w:color="auto" w:fill="E9F5F2"/>
            <w:vAlign w:val="center"/>
          </w:tcPr>
          <w:p w14:paraId="28644C7A"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lang w:val="en-NZ"/>
              </w:rPr>
            </w:pPr>
            <w:r w:rsidRPr="007B6651">
              <w:rPr>
                <w:bCs/>
              </w:rPr>
              <w:t>2.3</w:t>
            </w:r>
          </w:p>
        </w:tc>
        <w:tc>
          <w:tcPr>
            <w:tcW w:w="0" w:type="pct"/>
            <w:shd w:val="clear" w:color="auto" w:fill="E9F5F2"/>
            <w:vAlign w:val="center"/>
          </w:tcPr>
          <w:p w14:paraId="2AD6BB50"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lang w:val="en-NZ"/>
              </w:rPr>
            </w:pPr>
            <w:r w:rsidRPr="007B6651">
              <w:rPr>
                <w:bCs/>
              </w:rPr>
              <w:t>2.1</w:t>
            </w:r>
          </w:p>
        </w:tc>
        <w:tc>
          <w:tcPr>
            <w:tcW w:w="0" w:type="pct"/>
            <w:shd w:val="clear" w:color="auto" w:fill="E9F5F2"/>
            <w:vAlign w:val="center"/>
          </w:tcPr>
          <w:p w14:paraId="0ADCC17C"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lang w:val="en-NZ"/>
              </w:rPr>
            </w:pPr>
            <w:r w:rsidRPr="007B6651">
              <w:rPr>
                <w:bCs/>
              </w:rPr>
              <w:t>1.9</w:t>
            </w:r>
          </w:p>
        </w:tc>
        <w:tc>
          <w:tcPr>
            <w:tcW w:w="0" w:type="pct"/>
            <w:shd w:val="clear" w:color="auto" w:fill="E9F5F2"/>
            <w:vAlign w:val="center"/>
          </w:tcPr>
          <w:p w14:paraId="51F76838"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lang w:val="en-NZ"/>
              </w:rPr>
            </w:pPr>
            <w:r w:rsidRPr="007B6651">
              <w:rPr>
                <w:bCs/>
              </w:rPr>
              <w:t>1.7</w:t>
            </w:r>
          </w:p>
        </w:tc>
        <w:tc>
          <w:tcPr>
            <w:tcW w:w="0" w:type="pct"/>
            <w:shd w:val="clear" w:color="auto" w:fill="D4E8DE"/>
            <w:vAlign w:val="center"/>
          </w:tcPr>
          <w:p w14:paraId="1B6612B3"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lang w:val="en-NZ"/>
              </w:rPr>
            </w:pPr>
            <w:r w:rsidRPr="007B6651">
              <w:rPr>
                <w:bCs/>
              </w:rPr>
              <w:t>1.4</w:t>
            </w:r>
          </w:p>
        </w:tc>
      </w:tr>
      <w:tr w:rsidR="00F63CFC" w:rsidRPr="007B6651" w14:paraId="07856462" w14:textId="77777777" w:rsidTr="00715F5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C1DCD5"/>
            <w:vAlign w:val="center"/>
          </w:tcPr>
          <w:p w14:paraId="23802E85" w14:textId="77777777" w:rsidR="00F63CFC" w:rsidRPr="007B6651" w:rsidRDefault="00F63CFC" w:rsidP="000E15CA">
            <w:pPr>
              <w:pStyle w:val="TableParagraph"/>
              <w:rPr>
                <w:bCs w:val="0"/>
              </w:rPr>
            </w:pPr>
            <w:r w:rsidRPr="007B6651">
              <w:rPr>
                <w:bCs w:val="0"/>
              </w:rPr>
              <w:t>Tier 2</w:t>
            </w:r>
          </w:p>
        </w:tc>
      </w:tr>
      <w:tr w:rsidR="00F63CFC" w:rsidRPr="007B6651" w14:paraId="48C18137" w14:textId="77777777" w:rsidTr="00D26A8D">
        <w:trPr>
          <w:trHeight w:val="482"/>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2368C2B1" w14:textId="77777777" w:rsidR="00F63CFC" w:rsidRPr="007B6651" w:rsidRDefault="00F63CFC" w:rsidP="007B6D8C">
            <w:pPr>
              <w:pStyle w:val="TableParagraph"/>
              <w:jc w:val="left"/>
              <w:rPr>
                <w:b w:val="0"/>
                <w:lang w:val="en-NZ"/>
              </w:rPr>
            </w:pPr>
            <w:r w:rsidRPr="007B6651">
              <w:rPr>
                <w:b w:val="0"/>
              </w:rPr>
              <w:t>Trigger price</w:t>
            </w:r>
          </w:p>
        </w:tc>
        <w:tc>
          <w:tcPr>
            <w:tcW w:w="0" w:type="pct"/>
            <w:shd w:val="clear" w:color="auto" w:fill="E9F5F2"/>
            <w:vAlign w:val="center"/>
          </w:tcPr>
          <w:p w14:paraId="0501D7E5"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lang w:val="en-NZ"/>
              </w:rPr>
            </w:pPr>
            <w:r w:rsidRPr="007B6651">
              <w:rPr>
                <w:bCs/>
              </w:rPr>
              <w:t>$254</w:t>
            </w:r>
          </w:p>
        </w:tc>
        <w:tc>
          <w:tcPr>
            <w:tcW w:w="0" w:type="pct"/>
            <w:shd w:val="clear" w:color="auto" w:fill="E9F5F2"/>
            <w:vAlign w:val="center"/>
          </w:tcPr>
          <w:p w14:paraId="32C42CA2"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lang w:val="en-NZ"/>
              </w:rPr>
            </w:pPr>
            <w:r w:rsidRPr="007B6651">
              <w:rPr>
                <w:bCs/>
              </w:rPr>
              <w:t>$267</w:t>
            </w:r>
          </w:p>
        </w:tc>
        <w:tc>
          <w:tcPr>
            <w:tcW w:w="0" w:type="pct"/>
            <w:shd w:val="clear" w:color="auto" w:fill="E9F5F2"/>
            <w:vAlign w:val="center"/>
          </w:tcPr>
          <w:p w14:paraId="2AF0FE6C"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lang w:val="en-NZ"/>
              </w:rPr>
            </w:pPr>
            <w:r w:rsidRPr="007B6651">
              <w:rPr>
                <w:bCs/>
              </w:rPr>
              <w:t>$279</w:t>
            </w:r>
          </w:p>
        </w:tc>
        <w:tc>
          <w:tcPr>
            <w:tcW w:w="0" w:type="pct"/>
            <w:shd w:val="clear" w:color="auto" w:fill="E9F5F2"/>
            <w:vAlign w:val="center"/>
          </w:tcPr>
          <w:p w14:paraId="7A5D3838"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lang w:val="en-NZ"/>
              </w:rPr>
            </w:pPr>
            <w:r w:rsidRPr="007B6651">
              <w:rPr>
                <w:bCs/>
              </w:rPr>
              <w:t>$293</w:t>
            </w:r>
          </w:p>
        </w:tc>
        <w:tc>
          <w:tcPr>
            <w:tcW w:w="0" w:type="pct"/>
            <w:shd w:val="clear" w:color="auto" w:fill="D4E8DE"/>
            <w:vAlign w:val="center"/>
          </w:tcPr>
          <w:p w14:paraId="6542A504"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lang w:val="en-NZ"/>
              </w:rPr>
            </w:pPr>
            <w:r w:rsidRPr="007B6651">
              <w:rPr>
                <w:bCs/>
              </w:rPr>
              <w:t>$308</w:t>
            </w:r>
          </w:p>
        </w:tc>
      </w:tr>
      <w:tr w:rsidR="00F63CFC" w:rsidRPr="007B6651" w14:paraId="4429B2C4" w14:textId="77777777" w:rsidTr="00D26A8D">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4286F100" w14:textId="77777777" w:rsidR="00F63CFC" w:rsidRPr="007B6651" w:rsidRDefault="00F63CFC" w:rsidP="007B6D8C">
            <w:pPr>
              <w:pStyle w:val="TableParagraph"/>
              <w:jc w:val="left"/>
              <w:rPr>
                <w:b w:val="0"/>
                <w:lang w:val="en-NZ"/>
              </w:rPr>
            </w:pPr>
            <w:r w:rsidRPr="007B6651">
              <w:rPr>
                <w:b w:val="0"/>
              </w:rPr>
              <w:t>Reserve volume (million units)</w:t>
            </w:r>
          </w:p>
        </w:tc>
        <w:tc>
          <w:tcPr>
            <w:tcW w:w="0" w:type="pct"/>
            <w:shd w:val="clear" w:color="auto" w:fill="E9F5F2"/>
            <w:vAlign w:val="center"/>
          </w:tcPr>
          <w:p w14:paraId="4DD8548E"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bCs/>
                <w:lang w:val="en-NZ"/>
              </w:rPr>
            </w:pPr>
            <w:r w:rsidRPr="007B6651">
              <w:rPr>
                <w:bCs/>
              </w:rPr>
              <w:t>4.2</w:t>
            </w:r>
          </w:p>
        </w:tc>
        <w:tc>
          <w:tcPr>
            <w:tcW w:w="0" w:type="pct"/>
            <w:shd w:val="clear" w:color="auto" w:fill="E9F5F2"/>
            <w:vAlign w:val="center"/>
          </w:tcPr>
          <w:p w14:paraId="7F30B754"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bCs/>
                <w:lang w:val="en-NZ"/>
              </w:rPr>
            </w:pPr>
            <w:r w:rsidRPr="007B6651">
              <w:rPr>
                <w:bCs/>
              </w:rPr>
              <w:t>3.8</w:t>
            </w:r>
          </w:p>
        </w:tc>
        <w:tc>
          <w:tcPr>
            <w:tcW w:w="0" w:type="pct"/>
            <w:shd w:val="clear" w:color="auto" w:fill="E9F5F2"/>
            <w:vAlign w:val="center"/>
          </w:tcPr>
          <w:p w14:paraId="0AF6195D"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bCs/>
                <w:lang w:val="en-NZ"/>
              </w:rPr>
            </w:pPr>
            <w:r w:rsidRPr="007B6651">
              <w:rPr>
                <w:bCs/>
              </w:rPr>
              <w:t>3.4</w:t>
            </w:r>
          </w:p>
        </w:tc>
        <w:tc>
          <w:tcPr>
            <w:tcW w:w="0" w:type="pct"/>
            <w:shd w:val="clear" w:color="auto" w:fill="E9F5F2"/>
            <w:vAlign w:val="center"/>
          </w:tcPr>
          <w:p w14:paraId="1E37C467"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bCs/>
                <w:lang w:val="en-NZ"/>
              </w:rPr>
            </w:pPr>
            <w:r w:rsidRPr="007B6651">
              <w:rPr>
                <w:bCs/>
              </w:rPr>
              <w:t>3.0</w:t>
            </w:r>
          </w:p>
        </w:tc>
        <w:tc>
          <w:tcPr>
            <w:tcW w:w="0" w:type="pct"/>
            <w:shd w:val="clear" w:color="auto" w:fill="D4E8DE"/>
            <w:vAlign w:val="center"/>
          </w:tcPr>
          <w:p w14:paraId="5C765F0F" w14:textId="77777777" w:rsidR="00F63CFC" w:rsidRPr="007B6651" w:rsidRDefault="00F63CFC" w:rsidP="000E15CA">
            <w:pPr>
              <w:pStyle w:val="TableParagraph"/>
              <w:cnfStyle w:val="000000100000" w:firstRow="0" w:lastRow="0" w:firstColumn="0" w:lastColumn="0" w:oddVBand="0" w:evenVBand="0" w:oddHBand="1" w:evenHBand="0" w:firstRowFirstColumn="0" w:firstRowLastColumn="0" w:lastRowFirstColumn="0" w:lastRowLastColumn="0"/>
              <w:rPr>
                <w:bCs/>
                <w:lang w:val="en-NZ"/>
              </w:rPr>
            </w:pPr>
            <w:r w:rsidRPr="007B6651">
              <w:rPr>
                <w:bCs/>
              </w:rPr>
              <w:t>2.5</w:t>
            </w:r>
          </w:p>
        </w:tc>
      </w:tr>
    </w:tbl>
    <w:p w14:paraId="0EBBEDC3" w14:textId="77777777" w:rsidR="00102D7A" w:rsidRPr="007B6651" w:rsidRDefault="00102D7A" w:rsidP="00102D7A">
      <w:pPr>
        <w:spacing w:before="0" w:after="0" w:line="120" w:lineRule="auto"/>
        <w:rPr>
          <w:bCs/>
        </w:rPr>
      </w:pPr>
    </w:p>
    <w:tbl>
      <w:tblPr>
        <w:tblStyle w:val="GridTable5Dark-Accent5"/>
        <w:tblW w:w="5000" w:type="pct"/>
        <w:tblLayout w:type="fixed"/>
        <w:tblCellMar>
          <w:left w:w="113" w:type="dxa"/>
          <w:right w:w="113" w:type="dxa"/>
        </w:tblCellMar>
        <w:tblLook w:val="04A0" w:firstRow="1" w:lastRow="0" w:firstColumn="1" w:lastColumn="0" w:noHBand="0" w:noVBand="1"/>
      </w:tblPr>
      <w:tblGrid>
        <w:gridCol w:w="3244"/>
        <w:gridCol w:w="1287"/>
        <w:gridCol w:w="1134"/>
        <w:gridCol w:w="1134"/>
        <w:gridCol w:w="993"/>
        <w:gridCol w:w="1268"/>
      </w:tblGrid>
      <w:tr w:rsidR="000E15CA" w:rsidRPr="00E8092E" w14:paraId="09A299D0" w14:textId="77777777" w:rsidTr="00715F5F">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790" w:type="pct"/>
            <w:shd w:val="clear" w:color="auto" w:fill="002060"/>
            <w:vAlign w:val="center"/>
          </w:tcPr>
          <w:p w14:paraId="5A9CFC2C" w14:textId="77777777" w:rsidR="00F63CFC" w:rsidRPr="007B6651" w:rsidRDefault="00F63CFC" w:rsidP="000E15CA">
            <w:pPr>
              <w:pStyle w:val="Tableparagraphwhite"/>
              <w:rPr>
                <w:b/>
              </w:rPr>
            </w:pPr>
          </w:p>
        </w:tc>
        <w:tc>
          <w:tcPr>
            <w:tcW w:w="1336" w:type="pct"/>
            <w:gridSpan w:val="2"/>
            <w:shd w:val="clear" w:color="auto" w:fill="002060"/>
            <w:vAlign w:val="center"/>
          </w:tcPr>
          <w:p w14:paraId="538315E0" w14:textId="77777777" w:rsidR="00F63CFC" w:rsidRPr="007B6651" w:rsidRDefault="00F63CFC"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7B6651">
              <w:rPr>
                <w:b/>
              </w:rPr>
              <w:t>No changes</w:t>
            </w:r>
          </w:p>
        </w:tc>
        <w:tc>
          <w:tcPr>
            <w:tcW w:w="1174" w:type="pct"/>
            <w:gridSpan w:val="2"/>
            <w:shd w:val="clear" w:color="auto" w:fill="002060"/>
            <w:vAlign w:val="center"/>
          </w:tcPr>
          <w:p w14:paraId="66EB0FCF" w14:textId="77777777" w:rsidR="00F63CFC" w:rsidRPr="007B6651" w:rsidRDefault="00F63CFC"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7B6651">
              <w:rPr>
                <w:b/>
              </w:rPr>
              <w:t>Updated</w:t>
            </w:r>
          </w:p>
        </w:tc>
        <w:tc>
          <w:tcPr>
            <w:tcW w:w="700" w:type="pct"/>
            <w:shd w:val="clear" w:color="auto" w:fill="002060"/>
            <w:vAlign w:val="center"/>
          </w:tcPr>
          <w:p w14:paraId="62CA6571" w14:textId="77777777" w:rsidR="00F63CFC" w:rsidRPr="007B6651" w:rsidRDefault="00F63CFC" w:rsidP="000E15CA">
            <w:pPr>
              <w:pStyle w:val="Tableparagraphwhite"/>
              <w:cnfStyle w:val="100000000000" w:firstRow="1" w:lastRow="0" w:firstColumn="0" w:lastColumn="0" w:oddVBand="0" w:evenVBand="0" w:oddHBand="0" w:evenHBand="0" w:firstRowFirstColumn="0" w:firstRowLastColumn="0" w:lastRowFirstColumn="0" w:lastRowLastColumn="0"/>
              <w:rPr>
                <w:b/>
              </w:rPr>
            </w:pPr>
            <w:r w:rsidRPr="007B6651">
              <w:rPr>
                <w:b/>
              </w:rPr>
              <w:t>New</w:t>
            </w:r>
          </w:p>
        </w:tc>
      </w:tr>
      <w:tr w:rsidR="00F63CFC" w:rsidRPr="007B6651" w14:paraId="25F74A5A" w14:textId="77777777" w:rsidTr="00715F5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790" w:type="pct"/>
            <w:shd w:val="clear" w:color="auto" w:fill="002060"/>
            <w:vAlign w:val="center"/>
          </w:tcPr>
          <w:p w14:paraId="3DF37A68" w14:textId="77777777" w:rsidR="00F63CFC" w:rsidRPr="007B6651" w:rsidRDefault="00F63CFC" w:rsidP="00D651B7">
            <w:pPr>
              <w:pStyle w:val="Tableparagraphwhite"/>
              <w:jc w:val="left"/>
              <w:rPr>
                <w:b/>
              </w:rPr>
            </w:pPr>
            <w:r w:rsidRPr="007B6651">
              <w:rPr>
                <w:rFonts w:ascii="ZWAdobeF" w:hAnsi="ZWAdobeF" w:cs="ZWAdobeF"/>
                <w:b/>
                <w:color w:val="auto"/>
                <w:sz w:val="2"/>
                <w:szCs w:val="2"/>
              </w:rPr>
              <w:t>3B</w:t>
            </w:r>
            <w:r w:rsidRPr="007B6651">
              <w:rPr>
                <w:b/>
              </w:rPr>
              <w:t>Auction reserve price</w:t>
            </w:r>
          </w:p>
        </w:tc>
        <w:tc>
          <w:tcPr>
            <w:tcW w:w="710" w:type="pct"/>
            <w:shd w:val="clear" w:color="auto" w:fill="002060"/>
            <w:vAlign w:val="center"/>
          </w:tcPr>
          <w:p w14:paraId="40ABCA50"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2026</w:t>
            </w:r>
          </w:p>
        </w:tc>
        <w:tc>
          <w:tcPr>
            <w:tcW w:w="626" w:type="pct"/>
            <w:shd w:val="clear" w:color="auto" w:fill="002060"/>
            <w:vAlign w:val="center"/>
          </w:tcPr>
          <w:p w14:paraId="197D336F"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2027</w:t>
            </w:r>
          </w:p>
        </w:tc>
        <w:tc>
          <w:tcPr>
            <w:tcW w:w="626" w:type="pct"/>
            <w:shd w:val="clear" w:color="auto" w:fill="002060"/>
            <w:vAlign w:val="center"/>
          </w:tcPr>
          <w:p w14:paraId="732AF107"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2028</w:t>
            </w:r>
          </w:p>
        </w:tc>
        <w:tc>
          <w:tcPr>
            <w:tcW w:w="548" w:type="pct"/>
            <w:shd w:val="clear" w:color="auto" w:fill="002060"/>
            <w:vAlign w:val="center"/>
          </w:tcPr>
          <w:p w14:paraId="516D933A"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2029</w:t>
            </w:r>
          </w:p>
        </w:tc>
        <w:tc>
          <w:tcPr>
            <w:tcW w:w="700" w:type="pct"/>
            <w:shd w:val="clear" w:color="auto" w:fill="002060"/>
            <w:vAlign w:val="center"/>
          </w:tcPr>
          <w:p w14:paraId="73B5F14F" w14:textId="77777777" w:rsidR="00F63CFC" w:rsidRPr="007B6651" w:rsidRDefault="00F63CFC" w:rsidP="000E15CA">
            <w:pPr>
              <w:pStyle w:val="Tableparagraphwhite"/>
              <w:cnfStyle w:val="000000100000" w:firstRow="0" w:lastRow="0" w:firstColumn="0" w:lastColumn="0" w:oddVBand="0" w:evenVBand="0" w:oddHBand="1" w:evenHBand="0" w:firstRowFirstColumn="0" w:firstRowLastColumn="0" w:lastRowFirstColumn="0" w:lastRowLastColumn="0"/>
              <w:rPr>
                <w:b w:val="0"/>
              </w:rPr>
            </w:pPr>
            <w:r w:rsidRPr="007B6651">
              <w:rPr>
                <w:b w:val="0"/>
              </w:rPr>
              <w:t>2030</w:t>
            </w:r>
          </w:p>
        </w:tc>
      </w:tr>
      <w:tr w:rsidR="00F63CFC" w:rsidRPr="007B6651" w14:paraId="52F1B343" w14:textId="77777777" w:rsidTr="00D26A8D">
        <w:trPr>
          <w:trHeight w:val="482"/>
        </w:trPr>
        <w:tc>
          <w:tcPr>
            <w:cnfStyle w:val="001000000000" w:firstRow="0" w:lastRow="0" w:firstColumn="1" w:lastColumn="0" w:oddVBand="0" w:evenVBand="0" w:oddHBand="0" w:evenHBand="0" w:firstRowFirstColumn="0" w:firstRowLastColumn="0" w:lastRowFirstColumn="0" w:lastRowLastColumn="0"/>
            <w:tcW w:w="0" w:type="pct"/>
            <w:shd w:val="clear" w:color="auto" w:fill="D4E8DE"/>
            <w:vAlign w:val="center"/>
          </w:tcPr>
          <w:p w14:paraId="1AEC32D8" w14:textId="77777777" w:rsidR="00F63CFC" w:rsidRPr="007B6651" w:rsidRDefault="00F63CFC" w:rsidP="007B6D8C">
            <w:pPr>
              <w:pStyle w:val="TableParagraph"/>
              <w:jc w:val="left"/>
              <w:rPr>
                <w:b w:val="0"/>
              </w:rPr>
            </w:pPr>
            <w:r w:rsidRPr="007B6651">
              <w:rPr>
                <w:b w:val="0"/>
              </w:rPr>
              <w:t>Auction reserve price</w:t>
            </w:r>
          </w:p>
        </w:tc>
        <w:tc>
          <w:tcPr>
            <w:tcW w:w="0" w:type="pct"/>
            <w:shd w:val="clear" w:color="auto" w:fill="E9F5F2"/>
            <w:vAlign w:val="center"/>
          </w:tcPr>
          <w:p w14:paraId="72673B44"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rPr>
            </w:pPr>
            <w:r w:rsidRPr="007B6651">
              <w:rPr>
                <w:bCs/>
              </w:rPr>
              <w:t>$71</w:t>
            </w:r>
          </w:p>
        </w:tc>
        <w:tc>
          <w:tcPr>
            <w:tcW w:w="0" w:type="pct"/>
            <w:shd w:val="clear" w:color="auto" w:fill="E9F5F2"/>
            <w:vAlign w:val="center"/>
          </w:tcPr>
          <w:p w14:paraId="7D59A5BF"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rPr>
            </w:pPr>
            <w:r w:rsidRPr="007B6651">
              <w:rPr>
                <w:bCs/>
              </w:rPr>
              <w:t>$75</w:t>
            </w:r>
          </w:p>
        </w:tc>
        <w:tc>
          <w:tcPr>
            <w:tcW w:w="0" w:type="pct"/>
            <w:shd w:val="clear" w:color="auto" w:fill="E9F5F2"/>
            <w:vAlign w:val="center"/>
          </w:tcPr>
          <w:p w14:paraId="73388EF0"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rPr>
            </w:pPr>
            <w:r w:rsidRPr="007B6651">
              <w:rPr>
                <w:bCs/>
              </w:rPr>
              <w:t>$78</w:t>
            </w:r>
          </w:p>
        </w:tc>
        <w:tc>
          <w:tcPr>
            <w:tcW w:w="0" w:type="pct"/>
            <w:shd w:val="clear" w:color="auto" w:fill="E9F5F2"/>
            <w:vAlign w:val="center"/>
          </w:tcPr>
          <w:p w14:paraId="5BD08572"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rPr>
            </w:pPr>
            <w:r w:rsidRPr="007B6651">
              <w:rPr>
                <w:bCs/>
              </w:rPr>
              <w:t>$82</w:t>
            </w:r>
          </w:p>
        </w:tc>
        <w:tc>
          <w:tcPr>
            <w:tcW w:w="0" w:type="pct"/>
            <w:shd w:val="clear" w:color="auto" w:fill="C1DCD5"/>
            <w:vAlign w:val="center"/>
          </w:tcPr>
          <w:p w14:paraId="699C54C8" w14:textId="77777777" w:rsidR="00F63CFC" w:rsidRPr="007B6651" w:rsidRDefault="00F63CFC" w:rsidP="000E15CA">
            <w:pPr>
              <w:pStyle w:val="TableParagraph"/>
              <w:cnfStyle w:val="000000000000" w:firstRow="0" w:lastRow="0" w:firstColumn="0" w:lastColumn="0" w:oddVBand="0" w:evenVBand="0" w:oddHBand="0" w:evenHBand="0" w:firstRowFirstColumn="0" w:firstRowLastColumn="0" w:lastRowFirstColumn="0" w:lastRowLastColumn="0"/>
              <w:rPr>
                <w:bCs/>
              </w:rPr>
            </w:pPr>
            <w:r w:rsidRPr="007B6651">
              <w:rPr>
                <w:bCs/>
              </w:rPr>
              <w:t>$86</w:t>
            </w:r>
          </w:p>
        </w:tc>
      </w:tr>
    </w:tbl>
    <w:p w14:paraId="424DD0B3" w14:textId="77777777" w:rsidR="00F43924" w:rsidRPr="007B6651" w:rsidRDefault="00F43924">
      <w:pPr>
        <w:spacing w:before="0" w:after="0" w:line="240" w:lineRule="auto"/>
        <w:rPr>
          <w:bCs/>
        </w:rPr>
      </w:pPr>
      <w:r w:rsidRPr="007B6651">
        <w:rPr>
          <w:bCs/>
        </w:rPr>
        <w:br w:type="page"/>
      </w:r>
    </w:p>
    <w:p w14:paraId="45764DEE" w14:textId="756C684F" w:rsidR="0055209C" w:rsidRDefault="001657E7" w:rsidP="006A7422">
      <w:pPr>
        <w:pStyle w:val="Heading1nonumber"/>
      </w:pPr>
      <w:bookmarkStart w:id="44" w:name="_Toc195447251"/>
      <w:r>
        <w:lastRenderedPageBreak/>
        <w:t>Tāpiritanga – Appendix</w:t>
      </w:r>
      <w:bookmarkEnd w:id="44"/>
    </w:p>
    <w:p w14:paraId="5611E8BD" w14:textId="3278FC99" w:rsidR="00A614AE" w:rsidRDefault="001657E7" w:rsidP="00047F15">
      <w:pPr>
        <w:pStyle w:val="Heading2nonumber"/>
      </w:pPr>
      <w:bookmarkStart w:id="45" w:name="_Toc195447252"/>
      <w:r>
        <w:t xml:space="preserve">Appendix </w:t>
      </w:r>
      <w:r w:rsidR="00326C69">
        <w:t>A</w:t>
      </w:r>
      <w:r>
        <w:t xml:space="preserve">: </w:t>
      </w:r>
      <w:r w:rsidR="00A614AE">
        <w:t>Summary of how legislative requirements and considerations under the Act have been addressed</w:t>
      </w:r>
      <w:bookmarkEnd w:id="45"/>
    </w:p>
    <w:p w14:paraId="28854D2E" w14:textId="375B8D35" w:rsidR="00FC37C3" w:rsidRDefault="00FC37C3" w:rsidP="00FC37C3">
      <w:r>
        <w:t xml:space="preserve">Under the Climate Change Response Act 2002, in relation to </w:t>
      </w:r>
      <w:r w:rsidR="00B350BA">
        <w:t>He Pou a Rangi Climate Change</w:t>
      </w:r>
      <w:r>
        <w:t xml:space="preserve"> Commission’s annual recommendations about NZ ETS unit limits and price control settings, the Commission has three principal obligations.</w:t>
      </w:r>
    </w:p>
    <w:p w14:paraId="1CEEA485" w14:textId="77777777" w:rsidR="00FC37C3" w:rsidRDefault="00FC37C3" w:rsidP="00FC37C3">
      <w:r>
        <w:t>The recommendations must:</w:t>
      </w:r>
    </w:p>
    <w:p w14:paraId="141BB35B" w14:textId="53134EC2" w:rsidR="00FC37C3" w:rsidRDefault="00FC37C3" w:rsidP="00987F23">
      <w:pPr>
        <w:pStyle w:val="Letterlistabc"/>
        <w:numPr>
          <w:ilvl w:val="0"/>
          <w:numId w:val="10"/>
        </w:numPr>
      </w:pPr>
      <w:r>
        <w:t>cover the limits and price control settings for each year that the Minister must cover</w:t>
      </w:r>
    </w:p>
    <w:p w14:paraId="05BC65DB" w14:textId="0C2189A5" w:rsidR="00FC37C3" w:rsidRDefault="00FC37C3" w:rsidP="00987F23">
      <w:pPr>
        <w:pStyle w:val="Letterlistabc"/>
        <w:numPr>
          <w:ilvl w:val="0"/>
          <w:numId w:val="10"/>
        </w:numPr>
      </w:pPr>
      <w:r>
        <w:t>be made in accordance with:</w:t>
      </w:r>
    </w:p>
    <w:p w14:paraId="0DEFDDC9" w14:textId="1FBAEB9A" w:rsidR="00FC37C3" w:rsidRDefault="00FC37C3" w:rsidP="00987F23">
      <w:pPr>
        <w:pStyle w:val="Letterlistabc"/>
        <w:numPr>
          <w:ilvl w:val="2"/>
          <w:numId w:val="10"/>
        </w:numPr>
        <w:ind w:left="1276"/>
      </w:pPr>
      <w:r>
        <w:t>the requirements of sections 30GB and 30GC (except for s30GC(5)(e)) that apply to the making of the Minister’s recommendations</w:t>
      </w:r>
    </w:p>
    <w:p w14:paraId="41E42B74" w14:textId="76CA0216" w:rsidR="00FC37C3" w:rsidRDefault="00FC37C3" w:rsidP="00987F23">
      <w:pPr>
        <w:pStyle w:val="Letterlistabc"/>
        <w:numPr>
          <w:ilvl w:val="2"/>
          <w:numId w:val="10"/>
        </w:numPr>
        <w:ind w:left="1276"/>
      </w:pPr>
      <w:r>
        <w:t xml:space="preserve">the Commission’s other duties, for example: </w:t>
      </w:r>
    </w:p>
    <w:p w14:paraId="348D1B1C" w14:textId="7951F02A" w:rsidR="00FC37C3" w:rsidRDefault="00FC37C3" w:rsidP="00987F23">
      <w:pPr>
        <w:pStyle w:val="Letterlistabc"/>
        <w:numPr>
          <w:ilvl w:val="3"/>
          <w:numId w:val="10"/>
        </w:numPr>
        <w:ind w:left="1843"/>
      </w:pPr>
      <w:r>
        <w:t>to consider, where they are relevant, the matters set out in s5M of the Act</w:t>
      </w:r>
    </w:p>
    <w:p w14:paraId="7B4A4AB5" w14:textId="57778354" w:rsidR="00FC37C3" w:rsidRDefault="00FC37C3" w:rsidP="00987F23">
      <w:pPr>
        <w:pStyle w:val="Letterlistabc"/>
        <w:numPr>
          <w:ilvl w:val="3"/>
          <w:numId w:val="10"/>
        </w:numPr>
        <w:ind w:left="1843"/>
      </w:pPr>
      <w:r>
        <w:t>to proactively engage and provide for public consultation where necessary (s5N)</w:t>
      </w:r>
    </w:p>
    <w:p w14:paraId="6C20F55E" w14:textId="1EF601F6" w:rsidR="00FC37C3" w:rsidRDefault="00FC37C3" w:rsidP="00987F23">
      <w:pPr>
        <w:pStyle w:val="Letterlistabc"/>
        <w:numPr>
          <w:ilvl w:val="3"/>
          <w:numId w:val="10"/>
        </w:numPr>
        <w:ind w:left="1843"/>
      </w:pPr>
      <w:r>
        <w:t>to act independently (s5O)</w:t>
      </w:r>
    </w:p>
    <w:p w14:paraId="7AC9598C" w14:textId="5EB6090A" w:rsidR="00FC37C3" w:rsidRDefault="00FC37C3" w:rsidP="00987F23">
      <w:pPr>
        <w:pStyle w:val="Letterlistabc"/>
        <w:numPr>
          <w:ilvl w:val="3"/>
          <w:numId w:val="10"/>
        </w:numPr>
        <w:ind w:left="1843"/>
      </w:pPr>
      <w:r>
        <w:t>to act in a manner consistent with the purpose of the Act (s3)</w:t>
      </w:r>
      <w:r w:rsidR="00CF3872">
        <w:t>.</w:t>
      </w:r>
    </w:p>
    <w:p w14:paraId="45B7AFDA" w14:textId="38BF58B5" w:rsidR="00FC37C3" w:rsidRDefault="00FC37C3" w:rsidP="00987F23">
      <w:pPr>
        <w:pStyle w:val="Letterlistabc"/>
        <w:numPr>
          <w:ilvl w:val="0"/>
          <w:numId w:val="10"/>
        </w:numPr>
      </w:pPr>
      <w:r>
        <w:t>be given to the Minister a reasonable time before the Minister is required to recommend the making of regulations.</w:t>
      </w:r>
    </w:p>
    <w:p w14:paraId="549CD911" w14:textId="79DCF91B" w:rsidR="00FC37C3" w:rsidRDefault="00FC37C3" w:rsidP="00FC37C3">
      <w:r w:rsidRPr="007D59AB">
        <w:rPr>
          <w:b/>
        </w:rPr>
        <w:t xml:space="preserve">Table </w:t>
      </w:r>
      <w:r w:rsidR="00295886" w:rsidRPr="007D59AB">
        <w:rPr>
          <w:b/>
        </w:rPr>
        <w:t>A.1</w:t>
      </w:r>
      <w:r>
        <w:t xml:space="preserve"> describes the legal obligations on the Commission and where in this report they are addressed.</w:t>
      </w:r>
    </w:p>
    <w:p w14:paraId="2EC4B77C" w14:textId="0509BFFF" w:rsidR="00F72BEC" w:rsidRDefault="00180FAD" w:rsidP="00FC37C3">
      <w:bookmarkStart w:id="46" w:name="_Hlk194050660"/>
      <w:r w:rsidRPr="00C767A8">
        <w:rPr>
          <w:i/>
        </w:rPr>
        <w:t xml:space="preserve">Technical Annex 3: </w:t>
      </w:r>
      <w:r w:rsidR="00FC37C3" w:rsidRPr="00EB0CBB">
        <w:rPr>
          <w:i/>
          <w:iCs/>
        </w:rPr>
        <w:t>Assessment of accordance</w:t>
      </w:r>
      <w:bookmarkEnd w:id="46"/>
      <w:r w:rsidR="00FC37C3">
        <w:t xml:space="preserve">, </w:t>
      </w:r>
      <w:r w:rsidR="00DC4975">
        <w:t xml:space="preserve">published separately </w:t>
      </w:r>
      <w:r w:rsidR="00FC37C3">
        <w:t xml:space="preserve">on </w:t>
      </w:r>
      <w:r w:rsidR="00DC4975">
        <w:t>our</w:t>
      </w:r>
      <w:r w:rsidR="00FC37C3">
        <w:t xml:space="preserve"> website</w:t>
      </w:r>
      <w:r w:rsidR="00DC4975">
        <w:t>,</w:t>
      </w:r>
      <w:r w:rsidR="00FC37C3">
        <w:t xml:space="preserve"> </w:t>
      </w:r>
      <w:r w:rsidR="00DC4975">
        <w:t>provides further information about</w:t>
      </w:r>
      <w:r w:rsidR="00FC37C3">
        <w:t xml:space="preserve"> </w:t>
      </w:r>
      <w:r w:rsidR="00A70614">
        <w:t xml:space="preserve">how </w:t>
      </w:r>
      <w:r w:rsidR="00D667C3">
        <w:t>our advice meets</w:t>
      </w:r>
      <w:r w:rsidR="00A70614">
        <w:t xml:space="preserve"> the requirements in</w:t>
      </w:r>
      <w:r w:rsidR="00FC37C3">
        <w:t xml:space="preserve"> s30GC</w:t>
      </w:r>
      <w:r w:rsidR="00A70614">
        <w:t xml:space="preserve"> of the Act</w:t>
      </w:r>
      <w:r w:rsidR="00FC37C3">
        <w:t>.</w:t>
      </w:r>
    </w:p>
    <w:p w14:paraId="180D0E39" w14:textId="77777777" w:rsidR="00F72BEC" w:rsidRDefault="00F72BEC">
      <w:pPr>
        <w:spacing w:before="0" w:after="0" w:line="240" w:lineRule="auto"/>
      </w:pPr>
    </w:p>
    <w:p w14:paraId="33336222" w14:textId="77777777" w:rsidR="00976D11" w:rsidRDefault="00976D11">
      <w:pPr>
        <w:spacing w:before="0" w:after="0" w:line="240" w:lineRule="auto"/>
        <w:rPr>
          <w:b/>
          <w:bCs/>
          <w:color w:val="1F3864"/>
          <w:sz w:val="20"/>
          <w:szCs w:val="18"/>
        </w:rPr>
      </w:pPr>
      <w:r>
        <w:br w:type="page"/>
      </w:r>
    </w:p>
    <w:p w14:paraId="47E7644B" w14:textId="70713DA2" w:rsidR="00F72BEC" w:rsidRDefault="00F72BEC" w:rsidP="00F72BEC">
      <w:pPr>
        <w:pStyle w:val="FigureTabletitle"/>
        <w:rPr>
          <w:b w:val="0"/>
          <w:bCs w:val="0"/>
        </w:rPr>
      </w:pPr>
      <w:r w:rsidRPr="002D564A">
        <w:lastRenderedPageBreak/>
        <w:t xml:space="preserve">Table </w:t>
      </w:r>
      <w:r w:rsidR="003000B9">
        <w:t>A.1</w:t>
      </w:r>
      <w:r>
        <w:t xml:space="preserve">: </w:t>
      </w:r>
      <w:r w:rsidRPr="00FE422C">
        <w:rPr>
          <w:b w:val="0"/>
          <w:bCs w:val="0"/>
        </w:rPr>
        <w:t>S</w:t>
      </w:r>
      <w:r w:rsidR="003000B9">
        <w:rPr>
          <w:b w:val="0"/>
          <w:bCs w:val="0"/>
        </w:rPr>
        <w:t>tatutory requirements for our advice</w:t>
      </w:r>
      <w:r w:rsidRPr="00FE422C">
        <w:rPr>
          <w:b w:val="0"/>
          <w:bCs w:val="0"/>
        </w:rPr>
        <w:t xml:space="preserve"> </w:t>
      </w:r>
    </w:p>
    <w:tbl>
      <w:tblPr>
        <w:tblStyle w:val="GridTable5Dark-Accent5"/>
        <w:tblW w:w="5000" w:type="pct"/>
        <w:tblCellMar>
          <w:left w:w="113" w:type="dxa"/>
          <w:right w:w="113" w:type="dxa"/>
        </w:tblCellMar>
        <w:tblLook w:val="04A0" w:firstRow="1" w:lastRow="0" w:firstColumn="1" w:lastColumn="0" w:noHBand="0" w:noVBand="1"/>
      </w:tblPr>
      <w:tblGrid>
        <w:gridCol w:w="4479"/>
        <w:gridCol w:w="4581"/>
      </w:tblGrid>
      <w:tr w:rsidR="008F765F" w:rsidRPr="0091207A" w14:paraId="7D83D279" w14:textId="77777777" w:rsidTr="00907EC5">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0" w:type="pct"/>
            <w:shd w:val="clear" w:color="auto" w:fill="002060"/>
            <w:vAlign w:val="center"/>
          </w:tcPr>
          <w:p w14:paraId="12FF64F2" w14:textId="0DEBDB21" w:rsidR="00F72BEC" w:rsidRPr="002A79F5" w:rsidRDefault="00987F23" w:rsidP="00D26A8D">
            <w:pPr>
              <w:pStyle w:val="Tableparagraphwhite"/>
              <w:jc w:val="left"/>
            </w:pPr>
            <w:r w:rsidRPr="00D26A8D">
              <w:rPr>
                <w:rFonts w:ascii="ZWAdobeF" w:hAnsi="ZWAdobeF" w:cs="ZWAdobeF"/>
                <w:b/>
                <w:color w:val="auto"/>
                <w:sz w:val="2"/>
                <w:szCs w:val="2"/>
              </w:rPr>
              <w:t>29B</w:t>
            </w:r>
            <w:r w:rsidR="004C3206" w:rsidRPr="00D26A8D">
              <w:rPr>
                <w:b/>
              </w:rPr>
              <w:t>Obligations in the Act</w:t>
            </w:r>
          </w:p>
        </w:tc>
        <w:tc>
          <w:tcPr>
            <w:tcW w:w="0" w:type="pct"/>
            <w:shd w:val="clear" w:color="auto" w:fill="002060"/>
            <w:vAlign w:val="center"/>
          </w:tcPr>
          <w:p w14:paraId="6AD04744" w14:textId="5DC76A08" w:rsidR="00F72BEC" w:rsidRPr="00F515D5" w:rsidRDefault="004C3206" w:rsidP="00907EC5">
            <w:pPr>
              <w:pStyle w:val="Tableparagraphwhite"/>
              <w:jc w:val="left"/>
              <w:cnfStyle w:val="100000000000" w:firstRow="1" w:lastRow="0" w:firstColumn="0" w:lastColumn="0" w:oddVBand="0" w:evenVBand="0" w:oddHBand="0" w:evenHBand="0" w:firstRowFirstColumn="0" w:firstRowLastColumn="0" w:lastRowFirstColumn="0" w:lastRowLastColumn="0"/>
              <w:rPr>
                <w:lang w:val="en-NZ"/>
              </w:rPr>
            </w:pPr>
            <w:r w:rsidRPr="00907EC5">
              <w:rPr>
                <w:b/>
                <w:lang w:val="en-NZ"/>
              </w:rPr>
              <w:t>Where addressed</w:t>
            </w:r>
          </w:p>
        </w:tc>
      </w:tr>
      <w:tr w:rsidR="0083426F" w:rsidRPr="0091207A" w14:paraId="1C5E920F" w14:textId="77777777" w:rsidTr="00907EC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C1DCD5"/>
          </w:tcPr>
          <w:p w14:paraId="6371B5F6" w14:textId="0A8A52D1" w:rsidR="0083426F" w:rsidRPr="003C5869" w:rsidRDefault="0083426F">
            <w:pPr>
              <w:spacing w:line="240" w:lineRule="auto"/>
              <w:ind w:left="170"/>
              <w:rPr>
                <w:color w:val="002060"/>
              </w:rPr>
            </w:pPr>
            <w:r w:rsidRPr="003C5869">
              <w:rPr>
                <w:color w:val="002060"/>
              </w:rPr>
              <w:t>Section 3: Purpose</w:t>
            </w:r>
            <w:r w:rsidR="005A4AC8" w:rsidRPr="003C5869">
              <w:rPr>
                <w:rStyle w:val="FootnoteReference"/>
                <w:color w:val="002060"/>
              </w:rPr>
              <w:footnoteReference w:id="42"/>
            </w:r>
          </w:p>
        </w:tc>
      </w:tr>
      <w:tr w:rsidR="00D76B3D" w:rsidRPr="008B181A" w14:paraId="337612BE" w14:textId="77777777" w:rsidTr="00907EC5">
        <w:trPr>
          <w:trHeight w:val="468"/>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342E24EF" w14:textId="2C479582" w:rsidR="00E24A67" w:rsidRPr="00120D94" w:rsidRDefault="00DA3C44" w:rsidP="001365FB">
            <w:pPr>
              <w:tabs>
                <w:tab w:val="center" w:pos="1046"/>
              </w:tabs>
              <w:spacing w:line="240" w:lineRule="auto"/>
              <w:ind w:left="170"/>
              <w:rPr>
                <w:color w:val="auto"/>
                <w:lang w:val="en-NZ"/>
              </w:rPr>
            </w:pPr>
            <w:r w:rsidRPr="00120D94">
              <w:rPr>
                <w:color w:val="auto"/>
              </w:rPr>
              <w:t>(1)(</w:t>
            </w:r>
            <w:r w:rsidR="00E24A67" w:rsidRPr="00120D94">
              <w:rPr>
                <w:color w:val="auto"/>
              </w:rPr>
              <w:t>aa) provide a framework by which New Zealand can develop and implement clear and stable climate policies that –</w:t>
            </w:r>
          </w:p>
          <w:p w14:paraId="73160E4E" w14:textId="5E3E553C" w:rsidR="00E24A67" w:rsidRPr="00120D94" w:rsidRDefault="00E24A67" w:rsidP="001365FB">
            <w:pPr>
              <w:tabs>
                <w:tab w:val="center" w:pos="1046"/>
              </w:tabs>
              <w:spacing w:line="240" w:lineRule="auto"/>
              <w:ind w:left="426"/>
              <w:rPr>
                <w:color w:val="auto"/>
                <w:lang w:val="en-NZ"/>
              </w:rPr>
            </w:pPr>
            <w:r w:rsidRPr="00120D94">
              <w:rPr>
                <w:color w:val="auto"/>
              </w:rPr>
              <w:t>(i) contribute to the global effort under the Paris Agreement to limit the global average temperature increase to 1.</w:t>
            </w:r>
            <w:r w:rsidR="001C2C7C" w:rsidRPr="00120D94">
              <w:rPr>
                <w:color w:val="auto"/>
              </w:rPr>
              <w:t xml:space="preserve">5˚C </w:t>
            </w:r>
            <w:r w:rsidRPr="00120D94">
              <w:rPr>
                <w:color w:val="auto"/>
              </w:rPr>
              <w:t>above pre-industrial levels;</w:t>
            </w:r>
            <w:r w:rsidRPr="00120D94">
              <w:rPr>
                <w:color w:val="auto"/>
              </w:rPr>
              <w:tab/>
            </w:r>
          </w:p>
        </w:tc>
        <w:tc>
          <w:tcPr>
            <w:tcW w:w="0" w:type="pct"/>
            <w:vMerge w:val="restart"/>
            <w:shd w:val="clear" w:color="auto" w:fill="E9F5F2"/>
          </w:tcPr>
          <w:p w14:paraId="36467ACB" w14:textId="293161CF" w:rsidR="00E24A67" w:rsidRPr="003C5869" w:rsidRDefault="00E24A67">
            <w:pPr>
              <w:spacing w:line="240" w:lineRule="auto"/>
              <w:ind w:left="170"/>
              <w:cnfStyle w:val="000000000000" w:firstRow="0" w:lastRow="0" w:firstColumn="0" w:lastColumn="0" w:oddVBand="0" w:evenVBand="0" w:oddHBand="0" w:evenHBand="0" w:firstRowFirstColumn="0" w:firstRowLastColumn="0" w:lastRowFirstColumn="0" w:lastRowLastColumn="0"/>
              <w:rPr>
                <w:lang w:val="en-NZ"/>
              </w:rPr>
            </w:pPr>
            <w:r w:rsidRPr="003C5869">
              <w:t xml:space="preserve">The Act’s purpose has been considered </w:t>
            </w:r>
            <w:r w:rsidR="00333200" w:rsidRPr="003C5869">
              <w:t xml:space="preserve">in all our analysis. Particularly </w:t>
            </w:r>
            <w:r w:rsidRPr="003C5869">
              <w:t>through analysis of how to accord the settings with emissions budgets, the 2050 target and the ND</w:t>
            </w:r>
            <w:r w:rsidR="00735974" w:rsidRPr="003C5869">
              <w:t>C. See step</w:t>
            </w:r>
            <w:r w:rsidR="00333200" w:rsidRPr="003C5869">
              <w:t xml:space="preserve"> 1 of the unit limits. </w:t>
            </w:r>
          </w:p>
          <w:p w14:paraId="302FC3C4" w14:textId="171B4452" w:rsidR="00E24A67" w:rsidRPr="003C5869" w:rsidRDefault="00E24A67" w:rsidP="00907EC5">
            <w:pPr>
              <w:pStyle w:val="TableParagraph"/>
              <w:cnfStyle w:val="000000000000" w:firstRow="0" w:lastRow="0" w:firstColumn="0" w:lastColumn="0" w:oddVBand="0" w:evenVBand="0" w:oddHBand="0" w:evenHBand="0" w:firstRowFirstColumn="0" w:firstRowLastColumn="0" w:lastRowFirstColumn="0" w:lastRowLastColumn="0"/>
            </w:pPr>
          </w:p>
        </w:tc>
      </w:tr>
      <w:tr w:rsidR="001A309F" w:rsidRPr="008B181A" w14:paraId="47D06B1D" w14:textId="77777777" w:rsidTr="00907EC5">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27D7DDEF" w14:textId="36F3147F" w:rsidR="00E24A67" w:rsidRPr="00120D94" w:rsidRDefault="00DA3C44" w:rsidP="001365FB">
            <w:pPr>
              <w:tabs>
                <w:tab w:val="center" w:pos="1046"/>
              </w:tabs>
              <w:spacing w:line="240" w:lineRule="auto"/>
              <w:ind w:left="170"/>
              <w:rPr>
                <w:color w:val="auto"/>
                <w:lang w:val="en-NZ"/>
              </w:rPr>
            </w:pPr>
            <w:r w:rsidRPr="00120D94">
              <w:rPr>
                <w:color w:val="auto"/>
              </w:rPr>
              <w:t>(1)</w:t>
            </w:r>
            <w:r w:rsidR="00E24A67" w:rsidRPr="00120D94">
              <w:rPr>
                <w:color w:val="auto"/>
              </w:rPr>
              <w:t xml:space="preserve">(b) provide for the implementation, operation, and administration of a greenhouse gas emissions trading scheme in New Zealand that supports and encourages global efforts to reduce the emission of greenhouse gases by – </w:t>
            </w:r>
          </w:p>
          <w:p w14:paraId="1F69E102" w14:textId="77777777" w:rsidR="00E24A67" w:rsidRPr="00120D94" w:rsidRDefault="00E24A67" w:rsidP="001365FB">
            <w:pPr>
              <w:tabs>
                <w:tab w:val="center" w:pos="1046"/>
              </w:tabs>
              <w:spacing w:line="240" w:lineRule="auto"/>
              <w:ind w:left="426"/>
              <w:rPr>
                <w:color w:val="auto"/>
                <w:lang w:val="en-NZ"/>
              </w:rPr>
            </w:pPr>
            <w:r w:rsidRPr="00120D94">
              <w:rPr>
                <w:color w:val="auto"/>
              </w:rPr>
              <w:t xml:space="preserve">i) assisting New Zealand to meet its international obligations under the Convention, the Protocol, and the Paris Agreement; and </w:t>
            </w:r>
          </w:p>
          <w:p w14:paraId="53B9C303" w14:textId="7DD0E806" w:rsidR="00E24A67" w:rsidRPr="00120D94" w:rsidRDefault="00E24A67" w:rsidP="001365FB">
            <w:pPr>
              <w:tabs>
                <w:tab w:val="center" w:pos="1046"/>
              </w:tabs>
              <w:spacing w:line="240" w:lineRule="auto"/>
              <w:ind w:left="426"/>
              <w:rPr>
                <w:color w:val="auto"/>
                <w:lang w:val="en-NZ"/>
              </w:rPr>
            </w:pPr>
            <w:r w:rsidRPr="00120D94">
              <w:rPr>
                <w:color w:val="auto"/>
              </w:rPr>
              <w:t xml:space="preserve">ii) assisting New Zealand to meet its 2050 target and emissions budgets:   </w:t>
            </w:r>
          </w:p>
        </w:tc>
        <w:tc>
          <w:tcPr>
            <w:tcW w:w="0" w:type="pct"/>
            <w:vMerge/>
          </w:tcPr>
          <w:p w14:paraId="187B2894" w14:textId="285A57A2" w:rsidR="00E24A67" w:rsidRPr="003C5869" w:rsidRDefault="00E24A67" w:rsidP="00907EC5">
            <w:pPr>
              <w:pStyle w:val="TableParagraph"/>
              <w:cnfStyle w:val="000000100000" w:firstRow="0" w:lastRow="0" w:firstColumn="0" w:lastColumn="0" w:oddVBand="0" w:evenVBand="0" w:oddHBand="1" w:evenHBand="0" w:firstRowFirstColumn="0" w:firstRowLastColumn="0" w:lastRowFirstColumn="0" w:lastRowLastColumn="0"/>
            </w:pPr>
          </w:p>
        </w:tc>
      </w:tr>
      <w:tr w:rsidR="0083426F" w:rsidRPr="0091207A" w14:paraId="3EB77411" w14:textId="77777777" w:rsidTr="00907EC5">
        <w:trPr>
          <w:trHeight w:val="468"/>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C1DCD5"/>
          </w:tcPr>
          <w:p w14:paraId="5847348A" w14:textId="58D6205E" w:rsidR="0083426F" w:rsidRPr="003C5869" w:rsidRDefault="0083426F">
            <w:pPr>
              <w:spacing w:line="240" w:lineRule="auto"/>
              <w:ind w:left="170"/>
              <w:rPr>
                <w:color w:val="002060"/>
              </w:rPr>
            </w:pPr>
            <w:r w:rsidRPr="003C5869">
              <w:rPr>
                <w:color w:val="002060"/>
              </w:rPr>
              <w:t xml:space="preserve">Section 30GC: Requirements </w:t>
            </w:r>
            <w:r w:rsidR="00104177" w:rsidRPr="003C5869">
              <w:rPr>
                <w:color w:val="002060"/>
              </w:rPr>
              <w:t>for regulations about limits and price control settings for units</w:t>
            </w:r>
          </w:p>
        </w:tc>
      </w:tr>
      <w:tr w:rsidR="008F765F" w:rsidRPr="008B181A" w14:paraId="6A89B55C" w14:textId="77777777" w:rsidTr="00907EC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1EEC732A" w14:textId="59A211D5" w:rsidR="0083426F" w:rsidRPr="00120D94" w:rsidRDefault="00AF38FE" w:rsidP="007E41C6">
            <w:pPr>
              <w:tabs>
                <w:tab w:val="center" w:pos="1046"/>
              </w:tabs>
              <w:spacing w:line="240" w:lineRule="auto"/>
              <w:ind w:left="170"/>
              <w:rPr>
                <w:color w:val="auto"/>
                <w:lang w:val="en-NZ"/>
              </w:rPr>
            </w:pPr>
            <w:r w:rsidRPr="00120D94">
              <w:rPr>
                <w:color w:val="auto"/>
              </w:rPr>
              <w:t xml:space="preserve">(5)(a) Projected trends in greenhouse gas emissions, including both emissions covered by the NZ ETS and those that are not covered </w:t>
            </w:r>
          </w:p>
        </w:tc>
        <w:tc>
          <w:tcPr>
            <w:tcW w:w="0" w:type="pct"/>
            <w:shd w:val="clear" w:color="auto" w:fill="E9F5F2"/>
          </w:tcPr>
          <w:p w14:paraId="700AD491" w14:textId="083AF8F9" w:rsidR="0083426F" w:rsidRPr="003C5869" w:rsidRDefault="001F654A" w:rsidP="001D451C">
            <w:pPr>
              <w:spacing w:line="240" w:lineRule="auto"/>
              <w:ind w:left="170"/>
              <w:cnfStyle w:val="000000100000" w:firstRow="0" w:lastRow="0" w:firstColumn="0" w:lastColumn="0" w:oddVBand="0" w:evenVBand="0" w:oddHBand="1" w:evenHBand="0" w:firstRowFirstColumn="0" w:firstRowLastColumn="0" w:lastRowFirstColumn="0" w:lastRowLastColumn="0"/>
              <w:rPr>
                <w:lang w:val="en-NZ"/>
              </w:rPr>
            </w:pPr>
            <w:r w:rsidRPr="003C5869">
              <w:t>We consider projected trends</w:t>
            </w:r>
            <w:r w:rsidR="00F24C32" w:rsidRPr="003C5869">
              <w:t xml:space="preserve"> of greenhouse gas emissions</w:t>
            </w:r>
            <w:r w:rsidRPr="003C5869">
              <w:t xml:space="preserve"> through</w:t>
            </w:r>
            <w:r w:rsidR="00BE4AB5">
              <w:t>out</w:t>
            </w:r>
            <w:r w:rsidRPr="003C5869">
              <w:t xml:space="preserve"> our analysis in steps 1</w:t>
            </w:r>
            <w:r w:rsidR="004A4201" w:rsidRPr="003C5869">
              <w:t>, 2, 3 and 4</w:t>
            </w:r>
            <w:r w:rsidRPr="003C5869">
              <w:t xml:space="preserve"> of the unit limits method</w:t>
            </w:r>
            <w:r w:rsidR="004A4201" w:rsidRPr="003C5869">
              <w:t xml:space="preserve">. </w:t>
            </w:r>
            <w:r w:rsidR="00F24C32" w:rsidRPr="00B170AD">
              <w:t xml:space="preserve">We also considered projected trends in greenhouse gas emissions in </w:t>
            </w:r>
            <w:r w:rsidR="00872B0F" w:rsidRPr="00B170AD">
              <w:t xml:space="preserve">considering what </w:t>
            </w:r>
            <w:r w:rsidR="00223E57" w:rsidRPr="00B170AD">
              <w:t xml:space="preserve">actions and NZU prices may be needed to meet future emissions </w:t>
            </w:r>
            <w:r w:rsidR="004D32A2" w:rsidRPr="00B170AD">
              <w:t>targets in</w:t>
            </w:r>
            <w:r w:rsidR="00223E57" w:rsidRPr="00B170AD">
              <w:t xml:space="preserve"> </w:t>
            </w:r>
            <w:r w:rsidR="00F24C32" w:rsidRPr="00B170AD">
              <w:t xml:space="preserve">advising on the </w:t>
            </w:r>
            <w:r w:rsidRPr="00B170AD">
              <w:t>price control settings.</w:t>
            </w:r>
          </w:p>
        </w:tc>
      </w:tr>
      <w:tr w:rsidR="00774535" w:rsidRPr="008B181A" w14:paraId="29DBD8B3" w14:textId="77777777" w:rsidTr="00907EC5">
        <w:trPr>
          <w:trHeight w:val="468"/>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6EEB042C" w14:textId="0CAF2D28" w:rsidR="008005DB" w:rsidRPr="00120D94" w:rsidRDefault="00B5703E" w:rsidP="007E41C6">
            <w:pPr>
              <w:tabs>
                <w:tab w:val="center" w:pos="1046"/>
              </w:tabs>
              <w:spacing w:line="240" w:lineRule="auto"/>
              <w:ind w:left="170"/>
              <w:rPr>
                <w:color w:val="auto"/>
              </w:rPr>
            </w:pPr>
            <w:r w:rsidRPr="00120D94">
              <w:rPr>
                <w:color w:val="auto"/>
              </w:rPr>
              <w:t>(5)(b) The proper functioning of the NZ ETS</w:t>
            </w:r>
          </w:p>
        </w:tc>
        <w:tc>
          <w:tcPr>
            <w:tcW w:w="0" w:type="pct"/>
            <w:shd w:val="clear" w:color="auto" w:fill="E9F5F2"/>
          </w:tcPr>
          <w:p w14:paraId="490BF017" w14:textId="6D55A746" w:rsidR="008005DB" w:rsidRPr="003C5869" w:rsidDel="007E35FE" w:rsidRDefault="008F1B54" w:rsidP="001D451C">
            <w:pPr>
              <w:spacing w:line="240" w:lineRule="auto"/>
              <w:ind w:left="170"/>
              <w:cnfStyle w:val="000000000000" w:firstRow="0" w:lastRow="0" w:firstColumn="0" w:lastColumn="0" w:oddVBand="0" w:evenVBand="0" w:oddHBand="0" w:evenHBand="0" w:firstRowFirstColumn="0" w:firstRowLastColumn="0" w:lastRowFirstColumn="0" w:lastRowLastColumn="0"/>
            </w:pPr>
            <w:r w:rsidRPr="003C5869">
              <w:t>We have considered the proper functioning of the NZ ETS in each of the judgements and new approaches described in the body of the paper</w:t>
            </w:r>
            <w:r w:rsidR="00B63D3F">
              <w:t>,</w:t>
            </w:r>
            <w:r w:rsidR="00A37E9E">
              <w:t xml:space="preserve"> particularly in </w:t>
            </w:r>
            <w:r w:rsidR="008168C9">
              <w:t>considering</w:t>
            </w:r>
            <w:r w:rsidR="00A37E9E">
              <w:t xml:space="preserve"> the importance of regulatory predictability</w:t>
            </w:r>
            <w:r w:rsidRPr="003C5869">
              <w:t xml:space="preserve">.  </w:t>
            </w:r>
          </w:p>
        </w:tc>
      </w:tr>
      <w:tr w:rsidR="00774535" w:rsidRPr="008B181A" w14:paraId="5D223100" w14:textId="77777777" w:rsidTr="00907EC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782F3820" w14:textId="5287ACC0" w:rsidR="0000763D" w:rsidRPr="00120D94" w:rsidRDefault="005725E1" w:rsidP="007E41C6">
            <w:pPr>
              <w:tabs>
                <w:tab w:val="center" w:pos="1046"/>
              </w:tabs>
              <w:spacing w:line="240" w:lineRule="auto"/>
              <w:ind w:left="170"/>
              <w:rPr>
                <w:color w:val="auto"/>
              </w:rPr>
            </w:pPr>
            <w:r w:rsidRPr="00120D94">
              <w:rPr>
                <w:color w:val="auto"/>
              </w:rPr>
              <w:t>(5)</w:t>
            </w:r>
            <w:r w:rsidR="00C264A1" w:rsidRPr="00120D94">
              <w:rPr>
                <w:color w:val="auto"/>
              </w:rPr>
              <w:t>(c)</w:t>
            </w:r>
            <w:r w:rsidRPr="00120D94">
              <w:rPr>
                <w:color w:val="auto"/>
              </w:rPr>
              <w:t xml:space="preserve"> International climate change obligations, instruments or contracts New Zealand may have for accessing offshore </w:t>
            </w:r>
            <w:r w:rsidRPr="00120D94">
              <w:rPr>
                <w:color w:val="auto"/>
              </w:rPr>
              <w:lastRenderedPageBreak/>
              <w:t>mitigation from other carbon markets</w:t>
            </w:r>
          </w:p>
        </w:tc>
        <w:tc>
          <w:tcPr>
            <w:tcW w:w="0" w:type="pct"/>
            <w:shd w:val="clear" w:color="auto" w:fill="E9F5F2"/>
          </w:tcPr>
          <w:p w14:paraId="468923E7" w14:textId="12ACCFB3" w:rsidR="0000763D" w:rsidRPr="003C5869" w:rsidDel="007E35FE" w:rsidRDefault="00AF4FE4" w:rsidP="001D451C">
            <w:pPr>
              <w:spacing w:line="240" w:lineRule="auto"/>
              <w:ind w:left="170"/>
              <w:cnfStyle w:val="000000100000" w:firstRow="0" w:lastRow="0" w:firstColumn="0" w:lastColumn="0" w:oddVBand="0" w:evenVBand="0" w:oddHBand="1" w:evenHBand="0" w:firstRowFirstColumn="0" w:firstRowLastColumn="0" w:lastRowFirstColumn="0" w:lastRowLastColumn="0"/>
            </w:pPr>
            <w:r w:rsidRPr="003C5869">
              <w:lastRenderedPageBreak/>
              <w:t xml:space="preserve">We have taken this into account for step 1 (accord unit limits with emissions budgets, NDC and 2050 target) and step 6 (set </w:t>
            </w:r>
            <w:r w:rsidRPr="003C5869">
              <w:lastRenderedPageBreak/>
              <w:t>approved overseas unit limits) of the unit limit method</w:t>
            </w:r>
            <w:r w:rsidR="00B92249">
              <w:t>.</w:t>
            </w:r>
            <w:r w:rsidR="00640432">
              <w:t xml:space="preserve"> </w:t>
            </w:r>
            <w:r w:rsidR="00B92249">
              <w:t xml:space="preserve">We have also considered </w:t>
            </w:r>
            <w:r w:rsidR="00DA6250">
              <w:t xml:space="preserve">the potential cost of offshore mitigation </w:t>
            </w:r>
            <w:r w:rsidR="00640432">
              <w:t>in the assessment of the price control settings</w:t>
            </w:r>
            <w:r w:rsidRPr="003C5869">
              <w:t xml:space="preserve">. </w:t>
            </w:r>
          </w:p>
        </w:tc>
      </w:tr>
      <w:tr w:rsidR="00774535" w:rsidRPr="008B181A" w14:paraId="4471844D" w14:textId="77777777" w:rsidTr="00907EC5">
        <w:trPr>
          <w:trHeight w:val="468"/>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4919C906" w14:textId="008E99F7" w:rsidR="0000763D" w:rsidRPr="00120D94" w:rsidRDefault="00674959" w:rsidP="007E41C6">
            <w:pPr>
              <w:tabs>
                <w:tab w:val="center" w:pos="1046"/>
              </w:tabs>
              <w:spacing w:line="240" w:lineRule="auto"/>
              <w:ind w:left="170"/>
              <w:rPr>
                <w:color w:val="auto"/>
              </w:rPr>
            </w:pPr>
            <w:r w:rsidRPr="00120D94">
              <w:rPr>
                <w:color w:val="auto"/>
              </w:rPr>
              <w:lastRenderedPageBreak/>
              <w:t>(5)(d) The forecast availability and costs of ways to reduce greenhouse gas emissions, that may be needed for New Zealand to meet its emissions reduction targets</w:t>
            </w:r>
          </w:p>
        </w:tc>
        <w:tc>
          <w:tcPr>
            <w:tcW w:w="0" w:type="pct"/>
            <w:shd w:val="clear" w:color="auto" w:fill="E9F5F2"/>
          </w:tcPr>
          <w:p w14:paraId="7D41BF27" w14:textId="4E7BF35E" w:rsidR="0000763D" w:rsidRPr="003C5869" w:rsidDel="007E35FE" w:rsidRDefault="007528AA" w:rsidP="00333200">
            <w:pPr>
              <w:spacing w:line="240" w:lineRule="auto"/>
              <w:ind w:left="170"/>
              <w:cnfStyle w:val="000000000000" w:firstRow="0" w:lastRow="0" w:firstColumn="0" w:lastColumn="0" w:oddVBand="0" w:evenVBand="0" w:oddHBand="0" w:evenHBand="0" w:firstRowFirstColumn="0" w:firstRowLastColumn="0" w:lastRowFirstColumn="0" w:lastRowLastColumn="0"/>
            </w:pPr>
            <w:r w:rsidRPr="003C5869">
              <w:t>This is taken into account in steps 1 and 2 of the unit limits</w:t>
            </w:r>
            <w:r w:rsidR="00333200" w:rsidRPr="003C5869">
              <w:t>.</w:t>
            </w:r>
            <w:r w:rsidRPr="003C5869">
              <w:t xml:space="preserve"> It is also considered in </w:t>
            </w:r>
            <w:r w:rsidR="00FD7DF4">
              <w:t xml:space="preserve">our assessment of the </w:t>
            </w:r>
            <w:r w:rsidR="00484869">
              <w:t xml:space="preserve">NZU prices needed to meet </w:t>
            </w:r>
            <w:r w:rsidR="1E4F09D4">
              <w:t>emission</w:t>
            </w:r>
            <w:r w:rsidR="10192FDA">
              <w:t>s</w:t>
            </w:r>
            <w:r w:rsidR="00484869">
              <w:t xml:space="preserve"> reduction targets in </w:t>
            </w:r>
            <w:r w:rsidRPr="003C5869">
              <w:t>the price control settings</w:t>
            </w:r>
          </w:p>
        </w:tc>
      </w:tr>
      <w:tr w:rsidR="008F765F" w:rsidRPr="008B181A" w14:paraId="1A62D3CF" w14:textId="77777777" w:rsidTr="00907EC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E9F5F2"/>
          </w:tcPr>
          <w:p w14:paraId="718C9F80" w14:textId="02B6D5AE" w:rsidR="00D60C19" w:rsidRPr="00120D94" w:rsidDel="007E35FE" w:rsidRDefault="00D60C19" w:rsidP="001D451C">
            <w:pPr>
              <w:spacing w:line="240" w:lineRule="auto"/>
              <w:ind w:left="170"/>
              <w:rPr>
                <w:color w:val="auto"/>
              </w:rPr>
            </w:pPr>
            <w:r w:rsidRPr="00120D94">
              <w:rPr>
                <w:color w:val="auto"/>
              </w:rPr>
              <w:t xml:space="preserve">(6) In respect of the price control settings:  </w:t>
            </w:r>
          </w:p>
        </w:tc>
      </w:tr>
      <w:tr w:rsidR="00774535" w:rsidRPr="008B181A" w14:paraId="6862468E" w14:textId="77777777" w:rsidTr="00907EC5">
        <w:trPr>
          <w:trHeight w:val="1930"/>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5074B183" w14:textId="6B1615D0" w:rsidR="0000763D" w:rsidRPr="00120D94" w:rsidRDefault="00CE3964" w:rsidP="007E41C6">
            <w:pPr>
              <w:tabs>
                <w:tab w:val="center" w:pos="1046"/>
              </w:tabs>
              <w:spacing w:line="240" w:lineRule="auto"/>
              <w:ind w:left="170"/>
              <w:rPr>
                <w:color w:val="auto"/>
              </w:rPr>
            </w:pPr>
            <w:r w:rsidRPr="00120D94">
              <w:rPr>
                <w:color w:val="auto"/>
              </w:rPr>
              <w:t>(a) the impact of emissions prices on households and the economy</w:t>
            </w:r>
          </w:p>
        </w:tc>
        <w:tc>
          <w:tcPr>
            <w:tcW w:w="0" w:type="pct"/>
            <w:shd w:val="clear" w:color="auto" w:fill="E9F5F2"/>
          </w:tcPr>
          <w:p w14:paraId="27CAC343" w14:textId="29857BDB" w:rsidR="0000763D" w:rsidRPr="00E37A3C" w:rsidDel="007E35FE" w:rsidRDefault="004F6EFC" w:rsidP="001A4B2E">
            <w:pPr>
              <w:spacing w:line="240" w:lineRule="auto"/>
              <w:ind w:left="170"/>
              <w:cnfStyle w:val="000000000000" w:firstRow="0" w:lastRow="0" w:firstColumn="0" w:lastColumn="0" w:oddVBand="0" w:evenVBand="0" w:oddHBand="0" w:evenHBand="0" w:firstRowFirstColumn="0" w:firstRowLastColumn="0" w:lastRowFirstColumn="0" w:lastRowLastColumn="0"/>
            </w:pPr>
            <w:r w:rsidRPr="00E37A3C">
              <w:t>We considered the impact of emissions prices on households and the economy in making our recommendations on the price control settings.</w:t>
            </w:r>
            <w:r w:rsidR="00333200" w:rsidRPr="00E37A3C">
              <w:t xml:space="preserve"> Our </w:t>
            </w:r>
            <w:r w:rsidR="00201964" w:rsidRPr="00E37A3C">
              <w:t>analysis on the impacts of emissions prices is included in Part 4</w:t>
            </w:r>
            <w:r w:rsidR="006515CA" w:rsidRPr="00E37A3C">
              <w:t xml:space="preserve"> of this </w:t>
            </w:r>
            <w:r w:rsidR="005A2462" w:rsidRPr="00E37A3C">
              <w:t>advice</w:t>
            </w:r>
            <w:r w:rsidR="00201964" w:rsidRPr="00E37A3C">
              <w:t>.</w:t>
            </w:r>
          </w:p>
        </w:tc>
      </w:tr>
      <w:tr w:rsidR="00774535" w:rsidRPr="008B181A" w14:paraId="567D0B2D" w14:textId="77777777" w:rsidTr="00907EC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6C36439A" w14:textId="30DDF606" w:rsidR="0000763D" w:rsidRPr="00120D94" w:rsidRDefault="003666D8" w:rsidP="007E41C6">
            <w:pPr>
              <w:tabs>
                <w:tab w:val="center" w:pos="1046"/>
              </w:tabs>
              <w:spacing w:line="240" w:lineRule="auto"/>
              <w:ind w:left="170"/>
              <w:rPr>
                <w:color w:val="auto"/>
              </w:rPr>
            </w:pPr>
            <w:r w:rsidRPr="00120D94">
              <w:rPr>
                <w:color w:val="auto"/>
              </w:rPr>
              <w:t xml:space="preserve">(b) the level and trajectory of international emissions prices  </w:t>
            </w:r>
          </w:p>
        </w:tc>
        <w:tc>
          <w:tcPr>
            <w:tcW w:w="0" w:type="pct"/>
            <w:shd w:val="clear" w:color="auto" w:fill="E9F5F2"/>
          </w:tcPr>
          <w:p w14:paraId="78CC5E08" w14:textId="00568BF4" w:rsidR="0000763D" w:rsidRPr="00E37A3C" w:rsidDel="007E35FE" w:rsidRDefault="005F22E6" w:rsidP="006515CA">
            <w:pPr>
              <w:spacing w:line="240" w:lineRule="auto"/>
              <w:ind w:left="170"/>
              <w:cnfStyle w:val="000000100000" w:firstRow="0" w:lastRow="0" w:firstColumn="0" w:lastColumn="0" w:oddVBand="0" w:evenVBand="0" w:oddHBand="1" w:evenHBand="0" w:firstRowFirstColumn="0" w:firstRowLastColumn="0" w:lastRowFirstColumn="0" w:lastRowLastColumn="0"/>
            </w:pPr>
            <w:r w:rsidRPr="00FF0449">
              <w:t>We have considered the cost of offshore mitigation</w:t>
            </w:r>
            <w:r w:rsidR="00CE6D86" w:rsidRPr="00FF0449">
              <w:t xml:space="preserve">, including how it may change over time, in </w:t>
            </w:r>
            <w:r w:rsidR="004F75B5" w:rsidRPr="00FF0449">
              <w:t xml:space="preserve">our assessment of the </w:t>
            </w:r>
            <w:r w:rsidR="00846169" w:rsidRPr="00FF0449">
              <w:t xml:space="preserve">appropriate price level for the ARP. </w:t>
            </w:r>
            <w:r w:rsidR="006515CA" w:rsidRPr="00FF0449">
              <w:t xml:space="preserve">We </w:t>
            </w:r>
            <w:r w:rsidR="00082090" w:rsidRPr="00FF0449">
              <w:t>have</w:t>
            </w:r>
            <w:r w:rsidR="008A2ADD" w:rsidRPr="00FF0449">
              <w:t xml:space="preserve"> also</w:t>
            </w:r>
            <w:r w:rsidR="00082090" w:rsidRPr="00FF0449">
              <w:t xml:space="preserve"> </w:t>
            </w:r>
            <w:r w:rsidR="00F74C2E" w:rsidRPr="00FF0449">
              <w:t>reviewed information on current and future possible international emissions prices</w:t>
            </w:r>
            <w:r w:rsidR="00B17357" w:rsidRPr="00FF0449">
              <w:t>. We consider that the recommended</w:t>
            </w:r>
            <w:r w:rsidR="00D864CC" w:rsidRPr="00FF0449">
              <w:t xml:space="preserve"> price control settings are still within the range of </w:t>
            </w:r>
            <w:r w:rsidR="005C63AE" w:rsidRPr="00FF0449">
              <w:t>forecast international emis</w:t>
            </w:r>
            <w:r w:rsidR="00B17357" w:rsidRPr="00FF0449">
              <w:t>s</w:t>
            </w:r>
            <w:r w:rsidR="005C63AE" w:rsidRPr="00FF0449">
              <w:t>ions prices and comparable to the efforts of developed country peers</w:t>
            </w:r>
            <w:r w:rsidR="00B17357" w:rsidRPr="00FF0449">
              <w:t xml:space="preserve">, rather than falling behind or overtaking them. </w:t>
            </w:r>
            <w:r w:rsidR="00F74C2E" w:rsidRPr="00FF0449">
              <w:t xml:space="preserve"> </w:t>
            </w:r>
          </w:p>
        </w:tc>
      </w:tr>
      <w:tr w:rsidR="00774535" w:rsidRPr="008B181A" w14:paraId="560BA01B" w14:textId="77777777" w:rsidTr="00907EC5">
        <w:trPr>
          <w:trHeight w:val="468"/>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6CFB9A5C" w14:textId="6789C4D0" w:rsidR="0000763D" w:rsidRPr="00E37A3C" w:rsidRDefault="004A7F6C" w:rsidP="007E41C6">
            <w:pPr>
              <w:tabs>
                <w:tab w:val="center" w:pos="1046"/>
              </w:tabs>
              <w:spacing w:line="240" w:lineRule="auto"/>
              <w:ind w:left="170"/>
            </w:pPr>
            <w:r w:rsidRPr="00120D94">
              <w:rPr>
                <w:color w:val="auto"/>
              </w:rPr>
              <w:t>(c) inflation</w:t>
            </w:r>
          </w:p>
        </w:tc>
        <w:tc>
          <w:tcPr>
            <w:tcW w:w="0" w:type="pct"/>
            <w:shd w:val="clear" w:color="auto" w:fill="E9F5F2"/>
          </w:tcPr>
          <w:p w14:paraId="0B5D9D95" w14:textId="349B8F79" w:rsidR="0000763D" w:rsidRPr="00E37A3C" w:rsidDel="007E35FE" w:rsidRDefault="00FD7E0D" w:rsidP="00D764A3">
            <w:pPr>
              <w:spacing w:line="240" w:lineRule="auto"/>
              <w:ind w:left="170"/>
              <w:cnfStyle w:val="000000000000" w:firstRow="0" w:lastRow="0" w:firstColumn="0" w:lastColumn="0" w:oddVBand="0" w:evenVBand="0" w:oddHBand="0" w:evenHBand="0" w:firstRowFirstColumn="0" w:firstRowLastColumn="0" w:lastRowFirstColumn="0" w:lastRowLastColumn="0"/>
            </w:pPr>
            <w:r w:rsidRPr="00E37A3C">
              <w:t xml:space="preserve">Inflation is considered </w:t>
            </w:r>
            <w:r w:rsidR="00733585" w:rsidRPr="00E37A3C">
              <w:t xml:space="preserve">in our advice on the price control settings. </w:t>
            </w:r>
            <w:r w:rsidR="00F32751" w:rsidRPr="00E37A3C">
              <w:t>The consideration of inflation is relevant in two ways: whether and how to adjust the price control settings for inflation, and also the potential impact of emissions prices on inflation.</w:t>
            </w:r>
            <w:r w:rsidR="00733585" w:rsidRPr="00E37A3C">
              <w:t xml:space="preserve"> Our </w:t>
            </w:r>
            <w:r w:rsidR="00FE0856">
              <w:t>conclusions</w:t>
            </w:r>
            <w:r w:rsidR="00733585" w:rsidRPr="00E37A3C">
              <w:t xml:space="preserve"> o</w:t>
            </w:r>
            <w:r w:rsidR="00D764A3" w:rsidRPr="00E37A3C">
              <w:t xml:space="preserve">n inflation </w:t>
            </w:r>
            <w:r w:rsidR="00FE0856">
              <w:t>are set out</w:t>
            </w:r>
            <w:r w:rsidR="00D764A3" w:rsidRPr="00E37A3C">
              <w:t xml:space="preserve"> in Part 4 of this </w:t>
            </w:r>
            <w:r w:rsidR="005A2462" w:rsidRPr="00E37A3C">
              <w:t>advice</w:t>
            </w:r>
            <w:r w:rsidR="00D764A3" w:rsidRPr="00E37A3C">
              <w:t>.</w:t>
            </w:r>
            <w:r w:rsidR="00F32751" w:rsidRPr="00E37A3C">
              <w:t xml:space="preserve"> </w:t>
            </w:r>
          </w:p>
        </w:tc>
      </w:tr>
      <w:tr w:rsidR="00734586" w:rsidRPr="0091207A" w14:paraId="774021C6" w14:textId="77777777" w:rsidTr="00907EC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C1DCD5"/>
          </w:tcPr>
          <w:p w14:paraId="2C63444E" w14:textId="77777777" w:rsidR="00734586" w:rsidRPr="003C5869" w:rsidRDefault="00734586">
            <w:pPr>
              <w:spacing w:line="240" w:lineRule="auto"/>
              <w:ind w:left="170"/>
              <w:rPr>
                <w:color w:val="002060"/>
              </w:rPr>
            </w:pPr>
            <w:r w:rsidRPr="003C5869">
              <w:rPr>
                <w:color w:val="002060"/>
              </w:rPr>
              <w:t>Section 5ZOA: Recommendations about limits and price control settings for units</w:t>
            </w:r>
          </w:p>
        </w:tc>
      </w:tr>
      <w:tr w:rsidR="00F27AC6" w:rsidRPr="008B181A" w14:paraId="5420BD93" w14:textId="77777777" w:rsidTr="00907EC5">
        <w:trPr>
          <w:trHeight w:val="468"/>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E9F5F2"/>
          </w:tcPr>
          <w:p w14:paraId="6780D2B8" w14:textId="6E2FDB5E" w:rsidR="00F27AC6" w:rsidRPr="00120D94" w:rsidRDefault="00F27AC6" w:rsidP="001365FB">
            <w:pPr>
              <w:tabs>
                <w:tab w:val="center" w:pos="1046"/>
              </w:tabs>
              <w:spacing w:line="240" w:lineRule="auto"/>
              <w:ind w:left="170"/>
              <w:rPr>
                <w:color w:val="auto"/>
                <w:lang w:val="en-NZ"/>
              </w:rPr>
            </w:pPr>
            <w:r w:rsidRPr="00120D94">
              <w:rPr>
                <w:color w:val="auto"/>
              </w:rPr>
              <w:t>S5ZOA is the empowering legislation that requires the Commission to provide this advice.</w:t>
            </w:r>
          </w:p>
        </w:tc>
      </w:tr>
      <w:tr w:rsidR="00901A03" w:rsidRPr="0091207A" w14:paraId="34AEAC20" w14:textId="77777777" w:rsidTr="00907EC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C1DCD5"/>
          </w:tcPr>
          <w:p w14:paraId="26A8CC34" w14:textId="4A2F947B" w:rsidR="00901A03" w:rsidRPr="003C5869" w:rsidRDefault="00901A03">
            <w:pPr>
              <w:spacing w:line="240" w:lineRule="auto"/>
              <w:ind w:left="170"/>
              <w:rPr>
                <w:color w:val="002060"/>
              </w:rPr>
            </w:pPr>
            <w:r w:rsidRPr="003C5869">
              <w:rPr>
                <w:color w:val="002060"/>
              </w:rPr>
              <w:t xml:space="preserve">Section </w:t>
            </w:r>
            <w:r w:rsidR="003B0737" w:rsidRPr="003C5869">
              <w:rPr>
                <w:color w:val="002060"/>
              </w:rPr>
              <w:t>5M: Matters the Commission must consider, where relevant</w:t>
            </w:r>
          </w:p>
        </w:tc>
      </w:tr>
      <w:tr w:rsidR="008F765F" w:rsidRPr="008B181A" w14:paraId="774FEF7D" w14:textId="77777777" w:rsidTr="00907EC5">
        <w:trPr>
          <w:trHeight w:val="468"/>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2C0E1B2C" w14:textId="42FE1F59" w:rsidR="00901A03" w:rsidRPr="00120D94" w:rsidRDefault="00960D3C">
            <w:pPr>
              <w:tabs>
                <w:tab w:val="center" w:pos="1046"/>
              </w:tabs>
              <w:spacing w:line="240" w:lineRule="auto"/>
              <w:ind w:left="170"/>
              <w:rPr>
                <w:color w:val="auto"/>
                <w:lang w:val="en-NZ"/>
              </w:rPr>
            </w:pPr>
            <w:r w:rsidRPr="00120D94">
              <w:rPr>
                <w:color w:val="auto"/>
              </w:rPr>
              <w:t>(a) Current available scientific knowledge</w:t>
            </w:r>
          </w:p>
        </w:tc>
        <w:tc>
          <w:tcPr>
            <w:tcW w:w="0" w:type="pct"/>
            <w:shd w:val="clear" w:color="auto" w:fill="E9F5F2"/>
          </w:tcPr>
          <w:p w14:paraId="34352EC4" w14:textId="19A25FC4" w:rsidR="00901A03" w:rsidRPr="003C5869" w:rsidRDefault="00F4681A">
            <w:pPr>
              <w:spacing w:line="240" w:lineRule="auto"/>
              <w:ind w:left="170"/>
              <w:cnfStyle w:val="000000000000" w:firstRow="0" w:lastRow="0" w:firstColumn="0" w:lastColumn="0" w:oddVBand="0" w:evenVBand="0" w:oddHBand="0" w:evenHBand="0" w:firstRowFirstColumn="0" w:firstRowLastColumn="0" w:lastRowFirstColumn="0" w:lastRowLastColumn="0"/>
              <w:rPr>
                <w:lang w:val="en-NZ"/>
              </w:rPr>
            </w:pPr>
            <w:r w:rsidRPr="003C5869">
              <w:t>This is accounted for through the requirement to accord settings with emissions budgets, NDCs, and the 2050 target</w:t>
            </w:r>
            <w:r w:rsidR="003541FA" w:rsidRPr="003C5869">
              <w:t>, and is addressed in step 1 of the unit limits.</w:t>
            </w:r>
            <w:r w:rsidR="00E658A6" w:rsidRPr="003C5869">
              <w:t xml:space="preserve"> </w:t>
            </w:r>
            <w:r w:rsidR="00894F57">
              <w:t xml:space="preserve">It is also considered in price control settings </w:t>
            </w:r>
            <w:r w:rsidR="0053495F">
              <w:t xml:space="preserve">in the </w:t>
            </w:r>
            <w:r w:rsidR="00BE0576">
              <w:t>assessment of ways em</w:t>
            </w:r>
            <w:r w:rsidR="00E45372">
              <w:t>issions budgets could be met, and the costs</w:t>
            </w:r>
            <w:r w:rsidR="008F130C">
              <w:t xml:space="preserve"> of different approaches</w:t>
            </w:r>
            <w:r w:rsidR="00E45372">
              <w:t>.</w:t>
            </w:r>
            <w:r w:rsidR="00E658A6" w:rsidRPr="003C5869">
              <w:t xml:space="preserve">  </w:t>
            </w:r>
          </w:p>
        </w:tc>
      </w:tr>
      <w:tr w:rsidR="006023DF" w:rsidRPr="008B181A" w14:paraId="0D510309" w14:textId="77777777" w:rsidTr="00907EC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4DC25BCC" w14:textId="684F3C5E" w:rsidR="00BF2FB9" w:rsidRPr="00120D94" w:rsidRDefault="00BF2FB9">
            <w:pPr>
              <w:tabs>
                <w:tab w:val="center" w:pos="1046"/>
              </w:tabs>
              <w:spacing w:line="240" w:lineRule="auto"/>
              <w:ind w:left="170"/>
              <w:rPr>
                <w:color w:val="auto"/>
              </w:rPr>
            </w:pPr>
            <w:r w:rsidRPr="00120D94">
              <w:rPr>
                <w:color w:val="auto"/>
              </w:rPr>
              <w:lastRenderedPageBreak/>
              <w:t>(b) Existing technology and anticipated technological developments, including the costs and benefits of early adoption of these in New Zealand</w:t>
            </w:r>
          </w:p>
        </w:tc>
        <w:tc>
          <w:tcPr>
            <w:tcW w:w="0" w:type="pct"/>
            <w:shd w:val="clear" w:color="auto" w:fill="E9F5F2"/>
          </w:tcPr>
          <w:p w14:paraId="34486CF0" w14:textId="1B402D8A" w:rsidR="00BF2FB9" w:rsidRPr="003C5869" w:rsidRDefault="003541FA">
            <w:pPr>
              <w:spacing w:line="240" w:lineRule="auto"/>
              <w:ind w:left="170"/>
              <w:cnfStyle w:val="000000100000" w:firstRow="0" w:lastRow="0" w:firstColumn="0" w:lastColumn="0" w:oddVBand="0" w:evenVBand="0" w:oddHBand="1" w:evenHBand="0" w:firstRowFirstColumn="0" w:firstRowLastColumn="0" w:lastRowFirstColumn="0" w:lastRowLastColumn="0"/>
            </w:pPr>
            <w:r w:rsidRPr="003C5869">
              <w:t>This is considered in step 2 of the unit limits, and in the price control settings</w:t>
            </w:r>
            <w:r w:rsidR="009C0417">
              <w:t xml:space="preserve"> in the assessment of </w:t>
            </w:r>
            <w:r w:rsidR="005834CD">
              <w:t>NZU prices that may be needed to meet emissions reduction targets</w:t>
            </w:r>
            <w:r w:rsidR="004F13B3" w:rsidRPr="003C5869">
              <w:t>.</w:t>
            </w:r>
          </w:p>
        </w:tc>
      </w:tr>
      <w:tr w:rsidR="006023DF" w:rsidRPr="008B181A" w14:paraId="71B42C9D" w14:textId="77777777" w:rsidTr="00907EC5">
        <w:trPr>
          <w:trHeight w:val="483"/>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7ADD95D1" w14:textId="11580F0B" w:rsidR="00F30FB8" w:rsidRPr="00120D94" w:rsidRDefault="00F455DB">
            <w:pPr>
              <w:spacing w:line="240" w:lineRule="auto"/>
              <w:ind w:left="170"/>
              <w:rPr>
                <w:color w:val="auto"/>
              </w:rPr>
            </w:pPr>
            <w:r w:rsidRPr="00120D94">
              <w:rPr>
                <w:color w:val="auto"/>
              </w:rPr>
              <w:t>(c) Likely economic effects</w:t>
            </w:r>
          </w:p>
        </w:tc>
        <w:tc>
          <w:tcPr>
            <w:tcW w:w="0" w:type="pct"/>
            <w:shd w:val="clear" w:color="auto" w:fill="E9F5F2"/>
          </w:tcPr>
          <w:p w14:paraId="21C96CFC" w14:textId="7B57B68D" w:rsidR="00F30FB8" w:rsidRPr="00D667C3" w:rsidRDefault="00C410E7" w:rsidP="00907EC5">
            <w:pPr>
              <w:spacing w:line="240" w:lineRule="auto"/>
              <w:ind w:left="170"/>
              <w:cnfStyle w:val="000000000000" w:firstRow="0" w:lastRow="0" w:firstColumn="0" w:lastColumn="0" w:oddVBand="0" w:evenVBand="0" w:oddHBand="0" w:evenHBand="0" w:firstRowFirstColumn="0" w:firstRowLastColumn="0" w:lastRowFirstColumn="0" w:lastRowLastColumn="0"/>
            </w:pPr>
            <w:r w:rsidRPr="00D667C3">
              <w:t>Our analysis takes this matter into consideration through step 1 and step 2 of the unit limits method, as well as in the analysis of impacts of emissions prices on households and the economy for considering the price control settings.</w:t>
            </w:r>
          </w:p>
        </w:tc>
      </w:tr>
      <w:tr w:rsidR="006023DF" w:rsidRPr="008B181A" w14:paraId="6B0BC457" w14:textId="77777777" w:rsidTr="00907EC5">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1BF0009A" w14:textId="7B00492F" w:rsidR="00F30FB8" w:rsidRPr="00120D94" w:rsidRDefault="00BD2D19">
            <w:pPr>
              <w:spacing w:line="240" w:lineRule="auto"/>
              <w:ind w:left="170"/>
              <w:rPr>
                <w:color w:val="auto"/>
              </w:rPr>
            </w:pPr>
            <w:r w:rsidRPr="00120D94">
              <w:rPr>
                <w:color w:val="auto"/>
              </w:rPr>
              <w:t>(d) Social, cultural, environmental, and ecological circumstances, including differences between sectors and regions</w:t>
            </w:r>
          </w:p>
        </w:tc>
        <w:tc>
          <w:tcPr>
            <w:tcW w:w="0" w:type="pct"/>
            <w:shd w:val="clear" w:color="auto" w:fill="E9F5F2"/>
          </w:tcPr>
          <w:p w14:paraId="6153C7A5" w14:textId="1BA05384" w:rsidR="00F30FB8" w:rsidRPr="00D667C3" w:rsidRDefault="00DD765B" w:rsidP="00907EC5">
            <w:pPr>
              <w:spacing w:line="240" w:lineRule="auto"/>
              <w:ind w:left="170"/>
              <w:cnfStyle w:val="000000100000" w:firstRow="0" w:lastRow="0" w:firstColumn="0" w:lastColumn="0" w:oddVBand="0" w:evenVBand="0" w:oddHBand="1" w:evenHBand="0" w:firstRowFirstColumn="0" w:firstRowLastColumn="0" w:lastRowFirstColumn="0" w:lastRowLastColumn="0"/>
            </w:pPr>
            <w:r w:rsidRPr="00D667C3">
              <w:t xml:space="preserve">Our analysis takes this matter into consideration through step 1 and step 2 of the unit limits method, as well as in </w:t>
            </w:r>
            <w:r w:rsidR="005D7BB3">
              <w:t xml:space="preserve">price control settings through </w:t>
            </w:r>
            <w:r w:rsidRPr="00D667C3">
              <w:t xml:space="preserve">the analysis of impacts of emissions prices. </w:t>
            </w:r>
          </w:p>
        </w:tc>
      </w:tr>
      <w:tr w:rsidR="006023DF" w:rsidRPr="008B181A" w14:paraId="71C88929" w14:textId="77777777" w:rsidTr="00907EC5">
        <w:trPr>
          <w:trHeight w:val="483"/>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0D56F4DC" w14:textId="50653902" w:rsidR="00F30FB8" w:rsidRPr="00120D94" w:rsidRDefault="0067487A">
            <w:pPr>
              <w:spacing w:line="240" w:lineRule="auto"/>
              <w:ind w:left="170"/>
              <w:rPr>
                <w:color w:val="auto"/>
              </w:rPr>
            </w:pPr>
            <w:r w:rsidRPr="00120D94">
              <w:rPr>
                <w:color w:val="auto"/>
              </w:rPr>
              <w:t>(e) Distribution of benefits, costs, and risks between generations</w:t>
            </w:r>
          </w:p>
        </w:tc>
        <w:tc>
          <w:tcPr>
            <w:tcW w:w="0" w:type="pct"/>
            <w:shd w:val="clear" w:color="auto" w:fill="E9F5F2"/>
          </w:tcPr>
          <w:p w14:paraId="5BFC5BAF" w14:textId="738A68E0" w:rsidR="00F30FB8" w:rsidRPr="00D667C3" w:rsidRDefault="00184D63" w:rsidP="00907EC5">
            <w:pPr>
              <w:spacing w:line="240" w:lineRule="auto"/>
              <w:ind w:left="170"/>
              <w:cnfStyle w:val="000000000000" w:firstRow="0" w:lastRow="0" w:firstColumn="0" w:lastColumn="0" w:oddVBand="0" w:evenVBand="0" w:oddHBand="0" w:evenHBand="0" w:firstRowFirstColumn="0" w:firstRowLastColumn="0" w:lastRowFirstColumn="0" w:lastRowLastColumn="0"/>
            </w:pPr>
            <w:r w:rsidRPr="00706BA6">
              <w:t>For this advice</w:t>
            </w:r>
            <w:r w:rsidR="007251C8" w:rsidRPr="00706BA6">
              <w:t xml:space="preserve">, </w:t>
            </w:r>
            <w:r w:rsidR="003F1118" w:rsidRPr="00706BA6">
              <w:t xml:space="preserve">we have considered this through </w:t>
            </w:r>
            <w:r w:rsidR="003B72E7" w:rsidRPr="00706BA6">
              <w:t xml:space="preserve">the way we have reflected the Government’s second emissions reduction plan in </w:t>
            </w:r>
            <w:r w:rsidR="0037407A" w:rsidRPr="00706BA6">
              <w:t>our settings advice</w:t>
            </w:r>
            <w:r w:rsidR="00A638EB" w:rsidRPr="00706BA6">
              <w:t xml:space="preserve">, recognising </w:t>
            </w:r>
            <w:r w:rsidR="00CC0C7B" w:rsidRPr="00706BA6">
              <w:t xml:space="preserve">that the Government was required to consider these matters in </w:t>
            </w:r>
            <w:r w:rsidR="002920B0" w:rsidRPr="00706BA6">
              <w:t>setting emissions budget</w:t>
            </w:r>
            <w:r w:rsidR="005F6744">
              <w:t>s</w:t>
            </w:r>
            <w:r w:rsidR="002920B0" w:rsidRPr="00706BA6">
              <w:t xml:space="preserve"> and the emissions reduction plan, and </w:t>
            </w:r>
            <w:r w:rsidR="00295398" w:rsidRPr="00706BA6">
              <w:t xml:space="preserve">that </w:t>
            </w:r>
            <w:r w:rsidR="009B5BD3" w:rsidRPr="00706BA6">
              <w:t xml:space="preserve">we consider that </w:t>
            </w:r>
            <w:r w:rsidR="00295398" w:rsidRPr="00706BA6">
              <w:t xml:space="preserve">the </w:t>
            </w:r>
            <w:r w:rsidR="002920B0" w:rsidRPr="00706BA6">
              <w:t xml:space="preserve">Commission’s advice on the NZ ETS </w:t>
            </w:r>
            <w:r w:rsidR="00295398" w:rsidRPr="00706BA6">
              <w:t>settings needs to be compatible with the Government’s wider climate policy packa</w:t>
            </w:r>
            <w:r w:rsidR="009F4285" w:rsidRPr="00706BA6">
              <w:t>g</w:t>
            </w:r>
            <w:r w:rsidR="00295398" w:rsidRPr="00706BA6">
              <w:t xml:space="preserve">e. </w:t>
            </w:r>
          </w:p>
        </w:tc>
      </w:tr>
      <w:tr w:rsidR="006023DF" w:rsidRPr="008B181A" w14:paraId="10698328" w14:textId="77777777" w:rsidTr="00907EC5">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60D89C67" w14:textId="43931BF4" w:rsidR="00580820" w:rsidRPr="00120D94" w:rsidRDefault="00EB64B2">
            <w:pPr>
              <w:spacing w:line="240" w:lineRule="auto"/>
              <w:ind w:left="170"/>
              <w:rPr>
                <w:color w:val="auto"/>
              </w:rPr>
            </w:pPr>
            <w:r w:rsidRPr="00120D94">
              <w:rPr>
                <w:color w:val="auto"/>
              </w:rPr>
              <w:t>(f) The Crown</w:t>
            </w:r>
            <w:r w:rsidR="00102A84" w:rsidRPr="00120D94">
              <w:rPr>
                <w:color w:val="auto"/>
              </w:rPr>
              <w:t>–</w:t>
            </w:r>
            <w:r w:rsidRPr="00120D94">
              <w:rPr>
                <w:color w:val="auto"/>
              </w:rPr>
              <w:t>Māori relationship, te ao Māori, and specific effects on Iwi/Māori</w:t>
            </w:r>
          </w:p>
        </w:tc>
        <w:tc>
          <w:tcPr>
            <w:tcW w:w="0" w:type="pct"/>
            <w:shd w:val="clear" w:color="auto" w:fill="E9F5F2"/>
          </w:tcPr>
          <w:p w14:paraId="70F50AC2" w14:textId="77046624" w:rsidR="00580820" w:rsidRPr="00D667C3" w:rsidRDefault="00164F8F" w:rsidP="00907EC5">
            <w:pPr>
              <w:spacing w:line="240" w:lineRule="auto"/>
              <w:ind w:left="170"/>
              <w:cnfStyle w:val="000000100000" w:firstRow="0" w:lastRow="0" w:firstColumn="0" w:lastColumn="0" w:oddVBand="0" w:evenVBand="0" w:oddHBand="1" w:evenHBand="0" w:firstRowFirstColumn="0" w:firstRowLastColumn="0" w:lastRowFirstColumn="0" w:lastRowLastColumn="0"/>
            </w:pPr>
            <w:r w:rsidRPr="00D667C3">
              <w:t xml:space="preserve">This is considered in step 5 of the unit limits, </w:t>
            </w:r>
            <w:r w:rsidR="00EE288C">
              <w:t>particular</w:t>
            </w:r>
            <w:r w:rsidR="00477AD8">
              <w:t>ly</w:t>
            </w:r>
            <w:r w:rsidR="00EE288C">
              <w:t xml:space="preserve"> in relation to </w:t>
            </w:r>
            <w:r w:rsidR="00BE5261">
              <w:t xml:space="preserve">the availability to the market of </w:t>
            </w:r>
            <w:r w:rsidR="00BE24AD">
              <w:t>pre-1990 forestry units,</w:t>
            </w:r>
            <w:r w:rsidRPr="00D667C3">
              <w:t xml:space="preserve"> and in our advice on the price control settings. </w:t>
            </w:r>
            <w:r w:rsidR="004C3A68" w:rsidRPr="00D667C3">
              <w:t xml:space="preserve">Part 4 of </w:t>
            </w:r>
            <w:r w:rsidR="005A2462" w:rsidRPr="00D667C3">
              <w:t>this advice</w:t>
            </w:r>
            <w:r w:rsidR="004C3A68" w:rsidRPr="00D667C3">
              <w:t xml:space="preserve"> includes specific </w:t>
            </w:r>
            <w:r w:rsidR="004050A8" w:rsidRPr="00D667C3">
              <w:t xml:space="preserve">information related to the impacts of the NZ ETS on iwi/Māori that relates to this consideration. </w:t>
            </w:r>
          </w:p>
        </w:tc>
      </w:tr>
      <w:tr w:rsidR="006023DF" w:rsidRPr="008B181A" w14:paraId="2EF56816" w14:textId="77777777" w:rsidTr="00907EC5">
        <w:trPr>
          <w:trHeight w:val="483"/>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50A389E4" w14:textId="2B4BD13F" w:rsidR="00901A03" w:rsidRPr="00120D94" w:rsidRDefault="00AC0719">
            <w:pPr>
              <w:spacing w:line="240" w:lineRule="auto"/>
              <w:ind w:left="170"/>
              <w:rPr>
                <w:color w:val="auto"/>
                <w:lang w:val="en-NZ"/>
              </w:rPr>
            </w:pPr>
            <w:r w:rsidRPr="00120D94">
              <w:rPr>
                <w:color w:val="auto"/>
              </w:rPr>
              <w:t>(g) Responses to climate change taken or planned by parties to the Paris Agreement or to the Convention</w:t>
            </w:r>
          </w:p>
        </w:tc>
        <w:tc>
          <w:tcPr>
            <w:tcW w:w="0" w:type="pct"/>
            <w:shd w:val="clear" w:color="auto" w:fill="E9F5F2"/>
          </w:tcPr>
          <w:p w14:paraId="2CEDD6DB" w14:textId="24ABBFDD" w:rsidR="00901A03" w:rsidRPr="005144B8" w:rsidRDefault="0051628C" w:rsidP="00907EC5">
            <w:pPr>
              <w:spacing w:line="240" w:lineRule="auto"/>
              <w:ind w:left="170"/>
              <w:cnfStyle w:val="000000000000" w:firstRow="0" w:lastRow="0" w:firstColumn="0" w:lastColumn="0" w:oddVBand="0" w:evenVBand="0" w:oddHBand="0" w:evenHBand="0" w:firstRowFirstColumn="0" w:firstRowLastColumn="0" w:lastRowFirstColumn="0" w:lastRowLastColumn="0"/>
            </w:pPr>
            <w:r w:rsidRPr="00D667C3">
              <w:t xml:space="preserve">Our analysis </w:t>
            </w:r>
            <w:r w:rsidR="004D3FE3">
              <w:t xml:space="preserve">considered this </w:t>
            </w:r>
            <w:r w:rsidRPr="00D667C3">
              <w:t>through the section 30GC 6(b) consideration of international emissions prices noted earlier in this table. We have</w:t>
            </w:r>
            <w:r w:rsidR="004D3FE3">
              <w:t xml:space="preserve"> also</w:t>
            </w:r>
            <w:r w:rsidRPr="00D667C3">
              <w:t xml:space="preserve"> considered this in how the NZ ETS settings demonstrate accordance with the </w:t>
            </w:r>
            <w:r w:rsidR="008240D3">
              <w:t>first</w:t>
            </w:r>
            <w:r w:rsidR="001E3D01">
              <w:t xml:space="preserve"> </w:t>
            </w:r>
            <w:r w:rsidRPr="00D667C3">
              <w:t xml:space="preserve">NDC in </w:t>
            </w:r>
            <w:r w:rsidR="001E3D01">
              <w:t xml:space="preserve">step 1 of the </w:t>
            </w:r>
            <w:r w:rsidRPr="00D667C3">
              <w:t xml:space="preserve">unit limits, </w:t>
            </w:r>
            <w:r w:rsidR="001E3D01">
              <w:t xml:space="preserve">and in the price control settings </w:t>
            </w:r>
            <w:r w:rsidR="00833921">
              <w:t>in considering the auction reserve price</w:t>
            </w:r>
            <w:r w:rsidRPr="00D667C3">
              <w:t>.</w:t>
            </w:r>
          </w:p>
        </w:tc>
      </w:tr>
      <w:tr w:rsidR="004C3206" w:rsidRPr="0091207A" w14:paraId="329E8EBF" w14:textId="77777777" w:rsidTr="00907EC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C1DCD5"/>
          </w:tcPr>
          <w:p w14:paraId="25D9E122" w14:textId="44991024" w:rsidR="004C3206" w:rsidRPr="003C5869" w:rsidRDefault="00E460E2" w:rsidP="006B51EF">
            <w:pPr>
              <w:spacing w:line="240" w:lineRule="auto"/>
              <w:ind w:left="170"/>
              <w:rPr>
                <w:color w:val="002060"/>
              </w:rPr>
            </w:pPr>
            <w:r w:rsidRPr="003C5869">
              <w:rPr>
                <w:color w:val="002060"/>
              </w:rPr>
              <w:t xml:space="preserve">Section </w:t>
            </w:r>
            <w:r w:rsidR="00734586" w:rsidRPr="003C5869">
              <w:rPr>
                <w:color w:val="002060"/>
              </w:rPr>
              <w:t>5</w:t>
            </w:r>
            <w:r w:rsidR="003B0737" w:rsidRPr="003C5869">
              <w:rPr>
                <w:color w:val="002060"/>
              </w:rPr>
              <w:t>N</w:t>
            </w:r>
            <w:r w:rsidRPr="003C5869">
              <w:rPr>
                <w:color w:val="002060"/>
              </w:rPr>
              <w:t xml:space="preserve">: </w:t>
            </w:r>
            <w:r w:rsidR="003B0737" w:rsidRPr="003C5869">
              <w:rPr>
                <w:color w:val="002060"/>
              </w:rPr>
              <w:t>Consultation</w:t>
            </w:r>
          </w:p>
        </w:tc>
      </w:tr>
      <w:tr w:rsidR="001A309F" w:rsidRPr="0091207A" w14:paraId="241807AB" w14:textId="77777777" w:rsidTr="00907EC5">
        <w:trPr>
          <w:trHeight w:val="468"/>
        </w:trPr>
        <w:tc>
          <w:tcPr>
            <w:cnfStyle w:val="001000000000" w:firstRow="0" w:lastRow="0" w:firstColumn="1" w:lastColumn="0" w:oddVBand="0" w:evenVBand="0" w:oddHBand="0" w:evenHBand="0" w:firstRowFirstColumn="0" w:firstRowLastColumn="0" w:lastRowFirstColumn="0" w:lastRowLastColumn="0"/>
            <w:tcW w:w="0" w:type="pct"/>
            <w:shd w:val="clear" w:color="auto" w:fill="E9F5F2"/>
          </w:tcPr>
          <w:p w14:paraId="3D7FF193" w14:textId="77777777" w:rsidR="00B23825" w:rsidRPr="00120D94" w:rsidRDefault="00B23825" w:rsidP="00B23825">
            <w:pPr>
              <w:tabs>
                <w:tab w:val="center" w:pos="1046"/>
              </w:tabs>
              <w:spacing w:line="240" w:lineRule="auto"/>
              <w:ind w:left="170"/>
              <w:rPr>
                <w:color w:val="auto"/>
                <w:lang w:val="en-NZ"/>
              </w:rPr>
            </w:pPr>
            <w:r w:rsidRPr="00120D94">
              <w:rPr>
                <w:color w:val="auto"/>
              </w:rPr>
              <w:t>(1) In performing its functions and duties and exercising its powers under this Act, the Commission must—</w:t>
            </w:r>
          </w:p>
          <w:p w14:paraId="7063616D" w14:textId="77777777" w:rsidR="00B23825" w:rsidRPr="00120D94" w:rsidRDefault="00B23825" w:rsidP="00B23825">
            <w:pPr>
              <w:tabs>
                <w:tab w:val="center" w:pos="1046"/>
              </w:tabs>
              <w:spacing w:line="240" w:lineRule="auto"/>
              <w:ind w:left="170"/>
              <w:rPr>
                <w:color w:val="auto"/>
                <w:lang w:val="en-NZ"/>
              </w:rPr>
            </w:pPr>
            <w:r w:rsidRPr="00120D94">
              <w:rPr>
                <w:color w:val="auto"/>
              </w:rPr>
              <w:lastRenderedPageBreak/>
              <w:t>(a) proactively engage with persons the Commission considers relevant to the functions, duties, and powers; and</w:t>
            </w:r>
          </w:p>
          <w:p w14:paraId="452E7946" w14:textId="30F9B31F" w:rsidR="00B23825" w:rsidRPr="00120D94" w:rsidRDefault="00B23825" w:rsidP="00B23825">
            <w:pPr>
              <w:tabs>
                <w:tab w:val="center" w:pos="1046"/>
              </w:tabs>
              <w:spacing w:line="240" w:lineRule="auto"/>
              <w:ind w:left="170"/>
              <w:rPr>
                <w:color w:val="auto"/>
                <w:lang w:val="en-NZ"/>
              </w:rPr>
            </w:pPr>
            <w:r w:rsidRPr="00120D94">
              <w:rPr>
                <w:color w:val="auto"/>
              </w:rPr>
              <w:t>(b) where the Commission considers it is necessary, provide for participation by the public.</w:t>
            </w:r>
            <w:r w:rsidRPr="00120D94">
              <w:rPr>
                <w:color w:val="auto"/>
              </w:rPr>
              <w:tab/>
            </w:r>
          </w:p>
        </w:tc>
        <w:tc>
          <w:tcPr>
            <w:tcW w:w="0" w:type="pct"/>
            <w:shd w:val="clear" w:color="auto" w:fill="E9F5F2"/>
          </w:tcPr>
          <w:p w14:paraId="22EF3C16" w14:textId="02CB63D5" w:rsidR="00B23825" w:rsidRPr="003C5869" w:rsidRDefault="00C60681" w:rsidP="004C5824">
            <w:pPr>
              <w:spacing w:line="240" w:lineRule="auto"/>
              <w:ind w:left="170"/>
              <w:cnfStyle w:val="000000000000" w:firstRow="0" w:lastRow="0" w:firstColumn="0" w:lastColumn="0" w:oddVBand="0" w:evenVBand="0" w:oddHBand="0" w:evenHBand="0" w:firstRowFirstColumn="0" w:firstRowLastColumn="0" w:lastRowFirstColumn="0" w:lastRowLastColumn="0"/>
              <w:rPr>
                <w:lang w:val="en-NZ"/>
              </w:rPr>
            </w:pPr>
            <w:r w:rsidRPr="003C5869">
              <w:lastRenderedPageBreak/>
              <w:t xml:space="preserve">In developing this advice </w:t>
            </w:r>
            <w:r w:rsidR="00833921">
              <w:t>on NZ ETS unit limits and price control settings</w:t>
            </w:r>
            <w:r w:rsidR="007F4D3E">
              <w:t>,</w:t>
            </w:r>
            <w:r w:rsidR="00833921">
              <w:t xml:space="preserve"> </w:t>
            </w:r>
            <w:r w:rsidRPr="003C5869">
              <w:t>w</w:t>
            </w:r>
            <w:r w:rsidR="00B23825" w:rsidRPr="003C5869">
              <w:t xml:space="preserve">e considered whether it </w:t>
            </w:r>
            <w:r w:rsidRPr="003C5869">
              <w:t>was</w:t>
            </w:r>
            <w:r w:rsidR="00B23825" w:rsidRPr="003C5869">
              <w:t xml:space="preserve"> necessary to provide for public consultation on this advice, and decided that it </w:t>
            </w:r>
            <w:r w:rsidRPr="003C5869">
              <w:lastRenderedPageBreak/>
              <w:t>was</w:t>
            </w:r>
            <w:r w:rsidR="00B23825" w:rsidRPr="003C5869">
              <w:t xml:space="preserve"> not. </w:t>
            </w:r>
            <w:r w:rsidR="001A309F" w:rsidRPr="00637791">
              <w:rPr>
                <w:i/>
              </w:rPr>
              <w:t xml:space="preserve">Part </w:t>
            </w:r>
            <w:r w:rsidR="00321A08" w:rsidRPr="00166095">
              <w:rPr>
                <w:i/>
              </w:rPr>
              <w:t>2</w:t>
            </w:r>
            <w:r w:rsidR="001A309F" w:rsidRPr="003C5869">
              <w:t xml:space="preserve"> of </w:t>
            </w:r>
            <w:r w:rsidR="005A2462">
              <w:t>this</w:t>
            </w:r>
            <w:r w:rsidR="005A2462" w:rsidRPr="003C5869">
              <w:t xml:space="preserve"> </w:t>
            </w:r>
            <w:r w:rsidR="001A309F" w:rsidRPr="003C5869">
              <w:t xml:space="preserve">advice describes </w:t>
            </w:r>
            <w:r w:rsidR="008F765F" w:rsidRPr="003C5869">
              <w:t>the proactive</w:t>
            </w:r>
            <w:r w:rsidR="001A309F" w:rsidRPr="003C5869">
              <w:t xml:space="preserve"> engagement</w:t>
            </w:r>
            <w:r w:rsidR="008F765F" w:rsidRPr="003C5869">
              <w:t xml:space="preserve"> we undertook to meet the requirement in s5N(1)(a).</w:t>
            </w:r>
          </w:p>
        </w:tc>
      </w:tr>
    </w:tbl>
    <w:p w14:paraId="52907AB1" w14:textId="0C254641" w:rsidR="00282EE6" w:rsidRDefault="00282EE6">
      <w:pPr>
        <w:spacing w:before="0" w:after="0" w:line="240" w:lineRule="auto"/>
        <w:rPr>
          <w:rFonts w:eastAsiaTheme="majorEastAsia"/>
          <w:b/>
          <w:color w:val="1F3864" w:themeColor="accent1" w:themeShade="80"/>
          <w:sz w:val="44"/>
          <w:szCs w:val="44"/>
        </w:rPr>
      </w:pPr>
      <w:r>
        <w:lastRenderedPageBreak/>
        <w:br w:type="page"/>
      </w:r>
    </w:p>
    <w:p w14:paraId="79E5C4D1" w14:textId="0C254641" w:rsidR="00A614AE" w:rsidRDefault="00A614AE" w:rsidP="00282EE6">
      <w:pPr>
        <w:pStyle w:val="Heading1nonumber"/>
      </w:pPr>
      <w:bookmarkStart w:id="47" w:name="_Toc195447253"/>
      <w:r>
        <w:lastRenderedPageBreak/>
        <w:t>Te taukōrero – References</w:t>
      </w:r>
      <w:bookmarkEnd w:id="47"/>
    </w:p>
    <w:p w14:paraId="1BCF9ABD" w14:textId="77777777" w:rsidR="0069435E" w:rsidRPr="007E67C1" w:rsidRDefault="0069435E" w:rsidP="00E74B82">
      <w:pPr>
        <w:spacing w:before="0" w:after="0"/>
      </w:pPr>
    </w:p>
    <w:sectPr w:rsidR="0069435E" w:rsidRPr="007E67C1" w:rsidSect="009D7A55">
      <w:footerReference w:type="default" r:id="rId34"/>
      <w:footnotePr>
        <w:numFmt w:val="lowerRoman"/>
      </w:footnotePr>
      <w:endnotePr>
        <w:numFmt w:val="decimal"/>
      </w:endnotePr>
      <w:pgSz w:w="11906" w:h="16838"/>
      <w:pgMar w:top="1418" w:right="1418" w:bottom="1134" w:left="1418" w:header="709" w:footer="62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B602D" w14:textId="77777777" w:rsidR="008663A9" w:rsidRDefault="008663A9" w:rsidP="006F0BB5">
      <w:r>
        <w:separator/>
      </w:r>
    </w:p>
  </w:endnote>
  <w:endnote w:type="continuationSeparator" w:id="0">
    <w:p w14:paraId="4836D2FB" w14:textId="77777777" w:rsidR="008663A9" w:rsidRDefault="008663A9" w:rsidP="006F0BB5">
      <w:r>
        <w:continuationSeparator/>
      </w:r>
    </w:p>
  </w:endnote>
  <w:endnote w:type="continuationNotice" w:id="1">
    <w:p w14:paraId="52616907" w14:textId="77777777" w:rsidR="008663A9" w:rsidRDefault="008663A9">
      <w:pPr>
        <w:spacing w:before="0" w:after="0" w:line="240" w:lineRule="auto"/>
      </w:pPr>
    </w:p>
  </w:endnote>
  <w:endnote w:id="2">
    <w:p w14:paraId="23A2A721" w14:textId="60163F79" w:rsidR="005969DB" w:rsidRPr="008E4153" w:rsidRDefault="00427AC9" w:rsidP="000A7BFB">
      <w:pPr>
        <w:pStyle w:val="EndnoteText"/>
        <w:spacing w:after="120"/>
        <w:rPr>
          <w:i/>
          <w:iCs/>
        </w:rPr>
      </w:pPr>
      <w:r>
        <w:rPr>
          <w:rStyle w:val="EndnoteReference"/>
        </w:rPr>
        <w:endnoteRef/>
      </w:r>
      <w:r w:rsidR="005969DB">
        <w:t xml:space="preserve"> World Meteorological Organisation. (2025)</w:t>
      </w:r>
      <w:r w:rsidR="008A1D72">
        <w:t xml:space="preserve">. </w:t>
      </w:r>
      <w:r w:rsidR="002C2B6C" w:rsidRPr="008E4153">
        <w:rPr>
          <w:i/>
          <w:iCs/>
        </w:rPr>
        <w:t>WMO confirms 2024 as warmest year on record at about 1.55</w:t>
      </w:r>
      <w:r w:rsidR="002C2B6C" w:rsidRPr="008E4153">
        <w:rPr>
          <w:rFonts w:cs="Calibri"/>
          <w:i/>
          <w:iCs/>
        </w:rPr>
        <w:t>°</w:t>
      </w:r>
      <w:r w:rsidR="002C2B6C" w:rsidRPr="008E4153">
        <w:rPr>
          <w:i/>
          <w:iCs/>
        </w:rPr>
        <w:t>C above pre-industrial level</w:t>
      </w:r>
      <w:r w:rsidR="00C41A6B" w:rsidRPr="008E4153">
        <w:rPr>
          <w:i/>
          <w:iCs/>
        </w:rPr>
        <w:t>.</w:t>
      </w:r>
      <w:r w:rsidR="00C41A6B" w:rsidRPr="00BB348E">
        <w:rPr>
          <w:i/>
          <w:iCs/>
        </w:rPr>
        <w:t xml:space="preserve"> </w:t>
      </w:r>
      <w:hyperlink r:id="rId1" w:history="1">
        <w:r w:rsidR="002E098D" w:rsidRPr="00C43519">
          <w:rPr>
            <w:rStyle w:val="Hyperlink"/>
          </w:rPr>
          <w:t>https://wmo.int/news/media-centre/wmo-confirms-2024-warmest-year-record-about-155degc-above-pre-industrial-level</w:t>
        </w:r>
      </w:hyperlink>
      <w:r w:rsidR="002E098D">
        <w:t xml:space="preserve"> </w:t>
      </w:r>
      <w:r w:rsidR="00C41A6B">
        <w:t xml:space="preserve"> </w:t>
      </w:r>
      <w:r w:rsidR="00C41A6B" w:rsidRPr="008E4153">
        <w:rPr>
          <w:i/>
          <w:iCs/>
        </w:rPr>
        <w:t xml:space="preserve"> </w:t>
      </w:r>
    </w:p>
  </w:endnote>
  <w:endnote w:id="3">
    <w:p w14:paraId="158908C8" w14:textId="6A1B5926" w:rsidR="00D33AFE" w:rsidRDefault="00D33AFE" w:rsidP="000A7BFB">
      <w:pPr>
        <w:pStyle w:val="EndnoteText"/>
        <w:spacing w:after="120"/>
      </w:pPr>
      <w:r>
        <w:rPr>
          <w:rStyle w:val="EndnoteReference"/>
        </w:rPr>
        <w:endnoteRef/>
      </w:r>
      <w:r>
        <w:t xml:space="preserve"> World Bank. (2024). </w:t>
      </w:r>
      <w:r w:rsidRPr="003254A9">
        <w:rPr>
          <w:i/>
          <w:iCs/>
        </w:rPr>
        <w:t>State and Trends of Carbon pricing 2024</w:t>
      </w:r>
      <w:r>
        <w:t xml:space="preserve">. </w:t>
      </w:r>
      <w:hyperlink r:id="rId2" w:history="1">
        <w:r w:rsidR="002E098D" w:rsidRPr="00C43519">
          <w:rPr>
            <w:rStyle w:val="Hyperlink"/>
          </w:rPr>
          <w:t>https://openknowledge.worldbank.org/entities/publication/b0d66765-299c-4fb8-921f-61f6bb979087</w:t>
        </w:r>
      </w:hyperlink>
      <w:r w:rsidR="002E098D">
        <w:t xml:space="preserve"> </w:t>
      </w:r>
    </w:p>
  </w:endnote>
  <w:endnote w:id="4">
    <w:p w14:paraId="2CB76FAA" w14:textId="5985B580" w:rsidR="00F45EB1" w:rsidRDefault="00F45EB1" w:rsidP="000A7BFB">
      <w:pPr>
        <w:pStyle w:val="EndnoteText"/>
        <w:spacing w:after="120"/>
      </w:pPr>
      <w:r>
        <w:rPr>
          <w:rStyle w:val="EndnoteReference"/>
        </w:rPr>
        <w:endnoteRef/>
      </w:r>
      <w:r>
        <w:t xml:space="preserve"> I</w:t>
      </w:r>
      <w:r w:rsidR="00C57963">
        <w:t xml:space="preserve">nternational Energy Agency. (2024). </w:t>
      </w:r>
      <w:r w:rsidRPr="003254A9">
        <w:rPr>
          <w:i/>
          <w:iCs/>
        </w:rPr>
        <w:t>World Energy Outlook</w:t>
      </w:r>
      <w:r w:rsidR="008400CA" w:rsidRPr="003254A9">
        <w:rPr>
          <w:i/>
          <w:iCs/>
        </w:rPr>
        <w:t xml:space="preserve"> 2024</w:t>
      </w:r>
      <w:r>
        <w:t xml:space="preserve">. </w:t>
      </w:r>
      <w:hyperlink r:id="rId3" w:history="1">
        <w:r w:rsidRPr="00F5187E">
          <w:rPr>
            <w:rStyle w:val="Hyperlink"/>
          </w:rPr>
          <w:t>https://www.iea.org/reports/world-energy-outlook-2024</w:t>
        </w:r>
      </w:hyperlink>
      <w:r>
        <w:t xml:space="preserve"> </w:t>
      </w:r>
    </w:p>
  </w:endnote>
  <w:endnote w:id="5">
    <w:p w14:paraId="144385EE" w14:textId="4818A35B" w:rsidR="00F45EB1" w:rsidRDefault="00F45EB1" w:rsidP="000A7BFB">
      <w:pPr>
        <w:pStyle w:val="EndnoteText"/>
        <w:spacing w:after="120"/>
      </w:pPr>
      <w:r>
        <w:rPr>
          <w:rStyle w:val="EndnoteReference"/>
        </w:rPr>
        <w:endnoteRef/>
      </w:r>
      <w:r>
        <w:t xml:space="preserve"> </w:t>
      </w:r>
      <w:r w:rsidR="00DE76C4">
        <w:t>Gibson</w:t>
      </w:r>
      <w:r w:rsidR="006D63E4">
        <w:t>, E.</w:t>
      </w:r>
      <w:r w:rsidR="003B1533">
        <w:t xml:space="preserve">, </w:t>
      </w:r>
      <w:r w:rsidR="009236A5">
        <w:t>Hellsing, A., &amp; Smith, M.</w:t>
      </w:r>
      <w:r w:rsidR="00014865">
        <w:t xml:space="preserve"> (2024). </w:t>
      </w:r>
      <w:r w:rsidR="00014865" w:rsidRPr="003254A9">
        <w:rPr>
          <w:i/>
          <w:iCs/>
        </w:rPr>
        <w:t>Reforming Australia’s safeguard mechanism: an update</w:t>
      </w:r>
      <w:r w:rsidR="007B5293">
        <w:t xml:space="preserve">. </w:t>
      </w:r>
      <w:r w:rsidR="0007478A">
        <w:t>Parliament of Australia</w:t>
      </w:r>
      <w:r w:rsidR="006D63E4">
        <w:t xml:space="preserve">   </w:t>
      </w:r>
      <w:hyperlink r:id="rId4" w:anchor="heading_0e907565b395428e973d32abad81345e" w:history="1">
        <w:r w:rsidR="006D63E4" w:rsidRPr="006D63E4">
          <w:rPr>
            <w:rStyle w:val="Hyperlink"/>
          </w:rPr>
          <w:t>https://www.aph.gov.au/About_Parliament/Parliamentary_departments/Parliamentary_Library/Research/Research_Papers/2024-25/Reforming_Australia_Safeguard_Mechanism#heading_0e907565b395428e973d32abad81345e</w:t>
        </w:r>
      </w:hyperlink>
      <w:r>
        <w:t xml:space="preserve"> </w:t>
      </w:r>
    </w:p>
  </w:endnote>
  <w:endnote w:id="6">
    <w:p w14:paraId="58EDC31F" w14:textId="3A7361AF" w:rsidR="00FF7071" w:rsidRDefault="00FF7071" w:rsidP="000A7BFB">
      <w:pPr>
        <w:pStyle w:val="EndnoteText"/>
        <w:spacing w:after="120"/>
      </w:pPr>
      <w:r>
        <w:rPr>
          <w:rStyle w:val="EndnoteReference"/>
        </w:rPr>
        <w:endnoteRef/>
      </w:r>
      <w:r>
        <w:t xml:space="preserve"> </w:t>
      </w:r>
      <w:r w:rsidR="0035060B">
        <w:t xml:space="preserve">International Carbon Action Partnership (2025). </w:t>
      </w:r>
      <w:r w:rsidR="000E11E1" w:rsidRPr="000872AE">
        <w:rPr>
          <w:i/>
        </w:rPr>
        <w:t>ICAP ETS Map</w:t>
      </w:r>
      <w:r w:rsidR="00FB454A" w:rsidRPr="000872AE">
        <w:rPr>
          <w:i/>
        </w:rPr>
        <w:t>.</w:t>
      </w:r>
      <w:r w:rsidR="000E11E1">
        <w:t xml:space="preserve"> </w:t>
      </w:r>
      <w:hyperlink r:id="rId5" w:history="1">
        <w:r w:rsidR="008D4B72" w:rsidRPr="00270613">
          <w:rPr>
            <w:rStyle w:val="Hyperlink"/>
          </w:rPr>
          <w:t>https://icapcarbonaction.com/en/ets</w:t>
        </w:r>
      </w:hyperlink>
      <w:r w:rsidR="008D4B72">
        <w:t xml:space="preserve"> </w:t>
      </w:r>
    </w:p>
  </w:endnote>
  <w:endnote w:id="7">
    <w:p w14:paraId="62753909" w14:textId="335BDA6E" w:rsidR="00D16C81" w:rsidRDefault="00D16C81" w:rsidP="000A7BFB">
      <w:pPr>
        <w:pStyle w:val="EndnoteText"/>
        <w:spacing w:after="120"/>
      </w:pPr>
      <w:r>
        <w:rPr>
          <w:rStyle w:val="EndnoteReference"/>
        </w:rPr>
        <w:endnoteRef/>
      </w:r>
      <w:r>
        <w:t xml:space="preserve"> Theecanmole</w:t>
      </w:r>
      <w:r w:rsidR="00D82787">
        <w:t>.</w:t>
      </w:r>
      <w:r>
        <w:t xml:space="preserve"> (2025)</w:t>
      </w:r>
      <w:r w:rsidR="00A8567E">
        <w:t>.</w:t>
      </w:r>
      <w:r w:rsidR="00D82787">
        <w:t xml:space="preserve"> </w:t>
      </w:r>
      <w:r w:rsidR="00F748F5" w:rsidRPr="003254A9">
        <w:rPr>
          <w:i/>
          <w:iCs/>
        </w:rPr>
        <w:t xml:space="preserve">New Zealand </w:t>
      </w:r>
      <w:r w:rsidR="00BD7EA6">
        <w:rPr>
          <w:i/>
          <w:iCs/>
        </w:rPr>
        <w:t>E</w:t>
      </w:r>
      <w:r w:rsidR="00F748F5" w:rsidRPr="003254A9">
        <w:rPr>
          <w:i/>
          <w:iCs/>
        </w:rPr>
        <w:t xml:space="preserve">missions </w:t>
      </w:r>
      <w:r w:rsidR="00BD7EA6">
        <w:rPr>
          <w:i/>
          <w:iCs/>
        </w:rPr>
        <w:t>U</w:t>
      </w:r>
      <w:r w:rsidR="00F748F5" w:rsidRPr="003254A9">
        <w:rPr>
          <w:i/>
          <w:iCs/>
        </w:rPr>
        <w:t>nit Prices in the NZ Emissions Trading Scheme 2010 to date</w:t>
      </w:r>
      <w:r w:rsidR="00F748F5">
        <w:t xml:space="preserve">. Github. </w:t>
      </w:r>
      <w:hyperlink r:id="rId6" w:history="1">
        <w:r w:rsidR="002E098D" w:rsidRPr="00C43519">
          <w:rPr>
            <w:rStyle w:val="Hyperlink"/>
          </w:rPr>
          <w:t>https://github.com/theecanmole/nzu</w:t>
        </w:r>
      </w:hyperlink>
      <w:r w:rsidR="002E098D">
        <w:t xml:space="preserve"> </w:t>
      </w:r>
    </w:p>
  </w:endnote>
  <w:endnote w:id="8">
    <w:p w14:paraId="5DA845A2" w14:textId="6BCCF922" w:rsidR="00A468FB" w:rsidRDefault="00A468FB" w:rsidP="000A7BFB">
      <w:pPr>
        <w:pStyle w:val="EndnoteText"/>
        <w:spacing w:after="120"/>
      </w:pPr>
      <w:r>
        <w:rPr>
          <w:rStyle w:val="EndnoteReference"/>
        </w:rPr>
        <w:endnoteRef/>
      </w:r>
      <w:r>
        <w:t xml:space="preserve"> Theecanmole. (2025). </w:t>
      </w:r>
      <w:r w:rsidRPr="003254A9">
        <w:rPr>
          <w:i/>
          <w:iCs/>
        </w:rPr>
        <w:t xml:space="preserve">New Zealand </w:t>
      </w:r>
      <w:r>
        <w:rPr>
          <w:i/>
          <w:iCs/>
        </w:rPr>
        <w:t>E</w:t>
      </w:r>
      <w:r w:rsidRPr="003254A9">
        <w:rPr>
          <w:i/>
          <w:iCs/>
        </w:rPr>
        <w:t xml:space="preserve">missions </w:t>
      </w:r>
      <w:r>
        <w:rPr>
          <w:i/>
          <w:iCs/>
        </w:rPr>
        <w:t>U</w:t>
      </w:r>
      <w:r w:rsidRPr="003254A9">
        <w:rPr>
          <w:i/>
          <w:iCs/>
        </w:rPr>
        <w:t>nit Prices in the NZ Emissions Trading Scheme 2010 to date</w:t>
      </w:r>
      <w:r>
        <w:t xml:space="preserve">. Github. </w:t>
      </w:r>
      <w:hyperlink r:id="rId7" w:history="1">
        <w:r w:rsidR="002E098D" w:rsidRPr="00C43519">
          <w:rPr>
            <w:rStyle w:val="Hyperlink"/>
          </w:rPr>
          <w:t>https://github.com/theecanmole/nzu</w:t>
        </w:r>
      </w:hyperlink>
      <w:r w:rsidR="002E098D">
        <w:t xml:space="preserve"> </w:t>
      </w:r>
    </w:p>
  </w:endnote>
  <w:endnote w:id="9">
    <w:p w14:paraId="4C51BAB8" w14:textId="0442A7A8" w:rsidR="0079489A" w:rsidRDefault="0079489A" w:rsidP="000A7BFB">
      <w:pPr>
        <w:pStyle w:val="EndnoteText"/>
        <w:spacing w:after="120"/>
      </w:pPr>
      <w:r>
        <w:rPr>
          <w:rStyle w:val="EndnoteReference"/>
        </w:rPr>
        <w:endnoteRef/>
      </w:r>
      <w:r>
        <w:t xml:space="preserve"> </w:t>
      </w:r>
      <w:r w:rsidR="00986B10">
        <w:t>New Zealand Government.</w:t>
      </w:r>
      <w:r w:rsidR="00DD449F">
        <w:t xml:space="preserve"> (2024). </w:t>
      </w:r>
      <w:r w:rsidR="00DD449F" w:rsidRPr="003254A9">
        <w:rPr>
          <w:i/>
          <w:iCs/>
        </w:rPr>
        <w:t xml:space="preserve">Government reduces </w:t>
      </w:r>
      <w:r w:rsidR="00142B20" w:rsidRPr="003254A9">
        <w:rPr>
          <w:i/>
          <w:iCs/>
        </w:rPr>
        <w:t>F</w:t>
      </w:r>
      <w:r w:rsidR="00DD449F" w:rsidRPr="003254A9">
        <w:rPr>
          <w:i/>
          <w:iCs/>
        </w:rPr>
        <w:t xml:space="preserve">orestry </w:t>
      </w:r>
      <w:r w:rsidR="00142B20" w:rsidRPr="003254A9">
        <w:rPr>
          <w:i/>
          <w:iCs/>
        </w:rPr>
        <w:t xml:space="preserve">ETS </w:t>
      </w:r>
      <w:r w:rsidR="00DD449F" w:rsidRPr="003254A9">
        <w:rPr>
          <w:i/>
          <w:iCs/>
        </w:rPr>
        <w:t>annual cha</w:t>
      </w:r>
      <w:r w:rsidR="00CB5ED4" w:rsidRPr="003254A9">
        <w:rPr>
          <w:i/>
          <w:iCs/>
        </w:rPr>
        <w:t>rge by 50 per cent</w:t>
      </w:r>
      <w:r w:rsidR="00142B20" w:rsidRPr="003254A9">
        <w:rPr>
          <w:i/>
          <w:iCs/>
        </w:rPr>
        <w:t>.</w:t>
      </w:r>
      <w:r w:rsidR="00986B10">
        <w:t xml:space="preserve"> </w:t>
      </w:r>
      <w:r w:rsidR="00CB5ED4" w:rsidDel="00986B10">
        <w:t xml:space="preserve"> </w:t>
      </w:r>
      <w:hyperlink r:id="rId8" w:history="1">
        <w:r w:rsidR="002E098D" w:rsidRPr="00C43519">
          <w:rPr>
            <w:rStyle w:val="Hyperlink"/>
          </w:rPr>
          <w:t>https://www.beehive.govt.nz/release/government-reduces-forestry-ets-annual-charge-50-cent</w:t>
        </w:r>
      </w:hyperlink>
      <w:r w:rsidR="002E098D">
        <w:t xml:space="preserve"> </w:t>
      </w:r>
      <w:r>
        <w:t xml:space="preserve"> </w:t>
      </w:r>
    </w:p>
  </w:endnote>
  <w:endnote w:id="10">
    <w:p w14:paraId="76750439" w14:textId="432A3A74" w:rsidR="0079489A" w:rsidRDefault="0079489A" w:rsidP="000A7BFB">
      <w:pPr>
        <w:pStyle w:val="EndnoteText"/>
        <w:spacing w:after="120"/>
      </w:pPr>
      <w:r>
        <w:rPr>
          <w:rStyle w:val="EndnoteReference"/>
        </w:rPr>
        <w:endnoteRef/>
      </w:r>
      <w:r>
        <w:t xml:space="preserve"> </w:t>
      </w:r>
      <w:r w:rsidR="00EB4055">
        <w:t>Ministry</w:t>
      </w:r>
      <w:r w:rsidR="00EB4055" w:rsidDel="00B35916">
        <w:t xml:space="preserve"> </w:t>
      </w:r>
      <w:r w:rsidR="00B35916">
        <w:t xml:space="preserve">for </w:t>
      </w:r>
      <w:r w:rsidR="00EB4055">
        <w:t>Primary Industries</w:t>
      </w:r>
      <w:r w:rsidR="00B7487E">
        <w:t>.</w:t>
      </w:r>
      <w:r w:rsidR="00EB4055">
        <w:t xml:space="preserve"> </w:t>
      </w:r>
      <w:r w:rsidR="00B7487E">
        <w:t xml:space="preserve">(n.d). </w:t>
      </w:r>
      <w:r w:rsidR="004E6524" w:rsidRPr="003254A9">
        <w:rPr>
          <w:i/>
          <w:iCs/>
        </w:rPr>
        <w:t>Maximising forest carbon</w:t>
      </w:r>
      <w:r w:rsidR="001A5909">
        <w:t xml:space="preserve">. </w:t>
      </w:r>
      <w:hyperlink r:id="rId9" w:history="1">
        <w:r w:rsidR="00B7487E" w:rsidRPr="00B7487E">
          <w:rPr>
            <w:rStyle w:val="Hyperlink"/>
          </w:rPr>
          <w:t>https://www.mpi.govt.nz/forestry/forest-science-and-research/maximising-forest-carbon/</w:t>
        </w:r>
      </w:hyperlink>
      <w:r>
        <w:t xml:space="preserve"> </w:t>
      </w:r>
    </w:p>
  </w:endnote>
  <w:endnote w:id="11">
    <w:p w14:paraId="3C693B11" w14:textId="00993A7D" w:rsidR="003C023C" w:rsidRDefault="003C023C" w:rsidP="000A7BFB">
      <w:pPr>
        <w:pStyle w:val="EndnoteText"/>
        <w:spacing w:after="120"/>
      </w:pPr>
      <w:r>
        <w:rPr>
          <w:rStyle w:val="EndnoteReference"/>
        </w:rPr>
        <w:endnoteRef/>
      </w:r>
      <w:r>
        <w:t xml:space="preserve"> Ministry for the Environment. (2025). </w:t>
      </w:r>
      <w:r w:rsidRPr="008E4153">
        <w:rPr>
          <w:i/>
          <w:iCs/>
        </w:rPr>
        <w:t xml:space="preserve">New Zealand’s </w:t>
      </w:r>
      <w:r w:rsidR="00752801" w:rsidRPr="008E4153">
        <w:rPr>
          <w:i/>
          <w:iCs/>
        </w:rPr>
        <w:t xml:space="preserve">second Nationally Determined Contribution: Submission under the Paris Agreement. </w:t>
      </w:r>
      <w:hyperlink r:id="rId10" w:history="1">
        <w:r w:rsidR="00752801" w:rsidRPr="006E1CE3">
          <w:rPr>
            <w:rStyle w:val="Hyperlink"/>
          </w:rPr>
          <w:t>https://environment.govt.nz/publications/new-zealands-second-nationally-determined-contribution-submission-under-the-paris-agreement/</w:t>
        </w:r>
      </w:hyperlink>
      <w:r w:rsidR="00752801">
        <w:t xml:space="preserve"> </w:t>
      </w:r>
    </w:p>
  </w:endnote>
  <w:endnote w:id="12">
    <w:p w14:paraId="7B7C14AB" w14:textId="07DFCAA0" w:rsidR="000B1535" w:rsidRDefault="000B1535" w:rsidP="00907EC5">
      <w:pPr>
        <w:pStyle w:val="EndnoteText"/>
        <w:spacing w:after="120"/>
      </w:pPr>
      <w:r>
        <w:rPr>
          <w:rStyle w:val="EndnoteReference"/>
        </w:rPr>
        <w:endnoteRef/>
      </w:r>
      <w:r>
        <w:t xml:space="preserve"> Ministry for the Environment</w:t>
      </w:r>
      <w:r w:rsidR="00274F7A">
        <w:t>. (20</w:t>
      </w:r>
      <w:r w:rsidR="009C6FA5">
        <w:t>2</w:t>
      </w:r>
      <w:r w:rsidR="0043692C">
        <w:t>4</w:t>
      </w:r>
      <w:r w:rsidR="009C6FA5">
        <w:t>).</w:t>
      </w:r>
      <w:r w:rsidR="00012647">
        <w:t xml:space="preserve"> </w:t>
      </w:r>
      <w:r w:rsidR="00012647" w:rsidRPr="000F5DDE">
        <w:rPr>
          <w:i/>
        </w:rPr>
        <w:t xml:space="preserve">Nationally Determined Contribution Strategy. </w:t>
      </w:r>
      <w:hyperlink r:id="rId11" w:history="1">
        <w:r w:rsidR="00012647" w:rsidRPr="00FB1917">
          <w:rPr>
            <w:rStyle w:val="Hyperlink"/>
          </w:rPr>
          <w:t>https://environment.govt.nz/what-government-is-doing/cabinet-papers-and-regulatory-impact-statements/nationally-determined-contribution-strategy/</w:t>
        </w:r>
      </w:hyperlink>
      <w:r w:rsidR="00012647">
        <w:t xml:space="preserve"> </w:t>
      </w:r>
    </w:p>
  </w:endnote>
  <w:endnote w:id="13">
    <w:p w14:paraId="4C00A9BA" w14:textId="08C93CCB" w:rsidR="00970C58" w:rsidRDefault="00970C58" w:rsidP="008A5285">
      <w:pPr>
        <w:pStyle w:val="EndnoteText"/>
        <w:spacing w:after="120"/>
      </w:pPr>
      <w:r>
        <w:rPr>
          <w:rStyle w:val="EndnoteReference"/>
        </w:rPr>
        <w:endnoteRef/>
      </w:r>
      <w:r>
        <w:t xml:space="preserve"> </w:t>
      </w:r>
      <w:r w:rsidR="00450C57">
        <w:t xml:space="preserve">Ministry for the Environment. (2024). </w:t>
      </w:r>
      <w:r w:rsidR="00450C57" w:rsidRPr="00355D0B">
        <w:rPr>
          <w:i/>
          <w:iCs/>
        </w:rPr>
        <w:t>New Zealand’s First Biennial Transparency Report under the Paris Agreement.</w:t>
      </w:r>
      <w:r w:rsidR="00450C57">
        <w:t xml:space="preserve"> </w:t>
      </w:r>
      <w:r w:rsidR="00597668">
        <w:t>A</w:t>
      </w:r>
      <w:r w:rsidR="00450C57">
        <w:t>t 21</w:t>
      </w:r>
      <w:r w:rsidR="00597668">
        <w:t>.</w:t>
      </w:r>
      <w:r w:rsidR="00450C57" w:rsidRPr="00450C57">
        <w:t xml:space="preserve"> </w:t>
      </w:r>
      <w:hyperlink r:id="rId12" w:history="1">
        <w:r w:rsidR="00450C57" w:rsidRPr="00A243F1">
          <w:rPr>
            <w:rStyle w:val="Hyperlink"/>
          </w:rPr>
          <w:t>https://environment.govt.nz/publications/new-zealands-first-biennial-transparency-report-under-the-paris-agreement/</w:t>
        </w:r>
      </w:hyperlink>
      <w:r w:rsidR="00450C57">
        <w:t xml:space="preserve"> </w:t>
      </w:r>
    </w:p>
  </w:endnote>
  <w:endnote w:id="14">
    <w:p w14:paraId="40CEE12B" w14:textId="67FDC5A1" w:rsidR="00E52E86" w:rsidRDefault="00E52E86" w:rsidP="000A7BFB">
      <w:pPr>
        <w:pStyle w:val="EndnoteText"/>
        <w:spacing w:after="120"/>
      </w:pPr>
      <w:r>
        <w:rPr>
          <w:rStyle w:val="EndnoteReference"/>
        </w:rPr>
        <w:endnoteRef/>
      </w:r>
      <w:r>
        <w:t xml:space="preserve"> </w:t>
      </w:r>
      <w:r w:rsidR="00463612">
        <w:t xml:space="preserve">Ministry for the Environment. (2024). </w:t>
      </w:r>
      <w:r w:rsidR="00463612" w:rsidRPr="003254A9">
        <w:rPr>
          <w:i/>
          <w:iCs/>
        </w:rPr>
        <w:t xml:space="preserve">New Zealand’s </w:t>
      </w:r>
      <w:r w:rsidR="00D40EC6" w:rsidRPr="003254A9">
        <w:rPr>
          <w:i/>
          <w:iCs/>
        </w:rPr>
        <w:t>second emissions reduction plan 2026</w:t>
      </w:r>
      <w:r w:rsidR="00A611D6" w:rsidRPr="000A1433">
        <w:rPr>
          <w:b/>
          <w:bCs/>
        </w:rPr>
        <w:t>–</w:t>
      </w:r>
      <w:r w:rsidR="00D40EC6" w:rsidRPr="003254A9">
        <w:rPr>
          <w:i/>
          <w:iCs/>
        </w:rPr>
        <w:t>30: Technical annex</w:t>
      </w:r>
      <w:r w:rsidR="00D40EC6">
        <w:t xml:space="preserve">. </w:t>
      </w:r>
      <w:r w:rsidR="00EF7E55">
        <w:t xml:space="preserve">Appendix 4. </w:t>
      </w:r>
      <w:hyperlink r:id="rId13" w:history="1">
        <w:r w:rsidR="0022344F" w:rsidRPr="00A243F1">
          <w:rPr>
            <w:rStyle w:val="Hyperlink"/>
          </w:rPr>
          <w:t>https://environment.govt.nz/publications/second-emissions-reduction-plan-technical-annex/</w:t>
        </w:r>
      </w:hyperlink>
      <w:r w:rsidR="0022344F">
        <w:t xml:space="preserve"> </w:t>
      </w:r>
    </w:p>
  </w:endnote>
  <w:endnote w:id="15">
    <w:p w14:paraId="01F63EB9" w14:textId="77777777" w:rsidR="00CD476F" w:rsidRDefault="00CD476F" w:rsidP="000A7BFB">
      <w:pPr>
        <w:pStyle w:val="EndnoteText"/>
        <w:spacing w:after="120"/>
      </w:pPr>
      <w:r>
        <w:rPr>
          <w:rStyle w:val="EndnoteReference"/>
        </w:rPr>
        <w:endnoteRef/>
      </w:r>
      <w:r>
        <w:t xml:space="preserve"> Ministry for the Environment. (2025). </w:t>
      </w:r>
      <w:r w:rsidRPr="00D667C3">
        <w:rPr>
          <w:i/>
        </w:rPr>
        <w:t xml:space="preserve">Industrial </w:t>
      </w:r>
      <w:r>
        <w:rPr>
          <w:i/>
          <w:iCs/>
        </w:rPr>
        <w:t>a</w:t>
      </w:r>
      <w:r w:rsidRPr="00D667C3">
        <w:rPr>
          <w:i/>
        </w:rPr>
        <w:t>llocation 2025. NZ Aluminium Smelter and NZ Steel</w:t>
      </w:r>
      <w:r>
        <w:t xml:space="preserve">. </w:t>
      </w:r>
      <w:hyperlink r:id="rId14" w:history="1">
        <w:r w:rsidRPr="00A243F1">
          <w:rPr>
            <w:rStyle w:val="Hyperlink"/>
          </w:rPr>
          <w:t>https://environment.govt.nz/what-government-is-doing/cabinet-papers-and-regulatory-impact-statements/industrial-allocation-2024/</w:t>
        </w:r>
      </w:hyperlink>
      <w:r>
        <w:t xml:space="preserve"> </w:t>
      </w:r>
    </w:p>
  </w:endnote>
  <w:endnote w:id="16">
    <w:p w14:paraId="7332451D" w14:textId="330E4E0B" w:rsidR="00C0367E" w:rsidRPr="00C0367E" w:rsidRDefault="00C0367E" w:rsidP="00C04201">
      <w:pPr>
        <w:pStyle w:val="EndnoteText"/>
        <w:spacing w:after="120"/>
        <w:rPr>
          <w:lang w:val="mi-NZ"/>
        </w:rPr>
      </w:pPr>
      <w:r>
        <w:rPr>
          <w:rStyle w:val="EndnoteReference"/>
        </w:rPr>
        <w:endnoteRef/>
      </w:r>
      <w:r>
        <w:t xml:space="preserve"> </w:t>
      </w:r>
      <w:r w:rsidR="009D34EC" w:rsidRPr="009D34EC">
        <w:t>Ernst &amp; Young</w:t>
      </w:r>
      <w:r w:rsidR="00A01527">
        <w:t>.</w:t>
      </w:r>
      <w:r w:rsidR="009D34EC" w:rsidRPr="009D34EC">
        <w:t xml:space="preserve"> (</w:t>
      </w:r>
      <w:r w:rsidR="0017753A">
        <w:t>20</w:t>
      </w:r>
      <w:r w:rsidR="00C04201">
        <w:t>2</w:t>
      </w:r>
      <w:r w:rsidR="0017753A">
        <w:t>4</w:t>
      </w:r>
      <w:r w:rsidR="009D34EC" w:rsidRPr="009D34EC">
        <w:t>)</w:t>
      </w:r>
      <w:r w:rsidR="00B95412">
        <w:t xml:space="preserve">. </w:t>
      </w:r>
      <w:r w:rsidR="00353BF5" w:rsidRPr="00730061">
        <w:rPr>
          <w:i/>
          <w:iCs/>
        </w:rPr>
        <w:t>New Zealand’s Emissions Trading Scheme (ETS) NZU Surplus Advice</w:t>
      </w:r>
      <w:r w:rsidR="00240BE9">
        <w:t>.</w:t>
      </w:r>
      <w:r w:rsidR="00353BF5" w:rsidRPr="0051561B">
        <w:t xml:space="preserve"> </w:t>
      </w:r>
      <w:hyperlink r:id="rId15" w:history="1">
        <w:r w:rsidR="00353BF5" w:rsidRPr="0051561B">
          <w:rPr>
            <w:rStyle w:val="Hyperlink"/>
          </w:rPr>
          <w:t>https://environment.govt.nz/assets/publications/climate-change/nzets-nzu-surplus-advice.pdf</w:t>
        </w:r>
      </w:hyperlink>
    </w:p>
  </w:endnote>
  <w:endnote w:id="17">
    <w:p w14:paraId="65B3FBA1" w14:textId="02AA51AD" w:rsidR="00711212" w:rsidRDefault="00711212">
      <w:pPr>
        <w:pStyle w:val="EndnoteText"/>
      </w:pPr>
      <w:r>
        <w:rPr>
          <w:rStyle w:val="EndnoteReference"/>
        </w:rPr>
        <w:endnoteRef/>
      </w:r>
      <w:r>
        <w:t xml:space="preserve"> </w:t>
      </w:r>
      <w:r w:rsidR="00363E3C">
        <w:t>Ministry</w:t>
      </w:r>
      <w:r w:rsidR="00363E3C" w:rsidDel="00A01527">
        <w:t xml:space="preserve"> </w:t>
      </w:r>
      <w:r w:rsidR="00A01527">
        <w:t xml:space="preserve">for </w:t>
      </w:r>
      <w:r w:rsidR="00363E3C">
        <w:t xml:space="preserve">Primary Industries. (n.d). </w:t>
      </w:r>
      <w:r w:rsidR="00363E3C" w:rsidRPr="003254A9">
        <w:rPr>
          <w:i/>
          <w:iCs/>
        </w:rPr>
        <w:t>Maximising forest carbon</w:t>
      </w:r>
      <w:r w:rsidR="00363E3C">
        <w:t xml:space="preserve">. </w:t>
      </w:r>
      <w:hyperlink r:id="rId16" w:history="1">
        <w:r w:rsidR="00363E3C" w:rsidRPr="00B7487E">
          <w:rPr>
            <w:rStyle w:val="Hyperlink"/>
          </w:rPr>
          <w:t>https://www.mpi.govt.nz/forestry/forest-science-and-research/maximising-forest-carbon/</w:t>
        </w:r>
      </w:hyperlink>
      <w:r w:rsidR="00363E3C">
        <w:t xml:space="preserve"> </w:t>
      </w:r>
    </w:p>
  </w:endnote>
  <w:endnote w:id="18">
    <w:p w14:paraId="40F2F9B5" w14:textId="77777777" w:rsidR="00243E15" w:rsidRDefault="00243E15" w:rsidP="000A7BFB">
      <w:pPr>
        <w:pStyle w:val="EndnoteText"/>
        <w:spacing w:after="120"/>
      </w:pPr>
      <w:r>
        <w:rPr>
          <w:rStyle w:val="EndnoteReference"/>
        </w:rPr>
        <w:endnoteRef/>
      </w:r>
      <w:r>
        <w:t xml:space="preserve"> Ministry for the Environment. (2024). </w:t>
      </w:r>
      <w:r w:rsidRPr="00355D0B">
        <w:rPr>
          <w:i/>
          <w:iCs/>
        </w:rPr>
        <w:t>New Zealand’s second emissions reduction plan 2026</w:t>
      </w:r>
      <w:r w:rsidRPr="000A1433">
        <w:rPr>
          <w:b/>
          <w:bCs/>
        </w:rPr>
        <w:t>–</w:t>
      </w:r>
      <w:r w:rsidRPr="00355D0B">
        <w:rPr>
          <w:i/>
          <w:iCs/>
        </w:rPr>
        <w:t>30</w:t>
      </w:r>
      <w:r>
        <w:rPr>
          <w:i/>
          <w:iCs/>
        </w:rPr>
        <w:t xml:space="preserve">. </w:t>
      </w:r>
      <w:r w:rsidRPr="003254A9">
        <w:t>At</w:t>
      </w:r>
      <w:r>
        <w:t xml:space="preserve"> 24 </w:t>
      </w:r>
      <w:hyperlink r:id="rId17" w:history="1">
        <w:r w:rsidRPr="00F5187E">
          <w:rPr>
            <w:rStyle w:val="Hyperlink"/>
          </w:rPr>
          <w:t>https://environment.govt.nz/assets/publications/climate-change/ERP2/New-Zealands-second-emissions-reduction-plan-202630.pdf</w:t>
        </w:r>
      </w:hyperlink>
      <w:r>
        <w:t xml:space="preserve"> </w:t>
      </w:r>
    </w:p>
  </w:endnote>
  <w:endnote w:id="19">
    <w:p w14:paraId="0994D1BF" w14:textId="08AD1C6E" w:rsidR="00826D91" w:rsidRDefault="00826D91" w:rsidP="000A7BFB">
      <w:pPr>
        <w:pStyle w:val="EndnoteText"/>
        <w:spacing w:after="120"/>
      </w:pPr>
      <w:r>
        <w:rPr>
          <w:rStyle w:val="EndnoteReference"/>
        </w:rPr>
        <w:endnoteRef/>
      </w:r>
      <w:r>
        <w:t xml:space="preserve"> </w:t>
      </w:r>
      <w:r w:rsidR="00DC0EF0">
        <w:t xml:space="preserve">Ministry for the Environment. (2024). </w:t>
      </w:r>
      <w:r w:rsidR="00DC0EF0" w:rsidRPr="00355D0B">
        <w:rPr>
          <w:i/>
          <w:iCs/>
        </w:rPr>
        <w:t>New Zealand’s second emissions reduction plan 2026</w:t>
      </w:r>
      <w:r w:rsidR="00CA1FEE" w:rsidRPr="000A1433">
        <w:rPr>
          <w:b/>
          <w:bCs/>
        </w:rPr>
        <w:t>–</w:t>
      </w:r>
      <w:r w:rsidR="00DC0EF0" w:rsidRPr="00355D0B">
        <w:rPr>
          <w:i/>
          <w:iCs/>
        </w:rPr>
        <w:t>30</w:t>
      </w:r>
      <w:r w:rsidR="00DC0EF0">
        <w:rPr>
          <w:i/>
          <w:iCs/>
        </w:rPr>
        <w:t xml:space="preserve">. </w:t>
      </w:r>
      <w:hyperlink r:id="rId18" w:history="1">
        <w:r w:rsidR="00DC0EF0" w:rsidRPr="00F5187E">
          <w:rPr>
            <w:rStyle w:val="Hyperlink"/>
          </w:rPr>
          <w:t>https://environment.govt.nz/assets/publications/climate-change/ERP2/New-Zealands-second-emissions-reduction-plan-202630.pdf</w:t>
        </w:r>
      </w:hyperlink>
    </w:p>
  </w:endnote>
  <w:endnote w:id="20">
    <w:p w14:paraId="3585E9DA" w14:textId="2B9E3791" w:rsidR="00DD11DA" w:rsidRDefault="00DD11DA" w:rsidP="000A7BFB">
      <w:pPr>
        <w:pStyle w:val="EndnoteText"/>
        <w:spacing w:after="120"/>
      </w:pPr>
      <w:r>
        <w:rPr>
          <w:rStyle w:val="EndnoteReference"/>
        </w:rPr>
        <w:endnoteRef/>
      </w:r>
      <w:r>
        <w:t xml:space="preserve"> </w:t>
      </w:r>
      <w:r w:rsidR="00DC0EF0">
        <w:t xml:space="preserve">Ministry for the Environment. (2024). </w:t>
      </w:r>
      <w:r w:rsidR="00DC0EF0" w:rsidRPr="00355D0B">
        <w:rPr>
          <w:i/>
          <w:iCs/>
        </w:rPr>
        <w:t>New Zealand’s second emissions reduction plan 2026</w:t>
      </w:r>
      <w:r w:rsidR="00AC0C7C" w:rsidRPr="000A1433">
        <w:rPr>
          <w:b/>
          <w:bCs/>
        </w:rPr>
        <w:t>–</w:t>
      </w:r>
      <w:r w:rsidR="00DC0EF0" w:rsidRPr="00355D0B">
        <w:rPr>
          <w:i/>
          <w:iCs/>
        </w:rPr>
        <w:t>30: Technical annex</w:t>
      </w:r>
      <w:r w:rsidR="00DC0EF0">
        <w:t xml:space="preserve">. Appendix 4. </w:t>
      </w:r>
      <w:hyperlink r:id="rId19" w:history="1">
        <w:r w:rsidR="00DC0EF0" w:rsidRPr="00EF7E55">
          <w:rPr>
            <w:rStyle w:val="Hyperlink"/>
          </w:rPr>
          <w:t>https://environment.govt.nz/publications/second-emissions-reduction-plan-technical-annex/</w:t>
        </w:r>
      </w:hyperlink>
      <w:r>
        <w:t xml:space="preserve"> </w:t>
      </w:r>
    </w:p>
  </w:endnote>
  <w:endnote w:id="21">
    <w:p w14:paraId="115B616B" w14:textId="40045153" w:rsidR="006B3F62" w:rsidRDefault="006B3F62" w:rsidP="000A7BFB">
      <w:pPr>
        <w:pStyle w:val="EndnoteText"/>
        <w:spacing w:after="120"/>
      </w:pPr>
      <w:r>
        <w:rPr>
          <w:rStyle w:val="EndnoteReference"/>
        </w:rPr>
        <w:endnoteRef/>
      </w:r>
      <w:r>
        <w:t xml:space="preserve"> Ministry for Primary Industries, </w:t>
      </w:r>
      <w:r w:rsidR="003C7179">
        <w:t xml:space="preserve">(2024). </w:t>
      </w:r>
      <w:r w:rsidR="003C7179" w:rsidRPr="008E4153">
        <w:rPr>
          <w:i/>
          <w:iCs/>
        </w:rPr>
        <w:t>National Exotic Forest Description 2024</w:t>
      </w:r>
      <w:r w:rsidR="003C7179">
        <w:t xml:space="preserve">. </w:t>
      </w:r>
      <w:r w:rsidR="003E2E95">
        <w:t xml:space="preserve">At 2. </w:t>
      </w:r>
      <w:hyperlink r:id="rId20" w:history="1">
        <w:r w:rsidR="003E2E95" w:rsidRPr="006E1CE3">
          <w:rPr>
            <w:rStyle w:val="Hyperlink"/>
          </w:rPr>
          <w:t>https://www.mpi.govt.nz/dmsdocument/66273-National-Exotic-Forest-Description-2024-report</w:t>
        </w:r>
      </w:hyperlink>
      <w:r w:rsidR="003E2E95">
        <w:t xml:space="preserve"> </w:t>
      </w:r>
    </w:p>
  </w:endnote>
  <w:endnote w:id="22">
    <w:p w14:paraId="5A4024FF" w14:textId="461A2A98" w:rsidR="007378DE" w:rsidRDefault="007378DE" w:rsidP="000A7BFB">
      <w:pPr>
        <w:pStyle w:val="EndnoteText"/>
        <w:spacing w:after="120"/>
      </w:pPr>
      <w:r w:rsidRPr="009D25DD">
        <w:rPr>
          <w:rStyle w:val="EndnoteReference"/>
        </w:rPr>
        <w:endnoteRef/>
      </w:r>
      <w:r w:rsidRPr="009D25DD">
        <w:t xml:space="preserve"> </w:t>
      </w:r>
      <w:r w:rsidR="001D68CB" w:rsidRPr="003254A9">
        <w:t>Ministry for the Environment</w:t>
      </w:r>
      <w:r w:rsidR="00491352" w:rsidRPr="003254A9">
        <w:t>. (</w:t>
      </w:r>
      <w:r w:rsidR="00264B53" w:rsidRPr="003254A9">
        <w:t>2024</w:t>
      </w:r>
      <w:r w:rsidR="00491352" w:rsidRPr="003254A9">
        <w:t xml:space="preserve">). </w:t>
      </w:r>
      <w:r w:rsidR="00491352" w:rsidRPr="003254A9">
        <w:rPr>
          <w:i/>
          <w:iCs/>
        </w:rPr>
        <w:t>BRF-4225 Draft papers for February’s CPMG</w:t>
      </w:r>
      <w:r w:rsidR="00363E3C">
        <w:rPr>
          <w:i/>
          <w:iCs/>
        </w:rPr>
        <w:t xml:space="preserve"> </w:t>
      </w:r>
      <w:r w:rsidR="00491352" w:rsidRPr="003254A9">
        <w:rPr>
          <w:i/>
          <w:iCs/>
        </w:rPr>
        <w:t xml:space="preserve">Meeting </w:t>
      </w:r>
      <w:r w:rsidR="00AE36D2" w:rsidRPr="00647E27">
        <w:rPr>
          <w:i/>
          <w:iCs/>
        </w:rPr>
        <w:t>–</w:t>
      </w:r>
      <w:r w:rsidR="00491352" w:rsidRPr="003254A9">
        <w:rPr>
          <w:i/>
          <w:iCs/>
        </w:rPr>
        <w:t xml:space="preserve"> Appendix </w:t>
      </w:r>
      <w:r w:rsidR="00264B53" w:rsidRPr="003254A9">
        <w:rPr>
          <w:i/>
          <w:iCs/>
        </w:rPr>
        <w:t>2</w:t>
      </w:r>
      <w:r w:rsidR="00491352" w:rsidRPr="003254A9">
        <w:rPr>
          <w:i/>
          <w:iCs/>
        </w:rPr>
        <w:t>:</w:t>
      </w:r>
      <w:r w:rsidR="00264B53" w:rsidRPr="003254A9">
        <w:rPr>
          <w:i/>
          <w:iCs/>
        </w:rPr>
        <w:t xml:space="preserve"> Setting our net zero strategy</w:t>
      </w:r>
      <w:r w:rsidR="00264B53">
        <w:t xml:space="preserve">. </w:t>
      </w:r>
      <w:r w:rsidR="009D25DD">
        <w:t xml:space="preserve">At p4 of document, 102 of PDF. </w:t>
      </w:r>
      <w:hyperlink r:id="rId21" w:history="1">
        <w:r w:rsidR="009D25DD" w:rsidRPr="00A243F1">
          <w:rPr>
            <w:rStyle w:val="Hyperlink"/>
          </w:rPr>
          <w:t>https://environment.govt.nz/assets/publications/BRF-5034-ERP2-Climate-MfE.pdf</w:t>
        </w:r>
      </w:hyperlink>
      <w:r w:rsidR="00491352">
        <w:t xml:space="preserve"> </w:t>
      </w:r>
      <w:r w:rsidR="00491352">
        <w:rPr>
          <w:highlight w:val="yellow"/>
        </w:rPr>
        <w:t xml:space="preserve"> </w:t>
      </w:r>
    </w:p>
  </w:endnote>
  <w:endnote w:id="23">
    <w:p w14:paraId="60719948" w14:textId="01F013FA" w:rsidR="00C748C1" w:rsidRDefault="00C748C1" w:rsidP="000A7BFB">
      <w:pPr>
        <w:pStyle w:val="EndnoteText"/>
        <w:spacing w:after="120"/>
      </w:pPr>
      <w:r>
        <w:rPr>
          <w:rStyle w:val="EndnoteReference"/>
        </w:rPr>
        <w:endnoteRef/>
      </w:r>
      <w:r>
        <w:t xml:space="preserve"> </w:t>
      </w:r>
      <w:r w:rsidR="000F5B1E">
        <w:t>Manley</w:t>
      </w:r>
      <w:r w:rsidR="004C0BC4">
        <w:t>, B. (202</w:t>
      </w:r>
      <w:r w:rsidR="0036263A">
        <w:t>4</w:t>
      </w:r>
      <w:r w:rsidR="004C0BC4">
        <w:t xml:space="preserve">). </w:t>
      </w:r>
      <w:r w:rsidR="0036263A" w:rsidRPr="003254A9">
        <w:rPr>
          <w:i/>
          <w:iCs/>
        </w:rPr>
        <w:t xml:space="preserve">Afforestation and </w:t>
      </w:r>
      <w:r w:rsidR="00597EE0" w:rsidRPr="003254A9">
        <w:rPr>
          <w:i/>
          <w:iCs/>
        </w:rPr>
        <w:t>D</w:t>
      </w:r>
      <w:r w:rsidR="0036263A" w:rsidRPr="003254A9">
        <w:rPr>
          <w:i/>
          <w:iCs/>
        </w:rPr>
        <w:t xml:space="preserve">eforestation </w:t>
      </w:r>
      <w:r w:rsidR="00597EE0" w:rsidRPr="003254A9">
        <w:rPr>
          <w:i/>
          <w:iCs/>
        </w:rPr>
        <w:t>I</w:t>
      </w:r>
      <w:r w:rsidR="0036263A" w:rsidRPr="003254A9">
        <w:rPr>
          <w:i/>
          <w:iCs/>
        </w:rPr>
        <w:t xml:space="preserve">ntentions </w:t>
      </w:r>
      <w:r w:rsidR="00597EE0" w:rsidRPr="003254A9">
        <w:rPr>
          <w:i/>
          <w:iCs/>
        </w:rPr>
        <w:t>S</w:t>
      </w:r>
      <w:r w:rsidR="0036263A" w:rsidRPr="003254A9">
        <w:rPr>
          <w:i/>
          <w:iCs/>
        </w:rPr>
        <w:t>urvey 2023: Final report</w:t>
      </w:r>
      <w:r w:rsidR="00597EE0" w:rsidRPr="003254A9">
        <w:rPr>
          <w:i/>
          <w:iCs/>
        </w:rPr>
        <w:t>.</w:t>
      </w:r>
      <w:r w:rsidR="00597EE0">
        <w:t xml:space="preserve"> Ministry </w:t>
      </w:r>
      <w:r w:rsidR="00CE6B59">
        <w:t xml:space="preserve">for </w:t>
      </w:r>
      <w:r w:rsidR="00597EE0">
        <w:t xml:space="preserve">Primary Industries. </w:t>
      </w:r>
      <w:hyperlink r:id="rId22" w:history="1">
        <w:r w:rsidR="00597EE0" w:rsidRPr="00A243F1">
          <w:rPr>
            <w:rStyle w:val="Hyperlink"/>
          </w:rPr>
          <w:t>https://www.mpi.govt.nz/dmsdocument/62313-Afforestation-and-Deforestation-Intentions-Survey-2023</w:t>
        </w:r>
      </w:hyperlink>
      <w:r w:rsidR="004C0BC4">
        <w:t xml:space="preserve"> </w:t>
      </w:r>
    </w:p>
  </w:endnote>
  <w:endnote w:id="24">
    <w:p w14:paraId="2C6D1AFA" w14:textId="72B2EF69" w:rsidR="007945F4" w:rsidRDefault="007945F4" w:rsidP="000A7BFB">
      <w:pPr>
        <w:pStyle w:val="EndnoteText"/>
        <w:spacing w:after="120"/>
      </w:pPr>
      <w:r>
        <w:rPr>
          <w:rStyle w:val="EndnoteReference"/>
        </w:rPr>
        <w:endnoteRef/>
      </w:r>
      <w:r>
        <w:t xml:space="preserve"> </w:t>
      </w:r>
      <w:r w:rsidR="00986B10">
        <w:t>New Zealand Government</w:t>
      </w:r>
      <w:r w:rsidR="00C84E11">
        <w:t>. (2024). Protecting NZ food production and ETS credibility</w:t>
      </w:r>
      <w:r w:rsidR="00574E6B">
        <w:t xml:space="preserve">. </w:t>
      </w:r>
      <w:hyperlink r:id="rId23" w:history="1">
        <w:r w:rsidR="00574E6B" w:rsidRPr="00574E6B">
          <w:rPr>
            <w:rStyle w:val="Hyperlink"/>
          </w:rPr>
          <w:t>https://www.beehive.govt.nz/release/protecting-nz-food-production-and-ets-credibility</w:t>
        </w:r>
      </w:hyperlink>
      <w:r w:rsidR="00574E6B">
        <w:t xml:space="preserve"> </w:t>
      </w:r>
    </w:p>
  </w:endnote>
  <w:endnote w:id="25">
    <w:p w14:paraId="4D7318CA" w14:textId="7917A0EE" w:rsidR="003615A4" w:rsidRDefault="003615A4" w:rsidP="000A7BFB">
      <w:pPr>
        <w:pStyle w:val="EndnoteText"/>
        <w:spacing w:after="120"/>
      </w:pPr>
      <w:r>
        <w:rPr>
          <w:rStyle w:val="EndnoteReference"/>
        </w:rPr>
        <w:endnoteRef/>
      </w:r>
      <w:r>
        <w:t xml:space="preserve"> </w:t>
      </w:r>
      <w:r w:rsidR="004D0C2F">
        <w:t>Energy Efficiency and Conservation Authority. (2024)</w:t>
      </w:r>
      <w:r w:rsidR="005E2C12">
        <w:t xml:space="preserve">. </w:t>
      </w:r>
      <w:r w:rsidR="005E2C12" w:rsidRPr="003254A9">
        <w:rPr>
          <w:i/>
          <w:iCs/>
        </w:rPr>
        <w:t>South Island Regional Energy Transition Accelerator  RETA: Phase One Report</w:t>
      </w:r>
      <w:r w:rsidR="009E625F">
        <w:t xml:space="preserve">. </w:t>
      </w:r>
      <w:hyperlink r:id="rId24" w:history="1">
        <w:r w:rsidR="009E625F" w:rsidRPr="00A243F1">
          <w:rPr>
            <w:rStyle w:val="Hyperlink"/>
          </w:rPr>
          <w:t>https://www.eeca.govt.nz/insights/eeca-insights/reta-south-island/</w:t>
        </w:r>
      </w:hyperlink>
      <w:r w:rsidR="009E625F">
        <w:t xml:space="preserve"> </w:t>
      </w:r>
    </w:p>
  </w:endnote>
  <w:endnote w:id="26">
    <w:p w14:paraId="3760FA2E" w14:textId="1A9443E2" w:rsidR="007A2A48" w:rsidRDefault="007A2A48" w:rsidP="000A7BFB">
      <w:pPr>
        <w:pStyle w:val="EndnoteText"/>
        <w:spacing w:after="120"/>
      </w:pPr>
      <w:r>
        <w:rPr>
          <w:rStyle w:val="EndnoteReference"/>
        </w:rPr>
        <w:endnoteRef/>
      </w:r>
      <w:r>
        <w:t xml:space="preserve"> </w:t>
      </w:r>
      <w:r w:rsidR="005443E8">
        <w:t>Ministry for the Environment and the Treasury. (2023)</w:t>
      </w:r>
      <w:r w:rsidR="003B63FD">
        <w:t>.</w:t>
      </w:r>
      <w:r w:rsidR="005443E8">
        <w:t xml:space="preserve"> </w:t>
      </w:r>
      <w:r w:rsidR="003B63FD" w:rsidRPr="003254A9">
        <w:rPr>
          <w:i/>
          <w:iCs/>
        </w:rPr>
        <w:t>Ngā Kōrero Āhuarangi Me Te Ōhanga: Climate Economic and Fiscal Assessment 2023</w:t>
      </w:r>
      <w:r w:rsidR="003B63FD">
        <w:t>.</w:t>
      </w:r>
      <w:r w:rsidR="00C900F1">
        <w:t xml:space="preserve"> </w:t>
      </w:r>
      <w:hyperlink r:id="rId25" w:history="1">
        <w:r w:rsidR="00C900F1" w:rsidRPr="00A243F1">
          <w:rPr>
            <w:rStyle w:val="Hyperlink"/>
          </w:rPr>
          <w:t>https://www.treasury.govt.nz/publications/climate-economic-fiscal-assessment/nga-korero-ahuarangi-me-te-ohanga-2023</w:t>
        </w:r>
      </w:hyperlink>
      <w:r w:rsidR="00C900F1">
        <w:t xml:space="preserve"> </w:t>
      </w:r>
    </w:p>
  </w:endnote>
  <w:endnote w:id="27">
    <w:p w14:paraId="50813A9B" w14:textId="2E10E292" w:rsidR="00A24FB2" w:rsidRDefault="00A24FB2" w:rsidP="000A7BFB">
      <w:pPr>
        <w:pStyle w:val="EndnoteText"/>
        <w:spacing w:after="120"/>
      </w:pPr>
      <w:r>
        <w:rPr>
          <w:rStyle w:val="EndnoteReference"/>
        </w:rPr>
        <w:endnoteRef/>
      </w:r>
      <w:r>
        <w:t xml:space="preserve"> </w:t>
      </w:r>
      <w:r w:rsidRPr="00A24FB2">
        <w:t>Klik foundation</w:t>
      </w:r>
      <w:r w:rsidR="00C900F1">
        <w:t>.</w:t>
      </w:r>
      <w:r w:rsidRPr="00A24FB2">
        <w:t xml:space="preserve"> </w:t>
      </w:r>
      <w:r w:rsidR="00C900F1">
        <w:t>(</w:t>
      </w:r>
      <w:r w:rsidRPr="00A24FB2">
        <w:t>2024</w:t>
      </w:r>
      <w:r w:rsidR="00C900F1">
        <w:t>).</w:t>
      </w:r>
      <w:r w:rsidRPr="00A24FB2">
        <w:t xml:space="preserve"> </w:t>
      </w:r>
      <w:r w:rsidRPr="003254A9">
        <w:rPr>
          <w:i/>
          <w:iCs/>
        </w:rPr>
        <w:t>Annual report 2023: Successfully sailing into the wind</w:t>
      </w:r>
      <w:r w:rsidR="00C900F1">
        <w:t>.</w:t>
      </w:r>
      <w:r w:rsidRPr="00A24FB2">
        <w:t xml:space="preserve"> </w:t>
      </w:r>
      <w:hyperlink r:id="rId26" w:history="1">
        <w:r w:rsidRPr="00F5187E">
          <w:rPr>
            <w:rStyle w:val="Hyperlink"/>
          </w:rPr>
          <w:t>https://a.storyblok.com/f/246794/x/d9392844cc/jahresbericht_2023_en.pdf</w:t>
        </w:r>
      </w:hyperlink>
      <w:r>
        <w:t xml:space="preserve"> </w:t>
      </w:r>
      <w:r w:rsidRPr="00A24FB2">
        <w:t xml:space="preserve">   </w:t>
      </w:r>
      <w:r>
        <w:t xml:space="preserve"> </w:t>
      </w:r>
    </w:p>
  </w:endnote>
  <w:endnote w:id="28">
    <w:p w14:paraId="631EA485" w14:textId="29FAD18E" w:rsidR="00A02994" w:rsidRDefault="00A02994" w:rsidP="00673FDF">
      <w:pPr>
        <w:pStyle w:val="EndnoteText"/>
        <w:spacing w:after="120"/>
      </w:pPr>
      <w:r>
        <w:rPr>
          <w:rStyle w:val="EndnoteReference"/>
        </w:rPr>
        <w:endnoteRef/>
      </w:r>
      <w:r>
        <w:t xml:space="preserve"> </w:t>
      </w:r>
      <w:r w:rsidR="004D272F">
        <w:t xml:space="preserve">S&amp;P Global. </w:t>
      </w:r>
      <w:r w:rsidR="009A0F8E">
        <w:t xml:space="preserve">(2025). </w:t>
      </w:r>
      <w:r w:rsidR="003254A9" w:rsidRPr="003254A9">
        <w:rPr>
          <w:i/>
          <w:iCs/>
        </w:rPr>
        <w:t>Singapore Article 6 carbon credit tender attracts $19</w:t>
      </w:r>
      <w:r w:rsidR="00DE58F1" w:rsidRPr="12E598B1">
        <w:rPr>
          <w:rFonts w:eastAsia="Calibri" w:cs="Calibri"/>
        </w:rPr>
        <w:t>–</w:t>
      </w:r>
      <w:r w:rsidR="003254A9" w:rsidRPr="003254A9">
        <w:rPr>
          <w:i/>
          <w:iCs/>
        </w:rPr>
        <w:t>$41/mtCO</w:t>
      </w:r>
      <w:r w:rsidR="003254A9" w:rsidRPr="003254A9">
        <w:rPr>
          <w:i/>
          <w:iCs/>
          <w:vertAlign w:val="subscript"/>
        </w:rPr>
        <w:t>2</w:t>
      </w:r>
      <w:r w:rsidR="003254A9" w:rsidRPr="003254A9">
        <w:rPr>
          <w:i/>
          <w:iCs/>
        </w:rPr>
        <w:t>e price offers</w:t>
      </w:r>
      <w:r w:rsidR="003254A9">
        <w:t xml:space="preserve">. </w:t>
      </w:r>
      <w:hyperlink r:id="rId27" w:history="1">
        <w:r w:rsidR="003254A9" w:rsidRPr="003254A9">
          <w:rPr>
            <w:rStyle w:val="Hyperlink"/>
          </w:rPr>
          <w:t>https://www.spglobal.com/commodity-insights/en/news-research/latest-news/energy-transition/022525-singapore-article-6-carbon-credit-tender-attracts-19-41mtco2e-price-offers</w:t>
        </w:r>
      </w:hyperlink>
      <w:r w:rsidR="00C93EC8">
        <w:t xml:space="preserve"> </w:t>
      </w:r>
    </w:p>
  </w:endnote>
  <w:endnote w:id="29">
    <w:p w14:paraId="621D6F66" w14:textId="77777777" w:rsidR="001C6108" w:rsidRDefault="001C6108" w:rsidP="001C6108">
      <w:pPr>
        <w:pStyle w:val="EndnoteText"/>
        <w:spacing w:after="120"/>
      </w:pPr>
      <w:r>
        <w:rPr>
          <w:rStyle w:val="EndnoteReference"/>
        </w:rPr>
        <w:endnoteRef/>
      </w:r>
      <w:r>
        <w:t xml:space="preserve"> </w:t>
      </w:r>
      <w:r w:rsidRPr="00F27281">
        <w:t>International Emissions Trading Association (IETA)</w:t>
      </w:r>
      <w:r>
        <w:t xml:space="preserve">. (2023). </w:t>
      </w:r>
      <w:r w:rsidRPr="00F27281">
        <w:rPr>
          <w:i/>
          <w:iCs/>
        </w:rPr>
        <w:t>Modelling the Economics of Article 6: A Capstone Report</w:t>
      </w:r>
      <w:r>
        <w:t>.</w:t>
      </w:r>
      <w:r w:rsidRPr="00F27281">
        <w:t xml:space="preserve"> </w:t>
      </w:r>
      <w:hyperlink r:id="rId28" w:history="1">
        <w:r w:rsidRPr="00270613">
          <w:rPr>
            <w:rStyle w:val="Hyperlink"/>
          </w:rPr>
          <w:t>https://ieta.b-cdn.net/wp-content/uploads/2023/09/IETAA6_CapstoneReport_2023.pdf</w:t>
        </w:r>
      </w:hyperlink>
      <w:r>
        <w:t xml:space="preserve"> </w:t>
      </w:r>
    </w:p>
  </w:endnote>
  <w:endnote w:id="30">
    <w:p w14:paraId="2B21DAA5" w14:textId="77777777" w:rsidR="00293528" w:rsidRPr="00BB602A" w:rsidRDefault="00293528" w:rsidP="00673FDF">
      <w:pPr>
        <w:pStyle w:val="EndnoteText"/>
        <w:spacing w:after="120"/>
        <w:rPr>
          <w:lang w:val="mi-NZ"/>
        </w:rPr>
      </w:pPr>
      <w:r>
        <w:rPr>
          <w:rStyle w:val="EndnoteReference"/>
        </w:rPr>
        <w:endnoteRef/>
      </w:r>
      <w:r>
        <w:t xml:space="preserve"> He Pou a Rangi Climate Change Commission. (2024). </w:t>
      </w:r>
      <w:r>
        <w:rPr>
          <w:i/>
          <w:iCs/>
        </w:rPr>
        <w:t xml:space="preserve">Advice on Aotearoa New Zealand’s fourth emissions budget. </w:t>
      </w:r>
      <w:hyperlink r:id="rId29" w:history="1">
        <w:r w:rsidRPr="0034572B">
          <w:rPr>
            <w:rStyle w:val="Hyperlink"/>
          </w:rPr>
          <w:t>https://www.climatecommission.govt.nz/our-work/advice-to-government-topic/preparing-advice-on-emissions-budgets/advice-on-the-fourth-emissions-budget/final-report/</w:t>
        </w:r>
      </w:hyperlink>
      <w:r>
        <w:t xml:space="preserve">  </w:t>
      </w:r>
    </w:p>
  </w:endnote>
  <w:endnote w:id="31">
    <w:p w14:paraId="4CCDB2E6" w14:textId="77777777" w:rsidR="00293528" w:rsidRPr="006D0EF9" w:rsidRDefault="00293528" w:rsidP="00673FDF">
      <w:pPr>
        <w:pStyle w:val="EndnoteText"/>
        <w:spacing w:after="120"/>
        <w:rPr>
          <w:lang w:val="mi-NZ"/>
        </w:rPr>
      </w:pPr>
      <w:r>
        <w:rPr>
          <w:rStyle w:val="EndnoteReference"/>
        </w:rPr>
        <w:endnoteRef/>
      </w:r>
      <w:r>
        <w:t xml:space="preserve"> </w:t>
      </w:r>
      <w:r w:rsidRPr="006D0EF9">
        <w:t>Ministry for the Environment. (2023). </w:t>
      </w:r>
      <w:r w:rsidRPr="006D0EF9">
        <w:rPr>
          <w:i/>
          <w:iCs/>
        </w:rPr>
        <w:t>Review of the New Zealand Emissions Trading Scheme: Summary of modelling</w:t>
      </w:r>
      <w:r w:rsidRPr="006D0EF9">
        <w:t>. </w:t>
      </w:r>
      <w:hyperlink r:id="rId30" w:tgtFrame="_blank" w:history="1">
        <w:r w:rsidRPr="006D0EF9">
          <w:rPr>
            <w:rStyle w:val="Hyperlink"/>
          </w:rPr>
          <w:t>https://environment.govt.nz/assets/publications/climate-change/Review-of-the-New-Zealand-Emissions-Trading-Scheme-Summary-of-Modelling.pdf</w:t>
        </w:r>
      </w:hyperlink>
      <w:r w:rsidRPr="006D0EF9">
        <w:t> </w:t>
      </w:r>
    </w:p>
  </w:endnote>
  <w:endnote w:id="32">
    <w:p w14:paraId="0A54FBEC" w14:textId="21BE34DF" w:rsidR="00293528" w:rsidRPr="006D0EF9" w:rsidRDefault="00293528" w:rsidP="00673FDF">
      <w:pPr>
        <w:pStyle w:val="EndnoteText"/>
        <w:spacing w:after="120"/>
        <w:rPr>
          <w:lang w:val="mi-NZ"/>
        </w:rPr>
      </w:pPr>
      <w:r>
        <w:rPr>
          <w:rStyle w:val="EndnoteReference"/>
        </w:rPr>
        <w:endnoteRef/>
      </w:r>
      <w:r>
        <w:t xml:space="preserve"> </w:t>
      </w:r>
      <w:r w:rsidRPr="006D0EF9">
        <w:t>Treasury. (2024). </w:t>
      </w:r>
      <w:r w:rsidRPr="006D0EF9">
        <w:rPr>
          <w:i/>
          <w:iCs/>
        </w:rPr>
        <w:t>Analytic Note 24/02: Household cost-of-living impacts from the Emissions Trading Scheme and using transfers to mitigate regressive outcomes</w:t>
      </w:r>
      <w:r w:rsidR="00A821B2">
        <w:t>.</w:t>
      </w:r>
      <w:r w:rsidRPr="006D0EF9">
        <w:t> </w:t>
      </w:r>
      <w:hyperlink r:id="rId31" w:tgtFrame="_blank" w:history="1">
        <w:r w:rsidRPr="006D0EF9">
          <w:rPr>
            <w:rStyle w:val="Hyperlink"/>
          </w:rPr>
          <w:t>https://www.treasury.govt.nz/publications/an/an-24-02</w:t>
        </w:r>
      </w:hyperlink>
    </w:p>
  </w:endnote>
  <w:endnote w:id="33">
    <w:p w14:paraId="22778AD5" w14:textId="594C124F" w:rsidR="002732E0" w:rsidRDefault="002732E0" w:rsidP="00673FDF">
      <w:pPr>
        <w:pStyle w:val="EndnoteText"/>
        <w:spacing w:after="120"/>
      </w:pPr>
      <w:r>
        <w:rPr>
          <w:rStyle w:val="EndnoteReference"/>
        </w:rPr>
        <w:endnoteRef/>
      </w:r>
      <w:r>
        <w:t xml:space="preserve"> He Pou a Rangi</w:t>
      </w:r>
      <w:r w:rsidR="00441478">
        <w:t xml:space="preserve"> Climate Change Commission. (2023). </w:t>
      </w:r>
      <w:r w:rsidR="006E7002" w:rsidRPr="00416B49">
        <w:rPr>
          <w:i/>
        </w:rPr>
        <w:t xml:space="preserve">2023 Advice on the direction of policy for the Government’s second emissions reduction plan. </w:t>
      </w:r>
      <w:hyperlink r:id="rId32" w:history="1">
        <w:r w:rsidR="00E23E4B" w:rsidRPr="0034572B">
          <w:rPr>
            <w:rStyle w:val="Hyperlink"/>
          </w:rPr>
          <w:t>https://www.climatecommission.govt.nz/our-work/advice-to-government-topic/advice-for-preparation-of-emissions-reduction-plans/2023-advice-to-inform-the-strategic-direction-of-the-governments-second-emissions-reduction-plan-april-2023/</w:t>
        </w:r>
      </w:hyperlink>
      <w:r w:rsidR="00E23E4B">
        <w:t xml:space="preserve"> </w:t>
      </w:r>
    </w:p>
  </w:endnote>
  <w:endnote w:id="34">
    <w:p w14:paraId="74A8CD23" w14:textId="66657736" w:rsidR="00B76A11" w:rsidRDefault="00B76A11" w:rsidP="000A7BFB">
      <w:pPr>
        <w:pStyle w:val="EndnoteText"/>
        <w:spacing w:after="120"/>
      </w:pPr>
      <w:r>
        <w:rPr>
          <w:rStyle w:val="EndnoteReference"/>
        </w:rPr>
        <w:endnoteRef/>
      </w:r>
      <w:r>
        <w:t xml:space="preserve"> Business and Economic Research Limited. (2024). </w:t>
      </w:r>
      <w:r w:rsidRPr="00585F40">
        <w:rPr>
          <w:i/>
          <w:iCs/>
        </w:rPr>
        <w:t xml:space="preserve">Te </w:t>
      </w:r>
      <w:r w:rsidRPr="00117C19">
        <w:rPr>
          <w:i/>
          <w:iCs/>
        </w:rPr>
        <w:t>Ō</w:t>
      </w:r>
      <w:r w:rsidRPr="00585F40">
        <w:rPr>
          <w:i/>
          <w:iCs/>
        </w:rPr>
        <w:t>hanga Māori 2023: The Māori Economy 2023</w:t>
      </w:r>
      <w:r>
        <w:t>. Ministry of Business</w:t>
      </w:r>
      <w:r w:rsidR="00B8033D">
        <w:t>,</w:t>
      </w:r>
      <w:r>
        <w:t xml:space="preserve"> Innovation and Employment. </w:t>
      </w:r>
      <w:hyperlink r:id="rId33" w:history="1">
        <w:r w:rsidRPr="001017F1">
          <w:rPr>
            <w:rStyle w:val="Hyperlink"/>
          </w:rPr>
          <w:t>https://www.berl.co.nz/te-ohanga-maori</w:t>
        </w:r>
      </w:hyperlink>
      <w:r>
        <w:t xml:space="preserve"> </w:t>
      </w:r>
    </w:p>
  </w:endnote>
  <w:endnote w:id="35">
    <w:p w14:paraId="526E7BE1" w14:textId="665C3425" w:rsidR="0006440C" w:rsidRPr="00673FDF" w:rsidRDefault="0006440C">
      <w:pPr>
        <w:pStyle w:val="EndnoteText"/>
        <w:rPr>
          <w:lang w:val="mi-NZ"/>
        </w:rPr>
      </w:pPr>
      <w:r>
        <w:rPr>
          <w:rStyle w:val="EndnoteReference"/>
        </w:rPr>
        <w:endnoteRef/>
      </w:r>
      <w:r>
        <w:t xml:space="preserve"> </w:t>
      </w:r>
      <w:r w:rsidR="00673FDF">
        <w:t xml:space="preserve">He Pou a Rangi Climate Change Commission. (2024). </w:t>
      </w:r>
      <w:r w:rsidR="00673FDF">
        <w:rPr>
          <w:i/>
          <w:iCs/>
        </w:rPr>
        <w:t xml:space="preserve">Advice on Aotearoa New Zealand’s fourth emissions budget. </w:t>
      </w:r>
      <w:hyperlink r:id="rId34" w:history="1">
        <w:r w:rsidR="00673FDF" w:rsidRPr="0034572B">
          <w:rPr>
            <w:rStyle w:val="Hyperlink"/>
          </w:rPr>
          <w:t>https://www.climatecommission.govt.nz/our-work/advice-to-government-topic/preparing-advice-on-emissions-budgets/advice-on-the-fourth-emissions-budget/final-report/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Poppins Light">
    <w:charset w:val="00"/>
    <w:family w:val="auto"/>
    <w:pitch w:val="variable"/>
    <w:sig w:usb0="00008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Montserrat">
    <w:charset w:val="00"/>
    <w:family w:val="auto"/>
    <w:pitch w:val="variable"/>
    <w:sig w:usb0="2000020F" w:usb1="00000003" w:usb2="00000000" w:usb3="00000000" w:csb0="00000197" w:csb1="00000000"/>
  </w:font>
  <w:font w:name="Calibri-Light">
    <w:altName w:val="Calibri"/>
    <w:charset w:val="00"/>
    <w:family w:val="swiss"/>
    <w:pitch w:val="variable"/>
  </w:font>
  <w:font w:name="Ebony">
    <w:altName w:val="Cambria"/>
    <w:panose1 w:val="00000000000000000000"/>
    <w:charset w:val="4D"/>
    <w:family w:val="auto"/>
    <w:notTrueType/>
    <w:pitch w:val="variable"/>
    <w:sig w:usb0="A00000AF" w:usb1="5000205B" w:usb2="00000000" w:usb3="00000000" w:csb0="00000093" w:csb1="00000000"/>
  </w:font>
  <w:font w:name="Ebony Lt">
    <w:panose1 w:val="00000000000000000000"/>
    <w:charset w:val="4D"/>
    <w:family w:val="auto"/>
    <w:notTrueType/>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4F93" w14:textId="6FC010AC" w:rsidR="001E6915" w:rsidRDefault="001E6915"/>
  <w:p w14:paraId="74F351BD" w14:textId="0B2A56A0" w:rsidR="00422A0D" w:rsidRDefault="00BE74A2">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042592991"/>
      <w:docPartObj>
        <w:docPartGallery w:val="Page Numbers (Bottom of Page)"/>
        <w:docPartUnique/>
      </w:docPartObj>
    </w:sdtPr>
    <w:sdtContent>
      <w:p w14:paraId="6E1FD750" w14:textId="18234960" w:rsidR="00BE4C3C" w:rsidRPr="00F44E3A" w:rsidRDefault="005B4B3C">
        <w:pPr>
          <w:pStyle w:val="Footer"/>
          <w:jc w:val="right"/>
          <w:rPr>
            <w:sz w:val="18"/>
            <w:szCs w:val="18"/>
          </w:rPr>
        </w:pPr>
        <w:r w:rsidRPr="00F44E3A">
          <w:rPr>
            <w:b w:val="0"/>
            <w:bCs/>
            <w:sz w:val="18"/>
            <w:szCs w:val="18"/>
          </w:rPr>
          <w:t>He Pou a Rangi Climate</w:t>
        </w:r>
        <w:r w:rsidR="00A00739" w:rsidRPr="00F44E3A">
          <w:rPr>
            <w:b w:val="0"/>
            <w:bCs/>
            <w:sz w:val="18"/>
            <w:szCs w:val="18"/>
          </w:rPr>
          <w:t xml:space="preserve"> Change Commission </w:t>
        </w:r>
        <w:r w:rsidR="001240D4" w:rsidRPr="00F44E3A">
          <w:rPr>
            <w:b w:val="0"/>
            <w:bCs/>
            <w:sz w:val="18"/>
            <w:szCs w:val="18"/>
          </w:rPr>
          <w:t xml:space="preserve">| Advice on NZ ETS unit limits and </w:t>
        </w:r>
        <w:r w:rsidR="00C155A6" w:rsidRPr="00F44E3A">
          <w:rPr>
            <w:b w:val="0"/>
            <w:bCs/>
            <w:sz w:val="18"/>
            <w:szCs w:val="18"/>
          </w:rPr>
          <w:t xml:space="preserve">price control </w:t>
        </w:r>
        <w:r w:rsidR="001240D4" w:rsidRPr="00F44E3A">
          <w:rPr>
            <w:b w:val="0"/>
            <w:bCs/>
            <w:sz w:val="18"/>
            <w:szCs w:val="18"/>
          </w:rPr>
          <w:t>settings for</w:t>
        </w:r>
        <w:r w:rsidR="00C155A6" w:rsidRPr="00F44E3A">
          <w:rPr>
            <w:b w:val="0"/>
            <w:bCs/>
            <w:sz w:val="18"/>
            <w:szCs w:val="18"/>
          </w:rPr>
          <w:t xml:space="preserve"> </w:t>
        </w:r>
        <w:r w:rsidR="00F533D0" w:rsidRPr="00F44E3A">
          <w:rPr>
            <w:b w:val="0"/>
            <w:bCs/>
            <w:sz w:val="18"/>
            <w:szCs w:val="18"/>
          </w:rPr>
          <w:t>20</w:t>
        </w:r>
        <w:r w:rsidR="0038752A">
          <w:rPr>
            <w:b w:val="0"/>
            <w:bCs/>
            <w:sz w:val="18"/>
            <w:szCs w:val="18"/>
          </w:rPr>
          <w:t>26-2030</w:t>
        </w:r>
        <w:r w:rsidR="001240D4" w:rsidRPr="00F44E3A">
          <w:rPr>
            <w:sz w:val="18"/>
            <w:szCs w:val="18"/>
          </w:rPr>
          <w:t xml:space="preserve"> </w:t>
        </w:r>
        <w:r w:rsidR="00727151">
          <w:rPr>
            <w:sz w:val="18"/>
            <w:szCs w:val="18"/>
          </w:rPr>
          <w:t xml:space="preserve"> </w:t>
        </w:r>
        <w:r w:rsidR="00BE4C3C" w:rsidRPr="00F44E3A">
          <w:rPr>
            <w:sz w:val="18"/>
            <w:szCs w:val="18"/>
          </w:rPr>
          <w:fldChar w:fldCharType="begin"/>
        </w:r>
        <w:r w:rsidR="00BE4C3C" w:rsidRPr="00F44E3A">
          <w:rPr>
            <w:sz w:val="18"/>
            <w:szCs w:val="18"/>
          </w:rPr>
          <w:instrText xml:space="preserve"> PAGE   \* MERGEFORMAT </w:instrText>
        </w:r>
        <w:r w:rsidR="00BE4C3C" w:rsidRPr="00F44E3A">
          <w:rPr>
            <w:sz w:val="18"/>
            <w:szCs w:val="18"/>
          </w:rPr>
          <w:fldChar w:fldCharType="separate"/>
        </w:r>
        <w:r w:rsidR="00BE4C3C" w:rsidRPr="00F44E3A">
          <w:rPr>
            <w:sz w:val="18"/>
            <w:szCs w:val="18"/>
          </w:rPr>
          <w:t>2</w:t>
        </w:r>
        <w:r w:rsidR="00BE4C3C" w:rsidRPr="00F44E3A">
          <w:rPr>
            <w:sz w:val="18"/>
            <w:szCs w:val="18"/>
          </w:rPr>
          <w:fldChar w:fldCharType="end"/>
        </w:r>
      </w:p>
    </w:sdtContent>
  </w:sdt>
  <w:p w14:paraId="215EFA47" w14:textId="77777777" w:rsidR="00047C79" w:rsidRPr="00F44E3A" w:rsidRDefault="00047C79">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9A6DD" w14:textId="00A1AC43" w:rsidR="00BE4C3C" w:rsidRDefault="00000000">
    <w:pPr>
      <w:pStyle w:val="Footer"/>
      <w:jc w:val="right"/>
    </w:pPr>
    <w:sdt>
      <w:sdtPr>
        <w:id w:val="1973931966"/>
        <w:docPartObj>
          <w:docPartGallery w:val="Page Numbers (Bottom of Page)"/>
          <w:docPartUnique/>
        </w:docPartObj>
      </w:sdtPr>
      <w:sdtEndPr>
        <w:rPr>
          <w:noProof/>
        </w:rPr>
      </w:sdtEndPr>
      <w:sdtContent>
        <w:r w:rsidR="00BE4C3C">
          <w:fldChar w:fldCharType="begin"/>
        </w:r>
        <w:r w:rsidR="00BE4C3C">
          <w:instrText xml:space="preserve"> PAGE   \* MERGEFORMAT </w:instrText>
        </w:r>
        <w:r w:rsidR="00BE4C3C">
          <w:fldChar w:fldCharType="separate"/>
        </w:r>
        <w:r w:rsidR="00BE4C3C">
          <w:rPr>
            <w:noProof/>
          </w:rPr>
          <w:t>2</w:t>
        </w:r>
        <w:r w:rsidR="00BE4C3C">
          <w:rPr>
            <w:noProof/>
          </w:rPr>
          <w:fldChar w:fldCharType="end"/>
        </w:r>
      </w:sdtContent>
    </w:sdt>
  </w:p>
  <w:p w14:paraId="2CF7DFD1" w14:textId="77777777" w:rsidR="00047C79" w:rsidRDefault="00047C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50974063"/>
      <w:docPartObj>
        <w:docPartGallery w:val="Page Numbers (Bottom of Page)"/>
        <w:docPartUnique/>
      </w:docPartObj>
    </w:sdtPr>
    <w:sdtContent>
      <w:p w14:paraId="22FAC6F8" w14:textId="7FA14C89" w:rsidR="00D30796" w:rsidRDefault="00505EC9">
        <w:pPr>
          <w:pStyle w:val="Footer"/>
        </w:pP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2</w:t>
        </w:r>
        <w:r>
          <w:rPr>
            <w:sz w:val="18"/>
            <w:szCs w:val="18"/>
          </w:rPr>
          <w:fldChar w:fldCharType="end"/>
        </w:r>
        <w:r w:rsidR="00D30796" w:rsidRPr="00F44E3A">
          <w:rPr>
            <w:b w:val="0"/>
            <w:bCs/>
            <w:sz w:val="18"/>
            <w:szCs w:val="18"/>
          </w:rPr>
          <w:t xml:space="preserve"> </w:t>
        </w:r>
        <w:r w:rsidR="00D30796">
          <w:rPr>
            <w:b w:val="0"/>
            <w:bCs/>
            <w:sz w:val="18"/>
            <w:szCs w:val="18"/>
          </w:rPr>
          <w:t xml:space="preserve">   </w:t>
        </w:r>
        <w:r w:rsidR="00D30796" w:rsidRPr="00F44E3A">
          <w:rPr>
            <w:b w:val="0"/>
            <w:bCs/>
            <w:sz w:val="18"/>
            <w:szCs w:val="18"/>
          </w:rPr>
          <w:t xml:space="preserve">He Pou a Rangi Climate </w:t>
        </w:r>
        <w:r w:rsidR="00D30796" w:rsidRPr="005144B8">
          <w:rPr>
            <w:b w:val="0"/>
            <w:sz w:val="18"/>
            <w:szCs w:val="18"/>
          </w:rPr>
          <w:t>Change</w:t>
        </w:r>
        <w:r w:rsidR="00D30796" w:rsidRPr="00F44E3A">
          <w:rPr>
            <w:b w:val="0"/>
            <w:bCs/>
            <w:sz w:val="18"/>
            <w:szCs w:val="18"/>
          </w:rPr>
          <w:t xml:space="preserve"> Commission | Advice on NZ ETS unit limits and price control settings for 20</w:t>
        </w:r>
        <w:r w:rsidR="00D30796">
          <w:rPr>
            <w:b w:val="0"/>
            <w:bCs/>
            <w:sz w:val="18"/>
            <w:szCs w:val="18"/>
          </w:rPr>
          <w:t>26</w:t>
        </w:r>
        <w:r w:rsidR="00A611D6" w:rsidRPr="00D075DA">
          <w:rPr>
            <w:b w:val="0"/>
            <w:sz w:val="18"/>
            <w:szCs w:val="18"/>
          </w:rPr>
          <w:t>–</w:t>
        </w:r>
        <w:r w:rsidR="00D30796">
          <w:rPr>
            <w:b w:val="0"/>
            <w:bCs/>
            <w:sz w:val="18"/>
            <w:szCs w:val="18"/>
          </w:rPr>
          <w:t>2030</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57BC4" w14:textId="77777777" w:rsidR="00D50D2B" w:rsidRPr="00F44E3A" w:rsidRDefault="00D50D2B">
    <w:pPr>
      <w:pStyle w:val="Footer"/>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28823207"/>
      <w:docPartObj>
        <w:docPartGallery w:val="Page Numbers (Bottom of Page)"/>
        <w:docPartUnique/>
      </w:docPartObj>
    </w:sdtPr>
    <w:sdtContent>
      <w:p w14:paraId="795F5217" w14:textId="29224508" w:rsidR="00E73664" w:rsidRPr="00F44E3A" w:rsidRDefault="00E73664" w:rsidP="005347F5">
        <w:pPr>
          <w:pStyle w:val="Footer"/>
          <w:jc w:val="right"/>
          <w:rPr>
            <w:sz w:val="18"/>
            <w:szCs w:val="18"/>
          </w:rPr>
        </w:pPr>
        <w:r w:rsidRPr="00F44E3A">
          <w:rPr>
            <w:b w:val="0"/>
            <w:bCs/>
            <w:sz w:val="18"/>
            <w:szCs w:val="18"/>
          </w:rPr>
          <w:t>He Pou a Rangi Climate Change Commission | Advice on NZ ETS unit limits and price control settings for 20</w:t>
        </w:r>
        <w:r>
          <w:rPr>
            <w:b w:val="0"/>
            <w:bCs/>
            <w:sz w:val="18"/>
            <w:szCs w:val="18"/>
          </w:rPr>
          <w:t>26</w:t>
        </w:r>
        <w:r w:rsidR="00A611D6" w:rsidRPr="000A1433">
          <w:rPr>
            <w:b w:val="0"/>
            <w:bCs/>
          </w:rPr>
          <w:t>–</w:t>
        </w:r>
        <w:r>
          <w:rPr>
            <w:b w:val="0"/>
            <w:bCs/>
            <w:sz w:val="18"/>
            <w:szCs w:val="18"/>
          </w:rPr>
          <w:t>2030</w:t>
        </w:r>
        <w:r>
          <w:rPr>
            <w:sz w:val="18"/>
            <w:szCs w:val="18"/>
          </w:rPr>
          <w:t xml:space="preserve"> </w:t>
        </w:r>
        <w:r w:rsidR="00201EC8">
          <w:rPr>
            <w:sz w:val="18"/>
            <w:szCs w:val="18"/>
          </w:rPr>
          <w:t xml:space="preserve">  </w:t>
        </w:r>
        <w:r>
          <w:rPr>
            <w:sz w:val="18"/>
            <w:szCs w:val="18"/>
          </w:rPr>
          <w:t xml:space="preserve"> </w:t>
        </w:r>
        <w:r w:rsidRPr="00F44E3A">
          <w:rPr>
            <w:sz w:val="18"/>
            <w:szCs w:val="18"/>
          </w:rPr>
          <w:fldChar w:fldCharType="begin"/>
        </w:r>
        <w:r w:rsidRPr="00F44E3A">
          <w:rPr>
            <w:sz w:val="18"/>
            <w:szCs w:val="18"/>
          </w:rPr>
          <w:instrText xml:space="preserve"> PAGE   \* MERGEFORMAT </w:instrText>
        </w:r>
        <w:r w:rsidRPr="00F44E3A">
          <w:rPr>
            <w:sz w:val="18"/>
            <w:szCs w:val="18"/>
          </w:rPr>
          <w:fldChar w:fldCharType="separate"/>
        </w:r>
        <w:r w:rsidRPr="00F44E3A">
          <w:rPr>
            <w:sz w:val="18"/>
            <w:szCs w:val="18"/>
          </w:rPr>
          <w:t>2</w:t>
        </w:r>
        <w:r w:rsidRPr="00F44E3A">
          <w:rPr>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7769" w14:textId="1B16F508" w:rsidR="00E73664" w:rsidRDefault="00E73664">
    <w:pPr>
      <w:pStyle w:val="Footer"/>
      <w:jc w:val="right"/>
    </w:pPr>
  </w:p>
  <w:p w14:paraId="51FABCFA" w14:textId="77777777" w:rsidR="00E73664" w:rsidRDefault="00E736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833412434"/>
      <w:docPartObj>
        <w:docPartGallery w:val="Page Numbers (Bottom of Page)"/>
        <w:docPartUnique/>
      </w:docPartObj>
    </w:sdtPr>
    <w:sdtContent>
      <w:p w14:paraId="7ADEDD63" w14:textId="77777777" w:rsidR="002701D2" w:rsidRPr="00F44E3A" w:rsidRDefault="002701D2" w:rsidP="005347F5">
        <w:pPr>
          <w:pStyle w:val="Footer"/>
          <w:jc w:val="right"/>
          <w:rPr>
            <w:sz w:val="18"/>
            <w:szCs w:val="18"/>
          </w:rPr>
        </w:pPr>
        <w:r w:rsidRPr="00F44E3A">
          <w:rPr>
            <w:b w:val="0"/>
            <w:bCs/>
            <w:sz w:val="18"/>
            <w:szCs w:val="18"/>
          </w:rPr>
          <w:t>He Pou a Rangi Climate Change Commission | Advice on NZ ETS unit limits and price control settings for 20</w:t>
        </w:r>
        <w:r>
          <w:rPr>
            <w:b w:val="0"/>
            <w:bCs/>
            <w:sz w:val="18"/>
            <w:szCs w:val="18"/>
          </w:rPr>
          <w:t>26</w:t>
        </w:r>
        <w:r w:rsidRPr="00A9487F">
          <w:rPr>
            <w:b w:val="0"/>
            <w:bCs/>
            <w:sz w:val="18"/>
            <w:szCs w:val="18"/>
          </w:rPr>
          <w:t>–</w:t>
        </w:r>
        <w:r>
          <w:rPr>
            <w:b w:val="0"/>
            <w:bCs/>
            <w:sz w:val="18"/>
            <w:szCs w:val="18"/>
          </w:rPr>
          <w:t>2030</w:t>
        </w:r>
        <w:r>
          <w:rPr>
            <w:sz w:val="18"/>
            <w:szCs w:val="18"/>
          </w:rPr>
          <w:t xml:space="preserve">    </w:t>
        </w:r>
        <w:r w:rsidRPr="00F44E3A">
          <w:rPr>
            <w:sz w:val="18"/>
            <w:szCs w:val="18"/>
          </w:rPr>
          <w:fldChar w:fldCharType="begin"/>
        </w:r>
        <w:r w:rsidRPr="00F44E3A">
          <w:rPr>
            <w:sz w:val="18"/>
            <w:szCs w:val="18"/>
          </w:rPr>
          <w:instrText xml:space="preserve"> PAGE   \* MERGEFORMAT </w:instrText>
        </w:r>
        <w:r w:rsidRPr="00F44E3A">
          <w:rPr>
            <w:sz w:val="18"/>
            <w:szCs w:val="18"/>
          </w:rPr>
          <w:fldChar w:fldCharType="separate"/>
        </w:r>
        <w:r w:rsidRPr="00F44E3A">
          <w:rPr>
            <w:sz w:val="18"/>
            <w:szCs w:val="18"/>
          </w:rPr>
          <w:t>2</w:t>
        </w:r>
        <w:r w:rsidRPr="00F44E3A">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E4AD5" w14:textId="77777777" w:rsidR="008663A9" w:rsidRDefault="008663A9" w:rsidP="006F0BB5">
      <w:r>
        <w:separator/>
      </w:r>
    </w:p>
  </w:footnote>
  <w:footnote w:type="continuationSeparator" w:id="0">
    <w:p w14:paraId="5582D8AE" w14:textId="77777777" w:rsidR="008663A9" w:rsidRDefault="008663A9" w:rsidP="006F0BB5">
      <w:r>
        <w:continuationSeparator/>
      </w:r>
    </w:p>
  </w:footnote>
  <w:footnote w:type="continuationNotice" w:id="1">
    <w:p w14:paraId="284ECA76" w14:textId="77777777" w:rsidR="008663A9" w:rsidRDefault="008663A9">
      <w:pPr>
        <w:spacing w:before="0" w:after="0" w:line="240" w:lineRule="auto"/>
      </w:pPr>
    </w:p>
  </w:footnote>
  <w:footnote w:id="2">
    <w:p w14:paraId="08FB1699" w14:textId="3A808F36" w:rsidR="007B4C31" w:rsidRPr="000B36CE" w:rsidRDefault="007B4C31" w:rsidP="00B307BE">
      <w:pPr>
        <w:pStyle w:val="FootnoteText"/>
        <w:ind w:left="284" w:hanging="284"/>
        <w:rPr>
          <w:lang w:val="mi-NZ"/>
        </w:rPr>
      </w:pPr>
      <w:r w:rsidRPr="000B36CE">
        <w:rPr>
          <w:rStyle w:val="FootnoteReference"/>
        </w:rPr>
        <w:footnoteRef/>
      </w:r>
      <w:r w:rsidRPr="000B36CE">
        <w:t xml:space="preserve"> </w:t>
      </w:r>
      <w:r w:rsidR="00B307BE">
        <w:tab/>
      </w:r>
      <w:r w:rsidR="008569ED" w:rsidRPr="000B36CE">
        <w:t>‘Ngā ahunga tukuwaro’ ki tēnei kupu akiaki he mea aro ki ngā tahua tukuwaro, te ahunga 2050, me ngā Takohanga ā motu kei Te Kawenata o Parī.</w:t>
      </w:r>
    </w:p>
  </w:footnote>
  <w:footnote w:id="3">
    <w:p w14:paraId="0A910B89" w14:textId="7102D8B1" w:rsidR="00A12ED6" w:rsidRPr="000B36CE" w:rsidRDefault="00A12ED6" w:rsidP="00B307BE">
      <w:pPr>
        <w:pStyle w:val="FootnoteText"/>
        <w:ind w:left="284" w:hanging="284"/>
        <w:rPr>
          <w:lang w:val="mi-NZ"/>
        </w:rPr>
      </w:pPr>
      <w:r w:rsidRPr="000B36CE">
        <w:rPr>
          <w:rStyle w:val="FootnoteReference"/>
        </w:rPr>
        <w:footnoteRef/>
      </w:r>
      <w:r w:rsidRPr="000B36CE">
        <w:t xml:space="preserve"> </w:t>
      </w:r>
      <w:r w:rsidR="00B307BE">
        <w:tab/>
      </w:r>
      <w:r w:rsidR="00ED6FE3" w:rsidRPr="000B36CE">
        <w:t>Kāhore a NZ ETS i te mau ki ngā tukuwaro koiora o te ahuwhenua. Ko ngā tukuwaro o te ngoi me te ahuwaka o ngā mahi a te ahuwhenua ka noho tonu ki te kaupapa hokohoko.</w:t>
      </w:r>
    </w:p>
  </w:footnote>
  <w:footnote w:id="4">
    <w:p w14:paraId="021E5925" w14:textId="153FE27C" w:rsidR="00FC1304" w:rsidRPr="00FC1304" w:rsidRDefault="00FC1304" w:rsidP="00B307BE">
      <w:pPr>
        <w:pStyle w:val="FootnoteText"/>
        <w:ind w:left="284" w:hanging="284"/>
        <w:rPr>
          <w:lang w:val="mi-NZ"/>
        </w:rPr>
      </w:pPr>
      <w:r w:rsidRPr="000B36CE">
        <w:rPr>
          <w:rStyle w:val="FootnoteReference"/>
        </w:rPr>
        <w:footnoteRef/>
      </w:r>
      <w:r w:rsidRPr="000B36CE">
        <w:t xml:space="preserve"> </w:t>
      </w:r>
      <w:r w:rsidR="00B307BE">
        <w:tab/>
      </w:r>
      <w:r w:rsidR="008E790C" w:rsidRPr="000B36CE">
        <w:t>I te tau 2024 te whakahau a te Komihana i ngā āmenehana ki te ahunga 2050. Ko tēnei kupu akiaki ki a NZ ETS he aro ki te ahunga 2050 o te wā kei te Ture Urupare ki Te Āhuarangi 2002.</w:t>
      </w:r>
    </w:p>
  </w:footnote>
  <w:footnote w:id="5">
    <w:p w14:paraId="105EBF1A" w14:textId="1CC5A20D" w:rsidR="00855C20" w:rsidRPr="00555418" w:rsidRDefault="00855C20" w:rsidP="00B307BE">
      <w:pPr>
        <w:pStyle w:val="FootnoteText"/>
        <w:ind w:left="142" w:hanging="142"/>
        <w:rPr>
          <w:lang w:val="mi-NZ"/>
        </w:rPr>
      </w:pPr>
      <w:r w:rsidRPr="00555418">
        <w:rPr>
          <w:rStyle w:val="FootnoteReference"/>
        </w:rPr>
        <w:footnoteRef/>
      </w:r>
      <w:r w:rsidR="00B307BE">
        <w:t xml:space="preserve"> </w:t>
      </w:r>
      <w:r w:rsidR="00B307BE">
        <w:tab/>
      </w:r>
      <w:r w:rsidR="00555418" w:rsidRPr="00555418">
        <w:t>O ngā tauhoko miriona 14.2 ka wātea ana ki te mākete o 2024, 7.1 miriona kīhai i hoko.</w:t>
      </w:r>
    </w:p>
  </w:footnote>
  <w:footnote w:id="6">
    <w:p w14:paraId="4E95D5C8" w14:textId="2921D178" w:rsidR="00BC4DDE" w:rsidRPr="00BC4DDE" w:rsidRDefault="00BC4DDE" w:rsidP="00B307BE">
      <w:pPr>
        <w:pStyle w:val="FootnoteText"/>
        <w:ind w:left="142" w:hanging="142"/>
        <w:rPr>
          <w:lang w:val="mi-NZ"/>
        </w:rPr>
      </w:pPr>
      <w:r w:rsidRPr="00BC4DDE">
        <w:rPr>
          <w:rStyle w:val="FootnoteReference"/>
        </w:rPr>
        <w:footnoteRef/>
      </w:r>
      <w:r w:rsidR="00B307BE">
        <w:t xml:space="preserve"> </w:t>
      </w:r>
      <w:r w:rsidR="00B307BE">
        <w:tab/>
      </w:r>
      <w:r w:rsidRPr="00BC4DDE">
        <w:t>Ko te tūpānga tauhoko utu kore he 4.4 tauhoko miriona iti iho i tō te matapae mō te wāhanga 2026–2030. E pēnei ana i nā te ranunga o ngā kapinga kamupene, te hekenga o ngā whakaputanga, me ngā panonitanga ki ngā ture tūpānga tauhoko.</w:t>
      </w:r>
    </w:p>
  </w:footnote>
  <w:footnote w:id="7">
    <w:p w14:paraId="4B14943D" w14:textId="3408242B" w:rsidR="00697E4F" w:rsidRPr="00697E4F" w:rsidRDefault="00697E4F" w:rsidP="00B307BE">
      <w:pPr>
        <w:pStyle w:val="FootnoteText"/>
        <w:ind w:left="142" w:hanging="142"/>
        <w:rPr>
          <w:lang w:val="mi-NZ"/>
        </w:rPr>
      </w:pPr>
      <w:r>
        <w:rPr>
          <w:rStyle w:val="FootnoteReference"/>
        </w:rPr>
        <w:footnoteRef/>
      </w:r>
      <w:r>
        <w:t xml:space="preserve"> </w:t>
      </w:r>
      <w:r w:rsidR="00AE501F" w:rsidRPr="00AE501F">
        <w:t>Ko te ‘taupoki tukuwaro’ te ahunga whakareanga ki ngā tukuwaro mō ngā ahumahi e noho nei i a NZ ETS. Ka tāmate te taupoki nei ā haere ake nei te wā, hei hokinga mahara ahunga whakaheke tukuwaro. Waihoki te whakaheke ki te kore ā ngā tau 2030.</w:t>
      </w:r>
    </w:p>
  </w:footnote>
  <w:footnote w:id="8">
    <w:p w14:paraId="1FA96617" w14:textId="09DF8664" w:rsidR="00C1681B" w:rsidRPr="00346F3B" w:rsidRDefault="00C1681B">
      <w:pPr>
        <w:pStyle w:val="FootnoteText"/>
        <w:rPr>
          <w:lang w:val="mi-NZ"/>
        </w:rPr>
      </w:pPr>
      <w:r w:rsidRPr="00346F3B">
        <w:rPr>
          <w:rStyle w:val="FootnoteReference"/>
        </w:rPr>
        <w:footnoteRef/>
      </w:r>
      <w:r w:rsidRPr="00346F3B">
        <w:t xml:space="preserve"> </w:t>
      </w:r>
      <w:r w:rsidR="00306294" w:rsidRPr="00346F3B">
        <w:rPr>
          <w:lang w:val="mi-NZ"/>
        </w:rPr>
        <w:t xml:space="preserve">‘Emissions reduction targets’ </w:t>
      </w:r>
      <w:r w:rsidR="00614329" w:rsidRPr="00346F3B">
        <w:rPr>
          <w:lang w:val="mi-NZ"/>
        </w:rPr>
        <w:t xml:space="preserve">in this </w:t>
      </w:r>
      <w:r w:rsidR="001957C9" w:rsidRPr="00346F3B">
        <w:rPr>
          <w:lang w:val="mi-NZ"/>
        </w:rPr>
        <w:t>advice</w:t>
      </w:r>
      <w:r w:rsidR="00614329" w:rsidRPr="00346F3B">
        <w:rPr>
          <w:lang w:val="mi-NZ"/>
        </w:rPr>
        <w:t xml:space="preserve"> refers to </w:t>
      </w:r>
      <w:r w:rsidR="001957C9" w:rsidRPr="00346F3B">
        <w:rPr>
          <w:lang w:val="mi-NZ"/>
        </w:rPr>
        <w:t>emissions budgets, the 2050 target</w:t>
      </w:r>
      <w:r w:rsidR="00147446">
        <w:rPr>
          <w:lang w:val="mi-NZ"/>
        </w:rPr>
        <w:t>,</w:t>
      </w:r>
      <w:r w:rsidR="001957C9" w:rsidRPr="00346F3B">
        <w:rPr>
          <w:lang w:val="mi-NZ"/>
        </w:rPr>
        <w:t xml:space="preserve"> and nationally determined contributions under the Paris Agreement.</w:t>
      </w:r>
    </w:p>
  </w:footnote>
  <w:footnote w:id="9">
    <w:p w14:paraId="70DE8AE9" w14:textId="27FA85AC" w:rsidR="05A94CC3" w:rsidRDefault="05A94CC3" w:rsidP="003848DC">
      <w:pPr>
        <w:pStyle w:val="FootnoteText"/>
      </w:pPr>
      <w:r w:rsidRPr="05A94CC3">
        <w:rPr>
          <w:rStyle w:val="FootnoteReference"/>
        </w:rPr>
        <w:footnoteRef/>
      </w:r>
      <w:r w:rsidR="7CED36EC" w:rsidRPr="7CED36EC">
        <w:rPr>
          <w:rStyle w:val="FootnoteReference"/>
        </w:rPr>
        <w:t xml:space="preserve"> </w:t>
      </w:r>
      <w:r w:rsidR="00531B0D">
        <w:rPr>
          <w:lang w:val="mi-NZ"/>
        </w:rPr>
        <w:t>The NZ ETS does not include biological emissions from a</w:t>
      </w:r>
      <w:r w:rsidR="4EF0C673" w:rsidRPr="00A52A79">
        <w:rPr>
          <w:lang w:val="mi-NZ"/>
        </w:rPr>
        <w:t>griculture</w:t>
      </w:r>
      <w:r w:rsidR="00531B0D">
        <w:rPr>
          <w:lang w:val="mi-NZ"/>
        </w:rPr>
        <w:t xml:space="preserve">. </w:t>
      </w:r>
      <w:r w:rsidR="355A0359" w:rsidRPr="00A52A79">
        <w:rPr>
          <w:lang w:val="mi-NZ"/>
        </w:rPr>
        <w:t xml:space="preserve">Energy and transport emissions from </w:t>
      </w:r>
      <w:r w:rsidR="00531B0D">
        <w:rPr>
          <w:lang w:val="mi-NZ"/>
        </w:rPr>
        <w:t>agricultural activities</w:t>
      </w:r>
      <w:r w:rsidR="355A0359" w:rsidRPr="00A52A79">
        <w:rPr>
          <w:lang w:val="mi-NZ"/>
        </w:rPr>
        <w:t xml:space="preserve"> </w:t>
      </w:r>
      <w:r w:rsidR="0E9BB26E" w:rsidRPr="00A52A79">
        <w:rPr>
          <w:lang w:val="mi-NZ"/>
        </w:rPr>
        <w:t xml:space="preserve">remain </w:t>
      </w:r>
      <w:r w:rsidR="70B9A157" w:rsidRPr="00A52A79">
        <w:rPr>
          <w:lang w:val="mi-NZ"/>
        </w:rPr>
        <w:t>within the</w:t>
      </w:r>
      <w:r w:rsidR="0E9BB26E" w:rsidRPr="00A52A79">
        <w:rPr>
          <w:lang w:val="mi-NZ"/>
        </w:rPr>
        <w:t xml:space="preserve"> scheme</w:t>
      </w:r>
      <w:r w:rsidR="00B12D36">
        <w:rPr>
          <w:lang w:val="mi-NZ"/>
        </w:rPr>
        <w:t>.</w:t>
      </w:r>
    </w:p>
  </w:footnote>
  <w:footnote w:id="10">
    <w:p w14:paraId="6F31C5A0" w14:textId="0720056C" w:rsidR="00BF498A" w:rsidRPr="00BF498A" w:rsidRDefault="00BF498A">
      <w:pPr>
        <w:pStyle w:val="FootnoteText"/>
        <w:rPr>
          <w:lang w:val="mi-NZ"/>
        </w:rPr>
      </w:pPr>
      <w:r w:rsidRPr="00346F3B">
        <w:rPr>
          <w:rStyle w:val="FootnoteReference"/>
        </w:rPr>
        <w:footnoteRef/>
      </w:r>
      <w:r w:rsidRPr="00346F3B">
        <w:t xml:space="preserve"> </w:t>
      </w:r>
      <w:r w:rsidR="00923195" w:rsidRPr="00346F3B">
        <w:t>In 2024 the Commission recommended amendments to the 2050 target.</w:t>
      </w:r>
      <w:r w:rsidRPr="00346F3B">
        <w:t xml:space="preserve"> </w:t>
      </w:r>
      <w:r w:rsidR="00A02D38" w:rsidRPr="00346F3B">
        <w:rPr>
          <w:lang w:val="mi-NZ"/>
        </w:rPr>
        <w:t>This</w:t>
      </w:r>
      <w:r w:rsidR="00B12D36">
        <w:rPr>
          <w:lang w:val="mi-NZ"/>
        </w:rPr>
        <w:t xml:space="preserve"> NZ ETS settings</w:t>
      </w:r>
      <w:r w:rsidR="00A02D38" w:rsidRPr="00346F3B">
        <w:rPr>
          <w:lang w:val="mi-NZ"/>
        </w:rPr>
        <w:t xml:space="preserve"> advice relates to the current 2050 target</w:t>
      </w:r>
      <w:r w:rsidR="000C4F39" w:rsidRPr="00346F3B">
        <w:rPr>
          <w:lang w:val="mi-NZ"/>
        </w:rPr>
        <w:t xml:space="preserve"> as set out </w:t>
      </w:r>
      <w:r w:rsidR="0018018B" w:rsidRPr="00346F3B">
        <w:rPr>
          <w:lang w:val="mi-NZ"/>
        </w:rPr>
        <w:t>in the Climate Change Response Act 2002</w:t>
      </w:r>
      <w:r w:rsidR="00A02D38" w:rsidRPr="00346F3B">
        <w:rPr>
          <w:lang w:val="mi-NZ"/>
        </w:rPr>
        <w:t>.</w:t>
      </w:r>
    </w:p>
  </w:footnote>
  <w:footnote w:id="11">
    <w:p w14:paraId="21AA9BFE" w14:textId="13F84D11" w:rsidR="00322723" w:rsidRPr="009916B9" w:rsidRDefault="00322723">
      <w:pPr>
        <w:pStyle w:val="FootnoteText"/>
        <w:rPr>
          <w:lang w:val="mi-NZ"/>
        </w:rPr>
      </w:pPr>
      <w:r>
        <w:rPr>
          <w:rStyle w:val="FootnoteReference"/>
        </w:rPr>
        <w:footnoteRef/>
      </w:r>
      <w:r>
        <w:t xml:space="preserve"> </w:t>
      </w:r>
      <w:r>
        <w:rPr>
          <w:lang w:val="mi-NZ"/>
        </w:rPr>
        <w:t>Of 14.2 million units available at auction</w:t>
      </w:r>
      <w:r w:rsidR="00AF3F73">
        <w:rPr>
          <w:lang w:val="mi-NZ"/>
        </w:rPr>
        <w:t xml:space="preserve"> during 2024, 7.1 million did not sell.</w:t>
      </w:r>
    </w:p>
  </w:footnote>
  <w:footnote w:id="12">
    <w:p w14:paraId="416F6F33" w14:textId="5F00E919" w:rsidR="00AF3F73" w:rsidRPr="009916B9" w:rsidRDefault="00AF3F73">
      <w:pPr>
        <w:pStyle w:val="FootnoteText"/>
        <w:rPr>
          <w:lang w:val="mi-NZ"/>
        </w:rPr>
      </w:pPr>
      <w:r>
        <w:rPr>
          <w:rStyle w:val="FootnoteReference"/>
        </w:rPr>
        <w:footnoteRef/>
      </w:r>
      <w:r>
        <w:t xml:space="preserve"> </w:t>
      </w:r>
      <w:r>
        <w:rPr>
          <w:lang w:val="mi-NZ"/>
        </w:rPr>
        <w:t xml:space="preserve">Industrial free allocation was </w:t>
      </w:r>
      <w:r w:rsidR="00F52FA3">
        <w:rPr>
          <w:lang w:val="mi-NZ"/>
        </w:rPr>
        <w:t>4.4 million units less than forecast for the period 2026</w:t>
      </w:r>
      <w:r w:rsidR="00C45D7D">
        <w:rPr>
          <w:lang w:val="mi-NZ"/>
        </w:rPr>
        <w:t>–</w:t>
      </w:r>
      <w:r w:rsidR="00F52FA3">
        <w:rPr>
          <w:lang w:val="mi-NZ"/>
        </w:rPr>
        <w:t>2030</w:t>
      </w:r>
      <w:r w:rsidR="00C45D7D">
        <w:rPr>
          <w:lang w:val="mi-NZ"/>
        </w:rPr>
        <w:t xml:space="preserve">. This is due to a combination of plant closures, </w:t>
      </w:r>
      <w:r w:rsidR="009A7448">
        <w:rPr>
          <w:lang w:val="mi-NZ"/>
        </w:rPr>
        <w:t xml:space="preserve">reduced production, and </w:t>
      </w:r>
      <w:r w:rsidR="00285780">
        <w:rPr>
          <w:lang w:val="mi-NZ"/>
        </w:rPr>
        <w:t xml:space="preserve">changes to the industrial </w:t>
      </w:r>
      <w:r w:rsidR="00787F59">
        <w:rPr>
          <w:lang w:val="mi-NZ"/>
        </w:rPr>
        <w:t>free allocation regulations.</w:t>
      </w:r>
      <w:r w:rsidR="00C45D7D">
        <w:rPr>
          <w:lang w:val="mi-NZ"/>
        </w:rPr>
        <w:t xml:space="preserve"> </w:t>
      </w:r>
    </w:p>
  </w:footnote>
  <w:footnote w:id="13">
    <w:p w14:paraId="36E5DEE5" w14:textId="17E0388A" w:rsidR="00092D66" w:rsidRPr="00E24EE1" w:rsidRDefault="00092D66" w:rsidP="00092D66">
      <w:pPr>
        <w:pStyle w:val="FootnoteText"/>
        <w:rPr>
          <w:lang w:val="mi-NZ"/>
        </w:rPr>
      </w:pPr>
      <w:r w:rsidRPr="00004C35">
        <w:rPr>
          <w:rStyle w:val="FootnoteReference"/>
        </w:rPr>
        <w:footnoteRef/>
      </w:r>
      <w:r w:rsidRPr="00004C35">
        <w:t xml:space="preserve"> </w:t>
      </w:r>
      <w:r w:rsidRPr="00004C35">
        <w:rPr>
          <w:lang w:val="mi-NZ"/>
        </w:rPr>
        <w:t xml:space="preserve">The ‘emissions cap’ is a targeted level of emissions for sectors covered by the NZ ETS. The cap declines over time to reflect emissions reduction targets. It is </w:t>
      </w:r>
      <w:r w:rsidR="004712A0" w:rsidRPr="00004C35">
        <w:rPr>
          <w:lang w:val="mi-NZ"/>
        </w:rPr>
        <w:t>likely</w:t>
      </w:r>
      <w:r w:rsidRPr="00004C35">
        <w:rPr>
          <w:lang w:val="mi-NZ"/>
        </w:rPr>
        <w:t xml:space="preserve"> to </w:t>
      </w:r>
      <w:r w:rsidR="00B26FC4" w:rsidRPr="00004C35">
        <w:rPr>
          <w:lang w:val="mi-NZ"/>
        </w:rPr>
        <w:t xml:space="preserve">reduce to </w:t>
      </w:r>
      <w:r w:rsidRPr="00004C35">
        <w:rPr>
          <w:lang w:val="mi-NZ"/>
        </w:rPr>
        <w:t>zero in the 2030s.</w:t>
      </w:r>
    </w:p>
  </w:footnote>
  <w:footnote w:id="14">
    <w:p w14:paraId="5DF1A0DF" w14:textId="1EEEE84D" w:rsidR="0017313C" w:rsidRDefault="0017313C">
      <w:pPr>
        <w:pStyle w:val="FootnoteText"/>
      </w:pPr>
      <w:r>
        <w:rPr>
          <w:rStyle w:val="FootnoteReference"/>
        </w:rPr>
        <w:footnoteRef/>
      </w:r>
      <w:r>
        <w:t xml:space="preserve"> Other than units allocated for removal activities (most significantly, forestry units), which are not incorporated into or restricted by the NZ ETS unit limits. </w:t>
      </w:r>
    </w:p>
  </w:footnote>
  <w:footnote w:id="15">
    <w:p w14:paraId="038D22B2" w14:textId="73596475" w:rsidR="00F45EB1" w:rsidRDefault="00F45EB1" w:rsidP="00F45EB1">
      <w:pPr>
        <w:pStyle w:val="FootnoteText"/>
      </w:pPr>
      <w:r>
        <w:rPr>
          <w:rStyle w:val="FootnoteReference"/>
        </w:rPr>
        <w:footnoteRef/>
      </w:r>
      <w:r>
        <w:t xml:space="preserve"> For example, Washington State, Oregon</w:t>
      </w:r>
      <w:r w:rsidR="006023A9">
        <w:t xml:space="preserve"> and</w:t>
      </w:r>
      <w:r w:rsidDel="006023A9">
        <w:t xml:space="preserve"> </w:t>
      </w:r>
      <w:r>
        <w:t xml:space="preserve">Colorado have existing state-level </w:t>
      </w:r>
      <w:r w:rsidR="007814A3">
        <w:t xml:space="preserve">carbon pricing </w:t>
      </w:r>
      <w:r>
        <w:t>initiatives, with New York State set to launch a new ETS in 2025. Eleven northeast states (</w:t>
      </w:r>
      <w:r w:rsidRPr="009C776A">
        <w:t>Connecticut, Delaware, Maine, Maryland, Massachusetts, New Hampshire, New Jersey, New York, Pennsylvania, Rhode Island, and Vermont</w:t>
      </w:r>
      <w:r>
        <w:t xml:space="preserve">) also work together in the </w:t>
      </w:r>
      <w:r w:rsidRPr="009C776A">
        <w:t>Regional Greenhouse Gas Initiative</w:t>
      </w:r>
      <w:r>
        <w:t xml:space="preserve"> </w:t>
      </w:r>
      <w:r w:rsidRPr="009C776A">
        <w:t>to cap and reduce CO</w:t>
      </w:r>
      <w:r w:rsidRPr="009C776A">
        <w:rPr>
          <w:vertAlign w:val="subscript"/>
        </w:rPr>
        <w:t>2</w:t>
      </w:r>
      <w:r w:rsidRPr="009C776A">
        <w:t xml:space="preserve"> emissions from the </w:t>
      </w:r>
      <w:r w:rsidR="002534AF">
        <w:t>electricity</w:t>
      </w:r>
      <w:r w:rsidRPr="009C776A">
        <w:t xml:space="preserve"> sector.</w:t>
      </w:r>
      <w:r>
        <w:t xml:space="preserve"> See </w:t>
      </w:r>
      <w:r w:rsidR="000872AE">
        <w:t>International Carbon Action Partnership</w:t>
      </w:r>
      <w:r>
        <w:t xml:space="preserve"> (2025) for more information. </w:t>
      </w:r>
    </w:p>
  </w:footnote>
  <w:footnote w:id="16">
    <w:p w14:paraId="3B9D890C" w14:textId="12C2252A" w:rsidR="00FB7D44" w:rsidRDefault="00FB7D44">
      <w:pPr>
        <w:pStyle w:val="FootnoteText"/>
      </w:pPr>
      <w:r>
        <w:rPr>
          <w:rStyle w:val="FootnoteReference"/>
        </w:rPr>
        <w:footnoteRef/>
      </w:r>
      <w:r>
        <w:t xml:space="preserve"> We provided more </w:t>
      </w:r>
      <w:r w:rsidR="00CD7325">
        <w:t>detail</w:t>
      </w:r>
      <w:r>
        <w:t xml:space="preserve"> on this issue in our </w:t>
      </w:r>
      <w:r w:rsidR="00CD7325">
        <w:t>advice last year,</w:t>
      </w:r>
      <w:r>
        <w:t xml:space="preserve"> </w:t>
      </w:r>
      <w:r w:rsidR="002E00E7" w:rsidRPr="003E1EC5">
        <w:rPr>
          <w:i/>
        </w:rPr>
        <w:t>Advice on NZ ETS Unit Limits and Price Control Settings</w:t>
      </w:r>
      <w:r w:rsidR="00CD7325" w:rsidRPr="003E1EC5">
        <w:rPr>
          <w:i/>
        </w:rPr>
        <w:t xml:space="preserve"> 2024</w:t>
      </w:r>
      <w:r w:rsidR="002E00E7">
        <w:t>.</w:t>
      </w:r>
    </w:p>
  </w:footnote>
  <w:footnote w:id="17">
    <w:p w14:paraId="05DDCCF2" w14:textId="65ED40FE" w:rsidR="0031348A" w:rsidRDefault="0031348A">
      <w:pPr>
        <w:pStyle w:val="FootnoteText"/>
      </w:pPr>
      <w:r>
        <w:rPr>
          <w:rStyle w:val="FootnoteReference"/>
        </w:rPr>
        <w:footnoteRef/>
      </w:r>
      <w:r>
        <w:t xml:space="preserve"> We discuss</w:t>
      </w:r>
      <w:r w:rsidR="00DC1259">
        <w:t>ed</w:t>
      </w:r>
      <w:r>
        <w:t xml:space="preserve"> this in more detail in the Commission</w:t>
      </w:r>
      <w:r w:rsidR="00DC1259">
        <w:t>’s</w:t>
      </w:r>
      <w:r>
        <w:t xml:space="preserve"> </w:t>
      </w:r>
      <w:r w:rsidR="00FA0294">
        <w:t>2022</w:t>
      </w:r>
      <w:r>
        <w:t xml:space="preserve"> advice </w:t>
      </w:r>
      <w:r w:rsidR="00FA0294">
        <w:t>on NZ ETS unit limits and price control settings.</w:t>
      </w:r>
    </w:p>
  </w:footnote>
  <w:footnote w:id="18">
    <w:p w14:paraId="3F7EA68F" w14:textId="326FC7D8" w:rsidR="00ED21D0" w:rsidRPr="009764A8" w:rsidRDefault="00ED21D0" w:rsidP="00BA4AFC">
      <w:pPr>
        <w:pStyle w:val="FootnoteText"/>
        <w:rPr>
          <w:sz w:val="24"/>
          <w:szCs w:val="24"/>
          <w:highlight w:val="yellow"/>
        </w:rPr>
      </w:pPr>
      <w:r>
        <w:rPr>
          <w:rStyle w:val="FootnoteReference"/>
        </w:rPr>
        <w:footnoteRef/>
      </w:r>
      <w:r w:rsidRPr="00BA4AFC">
        <w:rPr>
          <w:rStyle w:val="FootnoteReference"/>
        </w:rPr>
        <w:t xml:space="preserve"> </w:t>
      </w:r>
      <w:r w:rsidRPr="00BA4AFC">
        <w:rPr>
          <w:rStyle w:val="FootnoteReference"/>
          <w:vertAlign w:val="baseline"/>
        </w:rPr>
        <w:t>Emission</w:t>
      </w:r>
      <w:r w:rsidR="00F23F0D">
        <w:rPr>
          <w:rStyle w:val="FootnoteReference"/>
          <w:vertAlign w:val="baseline"/>
        </w:rPr>
        <w:t>s</w:t>
      </w:r>
      <w:r w:rsidRPr="00BA4AFC">
        <w:rPr>
          <w:rStyle w:val="FootnoteReference"/>
          <w:vertAlign w:val="baseline"/>
        </w:rPr>
        <w:t xml:space="preserve"> reduction targets here refers to emissions budgets, nationally determined contributions (NDCs), and the 2050 target. The settings must strictly accord with the 2050 target</w:t>
      </w:r>
      <w:r w:rsidR="002E28CC">
        <w:t xml:space="preserve">. </w:t>
      </w:r>
      <w:r w:rsidR="002E28CC">
        <w:rPr>
          <w:rStyle w:val="FootnoteReference"/>
          <w:vertAlign w:val="baseline"/>
        </w:rPr>
        <w:t>H</w:t>
      </w:r>
      <w:r w:rsidRPr="00BA4AFC">
        <w:rPr>
          <w:rStyle w:val="FootnoteReference"/>
          <w:vertAlign w:val="baseline"/>
        </w:rPr>
        <w:t>owever, the settings need not strictly accord with emissions budgets or NDCs as long as any discrepancy is justified, after considering a range of matters set out in the Act</w:t>
      </w:r>
      <w:r w:rsidR="000F46AC">
        <w:rPr>
          <w:rStyle w:val="FootnoteReference"/>
          <w:vertAlign w:val="baseline"/>
        </w:rPr>
        <w:t xml:space="preserve"> </w:t>
      </w:r>
      <w:r w:rsidR="000F46AC">
        <w:t>(see section 30GC)</w:t>
      </w:r>
      <w:r w:rsidRPr="00BA4AFC">
        <w:rPr>
          <w:rStyle w:val="FootnoteReference"/>
          <w:vertAlign w:val="baseline"/>
        </w:rPr>
        <w:t>.</w:t>
      </w:r>
      <w:r>
        <w:rPr>
          <w:highlight w:val="yellow"/>
        </w:rPr>
        <w:t xml:space="preserve"> </w:t>
      </w:r>
    </w:p>
  </w:footnote>
  <w:footnote w:id="19">
    <w:p w14:paraId="7EAF31A8" w14:textId="60E78237" w:rsidR="0055528A" w:rsidRDefault="0055528A" w:rsidP="0055528A">
      <w:pPr>
        <w:pStyle w:val="FootnoteText"/>
      </w:pPr>
      <w:r>
        <w:rPr>
          <w:rStyle w:val="FootnoteReference"/>
        </w:rPr>
        <w:footnoteRef/>
      </w:r>
      <w:r>
        <w:t xml:space="preserve"> </w:t>
      </w:r>
      <w:r w:rsidR="00697C0A">
        <w:t>See, f</w:t>
      </w:r>
      <w:r>
        <w:t>or example</w:t>
      </w:r>
      <w:r w:rsidR="00A96FEE">
        <w:t>,</w:t>
      </w:r>
      <w:r>
        <w:t xml:space="preserve"> </w:t>
      </w:r>
      <w:r w:rsidR="00CC4393">
        <w:t>Aotearoa New Zealand’s formal submission of the first NDC to the UNFCCC secretariat</w:t>
      </w:r>
      <w:r w:rsidR="006B2230">
        <w:t>, the</w:t>
      </w:r>
      <w:r>
        <w:t xml:space="preserve"> First Biennial Transparency Report</w:t>
      </w:r>
      <w:r w:rsidR="0002727E">
        <w:t xml:space="preserve">, </w:t>
      </w:r>
      <w:r w:rsidR="006D5D11">
        <w:t>the first emissions reduction plan</w:t>
      </w:r>
      <w:r w:rsidR="00F93921">
        <w:t>.</w:t>
      </w:r>
      <w:r w:rsidR="00E74F5D">
        <w:t xml:space="preserve"> </w:t>
      </w:r>
    </w:p>
  </w:footnote>
  <w:footnote w:id="20">
    <w:p w14:paraId="26F7A2A4" w14:textId="481EE587" w:rsidR="00147B37" w:rsidRDefault="00147B37">
      <w:pPr>
        <w:pStyle w:val="FootnoteText"/>
      </w:pPr>
      <w:r>
        <w:rPr>
          <w:rStyle w:val="FootnoteReference"/>
        </w:rPr>
        <w:footnoteRef/>
      </w:r>
      <w:r>
        <w:t xml:space="preserve"> </w:t>
      </w:r>
      <w:r w:rsidR="0019326E">
        <w:t xml:space="preserve">The Paris Agreement provides two avenues for obtaining offshore </w:t>
      </w:r>
      <w:r w:rsidR="00D834E4">
        <w:t>mitigation</w:t>
      </w:r>
      <w:r w:rsidR="0019326E">
        <w:t xml:space="preserve"> that can contribute to a </w:t>
      </w:r>
      <w:r w:rsidR="000D5E3C">
        <w:t>P</w:t>
      </w:r>
      <w:r w:rsidR="0019326E">
        <w:t>arty’s NDC. The first is through bilateral arrangements with other countries under Article 6</w:t>
      </w:r>
      <w:r w:rsidR="00DC2014">
        <w:t>.2</w:t>
      </w:r>
      <w:r w:rsidR="0019326E">
        <w:t xml:space="preserve"> of the Paris Agreement. The second is through the central mechanism to be established under </w:t>
      </w:r>
      <w:r w:rsidR="00D834E4">
        <w:t>Article</w:t>
      </w:r>
      <w:r w:rsidR="0019326E">
        <w:t xml:space="preserve"> 6</w:t>
      </w:r>
      <w:r w:rsidR="00DC2014">
        <w:t>.</w:t>
      </w:r>
      <w:r w:rsidR="00B53864">
        <w:t>4</w:t>
      </w:r>
      <w:r w:rsidR="0019326E">
        <w:t xml:space="preserve"> of the Paris Agreement</w:t>
      </w:r>
      <w:r w:rsidR="00F1383F">
        <w:t xml:space="preserve">. Up until recently, </w:t>
      </w:r>
      <w:r w:rsidR="00D834E4">
        <w:t xml:space="preserve">the details </w:t>
      </w:r>
      <w:r w:rsidR="006C2989">
        <w:t xml:space="preserve">to enable the operation </w:t>
      </w:r>
      <w:r w:rsidR="001F142E">
        <w:t xml:space="preserve">of </w:t>
      </w:r>
      <w:r w:rsidR="007160F5">
        <w:t xml:space="preserve">the </w:t>
      </w:r>
      <w:r w:rsidR="00D834E4" w:rsidRPr="00B5428D">
        <w:t>Article 6</w:t>
      </w:r>
      <w:r w:rsidR="00B55FE1" w:rsidRPr="00B5428D">
        <w:t>.</w:t>
      </w:r>
      <w:r w:rsidR="00D834E4" w:rsidRPr="00B5428D">
        <w:t>4</w:t>
      </w:r>
      <w:r w:rsidR="00D834E4">
        <w:t xml:space="preserve"> mechanism </w:t>
      </w:r>
      <w:r w:rsidR="00D834E4" w:rsidRPr="00B5428D">
        <w:t>had not been agreed</w:t>
      </w:r>
      <w:r w:rsidR="00E73B00" w:rsidRPr="00B5428D">
        <w:t xml:space="preserve">, but </w:t>
      </w:r>
      <w:r w:rsidR="001203E9" w:rsidRPr="00B5428D">
        <w:t xml:space="preserve">the necessary guidance was provided in </w:t>
      </w:r>
      <w:r w:rsidR="00E9719E" w:rsidRPr="00B5428D">
        <w:t xml:space="preserve">Decisions </w:t>
      </w:r>
      <w:r w:rsidR="00F737C9" w:rsidRPr="00B5428D">
        <w:t xml:space="preserve">made by Parties </w:t>
      </w:r>
      <w:r w:rsidR="00D357D1" w:rsidRPr="00B5428D">
        <w:t xml:space="preserve">in </w:t>
      </w:r>
      <w:r w:rsidR="00BE3667" w:rsidRPr="00B5428D">
        <w:t>November 2024.</w:t>
      </w:r>
      <w:r w:rsidR="001203E9" w:rsidRPr="00B5428D">
        <w:t xml:space="preserve"> It is now possible that the Article 6.4 mechanism will be fully functioning in time </w:t>
      </w:r>
      <w:r w:rsidR="00EA43DD" w:rsidRPr="00B5428D">
        <w:t>for the Government to use it to help meet the first NDC</w:t>
      </w:r>
      <w:r w:rsidR="00BE3667" w:rsidRPr="00B5428D">
        <w:t>.</w:t>
      </w:r>
    </w:p>
  </w:footnote>
  <w:footnote w:id="21">
    <w:p w14:paraId="3CCC30DC" w14:textId="208EB31B" w:rsidR="00A44281" w:rsidRDefault="00A44281" w:rsidP="00A44281">
      <w:pPr>
        <w:pStyle w:val="FootnoteText"/>
      </w:pPr>
      <w:r>
        <w:rPr>
          <w:rStyle w:val="FootnoteReference"/>
        </w:rPr>
        <w:footnoteRef/>
      </w:r>
      <w:r>
        <w:t xml:space="preserve"> </w:t>
      </w:r>
      <w:r w:rsidR="00C444BE">
        <w:t xml:space="preserve">Where our analysis this year draws on existing projections beyond 2030, we have made an adjustment to bring the limits back into alignment with meeting </w:t>
      </w:r>
      <w:r w:rsidR="00B53EEE">
        <w:t xml:space="preserve">the third </w:t>
      </w:r>
      <w:r w:rsidR="00C444BE">
        <w:t>emissions budget. See step 5 for details</w:t>
      </w:r>
      <w:r>
        <w:t xml:space="preserve">. </w:t>
      </w:r>
    </w:p>
  </w:footnote>
  <w:footnote w:id="22">
    <w:p w14:paraId="78FF6C47" w14:textId="3C3D62FA" w:rsidR="00D1278F" w:rsidRDefault="00D1278F">
      <w:pPr>
        <w:pStyle w:val="FootnoteText"/>
      </w:pPr>
      <w:r>
        <w:rPr>
          <w:rStyle w:val="FootnoteReference"/>
        </w:rPr>
        <w:footnoteRef/>
      </w:r>
      <w:r>
        <w:t xml:space="preserve"> At </w:t>
      </w:r>
      <w:hyperlink r:id="rId1" w:history="1">
        <w:r w:rsidRPr="00A243F1">
          <w:rPr>
            <w:rStyle w:val="Hyperlink"/>
          </w:rPr>
          <w:t>https://environment.govt.nz/what-government-is-doing/areas-of-work/climate-change/ets/participating-in-the-nz-ets/overview-of-industrial-allocation/</w:t>
        </w:r>
      </w:hyperlink>
      <w:r>
        <w:t xml:space="preserve"> </w:t>
      </w:r>
    </w:p>
  </w:footnote>
  <w:footnote w:id="23">
    <w:p w14:paraId="29C5A5AA" w14:textId="74B216C5" w:rsidR="00FA3D9A" w:rsidRPr="00CD520F" w:rsidRDefault="00FA3D9A" w:rsidP="00FA3D9A">
      <w:pPr>
        <w:pStyle w:val="FootnoteText"/>
        <w:rPr>
          <w:lang w:val="en-US"/>
        </w:rPr>
      </w:pPr>
      <w:r>
        <w:rPr>
          <w:rStyle w:val="FootnoteReference"/>
        </w:rPr>
        <w:footnoteRef/>
      </w:r>
      <w:r w:rsidR="00CD520F">
        <w:t xml:space="preserve"> </w:t>
      </w:r>
      <w:r w:rsidR="0051561B" w:rsidRPr="0051561B">
        <w:t>The report</w:t>
      </w:r>
      <w:r w:rsidR="000E4C9E">
        <w:t xml:space="preserve">, </w:t>
      </w:r>
      <w:r w:rsidR="007B43DE" w:rsidRPr="00730061">
        <w:rPr>
          <w:i/>
          <w:iCs/>
        </w:rPr>
        <w:t>New Zealand’s Emissions Trading Scheme (ETS) NZU Surplus Advice</w:t>
      </w:r>
      <w:r w:rsidR="007B43DE">
        <w:t xml:space="preserve">, </w:t>
      </w:r>
      <w:r w:rsidR="0051561B" w:rsidRPr="0051561B">
        <w:t xml:space="preserve">is available on </w:t>
      </w:r>
      <w:r w:rsidR="000E4C9E">
        <w:t>the Ministry</w:t>
      </w:r>
      <w:r w:rsidR="00A504E0">
        <w:t xml:space="preserve"> for the Environment</w:t>
      </w:r>
      <w:r w:rsidR="000E4C9E">
        <w:t>’s</w:t>
      </w:r>
      <w:r w:rsidR="000E4C9E" w:rsidRPr="0051561B">
        <w:t xml:space="preserve"> </w:t>
      </w:r>
      <w:r w:rsidR="0051561B" w:rsidRPr="0051561B">
        <w:t xml:space="preserve">website: </w:t>
      </w:r>
      <w:hyperlink r:id="rId2" w:history="1">
        <w:r w:rsidR="0051561B" w:rsidRPr="0051561B">
          <w:rPr>
            <w:rStyle w:val="Hyperlink"/>
          </w:rPr>
          <w:t>https://environment.govt.nz/assets/publications/climate-change/nzets-nzu-surplus-advice.pdf</w:t>
        </w:r>
      </w:hyperlink>
    </w:p>
  </w:footnote>
  <w:footnote w:id="24">
    <w:p w14:paraId="0135149D" w14:textId="5FBFF8BF" w:rsidR="00DC2891" w:rsidRPr="00DC2891" w:rsidRDefault="00DC2891">
      <w:pPr>
        <w:pStyle w:val="FootnoteText"/>
        <w:rPr>
          <w:lang w:val="en-US"/>
        </w:rPr>
      </w:pPr>
      <w:r>
        <w:rPr>
          <w:rStyle w:val="FootnoteReference"/>
        </w:rPr>
        <w:footnoteRef/>
      </w:r>
      <w:r>
        <w:t xml:space="preserve"> </w:t>
      </w:r>
      <w:r w:rsidR="0097308E">
        <w:t xml:space="preserve">This data </w:t>
      </w:r>
      <w:r w:rsidR="0082376E">
        <w:t xml:space="preserve">was from the end of September 2023, due to </w:t>
      </w:r>
      <w:r w:rsidR="004C1862">
        <w:t xml:space="preserve">the </w:t>
      </w:r>
      <w:r w:rsidR="0082376E">
        <w:rPr>
          <w:lang w:val="en-US"/>
        </w:rPr>
        <w:t>February due date</w:t>
      </w:r>
      <w:r w:rsidR="001C0E32">
        <w:rPr>
          <w:lang w:val="en-US"/>
        </w:rPr>
        <w:t xml:space="preserve"> of our 2024 advice</w:t>
      </w:r>
      <w:r w:rsidR="001B6ADC">
        <w:rPr>
          <w:lang w:val="en-US"/>
        </w:rPr>
        <w:t>.</w:t>
      </w:r>
      <w:r w:rsidR="00C970FF">
        <w:rPr>
          <w:lang w:val="en-US"/>
        </w:rPr>
        <w:t xml:space="preserve"> </w:t>
      </w:r>
      <w:r w:rsidR="00037CF5">
        <w:rPr>
          <w:lang w:val="en-US"/>
        </w:rPr>
        <w:t xml:space="preserve">The </w:t>
      </w:r>
      <w:r w:rsidR="00C970FF">
        <w:rPr>
          <w:lang w:val="en-US"/>
        </w:rPr>
        <w:t xml:space="preserve">Government </w:t>
      </w:r>
      <w:r w:rsidR="0082376E">
        <w:rPr>
          <w:lang w:val="en-US"/>
        </w:rPr>
        <w:t>used</w:t>
      </w:r>
      <w:r w:rsidR="00C970FF">
        <w:rPr>
          <w:lang w:val="en-US"/>
        </w:rPr>
        <w:t xml:space="preserve"> the updated December </w:t>
      </w:r>
      <w:r w:rsidR="0082376E">
        <w:rPr>
          <w:lang w:val="en-US"/>
        </w:rPr>
        <w:t xml:space="preserve">2023 </w:t>
      </w:r>
      <w:r w:rsidR="00C970FF">
        <w:rPr>
          <w:lang w:val="en-US"/>
        </w:rPr>
        <w:t xml:space="preserve">stockpile </w:t>
      </w:r>
      <w:r w:rsidR="0082376E">
        <w:rPr>
          <w:lang w:val="en-US"/>
        </w:rPr>
        <w:t>data</w:t>
      </w:r>
      <w:r w:rsidR="006B7212">
        <w:rPr>
          <w:lang w:val="en-US"/>
        </w:rPr>
        <w:t>,</w:t>
      </w:r>
      <w:r w:rsidR="0082376E">
        <w:rPr>
          <w:lang w:val="en-US"/>
        </w:rPr>
        <w:t xml:space="preserve"> </w:t>
      </w:r>
      <w:r w:rsidR="00C970FF">
        <w:rPr>
          <w:lang w:val="en-US"/>
        </w:rPr>
        <w:t xml:space="preserve">as </w:t>
      </w:r>
      <w:r w:rsidR="0082376E">
        <w:rPr>
          <w:lang w:val="en-US"/>
        </w:rPr>
        <w:t xml:space="preserve">we </w:t>
      </w:r>
      <w:r w:rsidR="00C970FF">
        <w:rPr>
          <w:lang w:val="en-US"/>
        </w:rPr>
        <w:t>recommended</w:t>
      </w:r>
      <w:r w:rsidR="006B7212">
        <w:rPr>
          <w:lang w:val="en-US"/>
        </w:rPr>
        <w:t>,</w:t>
      </w:r>
      <w:r w:rsidR="00C970FF">
        <w:rPr>
          <w:lang w:val="en-US"/>
        </w:rPr>
        <w:t xml:space="preserve"> for the final unit </w:t>
      </w:r>
      <w:r w:rsidR="00CE448E">
        <w:rPr>
          <w:lang w:val="en-US"/>
        </w:rPr>
        <w:t xml:space="preserve">limit </w:t>
      </w:r>
      <w:r w:rsidR="00C970FF">
        <w:rPr>
          <w:lang w:val="en-US"/>
        </w:rPr>
        <w:t xml:space="preserve">regulations. </w:t>
      </w:r>
    </w:p>
  </w:footnote>
  <w:footnote w:id="25">
    <w:p w14:paraId="5C18385D" w14:textId="6202D121" w:rsidR="002B77EB" w:rsidRDefault="002B77EB">
      <w:pPr>
        <w:pStyle w:val="FootnoteText"/>
      </w:pPr>
      <w:r>
        <w:rPr>
          <w:rStyle w:val="FootnoteReference"/>
        </w:rPr>
        <w:footnoteRef/>
      </w:r>
      <w:r>
        <w:t xml:space="preserve"> </w:t>
      </w:r>
      <w:r w:rsidR="006B3D28">
        <w:t>More specifically, we assume that the units to be surrendered exist in the stockpile by the end of the calendar year</w:t>
      </w:r>
      <w:r w:rsidR="0045337D">
        <w:t xml:space="preserve">. Whether they are </w:t>
      </w:r>
      <w:r w:rsidR="00E84DD1">
        <w:t>held by emitters directly, indirectly</w:t>
      </w:r>
      <w:r w:rsidR="00B55B5C">
        <w:t xml:space="preserve"> via third parties</w:t>
      </w:r>
      <w:r w:rsidR="00E84DD1">
        <w:t>, or are yet to be purchased does not affect the overall calculation of the surplus</w:t>
      </w:r>
      <w:r w:rsidR="00A24B8D">
        <w:t xml:space="preserve"> so long as the units </w:t>
      </w:r>
      <w:r w:rsidR="0046443C">
        <w:t xml:space="preserve">are </w:t>
      </w:r>
      <w:r w:rsidR="00001B0F">
        <w:t>in the registry</w:t>
      </w:r>
      <w:r w:rsidR="00E84DD1">
        <w:t>.</w:t>
      </w:r>
    </w:p>
  </w:footnote>
  <w:footnote w:id="26">
    <w:p w14:paraId="2ED326A7" w14:textId="195CFA58" w:rsidR="00475F4F" w:rsidRDefault="00475F4F">
      <w:pPr>
        <w:pStyle w:val="FootnoteText"/>
      </w:pPr>
      <w:r>
        <w:rPr>
          <w:rStyle w:val="FootnoteReference"/>
        </w:rPr>
        <w:footnoteRef/>
      </w:r>
      <w:r>
        <w:t xml:space="preserve"> </w:t>
      </w:r>
      <w:r w:rsidR="001B73FC">
        <w:t>T</w:t>
      </w:r>
      <w:r>
        <w:t xml:space="preserve">he </w:t>
      </w:r>
      <w:r w:rsidR="00BC0EC6">
        <w:t xml:space="preserve">component changes </w:t>
      </w:r>
      <w:r w:rsidR="001B73FC">
        <w:t xml:space="preserve">here </w:t>
      </w:r>
      <w:r w:rsidR="00BC0EC6">
        <w:t>may not sum exactly</w:t>
      </w:r>
      <w:r w:rsidR="001B73FC">
        <w:t xml:space="preserve"> to the difference in auction volumes due to rounding.</w:t>
      </w:r>
    </w:p>
  </w:footnote>
  <w:footnote w:id="27">
    <w:p w14:paraId="6873B9CB" w14:textId="2108F6C8" w:rsidR="002E2601" w:rsidRDefault="002E2601">
      <w:pPr>
        <w:pStyle w:val="FootnoteText"/>
      </w:pPr>
      <w:r>
        <w:rPr>
          <w:rStyle w:val="FootnoteReference"/>
        </w:rPr>
        <w:footnoteRef/>
      </w:r>
      <w:r>
        <w:t xml:space="preserve"> </w:t>
      </w:r>
      <w:r w:rsidR="004C7961">
        <w:t xml:space="preserve">The </w:t>
      </w:r>
      <w:r w:rsidR="006D6E34">
        <w:t xml:space="preserve">2.4m difference in </w:t>
      </w:r>
      <w:r w:rsidR="00032C9C">
        <w:t>the surplus estimate from current regulations</w:t>
      </w:r>
      <w:r w:rsidR="006D6E34">
        <w:t xml:space="preserve"> </w:t>
      </w:r>
      <w:r w:rsidR="00CB5BA2">
        <w:t xml:space="preserve">is </w:t>
      </w:r>
      <w:r w:rsidR="006D6E34">
        <w:t>slightly</w:t>
      </w:r>
      <w:r w:rsidR="00CB5BA2">
        <w:t xml:space="preserve"> lower than the 3</w:t>
      </w:r>
      <w:r w:rsidR="00005002">
        <w:t xml:space="preserve">.0m </w:t>
      </w:r>
      <w:r w:rsidR="006D6E34">
        <w:t>change in</w:t>
      </w:r>
      <w:r w:rsidR="00032C9C">
        <w:t xml:space="preserve"> surplus estimate from the Commission’s 2024 advice</w:t>
      </w:r>
      <w:r w:rsidR="00005002">
        <w:t xml:space="preserve"> referenced in step</w:t>
      </w:r>
      <w:r w:rsidR="00312ED3">
        <w:t xml:space="preserve"> </w:t>
      </w:r>
      <w:r w:rsidR="00005002">
        <w:t>5a</w:t>
      </w:r>
      <w:r w:rsidR="00937800">
        <w:t>. This is because in setting the 2024 regulations</w:t>
      </w:r>
      <w:r w:rsidR="004D15C8">
        <w:t xml:space="preserve"> </w:t>
      </w:r>
      <w:r w:rsidR="004B1425">
        <w:t xml:space="preserve">the Ministry for the Environment used updated </w:t>
      </w:r>
      <w:r w:rsidR="00937800">
        <w:t xml:space="preserve">data </w:t>
      </w:r>
      <w:r w:rsidR="00791EFD">
        <w:t>related to</w:t>
      </w:r>
      <w:r w:rsidR="00B44D20">
        <w:t xml:space="preserve"> the surplus </w:t>
      </w:r>
      <w:r w:rsidR="00937800">
        <w:t>that became available after we gave our advice.</w:t>
      </w:r>
      <w:r w:rsidR="004B1425">
        <w:t xml:space="preserve">  </w:t>
      </w:r>
      <w:r w:rsidR="006D6E34">
        <w:t xml:space="preserve"> </w:t>
      </w:r>
    </w:p>
  </w:footnote>
  <w:footnote w:id="28">
    <w:p w14:paraId="3D5C28E0" w14:textId="49B1DC52" w:rsidR="00F2338F" w:rsidRDefault="00F2338F">
      <w:pPr>
        <w:pStyle w:val="FootnoteText"/>
      </w:pPr>
      <w:r>
        <w:rPr>
          <w:rStyle w:val="FootnoteReference"/>
        </w:rPr>
        <w:footnoteRef/>
      </w:r>
      <w:r>
        <w:t xml:space="preserve"> The</w:t>
      </w:r>
      <w:r w:rsidR="00EA7FD5">
        <w:t xml:space="preserve"> data presented here for 2026 and 2027 differs from Table 3.3</w:t>
      </w:r>
      <w:r w:rsidR="00E00711">
        <w:t xml:space="preserve">. The data in the table </w:t>
      </w:r>
      <w:r w:rsidR="00A556E4">
        <w:t>for those years s</w:t>
      </w:r>
      <w:r w:rsidR="00D25C46">
        <w:t xml:space="preserve">hows how the auction volumes were derived using </w:t>
      </w:r>
      <w:r w:rsidR="00E00711">
        <w:t xml:space="preserve">the </w:t>
      </w:r>
      <w:r w:rsidR="00F94FB7">
        <w:t xml:space="preserve">information available when </w:t>
      </w:r>
      <w:r w:rsidR="00D25C46">
        <w:t xml:space="preserve">regulations </w:t>
      </w:r>
      <w:r w:rsidR="009964B8">
        <w:t>were made</w:t>
      </w:r>
      <w:r w:rsidR="001D3A08">
        <w:t xml:space="preserve"> in 2024</w:t>
      </w:r>
      <w:r w:rsidR="009964B8">
        <w:t>.</w:t>
      </w:r>
      <w:r w:rsidR="00F94FB7">
        <w:t xml:space="preserve"> Figure 3.3 uses </w:t>
      </w:r>
      <w:r w:rsidR="009964B8">
        <w:t xml:space="preserve">the latest </w:t>
      </w:r>
      <w:r w:rsidR="00F94FB7">
        <w:t>updated data for industrial allocation and</w:t>
      </w:r>
      <w:r w:rsidR="00A6542C">
        <w:t xml:space="preserve"> technical changes.</w:t>
      </w:r>
    </w:p>
  </w:footnote>
  <w:footnote w:id="29">
    <w:p w14:paraId="70760B1D" w14:textId="29371BC4" w:rsidR="00537FF4" w:rsidRDefault="00537FF4">
      <w:pPr>
        <w:pStyle w:val="FootnoteText"/>
      </w:pPr>
      <w:r>
        <w:rPr>
          <w:rStyle w:val="FootnoteReference"/>
        </w:rPr>
        <w:footnoteRef/>
      </w:r>
      <w:r>
        <w:t xml:space="preserve"> </w:t>
      </w:r>
      <w:r w:rsidR="00F3388E">
        <w:t>Climate Change Response Act, Section 161A(3A)</w:t>
      </w:r>
      <w:r w:rsidR="003B6C6B">
        <w:t>(a). However exceptions are provided for in s161</w:t>
      </w:r>
      <w:r w:rsidR="001A5D0F">
        <w:t>A(3B)</w:t>
      </w:r>
      <w:r w:rsidR="00EF6DB2">
        <w:t xml:space="preserve"> for</w:t>
      </w:r>
      <w:r w:rsidR="001A5D0F">
        <w:t xml:space="preserve"> </w:t>
      </w:r>
      <w:r w:rsidR="003B6C6B">
        <w:t>revisions</w:t>
      </w:r>
      <w:r w:rsidR="001A5D0F">
        <w:t xml:space="preserve"> to </w:t>
      </w:r>
      <w:r w:rsidR="00A60898">
        <w:t>emissions factors, electricity allocation factors</w:t>
      </w:r>
      <w:r w:rsidR="00FF0D0C">
        <w:t xml:space="preserve"> and exempted activities.</w:t>
      </w:r>
      <w:r w:rsidR="003B6C6B">
        <w:t xml:space="preserve"> </w:t>
      </w:r>
    </w:p>
  </w:footnote>
  <w:footnote w:id="30">
    <w:p w14:paraId="04080CFC" w14:textId="24D66CDD" w:rsidR="00C12E20" w:rsidRDefault="00C12E20" w:rsidP="00C12E20">
      <w:pPr>
        <w:pStyle w:val="FootnoteText"/>
      </w:pPr>
      <w:r>
        <w:rPr>
          <w:rStyle w:val="FootnoteReference"/>
        </w:rPr>
        <w:footnoteRef/>
      </w:r>
      <w:r>
        <w:t xml:space="preserve"> </w:t>
      </w:r>
      <w:r w:rsidRPr="002F2559">
        <w:t>Emission</w:t>
      </w:r>
      <w:r w:rsidR="00780A5D">
        <w:t>s</w:t>
      </w:r>
      <w:r w:rsidRPr="002F2559">
        <w:t xml:space="preserve"> reduction targets here refer to emissions budgets, nationally determined contributions (NDCs), and the 2050 target. The settings must strictly accord with the 2050 target</w:t>
      </w:r>
      <w:r w:rsidR="002F2559">
        <w:t>. However</w:t>
      </w:r>
      <w:r w:rsidRPr="002F2559">
        <w:t>, the settings need not strictly accord with emissions budgets or NDCs as long as any discrepancy is justified, after considering a range of matters set out in the Act</w:t>
      </w:r>
      <w:r w:rsidR="008C5014">
        <w:t xml:space="preserve"> (see section 30GC)</w:t>
      </w:r>
      <w:r w:rsidRPr="002F2559">
        <w:t>.</w:t>
      </w:r>
    </w:p>
  </w:footnote>
  <w:footnote w:id="31">
    <w:p w14:paraId="32A88FC7" w14:textId="3370D34B" w:rsidR="000E2E03" w:rsidRDefault="000E2E03">
      <w:pPr>
        <w:pStyle w:val="FootnoteText"/>
      </w:pPr>
      <w:r>
        <w:rPr>
          <w:rStyle w:val="FootnoteReference"/>
        </w:rPr>
        <w:footnoteRef/>
      </w:r>
      <w:r>
        <w:t xml:space="preserve"> </w:t>
      </w:r>
      <w:r w:rsidR="003C5141">
        <w:t xml:space="preserve">The </w:t>
      </w:r>
      <w:r w:rsidR="005E5DAB">
        <w:t xml:space="preserve">inflation adjustments </w:t>
      </w:r>
      <w:r w:rsidR="000B760B">
        <w:t xml:space="preserve">applied use </w:t>
      </w:r>
      <w:r w:rsidR="005E5DAB">
        <w:t xml:space="preserve">the Treasury’s consumer price index (CPI) inflation forecasts contained in the </w:t>
      </w:r>
      <w:r w:rsidR="00E84207">
        <w:t>Half Year Economic and Fiscal Update 2024</w:t>
      </w:r>
      <w:r w:rsidR="000B760B">
        <w:t>.</w:t>
      </w:r>
      <w:r w:rsidR="00E84207">
        <w:t xml:space="preserve"> </w:t>
      </w:r>
      <w:r w:rsidR="005E5DAB">
        <w:t xml:space="preserve"> </w:t>
      </w:r>
    </w:p>
  </w:footnote>
  <w:footnote w:id="32">
    <w:p w14:paraId="6DF6DC6F" w14:textId="3895FEFD" w:rsidR="000928FC" w:rsidRDefault="000928FC" w:rsidP="000928FC">
      <w:pPr>
        <w:pStyle w:val="FootnoteText"/>
      </w:pPr>
      <w:r>
        <w:rPr>
          <w:rStyle w:val="FootnoteReference"/>
        </w:rPr>
        <w:footnoteRef/>
      </w:r>
      <w:r>
        <w:t xml:space="preserve"> For example, EECA’s Regional Energy Transition Accelerator research; the Commission’s previous modelling in 2021</w:t>
      </w:r>
      <w:r w:rsidRPr="12E598B1" w:rsidDel="008D72CA">
        <w:rPr>
          <w:rFonts w:eastAsia="Calibri" w:cs="Calibri"/>
        </w:rPr>
        <w:t>–</w:t>
      </w:r>
      <w:r>
        <w:t xml:space="preserve">2022 to inform the setting of </w:t>
      </w:r>
      <w:r w:rsidR="00BF7EEB">
        <w:t xml:space="preserve">the first, second and third </w:t>
      </w:r>
      <w:r>
        <w:t>emissions budgets</w:t>
      </w:r>
      <w:r w:rsidDel="007701DC">
        <w:t xml:space="preserve"> </w:t>
      </w:r>
      <w:r>
        <w:t xml:space="preserve">and the NZ ETS price control settings; and the analysis of marginal abatement cost curves by MfE in 2020. </w:t>
      </w:r>
    </w:p>
  </w:footnote>
  <w:footnote w:id="33">
    <w:p w14:paraId="036651E9" w14:textId="7789CCEC" w:rsidR="004968B8" w:rsidRDefault="004968B8">
      <w:pPr>
        <w:pStyle w:val="FootnoteText"/>
      </w:pPr>
      <w:r>
        <w:rPr>
          <w:rStyle w:val="FootnoteReference"/>
        </w:rPr>
        <w:footnoteRef/>
      </w:r>
      <w:r>
        <w:t xml:space="preserve"> </w:t>
      </w:r>
      <w:r w:rsidR="00093820">
        <w:t xml:space="preserve">The afforestation rate for 2023 is a provisional estimate. </w:t>
      </w:r>
    </w:p>
  </w:footnote>
  <w:footnote w:id="34">
    <w:p w14:paraId="510F4BFE" w14:textId="3C2D636E" w:rsidR="00B41329" w:rsidRDefault="00B41329">
      <w:pPr>
        <w:pStyle w:val="FootnoteText"/>
      </w:pPr>
      <w:r>
        <w:rPr>
          <w:rStyle w:val="FootnoteReference"/>
        </w:rPr>
        <w:footnoteRef/>
      </w:r>
      <w:r>
        <w:t xml:space="preserve"> It has been announced that certain types of Māori land will be excluded from the restrictions, and farmers may also plant up to 25% of their land in forest </w:t>
      </w:r>
      <w:r w:rsidR="00643BAE">
        <w:t xml:space="preserve">and still register it into the NZ ETS </w:t>
      </w:r>
      <w:r>
        <w:t>irrespective of LUC.</w:t>
      </w:r>
    </w:p>
  </w:footnote>
  <w:footnote w:id="35">
    <w:p w14:paraId="727F5D61" w14:textId="77777777" w:rsidR="0035344D" w:rsidRDefault="0035344D" w:rsidP="0035344D">
      <w:pPr>
        <w:pStyle w:val="FootnoteText"/>
      </w:pPr>
      <w:r>
        <w:rPr>
          <w:rStyle w:val="FootnoteReference"/>
        </w:rPr>
        <w:footnoteRef/>
      </w:r>
      <w:r>
        <w:t xml:space="preserve"> The inflation adjustments applied use the Treasury’s consumer price index (CPI) inflation forecasts contained in the Half Year Economic and Fiscal Update 2024.  </w:t>
      </w:r>
    </w:p>
  </w:footnote>
  <w:footnote w:id="36">
    <w:p w14:paraId="36AD41D5" w14:textId="079D1CD3" w:rsidR="003B14C9" w:rsidRDefault="003B14C9" w:rsidP="003B14C9">
      <w:pPr>
        <w:pStyle w:val="FootnoteText"/>
      </w:pPr>
      <w:r>
        <w:rPr>
          <w:rStyle w:val="FootnoteReference"/>
        </w:rPr>
        <w:footnoteRef/>
      </w:r>
      <w:r>
        <w:t xml:space="preserve"> Our full reasoning about how our recommended price control settings contribute to </w:t>
      </w:r>
      <w:r w:rsidR="0040412F">
        <w:t xml:space="preserve">fulfilling the </w:t>
      </w:r>
      <w:r w:rsidR="006B1060">
        <w:t>accordance</w:t>
      </w:r>
      <w:r>
        <w:t xml:space="preserve"> requirements of s30GC is laid out in </w:t>
      </w:r>
      <w:r w:rsidRPr="004D7099">
        <w:rPr>
          <w:i/>
        </w:rPr>
        <w:t>Technical Annex 3:</w:t>
      </w:r>
      <w:r>
        <w:t xml:space="preserve"> </w:t>
      </w:r>
      <w:r w:rsidRPr="00EB0CBB">
        <w:rPr>
          <w:i/>
        </w:rPr>
        <w:t>Assessment of accordance</w:t>
      </w:r>
      <w:r w:rsidR="00E27E33" w:rsidRPr="00FF2ACB">
        <w:t>,</w:t>
      </w:r>
      <w:r>
        <w:t xml:space="preserve"> published separately on our website.</w:t>
      </w:r>
    </w:p>
  </w:footnote>
  <w:footnote w:id="37">
    <w:p w14:paraId="41BDBAE5" w14:textId="77777777" w:rsidR="009C162C" w:rsidRPr="00471276" w:rsidRDefault="009C162C" w:rsidP="009C162C">
      <w:pPr>
        <w:pStyle w:val="Footnote"/>
        <w:rPr>
          <w:lang w:val="mi-NZ"/>
        </w:rPr>
      </w:pPr>
      <w:r>
        <w:rPr>
          <w:rStyle w:val="FootnoteReference"/>
        </w:rPr>
        <w:footnoteRef/>
      </w:r>
      <w:r w:rsidRPr="00471276">
        <w:t xml:space="preserve"> </w:t>
      </w:r>
      <w:r w:rsidRPr="002E0685">
        <w:rPr>
          <w:lang w:val="mi-NZ"/>
        </w:rPr>
        <w:t>The Government has also implemented a confidential reserve price, which prevents NZUs from being sold at auction at a price significantly below the secondary market price, to avoid unduly disrupting the secondary market. The confidential reserve price is not within the scope of this advice.</w:t>
      </w:r>
    </w:p>
  </w:footnote>
  <w:footnote w:id="38">
    <w:p w14:paraId="2EE2E8DA" w14:textId="19A779E1" w:rsidR="00F321AA" w:rsidRDefault="00F321AA">
      <w:pPr>
        <w:pStyle w:val="FootnoteText"/>
      </w:pPr>
      <w:r>
        <w:rPr>
          <w:rStyle w:val="FootnoteReference"/>
        </w:rPr>
        <w:footnoteRef/>
      </w:r>
      <w:r>
        <w:t xml:space="preserve"> The </w:t>
      </w:r>
      <w:r w:rsidR="00E24566">
        <w:t>G</w:t>
      </w:r>
      <w:r w:rsidRPr="00F321AA">
        <w:t>overnment consultation began on 15 May 2024</w:t>
      </w:r>
      <w:r>
        <w:t xml:space="preserve">, the </w:t>
      </w:r>
      <w:r w:rsidRPr="00F321AA">
        <w:t xml:space="preserve">19% change in price </w:t>
      </w:r>
      <w:r>
        <w:t>occurred over 15</w:t>
      </w:r>
      <w:r w:rsidR="003E715F" w:rsidRPr="12E598B1">
        <w:rPr>
          <w:rFonts w:eastAsia="Calibri" w:cs="Calibri"/>
        </w:rPr>
        <w:t>–</w:t>
      </w:r>
      <w:r>
        <w:t>29 May</w:t>
      </w:r>
      <w:r w:rsidR="002A19B6">
        <w:t xml:space="preserve"> according to data from </w:t>
      </w:r>
      <w:hyperlink r:id="rId3" w:history="1">
        <w:r w:rsidR="002A19B6" w:rsidRPr="00F5187E">
          <w:rPr>
            <w:rStyle w:val="Hyperlink"/>
          </w:rPr>
          <w:t>https://github.com/theecanmole/nzu/blob/master/spotprices.csv</w:t>
        </w:r>
      </w:hyperlink>
      <w:r w:rsidR="002A19B6">
        <w:t xml:space="preserve"> </w:t>
      </w:r>
    </w:p>
  </w:footnote>
  <w:footnote w:id="39">
    <w:p w14:paraId="2C388FA3" w14:textId="4C9EE335" w:rsidR="00790274" w:rsidRDefault="00790274">
      <w:pPr>
        <w:pStyle w:val="FootnoteText"/>
      </w:pPr>
      <w:r>
        <w:rPr>
          <w:rStyle w:val="FootnoteReference"/>
        </w:rPr>
        <w:footnoteRef/>
      </w:r>
      <w:r>
        <w:t xml:space="preserve"> </w:t>
      </w:r>
      <w:r w:rsidR="005759DD" w:rsidRPr="005759DD">
        <w:t xml:space="preserve">The third was </w:t>
      </w:r>
      <w:r w:rsidR="00862C7D">
        <w:t xml:space="preserve">very high and </w:t>
      </w:r>
      <w:r w:rsidR="005759DD" w:rsidRPr="005759DD">
        <w:t xml:space="preserve">based on carbon prices in advanced economies in a global high emissions scenario, </w:t>
      </w:r>
      <w:r w:rsidR="00862C7D">
        <w:t xml:space="preserve">which </w:t>
      </w:r>
      <w:r w:rsidR="00793E4D">
        <w:t>does</w:t>
      </w:r>
      <w:r w:rsidR="00D81467">
        <w:t xml:space="preserve"> not correspond to </w:t>
      </w:r>
      <w:r w:rsidR="00793E4D">
        <w:t xml:space="preserve">offshore mitigation sources that </w:t>
      </w:r>
      <w:r w:rsidR="000A4D11">
        <w:t>would make economic sense for Aotearoa New Zealand</w:t>
      </w:r>
      <w:r w:rsidR="005759DD">
        <w:t xml:space="preserve"> to </w:t>
      </w:r>
      <w:r w:rsidR="000A4D11">
        <w:t xml:space="preserve">draw on. </w:t>
      </w:r>
    </w:p>
  </w:footnote>
  <w:footnote w:id="40">
    <w:p w14:paraId="6C1CE167" w14:textId="4765F633" w:rsidR="00BC4BE7" w:rsidRDefault="00BC4BE7" w:rsidP="00BC4BE7">
      <w:pPr>
        <w:pStyle w:val="FootnoteText"/>
      </w:pPr>
      <w:r>
        <w:rPr>
          <w:rStyle w:val="FootnoteReference"/>
        </w:rPr>
        <w:footnoteRef/>
      </w:r>
      <w:r>
        <w:t xml:space="preserve"> Our full reasoning about how our recommended price control settings contribute to fulfilling the accordance requirements of s30GC is laid out in </w:t>
      </w:r>
      <w:r w:rsidRPr="004D7099">
        <w:rPr>
          <w:i/>
        </w:rPr>
        <w:t>Technical Annex 3:</w:t>
      </w:r>
      <w:r>
        <w:t xml:space="preserve"> </w:t>
      </w:r>
      <w:r w:rsidRPr="00EB0CBB">
        <w:rPr>
          <w:i/>
        </w:rPr>
        <w:t>Assessment of accordance</w:t>
      </w:r>
      <w:r w:rsidR="00BF767C" w:rsidRPr="00FF2ACB">
        <w:t>,</w:t>
      </w:r>
      <w:r>
        <w:t xml:space="preserve"> published separately on our website.</w:t>
      </w:r>
    </w:p>
  </w:footnote>
  <w:footnote w:id="41">
    <w:p w14:paraId="2A76A9D8" w14:textId="77777777" w:rsidR="00536E29" w:rsidRPr="008722FD" w:rsidRDefault="00536E29" w:rsidP="00536E29">
      <w:pPr>
        <w:pStyle w:val="FootnoteText"/>
        <w:rPr>
          <w:lang w:val="mi-NZ"/>
        </w:rPr>
      </w:pPr>
      <w:r>
        <w:rPr>
          <w:rStyle w:val="FootnoteReference"/>
        </w:rPr>
        <w:footnoteRef/>
      </w:r>
      <w:r>
        <w:t xml:space="preserve"> </w:t>
      </w:r>
      <w:r w:rsidRPr="008722FD">
        <w:t>Section 5ZOA(2) of the Act</w:t>
      </w:r>
    </w:p>
  </w:footnote>
  <w:footnote w:id="42">
    <w:p w14:paraId="15F5C42C" w14:textId="0239A7E5" w:rsidR="005A4AC8" w:rsidRDefault="005A4AC8" w:rsidP="00DD4F5B">
      <w:pPr>
        <w:pStyle w:val="Footnote"/>
        <w:rPr>
          <w:lang w:val="mi-NZ"/>
        </w:rPr>
      </w:pPr>
      <w:r>
        <w:rPr>
          <w:rStyle w:val="FootnoteReference"/>
        </w:rPr>
        <w:footnoteRef/>
      </w:r>
      <w:r>
        <w:t xml:space="preserve"> </w:t>
      </w:r>
      <w:r w:rsidR="00616B76">
        <w:rPr>
          <w:lang w:val="mi-NZ"/>
        </w:rPr>
        <w:t xml:space="preserve">The </w:t>
      </w:r>
      <w:r w:rsidR="00496FF3">
        <w:rPr>
          <w:lang w:val="mi-NZ"/>
        </w:rPr>
        <w:t xml:space="preserve">Act’s purpose (s3) also contains other elements such as </w:t>
      </w:r>
      <w:r w:rsidR="00D40BA3">
        <w:rPr>
          <w:lang w:val="mi-NZ"/>
        </w:rPr>
        <w:t xml:space="preserve">adaptation and international reporting requirements which are not </w:t>
      </w:r>
      <w:r w:rsidR="00DD4F5B">
        <w:rPr>
          <w:lang w:val="mi-NZ"/>
        </w:rPr>
        <w:t>relevant to the scope of this advice and so are not addressed.</w:t>
      </w:r>
    </w:p>
    <w:p w14:paraId="5CB897EF" w14:textId="77777777" w:rsidR="00DD4F5B" w:rsidRPr="005A4AC8" w:rsidRDefault="00DD4F5B" w:rsidP="00DD4F5B">
      <w:pPr>
        <w:pStyle w:val="Footnote"/>
        <w:rPr>
          <w:lang w:val="mi-NZ"/>
        </w:rPr>
      </w:pPr>
    </w:p>
  </w:footnote>
</w:footnotes>
</file>

<file path=word/intelligence2.xml><?xml version="1.0" encoding="utf-8"?>
<int2:intelligence xmlns:int2="http://schemas.microsoft.com/office/intelligence/2020/intelligence" xmlns:oel="http://schemas.microsoft.com/office/2019/extlst">
  <int2:observations>
    <int2:textHash int2:hashCode="fq1jKobi1i4Qkf" int2:id="501khhmY">
      <int2:state int2:value="Rejected" int2:type="AugLoop_Text_Critique"/>
    </int2:textHash>
    <int2:textHash int2:hashCode="qo4RYsoc++hLrW" int2:id="85bPXaVQ">
      <int2:state int2:value="Rejected" int2:type="AugLoop_Text_Critique"/>
    </int2:textHash>
    <int2:textHash int2:hashCode="zNrmlI09mjWtne" int2:id="8m0FszmY">
      <int2:state int2:value="Rejected" int2:type="AugLoop_Text_Critique"/>
    </int2:textHash>
    <int2:textHash int2:hashCode="zFsjSyXTpndHDW" int2:id="AuVGLmVH">
      <int2:state int2:value="Rejected" int2:type="AugLoop_Text_Critique"/>
    </int2:textHash>
    <int2:textHash int2:hashCode="FcDOUPqWkD+mGh" int2:id="DZsgxWQu">
      <int2:state int2:value="Rejected" int2:type="AugLoop_Text_Critique"/>
    </int2:textHash>
    <int2:textHash int2:hashCode="/jEBZgNBoCjfVO" int2:id="FZbSdxkI">
      <int2:state int2:value="Rejected" int2:type="AugLoop_Text_Critique"/>
    </int2:textHash>
    <int2:textHash int2:hashCode="BC3EUS+j05HFFw" int2:id="GH738AxK">
      <int2:state int2:value="Rejected" int2:type="AugLoop_Text_Critique"/>
    </int2:textHash>
    <int2:textHash int2:hashCode="qtcx103KAgW2BI" int2:id="LZiMoFEF">
      <int2:state int2:value="Rejected" int2:type="AugLoop_Text_Critique"/>
    </int2:textHash>
    <int2:textHash int2:hashCode="NDkfrCJWXE7xC9" int2:id="OPurzeK6">
      <int2:state int2:value="Rejected" int2:type="AugLoop_Text_Critique"/>
    </int2:textHash>
    <int2:textHash int2:hashCode="wp3WyDtnodbTso" int2:id="PSYj4aVq">
      <int2:state int2:value="Rejected" int2:type="AugLoop_Text_Critique"/>
    </int2:textHash>
    <int2:textHash int2:hashCode="aNE9r+g6PShJ8I" int2:id="RB2FZXdO">
      <int2:state int2:value="Rejected" int2:type="AugLoop_Text_Critique"/>
    </int2:textHash>
    <int2:textHash int2:hashCode="nxQuHRqRdC6qSR" int2:id="aTpiakaQ">
      <int2:state int2:value="Rejected" int2:type="AugLoop_Text_Critique"/>
    </int2:textHash>
    <int2:textHash int2:hashCode="M+lQXRKULoJZo8" int2:id="gXipTDHc">
      <int2:state int2:value="Rejected" int2:type="AugLoop_Text_Critique"/>
    </int2:textHash>
    <int2:textHash int2:hashCode="ygJE2NJYPGs2wZ" int2:id="mbSvxMIk">
      <int2:state int2:value="Rejected" int2:type="AugLoop_Text_Critique"/>
    </int2:textHash>
    <int2:textHash int2:hashCode="lSU/0srSYz+ttV" int2:id="nDXWthUc">
      <int2:state int2:value="Rejected" int2:type="AugLoop_Text_Critique"/>
    </int2:textHash>
    <int2:textHash int2:hashCode="WtPpUu3C4CasBn" int2:id="nrRKx1mD">
      <int2:state int2:value="Rejected" int2:type="AugLoop_Text_Critique"/>
    </int2:textHash>
    <int2:textHash int2:hashCode="YcKYAGEOPZhLHU" int2:id="oU8LQy2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6E4D0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50F1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F9017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3C47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4F6249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B84B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B8C8B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D0ECC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98FA6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05827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1F5D58"/>
    <w:multiLevelType w:val="hybridMultilevel"/>
    <w:tmpl w:val="8F8A2084"/>
    <w:lvl w:ilvl="0" w:tplc="ECDA23DE">
      <w:start w:val="1"/>
      <w:numFmt w:val="bullet"/>
      <w:pStyle w:val="Bodybullet-sub-list"/>
      <w:lvlText w:val="-"/>
      <w:lvlJc w:val="left"/>
      <w:pPr>
        <w:ind w:left="1080" w:hanging="360"/>
      </w:pPr>
      <w:rPr>
        <w:rFonts w:ascii="Courier New" w:hAnsi="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12A61F2A"/>
    <w:multiLevelType w:val="hybridMultilevel"/>
    <w:tmpl w:val="A3243D9A"/>
    <w:lvl w:ilvl="0" w:tplc="14090001">
      <w:start w:val="1"/>
      <w:numFmt w:val="bullet"/>
      <w:pStyle w:val="Bodybulletsforkey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BED07F2"/>
    <w:multiLevelType w:val="multilevel"/>
    <w:tmpl w:val="A24E2A86"/>
    <w:styleLink w:val="CurrentList7"/>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554719"/>
    <w:multiLevelType w:val="hybridMultilevel"/>
    <w:tmpl w:val="BEF072C0"/>
    <w:styleLink w:val="CurrentList1"/>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4" w15:restartNumberingAfterBreak="0">
    <w:nsid w:val="3CA66B9B"/>
    <w:multiLevelType w:val="hybridMultilevel"/>
    <w:tmpl w:val="204C758A"/>
    <w:lvl w:ilvl="0" w:tplc="BEA8A6D0">
      <w:start w:val="1"/>
      <w:numFmt w:val="bullet"/>
      <w:pStyle w:val="Body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EF6708"/>
    <w:multiLevelType w:val="hybridMultilevel"/>
    <w:tmpl w:val="5EB4A2A4"/>
    <w:lvl w:ilvl="0" w:tplc="FFFFFFFF">
      <w:start w:val="1"/>
      <w:numFmt w:val="lowerLetter"/>
      <w:lvlText w:val="%1."/>
      <w:lvlJc w:val="left"/>
      <w:pPr>
        <w:ind w:left="709" w:hanging="360"/>
      </w:pPr>
    </w:lvl>
    <w:lvl w:ilvl="1" w:tplc="FFFFFFFF">
      <w:start w:val="1"/>
      <w:numFmt w:val="lowerLetter"/>
      <w:lvlText w:val="%2."/>
      <w:lvlJc w:val="left"/>
      <w:pPr>
        <w:ind w:left="1792" w:hanging="360"/>
      </w:pPr>
    </w:lvl>
    <w:lvl w:ilvl="2" w:tplc="FFFFFFFF">
      <w:start w:val="1"/>
      <w:numFmt w:val="lowerRoman"/>
      <w:lvlText w:val="%3."/>
      <w:lvlJc w:val="right"/>
      <w:pPr>
        <w:ind w:left="2512" w:hanging="180"/>
      </w:pPr>
    </w:lvl>
    <w:lvl w:ilvl="3" w:tplc="FFFFFFFF">
      <w:start w:val="1"/>
      <w:numFmt w:val="decimal"/>
      <w:lvlText w:val="%4."/>
      <w:lvlJc w:val="left"/>
      <w:pPr>
        <w:ind w:left="3232" w:hanging="360"/>
      </w:pPr>
    </w:lvl>
    <w:lvl w:ilvl="4" w:tplc="FFFFFFFF" w:tentative="1">
      <w:start w:val="1"/>
      <w:numFmt w:val="lowerLetter"/>
      <w:lvlText w:val="%5."/>
      <w:lvlJc w:val="left"/>
      <w:pPr>
        <w:ind w:left="3952" w:hanging="360"/>
      </w:pPr>
    </w:lvl>
    <w:lvl w:ilvl="5" w:tplc="FFFFFFFF" w:tentative="1">
      <w:start w:val="1"/>
      <w:numFmt w:val="lowerRoman"/>
      <w:lvlText w:val="%6."/>
      <w:lvlJc w:val="right"/>
      <w:pPr>
        <w:ind w:left="4672" w:hanging="180"/>
      </w:pPr>
    </w:lvl>
    <w:lvl w:ilvl="6" w:tplc="FFFFFFFF" w:tentative="1">
      <w:start w:val="1"/>
      <w:numFmt w:val="decimal"/>
      <w:lvlText w:val="%7."/>
      <w:lvlJc w:val="left"/>
      <w:pPr>
        <w:ind w:left="5392" w:hanging="360"/>
      </w:pPr>
    </w:lvl>
    <w:lvl w:ilvl="7" w:tplc="FFFFFFFF" w:tentative="1">
      <w:start w:val="1"/>
      <w:numFmt w:val="lowerLetter"/>
      <w:lvlText w:val="%8."/>
      <w:lvlJc w:val="left"/>
      <w:pPr>
        <w:ind w:left="6112" w:hanging="360"/>
      </w:pPr>
    </w:lvl>
    <w:lvl w:ilvl="8" w:tplc="FFFFFFFF" w:tentative="1">
      <w:start w:val="1"/>
      <w:numFmt w:val="lowerRoman"/>
      <w:lvlText w:val="%9."/>
      <w:lvlJc w:val="right"/>
      <w:pPr>
        <w:ind w:left="6832" w:hanging="180"/>
      </w:pPr>
    </w:lvl>
  </w:abstractNum>
  <w:abstractNum w:abstractNumId="16" w15:restartNumberingAfterBreak="0">
    <w:nsid w:val="56430B81"/>
    <w:multiLevelType w:val="hybridMultilevel"/>
    <w:tmpl w:val="07CA3086"/>
    <w:lvl w:ilvl="0" w:tplc="14090001">
      <w:start w:val="1"/>
      <w:numFmt w:val="bullet"/>
      <w:lvlText w:val=""/>
      <w:lvlJc w:val="left"/>
      <w:pPr>
        <w:ind w:left="530" w:hanging="360"/>
      </w:pPr>
      <w:rPr>
        <w:rFonts w:ascii="Symbol" w:hAnsi="Symbo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17" w15:restartNumberingAfterBreak="0">
    <w:nsid w:val="56775E63"/>
    <w:multiLevelType w:val="hybridMultilevel"/>
    <w:tmpl w:val="798208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7DF5984"/>
    <w:multiLevelType w:val="hybridMultilevel"/>
    <w:tmpl w:val="EFB234D0"/>
    <w:lvl w:ilvl="0" w:tplc="1C58CC64">
      <w:start w:val="1"/>
      <w:numFmt w:val="decimal"/>
      <w:pStyle w:val="Numberlist"/>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95A10D5"/>
    <w:multiLevelType w:val="multilevel"/>
    <w:tmpl w:val="E86C1D8E"/>
    <w:styleLink w:val="CurrentList6"/>
    <w:lvl w:ilvl="0">
      <w:start w:val="1"/>
      <w:numFmt w:val="decimal"/>
      <w:lvlText w:val="%1."/>
      <w:lvlJc w:val="left"/>
      <w:pPr>
        <w:ind w:left="-491" w:hanging="360"/>
      </w:pPr>
      <w:rPr>
        <w:rFonts w:hint="default"/>
      </w:rPr>
    </w:lvl>
    <w:lvl w:ilvl="1">
      <w:start w:val="1"/>
      <w:numFmt w:val="decimal"/>
      <w:lvlText w:val="%1.%2."/>
      <w:lvlJc w:val="left"/>
      <w:pPr>
        <w:ind w:left="-59" w:hanging="432"/>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20" w15:restartNumberingAfterBreak="0">
    <w:nsid w:val="59636BFB"/>
    <w:multiLevelType w:val="hybridMultilevel"/>
    <w:tmpl w:val="58C03E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B8A7490"/>
    <w:multiLevelType w:val="multilevel"/>
    <w:tmpl w:val="E86C1D8E"/>
    <w:styleLink w:val="CurrentList2"/>
    <w:lvl w:ilvl="0">
      <w:start w:val="1"/>
      <w:numFmt w:val="decimal"/>
      <w:lvlText w:val="%1."/>
      <w:lvlJc w:val="left"/>
      <w:pPr>
        <w:ind w:left="-491" w:hanging="360"/>
      </w:pPr>
      <w:rPr>
        <w:rFonts w:hint="default"/>
      </w:rPr>
    </w:lvl>
    <w:lvl w:ilvl="1">
      <w:start w:val="1"/>
      <w:numFmt w:val="decimal"/>
      <w:lvlText w:val="%1.%2."/>
      <w:lvlJc w:val="left"/>
      <w:pPr>
        <w:ind w:left="-59" w:hanging="432"/>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22" w15:restartNumberingAfterBreak="0">
    <w:nsid w:val="65F778CB"/>
    <w:multiLevelType w:val="multilevel"/>
    <w:tmpl w:val="A24E2A86"/>
    <w:styleLink w:val="CurrentList3"/>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63D04CC"/>
    <w:multiLevelType w:val="hybridMultilevel"/>
    <w:tmpl w:val="5EB4A2A4"/>
    <w:lvl w:ilvl="0" w:tplc="14090019">
      <w:start w:val="1"/>
      <w:numFmt w:val="lowerLetter"/>
      <w:pStyle w:val="Letterlistabc"/>
      <w:lvlText w:val="%1."/>
      <w:lvlJc w:val="left"/>
      <w:pPr>
        <w:ind w:left="709" w:hanging="360"/>
      </w:pPr>
    </w:lvl>
    <w:lvl w:ilvl="1" w:tplc="14090019" w:tentative="1">
      <w:start w:val="1"/>
      <w:numFmt w:val="lowerLetter"/>
      <w:lvlText w:val="%2."/>
      <w:lvlJc w:val="left"/>
      <w:pPr>
        <w:ind w:left="1792" w:hanging="360"/>
      </w:pPr>
    </w:lvl>
    <w:lvl w:ilvl="2" w:tplc="1409001B" w:tentative="1">
      <w:start w:val="1"/>
      <w:numFmt w:val="lowerRoman"/>
      <w:lvlText w:val="%3."/>
      <w:lvlJc w:val="right"/>
      <w:pPr>
        <w:ind w:left="2512" w:hanging="180"/>
      </w:pPr>
    </w:lvl>
    <w:lvl w:ilvl="3" w:tplc="1409000F" w:tentative="1">
      <w:start w:val="1"/>
      <w:numFmt w:val="decimal"/>
      <w:lvlText w:val="%4."/>
      <w:lvlJc w:val="left"/>
      <w:pPr>
        <w:ind w:left="3232" w:hanging="360"/>
      </w:pPr>
    </w:lvl>
    <w:lvl w:ilvl="4" w:tplc="14090019" w:tentative="1">
      <w:start w:val="1"/>
      <w:numFmt w:val="lowerLetter"/>
      <w:lvlText w:val="%5."/>
      <w:lvlJc w:val="left"/>
      <w:pPr>
        <w:ind w:left="3952" w:hanging="360"/>
      </w:pPr>
    </w:lvl>
    <w:lvl w:ilvl="5" w:tplc="1409001B" w:tentative="1">
      <w:start w:val="1"/>
      <w:numFmt w:val="lowerRoman"/>
      <w:lvlText w:val="%6."/>
      <w:lvlJc w:val="right"/>
      <w:pPr>
        <w:ind w:left="4672" w:hanging="180"/>
      </w:pPr>
    </w:lvl>
    <w:lvl w:ilvl="6" w:tplc="1409000F" w:tentative="1">
      <w:start w:val="1"/>
      <w:numFmt w:val="decimal"/>
      <w:lvlText w:val="%7."/>
      <w:lvlJc w:val="left"/>
      <w:pPr>
        <w:ind w:left="5392" w:hanging="360"/>
      </w:pPr>
    </w:lvl>
    <w:lvl w:ilvl="7" w:tplc="14090019" w:tentative="1">
      <w:start w:val="1"/>
      <w:numFmt w:val="lowerLetter"/>
      <w:lvlText w:val="%8."/>
      <w:lvlJc w:val="left"/>
      <w:pPr>
        <w:ind w:left="6112" w:hanging="360"/>
      </w:pPr>
    </w:lvl>
    <w:lvl w:ilvl="8" w:tplc="1409001B" w:tentative="1">
      <w:start w:val="1"/>
      <w:numFmt w:val="lowerRoman"/>
      <w:lvlText w:val="%9."/>
      <w:lvlJc w:val="right"/>
      <w:pPr>
        <w:ind w:left="6832" w:hanging="180"/>
      </w:pPr>
    </w:lvl>
  </w:abstractNum>
  <w:abstractNum w:abstractNumId="24" w15:restartNumberingAfterBreak="0">
    <w:nsid w:val="6B06034C"/>
    <w:multiLevelType w:val="hybridMultilevel"/>
    <w:tmpl w:val="C6DA3430"/>
    <w:lvl w:ilvl="0" w:tplc="C036751A">
      <w:start w:val="5"/>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1C7260D"/>
    <w:multiLevelType w:val="multilevel"/>
    <w:tmpl w:val="829ADA96"/>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60164C"/>
    <w:multiLevelType w:val="hybridMultilevel"/>
    <w:tmpl w:val="D03C2C2C"/>
    <w:lvl w:ilvl="0" w:tplc="0B2293A6">
      <w:numFmt w:val="bullet"/>
      <w:pStyle w:val="Bullets"/>
      <w:lvlText w:val="•"/>
      <w:lvlJc w:val="left"/>
      <w:pPr>
        <w:ind w:left="780" w:hanging="780"/>
      </w:pPr>
      <w:rPr>
        <w:rFonts w:ascii="Montserrat Light" w:eastAsiaTheme="minorHAnsi" w:hAnsi="Montserrat Ligh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A6D6C89"/>
    <w:multiLevelType w:val="hybridMultilevel"/>
    <w:tmpl w:val="006203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B9B3C55"/>
    <w:multiLevelType w:val="hybridMultilevel"/>
    <w:tmpl w:val="BEF072C0"/>
    <w:styleLink w:val="CurrentList5"/>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num w:numId="1" w16cid:durableId="639380084">
    <w:abstractNumId w:val="26"/>
  </w:num>
  <w:num w:numId="2" w16cid:durableId="778257967">
    <w:abstractNumId w:val="13"/>
  </w:num>
  <w:num w:numId="3" w16cid:durableId="879363057">
    <w:abstractNumId w:val="21"/>
  </w:num>
  <w:num w:numId="4" w16cid:durableId="1605579177">
    <w:abstractNumId w:val="22"/>
  </w:num>
  <w:num w:numId="5" w16cid:durableId="310017311">
    <w:abstractNumId w:val="25"/>
  </w:num>
  <w:num w:numId="6" w16cid:durableId="688146085">
    <w:abstractNumId w:val="14"/>
  </w:num>
  <w:num w:numId="7" w16cid:durableId="623343019">
    <w:abstractNumId w:val="23"/>
  </w:num>
  <w:num w:numId="8" w16cid:durableId="1615820719">
    <w:abstractNumId w:val="18"/>
  </w:num>
  <w:num w:numId="9" w16cid:durableId="1434978351">
    <w:abstractNumId w:val="10"/>
  </w:num>
  <w:num w:numId="10" w16cid:durableId="1535000883">
    <w:abstractNumId w:val="15"/>
  </w:num>
  <w:num w:numId="11" w16cid:durableId="1012804130">
    <w:abstractNumId w:val="11"/>
  </w:num>
  <w:num w:numId="12" w16cid:durableId="1268125617">
    <w:abstractNumId w:val="28"/>
  </w:num>
  <w:num w:numId="13" w16cid:durableId="7603690">
    <w:abstractNumId w:val="19"/>
  </w:num>
  <w:num w:numId="14" w16cid:durableId="25300567">
    <w:abstractNumId w:val="12"/>
  </w:num>
  <w:num w:numId="15" w16cid:durableId="722145396">
    <w:abstractNumId w:val="16"/>
  </w:num>
  <w:num w:numId="16" w16cid:durableId="797915261">
    <w:abstractNumId w:val="18"/>
    <w:lvlOverride w:ilvl="0">
      <w:startOverride w:val="1"/>
    </w:lvlOverride>
  </w:num>
  <w:num w:numId="17" w16cid:durableId="1774592555">
    <w:abstractNumId w:val="27"/>
  </w:num>
  <w:num w:numId="18" w16cid:durableId="1241526106">
    <w:abstractNumId w:val="17"/>
  </w:num>
  <w:num w:numId="19" w16cid:durableId="1953049587">
    <w:abstractNumId w:val="9"/>
  </w:num>
  <w:num w:numId="20" w16cid:durableId="780563835">
    <w:abstractNumId w:val="7"/>
  </w:num>
  <w:num w:numId="21" w16cid:durableId="205485992">
    <w:abstractNumId w:val="6"/>
  </w:num>
  <w:num w:numId="22" w16cid:durableId="901914603">
    <w:abstractNumId w:val="5"/>
  </w:num>
  <w:num w:numId="23" w16cid:durableId="1994328870">
    <w:abstractNumId w:val="4"/>
  </w:num>
  <w:num w:numId="24" w16cid:durableId="2113474282">
    <w:abstractNumId w:val="8"/>
  </w:num>
  <w:num w:numId="25" w16cid:durableId="1099714986">
    <w:abstractNumId w:val="3"/>
  </w:num>
  <w:num w:numId="26" w16cid:durableId="230242104">
    <w:abstractNumId w:val="2"/>
  </w:num>
  <w:num w:numId="27" w16cid:durableId="2117367298">
    <w:abstractNumId w:val="1"/>
  </w:num>
  <w:num w:numId="28" w16cid:durableId="1901675657">
    <w:abstractNumId w:val="0"/>
  </w:num>
  <w:num w:numId="29" w16cid:durableId="710110971">
    <w:abstractNumId w:val="20"/>
  </w:num>
  <w:num w:numId="30" w16cid:durableId="1678269515">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displayBackgroundShape/>
  <w:defaultTabStop w:val="720"/>
  <w:evenAndOddHeaders/>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686"/>
    <w:rsid w:val="00000047"/>
    <w:rsid w:val="0000007C"/>
    <w:rsid w:val="000001B8"/>
    <w:rsid w:val="000002AA"/>
    <w:rsid w:val="00000554"/>
    <w:rsid w:val="0000059A"/>
    <w:rsid w:val="00000759"/>
    <w:rsid w:val="000007D7"/>
    <w:rsid w:val="00000ABD"/>
    <w:rsid w:val="00000ABE"/>
    <w:rsid w:val="00000C93"/>
    <w:rsid w:val="00000DCB"/>
    <w:rsid w:val="0000111A"/>
    <w:rsid w:val="00001126"/>
    <w:rsid w:val="00001198"/>
    <w:rsid w:val="00001231"/>
    <w:rsid w:val="000014E9"/>
    <w:rsid w:val="00001573"/>
    <w:rsid w:val="0000166C"/>
    <w:rsid w:val="00001716"/>
    <w:rsid w:val="00001741"/>
    <w:rsid w:val="000018A7"/>
    <w:rsid w:val="00001B0F"/>
    <w:rsid w:val="00001BA3"/>
    <w:rsid w:val="00001BF7"/>
    <w:rsid w:val="00001D11"/>
    <w:rsid w:val="00001E43"/>
    <w:rsid w:val="00001F59"/>
    <w:rsid w:val="00001F80"/>
    <w:rsid w:val="00002028"/>
    <w:rsid w:val="0000221B"/>
    <w:rsid w:val="0000228B"/>
    <w:rsid w:val="00002481"/>
    <w:rsid w:val="000027F8"/>
    <w:rsid w:val="00002814"/>
    <w:rsid w:val="00002877"/>
    <w:rsid w:val="00002B87"/>
    <w:rsid w:val="00002CAB"/>
    <w:rsid w:val="00002CC5"/>
    <w:rsid w:val="00002E4C"/>
    <w:rsid w:val="0000301B"/>
    <w:rsid w:val="00003176"/>
    <w:rsid w:val="00003270"/>
    <w:rsid w:val="0000340D"/>
    <w:rsid w:val="00003438"/>
    <w:rsid w:val="00003452"/>
    <w:rsid w:val="000036A3"/>
    <w:rsid w:val="00003728"/>
    <w:rsid w:val="000037D4"/>
    <w:rsid w:val="000037F6"/>
    <w:rsid w:val="00003937"/>
    <w:rsid w:val="00003A10"/>
    <w:rsid w:val="00003C8C"/>
    <w:rsid w:val="00003CED"/>
    <w:rsid w:val="00003D1A"/>
    <w:rsid w:val="00003EEF"/>
    <w:rsid w:val="00003F42"/>
    <w:rsid w:val="000040D0"/>
    <w:rsid w:val="0000422A"/>
    <w:rsid w:val="00004234"/>
    <w:rsid w:val="000042BB"/>
    <w:rsid w:val="000046A1"/>
    <w:rsid w:val="00004820"/>
    <w:rsid w:val="0000488E"/>
    <w:rsid w:val="00004A6F"/>
    <w:rsid w:val="00004C33"/>
    <w:rsid w:val="00004C35"/>
    <w:rsid w:val="00004F80"/>
    <w:rsid w:val="00004F87"/>
    <w:rsid w:val="00005002"/>
    <w:rsid w:val="0000512F"/>
    <w:rsid w:val="00005135"/>
    <w:rsid w:val="00005154"/>
    <w:rsid w:val="00005184"/>
    <w:rsid w:val="00005292"/>
    <w:rsid w:val="0000537F"/>
    <w:rsid w:val="00005385"/>
    <w:rsid w:val="000053E0"/>
    <w:rsid w:val="0000540F"/>
    <w:rsid w:val="00005652"/>
    <w:rsid w:val="00005690"/>
    <w:rsid w:val="000058FC"/>
    <w:rsid w:val="00005AE3"/>
    <w:rsid w:val="00005CE1"/>
    <w:rsid w:val="00005E2E"/>
    <w:rsid w:val="00005F3E"/>
    <w:rsid w:val="00006184"/>
    <w:rsid w:val="00006238"/>
    <w:rsid w:val="00006251"/>
    <w:rsid w:val="000063EB"/>
    <w:rsid w:val="000064C9"/>
    <w:rsid w:val="000064F7"/>
    <w:rsid w:val="000065DC"/>
    <w:rsid w:val="000068F7"/>
    <w:rsid w:val="00006A6E"/>
    <w:rsid w:val="00006D2C"/>
    <w:rsid w:val="00006E57"/>
    <w:rsid w:val="00007006"/>
    <w:rsid w:val="000070A3"/>
    <w:rsid w:val="00007135"/>
    <w:rsid w:val="00007169"/>
    <w:rsid w:val="00007189"/>
    <w:rsid w:val="000072DD"/>
    <w:rsid w:val="0000732B"/>
    <w:rsid w:val="0000750D"/>
    <w:rsid w:val="000075AF"/>
    <w:rsid w:val="000075D1"/>
    <w:rsid w:val="0000763D"/>
    <w:rsid w:val="000076B7"/>
    <w:rsid w:val="000078B9"/>
    <w:rsid w:val="000078F6"/>
    <w:rsid w:val="000079F3"/>
    <w:rsid w:val="00007A49"/>
    <w:rsid w:val="00007B1A"/>
    <w:rsid w:val="00007B3D"/>
    <w:rsid w:val="00007C3C"/>
    <w:rsid w:val="00007CFA"/>
    <w:rsid w:val="00007DFB"/>
    <w:rsid w:val="00007E86"/>
    <w:rsid w:val="00010045"/>
    <w:rsid w:val="000100D0"/>
    <w:rsid w:val="000103AA"/>
    <w:rsid w:val="00010401"/>
    <w:rsid w:val="00010429"/>
    <w:rsid w:val="00010483"/>
    <w:rsid w:val="0001062F"/>
    <w:rsid w:val="0001086D"/>
    <w:rsid w:val="000108FA"/>
    <w:rsid w:val="0001091E"/>
    <w:rsid w:val="0001092D"/>
    <w:rsid w:val="0001098B"/>
    <w:rsid w:val="00010AA7"/>
    <w:rsid w:val="00010AAE"/>
    <w:rsid w:val="00010B5A"/>
    <w:rsid w:val="00010C12"/>
    <w:rsid w:val="00010C41"/>
    <w:rsid w:val="0001109A"/>
    <w:rsid w:val="000111F7"/>
    <w:rsid w:val="0001126D"/>
    <w:rsid w:val="00011360"/>
    <w:rsid w:val="00011375"/>
    <w:rsid w:val="0001141D"/>
    <w:rsid w:val="00011512"/>
    <w:rsid w:val="000115AE"/>
    <w:rsid w:val="00011669"/>
    <w:rsid w:val="000116D7"/>
    <w:rsid w:val="00011720"/>
    <w:rsid w:val="00011885"/>
    <w:rsid w:val="00011B19"/>
    <w:rsid w:val="00011D3F"/>
    <w:rsid w:val="00011E65"/>
    <w:rsid w:val="00011ED1"/>
    <w:rsid w:val="00012171"/>
    <w:rsid w:val="0001227F"/>
    <w:rsid w:val="000122C2"/>
    <w:rsid w:val="00012500"/>
    <w:rsid w:val="00012647"/>
    <w:rsid w:val="00012704"/>
    <w:rsid w:val="00012740"/>
    <w:rsid w:val="00012894"/>
    <w:rsid w:val="000128BA"/>
    <w:rsid w:val="00012976"/>
    <w:rsid w:val="00012BDB"/>
    <w:rsid w:val="00012D63"/>
    <w:rsid w:val="00012E3F"/>
    <w:rsid w:val="00012EBF"/>
    <w:rsid w:val="00012EC5"/>
    <w:rsid w:val="00013080"/>
    <w:rsid w:val="000131D6"/>
    <w:rsid w:val="000131FF"/>
    <w:rsid w:val="000132CF"/>
    <w:rsid w:val="0001333E"/>
    <w:rsid w:val="000133B9"/>
    <w:rsid w:val="00013AD9"/>
    <w:rsid w:val="00013CB8"/>
    <w:rsid w:val="00013D5C"/>
    <w:rsid w:val="00013E6C"/>
    <w:rsid w:val="00013EE1"/>
    <w:rsid w:val="0001402F"/>
    <w:rsid w:val="0001437B"/>
    <w:rsid w:val="00014437"/>
    <w:rsid w:val="0001448B"/>
    <w:rsid w:val="000145C3"/>
    <w:rsid w:val="00014638"/>
    <w:rsid w:val="0001463F"/>
    <w:rsid w:val="000146AC"/>
    <w:rsid w:val="000147FA"/>
    <w:rsid w:val="00014865"/>
    <w:rsid w:val="00014B2E"/>
    <w:rsid w:val="00014C2D"/>
    <w:rsid w:val="00014D64"/>
    <w:rsid w:val="00014E7B"/>
    <w:rsid w:val="00014F02"/>
    <w:rsid w:val="0001518B"/>
    <w:rsid w:val="000155B1"/>
    <w:rsid w:val="000158C4"/>
    <w:rsid w:val="00015917"/>
    <w:rsid w:val="00015954"/>
    <w:rsid w:val="00015A5D"/>
    <w:rsid w:val="00015CA7"/>
    <w:rsid w:val="00015D6A"/>
    <w:rsid w:val="00015F9A"/>
    <w:rsid w:val="00016218"/>
    <w:rsid w:val="0001624E"/>
    <w:rsid w:val="00016258"/>
    <w:rsid w:val="00016382"/>
    <w:rsid w:val="000163DA"/>
    <w:rsid w:val="0001651D"/>
    <w:rsid w:val="00016595"/>
    <w:rsid w:val="0001659C"/>
    <w:rsid w:val="000165EC"/>
    <w:rsid w:val="00016617"/>
    <w:rsid w:val="000166F2"/>
    <w:rsid w:val="00016850"/>
    <w:rsid w:val="0001695C"/>
    <w:rsid w:val="00016B48"/>
    <w:rsid w:val="00016B6A"/>
    <w:rsid w:val="00016CD8"/>
    <w:rsid w:val="00016E24"/>
    <w:rsid w:val="00016EBE"/>
    <w:rsid w:val="00016ED6"/>
    <w:rsid w:val="00016F38"/>
    <w:rsid w:val="00016F3A"/>
    <w:rsid w:val="000171B0"/>
    <w:rsid w:val="000171D6"/>
    <w:rsid w:val="000172D6"/>
    <w:rsid w:val="000175ED"/>
    <w:rsid w:val="0001760E"/>
    <w:rsid w:val="00017648"/>
    <w:rsid w:val="00017795"/>
    <w:rsid w:val="000177C8"/>
    <w:rsid w:val="0001782B"/>
    <w:rsid w:val="000179EF"/>
    <w:rsid w:val="00017BC8"/>
    <w:rsid w:val="00017BCB"/>
    <w:rsid w:val="00017E22"/>
    <w:rsid w:val="00017E8E"/>
    <w:rsid w:val="00017F82"/>
    <w:rsid w:val="0002027E"/>
    <w:rsid w:val="00020396"/>
    <w:rsid w:val="0002039C"/>
    <w:rsid w:val="00020652"/>
    <w:rsid w:val="000206D9"/>
    <w:rsid w:val="00020712"/>
    <w:rsid w:val="00020752"/>
    <w:rsid w:val="00020799"/>
    <w:rsid w:val="000207A2"/>
    <w:rsid w:val="000208EF"/>
    <w:rsid w:val="00020B08"/>
    <w:rsid w:val="00020BB2"/>
    <w:rsid w:val="00020D2D"/>
    <w:rsid w:val="00020D4D"/>
    <w:rsid w:val="00020E10"/>
    <w:rsid w:val="00020E8C"/>
    <w:rsid w:val="00020F32"/>
    <w:rsid w:val="00020F63"/>
    <w:rsid w:val="00020F82"/>
    <w:rsid w:val="00020FFE"/>
    <w:rsid w:val="0002127C"/>
    <w:rsid w:val="00021283"/>
    <w:rsid w:val="00021378"/>
    <w:rsid w:val="000214CC"/>
    <w:rsid w:val="0002153A"/>
    <w:rsid w:val="0002159F"/>
    <w:rsid w:val="000215A8"/>
    <w:rsid w:val="000215D0"/>
    <w:rsid w:val="0002168B"/>
    <w:rsid w:val="00021A39"/>
    <w:rsid w:val="00021DB4"/>
    <w:rsid w:val="00021E06"/>
    <w:rsid w:val="000220C9"/>
    <w:rsid w:val="00022180"/>
    <w:rsid w:val="000221A3"/>
    <w:rsid w:val="000222F0"/>
    <w:rsid w:val="00022419"/>
    <w:rsid w:val="00022671"/>
    <w:rsid w:val="000228AA"/>
    <w:rsid w:val="00022938"/>
    <w:rsid w:val="000229BF"/>
    <w:rsid w:val="00022A6F"/>
    <w:rsid w:val="00022A9D"/>
    <w:rsid w:val="00022C54"/>
    <w:rsid w:val="00022C8D"/>
    <w:rsid w:val="00022DDA"/>
    <w:rsid w:val="00022E5E"/>
    <w:rsid w:val="00022E6A"/>
    <w:rsid w:val="000231FD"/>
    <w:rsid w:val="000233DE"/>
    <w:rsid w:val="000234FB"/>
    <w:rsid w:val="00023616"/>
    <w:rsid w:val="00023619"/>
    <w:rsid w:val="00023646"/>
    <w:rsid w:val="0002367B"/>
    <w:rsid w:val="0002373C"/>
    <w:rsid w:val="00023993"/>
    <w:rsid w:val="00023B95"/>
    <w:rsid w:val="00023C06"/>
    <w:rsid w:val="00023EDE"/>
    <w:rsid w:val="00023EF1"/>
    <w:rsid w:val="000240AF"/>
    <w:rsid w:val="00024107"/>
    <w:rsid w:val="0002416B"/>
    <w:rsid w:val="00024175"/>
    <w:rsid w:val="000241F0"/>
    <w:rsid w:val="000242A6"/>
    <w:rsid w:val="000243A0"/>
    <w:rsid w:val="000247EE"/>
    <w:rsid w:val="00024870"/>
    <w:rsid w:val="00024881"/>
    <w:rsid w:val="00024892"/>
    <w:rsid w:val="00024904"/>
    <w:rsid w:val="000249BE"/>
    <w:rsid w:val="00024BE7"/>
    <w:rsid w:val="00024C2B"/>
    <w:rsid w:val="00024CDB"/>
    <w:rsid w:val="00024D86"/>
    <w:rsid w:val="00024F52"/>
    <w:rsid w:val="00024FFA"/>
    <w:rsid w:val="0002527F"/>
    <w:rsid w:val="00025377"/>
    <w:rsid w:val="0002538D"/>
    <w:rsid w:val="00025621"/>
    <w:rsid w:val="000257E7"/>
    <w:rsid w:val="00025B18"/>
    <w:rsid w:val="00025D97"/>
    <w:rsid w:val="00025E13"/>
    <w:rsid w:val="00025E5D"/>
    <w:rsid w:val="00026029"/>
    <w:rsid w:val="000261CC"/>
    <w:rsid w:val="00026204"/>
    <w:rsid w:val="00026323"/>
    <w:rsid w:val="0002653C"/>
    <w:rsid w:val="000267BC"/>
    <w:rsid w:val="00026886"/>
    <w:rsid w:val="00026922"/>
    <w:rsid w:val="00026BC0"/>
    <w:rsid w:val="00026C51"/>
    <w:rsid w:val="00026DD7"/>
    <w:rsid w:val="00026ED8"/>
    <w:rsid w:val="00026F4D"/>
    <w:rsid w:val="00026FC7"/>
    <w:rsid w:val="00026FEA"/>
    <w:rsid w:val="00027188"/>
    <w:rsid w:val="000271AA"/>
    <w:rsid w:val="00027256"/>
    <w:rsid w:val="00027260"/>
    <w:rsid w:val="0002727E"/>
    <w:rsid w:val="000273D7"/>
    <w:rsid w:val="000273ED"/>
    <w:rsid w:val="0002741D"/>
    <w:rsid w:val="000274EF"/>
    <w:rsid w:val="0002752E"/>
    <w:rsid w:val="0002771E"/>
    <w:rsid w:val="0002793B"/>
    <w:rsid w:val="00027A63"/>
    <w:rsid w:val="00027B87"/>
    <w:rsid w:val="00027BA5"/>
    <w:rsid w:val="00027CD5"/>
    <w:rsid w:val="00027F88"/>
    <w:rsid w:val="00027FED"/>
    <w:rsid w:val="0003001F"/>
    <w:rsid w:val="00030193"/>
    <w:rsid w:val="000301EB"/>
    <w:rsid w:val="000301F7"/>
    <w:rsid w:val="00030291"/>
    <w:rsid w:val="00030517"/>
    <w:rsid w:val="0003064A"/>
    <w:rsid w:val="000306A9"/>
    <w:rsid w:val="000307A6"/>
    <w:rsid w:val="00030810"/>
    <w:rsid w:val="00030943"/>
    <w:rsid w:val="00030A96"/>
    <w:rsid w:val="00030D38"/>
    <w:rsid w:val="00030F4B"/>
    <w:rsid w:val="00030FFB"/>
    <w:rsid w:val="000312C1"/>
    <w:rsid w:val="00031451"/>
    <w:rsid w:val="0003167E"/>
    <w:rsid w:val="000317B2"/>
    <w:rsid w:val="00031931"/>
    <w:rsid w:val="00031B4D"/>
    <w:rsid w:val="00031C8A"/>
    <w:rsid w:val="00031D46"/>
    <w:rsid w:val="00031E78"/>
    <w:rsid w:val="00031EAB"/>
    <w:rsid w:val="00031FF1"/>
    <w:rsid w:val="00031FFA"/>
    <w:rsid w:val="0003211A"/>
    <w:rsid w:val="000321A5"/>
    <w:rsid w:val="000321F6"/>
    <w:rsid w:val="000322BD"/>
    <w:rsid w:val="000322E7"/>
    <w:rsid w:val="00032389"/>
    <w:rsid w:val="0003258F"/>
    <w:rsid w:val="000326D9"/>
    <w:rsid w:val="00032723"/>
    <w:rsid w:val="0003283C"/>
    <w:rsid w:val="00032841"/>
    <w:rsid w:val="00032913"/>
    <w:rsid w:val="00032B02"/>
    <w:rsid w:val="00032B35"/>
    <w:rsid w:val="00032C9C"/>
    <w:rsid w:val="00032FB3"/>
    <w:rsid w:val="000334BD"/>
    <w:rsid w:val="0003367D"/>
    <w:rsid w:val="0003395F"/>
    <w:rsid w:val="00033960"/>
    <w:rsid w:val="00033AC5"/>
    <w:rsid w:val="00033C3E"/>
    <w:rsid w:val="00033D7A"/>
    <w:rsid w:val="0003400E"/>
    <w:rsid w:val="00034079"/>
    <w:rsid w:val="00034125"/>
    <w:rsid w:val="0003430B"/>
    <w:rsid w:val="0003432E"/>
    <w:rsid w:val="000343FA"/>
    <w:rsid w:val="00034416"/>
    <w:rsid w:val="000344B7"/>
    <w:rsid w:val="0003466A"/>
    <w:rsid w:val="00034907"/>
    <w:rsid w:val="00034B9D"/>
    <w:rsid w:val="00034CBC"/>
    <w:rsid w:val="00034DE8"/>
    <w:rsid w:val="00034E97"/>
    <w:rsid w:val="00034F25"/>
    <w:rsid w:val="00034F72"/>
    <w:rsid w:val="00034F75"/>
    <w:rsid w:val="00035130"/>
    <w:rsid w:val="00035192"/>
    <w:rsid w:val="00035229"/>
    <w:rsid w:val="0003534E"/>
    <w:rsid w:val="000353B5"/>
    <w:rsid w:val="00035458"/>
    <w:rsid w:val="0003549D"/>
    <w:rsid w:val="00035652"/>
    <w:rsid w:val="00035842"/>
    <w:rsid w:val="00035931"/>
    <w:rsid w:val="0003593F"/>
    <w:rsid w:val="000359B6"/>
    <w:rsid w:val="000359EA"/>
    <w:rsid w:val="00035B73"/>
    <w:rsid w:val="00035F74"/>
    <w:rsid w:val="00035FBE"/>
    <w:rsid w:val="0003611E"/>
    <w:rsid w:val="00036132"/>
    <w:rsid w:val="000361DD"/>
    <w:rsid w:val="0003623E"/>
    <w:rsid w:val="00036326"/>
    <w:rsid w:val="000363E6"/>
    <w:rsid w:val="0003659D"/>
    <w:rsid w:val="000365FF"/>
    <w:rsid w:val="00036687"/>
    <w:rsid w:val="00036773"/>
    <w:rsid w:val="000367B5"/>
    <w:rsid w:val="000368AB"/>
    <w:rsid w:val="00036CBF"/>
    <w:rsid w:val="00036D11"/>
    <w:rsid w:val="00036F65"/>
    <w:rsid w:val="00036F86"/>
    <w:rsid w:val="000371DD"/>
    <w:rsid w:val="000371E7"/>
    <w:rsid w:val="00037284"/>
    <w:rsid w:val="0003729E"/>
    <w:rsid w:val="0003733E"/>
    <w:rsid w:val="00037374"/>
    <w:rsid w:val="000376DC"/>
    <w:rsid w:val="000377B1"/>
    <w:rsid w:val="00037937"/>
    <w:rsid w:val="00037AD2"/>
    <w:rsid w:val="00037B37"/>
    <w:rsid w:val="00037CF5"/>
    <w:rsid w:val="00037D28"/>
    <w:rsid w:val="00037FCC"/>
    <w:rsid w:val="00040199"/>
    <w:rsid w:val="00040526"/>
    <w:rsid w:val="00040592"/>
    <w:rsid w:val="00040834"/>
    <w:rsid w:val="00040848"/>
    <w:rsid w:val="00040923"/>
    <w:rsid w:val="000409E8"/>
    <w:rsid w:val="00040C10"/>
    <w:rsid w:val="00040C58"/>
    <w:rsid w:val="00040D82"/>
    <w:rsid w:val="00041132"/>
    <w:rsid w:val="00041589"/>
    <w:rsid w:val="000415F2"/>
    <w:rsid w:val="00041639"/>
    <w:rsid w:val="0004166E"/>
    <w:rsid w:val="000416A7"/>
    <w:rsid w:val="000416D7"/>
    <w:rsid w:val="0004172A"/>
    <w:rsid w:val="0004191B"/>
    <w:rsid w:val="00041D4F"/>
    <w:rsid w:val="00041D8D"/>
    <w:rsid w:val="00041F5C"/>
    <w:rsid w:val="0004200B"/>
    <w:rsid w:val="00042208"/>
    <w:rsid w:val="0004222F"/>
    <w:rsid w:val="00042346"/>
    <w:rsid w:val="0004234D"/>
    <w:rsid w:val="0004238C"/>
    <w:rsid w:val="000424D4"/>
    <w:rsid w:val="00042764"/>
    <w:rsid w:val="0004276A"/>
    <w:rsid w:val="000428B8"/>
    <w:rsid w:val="00042985"/>
    <w:rsid w:val="00042992"/>
    <w:rsid w:val="00042A64"/>
    <w:rsid w:val="00042BFB"/>
    <w:rsid w:val="00042C41"/>
    <w:rsid w:val="00042D30"/>
    <w:rsid w:val="00042F3B"/>
    <w:rsid w:val="00042F8D"/>
    <w:rsid w:val="00042F92"/>
    <w:rsid w:val="00043022"/>
    <w:rsid w:val="0004302E"/>
    <w:rsid w:val="000430B7"/>
    <w:rsid w:val="0004313D"/>
    <w:rsid w:val="0004314A"/>
    <w:rsid w:val="0004322B"/>
    <w:rsid w:val="00043462"/>
    <w:rsid w:val="0004347F"/>
    <w:rsid w:val="000435F2"/>
    <w:rsid w:val="0004387E"/>
    <w:rsid w:val="00043902"/>
    <w:rsid w:val="000439ED"/>
    <w:rsid w:val="00043A7F"/>
    <w:rsid w:val="00043B1E"/>
    <w:rsid w:val="00043C15"/>
    <w:rsid w:val="00043C81"/>
    <w:rsid w:val="00043CC7"/>
    <w:rsid w:val="00043E06"/>
    <w:rsid w:val="00043E1E"/>
    <w:rsid w:val="00043E3B"/>
    <w:rsid w:val="00043E59"/>
    <w:rsid w:val="00043F3F"/>
    <w:rsid w:val="0004445A"/>
    <w:rsid w:val="000444DC"/>
    <w:rsid w:val="000444F1"/>
    <w:rsid w:val="0004489B"/>
    <w:rsid w:val="00044A08"/>
    <w:rsid w:val="00044A52"/>
    <w:rsid w:val="00044B46"/>
    <w:rsid w:val="00044CF7"/>
    <w:rsid w:val="00044DA6"/>
    <w:rsid w:val="00044E2E"/>
    <w:rsid w:val="00044F2F"/>
    <w:rsid w:val="000450A1"/>
    <w:rsid w:val="0004539A"/>
    <w:rsid w:val="000453B5"/>
    <w:rsid w:val="00045402"/>
    <w:rsid w:val="00045464"/>
    <w:rsid w:val="000454B7"/>
    <w:rsid w:val="00045559"/>
    <w:rsid w:val="000455BB"/>
    <w:rsid w:val="00045707"/>
    <w:rsid w:val="000458D9"/>
    <w:rsid w:val="000458DE"/>
    <w:rsid w:val="00045A80"/>
    <w:rsid w:val="00045B23"/>
    <w:rsid w:val="00045CD7"/>
    <w:rsid w:val="00045EDF"/>
    <w:rsid w:val="00045F0D"/>
    <w:rsid w:val="000460EF"/>
    <w:rsid w:val="00046186"/>
    <w:rsid w:val="000461FD"/>
    <w:rsid w:val="0004626E"/>
    <w:rsid w:val="00046294"/>
    <w:rsid w:val="0004629F"/>
    <w:rsid w:val="00046398"/>
    <w:rsid w:val="00046417"/>
    <w:rsid w:val="00046434"/>
    <w:rsid w:val="00046491"/>
    <w:rsid w:val="00046569"/>
    <w:rsid w:val="00046573"/>
    <w:rsid w:val="000466F1"/>
    <w:rsid w:val="00046725"/>
    <w:rsid w:val="000467E0"/>
    <w:rsid w:val="0004681E"/>
    <w:rsid w:val="000468A4"/>
    <w:rsid w:val="0004696A"/>
    <w:rsid w:val="000469D4"/>
    <w:rsid w:val="00046ACB"/>
    <w:rsid w:val="00046BAF"/>
    <w:rsid w:val="00046F15"/>
    <w:rsid w:val="00046F4B"/>
    <w:rsid w:val="0004702E"/>
    <w:rsid w:val="0004708A"/>
    <w:rsid w:val="000472EC"/>
    <w:rsid w:val="00047374"/>
    <w:rsid w:val="000475E8"/>
    <w:rsid w:val="00047659"/>
    <w:rsid w:val="000476B7"/>
    <w:rsid w:val="00047839"/>
    <w:rsid w:val="00047877"/>
    <w:rsid w:val="000479CC"/>
    <w:rsid w:val="00047AFC"/>
    <w:rsid w:val="00047B89"/>
    <w:rsid w:val="00047C3D"/>
    <w:rsid w:val="00047C79"/>
    <w:rsid w:val="00047D54"/>
    <w:rsid w:val="00047E15"/>
    <w:rsid w:val="00047E62"/>
    <w:rsid w:val="00047EF3"/>
    <w:rsid w:val="00047F15"/>
    <w:rsid w:val="00047F5D"/>
    <w:rsid w:val="00050031"/>
    <w:rsid w:val="000500B9"/>
    <w:rsid w:val="000500CF"/>
    <w:rsid w:val="00050238"/>
    <w:rsid w:val="000502C7"/>
    <w:rsid w:val="0005036D"/>
    <w:rsid w:val="000503C7"/>
    <w:rsid w:val="0005055F"/>
    <w:rsid w:val="000505D1"/>
    <w:rsid w:val="00050678"/>
    <w:rsid w:val="0005075C"/>
    <w:rsid w:val="00050922"/>
    <w:rsid w:val="00050BBA"/>
    <w:rsid w:val="00050C1F"/>
    <w:rsid w:val="00050C82"/>
    <w:rsid w:val="00050D36"/>
    <w:rsid w:val="00050F16"/>
    <w:rsid w:val="00051025"/>
    <w:rsid w:val="000512C0"/>
    <w:rsid w:val="0005176C"/>
    <w:rsid w:val="000518C6"/>
    <w:rsid w:val="00051909"/>
    <w:rsid w:val="000519FC"/>
    <w:rsid w:val="00051A40"/>
    <w:rsid w:val="00051A52"/>
    <w:rsid w:val="00051A55"/>
    <w:rsid w:val="00051A93"/>
    <w:rsid w:val="00051A9B"/>
    <w:rsid w:val="00051CD8"/>
    <w:rsid w:val="00051D0B"/>
    <w:rsid w:val="00051DA3"/>
    <w:rsid w:val="00051DC4"/>
    <w:rsid w:val="00051DE1"/>
    <w:rsid w:val="00051F93"/>
    <w:rsid w:val="00051F94"/>
    <w:rsid w:val="00052036"/>
    <w:rsid w:val="00052059"/>
    <w:rsid w:val="000520F8"/>
    <w:rsid w:val="00052198"/>
    <w:rsid w:val="000521F5"/>
    <w:rsid w:val="000522A9"/>
    <w:rsid w:val="000522CE"/>
    <w:rsid w:val="0005239E"/>
    <w:rsid w:val="00052673"/>
    <w:rsid w:val="000526B2"/>
    <w:rsid w:val="000527D4"/>
    <w:rsid w:val="0005284A"/>
    <w:rsid w:val="0005298D"/>
    <w:rsid w:val="000529F2"/>
    <w:rsid w:val="000529FD"/>
    <w:rsid w:val="00052AA8"/>
    <w:rsid w:val="00052B00"/>
    <w:rsid w:val="00052C6E"/>
    <w:rsid w:val="000530DF"/>
    <w:rsid w:val="00053142"/>
    <w:rsid w:val="00053209"/>
    <w:rsid w:val="00053227"/>
    <w:rsid w:val="00053261"/>
    <w:rsid w:val="00053274"/>
    <w:rsid w:val="000532D1"/>
    <w:rsid w:val="00053557"/>
    <w:rsid w:val="0005374D"/>
    <w:rsid w:val="000537CA"/>
    <w:rsid w:val="00053884"/>
    <w:rsid w:val="000538C4"/>
    <w:rsid w:val="00053B41"/>
    <w:rsid w:val="00053C70"/>
    <w:rsid w:val="00053EF9"/>
    <w:rsid w:val="00054006"/>
    <w:rsid w:val="00054137"/>
    <w:rsid w:val="00054475"/>
    <w:rsid w:val="000544EE"/>
    <w:rsid w:val="0005452E"/>
    <w:rsid w:val="0005461C"/>
    <w:rsid w:val="0005484E"/>
    <w:rsid w:val="0005486B"/>
    <w:rsid w:val="00054B79"/>
    <w:rsid w:val="00054C05"/>
    <w:rsid w:val="00054CD3"/>
    <w:rsid w:val="00054EB0"/>
    <w:rsid w:val="00054F35"/>
    <w:rsid w:val="0005510D"/>
    <w:rsid w:val="0005554F"/>
    <w:rsid w:val="000555D5"/>
    <w:rsid w:val="000555D8"/>
    <w:rsid w:val="000556F5"/>
    <w:rsid w:val="00055889"/>
    <w:rsid w:val="00055AD4"/>
    <w:rsid w:val="00055BA8"/>
    <w:rsid w:val="00055C9A"/>
    <w:rsid w:val="00055E29"/>
    <w:rsid w:val="00055EE5"/>
    <w:rsid w:val="00055F22"/>
    <w:rsid w:val="00055FC9"/>
    <w:rsid w:val="00056164"/>
    <w:rsid w:val="000562C6"/>
    <w:rsid w:val="000563FE"/>
    <w:rsid w:val="00056456"/>
    <w:rsid w:val="00056497"/>
    <w:rsid w:val="000564C4"/>
    <w:rsid w:val="000565CC"/>
    <w:rsid w:val="00056625"/>
    <w:rsid w:val="000566D7"/>
    <w:rsid w:val="0005697A"/>
    <w:rsid w:val="00056AA3"/>
    <w:rsid w:val="00056B6E"/>
    <w:rsid w:val="00056C4A"/>
    <w:rsid w:val="00056D2D"/>
    <w:rsid w:val="00056D30"/>
    <w:rsid w:val="00056E60"/>
    <w:rsid w:val="000570D5"/>
    <w:rsid w:val="000571BF"/>
    <w:rsid w:val="00057263"/>
    <w:rsid w:val="00057292"/>
    <w:rsid w:val="000572B6"/>
    <w:rsid w:val="00057548"/>
    <w:rsid w:val="0005761E"/>
    <w:rsid w:val="00057682"/>
    <w:rsid w:val="00057C73"/>
    <w:rsid w:val="00057D7B"/>
    <w:rsid w:val="00057D9C"/>
    <w:rsid w:val="00057DE6"/>
    <w:rsid w:val="00057E9A"/>
    <w:rsid w:val="00057EBA"/>
    <w:rsid w:val="000601AC"/>
    <w:rsid w:val="0006030E"/>
    <w:rsid w:val="000603A4"/>
    <w:rsid w:val="00060534"/>
    <w:rsid w:val="000607A3"/>
    <w:rsid w:val="00060A03"/>
    <w:rsid w:val="00060AE2"/>
    <w:rsid w:val="00060C6A"/>
    <w:rsid w:val="00060C89"/>
    <w:rsid w:val="00061032"/>
    <w:rsid w:val="00061050"/>
    <w:rsid w:val="000610C2"/>
    <w:rsid w:val="00061115"/>
    <w:rsid w:val="0006131C"/>
    <w:rsid w:val="00061382"/>
    <w:rsid w:val="000614AF"/>
    <w:rsid w:val="000615F6"/>
    <w:rsid w:val="00061670"/>
    <w:rsid w:val="00061740"/>
    <w:rsid w:val="00061943"/>
    <w:rsid w:val="0006194D"/>
    <w:rsid w:val="000619B1"/>
    <w:rsid w:val="00061AD7"/>
    <w:rsid w:val="00061B4F"/>
    <w:rsid w:val="00061CEB"/>
    <w:rsid w:val="00061D92"/>
    <w:rsid w:val="00061DCB"/>
    <w:rsid w:val="00061E7B"/>
    <w:rsid w:val="00061F29"/>
    <w:rsid w:val="00061F6F"/>
    <w:rsid w:val="00061FF8"/>
    <w:rsid w:val="000621AF"/>
    <w:rsid w:val="0006227C"/>
    <w:rsid w:val="00062399"/>
    <w:rsid w:val="000623D8"/>
    <w:rsid w:val="00062439"/>
    <w:rsid w:val="000626B4"/>
    <w:rsid w:val="0006275F"/>
    <w:rsid w:val="00062948"/>
    <w:rsid w:val="00062A81"/>
    <w:rsid w:val="00062B39"/>
    <w:rsid w:val="00062E3D"/>
    <w:rsid w:val="00062E8F"/>
    <w:rsid w:val="00063040"/>
    <w:rsid w:val="000630BA"/>
    <w:rsid w:val="000630E1"/>
    <w:rsid w:val="00063142"/>
    <w:rsid w:val="000632FB"/>
    <w:rsid w:val="00063385"/>
    <w:rsid w:val="0006344B"/>
    <w:rsid w:val="000634A2"/>
    <w:rsid w:val="000635DD"/>
    <w:rsid w:val="000637E5"/>
    <w:rsid w:val="0006383B"/>
    <w:rsid w:val="00063BBF"/>
    <w:rsid w:val="00063D9B"/>
    <w:rsid w:val="000640D1"/>
    <w:rsid w:val="000640FB"/>
    <w:rsid w:val="0006418E"/>
    <w:rsid w:val="000641F7"/>
    <w:rsid w:val="00064309"/>
    <w:rsid w:val="0006440C"/>
    <w:rsid w:val="00064649"/>
    <w:rsid w:val="000647C1"/>
    <w:rsid w:val="00064883"/>
    <w:rsid w:val="00064893"/>
    <w:rsid w:val="000648AB"/>
    <w:rsid w:val="00064957"/>
    <w:rsid w:val="00064AC1"/>
    <w:rsid w:val="00064B0A"/>
    <w:rsid w:val="00064C00"/>
    <w:rsid w:val="00064C32"/>
    <w:rsid w:val="00064C82"/>
    <w:rsid w:val="00064D25"/>
    <w:rsid w:val="00064F78"/>
    <w:rsid w:val="00064F88"/>
    <w:rsid w:val="0006520E"/>
    <w:rsid w:val="00065249"/>
    <w:rsid w:val="0006538A"/>
    <w:rsid w:val="000655BE"/>
    <w:rsid w:val="000655CD"/>
    <w:rsid w:val="000655FE"/>
    <w:rsid w:val="0006562B"/>
    <w:rsid w:val="00065662"/>
    <w:rsid w:val="0006587C"/>
    <w:rsid w:val="0006587E"/>
    <w:rsid w:val="000659EB"/>
    <w:rsid w:val="00065AB6"/>
    <w:rsid w:val="00065CB6"/>
    <w:rsid w:val="00065CE4"/>
    <w:rsid w:val="00065D8A"/>
    <w:rsid w:val="00065E86"/>
    <w:rsid w:val="0006601A"/>
    <w:rsid w:val="0006614E"/>
    <w:rsid w:val="0006619A"/>
    <w:rsid w:val="00066415"/>
    <w:rsid w:val="0006641B"/>
    <w:rsid w:val="0006657C"/>
    <w:rsid w:val="00066665"/>
    <w:rsid w:val="0006673E"/>
    <w:rsid w:val="00066807"/>
    <w:rsid w:val="00066AA9"/>
    <w:rsid w:val="00066AAC"/>
    <w:rsid w:val="00066FC7"/>
    <w:rsid w:val="00067039"/>
    <w:rsid w:val="0006711C"/>
    <w:rsid w:val="0006714A"/>
    <w:rsid w:val="000671E1"/>
    <w:rsid w:val="000673AD"/>
    <w:rsid w:val="00067464"/>
    <w:rsid w:val="0006758C"/>
    <w:rsid w:val="00067656"/>
    <w:rsid w:val="000676AC"/>
    <w:rsid w:val="00067722"/>
    <w:rsid w:val="000677A6"/>
    <w:rsid w:val="00067813"/>
    <w:rsid w:val="000679B6"/>
    <w:rsid w:val="00067B2A"/>
    <w:rsid w:val="00067D5B"/>
    <w:rsid w:val="00067DF2"/>
    <w:rsid w:val="00067E91"/>
    <w:rsid w:val="0007000E"/>
    <w:rsid w:val="0007003B"/>
    <w:rsid w:val="00070192"/>
    <w:rsid w:val="000701DC"/>
    <w:rsid w:val="0007035B"/>
    <w:rsid w:val="0007039E"/>
    <w:rsid w:val="000705A3"/>
    <w:rsid w:val="00070659"/>
    <w:rsid w:val="000708B1"/>
    <w:rsid w:val="00070AD7"/>
    <w:rsid w:val="00070B13"/>
    <w:rsid w:val="00070B2F"/>
    <w:rsid w:val="00070EFC"/>
    <w:rsid w:val="00071050"/>
    <w:rsid w:val="0007119E"/>
    <w:rsid w:val="00071266"/>
    <w:rsid w:val="0007176B"/>
    <w:rsid w:val="000717B3"/>
    <w:rsid w:val="000718A0"/>
    <w:rsid w:val="000719D8"/>
    <w:rsid w:val="00071A55"/>
    <w:rsid w:val="00071A60"/>
    <w:rsid w:val="00071ACE"/>
    <w:rsid w:val="00071CF9"/>
    <w:rsid w:val="00071F42"/>
    <w:rsid w:val="00071F51"/>
    <w:rsid w:val="00071FF1"/>
    <w:rsid w:val="000720A9"/>
    <w:rsid w:val="000721D0"/>
    <w:rsid w:val="00072302"/>
    <w:rsid w:val="00072372"/>
    <w:rsid w:val="000723C2"/>
    <w:rsid w:val="0007247F"/>
    <w:rsid w:val="000724D7"/>
    <w:rsid w:val="0007259B"/>
    <w:rsid w:val="00072890"/>
    <w:rsid w:val="000729C9"/>
    <w:rsid w:val="00072D44"/>
    <w:rsid w:val="00072DD0"/>
    <w:rsid w:val="000731BF"/>
    <w:rsid w:val="0007320D"/>
    <w:rsid w:val="00073402"/>
    <w:rsid w:val="0007341B"/>
    <w:rsid w:val="000735CF"/>
    <w:rsid w:val="000736C0"/>
    <w:rsid w:val="00073768"/>
    <w:rsid w:val="00073931"/>
    <w:rsid w:val="00073A8D"/>
    <w:rsid w:val="00073B61"/>
    <w:rsid w:val="00073CB8"/>
    <w:rsid w:val="00073D52"/>
    <w:rsid w:val="000740F0"/>
    <w:rsid w:val="00074109"/>
    <w:rsid w:val="00074113"/>
    <w:rsid w:val="000741DC"/>
    <w:rsid w:val="00074285"/>
    <w:rsid w:val="00074642"/>
    <w:rsid w:val="00074655"/>
    <w:rsid w:val="00074755"/>
    <w:rsid w:val="0007478A"/>
    <w:rsid w:val="000747BE"/>
    <w:rsid w:val="000747CF"/>
    <w:rsid w:val="00074A00"/>
    <w:rsid w:val="00074A27"/>
    <w:rsid w:val="00074B39"/>
    <w:rsid w:val="00074F7D"/>
    <w:rsid w:val="000751C4"/>
    <w:rsid w:val="000757CC"/>
    <w:rsid w:val="000757DE"/>
    <w:rsid w:val="00075928"/>
    <w:rsid w:val="000759EE"/>
    <w:rsid w:val="00075A9B"/>
    <w:rsid w:val="00075B3A"/>
    <w:rsid w:val="00075B6C"/>
    <w:rsid w:val="00075D4D"/>
    <w:rsid w:val="00075DA4"/>
    <w:rsid w:val="00075E8D"/>
    <w:rsid w:val="00076004"/>
    <w:rsid w:val="00076083"/>
    <w:rsid w:val="000760D2"/>
    <w:rsid w:val="00076598"/>
    <w:rsid w:val="000765E0"/>
    <w:rsid w:val="00076626"/>
    <w:rsid w:val="000766B8"/>
    <w:rsid w:val="000767BD"/>
    <w:rsid w:val="000767E8"/>
    <w:rsid w:val="0007693D"/>
    <w:rsid w:val="00076A79"/>
    <w:rsid w:val="00076B7D"/>
    <w:rsid w:val="00076BE1"/>
    <w:rsid w:val="00076C3F"/>
    <w:rsid w:val="00076CDF"/>
    <w:rsid w:val="00076DE5"/>
    <w:rsid w:val="000770B6"/>
    <w:rsid w:val="000770D6"/>
    <w:rsid w:val="000772A0"/>
    <w:rsid w:val="00077398"/>
    <w:rsid w:val="000773E6"/>
    <w:rsid w:val="00077510"/>
    <w:rsid w:val="00077531"/>
    <w:rsid w:val="00077533"/>
    <w:rsid w:val="00077718"/>
    <w:rsid w:val="00077999"/>
    <w:rsid w:val="00077A91"/>
    <w:rsid w:val="00077ACB"/>
    <w:rsid w:val="00077AFE"/>
    <w:rsid w:val="00077B54"/>
    <w:rsid w:val="00077C60"/>
    <w:rsid w:val="00077CA0"/>
    <w:rsid w:val="00077EDD"/>
    <w:rsid w:val="000800B4"/>
    <w:rsid w:val="000800D5"/>
    <w:rsid w:val="000801C1"/>
    <w:rsid w:val="00080280"/>
    <w:rsid w:val="00080351"/>
    <w:rsid w:val="00080512"/>
    <w:rsid w:val="000805C7"/>
    <w:rsid w:val="0008069F"/>
    <w:rsid w:val="00080717"/>
    <w:rsid w:val="0008084F"/>
    <w:rsid w:val="0008097E"/>
    <w:rsid w:val="00080A60"/>
    <w:rsid w:val="00080BD2"/>
    <w:rsid w:val="00080BE0"/>
    <w:rsid w:val="00080F9A"/>
    <w:rsid w:val="00081120"/>
    <w:rsid w:val="000811A9"/>
    <w:rsid w:val="000811F6"/>
    <w:rsid w:val="0008138B"/>
    <w:rsid w:val="000815B7"/>
    <w:rsid w:val="00081780"/>
    <w:rsid w:val="000817DC"/>
    <w:rsid w:val="00081804"/>
    <w:rsid w:val="00081878"/>
    <w:rsid w:val="000818F6"/>
    <w:rsid w:val="00081A5B"/>
    <w:rsid w:val="00081A8F"/>
    <w:rsid w:val="00081BA4"/>
    <w:rsid w:val="00081D19"/>
    <w:rsid w:val="00081D74"/>
    <w:rsid w:val="00081DC9"/>
    <w:rsid w:val="00081EDF"/>
    <w:rsid w:val="00081FB0"/>
    <w:rsid w:val="00082090"/>
    <w:rsid w:val="000820FD"/>
    <w:rsid w:val="0008221A"/>
    <w:rsid w:val="0008221B"/>
    <w:rsid w:val="00082245"/>
    <w:rsid w:val="00082392"/>
    <w:rsid w:val="000825AF"/>
    <w:rsid w:val="00082688"/>
    <w:rsid w:val="00082823"/>
    <w:rsid w:val="00082846"/>
    <w:rsid w:val="00082923"/>
    <w:rsid w:val="0008292D"/>
    <w:rsid w:val="00082AF1"/>
    <w:rsid w:val="00082B57"/>
    <w:rsid w:val="00082C6A"/>
    <w:rsid w:val="00082DC4"/>
    <w:rsid w:val="00082E42"/>
    <w:rsid w:val="000830A6"/>
    <w:rsid w:val="00083235"/>
    <w:rsid w:val="00083257"/>
    <w:rsid w:val="000832AC"/>
    <w:rsid w:val="000832BE"/>
    <w:rsid w:val="00083367"/>
    <w:rsid w:val="00083454"/>
    <w:rsid w:val="000835A7"/>
    <w:rsid w:val="00083685"/>
    <w:rsid w:val="000836A1"/>
    <w:rsid w:val="000837B0"/>
    <w:rsid w:val="0008389B"/>
    <w:rsid w:val="0008390A"/>
    <w:rsid w:val="0008391C"/>
    <w:rsid w:val="00083A57"/>
    <w:rsid w:val="00083B3E"/>
    <w:rsid w:val="00083C4A"/>
    <w:rsid w:val="00083D1F"/>
    <w:rsid w:val="00083D52"/>
    <w:rsid w:val="00083DA8"/>
    <w:rsid w:val="00084039"/>
    <w:rsid w:val="000840A0"/>
    <w:rsid w:val="000840B2"/>
    <w:rsid w:val="000840B4"/>
    <w:rsid w:val="000841ED"/>
    <w:rsid w:val="00084325"/>
    <w:rsid w:val="0008436C"/>
    <w:rsid w:val="0008439F"/>
    <w:rsid w:val="0008445E"/>
    <w:rsid w:val="0008463C"/>
    <w:rsid w:val="0008468B"/>
    <w:rsid w:val="000848A6"/>
    <w:rsid w:val="0008492C"/>
    <w:rsid w:val="00084A9C"/>
    <w:rsid w:val="00084ABD"/>
    <w:rsid w:val="00084AC1"/>
    <w:rsid w:val="00084CF2"/>
    <w:rsid w:val="00084DB1"/>
    <w:rsid w:val="00084E1A"/>
    <w:rsid w:val="00084EF0"/>
    <w:rsid w:val="00085098"/>
    <w:rsid w:val="00085177"/>
    <w:rsid w:val="000852AF"/>
    <w:rsid w:val="000854EA"/>
    <w:rsid w:val="00085797"/>
    <w:rsid w:val="00085839"/>
    <w:rsid w:val="00085A17"/>
    <w:rsid w:val="00085A67"/>
    <w:rsid w:val="00085A83"/>
    <w:rsid w:val="00085E4F"/>
    <w:rsid w:val="000860B4"/>
    <w:rsid w:val="000863E0"/>
    <w:rsid w:val="00086571"/>
    <w:rsid w:val="000865C8"/>
    <w:rsid w:val="0008675B"/>
    <w:rsid w:val="000867F3"/>
    <w:rsid w:val="0008682C"/>
    <w:rsid w:val="00086850"/>
    <w:rsid w:val="000868D0"/>
    <w:rsid w:val="000868DB"/>
    <w:rsid w:val="00086977"/>
    <w:rsid w:val="00086A52"/>
    <w:rsid w:val="00086B2B"/>
    <w:rsid w:val="00086C2C"/>
    <w:rsid w:val="00086D02"/>
    <w:rsid w:val="00087170"/>
    <w:rsid w:val="000871F0"/>
    <w:rsid w:val="00087243"/>
    <w:rsid w:val="00087273"/>
    <w:rsid w:val="000872AE"/>
    <w:rsid w:val="00087332"/>
    <w:rsid w:val="000873CB"/>
    <w:rsid w:val="00087593"/>
    <w:rsid w:val="0008759B"/>
    <w:rsid w:val="0008761B"/>
    <w:rsid w:val="00087783"/>
    <w:rsid w:val="000878BA"/>
    <w:rsid w:val="00087B87"/>
    <w:rsid w:val="00087C12"/>
    <w:rsid w:val="00087C3E"/>
    <w:rsid w:val="00087CD3"/>
    <w:rsid w:val="00087CEE"/>
    <w:rsid w:val="00087D7B"/>
    <w:rsid w:val="00087FE1"/>
    <w:rsid w:val="00087FEB"/>
    <w:rsid w:val="00090014"/>
    <w:rsid w:val="0009036C"/>
    <w:rsid w:val="00090531"/>
    <w:rsid w:val="00090607"/>
    <w:rsid w:val="00090675"/>
    <w:rsid w:val="0009077F"/>
    <w:rsid w:val="00090805"/>
    <w:rsid w:val="0009083C"/>
    <w:rsid w:val="0009085E"/>
    <w:rsid w:val="000908AE"/>
    <w:rsid w:val="00090AE0"/>
    <w:rsid w:val="00090CE2"/>
    <w:rsid w:val="00090D95"/>
    <w:rsid w:val="00090DC1"/>
    <w:rsid w:val="00090DDF"/>
    <w:rsid w:val="00091062"/>
    <w:rsid w:val="00091265"/>
    <w:rsid w:val="000912DC"/>
    <w:rsid w:val="000913F8"/>
    <w:rsid w:val="0009180D"/>
    <w:rsid w:val="000919FD"/>
    <w:rsid w:val="00091A3A"/>
    <w:rsid w:val="00091A69"/>
    <w:rsid w:val="00091BF3"/>
    <w:rsid w:val="00091D6A"/>
    <w:rsid w:val="00091F9A"/>
    <w:rsid w:val="00091FF4"/>
    <w:rsid w:val="000920D9"/>
    <w:rsid w:val="00092121"/>
    <w:rsid w:val="000921AD"/>
    <w:rsid w:val="000924A7"/>
    <w:rsid w:val="00092541"/>
    <w:rsid w:val="0009260A"/>
    <w:rsid w:val="00092732"/>
    <w:rsid w:val="0009279C"/>
    <w:rsid w:val="000928B2"/>
    <w:rsid w:val="000928FC"/>
    <w:rsid w:val="000928FD"/>
    <w:rsid w:val="00092915"/>
    <w:rsid w:val="0009299C"/>
    <w:rsid w:val="00092A1F"/>
    <w:rsid w:val="00092B4B"/>
    <w:rsid w:val="00092D66"/>
    <w:rsid w:val="00092DAD"/>
    <w:rsid w:val="00092DD7"/>
    <w:rsid w:val="00092E81"/>
    <w:rsid w:val="00092EAE"/>
    <w:rsid w:val="00092F61"/>
    <w:rsid w:val="00093048"/>
    <w:rsid w:val="00093104"/>
    <w:rsid w:val="000931EA"/>
    <w:rsid w:val="0009327B"/>
    <w:rsid w:val="00093292"/>
    <w:rsid w:val="0009353C"/>
    <w:rsid w:val="0009362A"/>
    <w:rsid w:val="00093759"/>
    <w:rsid w:val="0009379B"/>
    <w:rsid w:val="00093820"/>
    <w:rsid w:val="00093971"/>
    <w:rsid w:val="00093C01"/>
    <w:rsid w:val="00093CA3"/>
    <w:rsid w:val="00093D4F"/>
    <w:rsid w:val="00093E7B"/>
    <w:rsid w:val="0009410D"/>
    <w:rsid w:val="0009414E"/>
    <w:rsid w:val="000941D7"/>
    <w:rsid w:val="0009430F"/>
    <w:rsid w:val="00094365"/>
    <w:rsid w:val="0009458B"/>
    <w:rsid w:val="000945CE"/>
    <w:rsid w:val="000946CA"/>
    <w:rsid w:val="000946E8"/>
    <w:rsid w:val="0009482C"/>
    <w:rsid w:val="00094966"/>
    <w:rsid w:val="00094B78"/>
    <w:rsid w:val="00094BAF"/>
    <w:rsid w:val="00094E0C"/>
    <w:rsid w:val="00094FFF"/>
    <w:rsid w:val="0009500C"/>
    <w:rsid w:val="0009500E"/>
    <w:rsid w:val="00095078"/>
    <w:rsid w:val="0009510E"/>
    <w:rsid w:val="0009520F"/>
    <w:rsid w:val="00095257"/>
    <w:rsid w:val="000953A0"/>
    <w:rsid w:val="000954C5"/>
    <w:rsid w:val="0009560C"/>
    <w:rsid w:val="000956C0"/>
    <w:rsid w:val="000956F2"/>
    <w:rsid w:val="00095B15"/>
    <w:rsid w:val="00095C96"/>
    <w:rsid w:val="00095CF0"/>
    <w:rsid w:val="00095D1D"/>
    <w:rsid w:val="00095D61"/>
    <w:rsid w:val="00095F0C"/>
    <w:rsid w:val="00095FD4"/>
    <w:rsid w:val="00095FE4"/>
    <w:rsid w:val="000960D2"/>
    <w:rsid w:val="000961D2"/>
    <w:rsid w:val="000962CE"/>
    <w:rsid w:val="000962E8"/>
    <w:rsid w:val="000963CF"/>
    <w:rsid w:val="00096427"/>
    <w:rsid w:val="0009644C"/>
    <w:rsid w:val="0009650F"/>
    <w:rsid w:val="0009659F"/>
    <w:rsid w:val="0009662B"/>
    <w:rsid w:val="0009698C"/>
    <w:rsid w:val="00096C0F"/>
    <w:rsid w:val="00096C17"/>
    <w:rsid w:val="00096C54"/>
    <w:rsid w:val="00096C9D"/>
    <w:rsid w:val="00096D11"/>
    <w:rsid w:val="00096EC0"/>
    <w:rsid w:val="00096FE3"/>
    <w:rsid w:val="0009703A"/>
    <w:rsid w:val="00097274"/>
    <w:rsid w:val="00097427"/>
    <w:rsid w:val="000974FC"/>
    <w:rsid w:val="00097601"/>
    <w:rsid w:val="00097640"/>
    <w:rsid w:val="0009767C"/>
    <w:rsid w:val="00097F55"/>
    <w:rsid w:val="000A01F2"/>
    <w:rsid w:val="000A0358"/>
    <w:rsid w:val="000A0508"/>
    <w:rsid w:val="000A073B"/>
    <w:rsid w:val="000A0AAF"/>
    <w:rsid w:val="000A0DBB"/>
    <w:rsid w:val="000A0DDB"/>
    <w:rsid w:val="000A0FBA"/>
    <w:rsid w:val="000A10D1"/>
    <w:rsid w:val="000A10EE"/>
    <w:rsid w:val="000A1201"/>
    <w:rsid w:val="000A1237"/>
    <w:rsid w:val="000A1275"/>
    <w:rsid w:val="000A1378"/>
    <w:rsid w:val="000A1591"/>
    <w:rsid w:val="000A1598"/>
    <w:rsid w:val="000A1734"/>
    <w:rsid w:val="000A1E44"/>
    <w:rsid w:val="000A2080"/>
    <w:rsid w:val="000A20E8"/>
    <w:rsid w:val="000A20F4"/>
    <w:rsid w:val="000A22FD"/>
    <w:rsid w:val="000A232D"/>
    <w:rsid w:val="000A294D"/>
    <w:rsid w:val="000A2C66"/>
    <w:rsid w:val="000A2CAA"/>
    <w:rsid w:val="000A2CC0"/>
    <w:rsid w:val="000A2D43"/>
    <w:rsid w:val="000A2D6B"/>
    <w:rsid w:val="000A2E12"/>
    <w:rsid w:val="000A2FD0"/>
    <w:rsid w:val="000A302C"/>
    <w:rsid w:val="000A360E"/>
    <w:rsid w:val="000A38C8"/>
    <w:rsid w:val="000A3AEE"/>
    <w:rsid w:val="000A3CF7"/>
    <w:rsid w:val="000A3F41"/>
    <w:rsid w:val="000A3FF6"/>
    <w:rsid w:val="000A401E"/>
    <w:rsid w:val="000A4147"/>
    <w:rsid w:val="000A42A0"/>
    <w:rsid w:val="000A42E8"/>
    <w:rsid w:val="000A4363"/>
    <w:rsid w:val="000A4420"/>
    <w:rsid w:val="000A4440"/>
    <w:rsid w:val="000A458F"/>
    <w:rsid w:val="000A45D7"/>
    <w:rsid w:val="000A49C8"/>
    <w:rsid w:val="000A4B8A"/>
    <w:rsid w:val="000A4D11"/>
    <w:rsid w:val="000A4DBE"/>
    <w:rsid w:val="000A4DF4"/>
    <w:rsid w:val="000A4F90"/>
    <w:rsid w:val="000A4F99"/>
    <w:rsid w:val="000A4FDC"/>
    <w:rsid w:val="000A5087"/>
    <w:rsid w:val="000A51EF"/>
    <w:rsid w:val="000A5223"/>
    <w:rsid w:val="000A53E6"/>
    <w:rsid w:val="000A5590"/>
    <w:rsid w:val="000A567A"/>
    <w:rsid w:val="000A5707"/>
    <w:rsid w:val="000A57FA"/>
    <w:rsid w:val="000A58D5"/>
    <w:rsid w:val="000A599F"/>
    <w:rsid w:val="000A5DF6"/>
    <w:rsid w:val="000A5E3F"/>
    <w:rsid w:val="000A5E6F"/>
    <w:rsid w:val="000A6020"/>
    <w:rsid w:val="000A6032"/>
    <w:rsid w:val="000A61DB"/>
    <w:rsid w:val="000A6211"/>
    <w:rsid w:val="000A6213"/>
    <w:rsid w:val="000A62AC"/>
    <w:rsid w:val="000A66D1"/>
    <w:rsid w:val="000A6775"/>
    <w:rsid w:val="000A6896"/>
    <w:rsid w:val="000A6AE8"/>
    <w:rsid w:val="000A6D48"/>
    <w:rsid w:val="000A6E38"/>
    <w:rsid w:val="000A6F04"/>
    <w:rsid w:val="000A70A2"/>
    <w:rsid w:val="000A712F"/>
    <w:rsid w:val="000A7164"/>
    <w:rsid w:val="000A7205"/>
    <w:rsid w:val="000A7236"/>
    <w:rsid w:val="000A7254"/>
    <w:rsid w:val="000A73DD"/>
    <w:rsid w:val="000A7484"/>
    <w:rsid w:val="000A74F6"/>
    <w:rsid w:val="000A7670"/>
    <w:rsid w:val="000A76D3"/>
    <w:rsid w:val="000A7AAF"/>
    <w:rsid w:val="000A7BFB"/>
    <w:rsid w:val="000A7D52"/>
    <w:rsid w:val="000A7EF8"/>
    <w:rsid w:val="000B0034"/>
    <w:rsid w:val="000B0180"/>
    <w:rsid w:val="000B0299"/>
    <w:rsid w:val="000B02EE"/>
    <w:rsid w:val="000B03C1"/>
    <w:rsid w:val="000B0498"/>
    <w:rsid w:val="000B0535"/>
    <w:rsid w:val="000B063F"/>
    <w:rsid w:val="000B0741"/>
    <w:rsid w:val="000B0B73"/>
    <w:rsid w:val="000B0BE3"/>
    <w:rsid w:val="000B0C81"/>
    <w:rsid w:val="000B0CA8"/>
    <w:rsid w:val="000B10A4"/>
    <w:rsid w:val="000B10BA"/>
    <w:rsid w:val="000B11A1"/>
    <w:rsid w:val="000B11A6"/>
    <w:rsid w:val="000B1377"/>
    <w:rsid w:val="000B13F0"/>
    <w:rsid w:val="000B1448"/>
    <w:rsid w:val="000B1535"/>
    <w:rsid w:val="000B162B"/>
    <w:rsid w:val="000B16A8"/>
    <w:rsid w:val="000B16DF"/>
    <w:rsid w:val="000B176E"/>
    <w:rsid w:val="000B17AD"/>
    <w:rsid w:val="000B1AE6"/>
    <w:rsid w:val="000B1BBD"/>
    <w:rsid w:val="000B1CB9"/>
    <w:rsid w:val="000B1D5E"/>
    <w:rsid w:val="000B1DA2"/>
    <w:rsid w:val="000B1E1E"/>
    <w:rsid w:val="000B2002"/>
    <w:rsid w:val="000B202E"/>
    <w:rsid w:val="000B242E"/>
    <w:rsid w:val="000B25D7"/>
    <w:rsid w:val="000B26AE"/>
    <w:rsid w:val="000B2891"/>
    <w:rsid w:val="000B2A2B"/>
    <w:rsid w:val="000B2AA6"/>
    <w:rsid w:val="000B2B9A"/>
    <w:rsid w:val="000B2C9C"/>
    <w:rsid w:val="000B2DB0"/>
    <w:rsid w:val="000B2E0D"/>
    <w:rsid w:val="000B2EEA"/>
    <w:rsid w:val="000B2FAE"/>
    <w:rsid w:val="000B3052"/>
    <w:rsid w:val="000B30E5"/>
    <w:rsid w:val="000B3232"/>
    <w:rsid w:val="000B32C0"/>
    <w:rsid w:val="000B335C"/>
    <w:rsid w:val="000B336A"/>
    <w:rsid w:val="000B342A"/>
    <w:rsid w:val="000B36CE"/>
    <w:rsid w:val="000B375E"/>
    <w:rsid w:val="000B3777"/>
    <w:rsid w:val="000B37D4"/>
    <w:rsid w:val="000B3928"/>
    <w:rsid w:val="000B3C60"/>
    <w:rsid w:val="000B3CAD"/>
    <w:rsid w:val="000B3CCC"/>
    <w:rsid w:val="000B3D3C"/>
    <w:rsid w:val="000B3D65"/>
    <w:rsid w:val="000B3E20"/>
    <w:rsid w:val="000B3E83"/>
    <w:rsid w:val="000B3FAF"/>
    <w:rsid w:val="000B3FCF"/>
    <w:rsid w:val="000B4082"/>
    <w:rsid w:val="000B41C8"/>
    <w:rsid w:val="000B43AF"/>
    <w:rsid w:val="000B4497"/>
    <w:rsid w:val="000B44AE"/>
    <w:rsid w:val="000B4582"/>
    <w:rsid w:val="000B462A"/>
    <w:rsid w:val="000B46F7"/>
    <w:rsid w:val="000B4710"/>
    <w:rsid w:val="000B471E"/>
    <w:rsid w:val="000B4871"/>
    <w:rsid w:val="000B49CE"/>
    <w:rsid w:val="000B4DDC"/>
    <w:rsid w:val="000B4EBA"/>
    <w:rsid w:val="000B4F65"/>
    <w:rsid w:val="000B522E"/>
    <w:rsid w:val="000B527D"/>
    <w:rsid w:val="000B52BB"/>
    <w:rsid w:val="000B544E"/>
    <w:rsid w:val="000B54AB"/>
    <w:rsid w:val="000B5612"/>
    <w:rsid w:val="000B5619"/>
    <w:rsid w:val="000B5711"/>
    <w:rsid w:val="000B5791"/>
    <w:rsid w:val="000B59F0"/>
    <w:rsid w:val="000B5A74"/>
    <w:rsid w:val="000B5AE2"/>
    <w:rsid w:val="000B5B79"/>
    <w:rsid w:val="000B5BCD"/>
    <w:rsid w:val="000B5C05"/>
    <w:rsid w:val="000B5C67"/>
    <w:rsid w:val="000B5CD6"/>
    <w:rsid w:val="000B5E7F"/>
    <w:rsid w:val="000B5EF2"/>
    <w:rsid w:val="000B5F64"/>
    <w:rsid w:val="000B5FE5"/>
    <w:rsid w:val="000B6295"/>
    <w:rsid w:val="000B6336"/>
    <w:rsid w:val="000B6356"/>
    <w:rsid w:val="000B6399"/>
    <w:rsid w:val="000B6435"/>
    <w:rsid w:val="000B649E"/>
    <w:rsid w:val="000B6527"/>
    <w:rsid w:val="000B6585"/>
    <w:rsid w:val="000B667C"/>
    <w:rsid w:val="000B6DAD"/>
    <w:rsid w:val="000B6E88"/>
    <w:rsid w:val="000B6F92"/>
    <w:rsid w:val="000B71DF"/>
    <w:rsid w:val="000B73EE"/>
    <w:rsid w:val="000B7451"/>
    <w:rsid w:val="000B746C"/>
    <w:rsid w:val="000B74EA"/>
    <w:rsid w:val="000B757C"/>
    <w:rsid w:val="000B760B"/>
    <w:rsid w:val="000B792B"/>
    <w:rsid w:val="000B7B50"/>
    <w:rsid w:val="000B7BF8"/>
    <w:rsid w:val="000B7D26"/>
    <w:rsid w:val="000B7D47"/>
    <w:rsid w:val="000B7D56"/>
    <w:rsid w:val="000B7EDD"/>
    <w:rsid w:val="000C00E3"/>
    <w:rsid w:val="000C02F1"/>
    <w:rsid w:val="000C054F"/>
    <w:rsid w:val="000C0603"/>
    <w:rsid w:val="000C0A98"/>
    <w:rsid w:val="000C0B7E"/>
    <w:rsid w:val="000C0BBE"/>
    <w:rsid w:val="000C0C72"/>
    <w:rsid w:val="000C0D75"/>
    <w:rsid w:val="000C0D79"/>
    <w:rsid w:val="000C1119"/>
    <w:rsid w:val="000C13A1"/>
    <w:rsid w:val="000C13A2"/>
    <w:rsid w:val="000C1468"/>
    <w:rsid w:val="000C1476"/>
    <w:rsid w:val="000C1837"/>
    <w:rsid w:val="000C185E"/>
    <w:rsid w:val="000C19B8"/>
    <w:rsid w:val="000C19E2"/>
    <w:rsid w:val="000C1BF6"/>
    <w:rsid w:val="000C1CB4"/>
    <w:rsid w:val="000C1ECE"/>
    <w:rsid w:val="000C1F6A"/>
    <w:rsid w:val="000C20D1"/>
    <w:rsid w:val="000C22AA"/>
    <w:rsid w:val="000C23C4"/>
    <w:rsid w:val="000C241E"/>
    <w:rsid w:val="000C25D3"/>
    <w:rsid w:val="000C2642"/>
    <w:rsid w:val="000C2651"/>
    <w:rsid w:val="000C26EE"/>
    <w:rsid w:val="000C2752"/>
    <w:rsid w:val="000C278B"/>
    <w:rsid w:val="000C2997"/>
    <w:rsid w:val="000C2A80"/>
    <w:rsid w:val="000C2E05"/>
    <w:rsid w:val="000C2ECA"/>
    <w:rsid w:val="000C3157"/>
    <w:rsid w:val="000C3236"/>
    <w:rsid w:val="000C34AF"/>
    <w:rsid w:val="000C3688"/>
    <w:rsid w:val="000C36B0"/>
    <w:rsid w:val="000C370F"/>
    <w:rsid w:val="000C3788"/>
    <w:rsid w:val="000C378E"/>
    <w:rsid w:val="000C37CE"/>
    <w:rsid w:val="000C39DF"/>
    <w:rsid w:val="000C3A28"/>
    <w:rsid w:val="000C3A73"/>
    <w:rsid w:val="000C3B13"/>
    <w:rsid w:val="000C3CDC"/>
    <w:rsid w:val="000C3E89"/>
    <w:rsid w:val="000C41BB"/>
    <w:rsid w:val="000C41FB"/>
    <w:rsid w:val="000C42D3"/>
    <w:rsid w:val="000C4324"/>
    <w:rsid w:val="000C435A"/>
    <w:rsid w:val="000C44BE"/>
    <w:rsid w:val="000C44F4"/>
    <w:rsid w:val="000C459C"/>
    <w:rsid w:val="000C4649"/>
    <w:rsid w:val="000C47FF"/>
    <w:rsid w:val="000C4918"/>
    <w:rsid w:val="000C4B60"/>
    <w:rsid w:val="000C4D86"/>
    <w:rsid w:val="000C4F17"/>
    <w:rsid w:val="000C4F39"/>
    <w:rsid w:val="000C507E"/>
    <w:rsid w:val="000C5314"/>
    <w:rsid w:val="000C5399"/>
    <w:rsid w:val="000C541D"/>
    <w:rsid w:val="000C555F"/>
    <w:rsid w:val="000C5689"/>
    <w:rsid w:val="000C5967"/>
    <w:rsid w:val="000C5A0F"/>
    <w:rsid w:val="000C5A5C"/>
    <w:rsid w:val="000C5B77"/>
    <w:rsid w:val="000C5BA6"/>
    <w:rsid w:val="000C5CB9"/>
    <w:rsid w:val="000C5D5E"/>
    <w:rsid w:val="000C5E7B"/>
    <w:rsid w:val="000C6009"/>
    <w:rsid w:val="000C6054"/>
    <w:rsid w:val="000C6134"/>
    <w:rsid w:val="000C6211"/>
    <w:rsid w:val="000C63D4"/>
    <w:rsid w:val="000C64B7"/>
    <w:rsid w:val="000C6600"/>
    <w:rsid w:val="000C660D"/>
    <w:rsid w:val="000C6700"/>
    <w:rsid w:val="000C67AF"/>
    <w:rsid w:val="000C6844"/>
    <w:rsid w:val="000C68C1"/>
    <w:rsid w:val="000C6A5C"/>
    <w:rsid w:val="000C6AFA"/>
    <w:rsid w:val="000C6B21"/>
    <w:rsid w:val="000C6E55"/>
    <w:rsid w:val="000C6F4E"/>
    <w:rsid w:val="000C7033"/>
    <w:rsid w:val="000C71B7"/>
    <w:rsid w:val="000C73A5"/>
    <w:rsid w:val="000C74C5"/>
    <w:rsid w:val="000C74D2"/>
    <w:rsid w:val="000C753C"/>
    <w:rsid w:val="000C757E"/>
    <w:rsid w:val="000C763E"/>
    <w:rsid w:val="000C76FF"/>
    <w:rsid w:val="000C7784"/>
    <w:rsid w:val="000C78A4"/>
    <w:rsid w:val="000C78AE"/>
    <w:rsid w:val="000C7948"/>
    <w:rsid w:val="000C7B64"/>
    <w:rsid w:val="000C7B9D"/>
    <w:rsid w:val="000C7B9E"/>
    <w:rsid w:val="000C7BDC"/>
    <w:rsid w:val="000C7C29"/>
    <w:rsid w:val="000C7C65"/>
    <w:rsid w:val="000C7D24"/>
    <w:rsid w:val="000C7DE0"/>
    <w:rsid w:val="000C7E2B"/>
    <w:rsid w:val="000C7FBD"/>
    <w:rsid w:val="000D04E3"/>
    <w:rsid w:val="000D069E"/>
    <w:rsid w:val="000D06DC"/>
    <w:rsid w:val="000D0739"/>
    <w:rsid w:val="000D08AB"/>
    <w:rsid w:val="000D0C92"/>
    <w:rsid w:val="000D0E68"/>
    <w:rsid w:val="000D0F1B"/>
    <w:rsid w:val="000D0F40"/>
    <w:rsid w:val="000D101C"/>
    <w:rsid w:val="000D106B"/>
    <w:rsid w:val="000D114F"/>
    <w:rsid w:val="000D1152"/>
    <w:rsid w:val="000D1194"/>
    <w:rsid w:val="000D1330"/>
    <w:rsid w:val="000D1349"/>
    <w:rsid w:val="000D13EB"/>
    <w:rsid w:val="000D1586"/>
    <w:rsid w:val="000D15BC"/>
    <w:rsid w:val="000D1695"/>
    <w:rsid w:val="000D16B9"/>
    <w:rsid w:val="000D17A6"/>
    <w:rsid w:val="000D1811"/>
    <w:rsid w:val="000D1907"/>
    <w:rsid w:val="000D1975"/>
    <w:rsid w:val="000D197F"/>
    <w:rsid w:val="000D1A1B"/>
    <w:rsid w:val="000D1A22"/>
    <w:rsid w:val="000D1C51"/>
    <w:rsid w:val="000D1E47"/>
    <w:rsid w:val="000D2595"/>
    <w:rsid w:val="000D25A1"/>
    <w:rsid w:val="000D2636"/>
    <w:rsid w:val="000D26C2"/>
    <w:rsid w:val="000D27D1"/>
    <w:rsid w:val="000D2872"/>
    <w:rsid w:val="000D2ABD"/>
    <w:rsid w:val="000D2BFB"/>
    <w:rsid w:val="000D2BFD"/>
    <w:rsid w:val="000D2D14"/>
    <w:rsid w:val="000D2DC0"/>
    <w:rsid w:val="000D3000"/>
    <w:rsid w:val="000D308C"/>
    <w:rsid w:val="000D30C6"/>
    <w:rsid w:val="000D3150"/>
    <w:rsid w:val="000D31A0"/>
    <w:rsid w:val="000D3338"/>
    <w:rsid w:val="000D33A1"/>
    <w:rsid w:val="000D33D7"/>
    <w:rsid w:val="000D33F6"/>
    <w:rsid w:val="000D3491"/>
    <w:rsid w:val="000D35CE"/>
    <w:rsid w:val="000D3626"/>
    <w:rsid w:val="000D3B54"/>
    <w:rsid w:val="000D3B94"/>
    <w:rsid w:val="000D3B9C"/>
    <w:rsid w:val="000D3F77"/>
    <w:rsid w:val="000D404C"/>
    <w:rsid w:val="000D411E"/>
    <w:rsid w:val="000D417F"/>
    <w:rsid w:val="000D4333"/>
    <w:rsid w:val="000D435C"/>
    <w:rsid w:val="000D4486"/>
    <w:rsid w:val="000D452B"/>
    <w:rsid w:val="000D4582"/>
    <w:rsid w:val="000D4648"/>
    <w:rsid w:val="000D4ABA"/>
    <w:rsid w:val="000D4D29"/>
    <w:rsid w:val="000D4F60"/>
    <w:rsid w:val="000D5013"/>
    <w:rsid w:val="000D50F1"/>
    <w:rsid w:val="000D517A"/>
    <w:rsid w:val="000D5187"/>
    <w:rsid w:val="000D51EA"/>
    <w:rsid w:val="000D51FA"/>
    <w:rsid w:val="000D5418"/>
    <w:rsid w:val="000D5456"/>
    <w:rsid w:val="000D54A0"/>
    <w:rsid w:val="000D5534"/>
    <w:rsid w:val="000D553B"/>
    <w:rsid w:val="000D562A"/>
    <w:rsid w:val="000D56AF"/>
    <w:rsid w:val="000D571E"/>
    <w:rsid w:val="000D59B1"/>
    <w:rsid w:val="000D5B52"/>
    <w:rsid w:val="000D5E35"/>
    <w:rsid w:val="000D5E3C"/>
    <w:rsid w:val="000D603C"/>
    <w:rsid w:val="000D607C"/>
    <w:rsid w:val="000D61BC"/>
    <w:rsid w:val="000D61C1"/>
    <w:rsid w:val="000D61D1"/>
    <w:rsid w:val="000D6241"/>
    <w:rsid w:val="000D6334"/>
    <w:rsid w:val="000D652B"/>
    <w:rsid w:val="000D675D"/>
    <w:rsid w:val="000D68FF"/>
    <w:rsid w:val="000D6B0A"/>
    <w:rsid w:val="000D6B74"/>
    <w:rsid w:val="000D6DA6"/>
    <w:rsid w:val="000D6E26"/>
    <w:rsid w:val="000D6EBE"/>
    <w:rsid w:val="000D704F"/>
    <w:rsid w:val="000D7096"/>
    <w:rsid w:val="000D70B0"/>
    <w:rsid w:val="000D73AB"/>
    <w:rsid w:val="000D741A"/>
    <w:rsid w:val="000D75B0"/>
    <w:rsid w:val="000D793E"/>
    <w:rsid w:val="000D7A90"/>
    <w:rsid w:val="000D7AE9"/>
    <w:rsid w:val="000D7D80"/>
    <w:rsid w:val="000D7E08"/>
    <w:rsid w:val="000E000B"/>
    <w:rsid w:val="000E0066"/>
    <w:rsid w:val="000E0141"/>
    <w:rsid w:val="000E0255"/>
    <w:rsid w:val="000E028A"/>
    <w:rsid w:val="000E0374"/>
    <w:rsid w:val="000E047A"/>
    <w:rsid w:val="000E0496"/>
    <w:rsid w:val="000E0582"/>
    <w:rsid w:val="000E0656"/>
    <w:rsid w:val="000E0667"/>
    <w:rsid w:val="000E0683"/>
    <w:rsid w:val="000E09A7"/>
    <w:rsid w:val="000E0D5B"/>
    <w:rsid w:val="000E0E0A"/>
    <w:rsid w:val="000E0E1B"/>
    <w:rsid w:val="000E0E82"/>
    <w:rsid w:val="000E112E"/>
    <w:rsid w:val="000E117B"/>
    <w:rsid w:val="000E11A1"/>
    <w:rsid w:val="000E11E1"/>
    <w:rsid w:val="000E12D3"/>
    <w:rsid w:val="000E1539"/>
    <w:rsid w:val="000E159F"/>
    <w:rsid w:val="000E15CA"/>
    <w:rsid w:val="000E1622"/>
    <w:rsid w:val="000E1838"/>
    <w:rsid w:val="000E1849"/>
    <w:rsid w:val="000E18A0"/>
    <w:rsid w:val="000E191E"/>
    <w:rsid w:val="000E19E3"/>
    <w:rsid w:val="000E1D7C"/>
    <w:rsid w:val="000E1E28"/>
    <w:rsid w:val="000E2018"/>
    <w:rsid w:val="000E20CE"/>
    <w:rsid w:val="000E2213"/>
    <w:rsid w:val="000E22BB"/>
    <w:rsid w:val="000E233E"/>
    <w:rsid w:val="000E2600"/>
    <w:rsid w:val="000E287F"/>
    <w:rsid w:val="000E28E9"/>
    <w:rsid w:val="000E28EE"/>
    <w:rsid w:val="000E29A0"/>
    <w:rsid w:val="000E2AF1"/>
    <w:rsid w:val="000E2B04"/>
    <w:rsid w:val="000E2BE3"/>
    <w:rsid w:val="000E2BE7"/>
    <w:rsid w:val="000E2C2B"/>
    <w:rsid w:val="000E2D95"/>
    <w:rsid w:val="000E2E03"/>
    <w:rsid w:val="000E2E2E"/>
    <w:rsid w:val="000E3193"/>
    <w:rsid w:val="000E3223"/>
    <w:rsid w:val="000E32AE"/>
    <w:rsid w:val="000E32C6"/>
    <w:rsid w:val="000E337A"/>
    <w:rsid w:val="000E363F"/>
    <w:rsid w:val="000E368E"/>
    <w:rsid w:val="000E36EA"/>
    <w:rsid w:val="000E38B4"/>
    <w:rsid w:val="000E3936"/>
    <w:rsid w:val="000E3952"/>
    <w:rsid w:val="000E398F"/>
    <w:rsid w:val="000E3A16"/>
    <w:rsid w:val="000E3A5D"/>
    <w:rsid w:val="000E3BB9"/>
    <w:rsid w:val="000E3C21"/>
    <w:rsid w:val="000E3C66"/>
    <w:rsid w:val="000E3DFE"/>
    <w:rsid w:val="000E3E9F"/>
    <w:rsid w:val="000E4035"/>
    <w:rsid w:val="000E41E9"/>
    <w:rsid w:val="000E42B5"/>
    <w:rsid w:val="000E43C6"/>
    <w:rsid w:val="000E4613"/>
    <w:rsid w:val="000E4645"/>
    <w:rsid w:val="000E46DA"/>
    <w:rsid w:val="000E46F3"/>
    <w:rsid w:val="000E4951"/>
    <w:rsid w:val="000E49C7"/>
    <w:rsid w:val="000E49CF"/>
    <w:rsid w:val="000E4C9E"/>
    <w:rsid w:val="000E4D37"/>
    <w:rsid w:val="000E4D39"/>
    <w:rsid w:val="000E4F80"/>
    <w:rsid w:val="000E4FF6"/>
    <w:rsid w:val="000E5042"/>
    <w:rsid w:val="000E51A3"/>
    <w:rsid w:val="000E52F9"/>
    <w:rsid w:val="000E5300"/>
    <w:rsid w:val="000E5325"/>
    <w:rsid w:val="000E5662"/>
    <w:rsid w:val="000E5791"/>
    <w:rsid w:val="000E57DD"/>
    <w:rsid w:val="000E5803"/>
    <w:rsid w:val="000E5806"/>
    <w:rsid w:val="000E5815"/>
    <w:rsid w:val="000E5857"/>
    <w:rsid w:val="000E5887"/>
    <w:rsid w:val="000E5A69"/>
    <w:rsid w:val="000E5B6A"/>
    <w:rsid w:val="000E5CD4"/>
    <w:rsid w:val="000E5DAB"/>
    <w:rsid w:val="000E60E5"/>
    <w:rsid w:val="000E61CE"/>
    <w:rsid w:val="000E65A8"/>
    <w:rsid w:val="000E6610"/>
    <w:rsid w:val="000E6652"/>
    <w:rsid w:val="000E6784"/>
    <w:rsid w:val="000E678C"/>
    <w:rsid w:val="000E67A7"/>
    <w:rsid w:val="000E6853"/>
    <w:rsid w:val="000E6946"/>
    <w:rsid w:val="000E6AB2"/>
    <w:rsid w:val="000E6AD3"/>
    <w:rsid w:val="000E6CFB"/>
    <w:rsid w:val="000E6D0B"/>
    <w:rsid w:val="000E6E54"/>
    <w:rsid w:val="000E707C"/>
    <w:rsid w:val="000E71D4"/>
    <w:rsid w:val="000E72D0"/>
    <w:rsid w:val="000E7452"/>
    <w:rsid w:val="000E7516"/>
    <w:rsid w:val="000E75B7"/>
    <w:rsid w:val="000E75F4"/>
    <w:rsid w:val="000E776B"/>
    <w:rsid w:val="000E79E6"/>
    <w:rsid w:val="000E7C99"/>
    <w:rsid w:val="000E7E47"/>
    <w:rsid w:val="000E7EAA"/>
    <w:rsid w:val="000E7FD8"/>
    <w:rsid w:val="000F0057"/>
    <w:rsid w:val="000F019B"/>
    <w:rsid w:val="000F0534"/>
    <w:rsid w:val="000F0594"/>
    <w:rsid w:val="000F0611"/>
    <w:rsid w:val="000F0707"/>
    <w:rsid w:val="000F0A51"/>
    <w:rsid w:val="000F0A87"/>
    <w:rsid w:val="000F0B0A"/>
    <w:rsid w:val="000F0D80"/>
    <w:rsid w:val="000F0E37"/>
    <w:rsid w:val="000F0EC6"/>
    <w:rsid w:val="000F0FE9"/>
    <w:rsid w:val="000F10BC"/>
    <w:rsid w:val="000F1334"/>
    <w:rsid w:val="000F1532"/>
    <w:rsid w:val="000F1720"/>
    <w:rsid w:val="000F174B"/>
    <w:rsid w:val="000F197B"/>
    <w:rsid w:val="000F1980"/>
    <w:rsid w:val="000F1986"/>
    <w:rsid w:val="000F19A3"/>
    <w:rsid w:val="000F19B0"/>
    <w:rsid w:val="000F1B42"/>
    <w:rsid w:val="000F1C46"/>
    <w:rsid w:val="000F1EC5"/>
    <w:rsid w:val="000F2002"/>
    <w:rsid w:val="000F2029"/>
    <w:rsid w:val="000F207A"/>
    <w:rsid w:val="000F237B"/>
    <w:rsid w:val="000F2396"/>
    <w:rsid w:val="000F242A"/>
    <w:rsid w:val="000F267E"/>
    <w:rsid w:val="000F2888"/>
    <w:rsid w:val="000F2B04"/>
    <w:rsid w:val="000F2B83"/>
    <w:rsid w:val="000F2C2B"/>
    <w:rsid w:val="000F2DB0"/>
    <w:rsid w:val="000F3244"/>
    <w:rsid w:val="000F3280"/>
    <w:rsid w:val="000F332F"/>
    <w:rsid w:val="000F3406"/>
    <w:rsid w:val="000F38F2"/>
    <w:rsid w:val="000F395D"/>
    <w:rsid w:val="000F3994"/>
    <w:rsid w:val="000F3A21"/>
    <w:rsid w:val="000F3B50"/>
    <w:rsid w:val="000F3BB7"/>
    <w:rsid w:val="000F3E17"/>
    <w:rsid w:val="000F3ED8"/>
    <w:rsid w:val="000F4008"/>
    <w:rsid w:val="000F41AD"/>
    <w:rsid w:val="000F42F9"/>
    <w:rsid w:val="000F430C"/>
    <w:rsid w:val="000F43CA"/>
    <w:rsid w:val="000F44FE"/>
    <w:rsid w:val="000F45BE"/>
    <w:rsid w:val="000F46AC"/>
    <w:rsid w:val="000F48A2"/>
    <w:rsid w:val="000F4981"/>
    <w:rsid w:val="000F4A5C"/>
    <w:rsid w:val="000F4B56"/>
    <w:rsid w:val="000F4C7A"/>
    <w:rsid w:val="000F52C3"/>
    <w:rsid w:val="000F53CA"/>
    <w:rsid w:val="000F56A6"/>
    <w:rsid w:val="000F57F9"/>
    <w:rsid w:val="000F5867"/>
    <w:rsid w:val="000F591A"/>
    <w:rsid w:val="000F5AE3"/>
    <w:rsid w:val="000F5B1E"/>
    <w:rsid w:val="000F5BCC"/>
    <w:rsid w:val="000F5C31"/>
    <w:rsid w:val="000F5C7D"/>
    <w:rsid w:val="000F5DDE"/>
    <w:rsid w:val="000F5FC5"/>
    <w:rsid w:val="000F60FF"/>
    <w:rsid w:val="000F6158"/>
    <w:rsid w:val="000F62F4"/>
    <w:rsid w:val="000F6376"/>
    <w:rsid w:val="000F63DB"/>
    <w:rsid w:val="000F640E"/>
    <w:rsid w:val="000F6471"/>
    <w:rsid w:val="000F6670"/>
    <w:rsid w:val="000F6752"/>
    <w:rsid w:val="000F6791"/>
    <w:rsid w:val="000F687B"/>
    <w:rsid w:val="000F6985"/>
    <w:rsid w:val="000F6A01"/>
    <w:rsid w:val="000F6BCB"/>
    <w:rsid w:val="000F6C0E"/>
    <w:rsid w:val="000F6C17"/>
    <w:rsid w:val="000F6D68"/>
    <w:rsid w:val="000F6D8C"/>
    <w:rsid w:val="000F6E30"/>
    <w:rsid w:val="000F7028"/>
    <w:rsid w:val="000F717A"/>
    <w:rsid w:val="000F72B2"/>
    <w:rsid w:val="000F737E"/>
    <w:rsid w:val="000F7447"/>
    <w:rsid w:val="000F7625"/>
    <w:rsid w:val="000F76FB"/>
    <w:rsid w:val="000F7729"/>
    <w:rsid w:val="000F79CF"/>
    <w:rsid w:val="000F7A20"/>
    <w:rsid w:val="000F7A72"/>
    <w:rsid w:val="000F7A96"/>
    <w:rsid w:val="000F7CFB"/>
    <w:rsid w:val="000F7D90"/>
    <w:rsid w:val="000F7F7D"/>
    <w:rsid w:val="001000FA"/>
    <w:rsid w:val="001003E3"/>
    <w:rsid w:val="0010066A"/>
    <w:rsid w:val="00100671"/>
    <w:rsid w:val="001008F5"/>
    <w:rsid w:val="00100925"/>
    <w:rsid w:val="00100936"/>
    <w:rsid w:val="001009B3"/>
    <w:rsid w:val="00100A06"/>
    <w:rsid w:val="00100C96"/>
    <w:rsid w:val="00101143"/>
    <w:rsid w:val="001011CB"/>
    <w:rsid w:val="00101472"/>
    <w:rsid w:val="001014DD"/>
    <w:rsid w:val="001014DE"/>
    <w:rsid w:val="0010155F"/>
    <w:rsid w:val="00101565"/>
    <w:rsid w:val="001016F3"/>
    <w:rsid w:val="00101766"/>
    <w:rsid w:val="0010181A"/>
    <w:rsid w:val="00101891"/>
    <w:rsid w:val="0010189E"/>
    <w:rsid w:val="001018B9"/>
    <w:rsid w:val="001019E1"/>
    <w:rsid w:val="00101A4D"/>
    <w:rsid w:val="00101A85"/>
    <w:rsid w:val="00101ACF"/>
    <w:rsid w:val="00101B20"/>
    <w:rsid w:val="00101B6B"/>
    <w:rsid w:val="00101BEE"/>
    <w:rsid w:val="00101BFB"/>
    <w:rsid w:val="00101CB6"/>
    <w:rsid w:val="00101CD7"/>
    <w:rsid w:val="00101D2B"/>
    <w:rsid w:val="00101E06"/>
    <w:rsid w:val="00101ED5"/>
    <w:rsid w:val="00101FD7"/>
    <w:rsid w:val="0010214A"/>
    <w:rsid w:val="001021F3"/>
    <w:rsid w:val="001022E3"/>
    <w:rsid w:val="00102304"/>
    <w:rsid w:val="0010233F"/>
    <w:rsid w:val="0010236D"/>
    <w:rsid w:val="00102381"/>
    <w:rsid w:val="00102480"/>
    <w:rsid w:val="001025EF"/>
    <w:rsid w:val="00102698"/>
    <w:rsid w:val="00102719"/>
    <w:rsid w:val="001029BF"/>
    <w:rsid w:val="00102A84"/>
    <w:rsid w:val="00102AA1"/>
    <w:rsid w:val="00102CA6"/>
    <w:rsid w:val="00102D17"/>
    <w:rsid w:val="00102D7A"/>
    <w:rsid w:val="00102DB8"/>
    <w:rsid w:val="00102E1C"/>
    <w:rsid w:val="00102FE7"/>
    <w:rsid w:val="001032C7"/>
    <w:rsid w:val="001032D8"/>
    <w:rsid w:val="001032E6"/>
    <w:rsid w:val="001032E9"/>
    <w:rsid w:val="0010354C"/>
    <w:rsid w:val="001035DA"/>
    <w:rsid w:val="001036C7"/>
    <w:rsid w:val="0010387D"/>
    <w:rsid w:val="0010389C"/>
    <w:rsid w:val="00103AA5"/>
    <w:rsid w:val="00103CCE"/>
    <w:rsid w:val="00103E01"/>
    <w:rsid w:val="00103E24"/>
    <w:rsid w:val="00103EEC"/>
    <w:rsid w:val="00103F40"/>
    <w:rsid w:val="00103FEB"/>
    <w:rsid w:val="00104177"/>
    <w:rsid w:val="001042DE"/>
    <w:rsid w:val="001042FE"/>
    <w:rsid w:val="001042FF"/>
    <w:rsid w:val="0010430F"/>
    <w:rsid w:val="00104506"/>
    <w:rsid w:val="0010458C"/>
    <w:rsid w:val="00104864"/>
    <w:rsid w:val="0010486C"/>
    <w:rsid w:val="001048CE"/>
    <w:rsid w:val="00104A59"/>
    <w:rsid w:val="00104BAF"/>
    <w:rsid w:val="00104D04"/>
    <w:rsid w:val="00104D51"/>
    <w:rsid w:val="00104E63"/>
    <w:rsid w:val="00105021"/>
    <w:rsid w:val="00105080"/>
    <w:rsid w:val="001050D1"/>
    <w:rsid w:val="001051AF"/>
    <w:rsid w:val="00105300"/>
    <w:rsid w:val="00105A32"/>
    <w:rsid w:val="00105A96"/>
    <w:rsid w:val="00105D49"/>
    <w:rsid w:val="00105DBE"/>
    <w:rsid w:val="00105EDB"/>
    <w:rsid w:val="00105F88"/>
    <w:rsid w:val="00105FDF"/>
    <w:rsid w:val="001060C6"/>
    <w:rsid w:val="00106117"/>
    <w:rsid w:val="001061F8"/>
    <w:rsid w:val="00106205"/>
    <w:rsid w:val="001063E2"/>
    <w:rsid w:val="001063EF"/>
    <w:rsid w:val="001064C8"/>
    <w:rsid w:val="001064E7"/>
    <w:rsid w:val="00106553"/>
    <w:rsid w:val="001066BF"/>
    <w:rsid w:val="0010673E"/>
    <w:rsid w:val="001067A7"/>
    <w:rsid w:val="00106842"/>
    <w:rsid w:val="0010693E"/>
    <w:rsid w:val="00106DA8"/>
    <w:rsid w:val="00106E11"/>
    <w:rsid w:val="00106E16"/>
    <w:rsid w:val="00107018"/>
    <w:rsid w:val="001071DF"/>
    <w:rsid w:val="00107218"/>
    <w:rsid w:val="001074FC"/>
    <w:rsid w:val="00107542"/>
    <w:rsid w:val="00107594"/>
    <w:rsid w:val="00107720"/>
    <w:rsid w:val="001077CD"/>
    <w:rsid w:val="0010792F"/>
    <w:rsid w:val="00107C90"/>
    <w:rsid w:val="00107D36"/>
    <w:rsid w:val="00107DD3"/>
    <w:rsid w:val="00107E5C"/>
    <w:rsid w:val="00107F81"/>
    <w:rsid w:val="0011005F"/>
    <w:rsid w:val="001100C2"/>
    <w:rsid w:val="001100FC"/>
    <w:rsid w:val="001101FE"/>
    <w:rsid w:val="0011026E"/>
    <w:rsid w:val="0011058E"/>
    <w:rsid w:val="00110693"/>
    <w:rsid w:val="001106DE"/>
    <w:rsid w:val="00110715"/>
    <w:rsid w:val="0011080F"/>
    <w:rsid w:val="00110930"/>
    <w:rsid w:val="00110AC4"/>
    <w:rsid w:val="00110B68"/>
    <w:rsid w:val="00110B93"/>
    <w:rsid w:val="00110BFE"/>
    <w:rsid w:val="00110D27"/>
    <w:rsid w:val="00110D7C"/>
    <w:rsid w:val="00110E8A"/>
    <w:rsid w:val="00110E93"/>
    <w:rsid w:val="00110F68"/>
    <w:rsid w:val="0011104A"/>
    <w:rsid w:val="0011105C"/>
    <w:rsid w:val="001110D6"/>
    <w:rsid w:val="00111161"/>
    <w:rsid w:val="00111194"/>
    <w:rsid w:val="00111354"/>
    <w:rsid w:val="00111382"/>
    <w:rsid w:val="00111435"/>
    <w:rsid w:val="001115F9"/>
    <w:rsid w:val="001116EA"/>
    <w:rsid w:val="001117F1"/>
    <w:rsid w:val="00111C21"/>
    <w:rsid w:val="00111E13"/>
    <w:rsid w:val="00111E28"/>
    <w:rsid w:val="00111F93"/>
    <w:rsid w:val="00112009"/>
    <w:rsid w:val="00112061"/>
    <w:rsid w:val="0011209B"/>
    <w:rsid w:val="001121D7"/>
    <w:rsid w:val="001123A6"/>
    <w:rsid w:val="001123F7"/>
    <w:rsid w:val="00112401"/>
    <w:rsid w:val="00112825"/>
    <w:rsid w:val="00112853"/>
    <w:rsid w:val="001128A9"/>
    <w:rsid w:val="00112A38"/>
    <w:rsid w:val="00112BB4"/>
    <w:rsid w:val="00112BB9"/>
    <w:rsid w:val="00112C28"/>
    <w:rsid w:val="00112C38"/>
    <w:rsid w:val="00112CDC"/>
    <w:rsid w:val="00112E6B"/>
    <w:rsid w:val="0011342D"/>
    <w:rsid w:val="00113480"/>
    <w:rsid w:val="00113602"/>
    <w:rsid w:val="00113618"/>
    <w:rsid w:val="0011376E"/>
    <w:rsid w:val="00113772"/>
    <w:rsid w:val="00113A01"/>
    <w:rsid w:val="00113BAC"/>
    <w:rsid w:val="00113CED"/>
    <w:rsid w:val="00113DE6"/>
    <w:rsid w:val="00113F56"/>
    <w:rsid w:val="00113F59"/>
    <w:rsid w:val="00114112"/>
    <w:rsid w:val="0011413D"/>
    <w:rsid w:val="001141F6"/>
    <w:rsid w:val="001142EB"/>
    <w:rsid w:val="00114463"/>
    <w:rsid w:val="001145DA"/>
    <w:rsid w:val="00114690"/>
    <w:rsid w:val="001146DF"/>
    <w:rsid w:val="001149F3"/>
    <w:rsid w:val="00114CE0"/>
    <w:rsid w:val="00114CFB"/>
    <w:rsid w:val="00114E22"/>
    <w:rsid w:val="001150A7"/>
    <w:rsid w:val="0011518A"/>
    <w:rsid w:val="0011523F"/>
    <w:rsid w:val="00115278"/>
    <w:rsid w:val="001152D5"/>
    <w:rsid w:val="00115433"/>
    <w:rsid w:val="0011546B"/>
    <w:rsid w:val="001154FB"/>
    <w:rsid w:val="00115561"/>
    <w:rsid w:val="001155D9"/>
    <w:rsid w:val="0011563C"/>
    <w:rsid w:val="00115753"/>
    <w:rsid w:val="001157CF"/>
    <w:rsid w:val="0011594E"/>
    <w:rsid w:val="0011595C"/>
    <w:rsid w:val="00115A60"/>
    <w:rsid w:val="00115A8F"/>
    <w:rsid w:val="00115BC6"/>
    <w:rsid w:val="00115C06"/>
    <w:rsid w:val="00115C5E"/>
    <w:rsid w:val="00115CBB"/>
    <w:rsid w:val="00116117"/>
    <w:rsid w:val="001161CA"/>
    <w:rsid w:val="001162AA"/>
    <w:rsid w:val="00116428"/>
    <w:rsid w:val="0011642D"/>
    <w:rsid w:val="0011645B"/>
    <w:rsid w:val="00116A95"/>
    <w:rsid w:val="00116C11"/>
    <w:rsid w:val="00116DCF"/>
    <w:rsid w:val="00116DDF"/>
    <w:rsid w:val="00116EF2"/>
    <w:rsid w:val="00116F9A"/>
    <w:rsid w:val="00116FA9"/>
    <w:rsid w:val="00116FEE"/>
    <w:rsid w:val="0011737A"/>
    <w:rsid w:val="00117467"/>
    <w:rsid w:val="001176C7"/>
    <w:rsid w:val="001177BB"/>
    <w:rsid w:val="00117A3B"/>
    <w:rsid w:val="00117A66"/>
    <w:rsid w:val="00117AE9"/>
    <w:rsid w:val="00117B28"/>
    <w:rsid w:val="00117BC7"/>
    <w:rsid w:val="00117BF4"/>
    <w:rsid w:val="00117DA2"/>
    <w:rsid w:val="00117DF9"/>
    <w:rsid w:val="00117E58"/>
    <w:rsid w:val="00117F7C"/>
    <w:rsid w:val="00120278"/>
    <w:rsid w:val="001202D9"/>
    <w:rsid w:val="001203E9"/>
    <w:rsid w:val="0012066D"/>
    <w:rsid w:val="0012073E"/>
    <w:rsid w:val="00120798"/>
    <w:rsid w:val="00120823"/>
    <w:rsid w:val="00120977"/>
    <w:rsid w:val="00120A98"/>
    <w:rsid w:val="00120B35"/>
    <w:rsid w:val="00120B48"/>
    <w:rsid w:val="00120BB4"/>
    <w:rsid w:val="00120BEE"/>
    <w:rsid w:val="00120D94"/>
    <w:rsid w:val="00121270"/>
    <w:rsid w:val="00121491"/>
    <w:rsid w:val="00121525"/>
    <w:rsid w:val="00121548"/>
    <w:rsid w:val="00121698"/>
    <w:rsid w:val="001219DE"/>
    <w:rsid w:val="00121A24"/>
    <w:rsid w:val="00121A66"/>
    <w:rsid w:val="00121BEA"/>
    <w:rsid w:val="00121F49"/>
    <w:rsid w:val="00122235"/>
    <w:rsid w:val="001223F3"/>
    <w:rsid w:val="001226F5"/>
    <w:rsid w:val="001227FC"/>
    <w:rsid w:val="001229A1"/>
    <w:rsid w:val="00122DA4"/>
    <w:rsid w:val="00122E23"/>
    <w:rsid w:val="00122E34"/>
    <w:rsid w:val="00122E79"/>
    <w:rsid w:val="001230B3"/>
    <w:rsid w:val="0012310C"/>
    <w:rsid w:val="00123197"/>
    <w:rsid w:val="00123337"/>
    <w:rsid w:val="0012337E"/>
    <w:rsid w:val="001233CF"/>
    <w:rsid w:val="001233E0"/>
    <w:rsid w:val="00123AD4"/>
    <w:rsid w:val="00123CB9"/>
    <w:rsid w:val="00123CFC"/>
    <w:rsid w:val="00123DCC"/>
    <w:rsid w:val="00123E26"/>
    <w:rsid w:val="00123EF1"/>
    <w:rsid w:val="00123F23"/>
    <w:rsid w:val="001240AD"/>
    <w:rsid w:val="001240D4"/>
    <w:rsid w:val="00124102"/>
    <w:rsid w:val="00124249"/>
    <w:rsid w:val="0012428A"/>
    <w:rsid w:val="001242EC"/>
    <w:rsid w:val="0012433B"/>
    <w:rsid w:val="00124433"/>
    <w:rsid w:val="0012443A"/>
    <w:rsid w:val="0012447E"/>
    <w:rsid w:val="00124543"/>
    <w:rsid w:val="0012464F"/>
    <w:rsid w:val="001246EE"/>
    <w:rsid w:val="001247AC"/>
    <w:rsid w:val="001248BA"/>
    <w:rsid w:val="00124934"/>
    <w:rsid w:val="001249D3"/>
    <w:rsid w:val="001249F0"/>
    <w:rsid w:val="00124B16"/>
    <w:rsid w:val="00124B85"/>
    <w:rsid w:val="00124CAC"/>
    <w:rsid w:val="00124DCE"/>
    <w:rsid w:val="00124EB6"/>
    <w:rsid w:val="00124F46"/>
    <w:rsid w:val="00124F6F"/>
    <w:rsid w:val="00125055"/>
    <w:rsid w:val="001251BD"/>
    <w:rsid w:val="00125304"/>
    <w:rsid w:val="00125307"/>
    <w:rsid w:val="00125496"/>
    <w:rsid w:val="00125527"/>
    <w:rsid w:val="001255E5"/>
    <w:rsid w:val="0012566A"/>
    <w:rsid w:val="00125731"/>
    <w:rsid w:val="00125788"/>
    <w:rsid w:val="00125812"/>
    <w:rsid w:val="001258ED"/>
    <w:rsid w:val="001258FE"/>
    <w:rsid w:val="00125909"/>
    <w:rsid w:val="00125956"/>
    <w:rsid w:val="001259B8"/>
    <w:rsid w:val="00125A8B"/>
    <w:rsid w:val="00125BBA"/>
    <w:rsid w:val="00125C5B"/>
    <w:rsid w:val="00125C87"/>
    <w:rsid w:val="00125C95"/>
    <w:rsid w:val="00125D40"/>
    <w:rsid w:val="00125DBC"/>
    <w:rsid w:val="00125EC3"/>
    <w:rsid w:val="00126143"/>
    <w:rsid w:val="001263F0"/>
    <w:rsid w:val="00126505"/>
    <w:rsid w:val="00126585"/>
    <w:rsid w:val="00126591"/>
    <w:rsid w:val="001265BC"/>
    <w:rsid w:val="0012665C"/>
    <w:rsid w:val="001269E7"/>
    <w:rsid w:val="00126ABC"/>
    <w:rsid w:val="00126B5C"/>
    <w:rsid w:val="00126C66"/>
    <w:rsid w:val="00126C68"/>
    <w:rsid w:val="00126E79"/>
    <w:rsid w:val="00126E96"/>
    <w:rsid w:val="00126EB9"/>
    <w:rsid w:val="00126F3B"/>
    <w:rsid w:val="00126FDC"/>
    <w:rsid w:val="00127044"/>
    <w:rsid w:val="0012707A"/>
    <w:rsid w:val="00127150"/>
    <w:rsid w:val="00127223"/>
    <w:rsid w:val="00127306"/>
    <w:rsid w:val="00127365"/>
    <w:rsid w:val="00127458"/>
    <w:rsid w:val="0012745E"/>
    <w:rsid w:val="00127659"/>
    <w:rsid w:val="00127692"/>
    <w:rsid w:val="001276F5"/>
    <w:rsid w:val="00127722"/>
    <w:rsid w:val="00127AF8"/>
    <w:rsid w:val="00127B8E"/>
    <w:rsid w:val="00127BB4"/>
    <w:rsid w:val="00127D1F"/>
    <w:rsid w:val="00127E08"/>
    <w:rsid w:val="00127E42"/>
    <w:rsid w:val="00127EB4"/>
    <w:rsid w:val="00127ED1"/>
    <w:rsid w:val="00127F00"/>
    <w:rsid w:val="001300F8"/>
    <w:rsid w:val="001301FA"/>
    <w:rsid w:val="001302B9"/>
    <w:rsid w:val="001302DB"/>
    <w:rsid w:val="001304B4"/>
    <w:rsid w:val="0013061A"/>
    <w:rsid w:val="001306DC"/>
    <w:rsid w:val="001309AA"/>
    <w:rsid w:val="00130A74"/>
    <w:rsid w:val="00130BEC"/>
    <w:rsid w:val="00130CE6"/>
    <w:rsid w:val="00130DDA"/>
    <w:rsid w:val="00130DE5"/>
    <w:rsid w:val="00130EDE"/>
    <w:rsid w:val="001310C0"/>
    <w:rsid w:val="00131177"/>
    <w:rsid w:val="001311CD"/>
    <w:rsid w:val="00131213"/>
    <w:rsid w:val="001313CC"/>
    <w:rsid w:val="0013147F"/>
    <w:rsid w:val="00131541"/>
    <w:rsid w:val="0013155C"/>
    <w:rsid w:val="001316F9"/>
    <w:rsid w:val="0013185A"/>
    <w:rsid w:val="001318A7"/>
    <w:rsid w:val="0013198F"/>
    <w:rsid w:val="00131A08"/>
    <w:rsid w:val="00131A30"/>
    <w:rsid w:val="00131B93"/>
    <w:rsid w:val="00131CB3"/>
    <w:rsid w:val="00131DB4"/>
    <w:rsid w:val="00132037"/>
    <w:rsid w:val="001320AA"/>
    <w:rsid w:val="0013216C"/>
    <w:rsid w:val="001321F3"/>
    <w:rsid w:val="00132310"/>
    <w:rsid w:val="0013238D"/>
    <w:rsid w:val="0013255F"/>
    <w:rsid w:val="00132610"/>
    <w:rsid w:val="00132795"/>
    <w:rsid w:val="001327BB"/>
    <w:rsid w:val="00132849"/>
    <w:rsid w:val="001328E1"/>
    <w:rsid w:val="00132A37"/>
    <w:rsid w:val="00132A51"/>
    <w:rsid w:val="00132AC0"/>
    <w:rsid w:val="00132BA8"/>
    <w:rsid w:val="00132C25"/>
    <w:rsid w:val="00132E93"/>
    <w:rsid w:val="001331ED"/>
    <w:rsid w:val="0013331D"/>
    <w:rsid w:val="00133360"/>
    <w:rsid w:val="001334EB"/>
    <w:rsid w:val="00133506"/>
    <w:rsid w:val="001335A1"/>
    <w:rsid w:val="00133617"/>
    <w:rsid w:val="00133684"/>
    <w:rsid w:val="001337FA"/>
    <w:rsid w:val="00133828"/>
    <w:rsid w:val="0013387F"/>
    <w:rsid w:val="001338CB"/>
    <w:rsid w:val="00133A30"/>
    <w:rsid w:val="00133BE6"/>
    <w:rsid w:val="00133EB2"/>
    <w:rsid w:val="00133F78"/>
    <w:rsid w:val="00133F8C"/>
    <w:rsid w:val="00133FA6"/>
    <w:rsid w:val="00133FC7"/>
    <w:rsid w:val="001341F7"/>
    <w:rsid w:val="00134353"/>
    <w:rsid w:val="001344F6"/>
    <w:rsid w:val="00134700"/>
    <w:rsid w:val="0013475D"/>
    <w:rsid w:val="0013485C"/>
    <w:rsid w:val="0013495A"/>
    <w:rsid w:val="00134A1C"/>
    <w:rsid w:val="00134B42"/>
    <w:rsid w:val="00134B4A"/>
    <w:rsid w:val="00134C38"/>
    <w:rsid w:val="00134E8A"/>
    <w:rsid w:val="00134F39"/>
    <w:rsid w:val="00134F78"/>
    <w:rsid w:val="001351AC"/>
    <w:rsid w:val="00135279"/>
    <w:rsid w:val="001353CE"/>
    <w:rsid w:val="00135531"/>
    <w:rsid w:val="001355D0"/>
    <w:rsid w:val="001355FC"/>
    <w:rsid w:val="0013562A"/>
    <w:rsid w:val="00135715"/>
    <w:rsid w:val="00135788"/>
    <w:rsid w:val="001359A4"/>
    <w:rsid w:val="00135E3F"/>
    <w:rsid w:val="00135EA2"/>
    <w:rsid w:val="0013620B"/>
    <w:rsid w:val="00136380"/>
    <w:rsid w:val="0013649C"/>
    <w:rsid w:val="00136511"/>
    <w:rsid w:val="00136530"/>
    <w:rsid w:val="001365FB"/>
    <w:rsid w:val="0013681C"/>
    <w:rsid w:val="00136955"/>
    <w:rsid w:val="00136A06"/>
    <w:rsid w:val="00136A74"/>
    <w:rsid w:val="00136A85"/>
    <w:rsid w:val="00136C01"/>
    <w:rsid w:val="00136E4E"/>
    <w:rsid w:val="00137087"/>
    <w:rsid w:val="001370A8"/>
    <w:rsid w:val="001370D7"/>
    <w:rsid w:val="00137100"/>
    <w:rsid w:val="00137103"/>
    <w:rsid w:val="00137179"/>
    <w:rsid w:val="0013736B"/>
    <w:rsid w:val="001373F4"/>
    <w:rsid w:val="00137402"/>
    <w:rsid w:val="001374CB"/>
    <w:rsid w:val="0013754B"/>
    <w:rsid w:val="00137698"/>
    <w:rsid w:val="00137857"/>
    <w:rsid w:val="0013789C"/>
    <w:rsid w:val="001378D3"/>
    <w:rsid w:val="001378F5"/>
    <w:rsid w:val="0013793A"/>
    <w:rsid w:val="001379CF"/>
    <w:rsid w:val="00137B01"/>
    <w:rsid w:val="00137C51"/>
    <w:rsid w:val="00137D80"/>
    <w:rsid w:val="00137E7C"/>
    <w:rsid w:val="00137F9E"/>
    <w:rsid w:val="0014019A"/>
    <w:rsid w:val="001401A5"/>
    <w:rsid w:val="00140334"/>
    <w:rsid w:val="0014034E"/>
    <w:rsid w:val="001404B9"/>
    <w:rsid w:val="0014053A"/>
    <w:rsid w:val="001405DA"/>
    <w:rsid w:val="001405E6"/>
    <w:rsid w:val="0014061E"/>
    <w:rsid w:val="00140629"/>
    <w:rsid w:val="00140B7B"/>
    <w:rsid w:val="00140DC7"/>
    <w:rsid w:val="00140F8C"/>
    <w:rsid w:val="00141002"/>
    <w:rsid w:val="0014113D"/>
    <w:rsid w:val="00141235"/>
    <w:rsid w:val="001412D6"/>
    <w:rsid w:val="00141312"/>
    <w:rsid w:val="0014138C"/>
    <w:rsid w:val="0014139A"/>
    <w:rsid w:val="001413F2"/>
    <w:rsid w:val="001414AE"/>
    <w:rsid w:val="00141766"/>
    <w:rsid w:val="00141C28"/>
    <w:rsid w:val="00141C42"/>
    <w:rsid w:val="00141EF6"/>
    <w:rsid w:val="00142075"/>
    <w:rsid w:val="00142079"/>
    <w:rsid w:val="00142088"/>
    <w:rsid w:val="001420C7"/>
    <w:rsid w:val="00142258"/>
    <w:rsid w:val="0014226E"/>
    <w:rsid w:val="001422C7"/>
    <w:rsid w:val="00142351"/>
    <w:rsid w:val="001423E8"/>
    <w:rsid w:val="001423FE"/>
    <w:rsid w:val="00142696"/>
    <w:rsid w:val="001426FD"/>
    <w:rsid w:val="00142768"/>
    <w:rsid w:val="00142A71"/>
    <w:rsid w:val="00142B20"/>
    <w:rsid w:val="00142CAE"/>
    <w:rsid w:val="00142CBA"/>
    <w:rsid w:val="00142E02"/>
    <w:rsid w:val="00142E7B"/>
    <w:rsid w:val="0014304D"/>
    <w:rsid w:val="001430A7"/>
    <w:rsid w:val="001430D8"/>
    <w:rsid w:val="0014321B"/>
    <w:rsid w:val="001432E0"/>
    <w:rsid w:val="0014341A"/>
    <w:rsid w:val="0014356E"/>
    <w:rsid w:val="001435FF"/>
    <w:rsid w:val="001436C7"/>
    <w:rsid w:val="001436D3"/>
    <w:rsid w:val="0014382D"/>
    <w:rsid w:val="0014386D"/>
    <w:rsid w:val="0014394A"/>
    <w:rsid w:val="0014394D"/>
    <w:rsid w:val="00143AEB"/>
    <w:rsid w:val="00143BAF"/>
    <w:rsid w:val="00143CCA"/>
    <w:rsid w:val="00143CDE"/>
    <w:rsid w:val="00143D1F"/>
    <w:rsid w:val="00143E9F"/>
    <w:rsid w:val="00143F77"/>
    <w:rsid w:val="00143FB4"/>
    <w:rsid w:val="001441CB"/>
    <w:rsid w:val="00144288"/>
    <w:rsid w:val="001442BF"/>
    <w:rsid w:val="001445FE"/>
    <w:rsid w:val="001449F7"/>
    <w:rsid w:val="00144A45"/>
    <w:rsid w:val="00144ADA"/>
    <w:rsid w:val="00144B0F"/>
    <w:rsid w:val="00144E01"/>
    <w:rsid w:val="00144F9D"/>
    <w:rsid w:val="00145018"/>
    <w:rsid w:val="00145502"/>
    <w:rsid w:val="00145516"/>
    <w:rsid w:val="001455BE"/>
    <w:rsid w:val="001455E4"/>
    <w:rsid w:val="001456A5"/>
    <w:rsid w:val="001459DF"/>
    <w:rsid w:val="001459F3"/>
    <w:rsid w:val="00145A49"/>
    <w:rsid w:val="00145D4C"/>
    <w:rsid w:val="001460E3"/>
    <w:rsid w:val="00146116"/>
    <w:rsid w:val="0014613D"/>
    <w:rsid w:val="00146156"/>
    <w:rsid w:val="0014619A"/>
    <w:rsid w:val="001462AD"/>
    <w:rsid w:val="001464DD"/>
    <w:rsid w:val="001466B6"/>
    <w:rsid w:val="00146813"/>
    <w:rsid w:val="00146898"/>
    <w:rsid w:val="001469FE"/>
    <w:rsid w:val="00146A2A"/>
    <w:rsid w:val="00146A8B"/>
    <w:rsid w:val="00146B23"/>
    <w:rsid w:val="00146E3D"/>
    <w:rsid w:val="00146EF3"/>
    <w:rsid w:val="00146FAD"/>
    <w:rsid w:val="0014702C"/>
    <w:rsid w:val="0014717C"/>
    <w:rsid w:val="0014718E"/>
    <w:rsid w:val="00147347"/>
    <w:rsid w:val="00147446"/>
    <w:rsid w:val="001475F8"/>
    <w:rsid w:val="001476BD"/>
    <w:rsid w:val="00147702"/>
    <w:rsid w:val="00147847"/>
    <w:rsid w:val="0014791F"/>
    <w:rsid w:val="00147936"/>
    <w:rsid w:val="00147A2E"/>
    <w:rsid w:val="00147A6A"/>
    <w:rsid w:val="00147AE1"/>
    <w:rsid w:val="00147AFF"/>
    <w:rsid w:val="00147B34"/>
    <w:rsid w:val="00147B37"/>
    <w:rsid w:val="00147BBC"/>
    <w:rsid w:val="00147C12"/>
    <w:rsid w:val="00147D68"/>
    <w:rsid w:val="00147E75"/>
    <w:rsid w:val="00147FE4"/>
    <w:rsid w:val="00147FEE"/>
    <w:rsid w:val="001500A8"/>
    <w:rsid w:val="00150255"/>
    <w:rsid w:val="001502FE"/>
    <w:rsid w:val="0015031B"/>
    <w:rsid w:val="00150371"/>
    <w:rsid w:val="00150414"/>
    <w:rsid w:val="00150423"/>
    <w:rsid w:val="0015044A"/>
    <w:rsid w:val="00150529"/>
    <w:rsid w:val="0015070E"/>
    <w:rsid w:val="0015075F"/>
    <w:rsid w:val="00150B75"/>
    <w:rsid w:val="00150CBB"/>
    <w:rsid w:val="00150E08"/>
    <w:rsid w:val="00150E96"/>
    <w:rsid w:val="00151027"/>
    <w:rsid w:val="00151115"/>
    <w:rsid w:val="00151135"/>
    <w:rsid w:val="001512BA"/>
    <w:rsid w:val="001512D2"/>
    <w:rsid w:val="0015144B"/>
    <w:rsid w:val="00151477"/>
    <w:rsid w:val="001514A9"/>
    <w:rsid w:val="001514B9"/>
    <w:rsid w:val="00151511"/>
    <w:rsid w:val="0015156F"/>
    <w:rsid w:val="001515AA"/>
    <w:rsid w:val="001515D3"/>
    <w:rsid w:val="00151635"/>
    <w:rsid w:val="00151807"/>
    <w:rsid w:val="0015189B"/>
    <w:rsid w:val="00151AE6"/>
    <w:rsid w:val="00151BD5"/>
    <w:rsid w:val="00151D3D"/>
    <w:rsid w:val="00151E33"/>
    <w:rsid w:val="00152178"/>
    <w:rsid w:val="001523B3"/>
    <w:rsid w:val="00152513"/>
    <w:rsid w:val="0015264A"/>
    <w:rsid w:val="001526C7"/>
    <w:rsid w:val="001528A4"/>
    <w:rsid w:val="001529EF"/>
    <w:rsid w:val="00152A7C"/>
    <w:rsid w:val="00152B56"/>
    <w:rsid w:val="00152BB6"/>
    <w:rsid w:val="00152BC8"/>
    <w:rsid w:val="00152BD2"/>
    <w:rsid w:val="00152C6D"/>
    <w:rsid w:val="00152C80"/>
    <w:rsid w:val="00152E22"/>
    <w:rsid w:val="0015303D"/>
    <w:rsid w:val="0015331C"/>
    <w:rsid w:val="0015334F"/>
    <w:rsid w:val="001537B5"/>
    <w:rsid w:val="001537D2"/>
    <w:rsid w:val="0015386A"/>
    <w:rsid w:val="0015388E"/>
    <w:rsid w:val="001538C8"/>
    <w:rsid w:val="001539A2"/>
    <w:rsid w:val="00153AAF"/>
    <w:rsid w:val="00153CB1"/>
    <w:rsid w:val="00153ECF"/>
    <w:rsid w:val="00153F71"/>
    <w:rsid w:val="00153FAA"/>
    <w:rsid w:val="0015422A"/>
    <w:rsid w:val="0015439D"/>
    <w:rsid w:val="0015448D"/>
    <w:rsid w:val="00154609"/>
    <w:rsid w:val="0015469A"/>
    <w:rsid w:val="001546C7"/>
    <w:rsid w:val="00154797"/>
    <w:rsid w:val="001547CE"/>
    <w:rsid w:val="00154874"/>
    <w:rsid w:val="001548F2"/>
    <w:rsid w:val="00154A58"/>
    <w:rsid w:val="00154BAE"/>
    <w:rsid w:val="00154C61"/>
    <w:rsid w:val="00154CD8"/>
    <w:rsid w:val="00154D87"/>
    <w:rsid w:val="00154E76"/>
    <w:rsid w:val="00154EA5"/>
    <w:rsid w:val="00154FA4"/>
    <w:rsid w:val="00154FF1"/>
    <w:rsid w:val="00155014"/>
    <w:rsid w:val="00155082"/>
    <w:rsid w:val="001550B6"/>
    <w:rsid w:val="00155339"/>
    <w:rsid w:val="00155486"/>
    <w:rsid w:val="001554F0"/>
    <w:rsid w:val="00155626"/>
    <w:rsid w:val="0015569C"/>
    <w:rsid w:val="00155769"/>
    <w:rsid w:val="001558C2"/>
    <w:rsid w:val="001558CD"/>
    <w:rsid w:val="00155917"/>
    <w:rsid w:val="00155A8A"/>
    <w:rsid w:val="00155C26"/>
    <w:rsid w:val="00155C27"/>
    <w:rsid w:val="00155C6D"/>
    <w:rsid w:val="00155DFD"/>
    <w:rsid w:val="00155E3A"/>
    <w:rsid w:val="00155E6F"/>
    <w:rsid w:val="00155EC2"/>
    <w:rsid w:val="00155FE9"/>
    <w:rsid w:val="0015662C"/>
    <w:rsid w:val="0015670A"/>
    <w:rsid w:val="00156C24"/>
    <w:rsid w:val="00156D4D"/>
    <w:rsid w:val="00156E98"/>
    <w:rsid w:val="00156F2F"/>
    <w:rsid w:val="00156FE5"/>
    <w:rsid w:val="00157034"/>
    <w:rsid w:val="00157097"/>
    <w:rsid w:val="001570A9"/>
    <w:rsid w:val="00157137"/>
    <w:rsid w:val="0015727E"/>
    <w:rsid w:val="001572E1"/>
    <w:rsid w:val="001573E6"/>
    <w:rsid w:val="0015744A"/>
    <w:rsid w:val="0015745F"/>
    <w:rsid w:val="001574CA"/>
    <w:rsid w:val="0015767F"/>
    <w:rsid w:val="0015788D"/>
    <w:rsid w:val="00157902"/>
    <w:rsid w:val="0015790F"/>
    <w:rsid w:val="00157949"/>
    <w:rsid w:val="00157975"/>
    <w:rsid w:val="001579B1"/>
    <w:rsid w:val="001579C9"/>
    <w:rsid w:val="001579D9"/>
    <w:rsid w:val="00157A63"/>
    <w:rsid w:val="00157B19"/>
    <w:rsid w:val="00157C03"/>
    <w:rsid w:val="00157D08"/>
    <w:rsid w:val="00157D20"/>
    <w:rsid w:val="0016002C"/>
    <w:rsid w:val="001600B9"/>
    <w:rsid w:val="001601C7"/>
    <w:rsid w:val="001601F3"/>
    <w:rsid w:val="001603EF"/>
    <w:rsid w:val="00160443"/>
    <w:rsid w:val="001605ED"/>
    <w:rsid w:val="00160614"/>
    <w:rsid w:val="0016064D"/>
    <w:rsid w:val="001606FE"/>
    <w:rsid w:val="0016091D"/>
    <w:rsid w:val="001609A2"/>
    <w:rsid w:val="00160A73"/>
    <w:rsid w:val="00160AAF"/>
    <w:rsid w:val="00160B4F"/>
    <w:rsid w:val="00160D6E"/>
    <w:rsid w:val="00160DD2"/>
    <w:rsid w:val="00160F49"/>
    <w:rsid w:val="00160FFC"/>
    <w:rsid w:val="0016130F"/>
    <w:rsid w:val="00161311"/>
    <w:rsid w:val="00161318"/>
    <w:rsid w:val="00161449"/>
    <w:rsid w:val="001614AA"/>
    <w:rsid w:val="0016161E"/>
    <w:rsid w:val="0016191A"/>
    <w:rsid w:val="00161A5C"/>
    <w:rsid w:val="00161B08"/>
    <w:rsid w:val="00161DA8"/>
    <w:rsid w:val="00161E0C"/>
    <w:rsid w:val="00161F5E"/>
    <w:rsid w:val="00162136"/>
    <w:rsid w:val="00162282"/>
    <w:rsid w:val="00162348"/>
    <w:rsid w:val="00162681"/>
    <w:rsid w:val="001627DC"/>
    <w:rsid w:val="00162B3E"/>
    <w:rsid w:val="00162BC0"/>
    <w:rsid w:val="00162E7A"/>
    <w:rsid w:val="001631B8"/>
    <w:rsid w:val="001632D8"/>
    <w:rsid w:val="001633D0"/>
    <w:rsid w:val="001634F9"/>
    <w:rsid w:val="001636B6"/>
    <w:rsid w:val="001636D8"/>
    <w:rsid w:val="0016376B"/>
    <w:rsid w:val="001638DC"/>
    <w:rsid w:val="00163932"/>
    <w:rsid w:val="001639ED"/>
    <w:rsid w:val="00163A46"/>
    <w:rsid w:val="00163A9D"/>
    <w:rsid w:val="00163AAF"/>
    <w:rsid w:val="00163BD5"/>
    <w:rsid w:val="00163C01"/>
    <w:rsid w:val="00163C44"/>
    <w:rsid w:val="00163CDD"/>
    <w:rsid w:val="00163D1A"/>
    <w:rsid w:val="00163DF5"/>
    <w:rsid w:val="00163E14"/>
    <w:rsid w:val="00164075"/>
    <w:rsid w:val="001640BC"/>
    <w:rsid w:val="0016415D"/>
    <w:rsid w:val="00164380"/>
    <w:rsid w:val="00164469"/>
    <w:rsid w:val="001644EF"/>
    <w:rsid w:val="001645A6"/>
    <w:rsid w:val="001645B0"/>
    <w:rsid w:val="00164612"/>
    <w:rsid w:val="001646F7"/>
    <w:rsid w:val="001646FC"/>
    <w:rsid w:val="001647D5"/>
    <w:rsid w:val="001648E7"/>
    <w:rsid w:val="001649B4"/>
    <w:rsid w:val="00164E83"/>
    <w:rsid w:val="00164F8F"/>
    <w:rsid w:val="0016500D"/>
    <w:rsid w:val="001651BD"/>
    <w:rsid w:val="00165263"/>
    <w:rsid w:val="00165419"/>
    <w:rsid w:val="00165421"/>
    <w:rsid w:val="001654D3"/>
    <w:rsid w:val="00165566"/>
    <w:rsid w:val="00165591"/>
    <w:rsid w:val="00165694"/>
    <w:rsid w:val="001657E7"/>
    <w:rsid w:val="00165A60"/>
    <w:rsid w:val="00165D3C"/>
    <w:rsid w:val="00165DBE"/>
    <w:rsid w:val="00165E84"/>
    <w:rsid w:val="00165EDE"/>
    <w:rsid w:val="0016607E"/>
    <w:rsid w:val="00166095"/>
    <w:rsid w:val="001660DD"/>
    <w:rsid w:val="00166100"/>
    <w:rsid w:val="001661BA"/>
    <w:rsid w:val="001661EE"/>
    <w:rsid w:val="0016629B"/>
    <w:rsid w:val="001663E4"/>
    <w:rsid w:val="0016649E"/>
    <w:rsid w:val="0016650F"/>
    <w:rsid w:val="0016679E"/>
    <w:rsid w:val="00166849"/>
    <w:rsid w:val="0016697C"/>
    <w:rsid w:val="00166AFE"/>
    <w:rsid w:val="00166BF7"/>
    <w:rsid w:val="00166CD9"/>
    <w:rsid w:val="00166F42"/>
    <w:rsid w:val="00166FB6"/>
    <w:rsid w:val="0016703B"/>
    <w:rsid w:val="00167347"/>
    <w:rsid w:val="00167416"/>
    <w:rsid w:val="001674A7"/>
    <w:rsid w:val="001675D6"/>
    <w:rsid w:val="0016776A"/>
    <w:rsid w:val="00167865"/>
    <w:rsid w:val="00167A9B"/>
    <w:rsid w:val="00167B57"/>
    <w:rsid w:val="00170180"/>
    <w:rsid w:val="001701A4"/>
    <w:rsid w:val="001701F0"/>
    <w:rsid w:val="001702DB"/>
    <w:rsid w:val="00170311"/>
    <w:rsid w:val="00170429"/>
    <w:rsid w:val="0017042B"/>
    <w:rsid w:val="00170439"/>
    <w:rsid w:val="00170499"/>
    <w:rsid w:val="001704D6"/>
    <w:rsid w:val="0017054F"/>
    <w:rsid w:val="00170555"/>
    <w:rsid w:val="00170621"/>
    <w:rsid w:val="001706A5"/>
    <w:rsid w:val="001707FD"/>
    <w:rsid w:val="00170821"/>
    <w:rsid w:val="00170862"/>
    <w:rsid w:val="0017091C"/>
    <w:rsid w:val="0017098C"/>
    <w:rsid w:val="00170C0F"/>
    <w:rsid w:val="00170C3D"/>
    <w:rsid w:val="00170F2B"/>
    <w:rsid w:val="00170F3B"/>
    <w:rsid w:val="00170FBF"/>
    <w:rsid w:val="00171090"/>
    <w:rsid w:val="001710B9"/>
    <w:rsid w:val="001710FF"/>
    <w:rsid w:val="00171133"/>
    <w:rsid w:val="00171134"/>
    <w:rsid w:val="001713B2"/>
    <w:rsid w:val="00171440"/>
    <w:rsid w:val="001714FB"/>
    <w:rsid w:val="0017150C"/>
    <w:rsid w:val="001717A4"/>
    <w:rsid w:val="0017189B"/>
    <w:rsid w:val="00171A3B"/>
    <w:rsid w:val="00171B4B"/>
    <w:rsid w:val="00171D83"/>
    <w:rsid w:val="00171D8F"/>
    <w:rsid w:val="00171F50"/>
    <w:rsid w:val="00172189"/>
    <w:rsid w:val="001723BC"/>
    <w:rsid w:val="001725A4"/>
    <w:rsid w:val="00172686"/>
    <w:rsid w:val="001726F5"/>
    <w:rsid w:val="001727A6"/>
    <w:rsid w:val="00172855"/>
    <w:rsid w:val="001728A5"/>
    <w:rsid w:val="00172A4B"/>
    <w:rsid w:val="00172A78"/>
    <w:rsid w:val="00172B35"/>
    <w:rsid w:val="00172B4A"/>
    <w:rsid w:val="00172BF2"/>
    <w:rsid w:val="00172EEC"/>
    <w:rsid w:val="00172F00"/>
    <w:rsid w:val="00173001"/>
    <w:rsid w:val="0017305D"/>
    <w:rsid w:val="001730E2"/>
    <w:rsid w:val="0017313C"/>
    <w:rsid w:val="001732E0"/>
    <w:rsid w:val="001732ED"/>
    <w:rsid w:val="001735C6"/>
    <w:rsid w:val="0017376C"/>
    <w:rsid w:val="00173793"/>
    <w:rsid w:val="0017398F"/>
    <w:rsid w:val="00173BE5"/>
    <w:rsid w:val="00173D67"/>
    <w:rsid w:val="00173E12"/>
    <w:rsid w:val="00173E85"/>
    <w:rsid w:val="00173F00"/>
    <w:rsid w:val="00174036"/>
    <w:rsid w:val="001740A4"/>
    <w:rsid w:val="001740E9"/>
    <w:rsid w:val="00174202"/>
    <w:rsid w:val="00174376"/>
    <w:rsid w:val="00174447"/>
    <w:rsid w:val="00174473"/>
    <w:rsid w:val="001744D6"/>
    <w:rsid w:val="0017457F"/>
    <w:rsid w:val="00174868"/>
    <w:rsid w:val="00174DE1"/>
    <w:rsid w:val="00174E50"/>
    <w:rsid w:val="00175004"/>
    <w:rsid w:val="001750A3"/>
    <w:rsid w:val="0017526C"/>
    <w:rsid w:val="00175289"/>
    <w:rsid w:val="001757FE"/>
    <w:rsid w:val="0017594A"/>
    <w:rsid w:val="001759FE"/>
    <w:rsid w:val="00175AF9"/>
    <w:rsid w:val="00175E80"/>
    <w:rsid w:val="00175EF7"/>
    <w:rsid w:val="00176382"/>
    <w:rsid w:val="001763BD"/>
    <w:rsid w:val="00176467"/>
    <w:rsid w:val="001764EE"/>
    <w:rsid w:val="0017658C"/>
    <w:rsid w:val="00176657"/>
    <w:rsid w:val="0017669D"/>
    <w:rsid w:val="001766C8"/>
    <w:rsid w:val="00176751"/>
    <w:rsid w:val="00176889"/>
    <w:rsid w:val="001768DC"/>
    <w:rsid w:val="00176AFC"/>
    <w:rsid w:val="00176B6A"/>
    <w:rsid w:val="00176C67"/>
    <w:rsid w:val="00176EC5"/>
    <w:rsid w:val="00176F05"/>
    <w:rsid w:val="00176F10"/>
    <w:rsid w:val="001771A7"/>
    <w:rsid w:val="001772B6"/>
    <w:rsid w:val="00177498"/>
    <w:rsid w:val="0017753A"/>
    <w:rsid w:val="00177986"/>
    <w:rsid w:val="001779D7"/>
    <w:rsid w:val="00177A53"/>
    <w:rsid w:val="00177AC6"/>
    <w:rsid w:val="00177C11"/>
    <w:rsid w:val="00177D88"/>
    <w:rsid w:val="00177E61"/>
    <w:rsid w:val="00177E7D"/>
    <w:rsid w:val="0018007C"/>
    <w:rsid w:val="0018014C"/>
    <w:rsid w:val="0018018B"/>
    <w:rsid w:val="001801EB"/>
    <w:rsid w:val="001801EF"/>
    <w:rsid w:val="00180206"/>
    <w:rsid w:val="001803DA"/>
    <w:rsid w:val="0018046C"/>
    <w:rsid w:val="00180655"/>
    <w:rsid w:val="00180661"/>
    <w:rsid w:val="001808BA"/>
    <w:rsid w:val="0018094F"/>
    <w:rsid w:val="00180B53"/>
    <w:rsid w:val="00180B79"/>
    <w:rsid w:val="00180E2F"/>
    <w:rsid w:val="00180E95"/>
    <w:rsid w:val="00180FAD"/>
    <w:rsid w:val="00181058"/>
    <w:rsid w:val="00181178"/>
    <w:rsid w:val="00181259"/>
    <w:rsid w:val="001814A2"/>
    <w:rsid w:val="001814FE"/>
    <w:rsid w:val="0018152D"/>
    <w:rsid w:val="001815A3"/>
    <w:rsid w:val="00181655"/>
    <w:rsid w:val="001817A3"/>
    <w:rsid w:val="001818C8"/>
    <w:rsid w:val="00181960"/>
    <w:rsid w:val="00181A1E"/>
    <w:rsid w:val="00181AB6"/>
    <w:rsid w:val="00181CFD"/>
    <w:rsid w:val="00181EA4"/>
    <w:rsid w:val="00182090"/>
    <w:rsid w:val="00182187"/>
    <w:rsid w:val="001821FD"/>
    <w:rsid w:val="001821FE"/>
    <w:rsid w:val="0018237E"/>
    <w:rsid w:val="00182493"/>
    <w:rsid w:val="001825C1"/>
    <w:rsid w:val="00182617"/>
    <w:rsid w:val="00182700"/>
    <w:rsid w:val="001827AA"/>
    <w:rsid w:val="001827E7"/>
    <w:rsid w:val="00182857"/>
    <w:rsid w:val="00182969"/>
    <w:rsid w:val="001829BC"/>
    <w:rsid w:val="00182A08"/>
    <w:rsid w:val="00182A50"/>
    <w:rsid w:val="00182AF8"/>
    <w:rsid w:val="00182B40"/>
    <w:rsid w:val="00182B64"/>
    <w:rsid w:val="00182BE9"/>
    <w:rsid w:val="00182ECA"/>
    <w:rsid w:val="00182ED8"/>
    <w:rsid w:val="0018320F"/>
    <w:rsid w:val="00183341"/>
    <w:rsid w:val="0018354F"/>
    <w:rsid w:val="00183757"/>
    <w:rsid w:val="001839BD"/>
    <w:rsid w:val="00183ADF"/>
    <w:rsid w:val="00183B71"/>
    <w:rsid w:val="00183C99"/>
    <w:rsid w:val="00183E71"/>
    <w:rsid w:val="00183F45"/>
    <w:rsid w:val="00183F62"/>
    <w:rsid w:val="001841D0"/>
    <w:rsid w:val="001844DF"/>
    <w:rsid w:val="001846A2"/>
    <w:rsid w:val="00184786"/>
    <w:rsid w:val="001849D7"/>
    <w:rsid w:val="00184A96"/>
    <w:rsid w:val="00184B62"/>
    <w:rsid w:val="00184CD6"/>
    <w:rsid w:val="00184D63"/>
    <w:rsid w:val="00184F91"/>
    <w:rsid w:val="001850E4"/>
    <w:rsid w:val="001850F0"/>
    <w:rsid w:val="00185189"/>
    <w:rsid w:val="001851CE"/>
    <w:rsid w:val="001852DE"/>
    <w:rsid w:val="00185322"/>
    <w:rsid w:val="00185384"/>
    <w:rsid w:val="00185550"/>
    <w:rsid w:val="001855DB"/>
    <w:rsid w:val="00185615"/>
    <w:rsid w:val="001856BC"/>
    <w:rsid w:val="00185807"/>
    <w:rsid w:val="00185AB0"/>
    <w:rsid w:val="00185BD3"/>
    <w:rsid w:val="00185CC2"/>
    <w:rsid w:val="0018610F"/>
    <w:rsid w:val="00186400"/>
    <w:rsid w:val="00186504"/>
    <w:rsid w:val="0018674B"/>
    <w:rsid w:val="00186753"/>
    <w:rsid w:val="001869FE"/>
    <w:rsid w:val="00186A9A"/>
    <w:rsid w:val="00186B74"/>
    <w:rsid w:val="00186C0F"/>
    <w:rsid w:val="00186DB7"/>
    <w:rsid w:val="00186DD9"/>
    <w:rsid w:val="00186F35"/>
    <w:rsid w:val="00187001"/>
    <w:rsid w:val="00187198"/>
    <w:rsid w:val="001872B1"/>
    <w:rsid w:val="001872EA"/>
    <w:rsid w:val="00187364"/>
    <w:rsid w:val="00187431"/>
    <w:rsid w:val="001876C0"/>
    <w:rsid w:val="001876D4"/>
    <w:rsid w:val="001876E7"/>
    <w:rsid w:val="001877F6"/>
    <w:rsid w:val="00187844"/>
    <w:rsid w:val="00187860"/>
    <w:rsid w:val="00187957"/>
    <w:rsid w:val="00187E77"/>
    <w:rsid w:val="00187F10"/>
    <w:rsid w:val="00187FAB"/>
    <w:rsid w:val="0019001C"/>
    <w:rsid w:val="00190273"/>
    <w:rsid w:val="001902A0"/>
    <w:rsid w:val="0019030D"/>
    <w:rsid w:val="0019050B"/>
    <w:rsid w:val="0019060A"/>
    <w:rsid w:val="00190641"/>
    <w:rsid w:val="00190656"/>
    <w:rsid w:val="0019081C"/>
    <w:rsid w:val="00190899"/>
    <w:rsid w:val="00190B08"/>
    <w:rsid w:val="00190B82"/>
    <w:rsid w:val="00190E94"/>
    <w:rsid w:val="00190F69"/>
    <w:rsid w:val="0019105A"/>
    <w:rsid w:val="0019106B"/>
    <w:rsid w:val="001910DD"/>
    <w:rsid w:val="00191111"/>
    <w:rsid w:val="001911D8"/>
    <w:rsid w:val="0019125D"/>
    <w:rsid w:val="00191296"/>
    <w:rsid w:val="0019138F"/>
    <w:rsid w:val="001913AC"/>
    <w:rsid w:val="001914E6"/>
    <w:rsid w:val="00191572"/>
    <w:rsid w:val="00191597"/>
    <w:rsid w:val="001918BB"/>
    <w:rsid w:val="00191935"/>
    <w:rsid w:val="00191957"/>
    <w:rsid w:val="00191A50"/>
    <w:rsid w:val="00191BC8"/>
    <w:rsid w:val="00191BD5"/>
    <w:rsid w:val="00191E4F"/>
    <w:rsid w:val="00191E7B"/>
    <w:rsid w:val="00191F24"/>
    <w:rsid w:val="0019215E"/>
    <w:rsid w:val="001921E4"/>
    <w:rsid w:val="0019222B"/>
    <w:rsid w:val="001924A2"/>
    <w:rsid w:val="00192D30"/>
    <w:rsid w:val="00192D49"/>
    <w:rsid w:val="00192F0B"/>
    <w:rsid w:val="0019311C"/>
    <w:rsid w:val="00193137"/>
    <w:rsid w:val="00193233"/>
    <w:rsid w:val="00193234"/>
    <w:rsid w:val="0019326E"/>
    <w:rsid w:val="0019331F"/>
    <w:rsid w:val="00193338"/>
    <w:rsid w:val="001934E3"/>
    <w:rsid w:val="001935BC"/>
    <w:rsid w:val="0019380D"/>
    <w:rsid w:val="001939CA"/>
    <w:rsid w:val="001939E2"/>
    <w:rsid w:val="00193A2B"/>
    <w:rsid w:val="00193D2F"/>
    <w:rsid w:val="00193D8E"/>
    <w:rsid w:val="00193DDA"/>
    <w:rsid w:val="00193ED2"/>
    <w:rsid w:val="00193FB2"/>
    <w:rsid w:val="00193FB6"/>
    <w:rsid w:val="00194015"/>
    <w:rsid w:val="00194046"/>
    <w:rsid w:val="00194055"/>
    <w:rsid w:val="001940DD"/>
    <w:rsid w:val="0019422D"/>
    <w:rsid w:val="0019429C"/>
    <w:rsid w:val="001943D1"/>
    <w:rsid w:val="001944DE"/>
    <w:rsid w:val="001947BE"/>
    <w:rsid w:val="00194BE7"/>
    <w:rsid w:val="00194D50"/>
    <w:rsid w:val="00194EC8"/>
    <w:rsid w:val="00195278"/>
    <w:rsid w:val="001953B0"/>
    <w:rsid w:val="001954B1"/>
    <w:rsid w:val="00195575"/>
    <w:rsid w:val="001955FD"/>
    <w:rsid w:val="00195679"/>
    <w:rsid w:val="0019575D"/>
    <w:rsid w:val="001957C9"/>
    <w:rsid w:val="00195C00"/>
    <w:rsid w:val="00195C06"/>
    <w:rsid w:val="00195C27"/>
    <w:rsid w:val="00195C31"/>
    <w:rsid w:val="00195C6C"/>
    <w:rsid w:val="00195D97"/>
    <w:rsid w:val="00195F04"/>
    <w:rsid w:val="00195FB4"/>
    <w:rsid w:val="00196107"/>
    <w:rsid w:val="00196145"/>
    <w:rsid w:val="001961BD"/>
    <w:rsid w:val="00196231"/>
    <w:rsid w:val="00196289"/>
    <w:rsid w:val="001962E1"/>
    <w:rsid w:val="00196304"/>
    <w:rsid w:val="0019633D"/>
    <w:rsid w:val="001966A5"/>
    <w:rsid w:val="0019686F"/>
    <w:rsid w:val="00196933"/>
    <w:rsid w:val="00196B25"/>
    <w:rsid w:val="00196BEC"/>
    <w:rsid w:val="00196C99"/>
    <w:rsid w:val="00196EBD"/>
    <w:rsid w:val="00196F88"/>
    <w:rsid w:val="001973EE"/>
    <w:rsid w:val="00197437"/>
    <w:rsid w:val="00197445"/>
    <w:rsid w:val="001974B1"/>
    <w:rsid w:val="00197502"/>
    <w:rsid w:val="0019753B"/>
    <w:rsid w:val="0019759F"/>
    <w:rsid w:val="001975D8"/>
    <w:rsid w:val="001976C6"/>
    <w:rsid w:val="00197A80"/>
    <w:rsid w:val="00197C03"/>
    <w:rsid w:val="00197C44"/>
    <w:rsid w:val="00197DA9"/>
    <w:rsid w:val="00197E19"/>
    <w:rsid w:val="00197ED6"/>
    <w:rsid w:val="00197F3B"/>
    <w:rsid w:val="001A026F"/>
    <w:rsid w:val="001A03E9"/>
    <w:rsid w:val="001A062A"/>
    <w:rsid w:val="001A0731"/>
    <w:rsid w:val="001A073B"/>
    <w:rsid w:val="001A0817"/>
    <w:rsid w:val="001A08C6"/>
    <w:rsid w:val="001A0B3F"/>
    <w:rsid w:val="001A0BED"/>
    <w:rsid w:val="001A0C53"/>
    <w:rsid w:val="001A0DD4"/>
    <w:rsid w:val="001A0FC1"/>
    <w:rsid w:val="001A118A"/>
    <w:rsid w:val="001A1249"/>
    <w:rsid w:val="001A13C0"/>
    <w:rsid w:val="001A1438"/>
    <w:rsid w:val="001A15E7"/>
    <w:rsid w:val="001A174E"/>
    <w:rsid w:val="001A183E"/>
    <w:rsid w:val="001A18CD"/>
    <w:rsid w:val="001A1934"/>
    <w:rsid w:val="001A1954"/>
    <w:rsid w:val="001A1BD1"/>
    <w:rsid w:val="001A1C66"/>
    <w:rsid w:val="001A1D21"/>
    <w:rsid w:val="001A1F15"/>
    <w:rsid w:val="001A2258"/>
    <w:rsid w:val="001A2279"/>
    <w:rsid w:val="001A2398"/>
    <w:rsid w:val="001A23CC"/>
    <w:rsid w:val="001A2662"/>
    <w:rsid w:val="001A275F"/>
    <w:rsid w:val="001A28CA"/>
    <w:rsid w:val="001A2AF9"/>
    <w:rsid w:val="001A2C6D"/>
    <w:rsid w:val="001A2F28"/>
    <w:rsid w:val="001A302C"/>
    <w:rsid w:val="001A309F"/>
    <w:rsid w:val="001A3232"/>
    <w:rsid w:val="001A38B0"/>
    <w:rsid w:val="001A38B7"/>
    <w:rsid w:val="001A3991"/>
    <w:rsid w:val="001A3B9A"/>
    <w:rsid w:val="001A3DA1"/>
    <w:rsid w:val="001A3DC9"/>
    <w:rsid w:val="001A3F24"/>
    <w:rsid w:val="001A4008"/>
    <w:rsid w:val="001A410D"/>
    <w:rsid w:val="001A43C4"/>
    <w:rsid w:val="001A450D"/>
    <w:rsid w:val="001A4668"/>
    <w:rsid w:val="001A4696"/>
    <w:rsid w:val="001A4881"/>
    <w:rsid w:val="001A4933"/>
    <w:rsid w:val="001A49A7"/>
    <w:rsid w:val="001A4B2E"/>
    <w:rsid w:val="001A4C5C"/>
    <w:rsid w:val="001A4F73"/>
    <w:rsid w:val="001A5017"/>
    <w:rsid w:val="001A50E9"/>
    <w:rsid w:val="001A5138"/>
    <w:rsid w:val="001A5161"/>
    <w:rsid w:val="001A519A"/>
    <w:rsid w:val="001A51AB"/>
    <w:rsid w:val="001A5273"/>
    <w:rsid w:val="001A553D"/>
    <w:rsid w:val="001A5549"/>
    <w:rsid w:val="001A5909"/>
    <w:rsid w:val="001A5938"/>
    <w:rsid w:val="001A5A2A"/>
    <w:rsid w:val="001A5C3C"/>
    <w:rsid w:val="001A5C63"/>
    <w:rsid w:val="001A5D0F"/>
    <w:rsid w:val="001A5E62"/>
    <w:rsid w:val="001A5E8C"/>
    <w:rsid w:val="001A5FCA"/>
    <w:rsid w:val="001A5FCC"/>
    <w:rsid w:val="001A6126"/>
    <w:rsid w:val="001A61BD"/>
    <w:rsid w:val="001A61D2"/>
    <w:rsid w:val="001A62B3"/>
    <w:rsid w:val="001A6534"/>
    <w:rsid w:val="001A666C"/>
    <w:rsid w:val="001A66A4"/>
    <w:rsid w:val="001A66E7"/>
    <w:rsid w:val="001A6720"/>
    <w:rsid w:val="001A6885"/>
    <w:rsid w:val="001A6964"/>
    <w:rsid w:val="001A6978"/>
    <w:rsid w:val="001A698F"/>
    <w:rsid w:val="001A6A03"/>
    <w:rsid w:val="001A6A6E"/>
    <w:rsid w:val="001A6ADE"/>
    <w:rsid w:val="001A6AE2"/>
    <w:rsid w:val="001A6BDE"/>
    <w:rsid w:val="001A6C7C"/>
    <w:rsid w:val="001A6CF4"/>
    <w:rsid w:val="001A6FE8"/>
    <w:rsid w:val="001A70CB"/>
    <w:rsid w:val="001A714A"/>
    <w:rsid w:val="001A71ED"/>
    <w:rsid w:val="001A724D"/>
    <w:rsid w:val="001A732F"/>
    <w:rsid w:val="001A733A"/>
    <w:rsid w:val="001A7422"/>
    <w:rsid w:val="001A74B0"/>
    <w:rsid w:val="001A74EF"/>
    <w:rsid w:val="001A75C4"/>
    <w:rsid w:val="001A761D"/>
    <w:rsid w:val="001A776E"/>
    <w:rsid w:val="001A78B4"/>
    <w:rsid w:val="001A7999"/>
    <w:rsid w:val="001A7A0E"/>
    <w:rsid w:val="001A7AB4"/>
    <w:rsid w:val="001A7C55"/>
    <w:rsid w:val="001A7CD9"/>
    <w:rsid w:val="001A7D52"/>
    <w:rsid w:val="001A7F90"/>
    <w:rsid w:val="001B003E"/>
    <w:rsid w:val="001B00A7"/>
    <w:rsid w:val="001B02E2"/>
    <w:rsid w:val="001B0451"/>
    <w:rsid w:val="001B04BC"/>
    <w:rsid w:val="001B06C9"/>
    <w:rsid w:val="001B0705"/>
    <w:rsid w:val="001B075D"/>
    <w:rsid w:val="001B07B6"/>
    <w:rsid w:val="001B07C9"/>
    <w:rsid w:val="001B07FA"/>
    <w:rsid w:val="001B09C4"/>
    <w:rsid w:val="001B0BEF"/>
    <w:rsid w:val="001B0C7D"/>
    <w:rsid w:val="001B0F77"/>
    <w:rsid w:val="001B0FCB"/>
    <w:rsid w:val="001B1042"/>
    <w:rsid w:val="001B11D8"/>
    <w:rsid w:val="001B1210"/>
    <w:rsid w:val="001B123C"/>
    <w:rsid w:val="001B13FC"/>
    <w:rsid w:val="001B15F3"/>
    <w:rsid w:val="001B161E"/>
    <w:rsid w:val="001B1724"/>
    <w:rsid w:val="001B183A"/>
    <w:rsid w:val="001B19C6"/>
    <w:rsid w:val="001B19D8"/>
    <w:rsid w:val="001B1BD0"/>
    <w:rsid w:val="001B1C78"/>
    <w:rsid w:val="001B1E03"/>
    <w:rsid w:val="001B1EC1"/>
    <w:rsid w:val="001B1FDF"/>
    <w:rsid w:val="001B2078"/>
    <w:rsid w:val="001B2359"/>
    <w:rsid w:val="001B241F"/>
    <w:rsid w:val="001B262B"/>
    <w:rsid w:val="001B27F8"/>
    <w:rsid w:val="001B2837"/>
    <w:rsid w:val="001B28FF"/>
    <w:rsid w:val="001B2905"/>
    <w:rsid w:val="001B2A1C"/>
    <w:rsid w:val="001B2B04"/>
    <w:rsid w:val="001B2C47"/>
    <w:rsid w:val="001B2CA6"/>
    <w:rsid w:val="001B307A"/>
    <w:rsid w:val="001B34ED"/>
    <w:rsid w:val="001B3527"/>
    <w:rsid w:val="001B35A1"/>
    <w:rsid w:val="001B3620"/>
    <w:rsid w:val="001B363C"/>
    <w:rsid w:val="001B36A5"/>
    <w:rsid w:val="001B371B"/>
    <w:rsid w:val="001B3784"/>
    <w:rsid w:val="001B37D9"/>
    <w:rsid w:val="001B3AB1"/>
    <w:rsid w:val="001B3AE9"/>
    <w:rsid w:val="001B3C32"/>
    <w:rsid w:val="001B42D7"/>
    <w:rsid w:val="001B4328"/>
    <w:rsid w:val="001B4332"/>
    <w:rsid w:val="001B43A6"/>
    <w:rsid w:val="001B43E6"/>
    <w:rsid w:val="001B451F"/>
    <w:rsid w:val="001B4557"/>
    <w:rsid w:val="001B45A8"/>
    <w:rsid w:val="001B474F"/>
    <w:rsid w:val="001B4837"/>
    <w:rsid w:val="001B483D"/>
    <w:rsid w:val="001B491D"/>
    <w:rsid w:val="001B4957"/>
    <w:rsid w:val="001B497A"/>
    <w:rsid w:val="001B49B8"/>
    <w:rsid w:val="001B4B0A"/>
    <w:rsid w:val="001B4B45"/>
    <w:rsid w:val="001B4BCF"/>
    <w:rsid w:val="001B4DDB"/>
    <w:rsid w:val="001B4E2B"/>
    <w:rsid w:val="001B4E7B"/>
    <w:rsid w:val="001B4E96"/>
    <w:rsid w:val="001B51C4"/>
    <w:rsid w:val="001B534F"/>
    <w:rsid w:val="001B5423"/>
    <w:rsid w:val="001B546F"/>
    <w:rsid w:val="001B573F"/>
    <w:rsid w:val="001B5790"/>
    <w:rsid w:val="001B5943"/>
    <w:rsid w:val="001B5999"/>
    <w:rsid w:val="001B5A09"/>
    <w:rsid w:val="001B5A6E"/>
    <w:rsid w:val="001B5D1F"/>
    <w:rsid w:val="001B5DA0"/>
    <w:rsid w:val="001B5DAC"/>
    <w:rsid w:val="001B5FA0"/>
    <w:rsid w:val="001B63E6"/>
    <w:rsid w:val="001B6509"/>
    <w:rsid w:val="001B65A1"/>
    <w:rsid w:val="001B6628"/>
    <w:rsid w:val="001B6632"/>
    <w:rsid w:val="001B67FB"/>
    <w:rsid w:val="001B680F"/>
    <w:rsid w:val="001B685E"/>
    <w:rsid w:val="001B698B"/>
    <w:rsid w:val="001B6AB2"/>
    <w:rsid w:val="001B6ADC"/>
    <w:rsid w:val="001B6B90"/>
    <w:rsid w:val="001B6CE2"/>
    <w:rsid w:val="001B6E54"/>
    <w:rsid w:val="001B6F18"/>
    <w:rsid w:val="001B7009"/>
    <w:rsid w:val="001B70E9"/>
    <w:rsid w:val="001B71A5"/>
    <w:rsid w:val="001B7241"/>
    <w:rsid w:val="001B72BC"/>
    <w:rsid w:val="001B73FC"/>
    <w:rsid w:val="001B77CB"/>
    <w:rsid w:val="001B7927"/>
    <w:rsid w:val="001B7A2B"/>
    <w:rsid w:val="001B7A62"/>
    <w:rsid w:val="001B7B3A"/>
    <w:rsid w:val="001B7B79"/>
    <w:rsid w:val="001B7C93"/>
    <w:rsid w:val="001B7D3B"/>
    <w:rsid w:val="001B7EA1"/>
    <w:rsid w:val="001B7EE3"/>
    <w:rsid w:val="001B7F4B"/>
    <w:rsid w:val="001B7FAA"/>
    <w:rsid w:val="001C0064"/>
    <w:rsid w:val="001C0195"/>
    <w:rsid w:val="001C029E"/>
    <w:rsid w:val="001C0405"/>
    <w:rsid w:val="001C084B"/>
    <w:rsid w:val="001C08FC"/>
    <w:rsid w:val="001C093D"/>
    <w:rsid w:val="001C0A8C"/>
    <w:rsid w:val="001C0AAF"/>
    <w:rsid w:val="001C0AF3"/>
    <w:rsid w:val="001C0B12"/>
    <w:rsid w:val="001C0B19"/>
    <w:rsid w:val="001C0C01"/>
    <w:rsid w:val="001C0C53"/>
    <w:rsid w:val="001C0D33"/>
    <w:rsid w:val="001C0DA5"/>
    <w:rsid w:val="001C0E32"/>
    <w:rsid w:val="001C104B"/>
    <w:rsid w:val="001C109E"/>
    <w:rsid w:val="001C12FB"/>
    <w:rsid w:val="001C1505"/>
    <w:rsid w:val="001C1786"/>
    <w:rsid w:val="001C1825"/>
    <w:rsid w:val="001C1846"/>
    <w:rsid w:val="001C18D1"/>
    <w:rsid w:val="001C1B62"/>
    <w:rsid w:val="001C1C09"/>
    <w:rsid w:val="001C1DA4"/>
    <w:rsid w:val="001C1DB5"/>
    <w:rsid w:val="001C1E3A"/>
    <w:rsid w:val="001C1ECE"/>
    <w:rsid w:val="001C1FA1"/>
    <w:rsid w:val="001C21D5"/>
    <w:rsid w:val="001C23B1"/>
    <w:rsid w:val="001C23C3"/>
    <w:rsid w:val="001C29A7"/>
    <w:rsid w:val="001C29F1"/>
    <w:rsid w:val="001C2A97"/>
    <w:rsid w:val="001C2C28"/>
    <w:rsid w:val="001C2C7C"/>
    <w:rsid w:val="001C2CEE"/>
    <w:rsid w:val="001C2EAE"/>
    <w:rsid w:val="001C30CA"/>
    <w:rsid w:val="001C32CC"/>
    <w:rsid w:val="001C33E6"/>
    <w:rsid w:val="001C3633"/>
    <w:rsid w:val="001C36BC"/>
    <w:rsid w:val="001C36ED"/>
    <w:rsid w:val="001C39BA"/>
    <w:rsid w:val="001C3AB8"/>
    <w:rsid w:val="001C3AE5"/>
    <w:rsid w:val="001C3B3A"/>
    <w:rsid w:val="001C3B9E"/>
    <w:rsid w:val="001C3BD5"/>
    <w:rsid w:val="001C3C42"/>
    <w:rsid w:val="001C3D7C"/>
    <w:rsid w:val="001C3E92"/>
    <w:rsid w:val="001C3F36"/>
    <w:rsid w:val="001C3F92"/>
    <w:rsid w:val="001C40A1"/>
    <w:rsid w:val="001C40A2"/>
    <w:rsid w:val="001C41A3"/>
    <w:rsid w:val="001C4220"/>
    <w:rsid w:val="001C43BC"/>
    <w:rsid w:val="001C45FB"/>
    <w:rsid w:val="001C4617"/>
    <w:rsid w:val="001C4683"/>
    <w:rsid w:val="001C485B"/>
    <w:rsid w:val="001C4946"/>
    <w:rsid w:val="001C4AD7"/>
    <w:rsid w:val="001C4B32"/>
    <w:rsid w:val="001C4BD9"/>
    <w:rsid w:val="001C4D62"/>
    <w:rsid w:val="001C4F7D"/>
    <w:rsid w:val="001C501D"/>
    <w:rsid w:val="001C5037"/>
    <w:rsid w:val="001C5079"/>
    <w:rsid w:val="001C50AD"/>
    <w:rsid w:val="001C53A9"/>
    <w:rsid w:val="001C544B"/>
    <w:rsid w:val="001C54F3"/>
    <w:rsid w:val="001C556F"/>
    <w:rsid w:val="001C55C7"/>
    <w:rsid w:val="001C5797"/>
    <w:rsid w:val="001C583E"/>
    <w:rsid w:val="001C591C"/>
    <w:rsid w:val="001C5A60"/>
    <w:rsid w:val="001C5AD8"/>
    <w:rsid w:val="001C5B1E"/>
    <w:rsid w:val="001C5B7E"/>
    <w:rsid w:val="001C5C4C"/>
    <w:rsid w:val="001C5E41"/>
    <w:rsid w:val="001C5EBA"/>
    <w:rsid w:val="001C5ECA"/>
    <w:rsid w:val="001C5EEC"/>
    <w:rsid w:val="001C5EEF"/>
    <w:rsid w:val="001C5F5D"/>
    <w:rsid w:val="001C6011"/>
    <w:rsid w:val="001C60ED"/>
    <w:rsid w:val="001C6108"/>
    <w:rsid w:val="001C6420"/>
    <w:rsid w:val="001C65A0"/>
    <w:rsid w:val="001C675F"/>
    <w:rsid w:val="001C6BFB"/>
    <w:rsid w:val="001C6CF6"/>
    <w:rsid w:val="001C6DFE"/>
    <w:rsid w:val="001C6FE4"/>
    <w:rsid w:val="001C7083"/>
    <w:rsid w:val="001C70AC"/>
    <w:rsid w:val="001C71A7"/>
    <w:rsid w:val="001C7428"/>
    <w:rsid w:val="001C7570"/>
    <w:rsid w:val="001C7621"/>
    <w:rsid w:val="001C7679"/>
    <w:rsid w:val="001C7776"/>
    <w:rsid w:val="001C781F"/>
    <w:rsid w:val="001C7D32"/>
    <w:rsid w:val="001C7DD1"/>
    <w:rsid w:val="001D00BD"/>
    <w:rsid w:val="001D02BC"/>
    <w:rsid w:val="001D02C6"/>
    <w:rsid w:val="001D030B"/>
    <w:rsid w:val="001D05E0"/>
    <w:rsid w:val="001D0995"/>
    <w:rsid w:val="001D099A"/>
    <w:rsid w:val="001D09A4"/>
    <w:rsid w:val="001D0B4F"/>
    <w:rsid w:val="001D0BAF"/>
    <w:rsid w:val="001D0BC3"/>
    <w:rsid w:val="001D0C72"/>
    <w:rsid w:val="001D0C7A"/>
    <w:rsid w:val="001D0DF5"/>
    <w:rsid w:val="001D0E24"/>
    <w:rsid w:val="001D105F"/>
    <w:rsid w:val="001D1183"/>
    <w:rsid w:val="001D150F"/>
    <w:rsid w:val="001D154D"/>
    <w:rsid w:val="001D1622"/>
    <w:rsid w:val="001D168A"/>
    <w:rsid w:val="001D1746"/>
    <w:rsid w:val="001D174F"/>
    <w:rsid w:val="001D1CCF"/>
    <w:rsid w:val="001D1D83"/>
    <w:rsid w:val="001D1EDF"/>
    <w:rsid w:val="001D208D"/>
    <w:rsid w:val="001D20B8"/>
    <w:rsid w:val="001D234A"/>
    <w:rsid w:val="001D23F9"/>
    <w:rsid w:val="001D2538"/>
    <w:rsid w:val="001D257E"/>
    <w:rsid w:val="001D2662"/>
    <w:rsid w:val="001D26D7"/>
    <w:rsid w:val="001D2A44"/>
    <w:rsid w:val="001D2C91"/>
    <w:rsid w:val="001D2EE9"/>
    <w:rsid w:val="001D2EFA"/>
    <w:rsid w:val="001D2F25"/>
    <w:rsid w:val="001D2FBF"/>
    <w:rsid w:val="001D30C1"/>
    <w:rsid w:val="001D31AC"/>
    <w:rsid w:val="001D323C"/>
    <w:rsid w:val="001D3303"/>
    <w:rsid w:val="001D3305"/>
    <w:rsid w:val="001D344A"/>
    <w:rsid w:val="001D357C"/>
    <w:rsid w:val="001D37C5"/>
    <w:rsid w:val="001D3A08"/>
    <w:rsid w:val="001D3A93"/>
    <w:rsid w:val="001D3BBA"/>
    <w:rsid w:val="001D3C0B"/>
    <w:rsid w:val="001D3D4C"/>
    <w:rsid w:val="001D3D4E"/>
    <w:rsid w:val="001D3D5B"/>
    <w:rsid w:val="001D3E44"/>
    <w:rsid w:val="001D3EB1"/>
    <w:rsid w:val="001D3F34"/>
    <w:rsid w:val="001D3F86"/>
    <w:rsid w:val="001D41B3"/>
    <w:rsid w:val="001D4245"/>
    <w:rsid w:val="001D428C"/>
    <w:rsid w:val="001D44BE"/>
    <w:rsid w:val="001D451C"/>
    <w:rsid w:val="001D4621"/>
    <w:rsid w:val="001D47A4"/>
    <w:rsid w:val="001D4860"/>
    <w:rsid w:val="001D48AA"/>
    <w:rsid w:val="001D4939"/>
    <w:rsid w:val="001D4C00"/>
    <w:rsid w:val="001D4C6D"/>
    <w:rsid w:val="001D4CC8"/>
    <w:rsid w:val="001D4CF3"/>
    <w:rsid w:val="001D4E78"/>
    <w:rsid w:val="001D4F87"/>
    <w:rsid w:val="001D4FAF"/>
    <w:rsid w:val="001D505B"/>
    <w:rsid w:val="001D50B4"/>
    <w:rsid w:val="001D5131"/>
    <w:rsid w:val="001D531A"/>
    <w:rsid w:val="001D5370"/>
    <w:rsid w:val="001D5375"/>
    <w:rsid w:val="001D5444"/>
    <w:rsid w:val="001D544E"/>
    <w:rsid w:val="001D549C"/>
    <w:rsid w:val="001D54C7"/>
    <w:rsid w:val="001D5562"/>
    <w:rsid w:val="001D55C7"/>
    <w:rsid w:val="001D5753"/>
    <w:rsid w:val="001D5761"/>
    <w:rsid w:val="001D57B3"/>
    <w:rsid w:val="001D5815"/>
    <w:rsid w:val="001D5867"/>
    <w:rsid w:val="001D5964"/>
    <w:rsid w:val="001D5A21"/>
    <w:rsid w:val="001D5A6E"/>
    <w:rsid w:val="001D5B71"/>
    <w:rsid w:val="001D5B78"/>
    <w:rsid w:val="001D5E79"/>
    <w:rsid w:val="001D5ED0"/>
    <w:rsid w:val="001D5FB4"/>
    <w:rsid w:val="001D612F"/>
    <w:rsid w:val="001D615B"/>
    <w:rsid w:val="001D62F9"/>
    <w:rsid w:val="001D6345"/>
    <w:rsid w:val="001D63EA"/>
    <w:rsid w:val="001D6509"/>
    <w:rsid w:val="001D653D"/>
    <w:rsid w:val="001D682F"/>
    <w:rsid w:val="001D68CB"/>
    <w:rsid w:val="001D7039"/>
    <w:rsid w:val="001D7080"/>
    <w:rsid w:val="001D70BC"/>
    <w:rsid w:val="001D70D7"/>
    <w:rsid w:val="001D7186"/>
    <w:rsid w:val="001D71DB"/>
    <w:rsid w:val="001D7204"/>
    <w:rsid w:val="001D731E"/>
    <w:rsid w:val="001D74DE"/>
    <w:rsid w:val="001D7599"/>
    <w:rsid w:val="001D7612"/>
    <w:rsid w:val="001D77A1"/>
    <w:rsid w:val="001D77FE"/>
    <w:rsid w:val="001D7818"/>
    <w:rsid w:val="001D782B"/>
    <w:rsid w:val="001D7886"/>
    <w:rsid w:val="001D78D3"/>
    <w:rsid w:val="001D7B31"/>
    <w:rsid w:val="001D7CA5"/>
    <w:rsid w:val="001D7DC3"/>
    <w:rsid w:val="001D7DF3"/>
    <w:rsid w:val="001E00F1"/>
    <w:rsid w:val="001E0116"/>
    <w:rsid w:val="001E02DB"/>
    <w:rsid w:val="001E02EA"/>
    <w:rsid w:val="001E037A"/>
    <w:rsid w:val="001E04AA"/>
    <w:rsid w:val="001E05B2"/>
    <w:rsid w:val="001E063D"/>
    <w:rsid w:val="001E0661"/>
    <w:rsid w:val="001E07A8"/>
    <w:rsid w:val="001E0817"/>
    <w:rsid w:val="001E083D"/>
    <w:rsid w:val="001E087A"/>
    <w:rsid w:val="001E0B96"/>
    <w:rsid w:val="001E0DE0"/>
    <w:rsid w:val="001E0F07"/>
    <w:rsid w:val="001E101E"/>
    <w:rsid w:val="001E131A"/>
    <w:rsid w:val="001E13A9"/>
    <w:rsid w:val="001E13D9"/>
    <w:rsid w:val="001E13FB"/>
    <w:rsid w:val="001E1432"/>
    <w:rsid w:val="001E14D9"/>
    <w:rsid w:val="001E154F"/>
    <w:rsid w:val="001E15F4"/>
    <w:rsid w:val="001E15FE"/>
    <w:rsid w:val="001E160B"/>
    <w:rsid w:val="001E1610"/>
    <w:rsid w:val="001E17FF"/>
    <w:rsid w:val="001E189D"/>
    <w:rsid w:val="001E1B63"/>
    <w:rsid w:val="001E1C6E"/>
    <w:rsid w:val="001E1C97"/>
    <w:rsid w:val="001E1F43"/>
    <w:rsid w:val="001E2411"/>
    <w:rsid w:val="001E2508"/>
    <w:rsid w:val="001E2551"/>
    <w:rsid w:val="001E2581"/>
    <w:rsid w:val="001E2897"/>
    <w:rsid w:val="001E28A2"/>
    <w:rsid w:val="001E28ED"/>
    <w:rsid w:val="001E2A75"/>
    <w:rsid w:val="001E2BF8"/>
    <w:rsid w:val="001E2CA4"/>
    <w:rsid w:val="001E2ED1"/>
    <w:rsid w:val="001E2FB8"/>
    <w:rsid w:val="001E2FC1"/>
    <w:rsid w:val="001E3174"/>
    <w:rsid w:val="001E319B"/>
    <w:rsid w:val="001E31AD"/>
    <w:rsid w:val="001E36AC"/>
    <w:rsid w:val="001E3755"/>
    <w:rsid w:val="001E3785"/>
    <w:rsid w:val="001E39A8"/>
    <w:rsid w:val="001E39C5"/>
    <w:rsid w:val="001E3B3F"/>
    <w:rsid w:val="001E3C41"/>
    <w:rsid w:val="001E3D01"/>
    <w:rsid w:val="001E3D41"/>
    <w:rsid w:val="001E3D8E"/>
    <w:rsid w:val="001E3F19"/>
    <w:rsid w:val="001E3F62"/>
    <w:rsid w:val="001E40E2"/>
    <w:rsid w:val="001E4126"/>
    <w:rsid w:val="001E419F"/>
    <w:rsid w:val="001E4264"/>
    <w:rsid w:val="001E4284"/>
    <w:rsid w:val="001E436B"/>
    <w:rsid w:val="001E43BF"/>
    <w:rsid w:val="001E4641"/>
    <w:rsid w:val="001E486F"/>
    <w:rsid w:val="001E48BD"/>
    <w:rsid w:val="001E4B52"/>
    <w:rsid w:val="001E4C2A"/>
    <w:rsid w:val="001E4C96"/>
    <w:rsid w:val="001E4E2F"/>
    <w:rsid w:val="001E4E5D"/>
    <w:rsid w:val="001E4EB7"/>
    <w:rsid w:val="001E4EE6"/>
    <w:rsid w:val="001E506D"/>
    <w:rsid w:val="001E511B"/>
    <w:rsid w:val="001E51D5"/>
    <w:rsid w:val="001E52DF"/>
    <w:rsid w:val="001E5604"/>
    <w:rsid w:val="001E573F"/>
    <w:rsid w:val="001E5770"/>
    <w:rsid w:val="001E5B82"/>
    <w:rsid w:val="001E5CBD"/>
    <w:rsid w:val="001E5D0C"/>
    <w:rsid w:val="001E5D43"/>
    <w:rsid w:val="001E5D6B"/>
    <w:rsid w:val="001E5EB6"/>
    <w:rsid w:val="001E5F63"/>
    <w:rsid w:val="001E5F96"/>
    <w:rsid w:val="001E60DB"/>
    <w:rsid w:val="001E6107"/>
    <w:rsid w:val="001E62D8"/>
    <w:rsid w:val="001E63A5"/>
    <w:rsid w:val="001E63D4"/>
    <w:rsid w:val="001E6410"/>
    <w:rsid w:val="001E645F"/>
    <w:rsid w:val="001E650B"/>
    <w:rsid w:val="001E654D"/>
    <w:rsid w:val="001E6620"/>
    <w:rsid w:val="001E672F"/>
    <w:rsid w:val="001E6915"/>
    <w:rsid w:val="001E6A71"/>
    <w:rsid w:val="001E6BE8"/>
    <w:rsid w:val="001E6C07"/>
    <w:rsid w:val="001E70C6"/>
    <w:rsid w:val="001E7310"/>
    <w:rsid w:val="001E741D"/>
    <w:rsid w:val="001E7524"/>
    <w:rsid w:val="001E75B2"/>
    <w:rsid w:val="001E7606"/>
    <w:rsid w:val="001E7656"/>
    <w:rsid w:val="001E76FB"/>
    <w:rsid w:val="001E78A1"/>
    <w:rsid w:val="001E7A23"/>
    <w:rsid w:val="001E7C07"/>
    <w:rsid w:val="001E7C3A"/>
    <w:rsid w:val="001E7D66"/>
    <w:rsid w:val="001E7ED4"/>
    <w:rsid w:val="001E7EEE"/>
    <w:rsid w:val="001F01F0"/>
    <w:rsid w:val="001F02A9"/>
    <w:rsid w:val="001F03BA"/>
    <w:rsid w:val="001F06B8"/>
    <w:rsid w:val="001F0764"/>
    <w:rsid w:val="001F078C"/>
    <w:rsid w:val="001F08A9"/>
    <w:rsid w:val="001F0BE2"/>
    <w:rsid w:val="001F0C31"/>
    <w:rsid w:val="001F0DE3"/>
    <w:rsid w:val="001F10AB"/>
    <w:rsid w:val="001F1191"/>
    <w:rsid w:val="001F1196"/>
    <w:rsid w:val="001F1411"/>
    <w:rsid w:val="001F142E"/>
    <w:rsid w:val="001F153D"/>
    <w:rsid w:val="001F15EA"/>
    <w:rsid w:val="001F17E0"/>
    <w:rsid w:val="001F1ADB"/>
    <w:rsid w:val="001F1B00"/>
    <w:rsid w:val="001F1BA6"/>
    <w:rsid w:val="001F1C56"/>
    <w:rsid w:val="001F1D6E"/>
    <w:rsid w:val="001F1DE4"/>
    <w:rsid w:val="001F1E75"/>
    <w:rsid w:val="001F1ECF"/>
    <w:rsid w:val="001F1F7F"/>
    <w:rsid w:val="001F1FFD"/>
    <w:rsid w:val="001F201E"/>
    <w:rsid w:val="001F202B"/>
    <w:rsid w:val="001F209D"/>
    <w:rsid w:val="001F23E3"/>
    <w:rsid w:val="001F24F8"/>
    <w:rsid w:val="001F2A93"/>
    <w:rsid w:val="001F3142"/>
    <w:rsid w:val="001F34FC"/>
    <w:rsid w:val="001F355B"/>
    <w:rsid w:val="001F37FB"/>
    <w:rsid w:val="001F3860"/>
    <w:rsid w:val="001F3877"/>
    <w:rsid w:val="001F3907"/>
    <w:rsid w:val="001F3C28"/>
    <w:rsid w:val="001F3D61"/>
    <w:rsid w:val="001F3DC5"/>
    <w:rsid w:val="001F3DF0"/>
    <w:rsid w:val="001F4230"/>
    <w:rsid w:val="001F43EF"/>
    <w:rsid w:val="001F4504"/>
    <w:rsid w:val="001F4549"/>
    <w:rsid w:val="001F4902"/>
    <w:rsid w:val="001F491D"/>
    <w:rsid w:val="001F4AB3"/>
    <w:rsid w:val="001F4AB6"/>
    <w:rsid w:val="001F4C01"/>
    <w:rsid w:val="001F4CA0"/>
    <w:rsid w:val="001F4CA2"/>
    <w:rsid w:val="001F4CC7"/>
    <w:rsid w:val="001F4D5B"/>
    <w:rsid w:val="001F4E8E"/>
    <w:rsid w:val="001F5079"/>
    <w:rsid w:val="001F5095"/>
    <w:rsid w:val="001F511D"/>
    <w:rsid w:val="001F5183"/>
    <w:rsid w:val="001F51E9"/>
    <w:rsid w:val="001F51F9"/>
    <w:rsid w:val="001F52CC"/>
    <w:rsid w:val="001F53AE"/>
    <w:rsid w:val="001F53CE"/>
    <w:rsid w:val="001F5495"/>
    <w:rsid w:val="001F5559"/>
    <w:rsid w:val="001F5606"/>
    <w:rsid w:val="001F576A"/>
    <w:rsid w:val="001F593B"/>
    <w:rsid w:val="001F5AFB"/>
    <w:rsid w:val="001F5BA2"/>
    <w:rsid w:val="001F5BA8"/>
    <w:rsid w:val="001F5D25"/>
    <w:rsid w:val="001F5D6D"/>
    <w:rsid w:val="001F5DC1"/>
    <w:rsid w:val="001F5E28"/>
    <w:rsid w:val="001F5E71"/>
    <w:rsid w:val="001F5F57"/>
    <w:rsid w:val="001F5F76"/>
    <w:rsid w:val="001F606F"/>
    <w:rsid w:val="001F61EB"/>
    <w:rsid w:val="001F6248"/>
    <w:rsid w:val="001F63CD"/>
    <w:rsid w:val="001F654A"/>
    <w:rsid w:val="001F6581"/>
    <w:rsid w:val="001F6608"/>
    <w:rsid w:val="001F68B1"/>
    <w:rsid w:val="001F692A"/>
    <w:rsid w:val="001F6AC5"/>
    <w:rsid w:val="001F6D15"/>
    <w:rsid w:val="001F6DE0"/>
    <w:rsid w:val="001F6EF3"/>
    <w:rsid w:val="001F70DA"/>
    <w:rsid w:val="001F71CA"/>
    <w:rsid w:val="001F7373"/>
    <w:rsid w:val="001F74E2"/>
    <w:rsid w:val="001F7540"/>
    <w:rsid w:val="001F79E6"/>
    <w:rsid w:val="001F7A20"/>
    <w:rsid w:val="001F7A39"/>
    <w:rsid w:val="001F7B6F"/>
    <w:rsid w:val="001F7C8E"/>
    <w:rsid w:val="001F7DA6"/>
    <w:rsid w:val="00200081"/>
    <w:rsid w:val="00200400"/>
    <w:rsid w:val="00200444"/>
    <w:rsid w:val="00200483"/>
    <w:rsid w:val="0020048E"/>
    <w:rsid w:val="00200541"/>
    <w:rsid w:val="002005A8"/>
    <w:rsid w:val="002005FA"/>
    <w:rsid w:val="002007C7"/>
    <w:rsid w:val="00200891"/>
    <w:rsid w:val="00200C21"/>
    <w:rsid w:val="00200CF7"/>
    <w:rsid w:val="00200DA9"/>
    <w:rsid w:val="00201004"/>
    <w:rsid w:val="00201032"/>
    <w:rsid w:val="00201156"/>
    <w:rsid w:val="0020119B"/>
    <w:rsid w:val="002011A4"/>
    <w:rsid w:val="002011FE"/>
    <w:rsid w:val="00201331"/>
    <w:rsid w:val="00201964"/>
    <w:rsid w:val="002019D5"/>
    <w:rsid w:val="00201AD9"/>
    <w:rsid w:val="00201CC5"/>
    <w:rsid w:val="00201CFF"/>
    <w:rsid w:val="00201EAB"/>
    <w:rsid w:val="00201EC8"/>
    <w:rsid w:val="00202110"/>
    <w:rsid w:val="002021BF"/>
    <w:rsid w:val="002022B3"/>
    <w:rsid w:val="002023AC"/>
    <w:rsid w:val="002023B5"/>
    <w:rsid w:val="002024A8"/>
    <w:rsid w:val="002029E0"/>
    <w:rsid w:val="00202A49"/>
    <w:rsid w:val="00202CC0"/>
    <w:rsid w:val="00202EFB"/>
    <w:rsid w:val="0020305A"/>
    <w:rsid w:val="0020356B"/>
    <w:rsid w:val="00203623"/>
    <w:rsid w:val="00203647"/>
    <w:rsid w:val="0020367C"/>
    <w:rsid w:val="002036DA"/>
    <w:rsid w:val="0020375B"/>
    <w:rsid w:val="002038C9"/>
    <w:rsid w:val="00203A36"/>
    <w:rsid w:val="00203A60"/>
    <w:rsid w:val="00203B93"/>
    <w:rsid w:val="00203C00"/>
    <w:rsid w:val="00203C62"/>
    <w:rsid w:val="00203C6E"/>
    <w:rsid w:val="00203FA1"/>
    <w:rsid w:val="0020404B"/>
    <w:rsid w:val="0020408E"/>
    <w:rsid w:val="00204190"/>
    <w:rsid w:val="00204336"/>
    <w:rsid w:val="002043E0"/>
    <w:rsid w:val="00204480"/>
    <w:rsid w:val="002045B2"/>
    <w:rsid w:val="002046A9"/>
    <w:rsid w:val="0020479E"/>
    <w:rsid w:val="00204961"/>
    <w:rsid w:val="00204AAD"/>
    <w:rsid w:val="00204AC5"/>
    <w:rsid w:val="00204BE2"/>
    <w:rsid w:val="00204C08"/>
    <w:rsid w:val="00204D2C"/>
    <w:rsid w:val="00204D92"/>
    <w:rsid w:val="00204F0A"/>
    <w:rsid w:val="00204FC0"/>
    <w:rsid w:val="002052AF"/>
    <w:rsid w:val="00205504"/>
    <w:rsid w:val="00205559"/>
    <w:rsid w:val="0020572A"/>
    <w:rsid w:val="0020583C"/>
    <w:rsid w:val="00205B35"/>
    <w:rsid w:val="00205DBA"/>
    <w:rsid w:val="00205DE1"/>
    <w:rsid w:val="00205E55"/>
    <w:rsid w:val="00205F00"/>
    <w:rsid w:val="00205F75"/>
    <w:rsid w:val="00205F96"/>
    <w:rsid w:val="00206196"/>
    <w:rsid w:val="00206441"/>
    <w:rsid w:val="00206654"/>
    <w:rsid w:val="0020697A"/>
    <w:rsid w:val="00206983"/>
    <w:rsid w:val="00206A54"/>
    <w:rsid w:val="00206B26"/>
    <w:rsid w:val="00206B47"/>
    <w:rsid w:val="00206BC3"/>
    <w:rsid w:val="00206D13"/>
    <w:rsid w:val="00206DDB"/>
    <w:rsid w:val="00206F59"/>
    <w:rsid w:val="002070EB"/>
    <w:rsid w:val="00207129"/>
    <w:rsid w:val="00207522"/>
    <w:rsid w:val="002076FE"/>
    <w:rsid w:val="00207957"/>
    <w:rsid w:val="002079F6"/>
    <w:rsid w:val="00207A0E"/>
    <w:rsid w:val="00207A69"/>
    <w:rsid w:val="00207AEF"/>
    <w:rsid w:val="00207BAD"/>
    <w:rsid w:val="00210051"/>
    <w:rsid w:val="002100B9"/>
    <w:rsid w:val="002100C1"/>
    <w:rsid w:val="002100F5"/>
    <w:rsid w:val="0021023D"/>
    <w:rsid w:val="002102CA"/>
    <w:rsid w:val="002104FD"/>
    <w:rsid w:val="0021056B"/>
    <w:rsid w:val="002106C7"/>
    <w:rsid w:val="0021076B"/>
    <w:rsid w:val="0021084B"/>
    <w:rsid w:val="002109CE"/>
    <w:rsid w:val="002109E6"/>
    <w:rsid w:val="00210B99"/>
    <w:rsid w:val="00210BB6"/>
    <w:rsid w:val="00210C13"/>
    <w:rsid w:val="00210C3D"/>
    <w:rsid w:val="00210C8F"/>
    <w:rsid w:val="00210E11"/>
    <w:rsid w:val="00210E1C"/>
    <w:rsid w:val="00210E7F"/>
    <w:rsid w:val="00210EC4"/>
    <w:rsid w:val="00210FCB"/>
    <w:rsid w:val="00210FEA"/>
    <w:rsid w:val="00211229"/>
    <w:rsid w:val="0021123A"/>
    <w:rsid w:val="0021135A"/>
    <w:rsid w:val="00211383"/>
    <w:rsid w:val="002114A5"/>
    <w:rsid w:val="002119EC"/>
    <w:rsid w:val="00211A27"/>
    <w:rsid w:val="00211A60"/>
    <w:rsid w:val="00211A79"/>
    <w:rsid w:val="00211ABD"/>
    <w:rsid w:val="00211B0A"/>
    <w:rsid w:val="00211B2B"/>
    <w:rsid w:val="00211BA4"/>
    <w:rsid w:val="00211C5F"/>
    <w:rsid w:val="00211E2A"/>
    <w:rsid w:val="00211ECF"/>
    <w:rsid w:val="00211F5E"/>
    <w:rsid w:val="00211F77"/>
    <w:rsid w:val="002122E3"/>
    <w:rsid w:val="002123A3"/>
    <w:rsid w:val="0021249D"/>
    <w:rsid w:val="002124F8"/>
    <w:rsid w:val="0021269E"/>
    <w:rsid w:val="00212727"/>
    <w:rsid w:val="002127D4"/>
    <w:rsid w:val="00212859"/>
    <w:rsid w:val="00212A80"/>
    <w:rsid w:val="00212ACE"/>
    <w:rsid w:val="00212BF8"/>
    <w:rsid w:val="00212ED6"/>
    <w:rsid w:val="00212FA1"/>
    <w:rsid w:val="002132A6"/>
    <w:rsid w:val="00213302"/>
    <w:rsid w:val="002133ED"/>
    <w:rsid w:val="00213404"/>
    <w:rsid w:val="002134AC"/>
    <w:rsid w:val="002134BB"/>
    <w:rsid w:val="002135D1"/>
    <w:rsid w:val="00213652"/>
    <w:rsid w:val="0021370D"/>
    <w:rsid w:val="00213A95"/>
    <w:rsid w:val="00213B86"/>
    <w:rsid w:val="00213C78"/>
    <w:rsid w:val="0021417D"/>
    <w:rsid w:val="002141BD"/>
    <w:rsid w:val="00214429"/>
    <w:rsid w:val="0021444D"/>
    <w:rsid w:val="00214507"/>
    <w:rsid w:val="0021466B"/>
    <w:rsid w:val="002147FA"/>
    <w:rsid w:val="0021482A"/>
    <w:rsid w:val="002148BC"/>
    <w:rsid w:val="00214982"/>
    <w:rsid w:val="002149B2"/>
    <w:rsid w:val="00214BC2"/>
    <w:rsid w:val="00214BFB"/>
    <w:rsid w:val="00214C0B"/>
    <w:rsid w:val="00214C28"/>
    <w:rsid w:val="00214F3B"/>
    <w:rsid w:val="00215153"/>
    <w:rsid w:val="00215226"/>
    <w:rsid w:val="00215311"/>
    <w:rsid w:val="002153A2"/>
    <w:rsid w:val="002155DA"/>
    <w:rsid w:val="0021562E"/>
    <w:rsid w:val="00215732"/>
    <w:rsid w:val="002157B1"/>
    <w:rsid w:val="002157FE"/>
    <w:rsid w:val="00215871"/>
    <w:rsid w:val="00215903"/>
    <w:rsid w:val="0021590A"/>
    <w:rsid w:val="00215BFA"/>
    <w:rsid w:val="00215E8E"/>
    <w:rsid w:val="00215EC0"/>
    <w:rsid w:val="00215F57"/>
    <w:rsid w:val="002160F8"/>
    <w:rsid w:val="00216142"/>
    <w:rsid w:val="002162A3"/>
    <w:rsid w:val="0021639D"/>
    <w:rsid w:val="002163DB"/>
    <w:rsid w:val="0021644A"/>
    <w:rsid w:val="002164D3"/>
    <w:rsid w:val="00216539"/>
    <w:rsid w:val="0021662C"/>
    <w:rsid w:val="0021663E"/>
    <w:rsid w:val="00216691"/>
    <w:rsid w:val="002168D4"/>
    <w:rsid w:val="00216BD7"/>
    <w:rsid w:val="00217001"/>
    <w:rsid w:val="00217249"/>
    <w:rsid w:val="0021737A"/>
    <w:rsid w:val="00217444"/>
    <w:rsid w:val="00217469"/>
    <w:rsid w:val="002174CB"/>
    <w:rsid w:val="0021764F"/>
    <w:rsid w:val="002176EB"/>
    <w:rsid w:val="002177CD"/>
    <w:rsid w:val="00217829"/>
    <w:rsid w:val="00217877"/>
    <w:rsid w:val="00217878"/>
    <w:rsid w:val="0021789A"/>
    <w:rsid w:val="00217A5D"/>
    <w:rsid w:val="00217AB8"/>
    <w:rsid w:val="00217BC9"/>
    <w:rsid w:val="00217CB9"/>
    <w:rsid w:val="00217E03"/>
    <w:rsid w:val="00217ED6"/>
    <w:rsid w:val="002203EC"/>
    <w:rsid w:val="002204E3"/>
    <w:rsid w:val="00220668"/>
    <w:rsid w:val="00220678"/>
    <w:rsid w:val="0022082E"/>
    <w:rsid w:val="00220A23"/>
    <w:rsid w:val="00220A4B"/>
    <w:rsid w:val="00220D97"/>
    <w:rsid w:val="00220E27"/>
    <w:rsid w:val="00220FD1"/>
    <w:rsid w:val="00220FF4"/>
    <w:rsid w:val="0022104A"/>
    <w:rsid w:val="00221283"/>
    <w:rsid w:val="00221504"/>
    <w:rsid w:val="00221537"/>
    <w:rsid w:val="0022161B"/>
    <w:rsid w:val="00221689"/>
    <w:rsid w:val="00221754"/>
    <w:rsid w:val="00221903"/>
    <w:rsid w:val="00221BCA"/>
    <w:rsid w:val="00221D6D"/>
    <w:rsid w:val="00221EBC"/>
    <w:rsid w:val="0022213D"/>
    <w:rsid w:val="002221B1"/>
    <w:rsid w:val="00222343"/>
    <w:rsid w:val="00222382"/>
    <w:rsid w:val="002223AE"/>
    <w:rsid w:val="0022264B"/>
    <w:rsid w:val="002227D7"/>
    <w:rsid w:val="00222841"/>
    <w:rsid w:val="002228CE"/>
    <w:rsid w:val="0022290F"/>
    <w:rsid w:val="0022292B"/>
    <w:rsid w:val="00222947"/>
    <w:rsid w:val="00222AB4"/>
    <w:rsid w:val="00222B54"/>
    <w:rsid w:val="00222B68"/>
    <w:rsid w:val="00222CF5"/>
    <w:rsid w:val="00222D8A"/>
    <w:rsid w:val="00222E91"/>
    <w:rsid w:val="00222F57"/>
    <w:rsid w:val="00223001"/>
    <w:rsid w:val="0022302D"/>
    <w:rsid w:val="002230D9"/>
    <w:rsid w:val="002231D6"/>
    <w:rsid w:val="002231E2"/>
    <w:rsid w:val="002232E6"/>
    <w:rsid w:val="0022344F"/>
    <w:rsid w:val="0022353D"/>
    <w:rsid w:val="00223732"/>
    <w:rsid w:val="002237BC"/>
    <w:rsid w:val="002237DD"/>
    <w:rsid w:val="0022390F"/>
    <w:rsid w:val="00223ABD"/>
    <w:rsid w:val="00223D41"/>
    <w:rsid w:val="00223D7E"/>
    <w:rsid w:val="00223E57"/>
    <w:rsid w:val="00224044"/>
    <w:rsid w:val="00224059"/>
    <w:rsid w:val="002243D2"/>
    <w:rsid w:val="00224456"/>
    <w:rsid w:val="002244AE"/>
    <w:rsid w:val="002244C9"/>
    <w:rsid w:val="002246D5"/>
    <w:rsid w:val="0022473C"/>
    <w:rsid w:val="00224755"/>
    <w:rsid w:val="002247AD"/>
    <w:rsid w:val="0022496A"/>
    <w:rsid w:val="00224DCA"/>
    <w:rsid w:val="00224F93"/>
    <w:rsid w:val="0022521E"/>
    <w:rsid w:val="002252A7"/>
    <w:rsid w:val="00225576"/>
    <w:rsid w:val="002255D6"/>
    <w:rsid w:val="002256B4"/>
    <w:rsid w:val="002256CE"/>
    <w:rsid w:val="002256EC"/>
    <w:rsid w:val="0022581A"/>
    <w:rsid w:val="00225832"/>
    <w:rsid w:val="00225853"/>
    <w:rsid w:val="00225873"/>
    <w:rsid w:val="002258B2"/>
    <w:rsid w:val="00225911"/>
    <w:rsid w:val="00225BEB"/>
    <w:rsid w:val="00225C23"/>
    <w:rsid w:val="00225CDA"/>
    <w:rsid w:val="00225D55"/>
    <w:rsid w:val="00225D57"/>
    <w:rsid w:val="00225D9A"/>
    <w:rsid w:val="00225DB4"/>
    <w:rsid w:val="00225F4C"/>
    <w:rsid w:val="00225FA1"/>
    <w:rsid w:val="0022607A"/>
    <w:rsid w:val="002260AE"/>
    <w:rsid w:val="00226163"/>
    <w:rsid w:val="00226214"/>
    <w:rsid w:val="002262D7"/>
    <w:rsid w:val="002263AD"/>
    <w:rsid w:val="002264D6"/>
    <w:rsid w:val="00226515"/>
    <w:rsid w:val="0022652C"/>
    <w:rsid w:val="00226791"/>
    <w:rsid w:val="002267E3"/>
    <w:rsid w:val="002268CE"/>
    <w:rsid w:val="00226901"/>
    <w:rsid w:val="00226CA9"/>
    <w:rsid w:val="00227044"/>
    <w:rsid w:val="002271FD"/>
    <w:rsid w:val="0022720A"/>
    <w:rsid w:val="00227354"/>
    <w:rsid w:val="002274FA"/>
    <w:rsid w:val="002275FC"/>
    <w:rsid w:val="002277CE"/>
    <w:rsid w:val="00227A9C"/>
    <w:rsid w:val="00227ADC"/>
    <w:rsid w:val="00227D31"/>
    <w:rsid w:val="00227E72"/>
    <w:rsid w:val="002300CF"/>
    <w:rsid w:val="00230131"/>
    <w:rsid w:val="00230397"/>
    <w:rsid w:val="00230782"/>
    <w:rsid w:val="00230788"/>
    <w:rsid w:val="002307CB"/>
    <w:rsid w:val="002308EF"/>
    <w:rsid w:val="0023091F"/>
    <w:rsid w:val="002309AA"/>
    <w:rsid w:val="00230B4E"/>
    <w:rsid w:val="00230B7D"/>
    <w:rsid w:val="00230D26"/>
    <w:rsid w:val="00230D64"/>
    <w:rsid w:val="00230D77"/>
    <w:rsid w:val="00230E07"/>
    <w:rsid w:val="00231005"/>
    <w:rsid w:val="00231084"/>
    <w:rsid w:val="00231310"/>
    <w:rsid w:val="0023146E"/>
    <w:rsid w:val="0023162C"/>
    <w:rsid w:val="00231637"/>
    <w:rsid w:val="002317B2"/>
    <w:rsid w:val="002318B9"/>
    <w:rsid w:val="002318C9"/>
    <w:rsid w:val="00231917"/>
    <w:rsid w:val="002319E2"/>
    <w:rsid w:val="002319E5"/>
    <w:rsid w:val="00231ACF"/>
    <w:rsid w:val="00231D06"/>
    <w:rsid w:val="00231E2B"/>
    <w:rsid w:val="00231F02"/>
    <w:rsid w:val="00231FCD"/>
    <w:rsid w:val="00232012"/>
    <w:rsid w:val="0023222E"/>
    <w:rsid w:val="00232492"/>
    <w:rsid w:val="0023279D"/>
    <w:rsid w:val="00232925"/>
    <w:rsid w:val="0023294C"/>
    <w:rsid w:val="00232A04"/>
    <w:rsid w:val="00232CE3"/>
    <w:rsid w:val="00232E1E"/>
    <w:rsid w:val="00232F8E"/>
    <w:rsid w:val="00233065"/>
    <w:rsid w:val="00233733"/>
    <w:rsid w:val="002337E8"/>
    <w:rsid w:val="00233813"/>
    <w:rsid w:val="002338A8"/>
    <w:rsid w:val="00233ADA"/>
    <w:rsid w:val="00233BD7"/>
    <w:rsid w:val="00233C29"/>
    <w:rsid w:val="002340BF"/>
    <w:rsid w:val="00234435"/>
    <w:rsid w:val="002344C0"/>
    <w:rsid w:val="002344CB"/>
    <w:rsid w:val="002344D9"/>
    <w:rsid w:val="00234513"/>
    <w:rsid w:val="00234573"/>
    <w:rsid w:val="0023459F"/>
    <w:rsid w:val="00234656"/>
    <w:rsid w:val="0023493A"/>
    <w:rsid w:val="00234A85"/>
    <w:rsid w:val="00234B49"/>
    <w:rsid w:val="00234CA4"/>
    <w:rsid w:val="00234DB1"/>
    <w:rsid w:val="00234EA3"/>
    <w:rsid w:val="00234EC6"/>
    <w:rsid w:val="0023502C"/>
    <w:rsid w:val="0023508F"/>
    <w:rsid w:val="00235131"/>
    <w:rsid w:val="00235157"/>
    <w:rsid w:val="002352BA"/>
    <w:rsid w:val="002352C4"/>
    <w:rsid w:val="0023550F"/>
    <w:rsid w:val="002356CC"/>
    <w:rsid w:val="002357D0"/>
    <w:rsid w:val="002358C0"/>
    <w:rsid w:val="00235A0E"/>
    <w:rsid w:val="00235A37"/>
    <w:rsid w:val="00235A92"/>
    <w:rsid w:val="00235B1A"/>
    <w:rsid w:val="00235B29"/>
    <w:rsid w:val="00235B4A"/>
    <w:rsid w:val="00235BB5"/>
    <w:rsid w:val="00235C15"/>
    <w:rsid w:val="00235CB5"/>
    <w:rsid w:val="00235D43"/>
    <w:rsid w:val="00235E22"/>
    <w:rsid w:val="00235EF4"/>
    <w:rsid w:val="00235F64"/>
    <w:rsid w:val="00236000"/>
    <w:rsid w:val="002362B4"/>
    <w:rsid w:val="002362FC"/>
    <w:rsid w:val="0023646B"/>
    <w:rsid w:val="002364DA"/>
    <w:rsid w:val="00236615"/>
    <w:rsid w:val="0023676F"/>
    <w:rsid w:val="00236862"/>
    <w:rsid w:val="002369B7"/>
    <w:rsid w:val="00236A24"/>
    <w:rsid w:val="00236C86"/>
    <w:rsid w:val="00236D79"/>
    <w:rsid w:val="00236DDA"/>
    <w:rsid w:val="00236DF6"/>
    <w:rsid w:val="00236DFC"/>
    <w:rsid w:val="00236E13"/>
    <w:rsid w:val="00236F51"/>
    <w:rsid w:val="00236F75"/>
    <w:rsid w:val="00237166"/>
    <w:rsid w:val="002373E2"/>
    <w:rsid w:val="0023749F"/>
    <w:rsid w:val="00237707"/>
    <w:rsid w:val="002377D9"/>
    <w:rsid w:val="0023783C"/>
    <w:rsid w:val="00237946"/>
    <w:rsid w:val="00237AC6"/>
    <w:rsid w:val="00237C8D"/>
    <w:rsid w:val="00237F01"/>
    <w:rsid w:val="00237F14"/>
    <w:rsid w:val="00240144"/>
    <w:rsid w:val="002401B1"/>
    <w:rsid w:val="00240249"/>
    <w:rsid w:val="0024024E"/>
    <w:rsid w:val="00240395"/>
    <w:rsid w:val="002404F7"/>
    <w:rsid w:val="00240505"/>
    <w:rsid w:val="0024053C"/>
    <w:rsid w:val="00240594"/>
    <w:rsid w:val="00240877"/>
    <w:rsid w:val="002408E4"/>
    <w:rsid w:val="0024093B"/>
    <w:rsid w:val="00240BE6"/>
    <w:rsid w:val="00240BE9"/>
    <w:rsid w:val="00240C76"/>
    <w:rsid w:val="00240D6A"/>
    <w:rsid w:val="00240DAF"/>
    <w:rsid w:val="00240E2A"/>
    <w:rsid w:val="00241192"/>
    <w:rsid w:val="0024125C"/>
    <w:rsid w:val="00241389"/>
    <w:rsid w:val="00241547"/>
    <w:rsid w:val="002415AB"/>
    <w:rsid w:val="002415B9"/>
    <w:rsid w:val="00241987"/>
    <w:rsid w:val="00241A6C"/>
    <w:rsid w:val="00241B40"/>
    <w:rsid w:val="00241B8B"/>
    <w:rsid w:val="00241C3C"/>
    <w:rsid w:val="00241DC4"/>
    <w:rsid w:val="00241E33"/>
    <w:rsid w:val="00241F82"/>
    <w:rsid w:val="00241FD1"/>
    <w:rsid w:val="00241FE4"/>
    <w:rsid w:val="00242000"/>
    <w:rsid w:val="0024203B"/>
    <w:rsid w:val="002420B3"/>
    <w:rsid w:val="002420B8"/>
    <w:rsid w:val="00242125"/>
    <w:rsid w:val="0024215B"/>
    <w:rsid w:val="00242164"/>
    <w:rsid w:val="00242232"/>
    <w:rsid w:val="002424B9"/>
    <w:rsid w:val="00242613"/>
    <w:rsid w:val="00242669"/>
    <w:rsid w:val="00242715"/>
    <w:rsid w:val="0024282A"/>
    <w:rsid w:val="00242841"/>
    <w:rsid w:val="002428E6"/>
    <w:rsid w:val="002429DB"/>
    <w:rsid w:val="00242B68"/>
    <w:rsid w:val="00242B7C"/>
    <w:rsid w:val="00242C8D"/>
    <w:rsid w:val="00242F71"/>
    <w:rsid w:val="0024308E"/>
    <w:rsid w:val="0024313F"/>
    <w:rsid w:val="0024335B"/>
    <w:rsid w:val="00243394"/>
    <w:rsid w:val="00243564"/>
    <w:rsid w:val="00243735"/>
    <w:rsid w:val="002437CE"/>
    <w:rsid w:val="0024383A"/>
    <w:rsid w:val="00243861"/>
    <w:rsid w:val="00243A02"/>
    <w:rsid w:val="00243C98"/>
    <w:rsid w:val="00243E15"/>
    <w:rsid w:val="002441CC"/>
    <w:rsid w:val="00244249"/>
    <w:rsid w:val="0024435D"/>
    <w:rsid w:val="00244385"/>
    <w:rsid w:val="002444A5"/>
    <w:rsid w:val="00244623"/>
    <w:rsid w:val="002448B4"/>
    <w:rsid w:val="00244B04"/>
    <w:rsid w:val="00244C09"/>
    <w:rsid w:val="00244C1B"/>
    <w:rsid w:val="00244CE8"/>
    <w:rsid w:val="00244F57"/>
    <w:rsid w:val="00245113"/>
    <w:rsid w:val="002451FC"/>
    <w:rsid w:val="002452D4"/>
    <w:rsid w:val="00245419"/>
    <w:rsid w:val="00245433"/>
    <w:rsid w:val="00245449"/>
    <w:rsid w:val="00245541"/>
    <w:rsid w:val="002455E6"/>
    <w:rsid w:val="00245649"/>
    <w:rsid w:val="002457BB"/>
    <w:rsid w:val="002457D2"/>
    <w:rsid w:val="0024582A"/>
    <w:rsid w:val="00245931"/>
    <w:rsid w:val="00245ADE"/>
    <w:rsid w:val="00245D04"/>
    <w:rsid w:val="00245EF7"/>
    <w:rsid w:val="00245F96"/>
    <w:rsid w:val="00246026"/>
    <w:rsid w:val="00246075"/>
    <w:rsid w:val="00246194"/>
    <w:rsid w:val="00246291"/>
    <w:rsid w:val="002462D7"/>
    <w:rsid w:val="0024633D"/>
    <w:rsid w:val="00246381"/>
    <w:rsid w:val="002463F8"/>
    <w:rsid w:val="002465FC"/>
    <w:rsid w:val="0024660A"/>
    <w:rsid w:val="00246668"/>
    <w:rsid w:val="002467B8"/>
    <w:rsid w:val="00246848"/>
    <w:rsid w:val="00246A20"/>
    <w:rsid w:val="00246AE7"/>
    <w:rsid w:val="00246C11"/>
    <w:rsid w:val="00246DD1"/>
    <w:rsid w:val="00246FA7"/>
    <w:rsid w:val="0024707B"/>
    <w:rsid w:val="00247088"/>
    <w:rsid w:val="002471B1"/>
    <w:rsid w:val="00247484"/>
    <w:rsid w:val="002475FD"/>
    <w:rsid w:val="00247690"/>
    <w:rsid w:val="0024775B"/>
    <w:rsid w:val="00247949"/>
    <w:rsid w:val="00247AB8"/>
    <w:rsid w:val="00247B6C"/>
    <w:rsid w:val="00247DC9"/>
    <w:rsid w:val="00247E5E"/>
    <w:rsid w:val="0025003E"/>
    <w:rsid w:val="0025040D"/>
    <w:rsid w:val="00250448"/>
    <w:rsid w:val="002508E8"/>
    <w:rsid w:val="002508F2"/>
    <w:rsid w:val="00250977"/>
    <w:rsid w:val="002509F5"/>
    <w:rsid w:val="00250AD3"/>
    <w:rsid w:val="00250B27"/>
    <w:rsid w:val="00250BEE"/>
    <w:rsid w:val="00250D6A"/>
    <w:rsid w:val="00250E93"/>
    <w:rsid w:val="0025108A"/>
    <w:rsid w:val="00251135"/>
    <w:rsid w:val="002511AD"/>
    <w:rsid w:val="00251352"/>
    <w:rsid w:val="0025138D"/>
    <w:rsid w:val="0025148C"/>
    <w:rsid w:val="002514FE"/>
    <w:rsid w:val="0025173A"/>
    <w:rsid w:val="00251B5A"/>
    <w:rsid w:val="00251E27"/>
    <w:rsid w:val="00251EAA"/>
    <w:rsid w:val="00251EDC"/>
    <w:rsid w:val="00251F0D"/>
    <w:rsid w:val="0025214A"/>
    <w:rsid w:val="002522FA"/>
    <w:rsid w:val="002523DC"/>
    <w:rsid w:val="0025241B"/>
    <w:rsid w:val="00252485"/>
    <w:rsid w:val="0025269B"/>
    <w:rsid w:val="002526A1"/>
    <w:rsid w:val="002526FC"/>
    <w:rsid w:val="00252973"/>
    <w:rsid w:val="002529FF"/>
    <w:rsid w:val="00252AE3"/>
    <w:rsid w:val="00253061"/>
    <w:rsid w:val="0025309A"/>
    <w:rsid w:val="00253184"/>
    <w:rsid w:val="00253252"/>
    <w:rsid w:val="00253411"/>
    <w:rsid w:val="00253441"/>
    <w:rsid w:val="002534AF"/>
    <w:rsid w:val="002535B0"/>
    <w:rsid w:val="0025369A"/>
    <w:rsid w:val="002536AB"/>
    <w:rsid w:val="002536E7"/>
    <w:rsid w:val="00253A84"/>
    <w:rsid w:val="00253B13"/>
    <w:rsid w:val="00253CBC"/>
    <w:rsid w:val="00253DA2"/>
    <w:rsid w:val="00253DA8"/>
    <w:rsid w:val="002540EC"/>
    <w:rsid w:val="002540F3"/>
    <w:rsid w:val="002544B2"/>
    <w:rsid w:val="002546FE"/>
    <w:rsid w:val="00254762"/>
    <w:rsid w:val="00254858"/>
    <w:rsid w:val="002548DA"/>
    <w:rsid w:val="00254AD5"/>
    <w:rsid w:val="00254E79"/>
    <w:rsid w:val="00254EAF"/>
    <w:rsid w:val="00254EE3"/>
    <w:rsid w:val="00254FF2"/>
    <w:rsid w:val="00255050"/>
    <w:rsid w:val="00255259"/>
    <w:rsid w:val="00255465"/>
    <w:rsid w:val="002557C2"/>
    <w:rsid w:val="00255894"/>
    <w:rsid w:val="002558FB"/>
    <w:rsid w:val="002559A9"/>
    <w:rsid w:val="00255BD6"/>
    <w:rsid w:val="00255C1C"/>
    <w:rsid w:val="00255E34"/>
    <w:rsid w:val="00255F0B"/>
    <w:rsid w:val="0025601B"/>
    <w:rsid w:val="00256095"/>
    <w:rsid w:val="00256316"/>
    <w:rsid w:val="00256388"/>
    <w:rsid w:val="00256443"/>
    <w:rsid w:val="002564AF"/>
    <w:rsid w:val="002564C2"/>
    <w:rsid w:val="0025665E"/>
    <w:rsid w:val="0025674B"/>
    <w:rsid w:val="00256753"/>
    <w:rsid w:val="002567C7"/>
    <w:rsid w:val="002568E1"/>
    <w:rsid w:val="00256B91"/>
    <w:rsid w:val="00256D26"/>
    <w:rsid w:val="00256E18"/>
    <w:rsid w:val="00256F13"/>
    <w:rsid w:val="002570AA"/>
    <w:rsid w:val="002570F1"/>
    <w:rsid w:val="0025720A"/>
    <w:rsid w:val="002572A8"/>
    <w:rsid w:val="00257361"/>
    <w:rsid w:val="00257577"/>
    <w:rsid w:val="002575CE"/>
    <w:rsid w:val="002575E6"/>
    <w:rsid w:val="0025785E"/>
    <w:rsid w:val="0025797A"/>
    <w:rsid w:val="002579B6"/>
    <w:rsid w:val="00257ABD"/>
    <w:rsid w:val="00257B2C"/>
    <w:rsid w:val="00257C57"/>
    <w:rsid w:val="00257CCE"/>
    <w:rsid w:val="00257E30"/>
    <w:rsid w:val="00257E85"/>
    <w:rsid w:val="00257EF7"/>
    <w:rsid w:val="00257F2C"/>
    <w:rsid w:val="00257FC7"/>
    <w:rsid w:val="00260186"/>
    <w:rsid w:val="00260430"/>
    <w:rsid w:val="0026061B"/>
    <w:rsid w:val="00260673"/>
    <w:rsid w:val="00260A19"/>
    <w:rsid w:val="00260B38"/>
    <w:rsid w:val="00260F59"/>
    <w:rsid w:val="00261008"/>
    <w:rsid w:val="002610D4"/>
    <w:rsid w:val="00261359"/>
    <w:rsid w:val="00261480"/>
    <w:rsid w:val="002615D8"/>
    <w:rsid w:val="0026162E"/>
    <w:rsid w:val="0026163E"/>
    <w:rsid w:val="00261698"/>
    <w:rsid w:val="002617D2"/>
    <w:rsid w:val="00261867"/>
    <w:rsid w:val="002619BC"/>
    <w:rsid w:val="00261B6C"/>
    <w:rsid w:val="00261BB8"/>
    <w:rsid w:val="00261C5D"/>
    <w:rsid w:val="00261CC4"/>
    <w:rsid w:val="00261D27"/>
    <w:rsid w:val="00261EEA"/>
    <w:rsid w:val="00261F2D"/>
    <w:rsid w:val="0026217D"/>
    <w:rsid w:val="0026237F"/>
    <w:rsid w:val="0026246E"/>
    <w:rsid w:val="002626B8"/>
    <w:rsid w:val="002626C3"/>
    <w:rsid w:val="002626F8"/>
    <w:rsid w:val="00262AF1"/>
    <w:rsid w:val="00262B61"/>
    <w:rsid w:val="00262C9F"/>
    <w:rsid w:val="00262D05"/>
    <w:rsid w:val="00262D20"/>
    <w:rsid w:val="00262F71"/>
    <w:rsid w:val="00263205"/>
    <w:rsid w:val="0026325A"/>
    <w:rsid w:val="00263286"/>
    <w:rsid w:val="002634BC"/>
    <w:rsid w:val="002634CC"/>
    <w:rsid w:val="0026363D"/>
    <w:rsid w:val="002639A3"/>
    <w:rsid w:val="00263AA2"/>
    <w:rsid w:val="00263CD8"/>
    <w:rsid w:val="00263DD9"/>
    <w:rsid w:val="00263FCF"/>
    <w:rsid w:val="00264086"/>
    <w:rsid w:val="002640C2"/>
    <w:rsid w:val="002640F0"/>
    <w:rsid w:val="00264120"/>
    <w:rsid w:val="00264394"/>
    <w:rsid w:val="002645D3"/>
    <w:rsid w:val="00264629"/>
    <w:rsid w:val="0026478B"/>
    <w:rsid w:val="00264937"/>
    <w:rsid w:val="002649C2"/>
    <w:rsid w:val="00264A16"/>
    <w:rsid w:val="00264A21"/>
    <w:rsid w:val="00264B52"/>
    <w:rsid w:val="00264B53"/>
    <w:rsid w:val="00264C23"/>
    <w:rsid w:val="00264C8A"/>
    <w:rsid w:val="00264CB0"/>
    <w:rsid w:val="00264D03"/>
    <w:rsid w:val="00264F76"/>
    <w:rsid w:val="00265027"/>
    <w:rsid w:val="00265041"/>
    <w:rsid w:val="00265114"/>
    <w:rsid w:val="0026520C"/>
    <w:rsid w:val="0026522D"/>
    <w:rsid w:val="0026553C"/>
    <w:rsid w:val="00265692"/>
    <w:rsid w:val="002658DD"/>
    <w:rsid w:val="00265AB4"/>
    <w:rsid w:val="00265ACE"/>
    <w:rsid w:val="00265BEA"/>
    <w:rsid w:val="00265CFE"/>
    <w:rsid w:val="00265DDD"/>
    <w:rsid w:val="00265F3D"/>
    <w:rsid w:val="00265FDF"/>
    <w:rsid w:val="00266030"/>
    <w:rsid w:val="0026603E"/>
    <w:rsid w:val="0026607A"/>
    <w:rsid w:val="002660FD"/>
    <w:rsid w:val="00266102"/>
    <w:rsid w:val="00266104"/>
    <w:rsid w:val="0026636F"/>
    <w:rsid w:val="0026641F"/>
    <w:rsid w:val="00266439"/>
    <w:rsid w:val="00266600"/>
    <w:rsid w:val="00266614"/>
    <w:rsid w:val="002668C4"/>
    <w:rsid w:val="00266A4B"/>
    <w:rsid w:val="00266A7E"/>
    <w:rsid w:val="00266B56"/>
    <w:rsid w:val="00266D31"/>
    <w:rsid w:val="00266E98"/>
    <w:rsid w:val="00266EA1"/>
    <w:rsid w:val="00266EE9"/>
    <w:rsid w:val="00266F27"/>
    <w:rsid w:val="00266F92"/>
    <w:rsid w:val="002670D1"/>
    <w:rsid w:val="002670D9"/>
    <w:rsid w:val="002671C3"/>
    <w:rsid w:val="0026722A"/>
    <w:rsid w:val="0026746D"/>
    <w:rsid w:val="002675EA"/>
    <w:rsid w:val="002676AC"/>
    <w:rsid w:val="00267729"/>
    <w:rsid w:val="00267773"/>
    <w:rsid w:val="002677B7"/>
    <w:rsid w:val="00267858"/>
    <w:rsid w:val="00267B93"/>
    <w:rsid w:val="00267E3F"/>
    <w:rsid w:val="002700AD"/>
    <w:rsid w:val="002701B6"/>
    <w:rsid w:val="002701D2"/>
    <w:rsid w:val="002701F2"/>
    <w:rsid w:val="0027026A"/>
    <w:rsid w:val="0027027C"/>
    <w:rsid w:val="00270300"/>
    <w:rsid w:val="002704A5"/>
    <w:rsid w:val="0027058E"/>
    <w:rsid w:val="002707EC"/>
    <w:rsid w:val="0027087D"/>
    <w:rsid w:val="00270880"/>
    <w:rsid w:val="002708D1"/>
    <w:rsid w:val="002709C4"/>
    <w:rsid w:val="00270A29"/>
    <w:rsid w:val="00270A48"/>
    <w:rsid w:val="00270B5D"/>
    <w:rsid w:val="00270E2B"/>
    <w:rsid w:val="00270F5E"/>
    <w:rsid w:val="00271026"/>
    <w:rsid w:val="002711BC"/>
    <w:rsid w:val="002711EB"/>
    <w:rsid w:val="00271207"/>
    <w:rsid w:val="0027132B"/>
    <w:rsid w:val="00271363"/>
    <w:rsid w:val="002713C0"/>
    <w:rsid w:val="00271511"/>
    <w:rsid w:val="002715EA"/>
    <w:rsid w:val="002716DE"/>
    <w:rsid w:val="0027182C"/>
    <w:rsid w:val="00271B48"/>
    <w:rsid w:val="00271D04"/>
    <w:rsid w:val="00271DC2"/>
    <w:rsid w:val="00271E38"/>
    <w:rsid w:val="00271E51"/>
    <w:rsid w:val="00271EF3"/>
    <w:rsid w:val="00271F1B"/>
    <w:rsid w:val="00271F3A"/>
    <w:rsid w:val="00272180"/>
    <w:rsid w:val="00272266"/>
    <w:rsid w:val="002722AF"/>
    <w:rsid w:val="00272328"/>
    <w:rsid w:val="00272346"/>
    <w:rsid w:val="002723E2"/>
    <w:rsid w:val="00272697"/>
    <w:rsid w:val="002726EF"/>
    <w:rsid w:val="00272CC3"/>
    <w:rsid w:val="00272DC0"/>
    <w:rsid w:val="00272E17"/>
    <w:rsid w:val="00273101"/>
    <w:rsid w:val="00273107"/>
    <w:rsid w:val="0027329C"/>
    <w:rsid w:val="002732E0"/>
    <w:rsid w:val="0027361A"/>
    <w:rsid w:val="00273622"/>
    <w:rsid w:val="002737FF"/>
    <w:rsid w:val="00273A7E"/>
    <w:rsid w:val="00273B0A"/>
    <w:rsid w:val="00273E1B"/>
    <w:rsid w:val="00273E4B"/>
    <w:rsid w:val="00273F65"/>
    <w:rsid w:val="0027415F"/>
    <w:rsid w:val="002741BA"/>
    <w:rsid w:val="00274565"/>
    <w:rsid w:val="002745FD"/>
    <w:rsid w:val="002747A5"/>
    <w:rsid w:val="002747A7"/>
    <w:rsid w:val="002748D3"/>
    <w:rsid w:val="00274A5C"/>
    <w:rsid w:val="00274A68"/>
    <w:rsid w:val="00274BC9"/>
    <w:rsid w:val="00274DEB"/>
    <w:rsid w:val="00274F7A"/>
    <w:rsid w:val="00274FA3"/>
    <w:rsid w:val="00274FBF"/>
    <w:rsid w:val="0027505A"/>
    <w:rsid w:val="00275277"/>
    <w:rsid w:val="00275285"/>
    <w:rsid w:val="0027529C"/>
    <w:rsid w:val="002753AC"/>
    <w:rsid w:val="0027540E"/>
    <w:rsid w:val="002755AE"/>
    <w:rsid w:val="00275778"/>
    <w:rsid w:val="00275A53"/>
    <w:rsid w:val="00275C9D"/>
    <w:rsid w:val="00275DE3"/>
    <w:rsid w:val="00275EEE"/>
    <w:rsid w:val="00275F81"/>
    <w:rsid w:val="00276051"/>
    <w:rsid w:val="0027606C"/>
    <w:rsid w:val="00276130"/>
    <w:rsid w:val="002761CC"/>
    <w:rsid w:val="0027623C"/>
    <w:rsid w:val="00276255"/>
    <w:rsid w:val="0027625F"/>
    <w:rsid w:val="00276482"/>
    <w:rsid w:val="00276521"/>
    <w:rsid w:val="00276742"/>
    <w:rsid w:val="00276956"/>
    <w:rsid w:val="002769E4"/>
    <w:rsid w:val="00276B8B"/>
    <w:rsid w:val="00276BF5"/>
    <w:rsid w:val="002774BF"/>
    <w:rsid w:val="0027753F"/>
    <w:rsid w:val="002775DE"/>
    <w:rsid w:val="00277632"/>
    <w:rsid w:val="002776AD"/>
    <w:rsid w:val="00277727"/>
    <w:rsid w:val="00277880"/>
    <w:rsid w:val="00277885"/>
    <w:rsid w:val="002778AE"/>
    <w:rsid w:val="00277927"/>
    <w:rsid w:val="00277C9B"/>
    <w:rsid w:val="00277CA1"/>
    <w:rsid w:val="00277E2A"/>
    <w:rsid w:val="00280057"/>
    <w:rsid w:val="00280109"/>
    <w:rsid w:val="00280217"/>
    <w:rsid w:val="002805A8"/>
    <w:rsid w:val="002805FC"/>
    <w:rsid w:val="0028072D"/>
    <w:rsid w:val="0028073D"/>
    <w:rsid w:val="00280763"/>
    <w:rsid w:val="0028077C"/>
    <w:rsid w:val="002807B7"/>
    <w:rsid w:val="002808C0"/>
    <w:rsid w:val="002808C1"/>
    <w:rsid w:val="002809C2"/>
    <w:rsid w:val="00280AE5"/>
    <w:rsid w:val="00280B1F"/>
    <w:rsid w:val="00280B33"/>
    <w:rsid w:val="00280CF0"/>
    <w:rsid w:val="00280FAA"/>
    <w:rsid w:val="00281063"/>
    <w:rsid w:val="002810CB"/>
    <w:rsid w:val="00281168"/>
    <w:rsid w:val="002812B8"/>
    <w:rsid w:val="00281344"/>
    <w:rsid w:val="002813CE"/>
    <w:rsid w:val="002813F2"/>
    <w:rsid w:val="002814F5"/>
    <w:rsid w:val="00281568"/>
    <w:rsid w:val="002815B4"/>
    <w:rsid w:val="002815CC"/>
    <w:rsid w:val="0028172B"/>
    <w:rsid w:val="00281733"/>
    <w:rsid w:val="002817FD"/>
    <w:rsid w:val="0028186C"/>
    <w:rsid w:val="00281947"/>
    <w:rsid w:val="002819B3"/>
    <w:rsid w:val="002819F1"/>
    <w:rsid w:val="00281CC2"/>
    <w:rsid w:val="00281D28"/>
    <w:rsid w:val="00282013"/>
    <w:rsid w:val="0028204F"/>
    <w:rsid w:val="002820A1"/>
    <w:rsid w:val="0028212F"/>
    <w:rsid w:val="002821C6"/>
    <w:rsid w:val="00282336"/>
    <w:rsid w:val="002823BA"/>
    <w:rsid w:val="00282552"/>
    <w:rsid w:val="0028256E"/>
    <w:rsid w:val="0028259E"/>
    <w:rsid w:val="0028260B"/>
    <w:rsid w:val="002826E9"/>
    <w:rsid w:val="0028283C"/>
    <w:rsid w:val="00282954"/>
    <w:rsid w:val="002829D9"/>
    <w:rsid w:val="00282A03"/>
    <w:rsid w:val="00282AA3"/>
    <w:rsid w:val="00282C0E"/>
    <w:rsid w:val="00282C3D"/>
    <w:rsid w:val="00282C42"/>
    <w:rsid w:val="00282D8E"/>
    <w:rsid w:val="00282EE6"/>
    <w:rsid w:val="00282FBD"/>
    <w:rsid w:val="00283094"/>
    <w:rsid w:val="00283192"/>
    <w:rsid w:val="0028323A"/>
    <w:rsid w:val="00283544"/>
    <w:rsid w:val="0028357A"/>
    <w:rsid w:val="00283612"/>
    <w:rsid w:val="00283624"/>
    <w:rsid w:val="0028366E"/>
    <w:rsid w:val="00283714"/>
    <w:rsid w:val="002838AC"/>
    <w:rsid w:val="002838CA"/>
    <w:rsid w:val="00283A1D"/>
    <w:rsid w:val="00283C89"/>
    <w:rsid w:val="00283D54"/>
    <w:rsid w:val="00283EA9"/>
    <w:rsid w:val="00283FDC"/>
    <w:rsid w:val="002841DB"/>
    <w:rsid w:val="002846F8"/>
    <w:rsid w:val="00284711"/>
    <w:rsid w:val="0028483E"/>
    <w:rsid w:val="00284840"/>
    <w:rsid w:val="00284A0F"/>
    <w:rsid w:val="00284CF5"/>
    <w:rsid w:val="00284DB4"/>
    <w:rsid w:val="002850BB"/>
    <w:rsid w:val="002855A9"/>
    <w:rsid w:val="00285628"/>
    <w:rsid w:val="00285678"/>
    <w:rsid w:val="0028568D"/>
    <w:rsid w:val="00285780"/>
    <w:rsid w:val="002857F7"/>
    <w:rsid w:val="0028581B"/>
    <w:rsid w:val="00285BDB"/>
    <w:rsid w:val="00285C04"/>
    <w:rsid w:val="00285C0B"/>
    <w:rsid w:val="00285DBE"/>
    <w:rsid w:val="00285E5E"/>
    <w:rsid w:val="00285EA2"/>
    <w:rsid w:val="00286146"/>
    <w:rsid w:val="0028640D"/>
    <w:rsid w:val="00286476"/>
    <w:rsid w:val="002867E6"/>
    <w:rsid w:val="00286937"/>
    <w:rsid w:val="00286A01"/>
    <w:rsid w:val="00286AB2"/>
    <w:rsid w:val="00286D88"/>
    <w:rsid w:val="00286E13"/>
    <w:rsid w:val="00286F58"/>
    <w:rsid w:val="00286F89"/>
    <w:rsid w:val="00287006"/>
    <w:rsid w:val="00287037"/>
    <w:rsid w:val="00287401"/>
    <w:rsid w:val="002874C4"/>
    <w:rsid w:val="002874FE"/>
    <w:rsid w:val="002876B5"/>
    <w:rsid w:val="00287797"/>
    <w:rsid w:val="002877F8"/>
    <w:rsid w:val="00287A2D"/>
    <w:rsid w:val="00287A86"/>
    <w:rsid w:val="00287BC4"/>
    <w:rsid w:val="00287C90"/>
    <w:rsid w:val="00287D5E"/>
    <w:rsid w:val="00287D9D"/>
    <w:rsid w:val="0029000C"/>
    <w:rsid w:val="002900DA"/>
    <w:rsid w:val="002902A3"/>
    <w:rsid w:val="0029036A"/>
    <w:rsid w:val="00290521"/>
    <w:rsid w:val="002905FC"/>
    <w:rsid w:val="002907CE"/>
    <w:rsid w:val="00290C2A"/>
    <w:rsid w:val="00290D09"/>
    <w:rsid w:val="00290D0E"/>
    <w:rsid w:val="00290D63"/>
    <w:rsid w:val="00290E92"/>
    <w:rsid w:val="00290F03"/>
    <w:rsid w:val="00290F9E"/>
    <w:rsid w:val="0029114D"/>
    <w:rsid w:val="002912E7"/>
    <w:rsid w:val="00291417"/>
    <w:rsid w:val="0029143F"/>
    <w:rsid w:val="002915BD"/>
    <w:rsid w:val="00291710"/>
    <w:rsid w:val="0029172E"/>
    <w:rsid w:val="002917BA"/>
    <w:rsid w:val="00291833"/>
    <w:rsid w:val="0029191A"/>
    <w:rsid w:val="00291A13"/>
    <w:rsid w:val="00291AA9"/>
    <w:rsid w:val="00291BA8"/>
    <w:rsid w:val="00291E58"/>
    <w:rsid w:val="002920B0"/>
    <w:rsid w:val="0029228C"/>
    <w:rsid w:val="00292438"/>
    <w:rsid w:val="00292629"/>
    <w:rsid w:val="00292657"/>
    <w:rsid w:val="00292706"/>
    <w:rsid w:val="00292885"/>
    <w:rsid w:val="00292BB0"/>
    <w:rsid w:val="00292BF2"/>
    <w:rsid w:val="00292CF3"/>
    <w:rsid w:val="00292CFE"/>
    <w:rsid w:val="00292DA0"/>
    <w:rsid w:val="00292E9E"/>
    <w:rsid w:val="00292F69"/>
    <w:rsid w:val="00292FCA"/>
    <w:rsid w:val="002930BE"/>
    <w:rsid w:val="00293223"/>
    <w:rsid w:val="00293528"/>
    <w:rsid w:val="002937A4"/>
    <w:rsid w:val="002937D9"/>
    <w:rsid w:val="00293828"/>
    <w:rsid w:val="002938EE"/>
    <w:rsid w:val="00293A15"/>
    <w:rsid w:val="00293AFF"/>
    <w:rsid w:val="00293BD5"/>
    <w:rsid w:val="00293CB8"/>
    <w:rsid w:val="00293D73"/>
    <w:rsid w:val="00293E7E"/>
    <w:rsid w:val="00293EB4"/>
    <w:rsid w:val="00293FFC"/>
    <w:rsid w:val="00294038"/>
    <w:rsid w:val="0029447C"/>
    <w:rsid w:val="00294499"/>
    <w:rsid w:val="00294591"/>
    <w:rsid w:val="00294599"/>
    <w:rsid w:val="00294628"/>
    <w:rsid w:val="0029473C"/>
    <w:rsid w:val="0029476B"/>
    <w:rsid w:val="0029484A"/>
    <w:rsid w:val="00294944"/>
    <w:rsid w:val="00294946"/>
    <w:rsid w:val="00294AA2"/>
    <w:rsid w:val="00294B7F"/>
    <w:rsid w:val="00294C6F"/>
    <w:rsid w:val="00294FB7"/>
    <w:rsid w:val="00294FFC"/>
    <w:rsid w:val="00295045"/>
    <w:rsid w:val="00295056"/>
    <w:rsid w:val="002952AF"/>
    <w:rsid w:val="002952E7"/>
    <w:rsid w:val="00295398"/>
    <w:rsid w:val="00295409"/>
    <w:rsid w:val="00295511"/>
    <w:rsid w:val="0029551E"/>
    <w:rsid w:val="00295520"/>
    <w:rsid w:val="00295574"/>
    <w:rsid w:val="00295886"/>
    <w:rsid w:val="002958DD"/>
    <w:rsid w:val="00295C5E"/>
    <w:rsid w:val="00295C8A"/>
    <w:rsid w:val="00295CE2"/>
    <w:rsid w:val="00295D9E"/>
    <w:rsid w:val="00295F43"/>
    <w:rsid w:val="00295FBD"/>
    <w:rsid w:val="0029608E"/>
    <w:rsid w:val="002960A1"/>
    <w:rsid w:val="0029613D"/>
    <w:rsid w:val="002961D0"/>
    <w:rsid w:val="002961E8"/>
    <w:rsid w:val="0029626D"/>
    <w:rsid w:val="0029639A"/>
    <w:rsid w:val="002963EA"/>
    <w:rsid w:val="002964C9"/>
    <w:rsid w:val="0029655E"/>
    <w:rsid w:val="00296589"/>
    <w:rsid w:val="00296596"/>
    <w:rsid w:val="0029660F"/>
    <w:rsid w:val="00296614"/>
    <w:rsid w:val="00296645"/>
    <w:rsid w:val="002966FC"/>
    <w:rsid w:val="002968A2"/>
    <w:rsid w:val="00296EDF"/>
    <w:rsid w:val="0029713E"/>
    <w:rsid w:val="00297560"/>
    <w:rsid w:val="002975B9"/>
    <w:rsid w:val="0029764F"/>
    <w:rsid w:val="00297722"/>
    <w:rsid w:val="002977C8"/>
    <w:rsid w:val="0029793B"/>
    <w:rsid w:val="00297A24"/>
    <w:rsid w:val="00297A72"/>
    <w:rsid w:val="00297AB5"/>
    <w:rsid w:val="00297BA6"/>
    <w:rsid w:val="00297E0E"/>
    <w:rsid w:val="002A008E"/>
    <w:rsid w:val="002A0136"/>
    <w:rsid w:val="002A01C1"/>
    <w:rsid w:val="002A0275"/>
    <w:rsid w:val="002A0294"/>
    <w:rsid w:val="002A05F8"/>
    <w:rsid w:val="002A06D3"/>
    <w:rsid w:val="002A070E"/>
    <w:rsid w:val="002A0913"/>
    <w:rsid w:val="002A096B"/>
    <w:rsid w:val="002A0AEF"/>
    <w:rsid w:val="002A0BBA"/>
    <w:rsid w:val="002A0C8C"/>
    <w:rsid w:val="002A0D8F"/>
    <w:rsid w:val="002A0DC0"/>
    <w:rsid w:val="002A0DC2"/>
    <w:rsid w:val="002A111A"/>
    <w:rsid w:val="002A12E6"/>
    <w:rsid w:val="002A1320"/>
    <w:rsid w:val="002A149D"/>
    <w:rsid w:val="002A170A"/>
    <w:rsid w:val="002A177B"/>
    <w:rsid w:val="002A17CB"/>
    <w:rsid w:val="002A1857"/>
    <w:rsid w:val="002A18F9"/>
    <w:rsid w:val="002A19B6"/>
    <w:rsid w:val="002A1A7F"/>
    <w:rsid w:val="002A1B28"/>
    <w:rsid w:val="002A1B2E"/>
    <w:rsid w:val="002A1BDF"/>
    <w:rsid w:val="002A1C6A"/>
    <w:rsid w:val="002A1DB1"/>
    <w:rsid w:val="002A1E06"/>
    <w:rsid w:val="002A1E1F"/>
    <w:rsid w:val="002A1E32"/>
    <w:rsid w:val="002A1F3A"/>
    <w:rsid w:val="002A2224"/>
    <w:rsid w:val="002A2493"/>
    <w:rsid w:val="002A2609"/>
    <w:rsid w:val="002A2641"/>
    <w:rsid w:val="002A2A34"/>
    <w:rsid w:val="002A2B34"/>
    <w:rsid w:val="002A2BF9"/>
    <w:rsid w:val="002A2C4E"/>
    <w:rsid w:val="002A2C74"/>
    <w:rsid w:val="002A2E70"/>
    <w:rsid w:val="002A2FF9"/>
    <w:rsid w:val="002A31A8"/>
    <w:rsid w:val="002A3300"/>
    <w:rsid w:val="002A349A"/>
    <w:rsid w:val="002A36D1"/>
    <w:rsid w:val="002A3811"/>
    <w:rsid w:val="002A3823"/>
    <w:rsid w:val="002A3858"/>
    <w:rsid w:val="002A3934"/>
    <w:rsid w:val="002A3ADE"/>
    <w:rsid w:val="002A3C3B"/>
    <w:rsid w:val="002A3D21"/>
    <w:rsid w:val="002A3DA4"/>
    <w:rsid w:val="002A3F08"/>
    <w:rsid w:val="002A4096"/>
    <w:rsid w:val="002A4177"/>
    <w:rsid w:val="002A419D"/>
    <w:rsid w:val="002A4250"/>
    <w:rsid w:val="002A42CE"/>
    <w:rsid w:val="002A4330"/>
    <w:rsid w:val="002A4446"/>
    <w:rsid w:val="002A453F"/>
    <w:rsid w:val="002A466C"/>
    <w:rsid w:val="002A4725"/>
    <w:rsid w:val="002A48DA"/>
    <w:rsid w:val="002A48DC"/>
    <w:rsid w:val="002A49EB"/>
    <w:rsid w:val="002A4A19"/>
    <w:rsid w:val="002A4A32"/>
    <w:rsid w:val="002A4A64"/>
    <w:rsid w:val="002A4D3F"/>
    <w:rsid w:val="002A4D68"/>
    <w:rsid w:val="002A4EF0"/>
    <w:rsid w:val="002A4FB2"/>
    <w:rsid w:val="002A508A"/>
    <w:rsid w:val="002A521C"/>
    <w:rsid w:val="002A544C"/>
    <w:rsid w:val="002A5463"/>
    <w:rsid w:val="002A5529"/>
    <w:rsid w:val="002A56A5"/>
    <w:rsid w:val="002A589F"/>
    <w:rsid w:val="002A58E2"/>
    <w:rsid w:val="002A596B"/>
    <w:rsid w:val="002A5A67"/>
    <w:rsid w:val="002A5CD5"/>
    <w:rsid w:val="002A5D62"/>
    <w:rsid w:val="002A5DF4"/>
    <w:rsid w:val="002A5EF7"/>
    <w:rsid w:val="002A5F91"/>
    <w:rsid w:val="002A65BA"/>
    <w:rsid w:val="002A65E4"/>
    <w:rsid w:val="002A66EF"/>
    <w:rsid w:val="002A67EF"/>
    <w:rsid w:val="002A6911"/>
    <w:rsid w:val="002A69D6"/>
    <w:rsid w:val="002A69E7"/>
    <w:rsid w:val="002A6B33"/>
    <w:rsid w:val="002A70C3"/>
    <w:rsid w:val="002A7177"/>
    <w:rsid w:val="002A72C7"/>
    <w:rsid w:val="002A72FB"/>
    <w:rsid w:val="002A7324"/>
    <w:rsid w:val="002A7386"/>
    <w:rsid w:val="002A73E0"/>
    <w:rsid w:val="002A7532"/>
    <w:rsid w:val="002A78C9"/>
    <w:rsid w:val="002A78F4"/>
    <w:rsid w:val="002A790C"/>
    <w:rsid w:val="002A7987"/>
    <w:rsid w:val="002A79F5"/>
    <w:rsid w:val="002A7B26"/>
    <w:rsid w:val="002A7B2F"/>
    <w:rsid w:val="002A7B38"/>
    <w:rsid w:val="002A7C7E"/>
    <w:rsid w:val="002A7D05"/>
    <w:rsid w:val="002A7DCC"/>
    <w:rsid w:val="002B009F"/>
    <w:rsid w:val="002B024B"/>
    <w:rsid w:val="002B02A6"/>
    <w:rsid w:val="002B040B"/>
    <w:rsid w:val="002B05F6"/>
    <w:rsid w:val="002B0697"/>
    <w:rsid w:val="002B0719"/>
    <w:rsid w:val="002B077C"/>
    <w:rsid w:val="002B0882"/>
    <w:rsid w:val="002B0F9E"/>
    <w:rsid w:val="002B1085"/>
    <w:rsid w:val="002B1093"/>
    <w:rsid w:val="002B10F0"/>
    <w:rsid w:val="002B112D"/>
    <w:rsid w:val="002B11C5"/>
    <w:rsid w:val="002B13BE"/>
    <w:rsid w:val="002B147D"/>
    <w:rsid w:val="002B14B7"/>
    <w:rsid w:val="002B161D"/>
    <w:rsid w:val="002B165C"/>
    <w:rsid w:val="002B16DB"/>
    <w:rsid w:val="002B173B"/>
    <w:rsid w:val="002B17E7"/>
    <w:rsid w:val="002B191C"/>
    <w:rsid w:val="002B1925"/>
    <w:rsid w:val="002B1995"/>
    <w:rsid w:val="002B1A8F"/>
    <w:rsid w:val="002B1CAC"/>
    <w:rsid w:val="002B1CB2"/>
    <w:rsid w:val="002B1CCA"/>
    <w:rsid w:val="002B1CE1"/>
    <w:rsid w:val="002B1D0E"/>
    <w:rsid w:val="002B1E02"/>
    <w:rsid w:val="002B1FED"/>
    <w:rsid w:val="002B2019"/>
    <w:rsid w:val="002B202B"/>
    <w:rsid w:val="002B240A"/>
    <w:rsid w:val="002B269C"/>
    <w:rsid w:val="002B26F6"/>
    <w:rsid w:val="002B284A"/>
    <w:rsid w:val="002B2892"/>
    <w:rsid w:val="002B28FB"/>
    <w:rsid w:val="002B2A56"/>
    <w:rsid w:val="002B2B88"/>
    <w:rsid w:val="002B2C0A"/>
    <w:rsid w:val="002B2CA6"/>
    <w:rsid w:val="002B2CB6"/>
    <w:rsid w:val="002B2CB8"/>
    <w:rsid w:val="002B2D89"/>
    <w:rsid w:val="002B2F5D"/>
    <w:rsid w:val="002B3094"/>
    <w:rsid w:val="002B30FE"/>
    <w:rsid w:val="002B311C"/>
    <w:rsid w:val="002B321C"/>
    <w:rsid w:val="002B32DB"/>
    <w:rsid w:val="002B3430"/>
    <w:rsid w:val="002B3464"/>
    <w:rsid w:val="002B346C"/>
    <w:rsid w:val="002B3517"/>
    <w:rsid w:val="002B368A"/>
    <w:rsid w:val="002B3A6E"/>
    <w:rsid w:val="002B3B45"/>
    <w:rsid w:val="002B3B53"/>
    <w:rsid w:val="002B3BC4"/>
    <w:rsid w:val="002B3C1F"/>
    <w:rsid w:val="002B3D42"/>
    <w:rsid w:val="002B3D7D"/>
    <w:rsid w:val="002B3EB4"/>
    <w:rsid w:val="002B3F2D"/>
    <w:rsid w:val="002B3F71"/>
    <w:rsid w:val="002B40A2"/>
    <w:rsid w:val="002B4253"/>
    <w:rsid w:val="002B42A7"/>
    <w:rsid w:val="002B441F"/>
    <w:rsid w:val="002B448D"/>
    <w:rsid w:val="002B44FC"/>
    <w:rsid w:val="002B4570"/>
    <w:rsid w:val="002B45FE"/>
    <w:rsid w:val="002B4654"/>
    <w:rsid w:val="002B468B"/>
    <w:rsid w:val="002B4789"/>
    <w:rsid w:val="002B4881"/>
    <w:rsid w:val="002B48B0"/>
    <w:rsid w:val="002B4AC9"/>
    <w:rsid w:val="002B4B25"/>
    <w:rsid w:val="002B4BB0"/>
    <w:rsid w:val="002B4C20"/>
    <w:rsid w:val="002B5024"/>
    <w:rsid w:val="002B50BD"/>
    <w:rsid w:val="002B5391"/>
    <w:rsid w:val="002B53A1"/>
    <w:rsid w:val="002B5415"/>
    <w:rsid w:val="002B5575"/>
    <w:rsid w:val="002B5613"/>
    <w:rsid w:val="002B566E"/>
    <w:rsid w:val="002B56F7"/>
    <w:rsid w:val="002B5792"/>
    <w:rsid w:val="002B5992"/>
    <w:rsid w:val="002B5E35"/>
    <w:rsid w:val="002B5E38"/>
    <w:rsid w:val="002B5E82"/>
    <w:rsid w:val="002B5EED"/>
    <w:rsid w:val="002B5FB8"/>
    <w:rsid w:val="002B5FC9"/>
    <w:rsid w:val="002B60DD"/>
    <w:rsid w:val="002B622C"/>
    <w:rsid w:val="002B6282"/>
    <w:rsid w:val="002B63B5"/>
    <w:rsid w:val="002B63EA"/>
    <w:rsid w:val="002B657B"/>
    <w:rsid w:val="002B6678"/>
    <w:rsid w:val="002B66C7"/>
    <w:rsid w:val="002B67D6"/>
    <w:rsid w:val="002B6A9F"/>
    <w:rsid w:val="002B6BDE"/>
    <w:rsid w:val="002B6C3A"/>
    <w:rsid w:val="002B6C9D"/>
    <w:rsid w:val="002B6D5A"/>
    <w:rsid w:val="002B6ED9"/>
    <w:rsid w:val="002B6F62"/>
    <w:rsid w:val="002B6FDC"/>
    <w:rsid w:val="002B7278"/>
    <w:rsid w:val="002B733D"/>
    <w:rsid w:val="002B73D8"/>
    <w:rsid w:val="002B742A"/>
    <w:rsid w:val="002B7467"/>
    <w:rsid w:val="002B77EB"/>
    <w:rsid w:val="002B79D3"/>
    <w:rsid w:val="002B7BAB"/>
    <w:rsid w:val="002B7C7B"/>
    <w:rsid w:val="002B7D2E"/>
    <w:rsid w:val="002B7EC8"/>
    <w:rsid w:val="002C0140"/>
    <w:rsid w:val="002C02E1"/>
    <w:rsid w:val="002C06C1"/>
    <w:rsid w:val="002C0882"/>
    <w:rsid w:val="002C096A"/>
    <w:rsid w:val="002C0BCF"/>
    <w:rsid w:val="002C0CFE"/>
    <w:rsid w:val="002C0F62"/>
    <w:rsid w:val="002C0FC1"/>
    <w:rsid w:val="002C1049"/>
    <w:rsid w:val="002C1053"/>
    <w:rsid w:val="002C110F"/>
    <w:rsid w:val="002C12D3"/>
    <w:rsid w:val="002C14D4"/>
    <w:rsid w:val="002C14EA"/>
    <w:rsid w:val="002C153E"/>
    <w:rsid w:val="002C156A"/>
    <w:rsid w:val="002C1629"/>
    <w:rsid w:val="002C1656"/>
    <w:rsid w:val="002C1757"/>
    <w:rsid w:val="002C178E"/>
    <w:rsid w:val="002C1A27"/>
    <w:rsid w:val="002C1AA2"/>
    <w:rsid w:val="002C1ADF"/>
    <w:rsid w:val="002C1AF5"/>
    <w:rsid w:val="002C1B2C"/>
    <w:rsid w:val="002C1BCF"/>
    <w:rsid w:val="002C1C56"/>
    <w:rsid w:val="002C1CBB"/>
    <w:rsid w:val="002C1D05"/>
    <w:rsid w:val="002C1D39"/>
    <w:rsid w:val="002C1E8C"/>
    <w:rsid w:val="002C1FE9"/>
    <w:rsid w:val="002C202A"/>
    <w:rsid w:val="002C202C"/>
    <w:rsid w:val="002C20D7"/>
    <w:rsid w:val="002C20E5"/>
    <w:rsid w:val="002C2101"/>
    <w:rsid w:val="002C2682"/>
    <w:rsid w:val="002C2721"/>
    <w:rsid w:val="002C28A4"/>
    <w:rsid w:val="002C29BE"/>
    <w:rsid w:val="002C2B6C"/>
    <w:rsid w:val="002C2BC7"/>
    <w:rsid w:val="002C2C76"/>
    <w:rsid w:val="002C30EB"/>
    <w:rsid w:val="002C3106"/>
    <w:rsid w:val="002C31A6"/>
    <w:rsid w:val="002C3521"/>
    <w:rsid w:val="002C370D"/>
    <w:rsid w:val="002C3880"/>
    <w:rsid w:val="002C3D2B"/>
    <w:rsid w:val="002C3EF0"/>
    <w:rsid w:val="002C3F33"/>
    <w:rsid w:val="002C3FAF"/>
    <w:rsid w:val="002C4006"/>
    <w:rsid w:val="002C406F"/>
    <w:rsid w:val="002C4143"/>
    <w:rsid w:val="002C418A"/>
    <w:rsid w:val="002C43CD"/>
    <w:rsid w:val="002C44AE"/>
    <w:rsid w:val="002C4628"/>
    <w:rsid w:val="002C4664"/>
    <w:rsid w:val="002C469B"/>
    <w:rsid w:val="002C4779"/>
    <w:rsid w:val="002C49E1"/>
    <w:rsid w:val="002C4B77"/>
    <w:rsid w:val="002C4BFE"/>
    <w:rsid w:val="002C4D03"/>
    <w:rsid w:val="002C4D90"/>
    <w:rsid w:val="002C4D9D"/>
    <w:rsid w:val="002C5234"/>
    <w:rsid w:val="002C5350"/>
    <w:rsid w:val="002C53D0"/>
    <w:rsid w:val="002C5417"/>
    <w:rsid w:val="002C544B"/>
    <w:rsid w:val="002C5466"/>
    <w:rsid w:val="002C55AA"/>
    <w:rsid w:val="002C5602"/>
    <w:rsid w:val="002C5913"/>
    <w:rsid w:val="002C5A20"/>
    <w:rsid w:val="002C5A4E"/>
    <w:rsid w:val="002C5AA2"/>
    <w:rsid w:val="002C5AB2"/>
    <w:rsid w:val="002C5BE0"/>
    <w:rsid w:val="002C5C67"/>
    <w:rsid w:val="002C5E09"/>
    <w:rsid w:val="002C5E6D"/>
    <w:rsid w:val="002C5FCA"/>
    <w:rsid w:val="002C6078"/>
    <w:rsid w:val="002C60E9"/>
    <w:rsid w:val="002C62E1"/>
    <w:rsid w:val="002C631B"/>
    <w:rsid w:val="002C63DF"/>
    <w:rsid w:val="002C6419"/>
    <w:rsid w:val="002C65F6"/>
    <w:rsid w:val="002C660F"/>
    <w:rsid w:val="002C690E"/>
    <w:rsid w:val="002C6947"/>
    <w:rsid w:val="002C69D3"/>
    <w:rsid w:val="002C6A83"/>
    <w:rsid w:val="002C6DCD"/>
    <w:rsid w:val="002C6F24"/>
    <w:rsid w:val="002C6F94"/>
    <w:rsid w:val="002C702B"/>
    <w:rsid w:val="002C71F8"/>
    <w:rsid w:val="002C72F8"/>
    <w:rsid w:val="002C7343"/>
    <w:rsid w:val="002C756F"/>
    <w:rsid w:val="002C770E"/>
    <w:rsid w:val="002C7713"/>
    <w:rsid w:val="002C77D6"/>
    <w:rsid w:val="002C78AA"/>
    <w:rsid w:val="002C7B01"/>
    <w:rsid w:val="002C7B6C"/>
    <w:rsid w:val="002C7C40"/>
    <w:rsid w:val="002C7D69"/>
    <w:rsid w:val="002C7EE9"/>
    <w:rsid w:val="002D003E"/>
    <w:rsid w:val="002D039A"/>
    <w:rsid w:val="002D0593"/>
    <w:rsid w:val="002D05FD"/>
    <w:rsid w:val="002D0706"/>
    <w:rsid w:val="002D07DF"/>
    <w:rsid w:val="002D0874"/>
    <w:rsid w:val="002D09CF"/>
    <w:rsid w:val="002D09EB"/>
    <w:rsid w:val="002D0A11"/>
    <w:rsid w:val="002D0D37"/>
    <w:rsid w:val="002D0D51"/>
    <w:rsid w:val="002D0EAC"/>
    <w:rsid w:val="002D0EF9"/>
    <w:rsid w:val="002D0F15"/>
    <w:rsid w:val="002D1086"/>
    <w:rsid w:val="002D10D5"/>
    <w:rsid w:val="002D13F3"/>
    <w:rsid w:val="002D15A2"/>
    <w:rsid w:val="002D15F0"/>
    <w:rsid w:val="002D1783"/>
    <w:rsid w:val="002D1955"/>
    <w:rsid w:val="002D1ADB"/>
    <w:rsid w:val="002D1AE6"/>
    <w:rsid w:val="002D1B8D"/>
    <w:rsid w:val="002D1C6B"/>
    <w:rsid w:val="002D1D28"/>
    <w:rsid w:val="002D1E8B"/>
    <w:rsid w:val="002D2009"/>
    <w:rsid w:val="002D21D1"/>
    <w:rsid w:val="002D252B"/>
    <w:rsid w:val="002D252F"/>
    <w:rsid w:val="002D2798"/>
    <w:rsid w:val="002D27FE"/>
    <w:rsid w:val="002D2864"/>
    <w:rsid w:val="002D28CA"/>
    <w:rsid w:val="002D2963"/>
    <w:rsid w:val="002D2AFE"/>
    <w:rsid w:val="002D2D8D"/>
    <w:rsid w:val="002D2E0F"/>
    <w:rsid w:val="002D3150"/>
    <w:rsid w:val="002D31D7"/>
    <w:rsid w:val="002D3276"/>
    <w:rsid w:val="002D3298"/>
    <w:rsid w:val="002D33AF"/>
    <w:rsid w:val="002D3727"/>
    <w:rsid w:val="002D3A91"/>
    <w:rsid w:val="002D3B0A"/>
    <w:rsid w:val="002D3C25"/>
    <w:rsid w:val="002D3C53"/>
    <w:rsid w:val="002D3E9D"/>
    <w:rsid w:val="002D41B9"/>
    <w:rsid w:val="002D4418"/>
    <w:rsid w:val="002D4420"/>
    <w:rsid w:val="002D4846"/>
    <w:rsid w:val="002D4859"/>
    <w:rsid w:val="002D4DBF"/>
    <w:rsid w:val="002D4E99"/>
    <w:rsid w:val="002D50BF"/>
    <w:rsid w:val="002D5174"/>
    <w:rsid w:val="002D540A"/>
    <w:rsid w:val="002D5503"/>
    <w:rsid w:val="002D55C7"/>
    <w:rsid w:val="002D55CA"/>
    <w:rsid w:val="002D564A"/>
    <w:rsid w:val="002D571D"/>
    <w:rsid w:val="002D57CC"/>
    <w:rsid w:val="002D5868"/>
    <w:rsid w:val="002D58E8"/>
    <w:rsid w:val="002D58FF"/>
    <w:rsid w:val="002D5965"/>
    <w:rsid w:val="002D599C"/>
    <w:rsid w:val="002D5A18"/>
    <w:rsid w:val="002D5A89"/>
    <w:rsid w:val="002D5D28"/>
    <w:rsid w:val="002D5DC0"/>
    <w:rsid w:val="002D5F8A"/>
    <w:rsid w:val="002D5FEB"/>
    <w:rsid w:val="002D6096"/>
    <w:rsid w:val="002D6169"/>
    <w:rsid w:val="002D6288"/>
    <w:rsid w:val="002D62D2"/>
    <w:rsid w:val="002D63E1"/>
    <w:rsid w:val="002D63F7"/>
    <w:rsid w:val="002D64E4"/>
    <w:rsid w:val="002D65AF"/>
    <w:rsid w:val="002D660F"/>
    <w:rsid w:val="002D6644"/>
    <w:rsid w:val="002D6773"/>
    <w:rsid w:val="002D6860"/>
    <w:rsid w:val="002D6BDA"/>
    <w:rsid w:val="002D6DE8"/>
    <w:rsid w:val="002D6ED5"/>
    <w:rsid w:val="002D7099"/>
    <w:rsid w:val="002D70B4"/>
    <w:rsid w:val="002D75DB"/>
    <w:rsid w:val="002D7604"/>
    <w:rsid w:val="002D763C"/>
    <w:rsid w:val="002D7649"/>
    <w:rsid w:val="002D76B2"/>
    <w:rsid w:val="002D77F0"/>
    <w:rsid w:val="002D781C"/>
    <w:rsid w:val="002D78E2"/>
    <w:rsid w:val="002D79BE"/>
    <w:rsid w:val="002D7C2E"/>
    <w:rsid w:val="002D7E41"/>
    <w:rsid w:val="002D7E9C"/>
    <w:rsid w:val="002D7EEC"/>
    <w:rsid w:val="002D7F1E"/>
    <w:rsid w:val="002D7FA6"/>
    <w:rsid w:val="002D7FC9"/>
    <w:rsid w:val="002E000F"/>
    <w:rsid w:val="002E00E7"/>
    <w:rsid w:val="002E01A2"/>
    <w:rsid w:val="002E01C4"/>
    <w:rsid w:val="002E0232"/>
    <w:rsid w:val="002E02AB"/>
    <w:rsid w:val="002E04AE"/>
    <w:rsid w:val="002E050A"/>
    <w:rsid w:val="002E0674"/>
    <w:rsid w:val="002E0685"/>
    <w:rsid w:val="002E0867"/>
    <w:rsid w:val="002E08DF"/>
    <w:rsid w:val="002E098D"/>
    <w:rsid w:val="002E0C32"/>
    <w:rsid w:val="002E0D34"/>
    <w:rsid w:val="002E0DB1"/>
    <w:rsid w:val="002E0DB8"/>
    <w:rsid w:val="002E0E2C"/>
    <w:rsid w:val="002E0ECC"/>
    <w:rsid w:val="002E0EF2"/>
    <w:rsid w:val="002E1003"/>
    <w:rsid w:val="002E1176"/>
    <w:rsid w:val="002E11CF"/>
    <w:rsid w:val="002E1254"/>
    <w:rsid w:val="002E12AE"/>
    <w:rsid w:val="002E1399"/>
    <w:rsid w:val="002E13F2"/>
    <w:rsid w:val="002E14D8"/>
    <w:rsid w:val="002E15D6"/>
    <w:rsid w:val="002E1609"/>
    <w:rsid w:val="002E16B2"/>
    <w:rsid w:val="002E17F2"/>
    <w:rsid w:val="002E184A"/>
    <w:rsid w:val="002E18F0"/>
    <w:rsid w:val="002E18F2"/>
    <w:rsid w:val="002E1D1A"/>
    <w:rsid w:val="002E1D87"/>
    <w:rsid w:val="002E1D9D"/>
    <w:rsid w:val="002E1F4C"/>
    <w:rsid w:val="002E2096"/>
    <w:rsid w:val="002E2111"/>
    <w:rsid w:val="002E2183"/>
    <w:rsid w:val="002E22D4"/>
    <w:rsid w:val="002E2349"/>
    <w:rsid w:val="002E23E0"/>
    <w:rsid w:val="002E2455"/>
    <w:rsid w:val="002E2475"/>
    <w:rsid w:val="002E25B6"/>
    <w:rsid w:val="002E2601"/>
    <w:rsid w:val="002E2704"/>
    <w:rsid w:val="002E2705"/>
    <w:rsid w:val="002E2837"/>
    <w:rsid w:val="002E28CC"/>
    <w:rsid w:val="002E298C"/>
    <w:rsid w:val="002E2A5A"/>
    <w:rsid w:val="002E2ABE"/>
    <w:rsid w:val="002E2DDB"/>
    <w:rsid w:val="002E2E89"/>
    <w:rsid w:val="002E2FF4"/>
    <w:rsid w:val="002E30C7"/>
    <w:rsid w:val="002E313D"/>
    <w:rsid w:val="002E3195"/>
    <w:rsid w:val="002E33BA"/>
    <w:rsid w:val="002E33F3"/>
    <w:rsid w:val="002E341E"/>
    <w:rsid w:val="002E344A"/>
    <w:rsid w:val="002E35BE"/>
    <w:rsid w:val="002E3630"/>
    <w:rsid w:val="002E3656"/>
    <w:rsid w:val="002E37B5"/>
    <w:rsid w:val="002E37CD"/>
    <w:rsid w:val="002E3924"/>
    <w:rsid w:val="002E399E"/>
    <w:rsid w:val="002E3AF1"/>
    <w:rsid w:val="002E3C0E"/>
    <w:rsid w:val="002E3C2E"/>
    <w:rsid w:val="002E3D42"/>
    <w:rsid w:val="002E3D67"/>
    <w:rsid w:val="002E3E27"/>
    <w:rsid w:val="002E3FC8"/>
    <w:rsid w:val="002E40FD"/>
    <w:rsid w:val="002E4283"/>
    <w:rsid w:val="002E4408"/>
    <w:rsid w:val="002E4576"/>
    <w:rsid w:val="002E46C5"/>
    <w:rsid w:val="002E484C"/>
    <w:rsid w:val="002E49A7"/>
    <w:rsid w:val="002E49ED"/>
    <w:rsid w:val="002E4B6F"/>
    <w:rsid w:val="002E4BD6"/>
    <w:rsid w:val="002E4C26"/>
    <w:rsid w:val="002E4D84"/>
    <w:rsid w:val="002E4DD3"/>
    <w:rsid w:val="002E4EA8"/>
    <w:rsid w:val="002E5067"/>
    <w:rsid w:val="002E509E"/>
    <w:rsid w:val="002E515F"/>
    <w:rsid w:val="002E537E"/>
    <w:rsid w:val="002E53E8"/>
    <w:rsid w:val="002E55BA"/>
    <w:rsid w:val="002E5669"/>
    <w:rsid w:val="002E574A"/>
    <w:rsid w:val="002E58C5"/>
    <w:rsid w:val="002E5A05"/>
    <w:rsid w:val="002E5A8B"/>
    <w:rsid w:val="002E5BC7"/>
    <w:rsid w:val="002E5CE0"/>
    <w:rsid w:val="002E5F3C"/>
    <w:rsid w:val="002E61E3"/>
    <w:rsid w:val="002E62A4"/>
    <w:rsid w:val="002E64A4"/>
    <w:rsid w:val="002E6672"/>
    <w:rsid w:val="002E66EC"/>
    <w:rsid w:val="002E6A9D"/>
    <w:rsid w:val="002E6C40"/>
    <w:rsid w:val="002E6C85"/>
    <w:rsid w:val="002E6CCD"/>
    <w:rsid w:val="002E6CFA"/>
    <w:rsid w:val="002E6D9E"/>
    <w:rsid w:val="002E6DBA"/>
    <w:rsid w:val="002E6F82"/>
    <w:rsid w:val="002E6F93"/>
    <w:rsid w:val="002E7070"/>
    <w:rsid w:val="002E70C1"/>
    <w:rsid w:val="002E7216"/>
    <w:rsid w:val="002E73DA"/>
    <w:rsid w:val="002E73E3"/>
    <w:rsid w:val="002E7458"/>
    <w:rsid w:val="002E7494"/>
    <w:rsid w:val="002E75FA"/>
    <w:rsid w:val="002E7610"/>
    <w:rsid w:val="002E765F"/>
    <w:rsid w:val="002E77EC"/>
    <w:rsid w:val="002E7B52"/>
    <w:rsid w:val="002E7B57"/>
    <w:rsid w:val="002E7BD0"/>
    <w:rsid w:val="002E7D64"/>
    <w:rsid w:val="002E7DF5"/>
    <w:rsid w:val="002E7F1D"/>
    <w:rsid w:val="002F00B3"/>
    <w:rsid w:val="002F017E"/>
    <w:rsid w:val="002F045C"/>
    <w:rsid w:val="002F0514"/>
    <w:rsid w:val="002F057C"/>
    <w:rsid w:val="002F065E"/>
    <w:rsid w:val="002F068C"/>
    <w:rsid w:val="002F08DD"/>
    <w:rsid w:val="002F08EC"/>
    <w:rsid w:val="002F09B9"/>
    <w:rsid w:val="002F0B04"/>
    <w:rsid w:val="002F0B3D"/>
    <w:rsid w:val="002F0B9D"/>
    <w:rsid w:val="002F0C52"/>
    <w:rsid w:val="002F0F20"/>
    <w:rsid w:val="002F103F"/>
    <w:rsid w:val="002F108B"/>
    <w:rsid w:val="002F10C2"/>
    <w:rsid w:val="002F10F3"/>
    <w:rsid w:val="002F11D0"/>
    <w:rsid w:val="002F11F8"/>
    <w:rsid w:val="002F12D2"/>
    <w:rsid w:val="002F12FA"/>
    <w:rsid w:val="002F13F2"/>
    <w:rsid w:val="002F1541"/>
    <w:rsid w:val="002F15E9"/>
    <w:rsid w:val="002F173A"/>
    <w:rsid w:val="002F17A9"/>
    <w:rsid w:val="002F18AC"/>
    <w:rsid w:val="002F1B7D"/>
    <w:rsid w:val="002F1D4B"/>
    <w:rsid w:val="002F1D4F"/>
    <w:rsid w:val="002F1E55"/>
    <w:rsid w:val="002F1F78"/>
    <w:rsid w:val="002F2093"/>
    <w:rsid w:val="002F20CE"/>
    <w:rsid w:val="002F2249"/>
    <w:rsid w:val="002F22D1"/>
    <w:rsid w:val="002F232E"/>
    <w:rsid w:val="002F23B0"/>
    <w:rsid w:val="002F2467"/>
    <w:rsid w:val="002F254A"/>
    <w:rsid w:val="002F2559"/>
    <w:rsid w:val="002F258F"/>
    <w:rsid w:val="002F26EE"/>
    <w:rsid w:val="002F271E"/>
    <w:rsid w:val="002F272E"/>
    <w:rsid w:val="002F27E4"/>
    <w:rsid w:val="002F29CA"/>
    <w:rsid w:val="002F2A4A"/>
    <w:rsid w:val="002F2D2F"/>
    <w:rsid w:val="002F2EE3"/>
    <w:rsid w:val="002F2F31"/>
    <w:rsid w:val="002F2FBD"/>
    <w:rsid w:val="002F31E2"/>
    <w:rsid w:val="002F31F3"/>
    <w:rsid w:val="002F335D"/>
    <w:rsid w:val="002F33AC"/>
    <w:rsid w:val="002F35EE"/>
    <w:rsid w:val="002F3613"/>
    <w:rsid w:val="002F3882"/>
    <w:rsid w:val="002F3951"/>
    <w:rsid w:val="002F395F"/>
    <w:rsid w:val="002F3A6E"/>
    <w:rsid w:val="002F3B2F"/>
    <w:rsid w:val="002F3B9B"/>
    <w:rsid w:val="002F3C45"/>
    <w:rsid w:val="002F4217"/>
    <w:rsid w:val="002F425F"/>
    <w:rsid w:val="002F451A"/>
    <w:rsid w:val="002F453C"/>
    <w:rsid w:val="002F46F3"/>
    <w:rsid w:val="002F4711"/>
    <w:rsid w:val="002F48A2"/>
    <w:rsid w:val="002F49F8"/>
    <w:rsid w:val="002F4B03"/>
    <w:rsid w:val="002F4BA2"/>
    <w:rsid w:val="002F4C4A"/>
    <w:rsid w:val="002F4C8A"/>
    <w:rsid w:val="002F4CFD"/>
    <w:rsid w:val="002F4E5F"/>
    <w:rsid w:val="002F4F2C"/>
    <w:rsid w:val="002F503F"/>
    <w:rsid w:val="002F50EC"/>
    <w:rsid w:val="002F52EB"/>
    <w:rsid w:val="002F54EB"/>
    <w:rsid w:val="002F5728"/>
    <w:rsid w:val="002F5752"/>
    <w:rsid w:val="002F584C"/>
    <w:rsid w:val="002F584F"/>
    <w:rsid w:val="002F58D3"/>
    <w:rsid w:val="002F58FD"/>
    <w:rsid w:val="002F5A80"/>
    <w:rsid w:val="002F5AAC"/>
    <w:rsid w:val="002F5AD0"/>
    <w:rsid w:val="002F5AF4"/>
    <w:rsid w:val="002F5B1E"/>
    <w:rsid w:val="002F5B4A"/>
    <w:rsid w:val="002F5C75"/>
    <w:rsid w:val="002F5D3D"/>
    <w:rsid w:val="002F5DC4"/>
    <w:rsid w:val="002F5E31"/>
    <w:rsid w:val="002F5ED9"/>
    <w:rsid w:val="002F5EDC"/>
    <w:rsid w:val="002F60E4"/>
    <w:rsid w:val="002F6199"/>
    <w:rsid w:val="002F63E5"/>
    <w:rsid w:val="002F65CA"/>
    <w:rsid w:val="002F6733"/>
    <w:rsid w:val="002F673C"/>
    <w:rsid w:val="002F68ED"/>
    <w:rsid w:val="002F696B"/>
    <w:rsid w:val="002F6A4E"/>
    <w:rsid w:val="002F6BD8"/>
    <w:rsid w:val="002F6C9D"/>
    <w:rsid w:val="002F6D71"/>
    <w:rsid w:val="002F6DBC"/>
    <w:rsid w:val="002F6E66"/>
    <w:rsid w:val="002F6EB5"/>
    <w:rsid w:val="002F6ECF"/>
    <w:rsid w:val="002F6F2A"/>
    <w:rsid w:val="002F6FB1"/>
    <w:rsid w:val="002F6FC6"/>
    <w:rsid w:val="002F7282"/>
    <w:rsid w:val="002F72F4"/>
    <w:rsid w:val="002F7433"/>
    <w:rsid w:val="002F7675"/>
    <w:rsid w:val="002F7AC6"/>
    <w:rsid w:val="002F7C0F"/>
    <w:rsid w:val="002F7DC6"/>
    <w:rsid w:val="002F7ED2"/>
    <w:rsid w:val="002F7F0D"/>
    <w:rsid w:val="003000B9"/>
    <w:rsid w:val="003002B2"/>
    <w:rsid w:val="00300311"/>
    <w:rsid w:val="00300605"/>
    <w:rsid w:val="00300644"/>
    <w:rsid w:val="003006BA"/>
    <w:rsid w:val="0030074B"/>
    <w:rsid w:val="00300759"/>
    <w:rsid w:val="00300818"/>
    <w:rsid w:val="0030091D"/>
    <w:rsid w:val="00300A93"/>
    <w:rsid w:val="00300D3F"/>
    <w:rsid w:val="0030113C"/>
    <w:rsid w:val="00301320"/>
    <w:rsid w:val="00301352"/>
    <w:rsid w:val="0030141A"/>
    <w:rsid w:val="003014D4"/>
    <w:rsid w:val="0030160C"/>
    <w:rsid w:val="00301617"/>
    <w:rsid w:val="003016AD"/>
    <w:rsid w:val="003017F2"/>
    <w:rsid w:val="0030198A"/>
    <w:rsid w:val="00301A6A"/>
    <w:rsid w:val="00301AD3"/>
    <w:rsid w:val="00301BDA"/>
    <w:rsid w:val="00301F36"/>
    <w:rsid w:val="00301FF0"/>
    <w:rsid w:val="0030235A"/>
    <w:rsid w:val="00302377"/>
    <w:rsid w:val="0030240A"/>
    <w:rsid w:val="003024C9"/>
    <w:rsid w:val="003024FA"/>
    <w:rsid w:val="003025F7"/>
    <w:rsid w:val="003026B6"/>
    <w:rsid w:val="003027DD"/>
    <w:rsid w:val="00302B3B"/>
    <w:rsid w:val="00302B81"/>
    <w:rsid w:val="00302BFF"/>
    <w:rsid w:val="00302C08"/>
    <w:rsid w:val="00302E38"/>
    <w:rsid w:val="00302E92"/>
    <w:rsid w:val="00302F38"/>
    <w:rsid w:val="00302F96"/>
    <w:rsid w:val="0030326F"/>
    <w:rsid w:val="003032E4"/>
    <w:rsid w:val="00303323"/>
    <w:rsid w:val="00303334"/>
    <w:rsid w:val="003033C0"/>
    <w:rsid w:val="003035CE"/>
    <w:rsid w:val="00303617"/>
    <w:rsid w:val="003036D9"/>
    <w:rsid w:val="00303835"/>
    <w:rsid w:val="003038D5"/>
    <w:rsid w:val="00303BD5"/>
    <w:rsid w:val="00303E4D"/>
    <w:rsid w:val="00303EBC"/>
    <w:rsid w:val="00303EF4"/>
    <w:rsid w:val="00303F05"/>
    <w:rsid w:val="00303F44"/>
    <w:rsid w:val="00304182"/>
    <w:rsid w:val="003041BC"/>
    <w:rsid w:val="003042D4"/>
    <w:rsid w:val="00304375"/>
    <w:rsid w:val="0030452D"/>
    <w:rsid w:val="003045AF"/>
    <w:rsid w:val="0030467B"/>
    <w:rsid w:val="0030467D"/>
    <w:rsid w:val="00304720"/>
    <w:rsid w:val="003047DE"/>
    <w:rsid w:val="00304842"/>
    <w:rsid w:val="0030484B"/>
    <w:rsid w:val="003048A5"/>
    <w:rsid w:val="00304A42"/>
    <w:rsid w:val="00304D98"/>
    <w:rsid w:val="00304E07"/>
    <w:rsid w:val="00304E13"/>
    <w:rsid w:val="00304E35"/>
    <w:rsid w:val="00304E9E"/>
    <w:rsid w:val="003051A2"/>
    <w:rsid w:val="00305263"/>
    <w:rsid w:val="003054C3"/>
    <w:rsid w:val="0030569D"/>
    <w:rsid w:val="003057C6"/>
    <w:rsid w:val="00305BCD"/>
    <w:rsid w:val="00305D2D"/>
    <w:rsid w:val="00305DED"/>
    <w:rsid w:val="00305EB4"/>
    <w:rsid w:val="00305EEF"/>
    <w:rsid w:val="00306027"/>
    <w:rsid w:val="003060B9"/>
    <w:rsid w:val="003060F0"/>
    <w:rsid w:val="00306155"/>
    <w:rsid w:val="00306294"/>
    <w:rsid w:val="0030631F"/>
    <w:rsid w:val="0030645B"/>
    <w:rsid w:val="0030654A"/>
    <w:rsid w:val="003066D3"/>
    <w:rsid w:val="00306755"/>
    <w:rsid w:val="00306787"/>
    <w:rsid w:val="003067D5"/>
    <w:rsid w:val="00306986"/>
    <w:rsid w:val="00306C48"/>
    <w:rsid w:val="00306D08"/>
    <w:rsid w:val="00306E9E"/>
    <w:rsid w:val="00306FAA"/>
    <w:rsid w:val="003070DA"/>
    <w:rsid w:val="003072A9"/>
    <w:rsid w:val="00307389"/>
    <w:rsid w:val="00307403"/>
    <w:rsid w:val="00307A19"/>
    <w:rsid w:val="00307BAC"/>
    <w:rsid w:val="00307D65"/>
    <w:rsid w:val="00307DE6"/>
    <w:rsid w:val="00307F70"/>
    <w:rsid w:val="00310060"/>
    <w:rsid w:val="003100D2"/>
    <w:rsid w:val="00310453"/>
    <w:rsid w:val="00310468"/>
    <w:rsid w:val="003104EE"/>
    <w:rsid w:val="003107EA"/>
    <w:rsid w:val="00310822"/>
    <w:rsid w:val="0031084C"/>
    <w:rsid w:val="00310881"/>
    <w:rsid w:val="003109DA"/>
    <w:rsid w:val="00310A3E"/>
    <w:rsid w:val="00310AED"/>
    <w:rsid w:val="00310BFE"/>
    <w:rsid w:val="00310D46"/>
    <w:rsid w:val="00310EED"/>
    <w:rsid w:val="00310F5C"/>
    <w:rsid w:val="00311049"/>
    <w:rsid w:val="00311051"/>
    <w:rsid w:val="00311164"/>
    <w:rsid w:val="003114D5"/>
    <w:rsid w:val="003115D9"/>
    <w:rsid w:val="003116FF"/>
    <w:rsid w:val="0031182A"/>
    <w:rsid w:val="0031197D"/>
    <w:rsid w:val="00311AD0"/>
    <w:rsid w:val="00311D2B"/>
    <w:rsid w:val="00311E66"/>
    <w:rsid w:val="00311F5E"/>
    <w:rsid w:val="00311F91"/>
    <w:rsid w:val="00312003"/>
    <w:rsid w:val="00312108"/>
    <w:rsid w:val="00312246"/>
    <w:rsid w:val="0031226A"/>
    <w:rsid w:val="003122C4"/>
    <w:rsid w:val="0031251E"/>
    <w:rsid w:val="003125C9"/>
    <w:rsid w:val="00312603"/>
    <w:rsid w:val="0031287F"/>
    <w:rsid w:val="003129E3"/>
    <w:rsid w:val="00312AC5"/>
    <w:rsid w:val="00312C4B"/>
    <w:rsid w:val="00312C81"/>
    <w:rsid w:val="00312D5E"/>
    <w:rsid w:val="00312ED3"/>
    <w:rsid w:val="00312F5B"/>
    <w:rsid w:val="00312FFD"/>
    <w:rsid w:val="003131AB"/>
    <w:rsid w:val="003131EA"/>
    <w:rsid w:val="00313211"/>
    <w:rsid w:val="0031324A"/>
    <w:rsid w:val="00313281"/>
    <w:rsid w:val="0031348A"/>
    <w:rsid w:val="003134A4"/>
    <w:rsid w:val="003135D8"/>
    <w:rsid w:val="00313754"/>
    <w:rsid w:val="00313841"/>
    <w:rsid w:val="003139AC"/>
    <w:rsid w:val="00313AF1"/>
    <w:rsid w:val="00313B1B"/>
    <w:rsid w:val="00313CEC"/>
    <w:rsid w:val="00313D05"/>
    <w:rsid w:val="00313FE9"/>
    <w:rsid w:val="00313FF6"/>
    <w:rsid w:val="00314089"/>
    <w:rsid w:val="003140BD"/>
    <w:rsid w:val="003141F9"/>
    <w:rsid w:val="0031422C"/>
    <w:rsid w:val="00314560"/>
    <w:rsid w:val="003145B6"/>
    <w:rsid w:val="00314636"/>
    <w:rsid w:val="00314915"/>
    <w:rsid w:val="0031496C"/>
    <w:rsid w:val="003149EB"/>
    <w:rsid w:val="00314B1E"/>
    <w:rsid w:val="00314C10"/>
    <w:rsid w:val="00314E6E"/>
    <w:rsid w:val="00314F59"/>
    <w:rsid w:val="003151A7"/>
    <w:rsid w:val="003151F6"/>
    <w:rsid w:val="00315215"/>
    <w:rsid w:val="00315276"/>
    <w:rsid w:val="00315282"/>
    <w:rsid w:val="003153A9"/>
    <w:rsid w:val="00315432"/>
    <w:rsid w:val="0031559C"/>
    <w:rsid w:val="00315B60"/>
    <w:rsid w:val="00315B7B"/>
    <w:rsid w:val="00315C7D"/>
    <w:rsid w:val="00315DE0"/>
    <w:rsid w:val="0031614B"/>
    <w:rsid w:val="003161E1"/>
    <w:rsid w:val="0031621B"/>
    <w:rsid w:val="003162C6"/>
    <w:rsid w:val="003162F1"/>
    <w:rsid w:val="00316391"/>
    <w:rsid w:val="00316679"/>
    <w:rsid w:val="003166B6"/>
    <w:rsid w:val="00316C04"/>
    <w:rsid w:val="00316C4D"/>
    <w:rsid w:val="00316E79"/>
    <w:rsid w:val="00316EDA"/>
    <w:rsid w:val="003170BC"/>
    <w:rsid w:val="00317198"/>
    <w:rsid w:val="003171A5"/>
    <w:rsid w:val="003171CD"/>
    <w:rsid w:val="0031727E"/>
    <w:rsid w:val="00317373"/>
    <w:rsid w:val="003177DA"/>
    <w:rsid w:val="003177E0"/>
    <w:rsid w:val="00317916"/>
    <w:rsid w:val="00317DE4"/>
    <w:rsid w:val="00317E43"/>
    <w:rsid w:val="00317E9F"/>
    <w:rsid w:val="00317EF3"/>
    <w:rsid w:val="00317F9E"/>
    <w:rsid w:val="00320067"/>
    <w:rsid w:val="003200C1"/>
    <w:rsid w:val="00320311"/>
    <w:rsid w:val="00320414"/>
    <w:rsid w:val="003205E8"/>
    <w:rsid w:val="003206E5"/>
    <w:rsid w:val="00320738"/>
    <w:rsid w:val="00320818"/>
    <w:rsid w:val="00320914"/>
    <w:rsid w:val="00320B19"/>
    <w:rsid w:val="00320B4C"/>
    <w:rsid w:val="00320BEE"/>
    <w:rsid w:val="00320E99"/>
    <w:rsid w:val="00320FDE"/>
    <w:rsid w:val="00321343"/>
    <w:rsid w:val="003215C4"/>
    <w:rsid w:val="00321667"/>
    <w:rsid w:val="00321679"/>
    <w:rsid w:val="00321A08"/>
    <w:rsid w:val="00321B80"/>
    <w:rsid w:val="00321BB1"/>
    <w:rsid w:val="00321BE9"/>
    <w:rsid w:val="00321C24"/>
    <w:rsid w:val="00321D93"/>
    <w:rsid w:val="00321E30"/>
    <w:rsid w:val="00321E7D"/>
    <w:rsid w:val="00321F0D"/>
    <w:rsid w:val="0032203A"/>
    <w:rsid w:val="003220D5"/>
    <w:rsid w:val="003220E6"/>
    <w:rsid w:val="00322194"/>
    <w:rsid w:val="0032221E"/>
    <w:rsid w:val="003222A9"/>
    <w:rsid w:val="0032237C"/>
    <w:rsid w:val="0032253B"/>
    <w:rsid w:val="0032271A"/>
    <w:rsid w:val="00322723"/>
    <w:rsid w:val="00322762"/>
    <w:rsid w:val="00322B76"/>
    <w:rsid w:val="00322C79"/>
    <w:rsid w:val="00322DA9"/>
    <w:rsid w:val="00322DD2"/>
    <w:rsid w:val="00322DE3"/>
    <w:rsid w:val="0032308A"/>
    <w:rsid w:val="003230D8"/>
    <w:rsid w:val="003231B6"/>
    <w:rsid w:val="00323332"/>
    <w:rsid w:val="00323340"/>
    <w:rsid w:val="003233D9"/>
    <w:rsid w:val="003233DF"/>
    <w:rsid w:val="00323478"/>
    <w:rsid w:val="0032378D"/>
    <w:rsid w:val="003239F5"/>
    <w:rsid w:val="00323A26"/>
    <w:rsid w:val="00323A4F"/>
    <w:rsid w:val="00323A5C"/>
    <w:rsid w:val="00323EFC"/>
    <w:rsid w:val="00324795"/>
    <w:rsid w:val="00324806"/>
    <w:rsid w:val="00324931"/>
    <w:rsid w:val="00324951"/>
    <w:rsid w:val="00324A74"/>
    <w:rsid w:val="00324B35"/>
    <w:rsid w:val="00324DAC"/>
    <w:rsid w:val="00324DEE"/>
    <w:rsid w:val="00324F12"/>
    <w:rsid w:val="003252CE"/>
    <w:rsid w:val="0032538C"/>
    <w:rsid w:val="0032540A"/>
    <w:rsid w:val="00325498"/>
    <w:rsid w:val="003254A9"/>
    <w:rsid w:val="00325555"/>
    <w:rsid w:val="003255FF"/>
    <w:rsid w:val="00325697"/>
    <w:rsid w:val="003256D2"/>
    <w:rsid w:val="003259DF"/>
    <w:rsid w:val="00325A4B"/>
    <w:rsid w:val="00325CDA"/>
    <w:rsid w:val="00325E59"/>
    <w:rsid w:val="00325EF1"/>
    <w:rsid w:val="00325F1D"/>
    <w:rsid w:val="00325FF0"/>
    <w:rsid w:val="00326065"/>
    <w:rsid w:val="003261E5"/>
    <w:rsid w:val="003261FB"/>
    <w:rsid w:val="0032628A"/>
    <w:rsid w:val="0032634C"/>
    <w:rsid w:val="003263D7"/>
    <w:rsid w:val="003265C7"/>
    <w:rsid w:val="0032665F"/>
    <w:rsid w:val="0032689A"/>
    <w:rsid w:val="0032696B"/>
    <w:rsid w:val="00326B94"/>
    <w:rsid w:val="00326C41"/>
    <w:rsid w:val="00326C69"/>
    <w:rsid w:val="00326E26"/>
    <w:rsid w:val="00326FB7"/>
    <w:rsid w:val="00326FD4"/>
    <w:rsid w:val="00327019"/>
    <w:rsid w:val="00327087"/>
    <w:rsid w:val="003271B3"/>
    <w:rsid w:val="003273CA"/>
    <w:rsid w:val="00327554"/>
    <w:rsid w:val="003275F7"/>
    <w:rsid w:val="003276AC"/>
    <w:rsid w:val="00327A94"/>
    <w:rsid w:val="00327AEF"/>
    <w:rsid w:val="00327B02"/>
    <w:rsid w:val="00327F8C"/>
    <w:rsid w:val="003300CD"/>
    <w:rsid w:val="003303AB"/>
    <w:rsid w:val="00330405"/>
    <w:rsid w:val="003305C0"/>
    <w:rsid w:val="00330C1A"/>
    <w:rsid w:val="003310D9"/>
    <w:rsid w:val="00331205"/>
    <w:rsid w:val="0033127A"/>
    <w:rsid w:val="0033156A"/>
    <w:rsid w:val="003315D8"/>
    <w:rsid w:val="00331634"/>
    <w:rsid w:val="00331769"/>
    <w:rsid w:val="00331771"/>
    <w:rsid w:val="00331793"/>
    <w:rsid w:val="003317B9"/>
    <w:rsid w:val="0033188D"/>
    <w:rsid w:val="00331AE7"/>
    <w:rsid w:val="00331CFF"/>
    <w:rsid w:val="00331D66"/>
    <w:rsid w:val="00331EB9"/>
    <w:rsid w:val="00331EDA"/>
    <w:rsid w:val="00331F54"/>
    <w:rsid w:val="00332024"/>
    <w:rsid w:val="003320C2"/>
    <w:rsid w:val="003320CE"/>
    <w:rsid w:val="003321CD"/>
    <w:rsid w:val="0033235B"/>
    <w:rsid w:val="003324EA"/>
    <w:rsid w:val="0033271B"/>
    <w:rsid w:val="003327C0"/>
    <w:rsid w:val="003328B8"/>
    <w:rsid w:val="003329FB"/>
    <w:rsid w:val="00332A28"/>
    <w:rsid w:val="00332AB5"/>
    <w:rsid w:val="00332B21"/>
    <w:rsid w:val="00332BAA"/>
    <w:rsid w:val="00332BB4"/>
    <w:rsid w:val="00332BD9"/>
    <w:rsid w:val="00332CE5"/>
    <w:rsid w:val="00332DD4"/>
    <w:rsid w:val="00332FB8"/>
    <w:rsid w:val="00333116"/>
    <w:rsid w:val="00333200"/>
    <w:rsid w:val="003332A6"/>
    <w:rsid w:val="003332ED"/>
    <w:rsid w:val="003334B7"/>
    <w:rsid w:val="00333550"/>
    <w:rsid w:val="00333B1C"/>
    <w:rsid w:val="00333B37"/>
    <w:rsid w:val="00333DED"/>
    <w:rsid w:val="00333F50"/>
    <w:rsid w:val="00333F9A"/>
    <w:rsid w:val="00334073"/>
    <w:rsid w:val="0033417B"/>
    <w:rsid w:val="003342BB"/>
    <w:rsid w:val="003342D9"/>
    <w:rsid w:val="00334428"/>
    <w:rsid w:val="00334504"/>
    <w:rsid w:val="003346A4"/>
    <w:rsid w:val="0033474F"/>
    <w:rsid w:val="00334776"/>
    <w:rsid w:val="0033495C"/>
    <w:rsid w:val="00334A23"/>
    <w:rsid w:val="00334C01"/>
    <w:rsid w:val="00334CE3"/>
    <w:rsid w:val="00334E13"/>
    <w:rsid w:val="00334ED5"/>
    <w:rsid w:val="0033502D"/>
    <w:rsid w:val="00335104"/>
    <w:rsid w:val="00335242"/>
    <w:rsid w:val="00335A4B"/>
    <w:rsid w:val="00335B49"/>
    <w:rsid w:val="00335C04"/>
    <w:rsid w:val="00335C17"/>
    <w:rsid w:val="00335D83"/>
    <w:rsid w:val="00335E3E"/>
    <w:rsid w:val="00335EEF"/>
    <w:rsid w:val="003361EA"/>
    <w:rsid w:val="0033640E"/>
    <w:rsid w:val="003365E5"/>
    <w:rsid w:val="003366F9"/>
    <w:rsid w:val="003367B9"/>
    <w:rsid w:val="0033690C"/>
    <w:rsid w:val="00336A23"/>
    <w:rsid w:val="00336D0C"/>
    <w:rsid w:val="00336F3C"/>
    <w:rsid w:val="003370AC"/>
    <w:rsid w:val="003371AB"/>
    <w:rsid w:val="0033734D"/>
    <w:rsid w:val="003373D4"/>
    <w:rsid w:val="00337460"/>
    <w:rsid w:val="003374BF"/>
    <w:rsid w:val="00337631"/>
    <w:rsid w:val="003376EF"/>
    <w:rsid w:val="003377FC"/>
    <w:rsid w:val="0033796A"/>
    <w:rsid w:val="003379E5"/>
    <w:rsid w:val="00337E86"/>
    <w:rsid w:val="00337ECE"/>
    <w:rsid w:val="00337EEF"/>
    <w:rsid w:val="00337EF8"/>
    <w:rsid w:val="00340073"/>
    <w:rsid w:val="0034045F"/>
    <w:rsid w:val="003404B7"/>
    <w:rsid w:val="00340589"/>
    <w:rsid w:val="0034066D"/>
    <w:rsid w:val="0034070C"/>
    <w:rsid w:val="003407F3"/>
    <w:rsid w:val="00340AB9"/>
    <w:rsid w:val="00340AC5"/>
    <w:rsid w:val="00340F33"/>
    <w:rsid w:val="00340F92"/>
    <w:rsid w:val="00341048"/>
    <w:rsid w:val="003411AF"/>
    <w:rsid w:val="00341226"/>
    <w:rsid w:val="0034137B"/>
    <w:rsid w:val="003413E5"/>
    <w:rsid w:val="003413EF"/>
    <w:rsid w:val="0034187C"/>
    <w:rsid w:val="00341932"/>
    <w:rsid w:val="00341B78"/>
    <w:rsid w:val="00341E04"/>
    <w:rsid w:val="00341E0A"/>
    <w:rsid w:val="00342228"/>
    <w:rsid w:val="003422A4"/>
    <w:rsid w:val="003424B0"/>
    <w:rsid w:val="003426C3"/>
    <w:rsid w:val="0034285A"/>
    <w:rsid w:val="0034291F"/>
    <w:rsid w:val="00342A4C"/>
    <w:rsid w:val="00342BE8"/>
    <w:rsid w:val="00342E45"/>
    <w:rsid w:val="00342E78"/>
    <w:rsid w:val="00342FD0"/>
    <w:rsid w:val="00343047"/>
    <w:rsid w:val="00343141"/>
    <w:rsid w:val="003433C6"/>
    <w:rsid w:val="0034362E"/>
    <w:rsid w:val="0034375D"/>
    <w:rsid w:val="003439A0"/>
    <w:rsid w:val="00343B52"/>
    <w:rsid w:val="00343C6B"/>
    <w:rsid w:val="00343F8D"/>
    <w:rsid w:val="00343FF2"/>
    <w:rsid w:val="00344068"/>
    <w:rsid w:val="0034408B"/>
    <w:rsid w:val="003440AD"/>
    <w:rsid w:val="003440C0"/>
    <w:rsid w:val="00344197"/>
    <w:rsid w:val="00344251"/>
    <w:rsid w:val="0034431C"/>
    <w:rsid w:val="00344415"/>
    <w:rsid w:val="0034445E"/>
    <w:rsid w:val="00344538"/>
    <w:rsid w:val="0034453F"/>
    <w:rsid w:val="00344557"/>
    <w:rsid w:val="0034467B"/>
    <w:rsid w:val="00344725"/>
    <w:rsid w:val="0034476E"/>
    <w:rsid w:val="00344863"/>
    <w:rsid w:val="00344876"/>
    <w:rsid w:val="003448E8"/>
    <w:rsid w:val="0034493E"/>
    <w:rsid w:val="003449EB"/>
    <w:rsid w:val="003449F2"/>
    <w:rsid w:val="00344A65"/>
    <w:rsid w:val="00344BEB"/>
    <w:rsid w:val="00344C4A"/>
    <w:rsid w:val="00344CBB"/>
    <w:rsid w:val="00344E83"/>
    <w:rsid w:val="00344E93"/>
    <w:rsid w:val="00345066"/>
    <w:rsid w:val="0034518F"/>
    <w:rsid w:val="003451E7"/>
    <w:rsid w:val="00345254"/>
    <w:rsid w:val="003452C6"/>
    <w:rsid w:val="0034530C"/>
    <w:rsid w:val="00345315"/>
    <w:rsid w:val="00345514"/>
    <w:rsid w:val="0034553C"/>
    <w:rsid w:val="00345674"/>
    <w:rsid w:val="0034567F"/>
    <w:rsid w:val="00345754"/>
    <w:rsid w:val="00345970"/>
    <w:rsid w:val="00345A0B"/>
    <w:rsid w:val="00345BBE"/>
    <w:rsid w:val="00345CA9"/>
    <w:rsid w:val="00345CDB"/>
    <w:rsid w:val="00345D1C"/>
    <w:rsid w:val="00345E20"/>
    <w:rsid w:val="00345FBE"/>
    <w:rsid w:val="00346216"/>
    <w:rsid w:val="00346284"/>
    <w:rsid w:val="0034631F"/>
    <w:rsid w:val="00346377"/>
    <w:rsid w:val="0034656B"/>
    <w:rsid w:val="003466CB"/>
    <w:rsid w:val="0034675D"/>
    <w:rsid w:val="0034695C"/>
    <w:rsid w:val="003469A2"/>
    <w:rsid w:val="00346A0A"/>
    <w:rsid w:val="00346A39"/>
    <w:rsid w:val="00346B4F"/>
    <w:rsid w:val="00346DBA"/>
    <w:rsid w:val="00346E02"/>
    <w:rsid w:val="00346E7F"/>
    <w:rsid w:val="00346EE6"/>
    <w:rsid w:val="00346F3B"/>
    <w:rsid w:val="00346FB2"/>
    <w:rsid w:val="0034706C"/>
    <w:rsid w:val="00347072"/>
    <w:rsid w:val="003470EF"/>
    <w:rsid w:val="003470FF"/>
    <w:rsid w:val="00347145"/>
    <w:rsid w:val="003471E5"/>
    <w:rsid w:val="00347495"/>
    <w:rsid w:val="00347542"/>
    <w:rsid w:val="003475DC"/>
    <w:rsid w:val="003479EE"/>
    <w:rsid w:val="00347AC7"/>
    <w:rsid w:val="00347B6E"/>
    <w:rsid w:val="00347D7A"/>
    <w:rsid w:val="00347DAF"/>
    <w:rsid w:val="00347DE8"/>
    <w:rsid w:val="00350152"/>
    <w:rsid w:val="003503AA"/>
    <w:rsid w:val="00350506"/>
    <w:rsid w:val="003505B5"/>
    <w:rsid w:val="0035060B"/>
    <w:rsid w:val="00350671"/>
    <w:rsid w:val="00350731"/>
    <w:rsid w:val="00350756"/>
    <w:rsid w:val="00350786"/>
    <w:rsid w:val="00350B5D"/>
    <w:rsid w:val="00350CA1"/>
    <w:rsid w:val="00350DB9"/>
    <w:rsid w:val="00350E17"/>
    <w:rsid w:val="00350F0C"/>
    <w:rsid w:val="00351007"/>
    <w:rsid w:val="00351009"/>
    <w:rsid w:val="003512B2"/>
    <w:rsid w:val="003512B7"/>
    <w:rsid w:val="003512EC"/>
    <w:rsid w:val="0035185B"/>
    <w:rsid w:val="00351907"/>
    <w:rsid w:val="00351CA8"/>
    <w:rsid w:val="00351D93"/>
    <w:rsid w:val="00351F1B"/>
    <w:rsid w:val="00352040"/>
    <w:rsid w:val="0035209C"/>
    <w:rsid w:val="00352153"/>
    <w:rsid w:val="003521F9"/>
    <w:rsid w:val="003522F8"/>
    <w:rsid w:val="00352447"/>
    <w:rsid w:val="0035276C"/>
    <w:rsid w:val="00352831"/>
    <w:rsid w:val="00352AB2"/>
    <w:rsid w:val="00352AD6"/>
    <w:rsid w:val="00352C3D"/>
    <w:rsid w:val="00352C71"/>
    <w:rsid w:val="00352D2B"/>
    <w:rsid w:val="00352DB6"/>
    <w:rsid w:val="00352E20"/>
    <w:rsid w:val="00352E3F"/>
    <w:rsid w:val="00352FDA"/>
    <w:rsid w:val="00353133"/>
    <w:rsid w:val="003531C5"/>
    <w:rsid w:val="003531E5"/>
    <w:rsid w:val="0035323B"/>
    <w:rsid w:val="003532CE"/>
    <w:rsid w:val="00353406"/>
    <w:rsid w:val="0035343E"/>
    <w:rsid w:val="0035344D"/>
    <w:rsid w:val="00353455"/>
    <w:rsid w:val="00353475"/>
    <w:rsid w:val="00353827"/>
    <w:rsid w:val="0035388D"/>
    <w:rsid w:val="00353A4E"/>
    <w:rsid w:val="00353BF5"/>
    <w:rsid w:val="00353ED9"/>
    <w:rsid w:val="00353FEB"/>
    <w:rsid w:val="00354078"/>
    <w:rsid w:val="003540E9"/>
    <w:rsid w:val="00354110"/>
    <w:rsid w:val="0035415D"/>
    <w:rsid w:val="003541FA"/>
    <w:rsid w:val="00354209"/>
    <w:rsid w:val="00354295"/>
    <w:rsid w:val="003542A2"/>
    <w:rsid w:val="00354502"/>
    <w:rsid w:val="003545B2"/>
    <w:rsid w:val="00354770"/>
    <w:rsid w:val="00354851"/>
    <w:rsid w:val="003549E9"/>
    <w:rsid w:val="00354A5F"/>
    <w:rsid w:val="00354B4E"/>
    <w:rsid w:val="00354B98"/>
    <w:rsid w:val="00354BCB"/>
    <w:rsid w:val="00354C82"/>
    <w:rsid w:val="00354D02"/>
    <w:rsid w:val="00354F33"/>
    <w:rsid w:val="00354F9B"/>
    <w:rsid w:val="00354FE3"/>
    <w:rsid w:val="00355301"/>
    <w:rsid w:val="00355309"/>
    <w:rsid w:val="00355589"/>
    <w:rsid w:val="00355613"/>
    <w:rsid w:val="00355682"/>
    <w:rsid w:val="00355745"/>
    <w:rsid w:val="00355799"/>
    <w:rsid w:val="003557AA"/>
    <w:rsid w:val="00355850"/>
    <w:rsid w:val="00355B13"/>
    <w:rsid w:val="00355BAA"/>
    <w:rsid w:val="00355C55"/>
    <w:rsid w:val="00355C73"/>
    <w:rsid w:val="00355CF4"/>
    <w:rsid w:val="00356027"/>
    <w:rsid w:val="0035629F"/>
    <w:rsid w:val="003568F4"/>
    <w:rsid w:val="00356AD1"/>
    <w:rsid w:val="00356D48"/>
    <w:rsid w:val="00356D7D"/>
    <w:rsid w:val="00356E1A"/>
    <w:rsid w:val="00356F47"/>
    <w:rsid w:val="00356FC8"/>
    <w:rsid w:val="00357066"/>
    <w:rsid w:val="00357223"/>
    <w:rsid w:val="0035722F"/>
    <w:rsid w:val="00357329"/>
    <w:rsid w:val="00357692"/>
    <w:rsid w:val="0035795B"/>
    <w:rsid w:val="003579A0"/>
    <w:rsid w:val="00357AA8"/>
    <w:rsid w:val="00357B18"/>
    <w:rsid w:val="00357B98"/>
    <w:rsid w:val="00357CB0"/>
    <w:rsid w:val="00357CB6"/>
    <w:rsid w:val="00357E72"/>
    <w:rsid w:val="003600B2"/>
    <w:rsid w:val="003601E5"/>
    <w:rsid w:val="003602D4"/>
    <w:rsid w:val="003603FE"/>
    <w:rsid w:val="0036051E"/>
    <w:rsid w:val="0036056A"/>
    <w:rsid w:val="003605FC"/>
    <w:rsid w:val="00360651"/>
    <w:rsid w:val="0036066F"/>
    <w:rsid w:val="00360A3D"/>
    <w:rsid w:val="00360A7A"/>
    <w:rsid w:val="00360AFF"/>
    <w:rsid w:val="00360B6B"/>
    <w:rsid w:val="00360E65"/>
    <w:rsid w:val="00360EEC"/>
    <w:rsid w:val="00361085"/>
    <w:rsid w:val="003610F8"/>
    <w:rsid w:val="00361155"/>
    <w:rsid w:val="00361193"/>
    <w:rsid w:val="0036122F"/>
    <w:rsid w:val="00361259"/>
    <w:rsid w:val="003613A1"/>
    <w:rsid w:val="003613CB"/>
    <w:rsid w:val="003615A4"/>
    <w:rsid w:val="003617EC"/>
    <w:rsid w:val="0036199A"/>
    <w:rsid w:val="00361A1B"/>
    <w:rsid w:val="00361B72"/>
    <w:rsid w:val="00361EF9"/>
    <w:rsid w:val="00361FFB"/>
    <w:rsid w:val="00362448"/>
    <w:rsid w:val="00362594"/>
    <w:rsid w:val="0036263A"/>
    <w:rsid w:val="00362711"/>
    <w:rsid w:val="003629C2"/>
    <w:rsid w:val="00362A0E"/>
    <w:rsid w:val="00362A72"/>
    <w:rsid w:val="00362B28"/>
    <w:rsid w:val="00362B32"/>
    <w:rsid w:val="00362B46"/>
    <w:rsid w:val="00362DB8"/>
    <w:rsid w:val="00362DE9"/>
    <w:rsid w:val="00362E09"/>
    <w:rsid w:val="00362E19"/>
    <w:rsid w:val="00362F56"/>
    <w:rsid w:val="003630B0"/>
    <w:rsid w:val="00363157"/>
    <w:rsid w:val="00363187"/>
    <w:rsid w:val="003631BC"/>
    <w:rsid w:val="003633A3"/>
    <w:rsid w:val="003633B1"/>
    <w:rsid w:val="0036349C"/>
    <w:rsid w:val="00363559"/>
    <w:rsid w:val="003635B7"/>
    <w:rsid w:val="00363793"/>
    <w:rsid w:val="003637BE"/>
    <w:rsid w:val="0036383E"/>
    <w:rsid w:val="00363890"/>
    <w:rsid w:val="003639D2"/>
    <w:rsid w:val="00363A93"/>
    <w:rsid w:val="00363B97"/>
    <w:rsid w:val="00363BDE"/>
    <w:rsid w:val="00363D52"/>
    <w:rsid w:val="00363E3C"/>
    <w:rsid w:val="00363EAE"/>
    <w:rsid w:val="00363F1D"/>
    <w:rsid w:val="0036401A"/>
    <w:rsid w:val="00364087"/>
    <w:rsid w:val="003640F8"/>
    <w:rsid w:val="00364323"/>
    <w:rsid w:val="0036433B"/>
    <w:rsid w:val="003643C8"/>
    <w:rsid w:val="00364432"/>
    <w:rsid w:val="003645EF"/>
    <w:rsid w:val="00364742"/>
    <w:rsid w:val="003647FE"/>
    <w:rsid w:val="0036488A"/>
    <w:rsid w:val="003648A9"/>
    <w:rsid w:val="00364B3A"/>
    <w:rsid w:val="00364B7A"/>
    <w:rsid w:val="00364BFD"/>
    <w:rsid w:val="00364D65"/>
    <w:rsid w:val="00364DDC"/>
    <w:rsid w:val="00365382"/>
    <w:rsid w:val="00365530"/>
    <w:rsid w:val="003655A0"/>
    <w:rsid w:val="00365746"/>
    <w:rsid w:val="00365777"/>
    <w:rsid w:val="0036577F"/>
    <w:rsid w:val="003658FF"/>
    <w:rsid w:val="00365C1A"/>
    <w:rsid w:val="00365CA0"/>
    <w:rsid w:val="00365E0D"/>
    <w:rsid w:val="00365E95"/>
    <w:rsid w:val="00365F29"/>
    <w:rsid w:val="0036605B"/>
    <w:rsid w:val="003662D4"/>
    <w:rsid w:val="003663CD"/>
    <w:rsid w:val="0036640E"/>
    <w:rsid w:val="0036645C"/>
    <w:rsid w:val="00366489"/>
    <w:rsid w:val="003664DC"/>
    <w:rsid w:val="0036654E"/>
    <w:rsid w:val="003665A9"/>
    <w:rsid w:val="003666D8"/>
    <w:rsid w:val="00366715"/>
    <w:rsid w:val="003667D4"/>
    <w:rsid w:val="00366890"/>
    <w:rsid w:val="00366B87"/>
    <w:rsid w:val="00366D88"/>
    <w:rsid w:val="00366E55"/>
    <w:rsid w:val="00366E67"/>
    <w:rsid w:val="00366FD5"/>
    <w:rsid w:val="00367104"/>
    <w:rsid w:val="00367106"/>
    <w:rsid w:val="003672CE"/>
    <w:rsid w:val="003675DB"/>
    <w:rsid w:val="003677AE"/>
    <w:rsid w:val="003678AB"/>
    <w:rsid w:val="003678E7"/>
    <w:rsid w:val="00367B61"/>
    <w:rsid w:val="00367B6B"/>
    <w:rsid w:val="00367C68"/>
    <w:rsid w:val="00367E98"/>
    <w:rsid w:val="00367F9A"/>
    <w:rsid w:val="00367FC4"/>
    <w:rsid w:val="00370020"/>
    <w:rsid w:val="00370430"/>
    <w:rsid w:val="003704FB"/>
    <w:rsid w:val="003705CB"/>
    <w:rsid w:val="0037067D"/>
    <w:rsid w:val="003706FB"/>
    <w:rsid w:val="003707E5"/>
    <w:rsid w:val="0037092A"/>
    <w:rsid w:val="00370BCA"/>
    <w:rsid w:val="00370BFE"/>
    <w:rsid w:val="00370C36"/>
    <w:rsid w:val="00370C7D"/>
    <w:rsid w:val="00370E9D"/>
    <w:rsid w:val="00370EE3"/>
    <w:rsid w:val="00370F04"/>
    <w:rsid w:val="00370F61"/>
    <w:rsid w:val="00370FD3"/>
    <w:rsid w:val="003710A8"/>
    <w:rsid w:val="0037110A"/>
    <w:rsid w:val="00371263"/>
    <w:rsid w:val="003712E4"/>
    <w:rsid w:val="00371748"/>
    <w:rsid w:val="00371A9B"/>
    <w:rsid w:val="00371BC4"/>
    <w:rsid w:val="00371BD9"/>
    <w:rsid w:val="00371DAC"/>
    <w:rsid w:val="00371DF1"/>
    <w:rsid w:val="00371F2F"/>
    <w:rsid w:val="0037207D"/>
    <w:rsid w:val="0037211C"/>
    <w:rsid w:val="00372172"/>
    <w:rsid w:val="00372199"/>
    <w:rsid w:val="00372242"/>
    <w:rsid w:val="00372281"/>
    <w:rsid w:val="003723B0"/>
    <w:rsid w:val="00372541"/>
    <w:rsid w:val="003725C2"/>
    <w:rsid w:val="00372711"/>
    <w:rsid w:val="0037279E"/>
    <w:rsid w:val="003729DB"/>
    <w:rsid w:val="00372D6E"/>
    <w:rsid w:val="00372D79"/>
    <w:rsid w:val="00372DDC"/>
    <w:rsid w:val="00372EED"/>
    <w:rsid w:val="0037304A"/>
    <w:rsid w:val="0037315F"/>
    <w:rsid w:val="003731AF"/>
    <w:rsid w:val="003731B3"/>
    <w:rsid w:val="0037329E"/>
    <w:rsid w:val="003736B4"/>
    <w:rsid w:val="003736DA"/>
    <w:rsid w:val="0037371E"/>
    <w:rsid w:val="0037378A"/>
    <w:rsid w:val="0037395A"/>
    <w:rsid w:val="00373978"/>
    <w:rsid w:val="00373B20"/>
    <w:rsid w:val="00373DB6"/>
    <w:rsid w:val="00373DF5"/>
    <w:rsid w:val="00373F61"/>
    <w:rsid w:val="00373F62"/>
    <w:rsid w:val="00373F8B"/>
    <w:rsid w:val="0037407A"/>
    <w:rsid w:val="00374139"/>
    <w:rsid w:val="003741E8"/>
    <w:rsid w:val="00374280"/>
    <w:rsid w:val="00374315"/>
    <w:rsid w:val="003743A0"/>
    <w:rsid w:val="003746B6"/>
    <w:rsid w:val="00374814"/>
    <w:rsid w:val="0037492F"/>
    <w:rsid w:val="00374976"/>
    <w:rsid w:val="00374C19"/>
    <w:rsid w:val="00374D0A"/>
    <w:rsid w:val="00374E1B"/>
    <w:rsid w:val="00374E9B"/>
    <w:rsid w:val="00374EB4"/>
    <w:rsid w:val="00374F39"/>
    <w:rsid w:val="003750CE"/>
    <w:rsid w:val="003752C0"/>
    <w:rsid w:val="00375391"/>
    <w:rsid w:val="0037551F"/>
    <w:rsid w:val="00375608"/>
    <w:rsid w:val="003758AA"/>
    <w:rsid w:val="00375955"/>
    <w:rsid w:val="00375C46"/>
    <w:rsid w:val="00376016"/>
    <w:rsid w:val="0037608C"/>
    <w:rsid w:val="00376097"/>
    <w:rsid w:val="003760DA"/>
    <w:rsid w:val="003761B1"/>
    <w:rsid w:val="0037625D"/>
    <w:rsid w:val="003762CA"/>
    <w:rsid w:val="003762D2"/>
    <w:rsid w:val="00376405"/>
    <w:rsid w:val="0037667F"/>
    <w:rsid w:val="0037671E"/>
    <w:rsid w:val="003768B2"/>
    <w:rsid w:val="00376A4E"/>
    <w:rsid w:val="00376A69"/>
    <w:rsid w:val="00376A71"/>
    <w:rsid w:val="00376ABF"/>
    <w:rsid w:val="00376B06"/>
    <w:rsid w:val="00376BB0"/>
    <w:rsid w:val="00376BBF"/>
    <w:rsid w:val="00376C04"/>
    <w:rsid w:val="00377034"/>
    <w:rsid w:val="00377039"/>
    <w:rsid w:val="00377156"/>
    <w:rsid w:val="00377248"/>
    <w:rsid w:val="003772A0"/>
    <w:rsid w:val="003772E8"/>
    <w:rsid w:val="003773E6"/>
    <w:rsid w:val="0037741B"/>
    <w:rsid w:val="00377492"/>
    <w:rsid w:val="0037752D"/>
    <w:rsid w:val="003775D9"/>
    <w:rsid w:val="00377731"/>
    <w:rsid w:val="0037775F"/>
    <w:rsid w:val="003778AA"/>
    <w:rsid w:val="0037799F"/>
    <w:rsid w:val="00377AC8"/>
    <w:rsid w:val="00377CDA"/>
    <w:rsid w:val="00377CFC"/>
    <w:rsid w:val="00377D49"/>
    <w:rsid w:val="00377D57"/>
    <w:rsid w:val="00377E81"/>
    <w:rsid w:val="00380100"/>
    <w:rsid w:val="003802D8"/>
    <w:rsid w:val="00380305"/>
    <w:rsid w:val="00380573"/>
    <w:rsid w:val="00380642"/>
    <w:rsid w:val="0038067C"/>
    <w:rsid w:val="003806C6"/>
    <w:rsid w:val="00380802"/>
    <w:rsid w:val="00380873"/>
    <w:rsid w:val="00380940"/>
    <w:rsid w:val="00380946"/>
    <w:rsid w:val="003809A6"/>
    <w:rsid w:val="00380AA5"/>
    <w:rsid w:val="00380D65"/>
    <w:rsid w:val="00380F60"/>
    <w:rsid w:val="00381039"/>
    <w:rsid w:val="00381177"/>
    <w:rsid w:val="003811D8"/>
    <w:rsid w:val="003812F6"/>
    <w:rsid w:val="003816A3"/>
    <w:rsid w:val="003816F8"/>
    <w:rsid w:val="00381740"/>
    <w:rsid w:val="00381782"/>
    <w:rsid w:val="003819EE"/>
    <w:rsid w:val="00381B3D"/>
    <w:rsid w:val="00381B58"/>
    <w:rsid w:val="00381C80"/>
    <w:rsid w:val="00381D23"/>
    <w:rsid w:val="00381FC5"/>
    <w:rsid w:val="00381FED"/>
    <w:rsid w:val="0038226C"/>
    <w:rsid w:val="00382288"/>
    <w:rsid w:val="0038228B"/>
    <w:rsid w:val="00382554"/>
    <w:rsid w:val="003826E6"/>
    <w:rsid w:val="00382802"/>
    <w:rsid w:val="00382895"/>
    <w:rsid w:val="00382B5B"/>
    <w:rsid w:val="00382D56"/>
    <w:rsid w:val="00382E75"/>
    <w:rsid w:val="00382F6E"/>
    <w:rsid w:val="00383013"/>
    <w:rsid w:val="0038306F"/>
    <w:rsid w:val="003830E7"/>
    <w:rsid w:val="0038327B"/>
    <w:rsid w:val="00383712"/>
    <w:rsid w:val="0038376C"/>
    <w:rsid w:val="0038397F"/>
    <w:rsid w:val="00383E19"/>
    <w:rsid w:val="00383E1A"/>
    <w:rsid w:val="00383EC0"/>
    <w:rsid w:val="0038436A"/>
    <w:rsid w:val="003844CE"/>
    <w:rsid w:val="003844D0"/>
    <w:rsid w:val="003845E3"/>
    <w:rsid w:val="0038460B"/>
    <w:rsid w:val="0038475B"/>
    <w:rsid w:val="0038482B"/>
    <w:rsid w:val="00384845"/>
    <w:rsid w:val="003848DC"/>
    <w:rsid w:val="00384BE0"/>
    <w:rsid w:val="00384CC6"/>
    <w:rsid w:val="00384D8A"/>
    <w:rsid w:val="00384F5C"/>
    <w:rsid w:val="0038511A"/>
    <w:rsid w:val="003851E9"/>
    <w:rsid w:val="00385870"/>
    <w:rsid w:val="0038594B"/>
    <w:rsid w:val="003859AA"/>
    <w:rsid w:val="00385A4E"/>
    <w:rsid w:val="00385B15"/>
    <w:rsid w:val="00385C4A"/>
    <w:rsid w:val="00385D7E"/>
    <w:rsid w:val="003863A3"/>
    <w:rsid w:val="00386418"/>
    <w:rsid w:val="00386515"/>
    <w:rsid w:val="003866CB"/>
    <w:rsid w:val="0038678F"/>
    <w:rsid w:val="0038681A"/>
    <w:rsid w:val="003869E4"/>
    <w:rsid w:val="00386A01"/>
    <w:rsid w:val="00386ACE"/>
    <w:rsid w:val="00386B90"/>
    <w:rsid w:val="00386D4C"/>
    <w:rsid w:val="00386DB3"/>
    <w:rsid w:val="00386DDE"/>
    <w:rsid w:val="00386EAC"/>
    <w:rsid w:val="003870A2"/>
    <w:rsid w:val="00387380"/>
    <w:rsid w:val="003873E4"/>
    <w:rsid w:val="003874F5"/>
    <w:rsid w:val="003874FF"/>
    <w:rsid w:val="00387525"/>
    <w:rsid w:val="0038752A"/>
    <w:rsid w:val="003875C9"/>
    <w:rsid w:val="00387743"/>
    <w:rsid w:val="00387985"/>
    <w:rsid w:val="00387A17"/>
    <w:rsid w:val="00387BC6"/>
    <w:rsid w:val="00387EFE"/>
    <w:rsid w:val="00387FAB"/>
    <w:rsid w:val="003900ED"/>
    <w:rsid w:val="003904D6"/>
    <w:rsid w:val="00390901"/>
    <w:rsid w:val="00390B3A"/>
    <w:rsid w:val="00390B7D"/>
    <w:rsid w:val="00390E85"/>
    <w:rsid w:val="003910E9"/>
    <w:rsid w:val="0039112C"/>
    <w:rsid w:val="0039118B"/>
    <w:rsid w:val="003915FC"/>
    <w:rsid w:val="003916C1"/>
    <w:rsid w:val="00391704"/>
    <w:rsid w:val="003918B1"/>
    <w:rsid w:val="00391BB8"/>
    <w:rsid w:val="00391CF2"/>
    <w:rsid w:val="00391FA3"/>
    <w:rsid w:val="003920F6"/>
    <w:rsid w:val="00392196"/>
    <w:rsid w:val="0039219C"/>
    <w:rsid w:val="003925D6"/>
    <w:rsid w:val="003926E7"/>
    <w:rsid w:val="0039289E"/>
    <w:rsid w:val="00392B42"/>
    <w:rsid w:val="00392C28"/>
    <w:rsid w:val="00392C57"/>
    <w:rsid w:val="00392CED"/>
    <w:rsid w:val="00392E05"/>
    <w:rsid w:val="00392F2B"/>
    <w:rsid w:val="00392F2C"/>
    <w:rsid w:val="003931C1"/>
    <w:rsid w:val="00393208"/>
    <w:rsid w:val="00393286"/>
    <w:rsid w:val="00393294"/>
    <w:rsid w:val="003932EA"/>
    <w:rsid w:val="00393382"/>
    <w:rsid w:val="003933A9"/>
    <w:rsid w:val="003933D3"/>
    <w:rsid w:val="003935B8"/>
    <w:rsid w:val="0039362C"/>
    <w:rsid w:val="0039366C"/>
    <w:rsid w:val="00393A7D"/>
    <w:rsid w:val="00393AF4"/>
    <w:rsid w:val="00393C3C"/>
    <w:rsid w:val="00393D19"/>
    <w:rsid w:val="00393F37"/>
    <w:rsid w:val="0039400D"/>
    <w:rsid w:val="0039404E"/>
    <w:rsid w:val="0039415B"/>
    <w:rsid w:val="003941AA"/>
    <w:rsid w:val="003941B1"/>
    <w:rsid w:val="0039436E"/>
    <w:rsid w:val="00394392"/>
    <w:rsid w:val="00394570"/>
    <w:rsid w:val="0039458E"/>
    <w:rsid w:val="0039492E"/>
    <w:rsid w:val="00394A9C"/>
    <w:rsid w:val="00394BB1"/>
    <w:rsid w:val="00394BBD"/>
    <w:rsid w:val="00394E68"/>
    <w:rsid w:val="00394E78"/>
    <w:rsid w:val="00395035"/>
    <w:rsid w:val="0039504D"/>
    <w:rsid w:val="003950AA"/>
    <w:rsid w:val="0039537C"/>
    <w:rsid w:val="003953EE"/>
    <w:rsid w:val="0039552E"/>
    <w:rsid w:val="00395536"/>
    <w:rsid w:val="003955ED"/>
    <w:rsid w:val="00395614"/>
    <w:rsid w:val="0039565D"/>
    <w:rsid w:val="003956B1"/>
    <w:rsid w:val="003956C7"/>
    <w:rsid w:val="0039572A"/>
    <w:rsid w:val="00395807"/>
    <w:rsid w:val="003958BD"/>
    <w:rsid w:val="00395901"/>
    <w:rsid w:val="00395A42"/>
    <w:rsid w:val="00395AC2"/>
    <w:rsid w:val="00395B76"/>
    <w:rsid w:val="00395CA6"/>
    <w:rsid w:val="00395CCD"/>
    <w:rsid w:val="00395D82"/>
    <w:rsid w:val="00395E85"/>
    <w:rsid w:val="003961AB"/>
    <w:rsid w:val="00396249"/>
    <w:rsid w:val="003963D8"/>
    <w:rsid w:val="00396654"/>
    <w:rsid w:val="0039667E"/>
    <w:rsid w:val="003966A9"/>
    <w:rsid w:val="00396770"/>
    <w:rsid w:val="0039680A"/>
    <w:rsid w:val="00396B33"/>
    <w:rsid w:val="00396BAA"/>
    <w:rsid w:val="00396F07"/>
    <w:rsid w:val="00396F61"/>
    <w:rsid w:val="0039753C"/>
    <w:rsid w:val="003976B1"/>
    <w:rsid w:val="003976B8"/>
    <w:rsid w:val="0039776E"/>
    <w:rsid w:val="00397879"/>
    <w:rsid w:val="00397C17"/>
    <w:rsid w:val="00397C95"/>
    <w:rsid w:val="00397DB6"/>
    <w:rsid w:val="003A0447"/>
    <w:rsid w:val="003A0565"/>
    <w:rsid w:val="003A0622"/>
    <w:rsid w:val="003A0720"/>
    <w:rsid w:val="003A074B"/>
    <w:rsid w:val="003A083F"/>
    <w:rsid w:val="003A08D3"/>
    <w:rsid w:val="003A08F3"/>
    <w:rsid w:val="003A0948"/>
    <w:rsid w:val="003A0A52"/>
    <w:rsid w:val="003A0C8F"/>
    <w:rsid w:val="003A0E00"/>
    <w:rsid w:val="003A0EA9"/>
    <w:rsid w:val="003A0EAB"/>
    <w:rsid w:val="003A10E9"/>
    <w:rsid w:val="003A112A"/>
    <w:rsid w:val="003A115B"/>
    <w:rsid w:val="003A1240"/>
    <w:rsid w:val="003A12FD"/>
    <w:rsid w:val="003A1518"/>
    <w:rsid w:val="003A1660"/>
    <w:rsid w:val="003A1666"/>
    <w:rsid w:val="003A1929"/>
    <w:rsid w:val="003A1A90"/>
    <w:rsid w:val="003A1AA0"/>
    <w:rsid w:val="003A1B60"/>
    <w:rsid w:val="003A1B83"/>
    <w:rsid w:val="003A1D68"/>
    <w:rsid w:val="003A1E7D"/>
    <w:rsid w:val="003A1FDF"/>
    <w:rsid w:val="003A2193"/>
    <w:rsid w:val="003A2521"/>
    <w:rsid w:val="003A255F"/>
    <w:rsid w:val="003A2930"/>
    <w:rsid w:val="003A2A62"/>
    <w:rsid w:val="003A2CBE"/>
    <w:rsid w:val="003A2CE3"/>
    <w:rsid w:val="003A302D"/>
    <w:rsid w:val="003A30E5"/>
    <w:rsid w:val="003A33A0"/>
    <w:rsid w:val="003A3525"/>
    <w:rsid w:val="003A36F2"/>
    <w:rsid w:val="003A37B8"/>
    <w:rsid w:val="003A391F"/>
    <w:rsid w:val="003A3959"/>
    <w:rsid w:val="003A3A7E"/>
    <w:rsid w:val="003A3A9C"/>
    <w:rsid w:val="003A3BD5"/>
    <w:rsid w:val="003A3DB3"/>
    <w:rsid w:val="003A4022"/>
    <w:rsid w:val="003A410B"/>
    <w:rsid w:val="003A4110"/>
    <w:rsid w:val="003A423C"/>
    <w:rsid w:val="003A4379"/>
    <w:rsid w:val="003A44A9"/>
    <w:rsid w:val="003A45A0"/>
    <w:rsid w:val="003A45C9"/>
    <w:rsid w:val="003A49A9"/>
    <w:rsid w:val="003A49DB"/>
    <w:rsid w:val="003A4AB3"/>
    <w:rsid w:val="003A4BFF"/>
    <w:rsid w:val="003A4C25"/>
    <w:rsid w:val="003A4D9A"/>
    <w:rsid w:val="003A4DFB"/>
    <w:rsid w:val="003A4E2D"/>
    <w:rsid w:val="003A4E90"/>
    <w:rsid w:val="003A4EC5"/>
    <w:rsid w:val="003A4F11"/>
    <w:rsid w:val="003A4F61"/>
    <w:rsid w:val="003A5038"/>
    <w:rsid w:val="003A51E5"/>
    <w:rsid w:val="003A538F"/>
    <w:rsid w:val="003A5463"/>
    <w:rsid w:val="003A555A"/>
    <w:rsid w:val="003A5579"/>
    <w:rsid w:val="003A55F3"/>
    <w:rsid w:val="003A5607"/>
    <w:rsid w:val="003A5704"/>
    <w:rsid w:val="003A588F"/>
    <w:rsid w:val="003A5C62"/>
    <w:rsid w:val="003A5CFA"/>
    <w:rsid w:val="003A5D78"/>
    <w:rsid w:val="003A5E61"/>
    <w:rsid w:val="003A5F9D"/>
    <w:rsid w:val="003A600E"/>
    <w:rsid w:val="003A607A"/>
    <w:rsid w:val="003A6361"/>
    <w:rsid w:val="003A638C"/>
    <w:rsid w:val="003A6451"/>
    <w:rsid w:val="003A6471"/>
    <w:rsid w:val="003A649B"/>
    <w:rsid w:val="003A64E7"/>
    <w:rsid w:val="003A64F8"/>
    <w:rsid w:val="003A6557"/>
    <w:rsid w:val="003A6567"/>
    <w:rsid w:val="003A65BD"/>
    <w:rsid w:val="003A668D"/>
    <w:rsid w:val="003A68DF"/>
    <w:rsid w:val="003A693A"/>
    <w:rsid w:val="003A69EF"/>
    <w:rsid w:val="003A6A42"/>
    <w:rsid w:val="003A6C00"/>
    <w:rsid w:val="003A6C28"/>
    <w:rsid w:val="003A6D4D"/>
    <w:rsid w:val="003A6DBB"/>
    <w:rsid w:val="003A6DD0"/>
    <w:rsid w:val="003A6E02"/>
    <w:rsid w:val="003A6FFE"/>
    <w:rsid w:val="003A7025"/>
    <w:rsid w:val="003A71CC"/>
    <w:rsid w:val="003A71F7"/>
    <w:rsid w:val="003A7252"/>
    <w:rsid w:val="003A72CF"/>
    <w:rsid w:val="003A7487"/>
    <w:rsid w:val="003A7493"/>
    <w:rsid w:val="003A758B"/>
    <w:rsid w:val="003A75DB"/>
    <w:rsid w:val="003A7715"/>
    <w:rsid w:val="003A7A1E"/>
    <w:rsid w:val="003A7E36"/>
    <w:rsid w:val="003A7EAA"/>
    <w:rsid w:val="003B006E"/>
    <w:rsid w:val="003B0072"/>
    <w:rsid w:val="003B0283"/>
    <w:rsid w:val="003B037D"/>
    <w:rsid w:val="003B04D8"/>
    <w:rsid w:val="003B05DA"/>
    <w:rsid w:val="003B0601"/>
    <w:rsid w:val="003B0609"/>
    <w:rsid w:val="003B0737"/>
    <w:rsid w:val="003B07A4"/>
    <w:rsid w:val="003B07FC"/>
    <w:rsid w:val="003B0847"/>
    <w:rsid w:val="003B091D"/>
    <w:rsid w:val="003B096F"/>
    <w:rsid w:val="003B0BCD"/>
    <w:rsid w:val="003B0D40"/>
    <w:rsid w:val="003B0DC5"/>
    <w:rsid w:val="003B0E4C"/>
    <w:rsid w:val="003B0FF0"/>
    <w:rsid w:val="003B100C"/>
    <w:rsid w:val="003B10A2"/>
    <w:rsid w:val="003B10FD"/>
    <w:rsid w:val="003B1220"/>
    <w:rsid w:val="003B138B"/>
    <w:rsid w:val="003B14B4"/>
    <w:rsid w:val="003B14C9"/>
    <w:rsid w:val="003B1533"/>
    <w:rsid w:val="003B157A"/>
    <w:rsid w:val="003B166E"/>
    <w:rsid w:val="003B17E9"/>
    <w:rsid w:val="003B18CD"/>
    <w:rsid w:val="003B1986"/>
    <w:rsid w:val="003B19F5"/>
    <w:rsid w:val="003B1CB5"/>
    <w:rsid w:val="003B1E8A"/>
    <w:rsid w:val="003B1F24"/>
    <w:rsid w:val="003B2101"/>
    <w:rsid w:val="003B212C"/>
    <w:rsid w:val="003B23ED"/>
    <w:rsid w:val="003B25DC"/>
    <w:rsid w:val="003B2893"/>
    <w:rsid w:val="003B29B2"/>
    <w:rsid w:val="003B29E1"/>
    <w:rsid w:val="003B29EB"/>
    <w:rsid w:val="003B2B0E"/>
    <w:rsid w:val="003B2C55"/>
    <w:rsid w:val="003B2CEA"/>
    <w:rsid w:val="003B2D64"/>
    <w:rsid w:val="003B2E13"/>
    <w:rsid w:val="003B2EDC"/>
    <w:rsid w:val="003B309D"/>
    <w:rsid w:val="003B3107"/>
    <w:rsid w:val="003B32D3"/>
    <w:rsid w:val="003B3323"/>
    <w:rsid w:val="003B33A6"/>
    <w:rsid w:val="003B33F0"/>
    <w:rsid w:val="003B3438"/>
    <w:rsid w:val="003B34E3"/>
    <w:rsid w:val="003B3535"/>
    <w:rsid w:val="003B3585"/>
    <w:rsid w:val="003B35B6"/>
    <w:rsid w:val="003B380D"/>
    <w:rsid w:val="003B3A02"/>
    <w:rsid w:val="003B3A1A"/>
    <w:rsid w:val="003B3AF9"/>
    <w:rsid w:val="003B3C85"/>
    <w:rsid w:val="003B3D1E"/>
    <w:rsid w:val="003B3D49"/>
    <w:rsid w:val="003B3D51"/>
    <w:rsid w:val="003B3E3E"/>
    <w:rsid w:val="003B4236"/>
    <w:rsid w:val="003B4312"/>
    <w:rsid w:val="003B441A"/>
    <w:rsid w:val="003B46EA"/>
    <w:rsid w:val="003B4751"/>
    <w:rsid w:val="003B478D"/>
    <w:rsid w:val="003B48C8"/>
    <w:rsid w:val="003B4B40"/>
    <w:rsid w:val="003B4C57"/>
    <w:rsid w:val="003B4CC5"/>
    <w:rsid w:val="003B509C"/>
    <w:rsid w:val="003B548F"/>
    <w:rsid w:val="003B5528"/>
    <w:rsid w:val="003B55E1"/>
    <w:rsid w:val="003B5708"/>
    <w:rsid w:val="003B5742"/>
    <w:rsid w:val="003B577C"/>
    <w:rsid w:val="003B58A1"/>
    <w:rsid w:val="003B597B"/>
    <w:rsid w:val="003B5A0D"/>
    <w:rsid w:val="003B5B1C"/>
    <w:rsid w:val="003B5C82"/>
    <w:rsid w:val="003B5DE8"/>
    <w:rsid w:val="003B5E4F"/>
    <w:rsid w:val="003B5F5D"/>
    <w:rsid w:val="003B6016"/>
    <w:rsid w:val="003B603C"/>
    <w:rsid w:val="003B6078"/>
    <w:rsid w:val="003B6119"/>
    <w:rsid w:val="003B62F1"/>
    <w:rsid w:val="003B63FD"/>
    <w:rsid w:val="003B6460"/>
    <w:rsid w:val="003B6711"/>
    <w:rsid w:val="003B6786"/>
    <w:rsid w:val="003B6C07"/>
    <w:rsid w:val="003B6C6B"/>
    <w:rsid w:val="003B6E30"/>
    <w:rsid w:val="003B6EDB"/>
    <w:rsid w:val="003B71E0"/>
    <w:rsid w:val="003B72E7"/>
    <w:rsid w:val="003B7575"/>
    <w:rsid w:val="003B75C7"/>
    <w:rsid w:val="003B76E0"/>
    <w:rsid w:val="003B7721"/>
    <w:rsid w:val="003B77AB"/>
    <w:rsid w:val="003B77DB"/>
    <w:rsid w:val="003B77DE"/>
    <w:rsid w:val="003B78B5"/>
    <w:rsid w:val="003B78D1"/>
    <w:rsid w:val="003B791D"/>
    <w:rsid w:val="003B799C"/>
    <w:rsid w:val="003B7B18"/>
    <w:rsid w:val="003B7B4A"/>
    <w:rsid w:val="003B7D6E"/>
    <w:rsid w:val="003B7D86"/>
    <w:rsid w:val="003B7EB0"/>
    <w:rsid w:val="003B7F4C"/>
    <w:rsid w:val="003C014F"/>
    <w:rsid w:val="003C0158"/>
    <w:rsid w:val="003C023C"/>
    <w:rsid w:val="003C030D"/>
    <w:rsid w:val="003C033C"/>
    <w:rsid w:val="003C03EA"/>
    <w:rsid w:val="003C0446"/>
    <w:rsid w:val="003C05F7"/>
    <w:rsid w:val="003C0651"/>
    <w:rsid w:val="003C072E"/>
    <w:rsid w:val="003C07DA"/>
    <w:rsid w:val="003C07EC"/>
    <w:rsid w:val="003C0887"/>
    <w:rsid w:val="003C088E"/>
    <w:rsid w:val="003C089F"/>
    <w:rsid w:val="003C0B6A"/>
    <w:rsid w:val="003C0BBD"/>
    <w:rsid w:val="003C0BFB"/>
    <w:rsid w:val="003C0E0E"/>
    <w:rsid w:val="003C0F13"/>
    <w:rsid w:val="003C1010"/>
    <w:rsid w:val="003C1228"/>
    <w:rsid w:val="003C1257"/>
    <w:rsid w:val="003C136F"/>
    <w:rsid w:val="003C150E"/>
    <w:rsid w:val="003C1553"/>
    <w:rsid w:val="003C16D5"/>
    <w:rsid w:val="003C188F"/>
    <w:rsid w:val="003C1894"/>
    <w:rsid w:val="003C1924"/>
    <w:rsid w:val="003C19C0"/>
    <w:rsid w:val="003C1AA1"/>
    <w:rsid w:val="003C1C33"/>
    <w:rsid w:val="003C1EE9"/>
    <w:rsid w:val="003C1F58"/>
    <w:rsid w:val="003C20D0"/>
    <w:rsid w:val="003C217F"/>
    <w:rsid w:val="003C220E"/>
    <w:rsid w:val="003C226D"/>
    <w:rsid w:val="003C22C3"/>
    <w:rsid w:val="003C22D6"/>
    <w:rsid w:val="003C23B8"/>
    <w:rsid w:val="003C24E9"/>
    <w:rsid w:val="003C27CF"/>
    <w:rsid w:val="003C2932"/>
    <w:rsid w:val="003C2B65"/>
    <w:rsid w:val="003C2CF8"/>
    <w:rsid w:val="003C2E0D"/>
    <w:rsid w:val="003C31C6"/>
    <w:rsid w:val="003C3230"/>
    <w:rsid w:val="003C328C"/>
    <w:rsid w:val="003C34FD"/>
    <w:rsid w:val="003C35C3"/>
    <w:rsid w:val="003C372F"/>
    <w:rsid w:val="003C3930"/>
    <w:rsid w:val="003C39E8"/>
    <w:rsid w:val="003C3B4D"/>
    <w:rsid w:val="003C3D57"/>
    <w:rsid w:val="003C3E44"/>
    <w:rsid w:val="003C3EFD"/>
    <w:rsid w:val="003C3F20"/>
    <w:rsid w:val="003C41FE"/>
    <w:rsid w:val="003C427D"/>
    <w:rsid w:val="003C4406"/>
    <w:rsid w:val="003C44B9"/>
    <w:rsid w:val="003C456F"/>
    <w:rsid w:val="003C46B5"/>
    <w:rsid w:val="003C4742"/>
    <w:rsid w:val="003C474E"/>
    <w:rsid w:val="003C48E9"/>
    <w:rsid w:val="003C49BB"/>
    <w:rsid w:val="003C4A52"/>
    <w:rsid w:val="003C4BC9"/>
    <w:rsid w:val="003C4CA9"/>
    <w:rsid w:val="003C4D20"/>
    <w:rsid w:val="003C4DC2"/>
    <w:rsid w:val="003C4F46"/>
    <w:rsid w:val="003C4FB4"/>
    <w:rsid w:val="003C4FD1"/>
    <w:rsid w:val="003C50CE"/>
    <w:rsid w:val="003C5141"/>
    <w:rsid w:val="003C51CE"/>
    <w:rsid w:val="003C51DC"/>
    <w:rsid w:val="003C53B5"/>
    <w:rsid w:val="003C55DC"/>
    <w:rsid w:val="003C5626"/>
    <w:rsid w:val="003C5650"/>
    <w:rsid w:val="003C5738"/>
    <w:rsid w:val="003C5818"/>
    <w:rsid w:val="003C5869"/>
    <w:rsid w:val="003C5C94"/>
    <w:rsid w:val="003C5D04"/>
    <w:rsid w:val="003C5E95"/>
    <w:rsid w:val="003C5EF2"/>
    <w:rsid w:val="003C5F0A"/>
    <w:rsid w:val="003C5FCD"/>
    <w:rsid w:val="003C61EE"/>
    <w:rsid w:val="003C62E5"/>
    <w:rsid w:val="003C62E9"/>
    <w:rsid w:val="003C631F"/>
    <w:rsid w:val="003C6350"/>
    <w:rsid w:val="003C65B2"/>
    <w:rsid w:val="003C69B3"/>
    <w:rsid w:val="003C6ABA"/>
    <w:rsid w:val="003C6D0D"/>
    <w:rsid w:val="003C6E30"/>
    <w:rsid w:val="003C7070"/>
    <w:rsid w:val="003C7179"/>
    <w:rsid w:val="003C736C"/>
    <w:rsid w:val="003C7507"/>
    <w:rsid w:val="003C7525"/>
    <w:rsid w:val="003C75FB"/>
    <w:rsid w:val="003C771B"/>
    <w:rsid w:val="003C7953"/>
    <w:rsid w:val="003C7958"/>
    <w:rsid w:val="003C798C"/>
    <w:rsid w:val="003C7A1E"/>
    <w:rsid w:val="003C7B8E"/>
    <w:rsid w:val="003C7FF9"/>
    <w:rsid w:val="003D01CB"/>
    <w:rsid w:val="003D0379"/>
    <w:rsid w:val="003D03FD"/>
    <w:rsid w:val="003D0440"/>
    <w:rsid w:val="003D060A"/>
    <w:rsid w:val="003D072D"/>
    <w:rsid w:val="003D077E"/>
    <w:rsid w:val="003D07C9"/>
    <w:rsid w:val="003D08A1"/>
    <w:rsid w:val="003D0994"/>
    <w:rsid w:val="003D0C12"/>
    <w:rsid w:val="003D11EB"/>
    <w:rsid w:val="003D1252"/>
    <w:rsid w:val="003D1445"/>
    <w:rsid w:val="003D1499"/>
    <w:rsid w:val="003D14E1"/>
    <w:rsid w:val="003D18B6"/>
    <w:rsid w:val="003D193B"/>
    <w:rsid w:val="003D19D5"/>
    <w:rsid w:val="003D1A11"/>
    <w:rsid w:val="003D1AC8"/>
    <w:rsid w:val="003D1AF9"/>
    <w:rsid w:val="003D1B51"/>
    <w:rsid w:val="003D1BD7"/>
    <w:rsid w:val="003D1CC9"/>
    <w:rsid w:val="003D1D4E"/>
    <w:rsid w:val="003D1E1D"/>
    <w:rsid w:val="003D1FB4"/>
    <w:rsid w:val="003D21CD"/>
    <w:rsid w:val="003D2246"/>
    <w:rsid w:val="003D227C"/>
    <w:rsid w:val="003D236D"/>
    <w:rsid w:val="003D2380"/>
    <w:rsid w:val="003D23DE"/>
    <w:rsid w:val="003D2448"/>
    <w:rsid w:val="003D25C4"/>
    <w:rsid w:val="003D27DB"/>
    <w:rsid w:val="003D2879"/>
    <w:rsid w:val="003D29CC"/>
    <w:rsid w:val="003D2A46"/>
    <w:rsid w:val="003D2C78"/>
    <w:rsid w:val="003D3143"/>
    <w:rsid w:val="003D3202"/>
    <w:rsid w:val="003D3610"/>
    <w:rsid w:val="003D3659"/>
    <w:rsid w:val="003D379C"/>
    <w:rsid w:val="003D3823"/>
    <w:rsid w:val="003D3948"/>
    <w:rsid w:val="003D3963"/>
    <w:rsid w:val="003D396C"/>
    <w:rsid w:val="003D39D3"/>
    <w:rsid w:val="003D39DE"/>
    <w:rsid w:val="003D3B56"/>
    <w:rsid w:val="003D3FC1"/>
    <w:rsid w:val="003D43B5"/>
    <w:rsid w:val="003D43F1"/>
    <w:rsid w:val="003D440F"/>
    <w:rsid w:val="003D45FF"/>
    <w:rsid w:val="003D4723"/>
    <w:rsid w:val="003D47F0"/>
    <w:rsid w:val="003D4882"/>
    <w:rsid w:val="003D4B51"/>
    <w:rsid w:val="003D4C4A"/>
    <w:rsid w:val="003D4C85"/>
    <w:rsid w:val="003D4E95"/>
    <w:rsid w:val="003D4F15"/>
    <w:rsid w:val="003D4FD5"/>
    <w:rsid w:val="003D50B7"/>
    <w:rsid w:val="003D51EF"/>
    <w:rsid w:val="003D55A5"/>
    <w:rsid w:val="003D560A"/>
    <w:rsid w:val="003D56C1"/>
    <w:rsid w:val="003D5834"/>
    <w:rsid w:val="003D58CA"/>
    <w:rsid w:val="003D5A7B"/>
    <w:rsid w:val="003D5AC7"/>
    <w:rsid w:val="003D5B19"/>
    <w:rsid w:val="003D5BB6"/>
    <w:rsid w:val="003D5CF9"/>
    <w:rsid w:val="003D5D3C"/>
    <w:rsid w:val="003D5DC0"/>
    <w:rsid w:val="003D5E39"/>
    <w:rsid w:val="003D5E41"/>
    <w:rsid w:val="003D5F16"/>
    <w:rsid w:val="003D5F1A"/>
    <w:rsid w:val="003D6118"/>
    <w:rsid w:val="003D61BA"/>
    <w:rsid w:val="003D61DF"/>
    <w:rsid w:val="003D63DE"/>
    <w:rsid w:val="003D6550"/>
    <w:rsid w:val="003D6643"/>
    <w:rsid w:val="003D6743"/>
    <w:rsid w:val="003D69EC"/>
    <w:rsid w:val="003D6C7A"/>
    <w:rsid w:val="003D6E91"/>
    <w:rsid w:val="003D6E9F"/>
    <w:rsid w:val="003D7005"/>
    <w:rsid w:val="003D717B"/>
    <w:rsid w:val="003D7333"/>
    <w:rsid w:val="003D7334"/>
    <w:rsid w:val="003D7434"/>
    <w:rsid w:val="003D7455"/>
    <w:rsid w:val="003D777D"/>
    <w:rsid w:val="003D7805"/>
    <w:rsid w:val="003D7934"/>
    <w:rsid w:val="003D794C"/>
    <w:rsid w:val="003D794F"/>
    <w:rsid w:val="003D79E3"/>
    <w:rsid w:val="003D79ED"/>
    <w:rsid w:val="003D7AC6"/>
    <w:rsid w:val="003D7B1E"/>
    <w:rsid w:val="003D7D31"/>
    <w:rsid w:val="003D7D3A"/>
    <w:rsid w:val="003D7E6F"/>
    <w:rsid w:val="003D7FFE"/>
    <w:rsid w:val="003E0064"/>
    <w:rsid w:val="003E00FE"/>
    <w:rsid w:val="003E010E"/>
    <w:rsid w:val="003E0273"/>
    <w:rsid w:val="003E02CB"/>
    <w:rsid w:val="003E0352"/>
    <w:rsid w:val="003E053B"/>
    <w:rsid w:val="003E0716"/>
    <w:rsid w:val="003E082E"/>
    <w:rsid w:val="003E088E"/>
    <w:rsid w:val="003E08C3"/>
    <w:rsid w:val="003E0A4F"/>
    <w:rsid w:val="003E0ADF"/>
    <w:rsid w:val="003E0B03"/>
    <w:rsid w:val="003E0B9E"/>
    <w:rsid w:val="003E0BB7"/>
    <w:rsid w:val="003E0BDE"/>
    <w:rsid w:val="003E0C58"/>
    <w:rsid w:val="003E0CE2"/>
    <w:rsid w:val="003E0D5E"/>
    <w:rsid w:val="003E0F93"/>
    <w:rsid w:val="003E1002"/>
    <w:rsid w:val="003E106A"/>
    <w:rsid w:val="003E11F9"/>
    <w:rsid w:val="003E1420"/>
    <w:rsid w:val="003E151B"/>
    <w:rsid w:val="003E1790"/>
    <w:rsid w:val="003E1A04"/>
    <w:rsid w:val="003E1BD9"/>
    <w:rsid w:val="003E1C68"/>
    <w:rsid w:val="003E1D4C"/>
    <w:rsid w:val="003E1DDA"/>
    <w:rsid w:val="003E1EC5"/>
    <w:rsid w:val="003E1FC5"/>
    <w:rsid w:val="003E2130"/>
    <w:rsid w:val="003E213F"/>
    <w:rsid w:val="003E2238"/>
    <w:rsid w:val="003E2342"/>
    <w:rsid w:val="003E2627"/>
    <w:rsid w:val="003E280A"/>
    <w:rsid w:val="003E2829"/>
    <w:rsid w:val="003E28DD"/>
    <w:rsid w:val="003E2919"/>
    <w:rsid w:val="003E292B"/>
    <w:rsid w:val="003E29A4"/>
    <w:rsid w:val="003E29F3"/>
    <w:rsid w:val="003E2AF6"/>
    <w:rsid w:val="003E2D33"/>
    <w:rsid w:val="003E2D66"/>
    <w:rsid w:val="003E2E95"/>
    <w:rsid w:val="003E2EA3"/>
    <w:rsid w:val="003E2EAE"/>
    <w:rsid w:val="003E2ECF"/>
    <w:rsid w:val="003E2F18"/>
    <w:rsid w:val="003E2FEE"/>
    <w:rsid w:val="003E306D"/>
    <w:rsid w:val="003E309F"/>
    <w:rsid w:val="003E3341"/>
    <w:rsid w:val="003E345D"/>
    <w:rsid w:val="003E3566"/>
    <w:rsid w:val="003E356E"/>
    <w:rsid w:val="003E38C4"/>
    <w:rsid w:val="003E3971"/>
    <w:rsid w:val="003E3974"/>
    <w:rsid w:val="003E3BE8"/>
    <w:rsid w:val="003E3C2C"/>
    <w:rsid w:val="003E3CA9"/>
    <w:rsid w:val="003E3CC4"/>
    <w:rsid w:val="003E3D7B"/>
    <w:rsid w:val="003E3F34"/>
    <w:rsid w:val="003E4114"/>
    <w:rsid w:val="003E41E8"/>
    <w:rsid w:val="003E425B"/>
    <w:rsid w:val="003E42A0"/>
    <w:rsid w:val="003E433C"/>
    <w:rsid w:val="003E450E"/>
    <w:rsid w:val="003E4565"/>
    <w:rsid w:val="003E45C0"/>
    <w:rsid w:val="003E465E"/>
    <w:rsid w:val="003E4A4B"/>
    <w:rsid w:val="003E4B93"/>
    <w:rsid w:val="003E4BC9"/>
    <w:rsid w:val="003E4CBC"/>
    <w:rsid w:val="003E4D54"/>
    <w:rsid w:val="003E50DB"/>
    <w:rsid w:val="003E516E"/>
    <w:rsid w:val="003E520A"/>
    <w:rsid w:val="003E521E"/>
    <w:rsid w:val="003E52D4"/>
    <w:rsid w:val="003E52ED"/>
    <w:rsid w:val="003E547D"/>
    <w:rsid w:val="003E54DF"/>
    <w:rsid w:val="003E5562"/>
    <w:rsid w:val="003E558E"/>
    <w:rsid w:val="003E55A0"/>
    <w:rsid w:val="003E55F9"/>
    <w:rsid w:val="003E5737"/>
    <w:rsid w:val="003E5BD2"/>
    <w:rsid w:val="003E5D3D"/>
    <w:rsid w:val="003E5D61"/>
    <w:rsid w:val="003E5DF8"/>
    <w:rsid w:val="003E5E4D"/>
    <w:rsid w:val="003E5EC3"/>
    <w:rsid w:val="003E628A"/>
    <w:rsid w:val="003E6313"/>
    <w:rsid w:val="003E6819"/>
    <w:rsid w:val="003E68A4"/>
    <w:rsid w:val="003E69F1"/>
    <w:rsid w:val="003E6A12"/>
    <w:rsid w:val="003E6AEF"/>
    <w:rsid w:val="003E6C77"/>
    <w:rsid w:val="003E6E51"/>
    <w:rsid w:val="003E6E76"/>
    <w:rsid w:val="003E701F"/>
    <w:rsid w:val="003E707A"/>
    <w:rsid w:val="003E707C"/>
    <w:rsid w:val="003E70FB"/>
    <w:rsid w:val="003E715F"/>
    <w:rsid w:val="003E7242"/>
    <w:rsid w:val="003E729A"/>
    <w:rsid w:val="003E73E9"/>
    <w:rsid w:val="003E73F9"/>
    <w:rsid w:val="003E7404"/>
    <w:rsid w:val="003E750D"/>
    <w:rsid w:val="003E75B5"/>
    <w:rsid w:val="003E75F5"/>
    <w:rsid w:val="003E76D9"/>
    <w:rsid w:val="003E78BE"/>
    <w:rsid w:val="003E7998"/>
    <w:rsid w:val="003E7B33"/>
    <w:rsid w:val="003E7C04"/>
    <w:rsid w:val="003E7D2F"/>
    <w:rsid w:val="003E7F27"/>
    <w:rsid w:val="003F000C"/>
    <w:rsid w:val="003F0113"/>
    <w:rsid w:val="003F02AB"/>
    <w:rsid w:val="003F02D9"/>
    <w:rsid w:val="003F06FF"/>
    <w:rsid w:val="003F0859"/>
    <w:rsid w:val="003F099C"/>
    <w:rsid w:val="003F0A36"/>
    <w:rsid w:val="003F0BE4"/>
    <w:rsid w:val="003F0C0F"/>
    <w:rsid w:val="003F0C21"/>
    <w:rsid w:val="003F0F3A"/>
    <w:rsid w:val="003F103F"/>
    <w:rsid w:val="003F1118"/>
    <w:rsid w:val="003F1172"/>
    <w:rsid w:val="003F11C8"/>
    <w:rsid w:val="003F11D5"/>
    <w:rsid w:val="003F126D"/>
    <w:rsid w:val="003F14D5"/>
    <w:rsid w:val="003F165C"/>
    <w:rsid w:val="003F1A33"/>
    <w:rsid w:val="003F1A4F"/>
    <w:rsid w:val="003F1C10"/>
    <w:rsid w:val="003F1DA8"/>
    <w:rsid w:val="003F2160"/>
    <w:rsid w:val="003F222B"/>
    <w:rsid w:val="003F2253"/>
    <w:rsid w:val="003F23CD"/>
    <w:rsid w:val="003F246C"/>
    <w:rsid w:val="003F24F6"/>
    <w:rsid w:val="003F26CB"/>
    <w:rsid w:val="003F2754"/>
    <w:rsid w:val="003F278F"/>
    <w:rsid w:val="003F27C2"/>
    <w:rsid w:val="003F28B7"/>
    <w:rsid w:val="003F2925"/>
    <w:rsid w:val="003F2B50"/>
    <w:rsid w:val="003F2E58"/>
    <w:rsid w:val="003F2ED8"/>
    <w:rsid w:val="003F31D4"/>
    <w:rsid w:val="003F3294"/>
    <w:rsid w:val="003F3297"/>
    <w:rsid w:val="003F335F"/>
    <w:rsid w:val="003F3369"/>
    <w:rsid w:val="003F3425"/>
    <w:rsid w:val="003F3489"/>
    <w:rsid w:val="003F34D7"/>
    <w:rsid w:val="003F3530"/>
    <w:rsid w:val="003F3556"/>
    <w:rsid w:val="003F38C0"/>
    <w:rsid w:val="003F3917"/>
    <w:rsid w:val="003F399D"/>
    <w:rsid w:val="003F3A88"/>
    <w:rsid w:val="003F3F92"/>
    <w:rsid w:val="003F42A3"/>
    <w:rsid w:val="003F43E4"/>
    <w:rsid w:val="003F4622"/>
    <w:rsid w:val="003F46A4"/>
    <w:rsid w:val="003F46E6"/>
    <w:rsid w:val="003F473F"/>
    <w:rsid w:val="003F4877"/>
    <w:rsid w:val="003F4925"/>
    <w:rsid w:val="003F49AC"/>
    <w:rsid w:val="003F4E37"/>
    <w:rsid w:val="003F4E6F"/>
    <w:rsid w:val="003F4FF1"/>
    <w:rsid w:val="003F4FFB"/>
    <w:rsid w:val="003F515A"/>
    <w:rsid w:val="003F51DD"/>
    <w:rsid w:val="003F5249"/>
    <w:rsid w:val="003F52E2"/>
    <w:rsid w:val="003F536A"/>
    <w:rsid w:val="003F537C"/>
    <w:rsid w:val="003F5411"/>
    <w:rsid w:val="003F545D"/>
    <w:rsid w:val="003F546F"/>
    <w:rsid w:val="003F54EB"/>
    <w:rsid w:val="003F5565"/>
    <w:rsid w:val="003F557E"/>
    <w:rsid w:val="003F5607"/>
    <w:rsid w:val="003F5697"/>
    <w:rsid w:val="003F5705"/>
    <w:rsid w:val="003F5793"/>
    <w:rsid w:val="003F5860"/>
    <w:rsid w:val="003F58FD"/>
    <w:rsid w:val="003F5A58"/>
    <w:rsid w:val="003F5C45"/>
    <w:rsid w:val="003F5D30"/>
    <w:rsid w:val="003F5D8F"/>
    <w:rsid w:val="003F5E1F"/>
    <w:rsid w:val="003F5E3E"/>
    <w:rsid w:val="003F5EEA"/>
    <w:rsid w:val="003F6332"/>
    <w:rsid w:val="003F66C2"/>
    <w:rsid w:val="003F6872"/>
    <w:rsid w:val="003F69E0"/>
    <w:rsid w:val="003F6A8E"/>
    <w:rsid w:val="003F6B3E"/>
    <w:rsid w:val="003F6C99"/>
    <w:rsid w:val="003F70DE"/>
    <w:rsid w:val="003F7105"/>
    <w:rsid w:val="003F72F0"/>
    <w:rsid w:val="003F7411"/>
    <w:rsid w:val="003F7513"/>
    <w:rsid w:val="003F7533"/>
    <w:rsid w:val="003F765E"/>
    <w:rsid w:val="003F7673"/>
    <w:rsid w:val="003F789E"/>
    <w:rsid w:val="003F7902"/>
    <w:rsid w:val="003F7983"/>
    <w:rsid w:val="003F7A19"/>
    <w:rsid w:val="003F7A78"/>
    <w:rsid w:val="003F7E1D"/>
    <w:rsid w:val="003F7E39"/>
    <w:rsid w:val="003F7ED8"/>
    <w:rsid w:val="003F7F1A"/>
    <w:rsid w:val="0040000C"/>
    <w:rsid w:val="004000C2"/>
    <w:rsid w:val="0040010B"/>
    <w:rsid w:val="004001E6"/>
    <w:rsid w:val="004001F2"/>
    <w:rsid w:val="00400225"/>
    <w:rsid w:val="00400228"/>
    <w:rsid w:val="0040037E"/>
    <w:rsid w:val="004003D1"/>
    <w:rsid w:val="00400477"/>
    <w:rsid w:val="0040053F"/>
    <w:rsid w:val="004005FA"/>
    <w:rsid w:val="004006E8"/>
    <w:rsid w:val="00400726"/>
    <w:rsid w:val="0040094F"/>
    <w:rsid w:val="00400A83"/>
    <w:rsid w:val="00400A9D"/>
    <w:rsid w:val="00400AC2"/>
    <w:rsid w:val="00400B81"/>
    <w:rsid w:val="00400B98"/>
    <w:rsid w:val="00400C7B"/>
    <w:rsid w:val="00400E09"/>
    <w:rsid w:val="00400F01"/>
    <w:rsid w:val="00400F87"/>
    <w:rsid w:val="00401005"/>
    <w:rsid w:val="00401046"/>
    <w:rsid w:val="004010F0"/>
    <w:rsid w:val="0040115D"/>
    <w:rsid w:val="004013AA"/>
    <w:rsid w:val="004013E9"/>
    <w:rsid w:val="004014E7"/>
    <w:rsid w:val="00401521"/>
    <w:rsid w:val="00401798"/>
    <w:rsid w:val="00401A84"/>
    <w:rsid w:val="00401AB3"/>
    <w:rsid w:val="00401F6D"/>
    <w:rsid w:val="00402011"/>
    <w:rsid w:val="00402305"/>
    <w:rsid w:val="004023EF"/>
    <w:rsid w:val="00402560"/>
    <w:rsid w:val="004025AC"/>
    <w:rsid w:val="0040262D"/>
    <w:rsid w:val="004027A3"/>
    <w:rsid w:val="00402B25"/>
    <w:rsid w:val="00402C58"/>
    <w:rsid w:val="00402D6C"/>
    <w:rsid w:val="00402D76"/>
    <w:rsid w:val="00402DC9"/>
    <w:rsid w:val="0040309D"/>
    <w:rsid w:val="004030D9"/>
    <w:rsid w:val="004032EB"/>
    <w:rsid w:val="004034BC"/>
    <w:rsid w:val="004034D8"/>
    <w:rsid w:val="004035F5"/>
    <w:rsid w:val="0040361E"/>
    <w:rsid w:val="0040372C"/>
    <w:rsid w:val="00403937"/>
    <w:rsid w:val="004039AF"/>
    <w:rsid w:val="00403AF5"/>
    <w:rsid w:val="00403C39"/>
    <w:rsid w:val="00403CC6"/>
    <w:rsid w:val="00403D6F"/>
    <w:rsid w:val="00404019"/>
    <w:rsid w:val="0040412F"/>
    <w:rsid w:val="00404156"/>
    <w:rsid w:val="00404207"/>
    <w:rsid w:val="0040423B"/>
    <w:rsid w:val="0040427B"/>
    <w:rsid w:val="004043B7"/>
    <w:rsid w:val="004043FF"/>
    <w:rsid w:val="004044A2"/>
    <w:rsid w:val="00404522"/>
    <w:rsid w:val="004048FF"/>
    <w:rsid w:val="00404A0C"/>
    <w:rsid w:val="00404B52"/>
    <w:rsid w:val="00404BC6"/>
    <w:rsid w:val="00404C45"/>
    <w:rsid w:val="00404D17"/>
    <w:rsid w:val="00404D28"/>
    <w:rsid w:val="00404E50"/>
    <w:rsid w:val="00405037"/>
    <w:rsid w:val="004050A8"/>
    <w:rsid w:val="004052A2"/>
    <w:rsid w:val="00405375"/>
    <w:rsid w:val="00405429"/>
    <w:rsid w:val="0040599D"/>
    <w:rsid w:val="00405A32"/>
    <w:rsid w:val="00405A5D"/>
    <w:rsid w:val="00405C3E"/>
    <w:rsid w:val="00405C72"/>
    <w:rsid w:val="00405E7F"/>
    <w:rsid w:val="00405F74"/>
    <w:rsid w:val="00405FCF"/>
    <w:rsid w:val="00406091"/>
    <w:rsid w:val="00406369"/>
    <w:rsid w:val="0040641B"/>
    <w:rsid w:val="00406455"/>
    <w:rsid w:val="004064BE"/>
    <w:rsid w:val="0040662D"/>
    <w:rsid w:val="0040668C"/>
    <w:rsid w:val="0040673D"/>
    <w:rsid w:val="004069B1"/>
    <w:rsid w:val="00406A78"/>
    <w:rsid w:val="00406AAE"/>
    <w:rsid w:val="00406AEA"/>
    <w:rsid w:val="00406C4C"/>
    <w:rsid w:val="00406C4F"/>
    <w:rsid w:val="00406CF8"/>
    <w:rsid w:val="00406E0D"/>
    <w:rsid w:val="00406F59"/>
    <w:rsid w:val="0040734D"/>
    <w:rsid w:val="00407368"/>
    <w:rsid w:val="00407464"/>
    <w:rsid w:val="00407745"/>
    <w:rsid w:val="00407755"/>
    <w:rsid w:val="004077B5"/>
    <w:rsid w:val="0040784F"/>
    <w:rsid w:val="00407B78"/>
    <w:rsid w:val="00407BBC"/>
    <w:rsid w:val="00407D7C"/>
    <w:rsid w:val="00407D81"/>
    <w:rsid w:val="00407DB3"/>
    <w:rsid w:val="00407DC5"/>
    <w:rsid w:val="00407ED8"/>
    <w:rsid w:val="00407F2F"/>
    <w:rsid w:val="0041003A"/>
    <w:rsid w:val="00410087"/>
    <w:rsid w:val="0041013E"/>
    <w:rsid w:val="0041020B"/>
    <w:rsid w:val="004102A1"/>
    <w:rsid w:val="004102BC"/>
    <w:rsid w:val="0041032F"/>
    <w:rsid w:val="004103E4"/>
    <w:rsid w:val="00410562"/>
    <w:rsid w:val="00410625"/>
    <w:rsid w:val="00410661"/>
    <w:rsid w:val="00410741"/>
    <w:rsid w:val="00410792"/>
    <w:rsid w:val="00410978"/>
    <w:rsid w:val="00410A4C"/>
    <w:rsid w:val="00410B79"/>
    <w:rsid w:val="00410D5F"/>
    <w:rsid w:val="00410DC9"/>
    <w:rsid w:val="00410EE8"/>
    <w:rsid w:val="00411077"/>
    <w:rsid w:val="00411178"/>
    <w:rsid w:val="00411289"/>
    <w:rsid w:val="004113C7"/>
    <w:rsid w:val="004114BD"/>
    <w:rsid w:val="004116B3"/>
    <w:rsid w:val="004116E6"/>
    <w:rsid w:val="00411744"/>
    <w:rsid w:val="00411A0A"/>
    <w:rsid w:val="00411AD5"/>
    <w:rsid w:val="00411B95"/>
    <w:rsid w:val="00411DF2"/>
    <w:rsid w:val="00412044"/>
    <w:rsid w:val="0041212B"/>
    <w:rsid w:val="00412149"/>
    <w:rsid w:val="00412240"/>
    <w:rsid w:val="004123EB"/>
    <w:rsid w:val="004123F2"/>
    <w:rsid w:val="00412449"/>
    <w:rsid w:val="0041270F"/>
    <w:rsid w:val="00412C8A"/>
    <w:rsid w:val="00412CC1"/>
    <w:rsid w:val="00412D46"/>
    <w:rsid w:val="00412DB6"/>
    <w:rsid w:val="00412F9C"/>
    <w:rsid w:val="004131BF"/>
    <w:rsid w:val="0041320D"/>
    <w:rsid w:val="00413231"/>
    <w:rsid w:val="00413240"/>
    <w:rsid w:val="004132DD"/>
    <w:rsid w:val="00413320"/>
    <w:rsid w:val="004134BA"/>
    <w:rsid w:val="004134D4"/>
    <w:rsid w:val="00413751"/>
    <w:rsid w:val="00413824"/>
    <w:rsid w:val="004138F1"/>
    <w:rsid w:val="00413D78"/>
    <w:rsid w:val="00413E0C"/>
    <w:rsid w:val="00413FD3"/>
    <w:rsid w:val="004141AC"/>
    <w:rsid w:val="004142C3"/>
    <w:rsid w:val="00414315"/>
    <w:rsid w:val="0041451A"/>
    <w:rsid w:val="00414520"/>
    <w:rsid w:val="00414544"/>
    <w:rsid w:val="0041455A"/>
    <w:rsid w:val="00414607"/>
    <w:rsid w:val="00414917"/>
    <w:rsid w:val="004149D9"/>
    <w:rsid w:val="00414A0A"/>
    <w:rsid w:val="00414AE3"/>
    <w:rsid w:val="00414C6E"/>
    <w:rsid w:val="00414DC3"/>
    <w:rsid w:val="00414F5D"/>
    <w:rsid w:val="00414F8E"/>
    <w:rsid w:val="00414F9D"/>
    <w:rsid w:val="00415050"/>
    <w:rsid w:val="004152C3"/>
    <w:rsid w:val="004154DD"/>
    <w:rsid w:val="00415864"/>
    <w:rsid w:val="00415A04"/>
    <w:rsid w:val="00415ACA"/>
    <w:rsid w:val="00415B1A"/>
    <w:rsid w:val="00415C27"/>
    <w:rsid w:val="00415F94"/>
    <w:rsid w:val="00416162"/>
    <w:rsid w:val="004161A0"/>
    <w:rsid w:val="00416314"/>
    <w:rsid w:val="004163D9"/>
    <w:rsid w:val="0041648E"/>
    <w:rsid w:val="004164D0"/>
    <w:rsid w:val="00416545"/>
    <w:rsid w:val="00416781"/>
    <w:rsid w:val="00416993"/>
    <w:rsid w:val="00416A21"/>
    <w:rsid w:val="00416B49"/>
    <w:rsid w:val="00416E7A"/>
    <w:rsid w:val="00416F2D"/>
    <w:rsid w:val="00416F7F"/>
    <w:rsid w:val="0041711D"/>
    <w:rsid w:val="00417146"/>
    <w:rsid w:val="0041748B"/>
    <w:rsid w:val="004176DD"/>
    <w:rsid w:val="0041778F"/>
    <w:rsid w:val="00417AED"/>
    <w:rsid w:val="00417BBD"/>
    <w:rsid w:val="00417F02"/>
    <w:rsid w:val="00417FC7"/>
    <w:rsid w:val="00420071"/>
    <w:rsid w:val="00420174"/>
    <w:rsid w:val="004201B2"/>
    <w:rsid w:val="004201D3"/>
    <w:rsid w:val="004202BF"/>
    <w:rsid w:val="00420396"/>
    <w:rsid w:val="004204A3"/>
    <w:rsid w:val="0042050C"/>
    <w:rsid w:val="00420548"/>
    <w:rsid w:val="00420562"/>
    <w:rsid w:val="004207D7"/>
    <w:rsid w:val="00420831"/>
    <w:rsid w:val="004208EF"/>
    <w:rsid w:val="004209BF"/>
    <w:rsid w:val="004209E7"/>
    <w:rsid w:val="004209FF"/>
    <w:rsid w:val="00420C84"/>
    <w:rsid w:val="00420C93"/>
    <w:rsid w:val="00420FA9"/>
    <w:rsid w:val="00420FB1"/>
    <w:rsid w:val="004212AF"/>
    <w:rsid w:val="004213AA"/>
    <w:rsid w:val="004213E8"/>
    <w:rsid w:val="0042146E"/>
    <w:rsid w:val="004214A3"/>
    <w:rsid w:val="00421749"/>
    <w:rsid w:val="00421754"/>
    <w:rsid w:val="004217CB"/>
    <w:rsid w:val="004217F2"/>
    <w:rsid w:val="00421A77"/>
    <w:rsid w:val="00421B9C"/>
    <w:rsid w:val="00421C77"/>
    <w:rsid w:val="00421D80"/>
    <w:rsid w:val="00421DDB"/>
    <w:rsid w:val="00421E47"/>
    <w:rsid w:val="00421E65"/>
    <w:rsid w:val="00421F12"/>
    <w:rsid w:val="004220F5"/>
    <w:rsid w:val="0042222F"/>
    <w:rsid w:val="00422755"/>
    <w:rsid w:val="00422846"/>
    <w:rsid w:val="00422860"/>
    <w:rsid w:val="004229DA"/>
    <w:rsid w:val="00422A0A"/>
    <w:rsid w:val="00422A0D"/>
    <w:rsid w:val="00422B35"/>
    <w:rsid w:val="00422B48"/>
    <w:rsid w:val="00422B6E"/>
    <w:rsid w:val="00422BC2"/>
    <w:rsid w:val="00422CE9"/>
    <w:rsid w:val="00422DB6"/>
    <w:rsid w:val="00422E99"/>
    <w:rsid w:val="00422F9A"/>
    <w:rsid w:val="00423061"/>
    <w:rsid w:val="0042334D"/>
    <w:rsid w:val="0042346E"/>
    <w:rsid w:val="00423615"/>
    <w:rsid w:val="00423671"/>
    <w:rsid w:val="00423942"/>
    <w:rsid w:val="00423A32"/>
    <w:rsid w:val="00423A68"/>
    <w:rsid w:val="00423B0F"/>
    <w:rsid w:val="00423C34"/>
    <w:rsid w:val="00423D05"/>
    <w:rsid w:val="00423D9D"/>
    <w:rsid w:val="00423EF8"/>
    <w:rsid w:val="0042403E"/>
    <w:rsid w:val="0042430A"/>
    <w:rsid w:val="00424315"/>
    <w:rsid w:val="0042444D"/>
    <w:rsid w:val="0042445A"/>
    <w:rsid w:val="004245A7"/>
    <w:rsid w:val="004245C7"/>
    <w:rsid w:val="00424615"/>
    <w:rsid w:val="004248BE"/>
    <w:rsid w:val="00424958"/>
    <w:rsid w:val="004249BB"/>
    <w:rsid w:val="00424ABE"/>
    <w:rsid w:val="00424D06"/>
    <w:rsid w:val="00424D69"/>
    <w:rsid w:val="00424EA0"/>
    <w:rsid w:val="00424F69"/>
    <w:rsid w:val="00425260"/>
    <w:rsid w:val="0042547F"/>
    <w:rsid w:val="004254BD"/>
    <w:rsid w:val="00425681"/>
    <w:rsid w:val="00425683"/>
    <w:rsid w:val="004256CB"/>
    <w:rsid w:val="0042576C"/>
    <w:rsid w:val="004257FD"/>
    <w:rsid w:val="0042586E"/>
    <w:rsid w:val="00425C55"/>
    <w:rsid w:val="00425E2B"/>
    <w:rsid w:val="00426043"/>
    <w:rsid w:val="004261F3"/>
    <w:rsid w:val="004263D0"/>
    <w:rsid w:val="0042643D"/>
    <w:rsid w:val="00426566"/>
    <w:rsid w:val="004266C6"/>
    <w:rsid w:val="0042683C"/>
    <w:rsid w:val="00426996"/>
    <w:rsid w:val="00426AD3"/>
    <w:rsid w:val="004270E5"/>
    <w:rsid w:val="00427189"/>
    <w:rsid w:val="00427462"/>
    <w:rsid w:val="004274F6"/>
    <w:rsid w:val="0042765D"/>
    <w:rsid w:val="0042769C"/>
    <w:rsid w:val="00427711"/>
    <w:rsid w:val="00427847"/>
    <w:rsid w:val="004279E6"/>
    <w:rsid w:val="00427AC9"/>
    <w:rsid w:val="00427AD9"/>
    <w:rsid w:val="00427BF2"/>
    <w:rsid w:val="00427DFD"/>
    <w:rsid w:val="00427FDA"/>
    <w:rsid w:val="00430153"/>
    <w:rsid w:val="0043018A"/>
    <w:rsid w:val="004302A7"/>
    <w:rsid w:val="00430388"/>
    <w:rsid w:val="004304E8"/>
    <w:rsid w:val="00430530"/>
    <w:rsid w:val="004306B2"/>
    <w:rsid w:val="004306CC"/>
    <w:rsid w:val="0043071D"/>
    <w:rsid w:val="00430723"/>
    <w:rsid w:val="0043083F"/>
    <w:rsid w:val="0043095D"/>
    <w:rsid w:val="00430A17"/>
    <w:rsid w:val="00430B37"/>
    <w:rsid w:val="00430B6B"/>
    <w:rsid w:val="00430BC6"/>
    <w:rsid w:val="00430C62"/>
    <w:rsid w:val="00430D8E"/>
    <w:rsid w:val="00430E00"/>
    <w:rsid w:val="00430E3C"/>
    <w:rsid w:val="00430E51"/>
    <w:rsid w:val="00431025"/>
    <w:rsid w:val="004311D9"/>
    <w:rsid w:val="00431397"/>
    <w:rsid w:val="00431610"/>
    <w:rsid w:val="0043194F"/>
    <w:rsid w:val="004319CC"/>
    <w:rsid w:val="00431BF8"/>
    <w:rsid w:val="00431D0F"/>
    <w:rsid w:val="00431EBB"/>
    <w:rsid w:val="0043205B"/>
    <w:rsid w:val="00432256"/>
    <w:rsid w:val="0043255E"/>
    <w:rsid w:val="00432725"/>
    <w:rsid w:val="004327F4"/>
    <w:rsid w:val="00432807"/>
    <w:rsid w:val="0043289D"/>
    <w:rsid w:val="00432941"/>
    <w:rsid w:val="004329A5"/>
    <w:rsid w:val="00432AE7"/>
    <w:rsid w:val="00432CD5"/>
    <w:rsid w:val="0043304F"/>
    <w:rsid w:val="004330AF"/>
    <w:rsid w:val="004330F9"/>
    <w:rsid w:val="00433263"/>
    <w:rsid w:val="00433281"/>
    <w:rsid w:val="00433336"/>
    <w:rsid w:val="00433415"/>
    <w:rsid w:val="004336F9"/>
    <w:rsid w:val="00433781"/>
    <w:rsid w:val="00433866"/>
    <w:rsid w:val="0043387E"/>
    <w:rsid w:val="00433891"/>
    <w:rsid w:val="004338AC"/>
    <w:rsid w:val="004338D9"/>
    <w:rsid w:val="00433B1F"/>
    <w:rsid w:val="00433C70"/>
    <w:rsid w:val="00433D33"/>
    <w:rsid w:val="00433F41"/>
    <w:rsid w:val="00433FE6"/>
    <w:rsid w:val="00434098"/>
    <w:rsid w:val="0043417C"/>
    <w:rsid w:val="00434215"/>
    <w:rsid w:val="00434285"/>
    <w:rsid w:val="00434483"/>
    <w:rsid w:val="004344B2"/>
    <w:rsid w:val="00434857"/>
    <w:rsid w:val="00434902"/>
    <w:rsid w:val="00434A52"/>
    <w:rsid w:val="00434A5E"/>
    <w:rsid w:val="00434AB2"/>
    <w:rsid w:val="00434B91"/>
    <w:rsid w:val="00434DC9"/>
    <w:rsid w:val="00434DCB"/>
    <w:rsid w:val="00434E7A"/>
    <w:rsid w:val="00434EEA"/>
    <w:rsid w:val="004350F2"/>
    <w:rsid w:val="0043551F"/>
    <w:rsid w:val="0043563B"/>
    <w:rsid w:val="004356AF"/>
    <w:rsid w:val="00435702"/>
    <w:rsid w:val="004358BC"/>
    <w:rsid w:val="00435A42"/>
    <w:rsid w:val="00435ADB"/>
    <w:rsid w:val="00435B34"/>
    <w:rsid w:val="00435E29"/>
    <w:rsid w:val="00435F1B"/>
    <w:rsid w:val="00435FFB"/>
    <w:rsid w:val="00436058"/>
    <w:rsid w:val="00436083"/>
    <w:rsid w:val="0043669F"/>
    <w:rsid w:val="00436777"/>
    <w:rsid w:val="004367C8"/>
    <w:rsid w:val="004368DD"/>
    <w:rsid w:val="0043692C"/>
    <w:rsid w:val="00436A45"/>
    <w:rsid w:val="00436AFF"/>
    <w:rsid w:val="00436BAB"/>
    <w:rsid w:val="00436D62"/>
    <w:rsid w:val="00436E19"/>
    <w:rsid w:val="00437105"/>
    <w:rsid w:val="0043714E"/>
    <w:rsid w:val="004371F0"/>
    <w:rsid w:val="0043742B"/>
    <w:rsid w:val="004374F6"/>
    <w:rsid w:val="00437670"/>
    <w:rsid w:val="004376AA"/>
    <w:rsid w:val="00437851"/>
    <w:rsid w:val="004379AB"/>
    <w:rsid w:val="00437AAD"/>
    <w:rsid w:val="00437B02"/>
    <w:rsid w:val="00437B82"/>
    <w:rsid w:val="00437C6E"/>
    <w:rsid w:val="00437D2F"/>
    <w:rsid w:val="00437F41"/>
    <w:rsid w:val="00437F48"/>
    <w:rsid w:val="00437F78"/>
    <w:rsid w:val="004400D9"/>
    <w:rsid w:val="00440165"/>
    <w:rsid w:val="004403C6"/>
    <w:rsid w:val="004404A2"/>
    <w:rsid w:val="004404A7"/>
    <w:rsid w:val="00440674"/>
    <w:rsid w:val="004407A3"/>
    <w:rsid w:val="004407D7"/>
    <w:rsid w:val="004408EA"/>
    <w:rsid w:val="00440954"/>
    <w:rsid w:val="00440A46"/>
    <w:rsid w:val="00440AF2"/>
    <w:rsid w:val="00440B35"/>
    <w:rsid w:val="00440D0E"/>
    <w:rsid w:val="00440DF0"/>
    <w:rsid w:val="00440E80"/>
    <w:rsid w:val="00440F0D"/>
    <w:rsid w:val="004410AD"/>
    <w:rsid w:val="00441170"/>
    <w:rsid w:val="0044119E"/>
    <w:rsid w:val="004411D8"/>
    <w:rsid w:val="004413E0"/>
    <w:rsid w:val="00441429"/>
    <w:rsid w:val="00441478"/>
    <w:rsid w:val="004414BB"/>
    <w:rsid w:val="00441559"/>
    <w:rsid w:val="004415DB"/>
    <w:rsid w:val="00441768"/>
    <w:rsid w:val="00441A73"/>
    <w:rsid w:val="00441B7A"/>
    <w:rsid w:val="00441BAA"/>
    <w:rsid w:val="00441C61"/>
    <w:rsid w:val="00441DA6"/>
    <w:rsid w:val="00441DC3"/>
    <w:rsid w:val="00441E0A"/>
    <w:rsid w:val="00441EE8"/>
    <w:rsid w:val="00442147"/>
    <w:rsid w:val="0044218B"/>
    <w:rsid w:val="0044220A"/>
    <w:rsid w:val="00442233"/>
    <w:rsid w:val="0044241C"/>
    <w:rsid w:val="004425C9"/>
    <w:rsid w:val="004427EC"/>
    <w:rsid w:val="00442869"/>
    <w:rsid w:val="0044288A"/>
    <w:rsid w:val="00442892"/>
    <w:rsid w:val="004429F7"/>
    <w:rsid w:val="00442AB2"/>
    <w:rsid w:val="00442C7F"/>
    <w:rsid w:val="00442D4C"/>
    <w:rsid w:val="00442E15"/>
    <w:rsid w:val="00442E2B"/>
    <w:rsid w:val="00442EE4"/>
    <w:rsid w:val="00442F9A"/>
    <w:rsid w:val="0044303C"/>
    <w:rsid w:val="00443048"/>
    <w:rsid w:val="00443380"/>
    <w:rsid w:val="004433E2"/>
    <w:rsid w:val="00443535"/>
    <w:rsid w:val="0044376E"/>
    <w:rsid w:val="00443789"/>
    <w:rsid w:val="00443837"/>
    <w:rsid w:val="0044394A"/>
    <w:rsid w:val="00443A88"/>
    <w:rsid w:val="00443AFC"/>
    <w:rsid w:val="00443CA3"/>
    <w:rsid w:val="004440F9"/>
    <w:rsid w:val="00444159"/>
    <w:rsid w:val="0044422C"/>
    <w:rsid w:val="00444344"/>
    <w:rsid w:val="00444407"/>
    <w:rsid w:val="0044440B"/>
    <w:rsid w:val="00444541"/>
    <w:rsid w:val="004445AE"/>
    <w:rsid w:val="004445D7"/>
    <w:rsid w:val="00444665"/>
    <w:rsid w:val="0044468E"/>
    <w:rsid w:val="0044478B"/>
    <w:rsid w:val="00444A6A"/>
    <w:rsid w:val="00444C1B"/>
    <w:rsid w:val="00444C2C"/>
    <w:rsid w:val="00444C43"/>
    <w:rsid w:val="00444C88"/>
    <w:rsid w:val="00444CA7"/>
    <w:rsid w:val="00444CEF"/>
    <w:rsid w:val="00444D1D"/>
    <w:rsid w:val="00444D39"/>
    <w:rsid w:val="00444D7A"/>
    <w:rsid w:val="00444F94"/>
    <w:rsid w:val="004453E1"/>
    <w:rsid w:val="004454EF"/>
    <w:rsid w:val="004455DB"/>
    <w:rsid w:val="004455EC"/>
    <w:rsid w:val="00445610"/>
    <w:rsid w:val="0044587B"/>
    <w:rsid w:val="004459CB"/>
    <w:rsid w:val="004459CF"/>
    <w:rsid w:val="00445AC4"/>
    <w:rsid w:val="00445EC4"/>
    <w:rsid w:val="00445FDD"/>
    <w:rsid w:val="0044608F"/>
    <w:rsid w:val="0044618F"/>
    <w:rsid w:val="004461F2"/>
    <w:rsid w:val="0044621C"/>
    <w:rsid w:val="00446340"/>
    <w:rsid w:val="00446357"/>
    <w:rsid w:val="004463C0"/>
    <w:rsid w:val="00446683"/>
    <w:rsid w:val="004466DD"/>
    <w:rsid w:val="00446760"/>
    <w:rsid w:val="0044684C"/>
    <w:rsid w:val="004468F0"/>
    <w:rsid w:val="00446969"/>
    <w:rsid w:val="00446C61"/>
    <w:rsid w:val="00446CA7"/>
    <w:rsid w:val="00446CAA"/>
    <w:rsid w:val="00446DBA"/>
    <w:rsid w:val="00446E02"/>
    <w:rsid w:val="00446F8A"/>
    <w:rsid w:val="00447077"/>
    <w:rsid w:val="00447209"/>
    <w:rsid w:val="00447225"/>
    <w:rsid w:val="00447473"/>
    <w:rsid w:val="004475EB"/>
    <w:rsid w:val="004476FE"/>
    <w:rsid w:val="0044774B"/>
    <w:rsid w:val="00447991"/>
    <w:rsid w:val="00447A7B"/>
    <w:rsid w:val="00447AE5"/>
    <w:rsid w:val="00447AF0"/>
    <w:rsid w:val="00447CB0"/>
    <w:rsid w:val="00447E9A"/>
    <w:rsid w:val="00447EA6"/>
    <w:rsid w:val="00447EBF"/>
    <w:rsid w:val="00447F03"/>
    <w:rsid w:val="0045001C"/>
    <w:rsid w:val="0045002D"/>
    <w:rsid w:val="0045007C"/>
    <w:rsid w:val="004502ED"/>
    <w:rsid w:val="0045065E"/>
    <w:rsid w:val="00450736"/>
    <w:rsid w:val="0045074E"/>
    <w:rsid w:val="00450757"/>
    <w:rsid w:val="0045095A"/>
    <w:rsid w:val="0045096D"/>
    <w:rsid w:val="00450C57"/>
    <w:rsid w:val="00450FCC"/>
    <w:rsid w:val="00451031"/>
    <w:rsid w:val="004511E6"/>
    <w:rsid w:val="00451297"/>
    <w:rsid w:val="004514D3"/>
    <w:rsid w:val="00451523"/>
    <w:rsid w:val="004515B1"/>
    <w:rsid w:val="004515FF"/>
    <w:rsid w:val="00451633"/>
    <w:rsid w:val="004516CE"/>
    <w:rsid w:val="0045176B"/>
    <w:rsid w:val="004517AA"/>
    <w:rsid w:val="0045181C"/>
    <w:rsid w:val="004518BA"/>
    <w:rsid w:val="004518D4"/>
    <w:rsid w:val="00451AA7"/>
    <w:rsid w:val="00451C5C"/>
    <w:rsid w:val="00451E45"/>
    <w:rsid w:val="00451E59"/>
    <w:rsid w:val="0045203E"/>
    <w:rsid w:val="00452103"/>
    <w:rsid w:val="00452238"/>
    <w:rsid w:val="0045232F"/>
    <w:rsid w:val="0045268E"/>
    <w:rsid w:val="00452728"/>
    <w:rsid w:val="004528ED"/>
    <w:rsid w:val="00452AF9"/>
    <w:rsid w:val="00452E67"/>
    <w:rsid w:val="00453082"/>
    <w:rsid w:val="004530A9"/>
    <w:rsid w:val="00453104"/>
    <w:rsid w:val="0045337D"/>
    <w:rsid w:val="00453532"/>
    <w:rsid w:val="00453796"/>
    <w:rsid w:val="00453C13"/>
    <w:rsid w:val="00453D21"/>
    <w:rsid w:val="00453D35"/>
    <w:rsid w:val="00453D96"/>
    <w:rsid w:val="00453DA8"/>
    <w:rsid w:val="00454112"/>
    <w:rsid w:val="0045416C"/>
    <w:rsid w:val="004542D7"/>
    <w:rsid w:val="004542FF"/>
    <w:rsid w:val="00454389"/>
    <w:rsid w:val="0045439B"/>
    <w:rsid w:val="00454410"/>
    <w:rsid w:val="00454646"/>
    <w:rsid w:val="0045469F"/>
    <w:rsid w:val="00454746"/>
    <w:rsid w:val="004548A7"/>
    <w:rsid w:val="004548B7"/>
    <w:rsid w:val="00454AFE"/>
    <w:rsid w:val="00454B24"/>
    <w:rsid w:val="00454C55"/>
    <w:rsid w:val="00454D64"/>
    <w:rsid w:val="00454E8F"/>
    <w:rsid w:val="00454EBE"/>
    <w:rsid w:val="00454FA1"/>
    <w:rsid w:val="004550EA"/>
    <w:rsid w:val="004552A3"/>
    <w:rsid w:val="004553F0"/>
    <w:rsid w:val="004558C6"/>
    <w:rsid w:val="00455A69"/>
    <w:rsid w:val="00455B3A"/>
    <w:rsid w:val="00455C4F"/>
    <w:rsid w:val="00455CB6"/>
    <w:rsid w:val="00455D07"/>
    <w:rsid w:val="00455F47"/>
    <w:rsid w:val="004561E8"/>
    <w:rsid w:val="00456295"/>
    <w:rsid w:val="004563A7"/>
    <w:rsid w:val="00456685"/>
    <w:rsid w:val="00456752"/>
    <w:rsid w:val="004568E4"/>
    <w:rsid w:val="004568EA"/>
    <w:rsid w:val="00456F3E"/>
    <w:rsid w:val="0045707B"/>
    <w:rsid w:val="0045723C"/>
    <w:rsid w:val="00457258"/>
    <w:rsid w:val="004572F3"/>
    <w:rsid w:val="0045730B"/>
    <w:rsid w:val="00457365"/>
    <w:rsid w:val="004574EA"/>
    <w:rsid w:val="00457656"/>
    <w:rsid w:val="004576C5"/>
    <w:rsid w:val="00457766"/>
    <w:rsid w:val="00457783"/>
    <w:rsid w:val="00457BE4"/>
    <w:rsid w:val="00457BF3"/>
    <w:rsid w:val="00457CEA"/>
    <w:rsid w:val="00457D2A"/>
    <w:rsid w:val="004600A1"/>
    <w:rsid w:val="004601E6"/>
    <w:rsid w:val="0046033A"/>
    <w:rsid w:val="0046039B"/>
    <w:rsid w:val="0046039F"/>
    <w:rsid w:val="00460490"/>
    <w:rsid w:val="004605A1"/>
    <w:rsid w:val="00460695"/>
    <w:rsid w:val="00460810"/>
    <w:rsid w:val="00460835"/>
    <w:rsid w:val="004608EE"/>
    <w:rsid w:val="004609E7"/>
    <w:rsid w:val="00460B90"/>
    <w:rsid w:val="00460D02"/>
    <w:rsid w:val="00460E96"/>
    <w:rsid w:val="00460F21"/>
    <w:rsid w:val="0046104E"/>
    <w:rsid w:val="0046123B"/>
    <w:rsid w:val="0046178F"/>
    <w:rsid w:val="00461878"/>
    <w:rsid w:val="004618E5"/>
    <w:rsid w:val="004619B9"/>
    <w:rsid w:val="004619EA"/>
    <w:rsid w:val="00461B0A"/>
    <w:rsid w:val="00461C50"/>
    <w:rsid w:val="00461DA3"/>
    <w:rsid w:val="004620A0"/>
    <w:rsid w:val="00462298"/>
    <w:rsid w:val="00462391"/>
    <w:rsid w:val="00462409"/>
    <w:rsid w:val="004624E1"/>
    <w:rsid w:val="004625C7"/>
    <w:rsid w:val="004626C4"/>
    <w:rsid w:val="004627A2"/>
    <w:rsid w:val="00462904"/>
    <w:rsid w:val="004629E8"/>
    <w:rsid w:val="00462BDB"/>
    <w:rsid w:val="00462CED"/>
    <w:rsid w:val="00462D3B"/>
    <w:rsid w:val="00463112"/>
    <w:rsid w:val="00463242"/>
    <w:rsid w:val="0046337B"/>
    <w:rsid w:val="004635B2"/>
    <w:rsid w:val="004635F5"/>
    <w:rsid w:val="00463612"/>
    <w:rsid w:val="0046366F"/>
    <w:rsid w:val="004636AE"/>
    <w:rsid w:val="00463746"/>
    <w:rsid w:val="0046379A"/>
    <w:rsid w:val="00463C88"/>
    <w:rsid w:val="00463D49"/>
    <w:rsid w:val="0046413E"/>
    <w:rsid w:val="0046419F"/>
    <w:rsid w:val="00464351"/>
    <w:rsid w:val="004643E6"/>
    <w:rsid w:val="0046443C"/>
    <w:rsid w:val="0046460D"/>
    <w:rsid w:val="004646A4"/>
    <w:rsid w:val="004646D4"/>
    <w:rsid w:val="00464751"/>
    <w:rsid w:val="004647BC"/>
    <w:rsid w:val="00464854"/>
    <w:rsid w:val="004649A9"/>
    <w:rsid w:val="004649E6"/>
    <w:rsid w:val="00464A9E"/>
    <w:rsid w:val="00464BA3"/>
    <w:rsid w:val="00464BB2"/>
    <w:rsid w:val="00464C99"/>
    <w:rsid w:val="00464D25"/>
    <w:rsid w:val="00464EAC"/>
    <w:rsid w:val="00464F5E"/>
    <w:rsid w:val="00464FE4"/>
    <w:rsid w:val="0046508B"/>
    <w:rsid w:val="0046515D"/>
    <w:rsid w:val="0046526F"/>
    <w:rsid w:val="0046528E"/>
    <w:rsid w:val="004653D5"/>
    <w:rsid w:val="0046576E"/>
    <w:rsid w:val="004657FA"/>
    <w:rsid w:val="004659AF"/>
    <w:rsid w:val="004659FD"/>
    <w:rsid w:val="00465C1F"/>
    <w:rsid w:val="00465D22"/>
    <w:rsid w:val="00465DDE"/>
    <w:rsid w:val="004660B7"/>
    <w:rsid w:val="00466292"/>
    <w:rsid w:val="004662C3"/>
    <w:rsid w:val="00466303"/>
    <w:rsid w:val="00466435"/>
    <w:rsid w:val="004664A1"/>
    <w:rsid w:val="00466579"/>
    <w:rsid w:val="004666F4"/>
    <w:rsid w:val="00466B2E"/>
    <w:rsid w:val="00466B84"/>
    <w:rsid w:val="00466C36"/>
    <w:rsid w:val="00466E5B"/>
    <w:rsid w:val="004670AE"/>
    <w:rsid w:val="004672DE"/>
    <w:rsid w:val="0046745D"/>
    <w:rsid w:val="00467552"/>
    <w:rsid w:val="0046770A"/>
    <w:rsid w:val="00467933"/>
    <w:rsid w:val="004679AC"/>
    <w:rsid w:val="004679FC"/>
    <w:rsid w:val="00467C83"/>
    <w:rsid w:val="00467CAE"/>
    <w:rsid w:val="00467F80"/>
    <w:rsid w:val="004700EC"/>
    <w:rsid w:val="0047014B"/>
    <w:rsid w:val="0047014F"/>
    <w:rsid w:val="004702C7"/>
    <w:rsid w:val="00470361"/>
    <w:rsid w:val="004703B8"/>
    <w:rsid w:val="0047043E"/>
    <w:rsid w:val="0047049F"/>
    <w:rsid w:val="004704BA"/>
    <w:rsid w:val="004704BD"/>
    <w:rsid w:val="00470511"/>
    <w:rsid w:val="004706E5"/>
    <w:rsid w:val="00470768"/>
    <w:rsid w:val="004707A6"/>
    <w:rsid w:val="004707D7"/>
    <w:rsid w:val="004707F5"/>
    <w:rsid w:val="004707FB"/>
    <w:rsid w:val="004708DD"/>
    <w:rsid w:val="0047094E"/>
    <w:rsid w:val="00470AC6"/>
    <w:rsid w:val="00470D0E"/>
    <w:rsid w:val="00470D41"/>
    <w:rsid w:val="00471276"/>
    <w:rsid w:val="00471285"/>
    <w:rsid w:val="004712A0"/>
    <w:rsid w:val="004714E0"/>
    <w:rsid w:val="004715E2"/>
    <w:rsid w:val="0047161C"/>
    <w:rsid w:val="004718E5"/>
    <w:rsid w:val="00471921"/>
    <w:rsid w:val="00471A28"/>
    <w:rsid w:val="00471B38"/>
    <w:rsid w:val="00471DE4"/>
    <w:rsid w:val="00471E65"/>
    <w:rsid w:val="004720A9"/>
    <w:rsid w:val="004721C6"/>
    <w:rsid w:val="00472217"/>
    <w:rsid w:val="00472307"/>
    <w:rsid w:val="00472476"/>
    <w:rsid w:val="0047267B"/>
    <w:rsid w:val="00472A28"/>
    <w:rsid w:val="00472BFA"/>
    <w:rsid w:val="00472C84"/>
    <w:rsid w:val="00472D14"/>
    <w:rsid w:val="00472D54"/>
    <w:rsid w:val="0047334C"/>
    <w:rsid w:val="00473527"/>
    <w:rsid w:val="004736F9"/>
    <w:rsid w:val="0047371B"/>
    <w:rsid w:val="0047374A"/>
    <w:rsid w:val="004738F7"/>
    <w:rsid w:val="00473B24"/>
    <w:rsid w:val="00473C4C"/>
    <w:rsid w:val="00473D59"/>
    <w:rsid w:val="00473D9B"/>
    <w:rsid w:val="00473EE7"/>
    <w:rsid w:val="00474346"/>
    <w:rsid w:val="004743CE"/>
    <w:rsid w:val="004744E8"/>
    <w:rsid w:val="00474657"/>
    <w:rsid w:val="0047467E"/>
    <w:rsid w:val="004746C8"/>
    <w:rsid w:val="00474760"/>
    <w:rsid w:val="0047479E"/>
    <w:rsid w:val="0047481C"/>
    <w:rsid w:val="00474A67"/>
    <w:rsid w:val="00474AF1"/>
    <w:rsid w:val="00474BD8"/>
    <w:rsid w:val="00474C98"/>
    <w:rsid w:val="00475393"/>
    <w:rsid w:val="004753B9"/>
    <w:rsid w:val="0047570E"/>
    <w:rsid w:val="00475A58"/>
    <w:rsid w:val="00475A5D"/>
    <w:rsid w:val="00475CFE"/>
    <w:rsid w:val="00475E10"/>
    <w:rsid w:val="00475F4F"/>
    <w:rsid w:val="00475FDA"/>
    <w:rsid w:val="00476333"/>
    <w:rsid w:val="004763B4"/>
    <w:rsid w:val="00476564"/>
    <w:rsid w:val="0047659E"/>
    <w:rsid w:val="00476702"/>
    <w:rsid w:val="0047675B"/>
    <w:rsid w:val="004767AF"/>
    <w:rsid w:val="00476872"/>
    <w:rsid w:val="004768AA"/>
    <w:rsid w:val="00476970"/>
    <w:rsid w:val="0047698E"/>
    <w:rsid w:val="00476E12"/>
    <w:rsid w:val="00477178"/>
    <w:rsid w:val="004771A2"/>
    <w:rsid w:val="004774E8"/>
    <w:rsid w:val="00477877"/>
    <w:rsid w:val="00477955"/>
    <w:rsid w:val="004779A5"/>
    <w:rsid w:val="004779C6"/>
    <w:rsid w:val="004779F0"/>
    <w:rsid w:val="00477AD8"/>
    <w:rsid w:val="004800BB"/>
    <w:rsid w:val="00480658"/>
    <w:rsid w:val="0048068A"/>
    <w:rsid w:val="00480711"/>
    <w:rsid w:val="004807CF"/>
    <w:rsid w:val="00480998"/>
    <w:rsid w:val="004809BD"/>
    <w:rsid w:val="00480A36"/>
    <w:rsid w:val="00480B85"/>
    <w:rsid w:val="00480CD5"/>
    <w:rsid w:val="00480D56"/>
    <w:rsid w:val="00480D87"/>
    <w:rsid w:val="00481016"/>
    <w:rsid w:val="00481075"/>
    <w:rsid w:val="0048120A"/>
    <w:rsid w:val="0048143C"/>
    <w:rsid w:val="00481621"/>
    <w:rsid w:val="00481779"/>
    <w:rsid w:val="004817BE"/>
    <w:rsid w:val="00481864"/>
    <w:rsid w:val="0048188E"/>
    <w:rsid w:val="004818C9"/>
    <w:rsid w:val="004818CC"/>
    <w:rsid w:val="00481921"/>
    <w:rsid w:val="004819DB"/>
    <w:rsid w:val="004819E4"/>
    <w:rsid w:val="00481B5C"/>
    <w:rsid w:val="00481BB9"/>
    <w:rsid w:val="00481CC3"/>
    <w:rsid w:val="00481D26"/>
    <w:rsid w:val="00481D7C"/>
    <w:rsid w:val="00481E17"/>
    <w:rsid w:val="00481E22"/>
    <w:rsid w:val="00481E42"/>
    <w:rsid w:val="00482041"/>
    <w:rsid w:val="00482282"/>
    <w:rsid w:val="0048241A"/>
    <w:rsid w:val="0048250B"/>
    <w:rsid w:val="00482512"/>
    <w:rsid w:val="0048262F"/>
    <w:rsid w:val="00482684"/>
    <w:rsid w:val="004826D8"/>
    <w:rsid w:val="00482B36"/>
    <w:rsid w:val="00482B39"/>
    <w:rsid w:val="00482C3F"/>
    <w:rsid w:val="004830FD"/>
    <w:rsid w:val="004832E8"/>
    <w:rsid w:val="0048360F"/>
    <w:rsid w:val="00483645"/>
    <w:rsid w:val="004836F2"/>
    <w:rsid w:val="00483766"/>
    <w:rsid w:val="00483A5E"/>
    <w:rsid w:val="00483B76"/>
    <w:rsid w:val="00483ECC"/>
    <w:rsid w:val="00483F23"/>
    <w:rsid w:val="00483F7F"/>
    <w:rsid w:val="004840FE"/>
    <w:rsid w:val="004841B1"/>
    <w:rsid w:val="004841B6"/>
    <w:rsid w:val="00484485"/>
    <w:rsid w:val="00484525"/>
    <w:rsid w:val="00484584"/>
    <w:rsid w:val="0048459F"/>
    <w:rsid w:val="00484632"/>
    <w:rsid w:val="004846D1"/>
    <w:rsid w:val="00484778"/>
    <w:rsid w:val="004847CC"/>
    <w:rsid w:val="004847EB"/>
    <w:rsid w:val="00484862"/>
    <w:rsid w:val="00484869"/>
    <w:rsid w:val="00484A42"/>
    <w:rsid w:val="00484C12"/>
    <w:rsid w:val="00484C35"/>
    <w:rsid w:val="00484D94"/>
    <w:rsid w:val="00484DD0"/>
    <w:rsid w:val="00484DF4"/>
    <w:rsid w:val="004853A3"/>
    <w:rsid w:val="00485483"/>
    <w:rsid w:val="0048563A"/>
    <w:rsid w:val="004856C0"/>
    <w:rsid w:val="00485764"/>
    <w:rsid w:val="00485836"/>
    <w:rsid w:val="004858E5"/>
    <w:rsid w:val="00485AD9"/>
    <w:rsid w:val="00485BF8"/>
    <w:rsid w:val="00485EB7"/>
    <w:rsid w:val="00485F86"/>
    <w:rsid w:val="00486080"/>
    <w:rsid w:val="004860BE"/>
    <w:rsid w:val="004862BD"/>
    <w:rsid w:val="004863DF"/>
    <w:rsid w:val="0048645D"/>
    <w:rsid w:val="004864F9"/>
    <w:rsid w:val="00486534"/>
    <w:rsid w:val="0048656B"/>
    <w:rsid w:val="00486691"/>
    <w:rsid w:val="004866F9"/>
    <w:rsid w:val="00486796"/>
    <w:rsid w:val="00486BA6"/>
    <w:rsid w:val="00486BEC"/>
    <w:rsid w:val="00486C6E"/>
    <w:rsid w:val="00486D39"/>
    <w:rsid w:val="00486DBE"/>
    <w:rsid w:val="00486FEC"/>
    <w:rsid w:val="004870AF"/>
    <w:rsid w:val="004870F0"/>
    <w:rsid w:val="00487160"/>
    <w:rsid w:val="00487294"/>
    <w:rsid w:val="0048744A"/>
    <w:rsid w:val="0048762F"/>
    <w:rsid w:val="004876DC"/>
    <w:rsid w:val="00487C6A"/>
    <w:rsid w:val="00487D82"/>
    <w:rsid w:val="00487DAD"/>
    <w:rsid w:val="00487EDD"/>
    <w:rsid w:val="00487F9B"/>
    <w:rsid w:val="00490004"/>
    <w:rsid w:val="0049008A"/>
    <w:rsid w:val="0049009D"/>
    <w:rsid w:val="0049018B"/>
    <w:rsid w:val="00490205"/>
    <w:rsid w:val="00490240"/>
    <w:rsid w:val="00490460"/>
    <w:rsid w:val="004905CE"/>
    <w:rsid w:val="004908B2"/>
    <w:rsid w:val="004908E2"/>
    <w:rsid w:val="00490AD7"/>
    <w:rsid w:val="00490B30"/>
    <w:rsid w:val="00490BE8"/>
    <w:rsid w:val="00490CC7"/>
    <w:rsid w:val="00490E79"/>
    <w:rsid w:val="00490F27"/>
    <w:rsid w:val="00490FCA"/>
    <w:rsid w:val="00491065"/>
    <w:rsid w:val="004910FF"/>
    <w:rsid w:val="00491352"/>
    <w:rsid w:val="004914E3"/>
    <w:rsid w:val="0049164B"/>
    <w:rsid w:val="0049167A"/>
    <w:rsid w:val="004918E0"/>
    <w:rsid w:val="00491A7C"/>
    <w:rsid w:val="00491B21"/>
    <w:rsid w:val="00491BBA"/>
    <w:rsid w:val="00491BE1"/>
    <w:rsid w:val="00491BFD"/>
    <w:rsid w:val="00491C84"/>
    <w:rsid w:val="00491DE9"/>
    <w:rsid w:val="004921E0"/>
    <w:rsid w:val="004923BA"/>
    <w:rsid w:val="00492453"/>
    <w:rsid w:val="004924B4"/>
    <w:rsid w:val="004924EE"/>
    <w:rsid w:val="004925C5"/>
    <w:rsid w:val="00492741"/>
    <w:rsid w:val="00492774"/>
    <w:rsid w:val="00492976"/>
    <w:rsid w:val="00492A04"/>
    <w:rsid w:val="00492AC7"/>
    <w:rsid w:val="00492D4F"/>
    <w:rsid w:val="00492DA3"/>
    <w:rsid w:val="00492EBA"/>
    <w:rsid w:val="00492FF0"/>
    <w:rsid w:val="00493186"/>
    <w:rsid w:val="004931FF"/>
    <w:rsid w:val="004933EA"/>
    <w:rsid w:val="00493723"/>
    <w:rsid w:val="0049396B"/>
    <w:rsid w:val="00493AAF"/>
    <w:rsid w:val="00493B1B"/>
    <w:rsid w:val="00493CAB"/>
    <w:rsid w:val="00493CC3"/>
    <w:rsid w:val="00493CC9"/>
    <w:rsid w:val="00493D52"/>
    <w:rsid w:val="00493DC7"/>
    <w:rsid w:val="00493E6F"/>
    <w:rsid w:val="00493E83"/>
    <w:rsid w:val="00494010"/>
    <w:rsid w:val="0049412A"/>
    <w:rsid w:val="004943F9"/>
    <w:rsid w:val="004945D2"/>
    <w:rsid w:val="004946C1"/>
    <w:rsid w:val="00494769"/>
    <w:rsid w:val="004947E4"/>
    <w:rsid w:val="004948B6"/>
    <w:rsid w:val="0049492A"/>
    <w:rsid w:val="00494954"/>
    <w:rsid w:val="00494970"/>
    <w:rsid w:val="00494992"/>
    <w:rsid w:val="00494A44"/>
    <w:rsid w:val="00494A5B"/>
    <w:rsid w:val="00494AAD"/>
    <w:rsid w:val="00494BA7"/>
    <w:rsid w:val="00494CF3"/>
    <w:rsid w:val="00494D05"/>
    <w:rsid w:val="00494D15"/>
    <w:rsid w:val="00494D3A"/>
    <w:rsid w:val="00494DFD"/>
    <w:rsid w:val="00494EC0"/>
    <w:rsid w:val="00494F10"/>
    <w:rsid w:val="004950A0"/>
    <w:rsid w:val="0049512F"/>
    <w:rsid w:val="0049517A"/>
    <w:rsid w:val="00495201"/>
    <w:rsid w:val="00495231"/>
    <w:rsid w:val="0049524A"/>
    <w:rsid w:val="0049528D"/>
    <w:rsid w:val="004954A7"/>
    <w:rsid w:val="004955A3"/>
    <w:rsid w:val="00495636"/>
    <w:rsid w:val="004957AA"/>
    <w:rsid w:val="00495819"/>
    <w:rsid w:val="004958A3"/>
    <w:rsid w:val="00495C9B"/>
    <w:rsid w:val="00495CBF"/>
    <w:rsid w:val="00495D63"/>
    <w:rsid w:val="00495E40"/>
    <w:rsid w:val="00495F65"/>
    <w:rsid w:val="00496162"/>
    <w:rsid w:val="004963F5"/>
    <w:rsid w:val="004964D0"/>
    <w:rsid w:val="004965DF"/>
    <w:rsid w:val="00496830"/>
    <w:rsid w:val="004968B8"/>
    <w:rsid w:val="004969ED"/>
    <w:rsid w:val="00496A12"/>
    <w:rsid w:val="00496A5B"/>
    <w:rsid w:val="00496BCF"/>
    <w:rsid w:val="00496C77"/>
    <w:rsid w:val="00496CD2"/>
    <w:rsid w:val="00496E53"/>
    <w:rsid w:val="00496F95"/>
    <w:rsid w:val="00496FF3"/>
    <w:rsid w:val="004970C7"/>
    <w:rsid w:val="004971A9"/>
    <w:rsid w:val="004971D6"/>
    <w:rsid w:val="004972B3"/>
    <w:rsid w:val="0049737C"/>
    <w:rsid w:val="004973A6"/>
    <w:rsid w:val="004973E9"/>
    <w:rsid w:val="00497421"/>
    <w:rsid w:val="00497864"/>
    <w:rsid w:val="00497B82"/>
    <w:rsid w:val="00497B8E"/>
    <w:rsid w:val="00497C67"/>
    <w:rsid w:val="00497D4D"/>
    <w:rsid w:val="00497E46"/>
    <w:rsid w:val="004A0262"/>
    <w:rsid w:val="004A03D1"/>
    <w:rsid w:val="004A03F2"/>
    <w:rsid w:val="004A0570"/>
    <w:rsid w:val="004A0661"/>
    <w:rsid w:val="004A06C8"/>
    <w:rsid w:val="004A0794"/>
    <w:rsid w:val="004A07AB"/>
    <w:rsid w:val="004A089B"/>
    <w:rsid w:val="004A0A0E"/>
    <w:rsid w:val="004A0DEE"/>
    <w:rsid w:val="004A0EA3"/>
    <w:rsid w:val="004A0F3F"/>
    <w:rsid w:val="004A111B"/>
    <w:rsid w:val="004A1121"/>
    <w:rsid w:val="004A1285"/>
    <w:rsid w:val="004A12A6"/>
    <w:rsid w:val="004A1687"/>
    <w:rsid w:val="004A17B7"/>
    <w:rsid w:val="004A1820"/>
    <w:rsid w:val="004A1A3B"/>
    <w:rsid w:val="004A1A76"/>
    <w:rsid w:val="004A1C25"/>
    <w:rsid w:val="004A1E73"/>
    <w:rsid w:val="004A1EAC"/>
    <w:rsid w:val="004A1F45"/>
    <w:rsid w:val="004A1F85"/>
    <w:rsid w:val="004A2033"/>
    <w:rsid w:val="004A204E"/>
    <w:rsid w:val="004A2066"/>
    <w:rsid w:val="004A20A3"/>
    <w:rsid w:val="004A20A5"/>
    <w:rsid w:val="004A20DE"/>
    <w:rsid w:val="004A2142"/>
    <w:rsid w:val="004A240D"/>
    <w:rsid w:val="004A244D"/>
    <w:rsid w:val="004A2535"/>
    <w:rsid w:val="004A262A"/>
    <w:rsid w:val="004A26A1"/>
    <w:rsid w:val="004A28FC"/>
    <w:rsid w:val="004A2995"/>
    <w:rsid w:val="004A2A9D"/>
    <w:rsid w:val="004A2AA1"/>
    <w:rsid w:val="004A2D7C"/>
    <w:rsid w:val="004A2E5B"/>
    <w:rsid w:val="004A2F0A"/>
    <w:rsid w:val="004A2F1B"/>
    <w:rsid w:val="004A30FB"/>
    <w:rsid w:val="004A32FA"/>
    <w:rsid w:val="004A3317"/>
    <w:rsid w:val="004A365A"/>
    <w:rsid w:val="004A3714"/>
    <w:rsid w:val="004A371E"/>
    <w:rsid w:val="004A3950"/>
    <w:rsid w:val="004A399E"/>
    <w:rsid w:val="004A3A44"/>
    <w:rsid w:val="004A3A88"/>
    <w:rsid w:val="004A3B77"/>
    <w:rsid w:val="004A3E21"/>
    <w:rsid w:val="004A3F90"/>
    <w:rsid w:val="004A40AA"/>
    <w:rsid w:val="004A40E9"/>
    <w:rsid w:val="004A40FD"/>
    <w:rsid w:val="004A4201"/>
    <w:rsid w:val="004A426B"/>
    <w:rsid w:val="004A4303"/>
    <w:rsid w:val="004A4368"/>
    <w:rsid w:val="004A43FE"/>
    <w:rsid w:val="004A4418"/>
    <w:rsid w:val="004A44E5"/>
    <w:rsid w:val="004A4575"/>
    <w:rsid w:val="004A46F6"/>
    <w:rsid w:val="004A4A72"/>
    <w:rsid w:val="004A4A8A"/>
    <w:rsid w:val="004A4C4D"/>
    <w:rsid w:val="004A4CC3"/>
    <w:rsid w:val="004A4E10"/>
    <w:rsid w:val="004A4E54"/>
    <w:rsid w:val="004A4EAA"/>
    <w:rsid w:val="004A4F01"/>
    <w:rsid w:val="004A4F49"/>
    <w:rsid w:val="004A5124"/>
    <w:rsid w:val="004A518D"/>
    <w:rsid w:val="004A539F"/>
    <w:rsid w:val="004A54A8"/>
    <w:rsid w:val="004A557E"/>
    <w:rsid w:val="004A5762"/>
    <w:rsid w:val="004A578E"/>
    <w:rsid w:val="004A5842"/>
    <w:rsid w:val="004A5B17"/>
    <w:rsid w:val="004A606A"/>
    <w:rsid w:val="004A6136"/>
    <w:rsid w:val="004A6390"/>
    <w:rsid w:val="004A6398"/>
    <w:rsid w:val="004A68A5"/>
    <w:rsid w:val="004A6B7B"/>
    <w:rsid w:val="004A6EFF"/>
    <w:rsid w:val="004A6FDD"/>
    <w:rsid w:val="004A70DF"/>
    <w:rsid w:val="004A716E"/>
    <w:rsid w:val="004A725C"/>
    <w:rsid w:val="004A7337"/>
    <w:rsid w:val="004A7634"/>
    <w:rsid w:val="004A76A6"/>
    <w:rsid w:val="004A792C"/>
    <w:rsid w:val="004A7D0B"/>
    <w:rsid w:val="004A7EA6"/>
    <w:rsid w:val="004A7F01"/>
    <w:rsid w:val="004A7F09"/>
    <w:rsid w:val="004A7F41"/>
    <w:rsid w:val="004A7F6C"/>
    <w:rsid w:val="004B00AE"/>
    <w:rsid w:val="004B012C"/>
    <w:rsid w:val="004B0142"/>
    <w:rsid w:val="004B027B"/>
    <w:rsid w:val="004B0359"/>
    <w:rsid w:val="004B03C0"/>
    <w:rsid w:val="004B03EF"/>
    <w:rsid w:val="004B0465"/>
    <w:rsid w:val="004B0540"/>
    <w:rsid w:val="004B077E"/>
    <w:rsid w:val="004B0788"/>
    <w:rsid w:val="004B07D0"/>
    <w:rsid w:val="004B0966"/>
    <w:rsid w:val="004B0A4D"/>
    <w:rsid w:val="004B0ACE"/>
    <w:rsid w:val="004B0BB1"/>
    <w:rsid w:val="004B0D3E"/>
    <w:rsid w:val="004B0DBF"/>
    <w:rsid w:val="004B0F15"/>
    <w:rsid w:val="004B1143"/>
    <w:rsid w:val="004B11A0"/>
    <w:rsid w:val="004B12CD"/>
    <w:rsid w:val="004B12E4"/>
    <w:rsid w:val="004B13AA"/>
    <w:rsid w:val="004B1425"/>
    <w:rsid w:val="004B14E1"/>
    <w:rsid w:val="004B1625"/>
    <w:rsid w:val="004B1672"/>
    <w:rsid w:val="004B17E9"/>
    <w:rsid w:val="004B1810"/>
    <w:rsid w:val="004B1A35"/>
    <w:rsid w:val="004B1BAB"/>
    <w:rsid w:val="004B1C05"/>
    <w:rsid w:val="004B1C95"/>
    <w:rsid w:val="004B1D74"/>
    <w:rsid w:val="004B1EA7"/>
    <w:rsid w:val="004B212C"/>
    <w:rsid w:val="004B229F"/>
    <w:rsid w:val="004B234A"/>
    <w:rsid w:val="004B23EC"/>
    <w:rsid w:val="004B2496"/>
    <w:rsid w:val="004B26BD"/>
    <w:rsid w:val="004B28C4"/>
    <w:rsid w:val="004B2A42"/>
    <w:rsid w:val="004B2E4F"/>
    <w:rsid w:val="004B2E74"/>
    <w:rsid w:val="004B2F8C"/>
    <w:rsid w:val="004B30A6"/>
    <w:rsid w:val="004B3109"/>
    <w:rsid w:val="004B3274"/>
    <w:rsid w:val="004B356A"/>
    <w:rsid w:val="004B3606"/>
    <w:rsid w:val="004B3692"/>
    <w:rsid w:val="004B36F0"/>
    <w:rsid w:val="004B3973"/>
    <w:rsid w:val="004B3A5B"/>
    <w:rsid w:val="004B3A65"/>
    <w:rsid w:val="004B3CBB"/>
    <w:rsid w:val="004B3DE5"/>
    <w:rsid w:val="004B3E3A"/>
    <w:rsid w:val="004B4254"/>
    <w:rsid w:val="004B42D7"/>
    <w:rsid w:val="004B444E"/>
    <w:rsid w:val="004B449A"/>
    <w:rsid w:val="004B4504"/>
    <w:rsid w:val="004B4563"/>
    <w:rsid w:val="004B45FD"/>
    <w:rsid w:val="004B4721"/>
    <w:rsid w:val="004B48F9"/>
    <w:rsid w:val="004B4989"/>
    <w:rsid w:val="004B4D58"/>
    <w:rsid w:val="004B4F32"/>
    <w:rsid w:val="004B50B2"/>
    <w:rsid w:val="004B51F7"/>
    <w:rsid w:val="004B5272"/>
    <w:rsid w:val="004B536E"/>
    <w:rsid w:val="004B5591"/>
    <w:rsid w:val="004B5652"/>
    <w:rsid w:val="004B582B"/>
    <w:rsid w:val="004B5A91"/>
    <w:rsid w:val="004B5B69"/>
    <w:rsid w:val="004B5F02"/>
    <w:rsid w:val="004B61B8"/>
    <w:rsid w:val="004B6262"/>
    <w:rsid w:val="004B63FB"/>
    <w:rsid w:val="004B641F"/>
    <w:rsid w:val="004B64CE"/>
    <w:rsid w:val="004B667E"/>
    <w:rsid w:val="004B6817"/>
    <w:rsid w:val="004B6827"/>
    <w:rsid w:val="004B68AF"/>
    <w:rsid w:val="004B68E6"/>
    <w:rsid w:val="004B697D"/>
    <w:rsid w:val="004B6A6A"/>
    <w:rsid w:val="004B6A8D"/>
    <w:rsid w:val="004B6B7A"/>
    <w:rsid w:val="004B6BAF"/>
    <w:rsid w:val="004B6CCD"/>
    <w:rsid w:val="004B6DB6"/>
    <w:rsid w:val="004B6E01"/>
    <w:rsid w:val="004B6EB5"/>
    <w:rsid w:val="004B6EB8"/>
    <w:rsid w:val="004B6F04"/>
    <w:rsid w:val="004B706B"/>
    <w:rsid w:val="004B7490"/>
    <w:rsid w:val="004B74D1"/>
    <w:rsid w:val="004B7516"/>
    <w:rsid w:val="004B7519"/>
    <w:rsid w:val="004B7524"/>
    <w:rsid w:val="004B767A"/>
    <w:rsid w:val="004B76C1"/>
    <w:rsid w:val="004B7714"/>
    <w:rsid w:val="004B7B72"/>
    <w:rsid w:val="004B7C45"/>
    <w:rsid w:val="004B7D53"/>
    <w:rsid w:val="004B7E65"/>
    <w:rsid w:val="004C0187"/>
    <w:rsid w:val="004C01D2"/>
    <w:rsid w:val="004C01D9"/>
    <w:rsid w:val="004C0281"/>
    <w:rsid w:val="004C02A8"/>
    <w:rsid w:val="004C02C2"/>
    <w:rsid w:val="004C032B"/>
    <w:rsid w:val="004C054B"/>
    <w:rsid w:val="004C06A3"/>
    <w:rsid w:val="004C071B"/>
    <w:rsid w:val="004C08C0"/>
    <w:rsid w:val="004C0933"/>
    <w:rsid w:val="004C09FD"/>
    <w:rsid w:val="004C0BC4"/>
    <w:rsid w:val="004C0C62"/>
    <w:rsid w:val="004C0D27"/>
    <w:rsid w:val="004C0DB7"/>
    <w:rsid w:val="004C0DCD"/>
    <w:rsid w:val="004C0EF9"/>
    <w:rsid w:val="004C0F4E"/>
    <w:rsid w:val="004C0F6C"/>
    <w:rsid w:val="004C0FD1"/>
    <w:rsid w:val="004C10DD"/>
    <w:rsid w:val="004C1128"/>
    <w:rsid w:val="004C12E0"/>
    <w:rsid w:val="004C15E1"/>
    <w:rsid w:val="004C17FA"/>
    <w:rsid w:val="004C1862"/>
    <w:rsid w:val="004C1A3E"/>
    <w:rsid w:val="004C1B04"/>
    <w:rsid w:val="004C1B29"/>
    <w:rsid w:val="004C1C5F"/>
    <w:rsid w:val="004C1DE8"/>
    <w:rsid w:val="004C1F9B"/>
    <w:rsid w:val="004C1FAC"/>
    <w:rsid w:val="004C20AB"/>
    <w:rsid w:val="004C20E3"/>
    <w:rsid w:val="004C210C"/>
    <w:rsid w:val="004C2253"/>
    <w:rsid w:val="004C2288"/>
    <w:rsid w:val="004C23B2"/>
    <w:rsid w:val="004C23DA"/>
    <w:rsid w:val="004C23F6"/>
    <w:rsid w:val="004C24AA"/>
    <w:rsid w:val="004C25EB"/>
    <w:rsid w:val="004C25FD"/>
    <w:rsid w:val="004C265E"/>
    <w:rsid w:val="004C284E"/>
    <w:rsid w:val="004C2870"/>
    <w:rsid w:val="004C28F8"/>
    <w:rsid w:val="004C2C75"/>
    <w:rsid w:val="004C2CF2"/>
    <w:rsid w:val="004C2D60"/>
    <w:rsid w:val="004C2F51"/>
    <w:rsid w:val="004C3166"/>
    <w:rsid w:val="004C3185"/>
    <w:rsid w:val="004C3206"/>
    <w:rsid w:val="004C3385"/>
    <w:rsid w:val="004C34A8"/>
    <w:rsid w:val="004C34F5"/>
    <w:rsid w:val="004C3543"/>
    <w:rsid w:val="004C36F1"/>
    <w:rsid w:val="004C378B"/>
    <w:rsid w:val="004C382C"/>
    <w:rsid w:val="004C3922"/>
    <w:rsid w:val="004C3A68"/>
    <w:rsid w:val="004C3A6D"/>
    <w:rsid w:val="004C3C68"/>
    <w:rsid w:val="004C3D79"/>
    <w:rsid w:val="004C3DEA"/>
    <w:rsid w:val="004C3F80"/>
    <w:rsid w:val="004C3F9D"/>
    <w:rsid w:val="004C4380"/>
    <w:rsid w:val="004C4641"/>
    <w:rsid w:val="004C471D"/>
    <w:rsid w:val="004C48D5"/>
    <w:rsid w:val="004C48F1"/>
    <w:rsid w:val="004C4919"/>
    <w:rsid w:val="004C492E"/>
    <w:rsid w:val="004C494F"/>
    <w:rsid w:val="004C4CD8"/>
    <w:rsid w:val="004C4E00"/>
    <w:rsid w:val="004C4EB0"/>
    <w:rsid w:val="004C4F8F"/>
    <w:rsid w:val="004C4FA3"/>
    <w:rsid w:val="004C5143"/>
    <w:rsid w:val="004C5227"/>
    <w:rsid w:val="004C527A"/>
    <w:rsid w:val="004C53E8"/>
    <w:rsid w:val="004C5502"/>
    <w:rsid w:val="004C55C2"/>
    <w:rsid w:val="004C56BF"/>
    <w:rsid w:val="004C56F6"/>
    <w:rsid w:val="004C57F5"/>
    <w:rsid w:val="004C5824"/>
    <w:rsid w:val="004C5AA9"/>
    <w:rsid w:val="004C6020"/>
    <w:rsid w:val="004C627B"/>
    <w:rsid w:val="004C63E1"/>
    <w:rsid w:val="004C6535"/>
    <w:rsid w:val="004C653B"/>
    <w:rsid w:val="004C6661"/>
    <w:rsid w:val="004C667D"/>
    <w:rsid w:val="004C6910"/>
    <w:rsid w:val="004C69DF"/>
    <w:rsid w:val="004C6C0A"/>
    <w:rsid w:val="004C6CFE"/>
    <w:rsid w:val="004C6E3A"/>
    <w:rsid w:val="004C6EAC"/>
    <w:rsid w:val="004C702D"/>
    <w:rsid w:val="004C7123"/>
    <w:rsid w:val="004C7263"/>
    <w:rsid w:val="004C73D1"/>
    <w:rsid w:val="004C7457"/>
    <w:rsid w:val="004C750C"/>
    <w:rsid w:val="004C75CA"/>
    <w:rsid w:val="004C7607"/>
    <w:rsid w:val="004C7640"/>
    <w:rsid w:val="004C7743"/>
    <w:rsid w:val="004C7747"/>
    <w:rsid w:val="004C777B"/>
    <w:rsid w:val="004C782D"/>
    <w:rsid w:val="004C7940"/>
    <w:rsid w:val="004C7961"/>
    <w:rsid w:val="004C7DCA"/>
    <w:rsid w:val="004C7EA9"/>
    <w:rsid w:val="004D015F"/>
    <w:rsid w:val="004D0186"/>
    <w:rsid w:val="004D046E"/>
    <w:rsid w:val="004D05A5"/>
    <w:rsid w:val="004D05BA"/>
    <w:rsid w:val="004D07C7"/>
    <w:rsid w:val="004D08E3"/>
    <w:rsid w:val="004D09BA"/>
    <w:rsid w:val="004D0A36"/>
    <w:rsid w:val="004D0A8D"/>
    <w:rsid w:val="004D0A91"/>
    <w:rsid w:val="004D0B50"/>
    <w:rsid w:val="004D0BB9"/>
    <w:rsid w:val="004D0C2F"/>
    <w:rsid w:val="004D0C92"/>
    <w:rsid w:val="004D0F1F"/>
    <w:rsid w:val="004D108C"/>
    <w:rsid w:val="004D12A5"/>
    <w:rsid w:val="004D12D5"/>
    <w:rsid w:val="004D1339"/>
    <w:rsid w:val="004D134D"/>
    <w:rsid w:val="004D15C8"/>
    <w:rsid w:val="004D178B"/>
    <w:rsid w:val="004D184E"/>
    <w:rsid w:val="004D1874"/>
    <w:rsid w:val="004D19F1"/>
    <w:rsid w:val="004D1A28"/>
    <w:rsid w:val="004D1B69"/>
    <w:rsid w:val="004D1CD6"/>
    <w:rsid w:val="004D1E14"/>
    <w:rsid w:val="004D1E5E"/>
    <w:rsid w:val="004D1E86"/>
    <w:rsid w:val="004D1F8A"/>
    <w:rsid w:val="004D20AE"/>
    <w:rsid w:val="004D2165"/>
    <w:rsid w:val="004D235A"/>
    <w:rsid w:val="004D2454"/>
    <w:rsid w:val="004D2458"/>
    <w:rsid w:val="004D272F"/>
    <w:rsid w:val="004D27B8"/>
    <w:rsid w:val="004D2A04"/>
    <w:rsid w:val="004D2B24"/>
    <w:rsid w:val="004D2B57"/>
    <w:rsid w:val="004D2BBB"/>
    <w:rsid w:val="004D2BFB"/>
    <w:rsid w:val="004D2CF8"/>
    <w:rsid w:val="004D2D50"/>
    <w:rsid w:val="004D2E08"/>
    <w:rsid w:val="004D2E73"/>
    <w:rsid w:val="004D2ECD"/>
    <w:rsid w:val="004D309F"/>
    <w:rsid w:val="004D30D8"/>
    <w:rsid w:val="004D31C9"/>
    <w:rsid w:val="004D323B"/>
    <w:rsid w:val="004D32A2"/>
    <w:rsid w:val="004D337A"/>
    <w:rsid w:val="004D344C"/>
    <w:rsid w:val="004D35B0"/>
    <w:rsid w:val="004D363F"/>
    <w:rsid w:val="004D3666"/>
    <w:rsid w:val="004D3682"/>
    <w:rsid w:val="004D3716"/>
    <w:rsid w:val="004D37FA"/>
    <w:rsid w:val="004D3850"/>
    <w:rsid w:val="004D3AA1"/>
    <w:rsid w:val="004D3AEF"/>
    <w:rsid w:val="004D3B03"/>
    <w:rsid w:val="004D3CCD"/>
    <w:rsid w:val="004D3D0E"/>
    <w:rsid w:val="004D3EC6"/>
    <w:rsid w:val="004D3F8A"/>
    <w:rsid w:val="004D3F9E"/>
    <w:rsid w:val="004D3FAB"/>
    <w:rsid w:val="004D3FE3"/>
    <w:rsid w:val="004D4002"/>
    <w:rsid w:val="004D40FE"/>
    <w:rsid w:val="004D4359"/>
    <w:rsid w:val="004D4608"/>
    <w:rsid w:val="004D46D8"/>
    <w:rsid w:val="004D46F9"/>
    <w:rsid w:val="004D484B"/>
    <w:rsid w:val="004D497F"/>
    <w:rsid w:val="004D499A"/>
    <w:rsid w:val="004D4BEF"/>
    <w:rsid w:val="004D4C3D"/>
    <w:rsid w:val="004D4D37"/>
    <w:rsid w:val="004D4D53"/>
    <w:rsid w:val="004D4FA9"/>
    <w:rsid w:val="004D501A"/>
    <w:rsid w:val="004D501D"/>
    <w:rsid w:val="004D5065"/>
    <w:rsid w:val="004D50E4"/>
    <w:rsid w:val="004D5243"/>
    <w:rsid w:val="004D5412"/>
    <w:rsid w:val="004D5430"/>
    <w:rsid w:val="004D545C"/>
    <w:rsid w:val="004D558B"/>
    <w:rsid w:val="004D5743"/>
    <w:rsid w:val="004D57A5"/>
    <w:rsid w:val="004D57DA"/>
    <w:rsid w:val="004D589E"/>
    <w:rsid w:val="004D5969"/>
    <w:rsid w:val="004D599B"/>
    <w:rsid w:val="004D640A"/>
    <w:rsid w:val="004D6527"/>
    <w:rsid w:val="004D6892"/>
    <w:rsid w:val="004D6A1C"/>
    <w:rsid w:val="004D6BF1"/>
    <w:rsid w:val="004D6CFC"/>
    <w:rsid w:val="004D6DF3"/>
    <w:rsid w:val="004D6E40"/>
    <w:rsid w:val="004D6F79"/>
    <w:rsid w:val="004D7099"/>
    <w:rsid w:val="004D71AA"/>
    <w:rsid w:val="004D723F"/>
    <w:rsid w:val="004D766A"/>
    <w:rsid w:val="004D778B"/>
    <w:rsid w:val="004D77C4"/>
    <w:rsid w:val="004D7849"/>
    <w:rsid w:val="004D7857"/>
    <w:rsid w:val="004D79A7"/>
    <w:rsid w:val="004D7AD4"/>
    <w:rsid w:val="004D7B0E"/>
    <w:rsid w:val="004D7B78"/>
    <w:rsid w:val="004D7C64"/>
    <w:rsid w:val="004D7CFB"/>
    <w:rsid w:val="004D7D3C"/>
    <w:rsid w:val="004D7DB1"/>
    <w:rsid w:val="004D7EA1"/>
    <w:rsid w:val="004E0349"/>
    <w:rsid w:val="004E03E8"/>
    <w:rsid w:val="004E05E7"/>
    <w:rsid w:val="004E0676"/>
    <w:rsid w:val="004E07AD"/>
    <w:rsid w:val="004E0953"/>
    <w:rsid w:val="004E09C7"/>
    <w:rsid w:val="004E09C9"/>
    <w:rsid w:val="004E0B3E"/>
    <w:rsid w:val="004E0B56"/>
    <w:rsid w:val="004E0B9F"/>
    <w:rsid w:val="004E0C23"/>
    <w:rsid w:val="004E0DCA"/>
    <w:rsid w:val="004E0DDC"/>
    <w:rsid w:val="004E0FC7"/>
    <w:rsid w:val="004E1004"/>
    <w:rsid w:val="004E1024"/>
    <w:rsid w:val="004E1033"/>
    <w:rsid w:val="004E1043"/>
    <w:rsid w:val="004E1078"/>
    <w:rsid w:val="004E1268"/>
    <w:rsid w:val="004E126F"/>
    <w:rsid w:val="004E15A0"/>
    <w:rsid w:val="004E15F6"/>
    <w:rsid w:val="004E16C7"/>
    <w:rsid w:val="004E180F"/>
    <w:rsid w:val="004E188E"/>
    <w:rsid w:val="004E1A94"/>
    <w:rsid w:val="004E1BD3"/>
    <w:rsid w:val="004E1D77"/>
    <w:rsid w:val="004E1D7A"/>
    <w:rsid w:val="004E1DBA"/>
    <w:rsid w:val="004E1E0A"/>
    <w:rsid w:val="004E2031"/>
    <w:rsid w:val="004E2095"/>
    <w:rsid w:val="004E2282"/>
    <w:rsid w:val="004E22B2"/>
    <w:rsid w:val="004E2363"/>
    <w:rsid w:val="004E2440"/>
    <w:rsid w:val="004E24B9"/>
    <w:rsid w:val="004E27F2"/>
    <w:rsid w:val="004E2AD2"/>
    <w:rsid w:val="004E2C02"/>
    <w:rsid w:val="004E2D04"/>
    <w:rsid w:val="004E2E20"/>
    <w:rsid w:val="004E2E6D"/>
    <w:rsid w:val="004E317A"/>
    <w:rsid w:val="004E3262"/>
    <w:rsid w:val="004E34BB"/>
    <w:rsid w:val="004E362B"/>
    <w:rsid w:val="004E36AA"/>
    <w:rsid w:val="004E3726"/>
    <w:rsid w:val="004E373D"/>
    <w:rsid w:val="004E3745"/>
    <w:rsid w:val="004E391C"/>
    <w:rsid w:val="004E3A24"/>
    <w:rsid w:val="004E3A54"/>
    <w:rsid w:val="004E3BD3"/>
    <w:rsid w:val="004E3D6D"/>
    <w:rsid w:val="004E3E6B"/>
    <w:rsid w:val="004E3F2A"/>
    <w:rsid w:val="004E404C"/>
    <w:rsid w:val="004E40B7"/>
    <w:rsid w:val="004E40C3"/>
    <w:rsid w:val="004E40D7"/>
    <w:rsid w:val="004E41AD"/>
    <w:rsid w:val="004E42D8"/>
    <w:rsid w:val="004E4310"/>
    <w:rsid w:val="004E43D6"/>
    <w:rsid w:val="004E43E4"/>
    <w:rsid w:val="004E4629"/>
    <w:rsid w:val="004E469F"/>
    <w:rsid w:val="004E47A9"/>
    <w:rsid w:val="004E47D3"/>
    <w:rsid w:val="004E4877"/>
    <w:rsid w:val="004E49CC"/>
    <w:rsid w:val="004E4A02"/>
    <w:rsid w:val="004E4A7F"/>
    <w:rsid w:val="004E4A8F"/>
    <w:rsid w:val="004E4C2F"/>
    <w:rsid w:val="004E4CA8"/>
    <w:rsid w:val="004E4D34"/>
    <w:rsid w:val="004E4D50"/>
    <w:rsid w:val="004E4DE5"/>
    <w:rsid w:val="004E4E0E"/>
    <w:rsid w:val="004E4E2C"/>
    <w:rsid w:val="004E4E39"/>
    <w:rsid w:val="004E4FB6"/>
    <w:rsid w:val="004E5051"/>
    <w:rsid w:val="004E511D"/>
    <w:rsid w:val="004E51EC"/>
    <w:rsid w:val="004E543A"/>
    <w:rsid w:val="004E5543"/>
    <w:rsid w:val="004E55D8"/>
    <w:rsid w:val="004E570B"/>
    <w:rsid w:val="004E5722"/>
    <w:rsid w:val="004E576C"/>
    <w:rsid w:val="004E5777"/>
    <w:rsid w:val="004E5780"/>
    <w:rsid w:val="004E5862"/>
    <w:rsid w:val="004E58BB"/>
    <w:rsid w:val="004E5AE2"/>
    <w:rsid w:val="004E5D71"/>
    <w:rsid w:val="004E5F77"/>
    <w:rsid w:val="004E6119"/>
    <w:rsid w:val="004E61BC"/>
    <w:rsid w:val="004E647C"/>
    <w:rsid w:val="004E6524"/>
    <w:rsid w:val="004E6554"/>
    <w:rsid w:val="004E6574"/>
    <w:rsid w:val="004E664F"/>
    <w:rsid w:val="004E68C4"/>
    <w:rsid w:val="004E68D2"/>
    <w:rsid w:val="004E6A44"/>
    <w:rsid w:val="004E6A64"/>
    <w:rsid w:val="004E6D44"/>
    <w:rsid w:val="004E6E6F"/>
    <w:rsid w:val="004E6E77"/>
    <w:rsid w:val="004E6FD9"/>
    <w:rsid w:val="004E723A"/>
    <w:rsid w:val="004E7382"/>
    <w:rsid w:val="004E7389"/>
    <w:rsid w:val="004E746B"/>
    <w:rsid w:val="004E74B8"/>
    <w:rsid w:val="004E7634"/>
    <w:rsid w:val="004E7A43"/>
    <w:rsid w:val="004E7B50"/>
    <w:rsid w:val="004E7BA0"/>
    <w:rsid w:val="004E7F2B"/>
    <w:rsid w:val="004F0060"/>
    <w:rsid w:val="004F0063"/>
    <w:rsid w:val="004F00D9"/>
    <w:rsid w:val="004F00FB"/>
    <w:rsid w:val="004F0451"/>
    <w:rsid w:val="004F0662"/>
    <w:rsid w:val="004F0678"/>
    <w:rsid w:val="004F07A6"/>
    <w:rsid w:val="004F08A1"/>
    <w:rsid w:val="004F0A38"/>
    <w:rsid w:val="004F0AE3"/>
    <w:rsid w:val="004F0C56"/>
    <w:rsid w:val="004F0E53"/>
    <w:rsid w:val="004F0F8C"/>
    <w:rsid w:val="004F1060"/>
    <w:rsid w:val="004F10B2"/>
    <w:rsid w:val="004F10C2"/>
    <w:rsid w:val="004F10E4"/>
    <w:rsid w:val="004F1213"/>
    <w:rsid w:val="004F130A"/>
    <w:rsid w:val="004F13B3"/>
    <w:rsid w:val="004F1458"/>
    <w:rsid w:val="004F1806"/>
    <w:rsid w:val="004F1853"/>
    <w:rsid w:val="004F186B"/>
    <w:rsid w:val="004F1946"/>
    <w:rsid w:val="004F19F7"/>
    <w:rsid w:val="004F1ACB"/>
    <w:rsid w:val="004F1AEF"/>
    <w:rsid w:val="004F1B19"/>
    <w:rsid w:val="004F1E13"/>
    <w:rsid w:val="004F1E1B"/>
    <w:rsid w:val="004F1ED2"/>
    <w:rsid w:val="004F21DD"/>
    <w:rsid w:val="004F220B"/>
    <w:rsid w:val="004F22D2"/>
    <w:rsid w:val="004F2497"/>
    <w:rsid w:val="004F2577"/>
    <w:rsid w:val="004F26A0"/>
    <w:rsid w:val="004F2753"/>
    <w:rsid w:val="004F28DB"/>
    <w:rsid w:val="004F291C"/>
    <w:rsid w:val="004F293B"/>
    <w:rsid w:val="004F2ACC"/>
    <w:rsid w:val="004F2BCB"/>
    <w:rsid w:val="004F2C4D"/>
    <w:rsid w:val="004F2E0D"/>
    <w:rsid w:val="004F2FEC"/>
    <w:rsid w:val="004F30B5"/>
    <w:rsid w:val="004F34B7"/>
    <w:rsid w:val="004F3516"/>
    <w:rsid w:val="004F38AC"/>
    <w:rsid w:val="004F38F6"/>
    <w:rsid w:val="004F3C82"/>
    <w:rsid w:val="004F3D32"/>
    <w:rsid w:val="004F3EB4"/>
    <w:rsid w:val="004F3F0C"/>
    <w:rsid w:val="004F3F4C"/>
    <w:rsid w:val="004F3F95"/>
    <w:rsid w:val="004F3FB8"/>
    <w:rsid w:val="004F41C2"/>
    <w:rsid w:val="004F42B6"/>
    <w:rsid w:val="004F46D8"/>
    <w:rsid w:val="004F46F1"/>
    <w:rsid w:val="004F472B"/>
    <w:rsid w:val="004F48AF"/>
    <w:rsid w:val="004F4B3A"/>
    <w:rsid w:val="004F4DE9"/>
    <w:rsid w:val="004F4E56"/>
    <w:rsid w:val="004F4E66"/>
    <w:rsid w:val="004F4E84"/>
    <w:rsid w:val="004F4F4E"/>
    <w:rsid w:val="004F5055"/>
    <w:rsid w:val="004F5065"/>
    <w:rsid w:val="004F507B"/>
    <w:rsid w:val="004F50F4"/>
    <w:rsid w:val="004F523A"/>
    <w:rsid w:val="004F52E0"/>
    <w:rsid w:val="004F58CA"/>
    <w:rsid w:val="004F5A0F"/>
    <w:rsid w:val="004F5CFB"/>
    <w:rsid w:val="004F5DBE"/>
    <w:rsid w:val="004F5EA1"/>
    <w:rsid w:val="004F5F05"/>
    <w:rsid w:val="004F614B"/>
    <w:rsid w:val="004F6211"/>
    <w:rsid w:val="004F6365"/>
    <w:rsid w:val="004F6412"/>
    <w:rsid w:val="004F6691"/>
    <w:rsid w:val="004F6693"/>
    <w:rsid w:val="004F6A61"/>
    <w:rsid w:val="004F6AD7"/>
    <w:rsid w:val="004F6B41"/>
    <w:rsid w:val="004F6C53"/>
    <w:rsid w:val="004F6CEC"/>
    <w:rsid w:val="004F6EAC"/>
    <w:rsid w:val="004F6EF8"/>
    <w:rsid w:val="004F6EFC"/>
    <w:rsid w:val="004F6F39"/>
    <w:rsid w:val="004F70B7"/>
    <w:rsid w:val="004F71C9"/>
    <w:rsid w:val="004F730B"/>
    <w:rsid w:val="004F732B"/>
    <w:rsid w:val="004F74F0"/>
    <w:rsid w:val="004F75B5"/>
    <w:rsid w:val="004F7605"/>
    <w:rsid w:val="004F7810"/>
    <w:rsid w:val="004F7888"/>
    <w:rsid w:val="004F7AF7"/>
    <w:rsid w:val="004F7B3F"/>
    <w:rsid w:val="004F7C57"/>
    <w:rsid w:val="004F7DAD"/>
    <w:rsid w:val="00500384"/>
    <w:rsid w:val="0050048B"/>
    <w:rsid w:val="005004AF"/>
    <w:rsid w:val="005004B6"/>
    <w:rsid w:val="0050056E"/>
    <w:rsid w:val="00500677"/>
    <w:rsid w:val="00500808"/>
    <w:rsid w:val="005008EB"/>
    <w:rsid w:val="00500E3A"/>
    <w:rsid w:val="00500E96"/>
    <w:rsid w:val="00500E9B"/>
    <w:rsid w:val="0050113A"/>
    <w:rsid w:val="005011F9"/>
    <w:rsid w:val="00501230"/>
    <w:rsid w:val="005013EC"/>
    <w:rsid w:val="00501402"/>
    <w:rsid w:val="00501437"/>
    <w:rsid w:val="00501472"/>
    <w:rsid w:val="00501510"/>
    <w:rsid w:val="005015E1"/>
    <w:rsid w:val="00501628"/>
    <w:rsid w:val="00501786"/>
    <w:rsid w:val="0050187A"/>
    <w:rsid w:val="00501A15"/>
    <w:rsid w:val="00501BA9"/>
    <w:rsid w:val="00501BC1"/>
    <w:rsid w:val="00501C1B"/>
    <w:rsid w:val="00501CB6"/>
    <w:rsid w:val="00501D15"/>
    <w:rsid w:val="00501DE0"/>
    <w:rsid w:val="00501F32"/>
    <w:rsid w:val="0050203B"/>
    <w:rsid w:val="00502180"/>
    <w:rsid w:val="00502195"/>
    <w:rsid w:val="00502300"/>
    <w:rsid w:val="00502365"/>
    <w:rsid w:val="00502391"/>
    <w:rsid w:val="005024AB"/>
    <w:rsid w:val="00502520"/>
    <w:rsid w:val="005025E8"/>
    <w:rsid w:val="005029B9"/>
    <w:rsid w:val="00502B0B"/>
    <w:rsid w:val="00502C72"/>
    <w:rsid w:val="00502CBE"/>
    <w:rsid w:val="00502CC7"/>
    <w:rsid w:val="00502F59"/>
    <w:rsid w:val="00503146"/>
    <w:rsid w:val="00503150"/>
    <w:rsid w:val="00503187"/>
    <w:rsid w:val="005033AD"/>
    <w:rsid w:val="00503404"/>
    <w:rsid w:val="0050366D"/>
    <w:rsid w:val="005036D2"/>
    <w:rsid w:val="00503802"/>
    <w:rsid w:val="0050394D"/>
    <w:rsid w:val="005039F3"/>
    <w:rsid w:val="005039F8"/>
    <w:rsid w:val="00503A0F"/>
    <w:rsid w:val="00503B03"/>
    <w:rsid w:val="00503C12"/>
    <w:rsid w:val="00503D53"/>
    <w:rsid w:val="00503DC7"/>
    <w:rsid w:val="00503F03"/>
    <w:rsid w:val="00503F22"/>
    <w:rsid w:val="005041EB"/>
    <w:rsid w:val="005043A3"/>
    <w:rsid w:val="0050441D"/>
    <w:rsid w:val="005045A2"/>
    <w:rsid w:val="005045EF"/>
    <w:rsid w:val="0050461A"/>
    <w:rsid w:val="00504699"/>
    <w:rsid w:val="005047F6"/>
    <w:rsid w:val="0050482E"/>
    <w:rsid w:val="005049D5"/>
    <w:rsid w:val="00504AC6"/>
    <w:rsid w:val="00504B13"/>
    <w:rsid w:val="0050503A"/>
    <w:rsid w:val="0050506F"/>
    <w:rsid w:val="005050C8"/>
    <w:rsid w:val="005053B3"/>
    <w:rsid w:val="005056A2"/>
    <w:rsid w:val="00505D67"/>
    <w:rsid w:val="00505E03"/>
    <w:rsid w:val="00505E16"/>
    <w:rsid w:val="00505E1E"/>
    <w:rsid w:val="00505EC9"/>
    <w:rsid w:val="00505F39"/>
    <w:rsid w:val="00506167"/>
    <w:rsid w:val="00506216"/>
    <w:rsid w:val="00506247"/>
    <w:rsid w:val="005062A7"/>
    <w:rsid w:val="00506362"/>
    <w:rsid w:val="00506473"/>
    <w:rsid w:val="005064A6"/>
    <w:rsid w:val="00506565"/>
    <w:rsid w:val="005065F2"/>
    <w:rsid w:val="0050685F"/>
    <w:rsid w:val="00506957"/>
    <w:rsid w:val="0050697B"/>
    <w:rsid w:val="00506A76"/>
    <w:rsid w:val="00506AEB"/>
    <w:rsid w:val="00506B04"/>
    <w:rsid w:val="00506CE1"/>
    <w:rsid w:val="00506DD9"/>
    <w:rsid w:val="00506DED"/>
    <w:rsid w:val="00506FD9"/>
    <w:rsid w:val="005071E1"/>
    <w:rsid w:val="0050738D"/>
    <w:rsid w:val="005075BA"/>
    <w:rsid w:val="0050769F"/>
    <w:rsid w:val="005078DE"/>
    <w:rsid w:val="00507919"/>
    <w:rsid w:val="00507A5E"/>
    <w:rsid w:val="00507B25"/>
    <w:rsid w:val="00507B63"/>
    <w:rsid w:val="00507C15"/>
    <w:rsid w:val="00507E17"/>
    <w:rsid w:val="0051002C"/>
    <w:rsid w:val="0051019A"/>
    <w:rsid w:val="0051021A"/>
    <w:rsid w:val="0051021B"/>
    <w:rsid w:val="00510227"/>
    <w:rsid w:val="005103DF"/>
    <w:rsid w:val="0051041C"/>
    <w:rsid w:val="00510492"/>
    <w:rsid w:val="005104B1"/>
    <w:rsid w:val="005104B5"/>
    <w:rsid w:val="00510A7D"/>
    <w:rsid w:val="00510AD2"/>
    <w:rsid w:val="00510AE0"/>
    <w:rsid w:val="00510CDA"/>
    <w:rsid w:val="00510F16"/>
    <w:rsid w:val="005111B7"/>
    <w:rsid w:val="00511291"/>
    <w:rsid w:val="005112CF"/>
    <w:rsid w:val="00511512"/>
    <w:rsid w:val="0051164C"/>
    <w:rsid w:val="0051169D"/>
    <w:rsid w:val="005116A3"/>
    <w:rsid w:val="00511701"/>
    <w:rsid w:val="00511886"/>
    <w:rsid w:val="00511A39"/>
    <w:rsid w:val="00511B99"/>
    <w:rsid w:val="00511D10"/>
    <w:rsid w:val="00511D3A"/>
    <w:rsid w:val="00511E88"/>
    <w:rsid w:val="0051200F"/>
    <w:rsid w:val="005120A7"/>
    <w:rsid w:val="00512124"/>
    <w:rsid w:val="005121B8"/>
    <w:rsid w:val="0051238D"/>
    <w:rsid w:val="005123B3"/>
    <w:rsid w:val="005123BA"/>
    <w:rsid w:val="00512543"/>
    <w:rsid w:val="005125E6"/>
    <w:rsid w:val="00512652"/>
    <w:rsid w:val="0051266F"/>
    <w:rsid w:val="0051268A"/>
    <w:rsid w:val="005127D9"/>
    <w:rsid w:val="00512875"/>
    <w:rsid w:val="00512929"/>
    <w:rsid w:val="00512CFF"/>
    <w:rsid w:val="00512D17"/>
    <w:rsid w:val="00512D76"/>
    <w:rsid w:val="00512DC6"/>
    <w:rsid w:val="0051320E"/>
    <w:rsid w:val="0051326F"/>
    <w:rsid w:val="005134B2"/>
    <w:rsid w:val="005134D5"/>
    <w:rsid w:val="0051350D"/>
    <w:rsid w:val="0051369B"/>
    <w:rsid w:val="0051381E"/>
    <w:rsid w:val="00513852"/>
    <w:rsid w:val="00513885"/>
    <w:rsid w:val="00513978"/>
    <w:rsid w:val="005139A2"/>
    <w:rsid w:val="00513B2A"/>
    <w:rsid w:val="00513C3F"/>
    <w:rsid w:val="00513D63"/>
    <w:rsid w:val="00513FD2"/>
    <w:rsid w:val="00513FE8"/>
    <w:rsid w:val="0051409D"/>
    <w:rsid w:val="00514151"/>
    <w:rsid w:val="0051422A"/>
    <w:rsid w:val="005142AE"/>
    <w:rsid w:val="005144B8"/>
    <w:rsid w:val="0051465D"/>
    <w:rsid w:val="00514849"/>
    <w:rsid w:val="0051491C"/>
    <w:rsid w:val="0051494C"/>
    <w:rsid w:val="00514B03"/>
    <w:rsid w:val="00514D71"/>
    <w:rsid w:val="0051504F"/>
    <w:rsid w:val="00515087"/>
    <w:rsid w:val="00515210"/>
    <w:rsid w:val="00515466"/>
    <w:rsid w:val="0051547C"/>
    <w:rsid w:val="005154CA"/>
    <w:rsid w:val="005155A6"/>
    <w:rsid w:val="005155B4"/>
    <w:rsid w:val="0051560C"/>
    <w:rsid w:val="0051561B"/>
    <w:rsid w:val="00515743"/>
    <w:rsid w:val="00515B5A"/>
    <w:rsid w:val="00515CB2"/>
    <w:rsid w:val="00515E3D"/>
    <w:rsid w:val="0051603F"/>
    <w:rsid w:val="005160D5"/>
    <w:rsid w:val="0051624D"/>
    <w:rsid w:val="0051628C"/>
    <w:rsid w:val="0051632F"/>
    <w:rsid w:val="0051636E"/>
    <w:rsid w:val="00516448"/>
    <w:rsid w:val="0051654E"/>
    <w:rsid w:val="005165C2"/>
    <w:rsid w:val="00516696"/>
    <w:rsid w:val="005169E1"/>
    <w:rsid w:val="00516AB2"/>
    <w:rsid w:val="00516D84"/>
    <w:rsid w:val="00516F14"/>
    <w:rsid w:val="00516FD9"/>
    <w:rsid w:val="0051707A"/>
    <w:rsid w:val="005170ED"/>
    <w:rsid w:val="005171B4"/>
    <w:rsid w:val="005172F3"/>
    <w:rsid w:val="00517343"/>
    <w:rsid w:val="005173BC"/>
    <w:rsid w:val="0051768F"/>
    <w:rsid w:val="0051793E"/>
    <w:rsid w:val="00517AFF"/>
    <w:rsid w:val="00517C6B"/>
    <w:rsid w:val="00517C70"/>
    <w:rsid w:val="00517E99"/>
    <w:rsid w:val="00517FC5"/>
    <w:rsid w:val="005200A2"/>
    <w:rsid w:val="005200A8"/>
    <w:rsid w:val="005201B8"/>
    <w:rsid w:val="005201DE"/>
    <w:rsid w:val="0052024B"/>
    <w:rsid w:val="005203E8"/>
    <w:rsid w:val="005207C7"/>
    <w:rsid w:val="00520857"/>
    <w:rsid w:val="00520A2F"/>
    <w:rsid w:val="00520A70"/>
    <w:rsid w:val="00520AF6"/>
    <w:rsid w:val="00520BFA"/>
    <w:rsid w:val="00520C29"/>
    <w:rsid w:val="00520CF1"/>
    <w:rsid w:val="00520D95"/>
    <w:rsid w:val="00520EA0"/>
    <w:rsid w:val="00521141"/>
    <w:rsid w:val="00521179"/>
    <w:rsid w:val="005214BE"/>
    <w:rsid w:val="005215C7"/>
    <w:rsid w:val="00521637"/>
    <w:rsid w:val="005216E2"/>
    <w:rsid w:val="0052174A"/>
    <w:rsid w:val="0052174C"/>
    <w:rsid w:val="005217B3"/>
    <w:rsid w:val="00521943"/>
    <w:rsid w:val="00521A93"/>
    <w:rsid w:val="00521BE0"/>
    <w:rsid w:val="00521C24"/>
    <w:rsid w:val="00521E11"/>
    <w:rsid w:val="00521EAE"/>
    <w:rsid w:val="00521F09"/>
    <w:rsid w:val="00521F4E"/>
    <w:rsid w:val="00521F50"/>
    <w:rsid w:val="0052214B"/>
    <w:rsid w:val="0052216D"/>
    <w:rsid w:val="0052220A"/>
    <w:rsid w:val="00522218"/>
    <w:rsid w:val="00522239"/>
    <w:rsid w:val="0052225F"/>
    <w:rsid w:val="0052229C"/>
    <w:rsid w:val="0052250C"/>
    <w:rsid w:val="005227D5"/>
    <w:rsid w:val="005227EA"/>
    <w:rsid w:val="00522990"/>
    <w:rsid w:val="005229A6"/>
    <w:rsid w:val="00522C04"/>
    <w:rsid w:val="00522F77"/>
    <w:rsid w:val="00522FE2"/>
    <w:rsid w:val="00523000"/>
    <w:rsid w:val="00523191"/>
    <w:rsid w:val="00523263"/>
    <w:rsid w:val="005232E7"/>
    <w:rsid w:val="005238A6"/>
    <w:rsid w:val="005238EE"/>
    <w:rsid w:val="005238FC"/>
    <w:rsid w:val="0052392E"/>
    <w:rsid w:val="0052399A"/>
    <w:rsid w:val="005239D3"/>
    <w:rsid w:val="00523A34"/>
    <w:rsid w:val="00523A43"/>
    <w:rsid w:val="00523AB4"/>
    <w:rsid w:val="00523B20"/>
    <w:rsid w:val="00523B84"/>
    <w:rsid w:val="00523C77"/>
    <w:rsid w:val="00523CBD"/>
    <w:rsid w:val="00523F71"/>
    <w:rsid w:val="0052401A"/>
    <w:rsid w:val="00524050"/>
    <w:rsid w:val="00524332"/>
    <w:rsid w:val="0052440D"/>
    <w:rsid w:val="00524447"/>
    <w:rsid w:val="00524532"/>
    <w:rsid w:val="005245BE"/>
    <w:rsid w:val="00524616"/>
    <w:rsid w:val="00524947"/>
    <w:rsid w:val="005249E4"/>
    <w:rsid w:val="00524A7B"/>
    <w:rsid w:val="00524AD0"/>
    <w:rsid w:val="00524BB6"/>
    <w:rsid w:val="0052501F"/>
    <w:rsid w:val="00525044"/>
    <w:rsid w:val="005250DB"/>
    <w:rsid w:val="005250DE"/>
    <w:rsid w:val="005251BF"/>
    <w:rsid w:val="005252CF"/>
    <w:rsid w:val="0052551E"/>
    <w:rsid w:val="0052572F"/>
    <w:rsid w:val="00525751"/>
    <w:rsid w:val="005258B3"/>
    <w:rsid w:val="005258C2"/>
    <w:rsid w:val="005258D5"/>
    <w:rsid w:val="0052598D"/>
    <w:rsid w:val="00525B58"/>
    <w:rsid w:val="00525B95"/>
    <w:rsid w:val="00525C5E"/>
    <w:rsid w:val="00525D57"/>
    <w:rsid w:val="00525DCA"/>
    <w:rsid w:val="00525F0E"/>
    <w:rsid w:val="00525F8A"/>
    <w:rsid w:val="00525F8F"/>
    <w:rsid w:val="00526104"/>
    <w:rsid w:val="0052619B"/>
    <w:rsid w:val="005261CE"/>
    <w:rsid w:val="0052636B"/>
    <w:rsid w:val="005265B0"/>
    <w:rsid w:val="005265EE"/>
    <w:rsid w:val="00526843"/>
    <w:rsid w:val="00526892"/>
    <w:rsid w:val="005268CB"/>
    <w:rsid w:val="005268CC"/>
    <w:rsid w:val="00526925"/>
    <w:rsid w:val="0052698C"/>
    <w:rsid w:val="005269D0"/>
    <w:rsid w:val="005269FA"/>
    <w:rsid w:val="00526AFD"/>
    <w:rsid w:val="00526C73"/>
    <w:rsid w:val="00526CB9"/>
    <w:rsid w:val="00526D95"/>
    <w:rsid w:val="00526DF1"/>
    <w:rsid w:val="00526E2D"/>
    <w:rsid w:val="00526E55"/>
    <w:rsid w:val="00526E5D"/>
    <w:rsid w:val="00526E8B"/>
    <w:rsid w:val="00526ED3"/>
    <w:rsid w:val="00526F9D"/>
    <w:rsid w:val="00526FE2"/>
    <w:rsid w:val="00527011"/>
    <w:rsid w:val="0052720E"/>
    <w:rsid w:val="00527655"/>
    <w:rsid w:val="005276FF"/>
    <w:rsid w:val="005277A8"/>
    <w:rsid w:val="0052786F"/>
    <w:rsid w:val="00527BD5"/>
    <w:rsid w:val="00527BF2"/>
    <w:rsid w:val="00527C66"/>
    <w:rsid w:val="00527D20"/>
    <w:rsid w:val="00527EAA"/>
    <w:rsid w:val="005300A6"/>
    <w:rsid w:val="0053043C"/>
    <w:rsid w:val="0053060D"/>
    <w:rsid w:val="005306CF"/>
    <w:rsid w:val="00530BE8"/>
    <w:rsid w:val="00530C0C"/>
    <w:rsid w:val="00530C3D"/>
    <w:rsid w:val="00530F29"/>
    <w:rsid w:val="00530FAD"/>
    <w:rsid w:val="00530FCD"/>
    <w:rsid w:val="005312FB"/>
    <w:rsid w:val="0053148F"/>
    <w:rsid w:val="00531524"/>
    <w:rsid w:val="005315B1"/>
    <w:rsid w:val="005315CB"/>
    <w:rsid w:val="00531631"/>
    <w:rsid w:val="00531644"/>
    <w:rsid w:val="00531658"/>
    <w:rsid w:val="0053165F"/>
    <w:rsid w:val="00531733"/>
    <w:rsid w:val="005317BE"/>
    <w:rsid w:val="005317F4"/>
    <w:rsid w:val="00531905"/>
    <w:rsid w:val="00531995"/>
    <w:rsid w:val="00531A80"/>
    <w:rsid w:val="00531B0D"/>
    <w:rsid w:val="00531C16"/>
    <w:rsid w:val="00531C4D"/>
    <w:rsid w:val="00532082"/>
    <w:rsid w:val="005320A7"/>
    <w:rsid w:val="0053214D"/>
    <w:rsid w:val="0053221A"/>
    <w:rsid w:val="00532520"/>
    <w:rsid w:val="005326FE"/>
    <w:rsid w:val="00532793"/>
    <w:rsid w:val="005327C8"/>
    <w:rsid w:val="00532890"/>
    <w:rsid w:val="00532891"/>
    <w:rsid w:val="005328EA"/>
    <w:rsid w:val="005329D0"/>
    <w:rsid w:val="00532A19"/>
    <w:rsid w:val="00532A90"/>
    <w:rsid w:val="00532B8E"/>
    <w:rsid w:val="00532B9D"/>
    <w:rsid w:val="00532C4A"/>
    <w:rsid w:val="00532D61"/>
    <w:rsid w:val="00532D97"/>
    <w:rsid w:val="00532F7F"/>
    <w:rsid w:val="00533014"/>
    <w:rsid w:val="00533076"/>
    <w:rsid w:val="005330E2"/>
    <w:rsid w:val="00533270"/>
    <w:rsid w:val="00533319"/>
    <w:rsid w:val="0053345F"/>
    <w:rsid w:val="00533988"/>
    <w:rsid w:val="005339A5"/>
    <w:rsid w:val="005339FC"/>
    <w:rsid w:val="00533EE4"/>
    <w:rsid w:val="00533F76"/>
    <w:rsid w:val="00533FD9"/>
    <w:rsid w:val="00533FF5"/>
    <w:rsid w:val="00534316"/>
    <w:rsid w:val="0053442B"/>
    <w:rsid w:val="00534497"/>
    <w:rsid w:val="005344D4"/>
    <w:rsid w:val="0053450D"/>
    <w:rsid w:val="00534548"/>
    <w:rsid w:val="0053461B"/>
    <w:rsid w:val="005347F5"/>
    <w:rsid w:val="0053495F"/>
    <w:rsid w:val="00534AB9"/>
    <w:rsid w:val="00534B2D"/>
    <w:rsid w:val="00534D36"/>
    <w:rsid w:val="00534EAF"/>
    <w:rsid w:val="00535127"/>
    <w:rsid w:val="00535128"/>
    <w:rsid w:val="00535188"/>
    <w:rsid w:val="005351F0"/>
    <w:rsid w:val="00535253"/>
    <w:rsid w:val="005352A8"/>
    <w:rsid w:val="00535559"/>
    <w:rsid w:val="00535570"/>
    <w:rsid w:val="00535638"/>
    <w:rsid w:val="00535656"/>
    <w:rsid w:val="005359AE"/>
    <w:rsid w:val="00535A9A"/>
    <w:rsid w:val="00535C9E"/>
    <w:rsid w:val="0053611B"/>
    <w:rsid w:val="005361D9"/>
    <w:rsid w:val="00536350"/>
    <w:rsid w:val="0053644A"/>
    <w:rsid w:val="005365D5"/>
    <w:rsid w:val="00536796"/>
    <w:rsid w:val="0053685B"/>
    <w:rsid w:val="005368F6"/>
    <w:rsid w:val="00536A7B"/>
    <w:rsid w:val="00536C24"/>
    <w:rsid w:val="00536C4A"/>
    <w:rsid w:val="00536CE7"/>
    <w:rsid w:val="00536CF7"/>
    <w:rsid w:val="00536D36"/>
    <w:rsid w:val="00536D45"/>
    <w:rsid w:val="00536E29"/>
    <w:rsid w:val="00536E9D"/>
    <w:rsid w:val="00536EB1"/>
    <w:rsid w:val="005370DD"/>
    <w:rsid w:val="0053713D"/>
    <w:rsid w:val="005372D3"/>
    <w:rsid w:val="005373FE"/>
    <w:rsid w:val="00537524"/>
    <w:rsid w:val="00537687"/>
    <w:rsid w:val="00537712"/>
    <w:rsid w:val="00537726"/>
    <w:rsid w:val="00537842"/>
    <w:rsid w:val="00537BB6"/>
    <w:rsid w:val="00537C23"/>
    <w:rsid w:val="00537C6C"/>
    <w:rsid w:val="00537CBB"/>
    <w:rsid w:val="00537CCC"/>
    <w:rsid w:val="00537DD5"/>
    <w:rsid w:val="00537EF7"/>
    <w:rsid w:val="00537F4A"/>
    <w:rsid w:val="00537F55"/>
    <w:rsid w:val="00537FF4"/>
    <w:rsid w:val="00540115"/>
    <w:rsid w:val="005401AF"/>
    <w:rsid w:val="005401E7"/>
    <w:rsid w:val="00540218"/>
    <w:rsid w:val="00540340"/>
    <w:rsid w:val="0054043F"/>
    <w:rsid w:val="0054058E"/>
    <w:rsid w:val="005405DB"/>
    <w:rsid w:val="005406BA"/>
    <w:rsid w:val="00540734"/>
    <w:rsid w:val="00540786"/>
    <w:rsid w:val="005407F2"/>
    <w:rsid w:val="00540A85"/>
    <w:rsid w:val="00540B23"/>
    <w:rsid w:val="00540B41"/>
    <w:rsid w:val="00540B73"/>
    <w:rsid w:val="00540BF5"/>
    <w:rsid w:val="00540C3D"/>
    <w:rsid w:val="00540D9C"/>
    <w:rsid w:val="00540D9F"/>
    <w:rsid w:val="00540DBA"/>
    <w:rsid w:val="00540DCC"/>
    <w:rsid w:val="00540F6B"/>
    <w:rsid w:val="005410ED"/>
    <w:rsid w:val="005411FF"/>
    <w:rsid w:val="005412DC"/>
    <w:rsid w:val="005412E5"/>
    <w:rsid w:val="0054138D"/>
    <w:rsid w:val="005413CB"/>
    <w:rsid w:val="00541449"/>
    <w:rsid w:val="00541483"/>
    <w:rsid w:val="00541501"/>
    <w:rsid w:val="00541773"/>
    <w:rsid w:val="0054177B"/>
    <w:rsid w:val="005417E7"/>
    <w:rsid w:val="005418A6"/>
    <w:rsid w:val="00541929"/>
    <w:rsid w:val="00541989"/>
    <w:rsid w:val="00541A69"/>
    <w:rsid w:val="00541AA0"/>
    <w:rsid w:val="00541AB2"/>
    <w:rsid w:val="00541AB8"/>
    <w:rsid w:val="00541AC4"/>
    <w:rsid w:val="00541BB8"/>
    <w:rsid w:val="00541C88"/>
    <w:rsid w:val="00541CA3"/>
    <w:rsid w:val="00541D1A"/>
    <w:rsid w:val="00542146"/>
    <w:rsid w:val="005422DE"/>
    <w:rsid w:val="00542715"/>
    <w:rsid w:val="00542840"/>
    <w:rsid w:val="005429B3"/>
    <w:rsid w:val="00542BA1"/>
    <w:rsid w:val="00542BE7"/>
    <w:rsid w:val="00542BF9"/>
    <w:rsid w:val="00542C17"/>
    <w:rsid w:val="00542E4B"/>
    <w:rsid w:val="00542E7B"/>
    <w:rsid w:val="00542EF1"/>
    <w:rsid w:val="00542FAD"/>
    <w:rsid w:val="005430F8"/>
    <w:rsid w:val="005431B1"/>
    <w:rsid w:val="005433E8"/>
    <w:rsid w:val="005435FD"/>
    <w:rsid w:val="00543885"/>
    <w:rsid w:val="0054390E"/>
    <w:rsid w:val="00543981"/>
    <w:rsid w:val="00543A57"/>
    <w:rsid w:val="00543A68"/>
    <w:rsid w:val="00543AE9"/>
    <w:rsid w:val="00543D09"/>
    <w:rsid w:val="00543D91"/>
    <w:rsid w:val="005440D7"/>
    <w:rsid w:val="00544250"/>
    <w:rsid w:val="005443E8"/>
    <w:rsid w:val="00544412"/>
    <w:rsid w:val="00544437"/>
    <w:rsid w:val="005444AC"/>
    <w:rsid w:val="005446D2"/>
    <w:rsid w:val="005447A5"/>
    <w:rsid w:val="0054494E"/>
    <w:rsid w:val="005449C5"/>
    <w:rsid w:val="005449E4"/>
    <w:rsid w:val="00544B0D"/>
    <w:rsid w:val="00544B55"/>
    <w:rsid w:val="00544BBA"/>
    <w:rsid w:val="00544C56"/>
    <w:rsid w:val="005450A8"/>
    <w:rsid w:val="00545263"/>
    <w:rsid w:val="00545315"/>
    <w:rsid w:val="0054567D"/>
    <w:rsid w:val="00545BEA"/>
    <w:rsid w:val="00545D35"/>
    <w:rsid w:val="00545D5B"/>
    <w:rsid w:val="00545D74"/>
    <w:rsid w:val="00545EC2"/>
    <w:rsid w:val="00546207"/>
    <w:rsid w:val="00546219"/>
    <w:rsid w:val="00546229"/>
    <w:rsid w:val="00546380"/>
    <w:rsid w:val="005463FE"/>
    <w:rsid w:val="0054657E"/>
    <w:rsid w:val="0054665F"/>
    <w:rsid w:val="00546765"/>
    <w:rsid w:val="00546829"/>
    <w:rsid w:val="0054689B"/>
    <w:rsid w:val="005468A7"/>
    <w:rsid w:val="005468CA"/>
    <w:rsid w:val="00546A7C"/>
    <w:rsid w:val="00546B6A"/>
    <w:rsid w:val="00546BB2"/>
    <w:rsid w:val="00546C95"/>
    <w:rsid w:val="00546CCF"/>
    <w:rsid w:val="00546DCD"/>
    <w:rsid w:val="00546F52"/>
    <w:rsid w:val="00546FDA"/>
    <w:rsid w:val="00547142"/>
    <w:rsid w:val="0054729C"/>
    <w:rsid w:val="005474C6"/>
    <w:rsid w:val="00547544"/>
    <w:rsid w:val="005477F6"/>
    <w:rsid w:val="00547AE3"/>
    <w:rsid w:val="00547B17"/>
    <w:rsid w:val="00547B44"/>
    <w:rsid w:val="00547C51"/>
    <w:rsid w:val="00547C86"/>
    <w:rsid w:val="00547D59"/>
    <w:rsid w:val="00547E6E"/>
    <w:rsid w:val="00547F88"/>
    <w:rsid w:val="00550116"/>
    <w:rsid w:val="0055020C"/>
    <w:rsid w:val="005502E8"/>
    <w:rsid w:val="00550431"/>
    <w:rsid w:val="005504EC"/>
    <w:rsid w:val="0055055A"/>
    <w:rsid w:val="0055063E"/>
    <w:rsid w:val="005508A2"/>
    <w:rsid w:val="005508BA"/>
    <w:rsid w:val="00550972"/>
    <w:rsid w:val="00550A46"/>
    <w:rsid w:val="00550A49"/>
    <w:rsid w:val="00550A96"/>
    <w:rsid w:val="00550B19"/>
    <w:rsid w:val="00550B78"/>
    <w:rsid w:val="00550BAE"/>
    <w:rsid w:val="00550D3C"/>
    <w:rsid w:val="00550DF3"/>
    <w:rsid w:val="00550DF7"/>
    <w:rsid w:val="00550F23"/>
    <w:rsid w:val="00550FE1"/>
    <w:rsid w:val="00551047"/>
    <w:rsid w:val="00551086"/>
    <w:rsid w:val="00551100"/>
    <w:rsid w:val="005512BA"/>
    <w:rsid w:val="00551567"/>
    <w:rsid w:val="00551596"/>
    <w:rsid w:val="005515A6"/>
    <w:rsid w:val="0055168C"/>
    <w:rsid w:val="0055170F"/>
    <w:rsid w:val="005517D4"/>
    <w:rsid w:val="0055209C"/>
    <w:rsid w:val="00552149"/>
    <w:rsid w:val="0055214A"/>
    <w:rsid w:val="00552249"/>
    <w:rsid w:val="00552264"/>
    <w:rsid w:val="00552483"/>
    <w:rsid w:val="005525DC"/>
    <w:rsid w:val="005525E5"/>
    <w:rsid w:val="00552713"/>
    <w:rsid w:val="0055278A"/>
    <w:rsid w:val="00552872"/>
    <w:rsid w:val="0055289E"/>
    <w:rsid w:val="00552931"/>
    <w:rsid w:val="00552A4A"/>
    <w:rsid w:val="00552AC9"/>
    <w:rsid w:val="00552AD9"/>
    <w:rsid w:val="00552B40"/>
    <w:rsid w:val="00552C98"/>
    <w:rsid w:val="00552D08"/>
    <w:rsid w:val="00552E19"/>
    <w:rsid w:val="00552EA4"/>
    <w:rsid w:val="00552F66"/>
    <w:rsid w:val="00552F8D"/>
    <w:rsid w:val="0055312E"/>
    <w:rsid w:val="005532B4"/>
    <w:rsid w:val="005532EF"/>
    <w:rsid w:val="005533D1"/>
    <w:rsid w:val="00553472"/>
    <w:rsid w:val="00553478"/>
    <w:rsid w:val="00553558"/>
    <w:rsid w:val="00553650"/>
    <w:rsid w:val="00553B17"/>
    <w:rsid w:val="00553B32"/>
    <w:rsid w:val="00553D2B"/>
    <w:rsid w:val="00553E15"/>
    <w:rsid w:val="00553E24"/>
    <w:rsid w:val="00553E4A"/>
    <w:rsid w:val="00553E69"/>
    <w:rsid w:val="00553FBF"/>
    <w:rsid w:val="00554045"/>
    <w:rsid w:val="00554087"/>
    <w:rsid w:val="00554106"/>
    <w:rsid w:val="0055416A"/>
    <w:rsid w:val="00554589"/>
    <w:rsid w:val="00554AA4"/>
    <w:rsid w:val="00554D20"/>
    <w:rsid w:val="00554D39"/>
    <w:rsid w:val="00554D69"/>
    <w:rsid w:val="00554DA1"/>
    <w:rsid w:val="00554DBF"/>
    <w:rsid w:val="00554E7C"/>
    <w:rsid w:val="00554F29"/>
    <w:rsid w:val="00555184"/>
    <w:rsid w:val="0055528A"/>
    <w:rsid w:val="005552AD"/>
    <w:rsid w:val="005552FD"/>
    <w:rsid w:val="0055530C"/>
    <w:rsid w:val="0055536E"/>
    <w:rsid w:val="00555418"/>
    <w:rsid w:val="005554A7"/>
    <w:rsid w:val="005554DF"/>
    <w:rsid w:val="005555EF"/>
    <w:rsid w:val="00555834"/>
    <w:rsid w:val="005558FC"/>
    <w:rsid w:val="00555A2B"/>
    <w:rsid w:val="00555B2C"/>
    <w:rsid w:val="00555C15"/>
    <w:rsid w:val="00555C54"/>
    <w:rsid w:val="00555C8F"/>
    <w:rsid w:val="00555C9B"/>
    <w:rsid w:val="00555D4C"/>
    <w:rsid w:val="00555F2C"/>
    <w:rsid w:val="00556022"/>
    <w:rsid w:val="005560A5"/>
    <w:rsid w:val="0055613B"/>
    <w:rsid w:val="00556144"/>
    <w:rsid w:val="00556515"/>
    <w:rsid w:val="005566BB"/>
    <w:rsid w:val="00556710"/>
    <w:rsid w:val="005567E1"/>
    <w:rsid w:val="00556893"/>
    <w:rsid w:val="005569D0"/>
    <w:rsid w:val="00556ACD"/>
    <w:rsid w:val="00556BAC"/>
    <w:rsid w:val="00556BFD"/>
    <w:rsid w:val="00556FC7"/>
    <w:rsid w:val="00557234"/>
    <w:rsid w:val="005572E1"/>
    <w:rsid w:val="005573A4"/>
    <w:rsid w:val="005573A7"/>
    <w:rsid w:val="005577CB"/>
    <w:rsid w:val="005577E0"/>
    <w:rsid w:val="00557840"/>
    <w:rsid w:val="0055799F"/>
    <w:rsid w:val="005579B9"/>
    <w:rsid w:val="00557C5B"/>
    <w:rsid w:val="00557E03"/>
    <w:rsid w:val="00557EC4"/>
    <w:rsid w:val="00557F36"/>
    <w:rsid w:val="00557FC1"/>
    <w:rsid w:val="00560082"/>
    <w:rsid w:val="00560144"/>
    <w:rsid w:val="0056026E"/>
    <w:rsid w:val="0056028D"/>
    <w:rsid w:val="00560521"/>
    <w:rsid w:val="0056065C"/>
    <w:rsid w:val="0056080D"/>
    <w:rsid w:val="00560824"/>
    <w:rsid w:val="0056083C"/>
    <w:rsid w:val="005608A4"/>
    <w:rsid w:val="00560915"/>
    <w:rsid w:val="005609A4"/>
    <w:rsid w:val="00560A26"/>
    <w:rsid w:val="00560A56"/>
    <w:rsid w:val="00560A7C"/>
    <w:rsid w:val="00560AFA"/>
    <w:rsid w:val="00560BA7"/>
    <w:rsid w:val="00560C02"/>
    <w:rsid w:val="00560F4F"/>
    <w:rsid w:val="0056131B"/>
    <w:rsid w:val="00561340"/>
    <w:rsid w:val="00561593"/>
    <w:rsid w:val="005615F4"/>
    <w:rsid w:val="005617C4"/>
    <w:rsid w:val="0056183F"/>
    <w:rsid w:val="0056187B"/>
    <w:rsid w:val="005618C0"/>
    <w:rsid w:val="005618D2"/>
    <w:rsid w:val="00561A00"/>
    <w:rsid w:val="00561B14"/>
    <w:rsid w:val="00561C24"/>
    <w:rsid w:val="00561C44"/>
    <w:rsid w:val="00561D52"/>
    <w:rsid w:val="00561FB0"/>
    <w:rsid w:val="00561FCC"/>
    <w:rsid w:val="005620B8"/>
    <w:rsid w:val="005621E4"/>
    <w:rsid w:val="005622D8"/>
    <w:rsid w:val="00562497"/>
    <w:rsid w:val="00562532"/>
    <w:rsid w:val="0056254C"/>
    <w:rsid w:val="005625CA"/>
    <w:rsid w:val="005626D7"/>
    <w:rsid w:val="005626FD"/>
    <w:rsid w:val="0056275F"/>
    <w:rsid w:val="0056277E"/>
    <w:rsid w:val="0056278C"/>
    <w:rsid w:val="00562853"/>
    <w:rsid w:val="00562B62"/>
    <w:rsid w:val="00562B6B"/>
    <w:rsid w:val="00562BB0"/>
    <w:rsid w:val="00562BCF"/>
    <w:rsid w:val="00562CE7"/>
    <w:rsid w:val="0056306D"/>
    <w:rsid w:val="005630D0"/>
    <w:rsid w:val="00563147"/>
    <w:rsid w:val="0056344A"/>
    <w:rsid w:val="0056354B"/>
    <w:rsid w:val="00563680"/>
    <w:rsid w:val="00563785"/>
    <w:rsid w:val="0056382E"/>
    <w:rsid w:val="00563839"/>
    <w:rsid w:val="00563913"/>
    <w:rsid w:val="00563C82"/>
    <w:rsid w:val="00563CB6"/>
    <w:rsid w:val="00563CDA"/>
    <w:rsid w:val="00563DFB"/>
    <w:rsid w:val="00563F1E"/>
    <w:rsid w:val="005645FD"/>
    <w:rsid w:val="005646E3"/>
    <w:rsid w:val="00564876"/>
    <w:rsid w:val="00564893"/>
    <w:rsid w:val="00564A7D"/>
    <w:rsid w:val="00564AC0"/>
    <w:rsid w:val="00564D28"/>
    <w:rsid w:val="00564D7B"/>
    <w:rsid w:val="00564DF0"/>
    <w:rsid w:val="00564E82"/>
    <w:rsid w:val="00564F4F"/>
    <w:rsid w:val="00565067"/>
    <w:rsid w:val="0056507E"/>
    <w:rsid w:val="0056511C"/>
    <w:rsid w:val="005651A6"/>
    <w:rsid w:val="00565305"/>
    <w:rsid w:val="005654E9"/>
    <w:rsid w:val="005655DB"/>
    <w:rsid w:val="00565706"/>
    <w:rsid w:val="0056570A"/>
    <w:rsid w:val="005657D7"/>
    <w:rsid w:val="00565873"/>
    <w:rsid w:val="00565A42"/>
    <w:rsid w:val="00565AAF"/>
    <w:rsid w:val="00565BEF"/>
    <w:rsid w:val="00565C31"/>
    <w:rsid w:val="00565C97"/>
    <w:rsid w:val="00565D22"/>
    <w:rsid w:val="00565F6F"/>
    <w:rsid w:val="00565F7D"/>
    <w:rsid w:val="00566089"/>
    <w:rsid w:val="005663CF"/>
    <w:rsid w:val="005666EA"/>
    <w:rsid w:val="005667A0"/>
    <w:rsid w:val="0056682F"/>
    <w:rsid w:val="005668DF"/>
    <w:rsid w:val="00566BAB"/>
    <w:rsid w:val="00566FAC"/>
    <w:rsid w:val="00566FBD"/>
    <w:rsid w:val="0056700D"/>
    <w:rsid w:val="005670C1"/>
    <w:rsid w:val="00567171"/>
    <w:rsid w:val="005671D9"/>
    <w:rsid w:val="005672B7"/>
    <w:rsid w:val="005672C4"/>
    <w:rsid w:val="005674D9"/>
    <w:rsid w:val="00567555"/>
    <w:rsid w:val="005675AA"/>
    <w:rsid w:val="00567616"/>
    <w:rsid w:val="00567656"/>
    <w:rsid w:val="005678B6"/>
    <w:rsid w:val="00567911"/>
    <w:rsid w:val="0056799C"/>
    <w:rsid w:val="00567A04"/>
    <w:rsid w:val="00567BF7"/>
    <w:rsid w:val="00567D29"/>
    <w:rsid w:val="00567E07"/>
    <w:rsid w:val="005700E8"/>
    <w:rsid w:val="005702B9"/>
    <w:rsid w:val="00570327"/>
    <w:rsid w:val="00570476"/>
    <w:rsid w:val="0057052F"/>
    <w:rsid w:val="005705A4"/>
    <w:rsid w:val="0057066C"/>
    <w:rsid w:val="00570A56"/>
    <w:rsid w:val="00570B1A"/>
    <w:rsid w:val="00570B94"/>
    <w:rsid w:val="00570EC3"/>
    <w:rsid w:val="00570F9F"/>
    <w:rsid w:val="00571161"/>
    <w:rsid w:val="0057137E"/>
    <w:rsid w:val="00571447"/>
    <w:rsid w:val="005714D4"/>
    <w:rsid w:val="00571540"/>
    <w:rsid w:val="005715C3"/>
    <w:rsid w:val="00571613"/>
    <w:rsid w:val="005716E8"/>
    <w:rsid w:val="0057194F"/>
    <w:rsid w:val="00571986"/>
    <w:rsid w:val="0057198D"/>
    <w:rsid w:val="00571B65"/>
    <w:rsid w:val="00571BF3"/>
    <w:rsid w:val="00571D97"/>
    <w:rsid w:val="00571E83"/>
    <w:rsid w:val="00571FED"/>
    <w:rsid w:val="00572114"/>
    <w:rsid w:val="005721D4"/>
    <w:rsid w:val="0057234D"/>
    <w:rsid w:val="0057244E"/>
    <w:rsid w:val="0057248D"/>
    <w:rsid w:val="005725E1"/>
    <w:rsid w:val="005728AC"/>
    <w:rsid w:val="0057298A"/>
    <w:rsid w:val="00572AEE"/>
    <w:rsid w:val="00572B45"/>
    <w:rsid w:val="00572E23"/>
    <w:rsid w:val="00572FAD"/>
    <w:rsid w:val="0057309B"/>
    <w:rsid w:val="00573228"/>
    <w:rsid w:val="00573479"/>
    <w:rsid w:val="00573506"/>
    <w:rsid w:val="005736C0"/>
    <w:rsid w:val="005738A9"/>
    <w:rsid w:val="00573A62"/>
    <w:rsid w:val="00573C04"/>
    <w:rsid w:val="00574115"/>
    <w:rsid w:val="00574118"/>
    <w:rsid w:val="00574150"/>
    <w:rsid w:val="00574199"/>
    <w:rsid w:val="0057448D"/>
    <w:rsid w:val="00574563"/>
    <w:rsid w:val="00574565"/>
    <w:rsid w:val="00574573"/>
    <w:rsid w:val="005745DE"/>
    <w:rsid w:val="0057479F"/>
    <w:rsid w:val="005747FF"/>
    <w:rsid w:val="00574A41"/>
    <w:rsid w:val="00574C06"/>
    <w:rsid w:val="00574E6B"/>
    <w:rsid w:val="00574EDB"/>
    <w:rsid w:val="00575114"/>
    <w:rsid w:val="0057517E"/>
    <w:rsid w:val="005752C3"/>
    <w:rsid w:val="005754A7"/>
    <w:rsid w:val="0057568E"/>
    <w:rsid w:val="005757E4"/>
    <w:rsid w:val="005758D1"/>
    <w:rsid w:val="0057590C"/>
    <w:rsid w:val="005759DD"/>
    <w:rsid w:val="00575AA4"/>
    <w:rsid w:val="00575D20"/>
    <w:rsid w:val="00575EC0"/>
    <w:rsid w:val="005760AC"/>
    <w:rsid w:val="0057614A"/>
    <w:rsid w:val="00576251"/>
    <w:rsid w:val="0057629A"/>
    <w:rsid w:val="00576425"/>
    <w:rsid w:val="00576429"/>
    <w:rsid w:val="0057660B"/>
    <w:rsid w:val="005766A9"/>
    <w:rsid w:val="00576C00"/>
    <w:rsid w:val="00576CA6"/>
    <w:rsid w:val="00576DBB"/>
    <w:rsid w:val="00576EFF"/>
    <w:rsid w:val="00576FB1"/>
    <w:rsid w:val="00577164"/>
    <w:rsid w:val="00577772"/>
    <w:rsid w:val="005777AC"/>
    <w:rsid w:val="005778CD"/>
    <w:rsid w:val="005779B2"/>
    <w:rsid w:val="00577C6D"/>
    <w:rsid w:val="00577CBA"/>
    <w:rsid w:val="00577D5D"/>
    <w:rsid w:val="00577D79"/>
    <w:rsid w:val="00577F49"/>
    <w:rsid w:val="00577F6C"/>
    <w:rsid w:val="00577F8A"/>
    <w:rsid w:val="00580042"/>
    <w:rsid w:val="005806C5"/>
    <w:rsid w:val="00580720"/>
    <w:rsid w:val="0058074F"/>
    <w:rsid w:val="00580812"/>
    <w:rsid w:val="00580820"/>
    <w:rsid w:val="005808B0"/>
    <w:rsid w:val="005808F9"/>
    <w:rsid w:val="00580980"/>
    <w:rsid w:val="00580A50"/>
    <w:rsid w:val="00580AC4"/>
    <w:rsid w:val="00580CFE"/>
    <w:rsid w:val="00580DF5"/>
    <w:rsid w:val="00580E41"/>
    <w:rsid w:val="00580F26"/>
    <w:rsid w:val="00580F72"/>
    <w:rsid w:val="005811BF"/>
    <w:rsid w:val="00581288"/>
    <w:rsid w:val="0058132D"/>
    <w:rsid w:val="0058142E"/>
    <w:rsid w:val="00581760"/>
    <w:rsid w:val="00581D11"/>
    <w:rsid w:val="00581D4D"/>
    <w:rsid w:val="00581D81"/>
    <w:rsid w:val="00582534"/>
    <w:rsid w:val="00582565"/>
    <w:rsid w:val="00582637"/>
    <w:rsid w:val="00582697"/>
    <w:rsid w:val="00582701"/>
    <w:rsid w:val="005828B1"/>
    <w:rsid w:val="00582915"/>
    <w:rsid w:val="005829CA"/>
    <w:rsid w:val="005829D7"/>
    <w:rsid w:val="00582AA4"/>
    <w:rsid w:val="00582C8D"/>
    <w:rsid w:val="00582DA6"/>
    <w:rsid w:val="00582E55"/>
    <w:rsid w:val="00582EED"/>
    <w:rsid w:val="00582FA6"/>
    <w:rsid w:val="00582FE8"/>
    <w:rsid w:val="005830EB"/>
    <w:rsid w:val="0058342F"/>
    <w:rsid w:val="005834CD"/>
    <w:rsid w:val="005838B9"/>
    <w:rsid w:val="00583A70"/>
    <w:rsid w:val="00583A82"/>
    <w:rsid w:val="00583D85"/>
    <w:rsid w:val="00583E26"/>
    <w:rsid w:val="00583F35"/>
    <w:rsid w:val="0058401F"/>
    <w:rsid w:val="005841A3"/>
    <w:rsid w:val="0058428E"/>
    <w:rsid w:val="00584309"/>
    <w:rsid w:val="0058466B"/>
    <w:rsid w:val="00584710"/>
    <w:rsid w:val="0058484A"/>
    <w:rsid w:val="005848FC"/>
    <w:rsid w:val="0058494D"/>
    <w:rsid w:val="00584B5A"/>
    <w:rsid w:val="00584B9B"/>
    <w:rsid w:val="00584C2B"/>
    <w:rsid w:val="00584D4B"/>
    <w:rsid w:val="00585079"/>
    <w:rsid w:val="00585194"/>
    <w:rsid w:val="00585318"/>
    <w:rsid w:val="0058536A"/>
    <w:rsid w:val="005854DF"/>
    <w:rsid w:val="0058557F"/>
    <w:rsid w:val="005855CD"/>
    <w:rsid w:val="005855E5"/>
    <w:rsid w:val="00585607"/>
    <w:rsid w:val="0058567D"/>
    <w:rsid w:val="0058574F"/>
    <w:rsid w:val="00585774"/>
    <w:rsid w:val="005859DD"/>
    <w:rsid w:val="00585A22"/>
    <w:rsid w:val="00585AF3"/>
    <w:rsid w:val="00585B38"/>
    <w:rsid w:val="00585B3D"/>
    <w:rsid w:val="00585BC1"/>
    <w:rsid w:val="00585BD6"/>
    <w:rsid w:val="00585C3D"/>
    <w:rsid w:val="00585C4E"/>
    <w:rsid w:val="00585C92"/>
    <w:rsid w:val="00585CD1"/>
    <w:rsid w:val="00585DFC"/>
    <w:rsid w:val="00585E24"/>
    <w:rsid w:val="00585FD6"/>
    <w:rsid w:val="00586006"/>
    <w:rsid w:val="00586048"/>
    <w:rsid w:val="005862DE"/>
    <w:rsid w:val="00586670"/>
    <w:rsid w:val="005866D7"/>
    <w:rsid w:val="00586770"/>
    <w:rsid w:val="00586796"/>
    <w:rsid w:val="00586899"/>
    <w:rsid w:val="005868A9"/>
    <w:rsid w:val="005868C7"/>
    <w:rsid w:val="005869D9"/>
    <w:rsid w:val="00586B76"/>
    <w:rsid w:val="00586D62"/>
    <w:rsid w:val="00587039"/>
    <w:rsid w:val="005870C4"/>
    <w:rsid w:val="0058710A"/>
    <w:rsid w:val="00587197"/>
    <w:rsid w:val="005871C8"/>
    <w:rsid w:val="00587390"/>
    <w:rsid w:val="00587457"/>
    <w:rsid w:val="005875E3"/>
    <w:rsid w:val="00587646"/>
    <w:rsid w:val="005878D3"/>
    <w:rsid w:val="00587AF8"/>
    <w:rsid w:val="00587C83"/>
    <w:rsid w:val="00587D2D"/>
    <w:rsid w:val="00587D8D"/>
    <w:rsid w:val="00587F5D"/>
    <w:rsid w:val="00587FEE"/>
    <w:rsid w:val="0059000D"/>
    <w:rsid w:val="0059010B"/>
    <w:rsid w:val="00590139"/>
    <w:rsid w:val="005901CF"/>
    <w:rsid w:val="00590592"/>
    <w:rsid w:val="00590686"/>
    <w:rsid w:val="005906AB"/>
    <w:rsid w:val="005907B2"/>
    <w:rsid w:val="005907E1"/>
    <w:rsid w:val="005907FE"/>
    <w:rsid w:val="0059082B"/>
    <w:rsid w:val="00590904"/>
    <w:rsid w:val="00590989"/>
    <w:rsid w:val="0059099E"/>
    <w:rsid w:val="00590A2B"/>
    <w:rsid w:val="00590AF0"/>
    <w:rsid w:val="00590D15"/>
    <w:rsid w:val="00590D7E"/>
    <w:rsid w:val="00590E2A"/>
    <w:rsid w:val="00590E5F"/>
    <w:rsid w:val="00590F72"/>
    <w:rsid w:val="005910D7"/>
    <w:rsid w:val="005910E2"/>
    <w:rsid w:val="005911F9"/>
    <w:rsid w:val="00591234"/>
    <w:rsid w:val="00591367"/>
    <w:rsid w:val="005913D6"/>
    <w:rsid w:val="005914E0"/>
    <w:rsid w:val="005916CC"/>
    <w:rsid w:val="005916E0"/>
    <w:rsid w:val="00591782"/>
    <w:rsid w:val="00591817"/>
    <w:rsid w:val="00591932"/>
    <w:rsid w:val="00591BA0"/>
    <w:rsid w:val="00591CEA"/>
    <w:rsid w:val="00591EA2"/>
    <w:rsid w:val="00591FDF"/>
    <w:rsid w:val="005920C1"/>
    <w:rsid w:val="0059223F"/>
    <w:rsid w:val="005922F2"/>
    <w:rsid w:val="00592323"/>
    <w:rsid w:val="00592736"/>
    <w:rsid w:val="00592737"/>
    <w:rsid w:val="00592A76"/>
    <w:rsid w:val="00592B1A"/>
    <w:rsid w:val="00592BC9"/>
    <w:rsid w:val="00592BF5"/>
    <w:rsid w:val="00592D25"/>
    <w:rsid w:val="005930DA"/>
    <w:rsid w:val="005932DB"/>
    <w:rsid w:val="00593675"/>
    <w:rsid w:val="00593808"/>
    <w:rsid w:val="00593C10"/>
    <w:rsid w:val="00593DC4"/>
    <w:rsid w:val="00594243"/>
    <w:rsid w:val="0059434B"/>
    <w:rsid w:val="005943FF"/>
    <w:rsid w:val="00594499"/>
    <w:rsid w:val="0059453F"/>
    <w:rsid w:val="00594808"/>
    <w:rsid w:val="005948B2"/>
    <w:rsid w:val="00594904"/>
    <w:rsid w:val="00594C88"/>
    <w:rsid w:val="00594D32"/>
    <w:rsid w:val="00594D62"/>
    <w:rsid w:val="00594E51"/>
    <w:rsid w:val="00595009"/>
    <w:rsid w:val="0059502E"/>
    <w:rsid w:val="00595142"/>
    <w:rsid w:val="005951FD"/>
    <w:rsid w:val="0059531E"/>
    <w:rsid w:val="0059542A"/>
    <w:rsid w:val="0059551B"/>
    <w:rsid w:val="0059562E"/>
    <w:rsid w:val="00595AE5"/>
    <w:rsid w:val="00595BC8"/>
    <w:rsid w:val="00595D36"/>
    <w:rsid w:val="00595D62"/>
    <w:rsid w:val="00595D73"/>
    <w:rsid w:val="0059626F"/>
    <w:rsid w:val="0059643B"/>
    <w:rsid w:val="00596461"/>
    <w:rsid w:val="0059646F"/>
    <w:rsid w:val="005964BB"/>
    <w:rsid w:val="00596600"/>
    <w:rsid w:val="00596616"/>
    <w:rsid w:val="005966FB"/>
    <w:rsid w:val="0059676F"/>
    <w:rsid w:val="005969DB"/>
    <w:rsid w:val="00596BA7"/>
    <w:rsid w:val="00596BB4"/>
    <w:rsid w:val="00596C4A"/>
    <w:rsid w:val="00596F0B"/>
    <w:rsid w:val="0059714B"/>
    <w:rsid w:val="00597243"/>
    <w:rsid w:val="0059732F"/>
    <w:rsid w:val="005974F4"/>
    <w:rsid w:val="0059752D"/>
    <w:rsid w:val="0059752E"/>
    <w:rsid w:val="00597570"/>
    <w:rsid w:val="00597668"/>
    <w:rsid w:val="00597696"/>
    <w:rsid w:val="00597730"/>
    <w:rsid w:val="00597785"/>
    <w:rsid w:val="00597BE4"/>
    <w:rsid w:val="00597D47"/>
    <w:rsid w:val="00597EE0"/>
    <w:rsid w:val="00597FE0"/>
    <w:rsid w:val="005A0080"/>
    <w:rsid w:val="005A00D4"/>
    <w:rsid w:val="005A013A"/>
    <w:rsid w:val="005A014E"/>
    <w:rsid w:val="005A027C"/>
    <w:rsid w:val="005A047C"/>
    <w:rsid w:val="005A047D"/>
    <w:rsid w:val="005A04C1"/>
    <w:rsid w:val="005A0748"/>
    <w:rsid w:val="005A08C4"/>
    <w:rsid w:val="005A0BEB"/>
    <w:rsid w:val="005A0CD9"/>
    <w:rsid w:val="005A0D97"/>
    <w:rsid w:val="005A0D99"/>
    <w:rsid w:val="005A0E8C"/>
    <w:rsid w:val="005A1007"/>
    <w:rsid w:val="005A10CE"/>
    <w:rsid w:val="005A112C"/>
    <w:rsid w:val="005A112F"/>
    <w:rsid w:val="005A11E6"/>
    <w:rsid w:val="005A12AD"/>
    <w:rsid w:val="005A1325"/>
    <w:rsid w:val="005A1501"/>
    <w:rsid w:val="005A15B0"/>
    <w:rsid w:val="005A16C8"/>
    <w:rsid w:val="005A1824"/>
    <w:rsid w:val="005A1A10"/>
    <w:rsid w:val="005A1A55"/>
    <w:rsid w:val="005A1B46"/>
    <w:rsid w:val="005A1C16"/>
    <w:rsid w:val="005A1C5F"/>
    <w:rsid w:val="005A1E62"/>
    <w:rsid w:val="005A2005"/>
    <w:rsid w:val="005A2160"/>
    <w:rsid w:val="005A216F"/>
    <w:rsid w:val="005A2398"/>
    <w:rsid w:val="005A2462"/>
    <w:rsid w:val="005A2491"/>
    <w:rsid w:val="005A2712"/>
    <w:rsid w:val="005A27F2"/>
    <w:rsid w:val="005A28C9"/>
    <w:rsid w:val="005A2972"/>
    <w:rsid w:val="005A2B0F"/>
    <w:rsid w:val="005A2D59"/>
    <w:rsid w:val="005A3064"/>
    <w:rsid w:val="005A30B8"/>
    <w:rsid w:val="005A3190"/>
    <w:rsid w:val="005A31C1"/>
    <w:rsid w:val="005A3403"/>
    <w:rsid w:val="005A3464"/>
    <w:rsid w:val="005A3509"/>
    <w:rsid w:val="005A3553"/>
    <w:rsid w:val="005A35F3"/>
    <w:rsid w:val="005A37C3"/>
    <w:rsid w:val="005A3836"/>
    <w:rsid w:val="005A38A2"/>
    <w:rsid w:val="005A3D2F"/>
    <w:rsid w:val="005A3D4D"/>
    <w:rsid w:val="005A3DB0"/>
    <w:rsid w:val="005A3E45"/>
    <w:rsid w:val="005A3F43"/>
    <w:rsid w:val="005A40E3"/>
    <w:rsid w:val="005A416A"/>
    <w:rsid w:val="005A417F"/>
    <w:rsid w:val="005A41FC"/>
    <w:rsid w:val="005A4239"/>
    <w:rsid w:val="005A428D"/>
    <w:rsid w:val="005A4319"/>
    <w:rsid w:val="005A43CA"/>
    <w:rsid w:val="005A4497"/>
    <w:rsid w:val="005A454A"/>
    <w:rsid w:val="005A45FD"/>
    <w:rsid w:val="005A46CB"/>
    <w:rsid w:val="005A49AC"/>
    <w:rsid w:val="005A4AC8"/>
    <w:rsid w:val="005A4F34"/>
    <w:rsid w:val="005A5182"/>
    <w:rsid w:val="005A5277"/>
    <w:rsid w:val="005A5377"/>
    <w:rsid w:val="005A53AA"/>
    <w:rsid w:val="005A54FB"/>
    <w:rsid w:val="005A5559"/>
    <w:rsid w:val="005A5570"/>
    <w:rsid w:val="005A558E"/>
    <w:rsid w:val="005A5686"/>
    <w:rsid w:val="005A5720"/>
    <w:rsid w:val="005A5776"/>
    <w:rsid w:val="005A57FA"/>
    <w:rsid w:val="005A583A"/>
    <w:rsid w:val="005A58F5"/>
    <w:rsid w:val="005A591B"/>
    <w:rsid w:val="005A5A2D"/>
    <w:rsid w:val="005A5AC2"/>
    <w:rsid w:val="005A5E44"/>
    <w:rsid w:val="005A5F2E"/>
    <w:rsid w:val="005A5FD8"/>
    <w:rsid w:val="005A6290"/>
    <w:rsid w:val="005A62B5"/>
    <w:rsid w:val="005A6384"/>
    <w:rsid w:val="005A6431"/>
    <w:rsid w:val="005A65F2"/>
    <w:rsid w:val="005A6857"/>
    <w:rsid w:val="005A6BE3"/>
    <w:rsid w:val="005A6C37"/>
    <w:rsid w:val="005A6CE3"/>
    <w:rsid w:val="005A6D1C"/>
    <w:rsid w:val="005A6D57"/>
    <w:rsid w:val="005A6E6C"/>
    <w:rsid w:val="005A6EB3"/>
    <w:rsid w:val="005A6F71"/>
    <w:rsid w:val="005A6F82"/>
    <w:rsid w:val="005A7069"/>
    <w:rsid w:val="005A71CF"/>
    <w:rsid w:val="005A727C"/>
    <w:rsid w:val="005A771B"/>
    <w:rsid w:val="005A775F"/>
    <w:rsid w:val="005A78F8"/>
    <w:rsid w:val="005A7A44"/>
    <w:rsid w:val="005A7A89"/>
    <w:rsid w:val="005A7BB7"/>
    <w:rsid w:val="005A7F30"/>
    <w:rsid w:val="005A7F4B"/>
    <w:rsid w:val="005A7FB7"/>
    <w:rsid w:val="005B0124"/>
    <w:rsid w:val="005B02ED"/>
    <w:rsid w:val="005B03E3"/>
    <w:rsid w:val="005B05D9"/>
    <w:rsid w:val="005B063B"/>
    <w:rsid w:val="005B0736"/>
    <w:rsid w:val="005B08B1"/>
    <w:rsid w:val="005B099A"/>
    <w:rsid w:val="005B0A14"/>
    <w:rsid w:val="005B0DC8"/>
    <w:rsid w:val="005B0DE5"/>
    <w:rsid w:val="005B0FC0"/>
    <w:rsid w:val="005B1037"/>
    <w:rsid w:val="005B1074"/>
    <w:rsid w:val="005B1127"/>
    <w:rsid w:val="005B1259"/>
    <w:rsid w:val="005B1265"/>
    <w:rsid w:val="005B13D4"/>
    <w:rsid w:val="005B1457"/>
    <w:rsid w:val="005B156E"/>
    <w:rsid w:val="005B160F"/>
    <w:rsid w:val="005B164C"/>
    <w:rsid w:val="005B16EE"/>
    <w:rsid w:val="005B17C3"/>
    <w:rsid w:val="005B1862"/>
    <w:rsid w:val="005B18AC"/>
    <w:rsid w:val="005B1A0D"/>
    <w:rsid w:val="005B1ABB"/>
    <w:rsid w:val="005B1C28"/>
    <w:rsid w:val="005B1C9F"/>
    <w:rsid w:val="005B1CEC"/>
    <w:rsid w:val="005B1E49"/>
    <w:rsid w:val="005B1F78"/>
    <w:rsid w:val="005B1FD8"/>
    <w:rsid w:val="005B20F6"/>
    <w:rsid w:val="005B2120"/>
    <w:rsid w:val="005B22AC"/>
    <w:rsid w:val="005B240D"/>
    <w:rsid w:val="005B2421"/>
    <w:rsid w:val="005B24C1"/>
    <w:rsid w:val="005B24D6"/>
    <w:rsid w:val="005B25F8"/>
    <w:rsid w:val="005B296A"/>
    <w:rsid w:val="005B2974"/>
    <w:rsid w:val="005B29C3"/>
    <w:rsid w:val="005B2C3A"/>
    <w:rsid w:val="005B2C3B"/>
    <w:rsid w:val="005B2CBD"/>
    <w:rsid w:val="005B2CE7"/>
    <w:rsid w:val="005B2DE2"/>
    <w:rsid w:val="005B2EB5"/>
    <w:rsid w:val="005B3010"/>
    <w:rsid w:val="005B3012"/>
    <w:rsid w:val="005B3103"/>
    <w:rsid w:val="005B3113"/>
    <w:rsid w:val="005B319D"/>
    <w:rsid w:val="005B356D"/>
    <w:rsid w:val="005B35AE"/>
    <w:rsid w:val="005B3792"/>
    <w:rsid w:val="005B37B3"/>
    <w:rsid w:val="005B37F4"/>
    <w:rsid w:val="005B38A0"/>
    <w:rsid w:val="005B38B6"/>
    <w:rsid w:val="005B394B"/>
    <w:rsid w:val="005B396D"/>
    <w:rsid w:val="005B39A1"/>
    <w:rsid w:val="005B3A0C"/>
    <w:rsid w:val="005B3B1D"/>
    <w:rsid w:val="005B3FCA"/>
    <w:rsid w:val="005B4344"/>
    <w:rsid w:val="005B4688"/>
    <w:rsid w:val="005B4751"/>
    <w:rsid w:val="005B4790"/>
    <w:rsid w:val="005B4806"/>
    <w:rsid w:val="005B484A"/>
    <w:rsid w:val="005B48AC"/>
    <w:rsid w:val="005B48CC"/>
    <w:rsid w:val="005B4974"/>
    <w:rsid w:val="005B4AB0"/>
    <w:rsid w:val="005B4AF5"/>
    <w:rsid w:val="005B4B3C"/>
    <w:rsid w:val="005B4BBE"/>
    <w:rsid w:val="005B4E7D"/>
    <w:rsid w:val="005B4F15"/>
    <w:rsid w:val="005B50C6"/>
    <w:rsid w:val="005B50C9"/>
    <w:rsid w:val="005B53D1"/>
    <w:rsid w:val="005B543F"/>
    <w:rsid w:val="005B5576"/>
    <w:rsid w:val="005B559E"/>
    <w:rsid w:val="005B574A"/>
    <w:rsid w:val="005B57A3"/>
    <w:rsid w:val="005B591C"/>
    <w:rsid w:val="005B59C0"/>
    <w:rsid w:val="005B5B51"/>
    <w:rsid w:val="005B5C5B"/>
    <w:rsid w:val="005B5D23"/>
    <w:rsid w:val="005B5D51"/>
    <w:rsid w:val="005B5D92"/>
    <w:rsid w:val="005B622C"/>
    <w:rsid w:val="005B6246"/>
    <w:rsid w:val="005B63F0"/>
    <w:rsid w:val="005B63F6"/>
    <w:rsid w:val="005B643F"/>
    <w:rsid w:val="005B675A"/>
    <w:rsid w:val="005B676A"/>
    <w:rsid w:val="005B678C"/>
    <w:rsid w:val="005B6876"/>
    <w:rsid w:val="005B68FA"/>
    <w:rsid w:val="005B6910"/>
    <w:rsid w:val="005B6D13"/>
    <w:rsid w:val="005B6DE4"/>
    <w:rsid w:val="005B6E41"/>
    <w:rsid w:val="005B6ED1"/>
    <w:rsid w:val="005B71A2"/>
    <w:rsid w:val="005B733F"/>
    <w:rsid w:val="005B73A3"/>
    <w:rsid w:val="005B74F0"/>
    <w:rsid w:val="005B7655"/>
    <w:rsid w:val="005B77DD"/>
    <w:rsid w:val="005B77F7"/>
    <w:rsid w:val="005B794A"/>
    <w:rsid w:val="005B79F1"/>
    <w:rsid w:val="005B7A97"/>
    <w:rsid w:val="005B7BAC"/>
    <w:rsid w:val="005B7DF9"/>
    <w:rsid w:val="005B7F52"/>
    <w:rsid w:val="005B7F53"/>
    <w:rsid w:val="005C0436"/>
    <w:rsid w:val="005C0658"/>
    <w:rsid w:val="005C08DD"/>
    <w:rsid w:val="005C094B"/>
    <w:rsid w:val="005C0A9D"/>
    <w:rsid w:val="005C0B93"/>
    <w:rsid w:val="005C0B9E"/>
    <w:rsid w:val="005C0BA7"/>
    <w:rsid w:val="005C0E17"/>
    <w:rsid w:val="005C0E43"/>
    <w:rsid w:val="005C0F7B"/>
    <w:rsid w:val="005C10BC"/>
    <w:rsid w:val="005C1377"/>
    <w:rsid w:val="005C1877"/>
    <w:rsid w:val="005C1B11"/>
    <w:rsid w:val="005C1ED6"/>
    <w:rsid w:val="005C1EF2"/>
    <w:rsid w:val="005C202D"/>
    <w:rsid w:val="005C24ED"/>
    <w:rsid w:val="005C25A4"/>
    <w:rsid w:val="005C25C2"/>
    <w:rsid w:val="005C26E4"/>
    <w:rsid w:val="005C26FA"/>
    <w:rsid w:val="005C2843"/>
    <w:rsid w:val="005C29C2"/>
    <w:rsid w:val="005C2A8A"/>
    <w:rsid w:val="005C2AF6"/>
    <w:rsid w:val="005C2B1B"/>
    <w:rsid w:val="005C2BF0"/>
    <w:rsid w:val="005C2C68"/>
    <w:rsid w:val="005C2C94"/>
    <w:rsid w:val="005C2D81"/>
    <w:rsid w:val="005C2E2D"/>
    <w:rsid w:val="005C2F34"/>
    <w:rsid w:val="005C3447"/>
    <w:rsid w:val="005C3557"/>
    <w:rsid w:val="005C36A2"/>
    <w:rsid w:val="005C379D"/>
    <w:rsid w:val="005C379F"/>
    <w:rsid w:val="005C3A0A"/>
    <w:rsid w:val="005C3B46"/>
    <w:rsid w:val="005C3D71"/>
    <w:rsid w:val="005C3E38"/>
    <w:rsid w:val="005C3F2B"/>
    <w:rsid w:val="005C4087"/>
    <w:rsid w:val="005C4372"/>
    <w:rsid w:val="005C4637"/>
    <w:rsid w:val="005C4675"/>
    <w:rsid w:val="005C4783"/>
    <w:rsid w:val="005C480A"/>
    <w:rsid w:val="005C49B4"/>
    <w:rsid w:val="005C49BB"/>
    <w:rsid w:val="005C4BA9"/>
    <w:rsid w:val="005C4E2C"/>
    <w:rsid w:val="005C4EAF"/>
    <w:rsid w:val="005C513E"/>
    <w:rsid w:val="005C51D8"/>
    <w:rsid w:val="005C51E4"/>
    <w:rsid w:val="005C51FF"/>
    <w:rsid w:val="005C533A"/>
    <w:rsid w:val="005C53E2"/>
    <w:rsid w:val="005C574F"/>
    <w:rsid w:val="005C57C3"/>
    <w:rsid w:val="005C5877"/>
    <w:rsid w:val="005C5911"/>
    <w:rsid w:val="005C5925"/>
    <w:rsid w:val="005C5ADB"/>
    <w:rsid w:val="005C5AEB"/>
    <w:rsid w:val="005C5B1E"/>
    <w:rsid w:val="005C5BB6"/>
    <w:rsid w:val="005C5BD3"/>
    <w:rsid w:val="005C5BF1"/>
    <w:rsid w:val="005C5E78"/>
    <w:rsid w:val="005C5EED"/>
    <w:rsid w:val="005C6004"/>
    <w:rsid w:val="005C6064"/>
    <w:rsid w:val="005C60A6"/>
    <w:rsid w:val="005C6217"/>
    <w:rsid w:val="005C63AE"/>
    <w:rsid w:val="005C6472"/>
    <w:rsid w:val="005C64CD"/>
    <w:rsid w:val="005C668B"/>
    <w:rsid w:val="005C66F2"/>
    <w:rsid w:val="005C69D1"/>
    <w:rsid w:val="005C6A10"/>
    <w:rsid w:val="005C6B1D"/>
    <w:rsid w:val="005C6B23"/>
    <w:rsid w:val="005C6DA3"/>
    <w:rsid w:val="005C6FF3"/>
    <w:rsid w:val="005C7016"/>
    <w:rsid w:val="005C70AA"/>
    <w:rsid w:val="005C7115"/>
    <w:rsid w:val="005C7190"/>
    <w:rsid w:val="005C720B"/>
    <w:rsid w:val="005C7278"/>
    <w:rsid w:val="005C72DA"/>
    <w:rsid w:val="005C7459"/>
    <w:rsid w:val="005C7525"/>
    <w:rsid w:val="005C75D4"/>
    <w:rsid w:val="005C75F3"/>
    <w:rsid w:val="005C778F"/>
    <w:rsid w:val="005C78F6"/>
    <w:rsid w:val="005C799D"/>
    <w:rsid w:val="005C7A30"/>
    <w:rsid w:val="005C7AFF"/>
    <w:rsid w:val="005C7C66"/>
    <w:rsid w:val="005C7C6D"/>
    <w:rsid w:val="005C7C81"/>
    <w:rsid w:val="005D002A"/>
    <w:rsid w:val="005D020B"/>
    <w:rsid w:val="005D030C"/>
    <w:rsid w:val="005D0329"/>
    <w:rsid w:val="005D0403"/>
    <w:rsid w:val="005D0410"/>
    <w:rsid w:val="005D0421"/>
    <w:rsid w:val="005D043C"/>
    <w:rsid w:val="005D05B3"/>
    <w:rsid w:val="005D06A0"/>
    <w:rsid w:val="005D06BA"/>
    <w:rsid w:val="005D0811"/>
    <w:rsid w:val="005D08C8"/>
    <w:rsid w:val="005D0A27"/>
    <w:rsid w:val="005D0A98"/>
    <w:rsid w:val="005D0B02"/>
    <w:rsid w:val="005D0B48"/>
    <w:rsid w:val="005D0C50"/>
    <w:rsid w:val="005D1569"/>
    <w:rsid w:val="005D1660"/>
    <w:rsid w:val="005D1663"/>
    <w:rsid w:val="005D175E"/>
    <w:rsid w:val="005D1822"/>
    <w:rsid w:val="005D1A2D"/>
    <w:rsid w:val="005D1B42"/>
    <w:rsid w:val="005D1BB5"/>
    <w:rsid w:val="005D1BF3"/>
    <w:rsid w:val="005D1C12"/>
    <w:rsid w:val="005D1D03"/>
    <w:rsid w:val="005D1D62"/>
    <w:rsid w:val="005D2059"/>
    <w:rsid w:val="005D2151"/>
    <w:rsid w:val="005D21F9"/>
    <w:rsid w:val="005D224A"/>
    <w:rsid w:val="005D2283"/>
    <w:rsid w:val="005D2307"/>
    <w:rsid w:val="005D2431"/>
    <w:rsid w:val="005D2439"/>
    <w:rsid w:val="005D2524"/>
    <w:rsid w:val="005D2666"/>
    <w:rsid w:val="005D27DB"/>
    <w:rsid w:val="005D281F"/>
    <w:rsid w:val="005D2A5D"/>
    <w:rsid w:val="005D2A96"/>
    <w:rsid w:val="005D2ACD"/>
    <w:rsid w:val="005D2D84"/>
    <w:rsid w:val="005D2D8A"/>
    <w:rsid w:val="005D2E39"/>
    <w:rsid w:val="005D2EA1"/>
    <w:rsid w:val="005D2F65"/>
    <w:rsid w:val="005D30B2"/>
    <w:rsid w:val="005D30E6"/>
    <w:rsid w:val="005D32CC"/>
    <w:rsid w:val="005D336A"/>
    <w:rsid w:val="005D34EF"/>
    <w:rsid w:val="005D34FE"/>
    <w:rsid w:val="005D3751"/>
    <w:rsid w:val="005D37A8"/>
    <w:rsid w:val="005D383F"/>
    <w:rsid w:val="005D3852"/>
    <w:rsid w:val="005D3922"/>
    <w:rsid w:val="005D396C"/>
    <w:rsid w:val="005D398A"/>
    <w:rsid w:val="005D399D"/>
    <w:rsid w:val="005D39EF"/>
    <w:rsid w:val="005D3AA3"/>
    <w:rsid w:val="005D3C11"/>
    <w:rsid w:val="005D3E54"/>
    <w:rsid w:val="005D4099"/>
    <w:rsid w:val="005D4117"/>
    <w:rsid w:val="005D41AA"/>
    <w:rsid w:val="005D420E"/>
    <w:rsid w:val="005D4373"/>
    <w:rsid w:val="005D4387"/>
    <w:rsid w:val="005D45E5"/>
    <w:rsid w:val="005D46BC"/>
    <w:rsid w:val="005D4818"/>
    <w:rsid w:val="005D4CB5"/>
    <w:rsid w:val="005D4D1F"/>
    <w:rsid w:val="005D4D8E"/>
    <w:rsid w:val="005D4FC9"/>
    <w:rsid w:val="005D4FF8"/>
    <w:rsid w:val="005D5111"/>
    <w:rsid w:val="005D53A0"/>
    <w:rsid w:val="005D5457"/>
    <w:rsid w:val="005D54DD"/>
    <w:rsid w:val="005D5508"/>
    <w:rsid w:val="005D577C"/>
    <w:rsid w:val="005D5859"/>
    <w:rsid w:val="005D5BAE"/>
    <w:rsid w:val="005D5CA2"/>
    <w:rsid w:val="005D5CF3"/>
    <w:rsid w:val="005D5DD8"/>
    <w:rsid w:val="005D5E0D"/>
    <w:rsid w:val="005D5E45"/>
    <w:rsid w:val="005D5EDE"/>
    <w:rsid w:val="005D5F12"/>
    <w:rsid w:val="005D5F82"/>
    <w:rsid w:val="005D6049"/>
    <w:rsid w:val="005D6076"/>
    <w:rsid w:val="005D61B4"/>
    <w:rsid w:val="005D62E5"/>
    <w:rsid w:val="005D6355"/>
    <w:rsid w:val="005D644B"/>
    <w:rsid w:val="005D649B"/>
    <w:rsid w:val="005D690F"/>
    <w:rsid w:val="005D6B19"/>
    <w:rsid w:val="005D6C1C"/>
    <w:rsid w:val="005D6C70"/>
    <w:rsid w:val="005D6CDE"/>
    <w:rsid w:val="005D6DE8"/>
    <w:rsid w:val="005D7035"/>
    <w:rsid w:val="005D7092"/>
    <w:rsid w:val="005D7271"/>
    <w:rsid w:val="005D7347"/>
    <w:rsid w:val="005D74D4"/>
    <w:rsid w:val="005D756F"/>
    <w:rsid w:val="005D76A8"/>
    <w:rsid w:val="005D7713"/>
    <w:rsid w:val="005D77FA"/>
    <w:rsid w:val="005D7805"/>
    <w:rsid w:val="005D78BC"/>
    <w:rsid w:val="005D78DF"/>
    <w:rsid w:val="005D79CE"/>
    <w:rsid w:val="005D7B07"/>
    <w:rsid w:val="005D7BB3"/>
    <w:rsid w:val="005D7D8B"/>
    <w:rsid w:val="005D7E98"/>
    <w:rsid w:val="005D7EC4"/>
    <w:rsid w:val="005E0007"/>
    <w:rsid w:val="005E0242"/>
    <w:rsid w:val="005E02C4"/>
    <w:rsid w:val="005E0313"/>
    <w:rsid w:val="005E0347"/>
    <w:rsid w:val="005E0415"/>
    <w:rsid w:val="005E0446"/>
    <w:rsid w:val="005E04E7"/>
    <w:rsid w:val="005E05DD"/>
    <w:rsid w:val="005E072D"/>
    <w:rsid w:val="005E0914"/>
    <w:rsid w:val="005E09A6"/>
    <w:rsid w:val="005E0A3F"/>
    <w:rsid w:val="005E0A8F"/>
    <w:rsid w:val="005E0BC3"/>
    <w:rsid w:val="005E0BD5"/>
    <w:rsid w:val="005E0D39"/>
    <w:rsid w:val="005E13F0"/>
    <w:rsid w:val="005E13F3"/>
    <w:rsid w:val="005E16E0"/>
    <w:rsid w:val="005E174A"/>
    <w:rsid w:val="005E1874"/>
    <w:rsid w:val="005E1A09"/>
    <w:rsid w:val="005E1A6C"/>
    <w:rsid w:val="005E1A73"/>
    <w:rsid w:val="005E1CAB"/>
    <w:rsid w:val="005E1D93"/>
    <w:rsid w:val="005E1E6D"/>
    <w:rsid w:val="005E1ED5"/>
    <w:rsid w:val="005E2365"/>
    <w:rsid w:val="005E2425"/>
    <w:rsid w:val="005E2588"/>
    <w:rsid w:val="005E2703"/>
    <w:rsid w:val="005E2B6F"/>
    <w:rsid w:val="005E2C12"/>
    <w:rsid w:val="005E2C1E"/>
    <w:rsid w:val="005E2C31"/>
    <w:rsid w:val="005E2F14"/>
    <w:rsid w:val="005E2F5C"/>
    <w:rsid w:val="005E31A3"/>
    <w:rsid w:val="005E31A7"/>
    <w:rsid w:val="005E354D"/>
    <w:rsid w:val="005E3599"/>
    <w:rsid w:val="005E3635"/>
    <w:rsid w:val="005E3685"/>
    <w:rsid w:val="005E375C"/>
    <w:rsid w:val="005E37FB"/>
    <w:rsid w:val="005E3A10"/>
    <w:rsid w:val="005E3B49"/>
    <w:rsid w:val="005E3C8B"/>
    <w:rsid w:val="005E3D16"/>
    <w:rsid w:val="005E3F44"/>
    <w:rsid w:val="005E3F99"/>
    <w:rsid w:val="005E405E"/>
    <w:rsid w:val="005E425D"/>
    <w:rsid w:val="005E427C"/>
    <w:rsid w:val="005E432C"/>
    <w:rsid w:val="005E470F"/>
    <w:rsid w:val="005E47DA"/>
    <w:rsid w:val="005E487C"/>
    <w:rsid w:val="005E4941"/>
    <w:rsid w:val="005E4C40"/>
    <w:rsid w:val="005E4C46"/>
    <w:rsid w:val="005E4D06"/>
    <w:rsid w:val="005E4E71"/>
    <w:rsid w:val="005E5017"/>
    <w:rsid w:val="005E5066"/>
    <w:rsid w:val="005E50EB"/>
    <w:rsid w:val="005E5608"/>
    <w:rsid w:val="005E57AF"/>
    <w:rsid w:val="005E5843"/>
    <w:rsid w:val="005E59E0"/>
    <w:rsid w:val="005E59F4"/>
    <w:rsid w:val="005E5BF2"/>
    <w:rsid w:val="005E5C71"/>
    <w:rsid w:val="005E5CE7"/>
    <w:rsid w:val="005E5CFD"/>
    <w:rsid w:val="005E5DAB"/>
    <w:rsid w:val="005E5E9F"/>
    <w:rsid w:val="005E6084"/>
    <w:rsid w:val="005E6305"/>
    <w:rsid w:val="005E6345"/>
    <w:rsid w:val="005E634E"/>
    <w:rsid w:val="005E6481"/>
    <w:rsid w:val="005E658A"/>
    <w:rsid w:val="005E67AA"/>
    <w:rsid w:val="005E67FC"/>
    <w:rsid w:val="005E68EF"/>
    <w:rsid w:val="005E6BBA"/>
    <w:rsid w:val="005E6F11"/>
    <w:rsid w:val="005E6F37"/>
    <w:rsid w:val="005E70FC"/>
    <w:rsid w:val="005E7184"/>
    <w:rsid w:val="005E71EC"/>
    <w:rsid w:val="005E73D7"/>
    <w:rsid w:val="005E7449"/>
    <w:rsid w:val="005E7AC8"/>
    <w:rsid w:val="005E7C93"/>
    <w:rsid w:val="005E7D3C"/>
    <w:rsid w:val="005E7F0A"/>
    <w:rsid w:val="005E7F22"/>
    <w:rsid w:val="005E7FCC"/>
    <w:rsid w:val="005F0000"/>
    <w:rsid w:val="005F02FF"/>
    <w:rsid w:val="005F0355"/>
    <w:rsid w:val="005F0439"/>
    <w:rsid w:val="005F043F"/>
    <w:rsid w:val="005F0528"/>
    <w:rsid w:val="005F055F"/>
    <w:rsid w:val="005F0581"/>
    <w:rsid w:val="005F06D2"/>
    <w:rsid w:val="005F072C"/>
    <w:rsid w:val="005F0813"/>
    <w:rsid w:val="005F093A"/>
    <w:rsid w:val="005F0A1D"/>
    <w:rsid w:val="005F0AB3"/>
    <w:rsid w:val="005F0B37"/>
    <w:rsid w:val="005F0CAA"/>
    <w:rsid w:val="005F0D5D"/>
    <w:rsid w:val="005F0F71"/>
    <w:rsid w:val="005F0FBF"/>
    <w:rsid w:val="005F113F"/>
    <w:rsid w:val="005F1144"/>
    <w:rsid w:val="005F13F8"/>
    <w:rsid w:val="005F1413"/>
    <w:rsid w:val="005F1628"/>
    <w:rsid w:val="005F16E4"/>
    <w:rsid w:val="005F175B"/>
    <w:rsid w:val="005F17F3"/>
    <w:rsid w:val="005F1813"/>
    <w:rsid w:val="005F186D"/>
    <w:rsid w:val="005F18D8"/>
    <w:rsid w:val="005F196F"/>
    <w:rsid w:val="005F1A33"/>
    <w:rsid w:val="005F1AE5"/>
    <w:rsid w:val="005F1B25"/>
    <w:rsid w:val="005F1BBF"/>
    <w:rsid w:val="005F1BF4"/>
    <w:rsid w:val="005F1C61"/>
    <w:rsid w:val="005F1C95"/>
    <w:rsid w:val="005F1DDC"/>
    <w:rsid w:val="005F1E93"/>
    <w:rsid w:val="005F1FCE"/>
    <w:rsid w:val="005F1FF7"/>
    <w:rsid w:val="005F20EC"/>
    <w:rsid w:val="005F22E6"/>
    <w:rsid w:val="005F23D6"/>
    <w:rsid w:val="005F242D"/>
    <w:rsid w:val="005F244C"/>
    <w:rsid w:val="005F2466"/>
    <w:rsid w:val="005F2534"/>
    <w:rsid w:val="005F254A"/>
    <w:rsid w:val="005F2577"/>
    <w:rsid w:val="005F2BC6"/>
    <w:rsid w:val="005F2CA7"/>
    <w:rsid w:val="005F2D84"/>
    <w:rsid w:val="005F2FF0"/>
    <w:rsid w:val="005F34BE"/>
    <w:rsid w:val="005F3591"/>
    <w:rsid w:val="005F360E"/>
    <w:rsid w:val="005F37A5"/>
    <w:rsid w:val="005F384C"/>
    <w:rsid w:val="005F39A4"/>
    <w:rsid w:val="005F3B42"/>
    <w:rsid w:val="005F3B75"/>
    <w:rsid w:val="005F3C7A"/>
    <w:rsid w:val="005F3CE5"/>
    <w:rsid w:val="005F3D54"/>
    <w:rsid w:val="005F3EC3"/>
    <w:rsid w:val="005F3F85"/>
    <w:rsid w:val="005F40E4"/>
    <w:rsid w:val="005F4158"/>
    <w:rsid w:val="005F422C"/>
    <w:rsid w:val="005F42DF"/>
    <w:rsid w:val="005F43D7"/>
    <w:rsid w:val="005F4495"/>
    <w:rsid w:val="005F464F"/>
    <w:rsid w:val="005F4733"/>
    <w:rsid w:val="005F4772"/>
    <w:rsid w:val="005F4816"/>
    <w:rsid w:val="005F49B9"/>
    <w:rsid w:val="005F4ABE"/>
    <w:rsid w:val="005F4B66"/>
    <w:rsid w:val="005F4C7C"/>
    <w:rsid w:val="005F4D72"/>
    <w:rsid w:val="005F53A0"/>
    <w:rsid w:val="005F543C"/>
    <w:rsid w:val="005F5465"/>
    <w:rsid w:val="005F54D0"/>
    <w:rsid w:val="005F552B"/>
    <w:rsid w:val="005F55A8"/>
    <w:rsid w:val="005F55BF"/>
    <w:rsid w:val="005F55E7"/>
    <w:rsid w:val="005F57BF"/>
    <w:rsid w:val="005F580C"/>
    <w:rsid w:val="005F5852"/>
    <w:rsid w:val="005F5A5A"/>
    <w:rsid w:val="005F5AD3"/>
    <w:rsid w:val="005F5C68"/>
    <w:rsid w:val="005F5D6D"/>
    <w:rsid w:val="005F5DA1"/>
    <w:rsid w:val="005F5EE1"/>
    <w:rsid w:val="005F5FEB"/>
    <w:rsid w:val="005F604D"/>
    <w:rsid w:val="005F6069"/>
    <w:rsid w:val="005F607C"/>
    <w:rsid w:val="005F61B1"/>
    <w:rsid w:val="005F6264"/>
    <w:rsid w:val="005F62CF"/>
    <w:rsid w:val="005F6429"/>
    <w:rsid w:val="005F6665"/>
    <w:rsid w:val="005F6744"/>
    <w:rsid w:val="005F67AF"/>
    <w:rsid w:val="005F68A4"/>
    <w:rsid w:val="005F6A2E"/>
    <w:rsid w:val="005F6A41"/>
    <w:rsid w:val="005F6A4F"/>
    <w:rsid w:val="005F6B82"/>
    <w:rsid w:val="005F6C41"/>
    <w:rsid w:val="005F6D5C"/>
    <w:rsid w:val="005F6DC3"/>
    <w:rsid w:val="005F6E57"/>
    <w:rsid w:val="005F6E61"/>
    <w:rsid w:val="005F6E7A"/>
    <w:rsid w:val="005F6F79"/>
    <w:rsid w:val="005F7133"/>
    <w:rsid w:val="005F721A"/>
    <w:rsid w:val="005F72A8"/>
    <w:rsid w:val="005F7368"/>
    <w:rsid w:val="005F760B"/>
    <w:rsid w:val="005F765E"/>
    <w:rsid w:val="005F76EA"/>
    <w:rsid w:val="005F77D4"/>
    <w:rsid w:val="005F7800"/>
    <w:rsid w:val="005F79C1"/>
    <w:rsid w:val="005F7A5A"/>
    <w:rsid w:val="005F7A75"/>
    <w:rsid w:val="005F7AC2"/>
    <w:rsid w:val="005F7AE4"/>
    <w:rsid w:val="005F7BA4"/>
    <w:rsid w:val="005F7CEB"/>
    <w:rsid w:val="005F7EAD"/>
    <w:rsid w:val="006000DB"/>
    <w:rsid w:val="00600341"/>
    <w:rsid w:val="00600371"/>
    <w:rsid w:val="00600379"/>
    <w:rsid w:val="00600543"/>
    <w:rsid w:val="00600812"/>
    <w:rsid w:val="006008AF"/>
    <w:rsid w:val="00600A5B"/>
    <w:rsid w:val="00600B22"/>
    <w:rsid w:val="00600B27"/>
    <w:rsid w:val="00600C9E"/>
    <w:rsid w:val="00600D1B"/>
    <w:rsid w:val="00600EF1"/>
    <w:rsid w:val="00601035"/>
    <w:rsid w:val="00601152"/>
    <w:rsid w:val="006011FC"/>
    <w:rsid w:val="0060121F"/>
    <w:rsid w:val="006012CA"/>
    <w:rsid w:val="006012E1"/>
    <w:rsid w:val="00601361"/>
    <w:rsid w:val="00601378"/>
    <w:rsid w:val="00601380"/>
    <w:rsid w:val="006013E4"/>
    <w:rsid w:val="00601666"/>
    <w:rsid w:val="0060186B"/>
    <w:rsid w:val="00601A15"/>
    <w:rsid w:val="00601AB6"/>
    <w:rsid w:val="00601AB8"/>
    <w:rsid w:val="00601C0F"/>
    <w:rsid w:val="00601CE5"/>
    <w:rsid w:val="00601DC6"/>
    <w:rsid w:val="00601EDC"/>
    <w:rsid w:val="00601EF9"/>
    <w:rsid w:val="006021DC"/>
    <w:rsid w:val="00602366"/>
    <w:rsid w:val="006023A9"/>
    <w:rsid w:val="006023DF"/>
    <w:rsid w:val="006026FE"/>
    <w:rsid w:val="0060291D"/>
    <w:rsid w:val="00602BD3"/>
    <w:rsid w:val="00602BE7"/>
    <w:rsid w:val="00602E4B"/>
    <w:rsid w:val="00602F15"/>
    <w:rsid w:val="00602F1E"/>
    <w:rsid w:val="00602FE3"/>
    <w:rsid w:val="006031AD"/>
    <w:rsid w:val="00603329"/>
    <w:rsid w:val="00603341"/>
    <w:rsid w:val="00603356"/>
    <w:rsid w:val="00603585"/>
    <w:rsid w:val="006039A6"/>
    <w:rsid w:val="00603CAC"/>
    <w:rsid w:val="00603CBF"/>
    <w:rsid w:val="00603CC2"/>
    <w:rsid w:val="00603DF9"/>
    <w:rsid w:val="006043E1"/>
    <w:rsid w:val="00604846"/>
    <w:rsid w:val="006048AB"/>
    <w:rsid w:val="00604A8E"/>
    <w:rsid w:val="00604CA5"/>
    <w:rsid w:val="00604D88"/>
    <w:rsid w:val="00604F2E"/>
    <w:rsid w:val="0060528C"/>
    <w:rsid w:val="006054A1"/>
    <w:rsid w:val="00605630"/>
    <w:rsid w:val="00605642"/>
    <w:rsid w:val="00605658"/>
    <w:rsid w:val="00605683"/>
    <w:rsid w:val="006056E7"/>
    <w:rsid w:val="006057E5"/>
    <w:rsid w:val="0060582D"/>
    <w:rsid w:val="006058BE"/>
    <w:rsid w:val="006059AC"/>
    <w:rsid w:val="006059CE"/>
    <w:rsid w:val="00605A2B"/>
    <w:rsid w:val="00605AFB"/>
    <w:rsid w:val="00605CA6"/>
    <w:rsid w:val="00605D58"/>
    <w:rsid w:val="00605D9A"/>
    <w:rsid w:val="00605FC8"/>
    <w:rsid w:val="00606038"/>
    <w:rsid w:val="006061D7"/>
    <w:rsid w:val="0060627A"/>
    <w:rsid w:val="006062B7"/>
    <w:rsid w:val="006063F9"/>
    <w:rsid w:val="00606437"/>
    <w:rsid w:val="00606486"/>
    <w:rsid w:val="006064A0"/>
    <w:rsid w:val="00606603"/>
    <w:rsid w:val="00606762"/>
    <w:rsid w:val="00606936"/>
    <w:rsid w:val="006069B5"/>
    <w:rsid w:val="006069E6"/>
    <w:rsid w:val="006069FF"/>
    <w:rsid w:val="00606A09"/>
    <w:rsid w:val="00606B84"/>
    <w:rsid w:val="00606ED1"/>
    <w:rsid w:val="006070FC"/>
    <w:rsid w:val="0060777E"/>
    <w:rsid w:val="006077D5"/>
    <w:rsid w:val="00607911"/>
    <w:rsid w:val="00607943"/>
    <w:rsid w:val="00607B2F"/>
    <w:rsid w:val="00607B6C"/>
    <w:rsid w:val="00607E62"/>
    <w:rsid w:val="00607E65"/>
    <w:rsid w:val="00607F0E"/>
    <w:rsid w:val="00607F4C"/>
    <w:rsid w:val="00607F69"/>
    <w:rsid w:val="00607F7F"/>
    <w:rsid w:val="00610038"/>
    <w:rsid w:val="0061003B"/>
    <w:rsid w:val="0061005E"/>
    <w:rsid w:val="006100DC"/>
    <w:rsid w:val="00610135"/>
    <w:rsid w:val="0061021F"/>
    <w:rsid w:val="0061047F"/>
    <w:rsid w:val="0061048E"/>
    <w:rsid w:val="00610A2D"/>
    <w:rsid w:val="00610A85"/>
    <w:rsid w:val="00610B4A"/>
    <w:rsid w:val="00610BD2"/>
    <w:rsid w:val="00610C2D"/>
    <w:rsid w:val="00610C9D"/>
    <w:rsid w:val="00610E91"/>
    <w:rsid w:val="00610F88"/>
    <w:rsid w:val="0061111A"/>
    <w:rsid w:val="006111F1"/>
    <w:rsid w:val="00611353"/>
    <w:rsid w:val="0061136F"/>
    <w:rsid w:val="0061146E"/>
    <w:rsid w:val="0061162E"/>
    <w:rsid w:val="0061164D"/>
    <w:rsid w:val="00611707"/>
    <w:rsid w:val="00611780"/>
    <w:rsid w:val="0061179A"/>
    <w:rsid w:val="00611902"/>
    <w:rsid w:val="00611D4E"/>
    <w:rsid w:val="00611DBD"/>
    <w:rsid w:val="00611E3A"/>
    <w:rsid w:val="00611EBC"/>
    <w:rsid w:val="0061230A"/>
    <w:rsid w:val="00612356"/>
    <w:rsid w:val="0061245D"/>
    <w:rsid w:val="0061273B"/>
    <w:rsid w:val="0061284B"/>
    <w:rsid w:val="006128F9"/>
    <w:rsid w:val="00612938"/>
    <w:rsid w:val="00612A92"/>
    <w:rsid w:val="00612BAD"/>
    <w:rsid w:val="00612C18"/>
    <w:rsid w:val="00612E6A"/>
    <w:rsid w:val="0061357A"/>
    <w:rsid w:val="00613636"/>
    <w:rsid w:val="00613671"/>
    <w:rsid w:val="00613680"/>
    <w:rsid w:val="006136E5"/>
    <w:rsid w:val="00613A6F"/>
    <w:rsid w:val="00613B0B"/>
    <w:rsid w:val="00613BBC"/>
    <w:rsid w:val="00613C9B"/>
    <w:rsid w:val="00613EA2"/>
    <w:rsid w:val="00613FC5"/>
    <w:rsid w:val="00614037"/>
    <w:rsid w:val="00614087"/>
    <w:rsid w:val="0061411B"/>
    <w:rsid w:val="00614191"/>
    <w:rsid w:val="00614329"/>
    <w:rsid w:val="00614423"/>
    <w:rsid w:val="00614467"/>
    <w:rsid w:val="006144A7"/>
    <w:rsid w:val="00614522"/>
    <w:rsid w:val="006146CD"/>
    <w:rsid w:val="00614A84"/>
    <w:rsid w:val="00614AA9"/>
    <w:rsid w:val="00614AE1"/>
    <w:rsid w:val="00614AEE"/>
    <w:rsid w:val="00614CE0"/>
    <w:rsid w:val="00614DF1"/>
    <w:rsid w:val="00614E39"/>
    <w:rsid w:val="00614EB2"/>
    <w:rsid w:val="00614F49"/>
    <w:rsid w:val="00614F77"/>
    <w:rsid w:val="00614FED"/>
    <w:rsid w:val="0061505E"/>
    <w:rsid w:val="006150A0"/>
    <w:rsid w:val="006150F3"/>
    <w:rsid w:val="006155A8"/>
    <w:rsid w:val="006155DE"/>
    <w:rsid w:val="0061563E"/>
    <w:rsid w:val="00615657"/>
    <w:rsid w:val="006157AC"/>
    <w:rsid w:val="006157DB"/>
    <w:rsid w:val="006159F5"/>
    <w:rsid w:val="00615A89"/>
    <w:rsid w:val="00615B45"/>
    <w:rsid w:val="00615C63"/>
    <w:rsid w:val="00615D4F"/>
    <w:rsid w:val="00615D50"/>
    <w:rsid w:val="00616002"/>
    <w:rsid w:val="0061618C"/>
    <w:rsid w:val="0061628F"/>
    <w:rsid w:val="00616437"/>
    <w:rsid w:val="00616463"/>
    <w:rsid w:val="00616480"/>
    <w:rsid w:val="006164EC"/>
    <w:rsid w:val="006164F5"/>
    <w:rsid w:val="00616563"/>
    <w:rsid w:val="006165E0"/>
    <w:rsid w:val="00616762"/>
    <w:rsid w:val="006167ED"/>
    <w:rsid w:val="00616850"/>
    <w:rsid w:val="00616984"/>
    <w:rsid w:val="0061698A"/>
    <w:rsid w:val="00616991"/>
    <w:rsid w:val="00616A63"/>
    <w:rsid w:val="00616A73"/>
    <w:rsid w:val="00616B76"/>
    <w:rsid w:val="00616E56"/>
    <w:rsid w:val="00616E5F"/>
    <w:rsid w:val="00616F79"/>
    <w:rsid w:val="00616FAA"/>
    <w:rsid w:val="00616FB3"/>
    <w:rsid w:val="00617048"/>
    <w:rsid w:val="00617133"/>
    <w:rsid w:val="006173A9"/>
    <w:rsid w:val="00617446"/>
    <w:rsid w:val="006174B7"/>
    <w:rsid w:val="00617722"/>
    <w:rsid w:val="00617866"/>
    <w:rsid w:val="006178E9"/>
    <w:rsid w:val="00617A0F"/>
    <w:rsid w:val="00617B7B"/>
    <w:rsid w:val="00617C51"/>
    <w:rsid w:val="00617E15"/>
    <w:rsid w:val="00617F86"/>
    <w:rsid w:val="00620010"/>
    <w:rsid w:val="00620068"/>
    <w:rsid w:val="006202D0"/>
    <w:rsid w:val="0062032C"/>
    <w:rsid w:val="0062036D"/>
    <w:rsid w:val="00620391"/>
    <w:rsid w:val="0062042B"/>
    <w:rsid w:val="00620430"/>
    <w:rsid w:val="00620461"/>
    <w:rsid w:val="006204B2"/>
    <w:rsid w:val="006204F3"/>
    <w:rsid w:val="00620678"/>
    <w:rsid w:val="0062074E"/>
    <w:rsid w:val="00620764"/>
    <w:rsid w:val="006207F6"/>
    <w:rsid w:val="006208B7"/>
    <w:rsid w:val="0062090E"/>
    <w:rsid w:val="00620925"/>
    <w:rsid w:val="00620955"/>
    <w:rsid w:val="006209A6"/>
    <w:rsid w:val="00620A0E"/>
    <w:rsid w:val="00620A28"/>
    <w:rsid w:val="00620B39"/>
    <w:rsid w:val="00620BAA"/>
    <w:rsid w:val="00620BEE"/>
    <w:rsid w:val="00620CC4"/>
    <w:rsid w:val="00621007"/>
    <w:rsid w:val="0062100F"/>
    <w:rsid w:val="006210AA"/>
    <w:rsid w:val="00621122"/>
    <w:rsid w:val="0062126C"/>
    <w:rsid w:val="00621777"/>
    <w:rsid w:val="006219B9"/>
    <w:rsid w:val="00621A56"/>
    <w:rsid w:val="00621C1D"/>
    <w:rsid w:val="00621C93"/>
    <w:rsid w:val="00621DE4"/>
    <w:rsid w:val="006220F9"/>
    <w:rsid w:val="00622117"/>
    <w:rsid w:val="00622166"/>
    <w:rsid w:val="006223FA"/>
    <w:rsid w:val="00622454"/>
    <w:rsid w:val="006226DC"/>
    <w:rsid w:val="00622743"/>
    <w:rsid w:val="006228A3"/>
    <w:rsid w:val="00622915"/>
    <w:rsid w:val="00622A6C"/>
    <w:rsid w:val="00622B19"/>
    <w:rsid w:val="00622BB3"/>
    <w:rsid w:val="00622D04"/>
    <w:rsid w:val="00622E82"/>
    <w:rsid w:val="00622F37"/>
    <w:rsid w:val="00622FC4"/>
    <w:rsid w:val="00622FE1"/>
    <w:rsid w:val="00623131"/>
    <w:rsid w:val="0062332E"/>
    <w:rsid w:val="0062336A"/>
    <w:rsid w:val="006233D5"/>
    <w:rsid w:val="00623412"/>
    <w:rsid w:val="00623550"/>
    <w:rsid w:val="006235DB"/>
    <w:rsid w:val="0062369A"/>
    <w:rsid w:val="00623720"/>
    <w:rsid w:val="006238CB"/>
    <w:rsid w:val="006238F0"/>
    <w:rsid w:val="00623920"/>
    <w:rsid w:val="0062398E"/>
    <w:rsid w:val="00623B1C"/>
    <w:rsid w:val="00623B72"/>
    <w:rsid w:val="00623B96"/>
    <w:rsid w:val="00623C4D"/>
    <w:rsid w:val="00623F66"/>
    <w:rsid w:val="00624378"/>
    <w:rsid w:val="006243DF"/>
    <w:rsid w:val="006243EF"/>
    <w:rsid w:val="006247B8"/>
    <w:rsid w:val="006247E1"/>
    <w:rsid w:val="00624B06"/>
    <w:rsid w:val="00624B07"/>
    <w:rsid w:val="00624B40"/>
    <w:rsid w:val="00624B83"/>
    <w:rsid w:val="00624C9E"/>
    <w:rsid w:val="00624E10"/>
    <w:rsid w:val="00624F76"/>
    <w:rsid w:val="00625076"/>
    <w:rsid w:val="006251E3"/>
    <w:rsid w:val="006254BB"/>
    <w:rsid w:val="00625550"/>
    <w:rsid w:val="006255AE"/>
    <w:rsid w:val="00625622"/>
    <w:rsid w:val="0062567F"/>
    <w:rsid w:val="0062571C"/>
    <w:rsid w:val="006258CE"/>
    <w:rsid w:val="006258FC"/>
    <w:rsid w:val="0062592D"/>
    <w:rsid w:val="00625B9E"/>
    <w:rsid w:val="00625CA1"/>
    <w:rsid w:val="00625D31"/>
    <w:rsid w:val="00625DF2"/>
    <w:rsid w:val="00625E4A"/>
    <w:rsid w:val="00625F65"/>
    <w:rsid w:val="00625FD4"/>
    <w:rsid w:val="00626059"/>
    <w:rsid w:val="00626100"/>
    <w:rsid w:val="00626109"/>
    <w:rsid w:val="00626154"/>
    <w:rsid w:val="00626175"/>
    <w:rsid w:val="006261F4"/>
    <w:rsid w:val="00626278"/>
    <w:rsid w:val="0062654B"/>
    <w:rsid w:val="006266DC"/>
    <w:rsid w:val="00626926"/>
    <w:rsid w:val="00626B36"/>
    <w:rsid w:val="00626B3F"/>
    <w:rsid w:val="00626C24"/>
    <w:rsid w:val="00626D3C"/>
    <w:rsid w:val="00626EDA"/>
    <w:rsid w:val="00627048"/>
    <w:rsid w:val="00627052"/>
    <w:rsid w:val="006270BE"/>
    <w:rsid w:val="0062719D"/>
    <w:rsid w:val="00627209"/>
    <w:rsid w:val="006273B6"/>
    <w:rsid w:val="006273B9"/>
    <w:rsid w:val="0062751A"/>
    <w:rsid w:val="00627573"/>
    <w:rsid w:val="00627A74"/>
    <w:rsid w:val="00627AD4"/>
    <w:rsid w:val="00627C15"/>
    <w:rsid w:val="00627CF5"/>
    <w:rsid w:val="00627CF7"/>
    <w:rsid w:val="00627DB7"/>
    <w:rsid w:val="00627DE3"/>
    <w:rsid w:val="00627E66"/>
    <w:rsid w:val="00627EDE"/>
    <w:rsid w:val="00630029"/>
    <w:rsid w:val="00630145"/>
    <w:rsid w:val="0063027A"/>
    <w:rsid w:val="0063032F"/>
    <w:rsid w:val="00630353"/>
    <w:rsid w:val="00630386"/>
    <w:rsid w:val="0063038A"/>
    <w:rsid w:val="006303D3"/>
    <w:rsid w:val="0063050E"/>
    <w:rsid w:val="006306B6"/>
    <w:rsid w:val="006307DA"/>
    <w:rsid w:val="006308A1"/>
    <w:rsid w:val="00630921"/>
    <w:rsid w:val="0063092B"/>
    <w:rsid w:val="0063095E"/>
    <w:rsid w:val="00630A54"/>
    <w:rsid w:val="00630AA3"/>
    <w:rsid w:val="00630AC4"/>
    <w:rsid w:val="00630C59"/>
    <w:rsid w:val="00630D65"/>
    <w:rsid w:val="00630FF8"/>
    <w:rsid w:val="0063103E"/>
    <w:rsid w:val="006310D7"/>
    <w:rsid w:val="006310F4"/>
    <w:rsid w:val="006311A4"/>
    <w:rsid w:val="00631309"/>
    <w:rsid w:val="0063140C"/>
    <w:rsid w:val="0063161F"/>
    <w:rsid w:val="0063164A"/>
    <w:rsid w:val="0063171A"/>
    <w:rsid w:val="0063172D"/>
    <w:rsid w:val="00631817"/>
    <w:rsid w:val="00631BD6"/>
    <w:rsid w:val="00631D88"/>
    <w:rsid w:val="00631DB8"/>
    <w:rsid w:val="00631E6C"/>
    <w:rsid w:val="00631EDA"/>
    <w:rsid w:val="00631F74"/>
    <w:rsid w:val="006320AE"/>
    <w:rsid w:val="00632406"/>
    <w:rsid w:val="00632871"/>
    <w:rsid w:val="006328BC"/>
    <w:rsid w:val="006328ED"/>
    <w:rsid w:val="006328F9"/>
    <w:rsid w:val="006329BF"/>
    <w:rsid w:val="00632B1E"/>
    <w:rsid w:val="00632D09"/>
    <w:rsid w:val="00632F7C"/>
    <w:rsid w:val="00632FC1"/>
    <w:rsid w:val="006331D9"/>
    <w:rsid w:val="0063352A"/>
    <w:rsid w:val="00633750"/>
    <w:rsid w:val="006337A0"/>
    <w:rsid w:val="00633B95"/>
    <w:rsid w:val="00633C39"/>
    <w:rsid w:val="00633D3C"/>
    <w:rsid w:val="00633D52"/>
    <w:rsid w:val="00633D75"/>
    <w:rsid w:val="00633E9D"/>
    <w:rsid w:val="00633FF5"/>
    <w:rsid w:val="00634028"/>
    <w:rsid w:val="0063412B"/>
    <w:rsid w:val="00634517"/>
    <w:rsid w:val="006345CB"/>
    <w:rsid w:val="006345DF"/>
    <w:rsid w:val="0063467F"/>
    <w:rsid w:val="006348F8"/>
    <w:rsid w:val="006348FD"/>
    <w:rsid w:val="00634CFD"/>
    <w:rsid w:val="00634D3C"/>
    <w:rsid w:val="00634D40"/>
    <w:rsid w:val="00634DC5"/>
    <w:rsid w:val="00634F25"/>
    <w:rsid w:val="00634FFF"/>
    <w:rsid w:val="00635135"/>
    <w:rsid w:val="00635202"/>
    <w:rsid w:val="0063523F"/>
    <w:rsid w:val="00635258"/>
    <w:rsid w:val="00635261"/>
    <w:rsid w:val="00635326"/>
    <w:rsid w:val="006356B3"/>
    <w:rsid w:val="006357D2"/>
    <w:rsid w:val="006357F1"/>
    <w:rsid w:val="00635851"/>
    <w:rsid w:val="0063586D"/>
    <w:rsid w:val="00635891"/>
    <w:rsid w:val="00635914"/>
    <w:rsid w:val="00635A20"/>
    <w:rsid w:val="00635B5E"/>
    <w:rsid w:val="00635C60"/>
    <w:rsid w:val="00635C62"/>
    <w:rsid w:val="00635D21"/>
    <w:rsid w:val="00635EA7"/>
    <w:rsid w:val="0063614B"/>
    <w:rsid w:val="0063620D"/>
    <w:rsid w:val="00636327"/>
    <w:rsid w:val="006364FC"/>
    <w:rsid w:val="0063657D"/>
    <w:rsid w:val="0063663C"/>
    <w:rsid w:val="00636862"/>
    <w:rsid w:val="006369A0"/>
    <w:rsid w:val="006369B8"/>
    <w:rsid w:val="00636B3D"/>
    <w:rsid w:val="00636B83"/>
    <w:rsid w:val="00636CBD"/>
    <w:rsid w:val="00636DEA"/>
    <w:rsid w:val="00637219"/>
    <w:rsid w:val="00637412"/>
    <w:rsid w:val="006376C3"/>
    <w:rsid w:val="0063772E"/>
    <w:rsid w:val="00637778"/>
    <w:rsid w:val="00637791"/>
    <w:rsid w:val="006378B5"/>
    <w:rsid w:val="00637976"/>
    <w:rsid w:val="00637A3D"/>
    <w:rsid w:val="00637B19"/>
    <w:rsid w:val="00637B48"/>
    <w:rsid w:val="00637CCC"/>
    <w:rsid w:val="00637DAF"/>
    <w:rsid w:val="00637E98"/>
    <w:rsid w:val="00637FE1"/>
    <w:rsid w:val="00640076"/>
    <w:rsid w:val="00640308"/>
    <w:rsid w:val="00640432"/>
    <w:rsid w:val="00640453"/>
    <w:rsid w:val="0064047B"/>
    <w:rsid w:val="00640657"/>
    <w:rsid w:val="00640675"/>
    <w:rsid w:val="00640695"/>
    <w:rsid w:val="00640968"/>
    <w:rsid w:val="00640BE4"/>
    <w:rsid w:val="00640DAF"/>
    <w:rsid w:val="00640DDE"/>
    <w:rsid w:val="00640E09"/>
    <w:rsid w:val="00640E9F"/>
    <w:rsid w:val="00640EB1"/>
    <w:rsid w:val="00641021"/>
    <w:rsid w:val="0064125D"/>
    <w:rsid w:val="00641512"/>
    <w:rsid w:val="0064165F"/>
    <w:rsid w:val="006416FC"/>
    <w:rsid w:val="0064172E"/>
    <w:rsid w:val="00641750"/>
    <w:rsid w:val="00641754"/>
    <w:rsid w:val="006418E5"/>
    <w:rsid w:val="00641A0C"/>
    <w:rsid w:val="00641D13"/>
    <w:rsid w:val="00641D2B"/>
    <w:rsid w:val="00641D73"/>
    <w:rsid w:val="00641E03"/>
    <w:rsid w:val="00641F38"/>
    <w:rsid w:val="00642251"/>
    <w:rsid w:val="00642325"/>
    <w:rsid w:val="0064257A"/>
    <w:rsid w:val="0064262B"/>
    <w:rsid w:val="0064263B"/>
    <w:rsid w:val="006427AF"/>
    <w:rsid w:val="00642AE2"/>
    <w:rsid w:val="00642BCB"/>
    <w:rsid w:val="00642BF7"/>
    <w:rsid w:val="00642C06"/>
    <w:rsid w:val="00642EA2"/>
    <w:rsid w:val="00642EE6"/>
    <w:rsid w:val="00642F19"/>
    <w:rsid w:val="0064324E"/>
    <w:rsid w:val="006432E5"/>
    <w:rsid w:val="0064341E"/>
    <w:rsid w:val="00643670"/>
    <w:rsid w:val="00643673"/>
    <w:rsid w:val="0064373A"/>
    <w:rsid w:val="00643B15"/>
    <w:rsid w:val="00643BAE"/>
    <w:rsid w:val="00643DC2"/>
    <w:rsid w:val="00643EB6"/>
    <w:rsid w:val="00643F18"/>
    <w:rsid w:val="00643F45"/>
    <w:rsid w:val="00643FF9"/>
    <w:rsid w:val="00644080"/>
    <w:rsid w:val="0064408F"/>
    <w:rsid w:val="006440C5"/>
    <w:rsid w:val="0064422D"/>
    <w:rsid w:val="00644246"/>
    <w:rsid w:val="0064432B"/>
    <w:rsid w:val="00644559"/>
    <w:rsid w:val="006445AB"/>
    <w:rsid w:val="006447C9"/>
    <w:rsid w:val="00644804"/>
    <w:rsid w:val="006448A9"/>
    <w:rsid w:val="006448D5"/>
    <w:rsid w:val="0064499B"/>
    <w:rsid w:val="00644B1D"/>
    <w:rsid w:val="00644DEF"/>
    <w:rsid w:val="006450A2"/>
    <w:rsid w:val="0064513B"/>
    <w:rsid w:val="00645155"/>
    <w:rsid w:val="006451C6"/>
    <w:rsid w:val="00645253"/>
    <w:rsid w:val="006452E4"/>
    <w:rsid w:val="00645413"/>
    <w:rsid w:val="006454CA"/>
    <w:rsid w:val="006455F5"/>
    <w:rsid w:val="0064569D"/>
    <w:rsid w:val="00645C13"/>
    <w:rsid w:val="00645C33"/>
    <w:rsid w:val="00645C92"/>
    <w:rsid w:val="00645E16"/>
    <w:rsid w:val="00645F1E"/>
    <w:rsid w:val="00645F47"/>
    <w:rsid w:val="00645FE8"/>
    <w:rsid w:val="006462D4"/>
    <w:rsid w:val="006464C2"/>
    <w:rsid w:val="006466B2"/>
    <w:rsid w:val="00646717"/>
    <w:rsid w:val="00646883"/>
    <w:rsid w:val="006468BC"/>
    <w:rsid w:val="006469E3"/>
    <w:rsid w:val="00646AE4"/>
    <w:rsid w:val="00646C27"/>
    <w:rsid w:val="00646E13"/>
    <w:rsid w:val="00646E33"/>
    <w:rsid w:val="00646E45"/>
    <w:rsid w:val="00646E6F"/>
    <w:rsid w:val="00646F08"/>
    <w:rsid w:val="0064702B"/>
    <w:rsid w:val="006474B3"/>
    <w:rsid w:val="006475D2"/>
    <w:rsid w:val="006476C6"/>
    <w:rsid w:val="006476D1"/>
    <w:rsid w:val="006476F4"/>
    <w:rsid w:val="00647785"/>
    <w:rsid w:val="0064788A"/>
    <w:rsid w:val="00647942"/>
    <w:rsid w:val="00647ACE"/>
    <w:rsid w:val="00647BFC"/>
    <w:rsid w:val="00647C51"/>
    <w:rsid w:val="00647D9F"/>
    <w:rsid w:val="00647E27"/>
    <w:rsid w:val="00647E31"/>
    <w:rsid w:val="00647FF1"/>
    <w:rsid w:val="00650128"/>
    <w:rsid w:val="0065035E"/>
    <w:rsid w:val="0065045C"/>
    <w:rsid w:val="00650674"/>
    <w:rsid w:val="006506E8"/>
    <w:rsid w:val="006506F7"/>
    <w:rsid w:val="00650A05"/>
    <w:rsid w:val="00650AC8"/>
    <w:rsid w:val="00650C4F"/>
    <w:rsid w:val="00650C69"/>
    <w:rsid w:val="00650D3C"/>
    <w:rsid w:val="00650DF7"/>
    <w:rsid w:val="00650E86"/>
    <w:rsid w:val="00650E8B"/>
    <w:rsid w:val="00650F31"/>
    <w:rsid w:val="00650FEE"/>
    <w:rsid w:val="0065119B"/>
    <w:rsid w:val="0065150D"/>
    <w:rsid w:val="006515CA"/>
    <w:rsid w:val="006515D3"/>
    <w:rsid w:val="006516E4"/>
    <w:rsid w:val="006516F8"/>
    <w:rsid w:val="00651711"/>
    <w:rsid w:val="00651861"/>
    <w:rsid w:val="00651916"/>
    <w:rsid w:val="00651B29"/>
    <w:rsid w:val="00651CA6"/>
    <w:rsid w:val="00651CA9"/>
    <w:rsid w:val="00651DD5"/>
    <w:rsid w:val="006520FD"/>
    <w:rsid w:val="0065215B"/>
    <w:rsid w:val="00652369"/>
    <w:rsid w:val="00652595"/>
    <w:rsid w:val="006527B9"/>
    <w:rsid w:val="006528CB"/>
    <w:rsid w:val="00652934"/>
    <w:rsid w:val="006529D6"/>
    <w:rsid w:val="00652A7E"/>
    <w:rsid w:val="00652B70"/>
    <w:rsid w:val="00652B97"/>
    <w:rsid w:val="00652C7A"/>
    <w:rsid w:val="00652D2A"/>
    <w:rsid w:val="00652DC5"/>
    <w:rsid w:val="00652EFE"/>
    <w:rsid w:val="00653025"/>
    <w:rsid w:val="006530C4"/>
    <w:rsid w:val="006530C5"/>
    <w:rsid w:val="00653107"/>
    <w:rsid w:val="00653112"/>
    <w:rsid w:val="006536B8"/>
    <w:rsid w:val="00653767"/>
    <w:rsid w:val="006538CB"/>
    <w:rsid w:val="00653902"/>
    <w:rsid w:val="00653942"/>
    <w:rsid w:val="006539DB"/>
    <w:rsid w:val="00653A36"/>
    <w:rsid w:val="00653A8C"/>
    <w:rsid w:val="00653FFF"/>
    <w:rsid w:val="00654032"/>
    <w:rsid w:val="006540BA"/>
    <w:rsid w:val="006540DC"/>
    <w:rsid w:val="006541B3"/>
    <w:rsid w:val="006541D9"/>
    <w:rsid w:val="006543ED"/>
    <w:rsid w:val="00654420"/>
    <w:rsid w:val="006547C7"/>
    <w:rsid w:val="0065489C"/>
    <w:rsid w:val="00654959"/>
    <w:rsid w:val="00654A96"/>
    <w:rsid w:val="00654AB3"/>
    <w:rsid w:val="00654B26"/>
    <w:rsid w:val="00654BF4"/>
    <w:rsid w:val="00654C00"/>
    <w:rsid w:val="00655016"/>
    <w:rsid w:val="00655058"/>
    <w:rsid w:val="0065509E"/>
    <w:rsid w:val="00655253"/>
    <w:rsid w:val="00655257"/>
    <w:rsid w:val="00655294"/>
    <w:rsid w:val="0065540D"/>
    <w:rsid w:val="0065546A"/>
    <w:rsid w:val="006555C4"/>
    <w:rsid w:val="006555DD"/>
    <w:rsid w:val="00655650"/>
    <w:rsid w:val="00655693"/>
    <w:rsid w:val="00655861"/>
    <w:rsid w:val="00655A33"/>
    <w:rsid w:val="00655A44"/>
    <w:rsid w:val="00655BE4"/>
    <w:rsid w:val="00655C18"/>
    <w:rsid w:val="00655C4E"/>
    <w:rsid w:val="00655CAB"/>
    <w:rsid w:val="00655E1E"/>
    <w:rsid w:val="00655F58"/>
    <w:rsid w:val="00655FF5"/>
    <w:rsid w:val="006561FE"/>
    <w:rsid w:val="006563D7"/>
    <w:rsid w:val="0065644F"/>
    <w:rsid w:val="0065646A"/>
    <w:rsid w:val="00656656"/>
    <w:rsid w:val="006566DB"/>
    <w:rsid w:val="00656B68"/>
    <w:rsid w:val="00656D05"/>
    <w:rsid w:val="00656E20"/>
    <w:rsid w:val="00656E70"/>
    <w:rsid w:val="0065703B"/>
    <w:rsid w:val="00657101"/>
    <w:rsid w:val="0065712F"/>
    <w:rsid w:val="00657207"/>
    <w:rsid w:val="00657243"/>
    <w:rsid w:val="006572B9"/>
    <w:rsid w:val="00657327"/>
    <w:rsid w:val="006575B8"/>
    <w:rsid w:val="006577F0"/>
    <w:rsid w:val="0065789A"/>
    <w:rsid w:val="006578F0"/>
    <w:rsid w:val="00657A8E"/>
    <w:rsid w:val="00657D2E"/>
    <w:rsid w:val="00657DCC"/>
    <w:rsid w:val="00657E4E"/>
    <w:rsid w:val="00657F50"/>
    <w:rsid w:val="00657FCF"/>
    <w:rsid w:val="00657FD8"/>
    <w:rsid w:val="0066020B"/>
    <w:rsid w:val="00660365"/>
    <w:rsid w:val="00660390"/>
    <w:rsid w:val="0066065D"/>
    <w:rsid w:val="006606BC"/>
    <w:rsid w:val="006606FE"/>
    <w:rsid w:val="006607B1"/>
    <w:rsid w:val="006607B8"/>
    <w:rsid w:val="00660832"/>
    <w:rsid w:val="006609EB"/>
    <w:rsid w:val="00660B16"/>
    <w:rsid w:val="00660BFE"/>
    <w:rsid w:val="00660C43"/>
    <w:rsid w:val="00660DC1"/>
    <w:rsid w:val="00660E55"/>
    <w:rsid w:val="00660FDF"/>
    <w:rsid w:val="0066116A"/>
    <w:rsid w:val="00661199"/>
    <w:rsid w:val="006612DB"/>
    <w:rsid w:val="006612E4"/>
    <w:rsid w:val="00661626"/>
    <w:rsid w:val="00661675"/>
    <w:rsid w:val="0066169E"/>
    <w:rsid w:val="0066177F"/>
    <w:rsid w:val="00661817"/>
    <w:rsid w:val="00661830"/>
    <w:rsid w:val="006618E0"/>
    <w:rsid w:val="00661A4B"/>
    <w:rsid w:val="00661A7E"/>
    <w:rsid w:val="00661BC6"/>
    <w:rsid w:val="00661D44"/>
    <w:rsid w:val="00661D63"/>
    <w:rsid w:val="00661EBA"/>
    <w:rsid w:val="00662016"/>
    <w:rsid w:val="0066203B"/>
    <w:rsid w:val="006622E5"/>
    <w:rsid w:val="006623DB"/>
    <w:rsid w:val="00662403"/>
    <w:rsid w:val="00662462"/>
    <w:rsid w:val="006626F5"/>
    <w:rsid w:val="00662CBD"/>
    <w:rsid w:val="00662D09"/>
    <w:rsid w:val="00662F94"/>
    <w:rsid w:val="00662FAE"/>
    <w:rsid w:val="00662FBB"/>
    <w:rsid w:val="006630EE"/>
    <w:rsid w:val="00663268"/>
    <w:rsid w:val="006638F2"/>
    <w:rsid w:val="00663936"/>
    <w:rsid w:val="00663A7E"/>
    <w:rsid w:val="00663ACF"/>
    <w:rsid w:val="00663B39"/>
    <w:rsid w:val="00663B8A"/>
    <w:rsid w:val="00663BB3"/>
    <w:rsid w:val="00663F10"/>
    <w:rsid w:val="00663F3B"/>
    <w:rsid w:val="00663FD6"/>
    <w:rsid w:val="0066408D"/>
    <w:rsid w:val="0066418D"/>
    <w:rsid w:val="00664215"/>
    <w:rsid w:val="00664263"/>
    <w:rsid w:val="006643BC"/>
    <w:rsid w:val="0066443C"/>
    <w:rsid w:val="00664455"/>
    <w:rsid w:val="00664476"/>
    <w:rsid w:val="00664575"/>
    <w:rsid w:val="006645D6"/>
    <w:rsid w:val="0066464F"/>
    <w:rsid w:val="006646EC"/>
    <w:rsid w:val="0066472C"/>
    <w:rsid w:val="00664896"/>
    <w:rsid w:val="006648CA"/>
    <w:rsid w:val="00664996"/>
    <w:rsid w:val="006649C7"/>
    <w:rsid w:val="006649DB"/>
    <w:rsid w:val="00664A92"/>
    <w:rsid w:val="00664AFB"/>
    <w:rsid w:val="00664BAC"/>
    <w:rsid w:val="00664C8B"/>
    <w:rsid w:val="00664D13"/>
    <w:rsid w:val="00664D36"/>
    <w:rsid w:val="00664E0E"/>
    <w:rsid w:val="00664EC1"/>
    <w:rsid w:val="00664EDD"/>
    <w:rsid w:val="00664F83"/>
    <w:rsid w:val="006650DE"/>
    <w:rsid w:val="00665259"/>
    <w:rsid w:val="0066525C"/>
    <w:rsid w:val="00665314"/>
    <w:rsid w:val="006653BC"/>
    <w:rsid w:val="006653C4"/>
    <w:rsid w:val="00665433"/>
    <w:rsid w:val="0066549F"/>
    <w:rsid w:val="0066550A"/>
    <w:rsid w:val="0066586D"/>
    <w:rsid w:val="0066590C"/>
    <w:rsid w:val="00665975"/>
    <w:rsid w:val="006659E5"/>
    <w:rsid w:val="00665A47"/>
    <w:rsid w:val="00665A48"/>
    <w:rsid w:val="00665A64"/>
    <w:rsid w:val="00665B7D"/>
    <w:rsid w:val="00665D04"/>
    <w:rsid w:val="00665DBD"/>
    <w:rsid w:val="0066605D"/>
    <w:rsid w:val="006660F6"/>
    <w:rsid w:val="0066620E"/>
    <w:rsid w:val="00666244"/>
    <w:rsid w:val="0066653B"/>
    <w:rsid w:val="0066691C"/>
    <w:rsid w:val="00666947"/>
    <w:rsid w:val="0066698A"/>
    <w:rsid w:val="00666CAE"/>
    <w:rsid w:val="00666E21"/>
    <w:rsid w:val="00666E8B"/>
    <w:rsid w:val="00666ED1"/>
    <w:rsid w:val="00666FA3"/>
    <w:rsid w:val="00667075"/>
    <w:rsid w:val="00667198"/>
    <w:rsid w:val="0066719E"/>
    <w:rsid w:val="006671F3"/>
    <w:rsid w:val="0066735B"/>
    <w:rsid w:val="0066743C"/>
    <w:rsid w:val="00667445"/>
    <w:rsid w:val="0066744F"/>
    <w:rsid w:val="00667459"/>
    <w:rsid w:val="006675E8"/>
    <w:rsid w:val="00667961"/>
    <w:rsid w:val="00667970"/>
    <w:rsid w:val="006679F0"/>
    <w:rsid w:val="00667A65"/>
    <w:rsid w:val="00667B33"/>
    <w:rsid w:val="00667D73"/>
    <w:rsid w:val="00667D90"/>
    <w:rsid w:val="00667E4E"/>
    <w:rsid w:val="00667FE6"/>
    <w:rsid w:val="00667FF6"/>
    <w:rsid w:val="0067013D"/>
    <w:rsid w:val="0067015E"/>
    <w:rsid w:val="006702D5"/>
    <w:rsid w:val="0067037D"/>
    <w:rsid w:val="006703AE"/>
    <w:rsid w:val="00670407"/>
    <w:rsid w:val="0067040D"/>
    <w:rsid w:val="00670444"/>
    <w:rsid w:val="006704A8"/>
    <w:rsid w:val="006705A5"/>
    <w:rsid w:val="0067063B"/>
    <w:rsid w:val="006707C9"/>
    <w:rsid w:val="00670A1E"/>
    <w:rsid w:val="00670A71"/>
    <w:rsid w:val="00670C4C"/>
    <w:rsid w:val="00670C79"/>
    <w:rsid w:val="00670CD0"/>
    <w:rsid w:val="00670DB7"/>
    <w:rsid w:val="00670E30"/>
    <w:rsid w:val="00670F1D"/>
    <w:rsid w:val="0067134F"/>
    <w:rsid w:val="006713CD"/>
    <w:rsid w:val="006713D4"/>
    <w:rsid w:val="006715A9"/>
    <w:rsid w:val="00671610"/>
    <w:rsid w:val="0067161F"/>
    <w:rsid w:val="00671AF6"/>
    <w:rsid w:val="00671C9D"/>
    <w:rsid w:val="00671D83"/>
    <w:rsid w:val="00671E3F"/>
    <w:rsid w:val="0067216F"/>
    <w:rsid w:val="006721E1"/>
    <w:rsid w:val="0067224D"/>
    <w:rsid w:val="00672279"/>
    <w:rsid w:val="006722FD"/>
    <w:rsid w:val="00672400"/>
    <w:rsid w:val="00672534"/>
    <w:rsid w:val="006726FC"/>
    <w:rsid w:val="0067275E"/>
    <w:rsid w:val="00672C7E"/>
    <w:rsid w:val="00672ECA"/>
    <w:rsid w:val="00672FBF"/>
    <w:rsid w:val="00673092"/>
    <w:rsid w:val="00673127"/>
    <w:rsid w:val="00673189"/>
    <w:rsid w:val="006733EA"/>
    <w:rsid w:val="006735EC"/>
    <w:rsid w:val="00673629"/>
    <w:rsid w:val="006738EA"/>
    <w:rsid w:val="00673A47"/>
    <w:rsid w:val="00673A8D"/>
    <w:rsid w:val="00673AC5"/>
    <w:rsid w:val="00673BB0"/>
    <w:rsid w:val="00673BFB"/>
    <w:rsid w:val="00673C78"/>
    <w:rsid w:val="00673D8F"/>
    <w:rsid w:val="00673E0D"/>
    <w:rsid w:val="00673F43"/>
    <w:rsid w:val="00673FDF"/>
    <w:rsid w:val="0067401A"/>
    <w:rsid w:val="006741E6"/>
    <w:rsid w:val="00674271"/>
    <w:rsid w:val="0067454F"/>
    <w:rsid w:val="006745E7"/>
    <w:rsid w:val="00674782"/>
    <w:rsid w:val="006747D0"/>
    <w:rsid w:val="0067487A"/>
    <w:rsid w:val="00674959"/>
    <w:rsid w:val="00674DD8"/>
    <w:rsid w:val="00674EDD"/>
    <w:rsid w:val="0067515F"/>
    <w:rsid w:val="006753D3"/>
    <w:rsid w:val="00675469"/>
    <w:rsid w:val="006755D8"/>
    <w:rsid w:val="0067560E"/>
    <w:rsid w:val="00675747"/>
    <w:rsid w:val="0067580F"/>
    <w:rsid w:val="00675BEF"/>
    <w:rsid w:val="00675D97"/>
    <w:rsid w:val="00675DE6"/>
    <w:rsid w:val="00675E22"/>
    <w:rsid w:val="00675ECE"/>
    <w:rsid w:val="00675F2E"/>
    <w:rsid w:val="00675F83"/>
    <w:rsid w:val="00676029"/>
    <w:rsid w:val="0067610C"/>
    <w:rsid w:val="006762D6"/>
    <w:rsid w:val="006764FD"/>
    <w:rsid w:val="00676524"/>
    <w:rsid w:val="00676549"/>
    <w:rsid w:val="00676550"/>
    <w:rsid w:val="00676632"/>
    <w:rsid w:val="00676687"/>
    <w:rsid w:val="00676896"/>
    <w:rsid w:val="0067691A"/>
    <w:rsid w:val="00676958"/>
    <w:rsid w:val="006769D4"/>
    <w:rsid w:val="006769DD"/>
    <w:rsid w:val="00676DEC"/>
    <w:rsid w:val="006771FD"/>
    <w:rsid w:val="006772B0"/>
    <w:rsid w:val="00677722"/>
    <w:rsid w:val="0067788D"/>
    <w:rsid w:val="00677926"/>
    <w:rsid w:val="006779E7"/>
    <w:rsid w:val="00677A00"/>
    <w:rsid w:val="00677A66"/>
    <w:rsid w:val="00677E5B"/>
    <w:rsid w:val="00677E7E"/>
    <w:rsid w:val="00680058"/>
    <w:rsid w:val="0068015B"/>
    <w:rsid w:val="0068019F"/>
    <w:rsid w:val="006801BF"/>
    <w:rsid w:val="0068023E"/>
    <w:rsid w:val="00680407"/>
    <w:rsid w:val="006804E7"/>
    <w:rsid w:val="00680501"/>
    <w:rsid w:val="0068069B"/>
    <w:rsid w:val="006808C6"/>
    <w:rsid w:val="00680E12"/>
    <w:rsid w:val="00680EC0"/>
    <w:rsid w:val="00680F02"/>
    <w:rsid w:val="0068102F"/>
    <w:rsid w:val="006810B3"/>
    <w:rsid w:val="006810B6"/>
    <w:rsid w:val="0068121A"/>
    <w:rsid w:val="006813E1"/>
    <w:rsid w:val="006814D0"/>
    <w:rsid w:val="006814F4"/>
    <w:rsid w:val="00681514"/>
    <w:rsid w:val="0068155D"/>
    <w:rsid w:val="00681618"/>
    <w:rsid w:val="00681754"/>
    <w:rsid w:val="00681B44"/>
    <w:rsid w:val="00681B8C"/>
    <w:rsid w:val="00681DC4"/>
    <w:rsid w:val="00681E4A"/>
    <w:rsid w:val="00681E4E"/>
    <w:rsid w:val="00681EA8"/>
    <w:rsid w:val="00681EE9"/>
    <w:rsid w:val="00681F70"/>
    <w:rsid w:val="0068231D"/>
    <w:rsid w:val="006824DB"/>
    <w:rsid w:val="00682724"/>
    <w:rsid w:val="0068279E"/>
    <w:rsid w:val="00682A02"/>
    <w:rsid w:val="00682A03"/>
    <w:rsid w:val="00682B71"/>
    <w:rsid w:val="00682BE5"/>
    <w:rsid w:val="00682E38"/>
    <w:rsid w:val="00682E52"/>
    <w:rsid w:val="00682E91"/>
    <w:rsid w:val="00682F00"/>
    <w:rsid w:val="006830CB"/>
    <w:rsid w:val="006832EE"/>
    <w:rsid w:val="0068336F"/>
    <w:rsid w:val="0068346A"/>
    <w:rsid w:val="006834EB"/>
    <w:rsid w:val="00683533"/>
    <w:rsid w:val="00683694"/>
    <w:rsid w:val="006836AB"/>
    <w:rsid w:val="0068376B"/>
    <w:rsid w:val="0068383D"/>
    <w:rsid w:val="00683BF5"/>
    <w:rsid w:val="00683CE5"/>
    <w:rsid w:val="00683DA9"/>
    <w:rsid w:val="00683EBF"/>
    <w:rsid w:val="00683F04"/>
    <w:rsid w:val="00683F45"/>
    <w:rsid w:val="00684015"/>
    <w:rsid w:val="006841EF"/>
    <w:rsid w:val="006842E6"/>
    <w:rsid w:val="006843C9"/>
    <w:rsid w:val="006843D5"/>
    <w:rsid w:val="0068442C"/>
    <w:rsid w:val="00684454"/>
    <w:rsid w:val="006844D6"/>
    <w:rsid w:val="006845DE"/>
    <w:rsid w:val="00684686"/>
    <w:rsid w:val="006846A5"/>
    <w:rsid w:val="006846CA"/>
    <w:rsid w:val="006846EE"/>
    <w:rsid w:val="0068478A"/>
    <w:rsid w:val="006848E8"/>
    <w:rsid w:val="00684AB9"/>
    <w:rsid w:val="00684C3B"/>
    <w:rsid w:val="00684CC8"/>
    <w:rsid w:val="00684D61"/>
    <w:rsid w:val="00684DD2"/>
    <w:rsid w:val="00684E43"/>
    <w:rsid w:val="0068506F"/>
    <w:rsid w:val="006850B4"/>
    <w:rsid w:val="006851D3"/>
    <w:rsid w:val="0068550A"/>
    <w:rsid w:val="006856DA"/>
    <w:rsid w:val="006857B8"/>
    <w:rsid w:val="0068581B"/>
    <w:rsid w:val="006858B9"/>
    <w:rsid w:val="006858D7"/>
    <w:rsid w:val="00685BB1"/>
    <w:rsid w:val="00685CD1"/>
    <w:rsid w:val="00685F00"/>
    <w:rsid w:val="00685F77"/>
    <w:rsid w:val="00685F98"/>
    <w:rsid w:val="00685FE8"/>
    <w:rsid w:val="006860B6"/>
    <w:rsid w:val="00686165"/>
    <w:rsid w:val="006862D2"/>
    <w:rsid w:val="006862D5"/>
    <w:rsid w:val="00686419"/>
    <w:rsid w:val="0068682E"/>
    <w:rsid w:val="00686846"/>
    <w:rsid w:val="00686A2A"/>
    <w:rsid w:val="00686C06"/>
    <w:rsid w:val="00686C8B"/>
    <w:rsid w:val="00686F4D"/>
    <w:rsid w:val="00687088"/>
    <w:rsid w:val="006871B8"/>
    <w:rsid w:val="0068733C"/>
    <w:rsid w:val="006873E1"/>
    <w:rsid w:val="006873EB"/>
    <w:rsid w:val="00687458"/>
    <w:rsid w:val="00687521"/>
    <w:rsid w:val="0068754E"/>
    <w:rsid w:val="00687780"/>
    <w:rsid w:val="0068779D"/>
    <w:rsid w:val="006879DB"/>
    <w:rsid w:val="00687A61"/>
    <w:rsid w:val="00687BF7"/>
    <w:rsid w:val="00687D09"/>
    <w:rsid w:val="00687D33"/>
    <w:rsid w:val="00687D76"/>
    <w:rsid w:val="00687F09"/>
    <w:rsid w:val="00687FF5"/>
    <w:rsid w:val="0069006F"/>
    <w:rsid w:val="006901F9"/>
    <w:rsid w:val="00690234"/>
    <w:rsid w:val="0069023D"/>
    <w:rsid w:val="0069031B"/>
    <w:rsid w:val="006903EF"/>
    <w:rsid w:val="00690458"/>
    <w:rsid w:val="006904C9"/>
    <w:rsid w:val="00690777"/>
    <w:rsid w:val="006908C5"/>
    <w:rsid w:val="0069095A"/>
    <w:rsid w:val="006909A1"/>
    <w:rsid w:val="00690A9C"/>
    <w:rsid w:val="00690AAC"/>
    <w:rsid w:val="00690B5B"/>
    <w:rsid w:val="00690C0A"/>
    <w:rsid w:val="00690C29"/>
    <w:rsid w:val="00690C7E"/>
    <w:rsid w:val="00690C93"/>
    <w:rsid w:val="00690D95"/>
    <w:rsid w:val="00690E27"/>
    <w:rsid w:val="006910FC"/>
    <w:rsid w:val="0069111B"/>
    <w:rsid w:val="00691206"/>
    <w:rsid w:val="006912B4"/>
    <w:rsid w:val="00691726"/>
    <w:rsid w:val="006917E1"/>
    <w:rsid w:val="0069185A"/>
    <w:rsid w:val="00691A5A"/>
    <w:rsid w:val="00691AB2"/>
    <w:rsid w:val="00691C34"/>
    <w:rsid w:val="00691C6C"/>
    <w:rsid w:val="00691CBF"/>
    <w:rsid w:val="00691D1D"/>
    <w:rsid w:val="0069213F"/>
    <w:rsid w:val="00692225"/>
    <w:rsid w:val="0069222E"/>
    <w:rsid w:val="00692292"/>
    <w:rsid w:val="00692433"/>
    <w:rsid w:val="0069254D"/>
    <w:rsid w:val="00692690"/>
    <w:rsid w:val="0069278E"/>
    <w:rsid w:val="00692A82"/>
    <w:rsid w:val="00692CBA"/>
    <w:rsid w:val="00692D14"/>
    <w:rsid w:val="00692D35"/>
    <w:rsid w:val="00692DEA"/>
    <w:rsid w:val="00692E10"/>
    <w:rsid w:val="00692E3F"/>
    <w:rsid w:val="00692EAD"/>
    <w:rsid w:val="00692F5B"/>
    <w:rsid w:val="006930CB"/>
    <w:rsid w:val="006931E0"/>
    <w:rsid w:val="006933A0"/>
    <w:rsid w:val="0069340E"/>
    <w:rsid w:val="006934DA"/>
    <w:rsid w:val="0069366E"/>
    <w:rsid w:val="0069397B"/>
    <w:rsid w:val="006939CB"/>
    <w:rsid w:val="00693A45"/>
    <w:rsid w:val="00693A53"/>
    <w:rsid w:val="00693A93"/>
    <w:rsid w:val="00693C7B"/>
    <w:rsid w:val="00693CF9"/>
    <w:rsid w:val="00693D56"/>
    <w:rsid w:val="00693EC3"/>
    <w:rsid w:val="00693FF0"/>
    <w:rsid w:val="00694157"/>
    <w:rsid w:val="0069416C"/>
    <w:rsid w:val="0069417B"/>
    <w:rsid w:val="00694259"/>
    <w:rsid w:val="00694304"/>
    <w:rsid w:val="0069435E"/>
    <w:rsid w:val="006944AE"/>
    <w:rsid w:val="006944CE"/>
    <w:rsid w:val="006945FE"/>
    <w:rsid w:val="0069464A"/>
    <w:rsid w:val="006946F7"/>
    <w:rsid w:val="006947E5"/>
    <w:rsid w:val="006948F8"/>
    <w:rsid w:val="006949E5"/>
    <w:rsid w:val="00694BA4"/>
    <w:rsid w:val="00694C1D"/>
    <w:rsid w:val="00694CC2"/>
    <w:rsid w:val="00694E92"/>
    <w:rsid w:val="00694EBF"/>
    <w:rsid w:val="00694F0F"/>
    <w:rsid w:val="00695140"/>
    <w:rsid w:val="0069514C"/>
    <w:rsid w:val="0069514E"/>
    <w:rsid w:val="0069526A"/>
    <w:rsid w:val="00695332"/>
    <w:rsid w:val="0069536C"/>
    <w:rsid w:val="006958A0"/>
    <w:rsid w:val="006958D6"/>
    <w:rsid w:val="00695C7B"/>
    <w:rsid w:val="00695DE5"/>
    <w:rsid w:val="00695F73"/>
    <w:rsid w:val="0069602F"/>
    <w:rsid w:val="00696132"/>
    <w:rsid w:val="006961E1"/>
    <w:rsid w:val="0069625E"/>
    <w:rsid w:val="0069644B"/>
    <w:rsid w:val="0069659E"/>
    <w:rsid w:val="006965E9"/>
    <w:rsid w:val="006966A8"/>
    <w:rsid w:val="00696930"/>
    <w:rsid w:val="00696998"/>
    <w:rsid w:val="00696B03"/>
    <w:rsid w:val="00696B45"/>
    <w:rsid w:val="00696C70"/>
    <w:rsid w:val="00696CFB"/>
    <w:rsid w:val="00696E53"/>
    <w:rsid w:val="00696EF5"/>
    <w:rsid w:val="00697090"/>
    <w:rsid w:val="006970A0"/>
    <w:rsid w:val="00697211"/>
    <w:rsid w:val="006972EC"/>
    <w:rsid w:val="00697304"/>
    <w:rsid w:val="00697381"/>
    <w:rsid w:val="00697558"/>
    <w:rsid w:val="0069760E"/>
    <w:rsid w:val="006977B6"/>
    <w:rsid w:val="006978CB"/>
    <w:rsid w:val="006978F0"/>
    <w:rsid w:val="006979AD"/>
    <w:rsid w:val="00697A3C"/>
    <w:rsid w:val="00697A6C"/>
    <w:rsid w:val="00697C0A"/>
    <w:rsid w:val="00697C7B"/>
    <w:rsid w:val="00697D2D"/>
    <w:rsid w:val="00697E4F"/>
    <w:rsid w:val="00697EDC"/>
    <w:rsid w:val="006A0037"/>
    <w:rsid w:val="006A015A"/>
    <w:rsid w:val="006A020B"/>
    <w:rsid w:val="006A02BC"/>
    <w:rsid w:val="006A02D1"/>
    <w:rsid w:val="006A05B1"/>
    <w:rsid w:val="006A072A"/>
    <w:rsid w:val="006A07B3"/>
    <w:rsid w:val="006A093A"/>
    <w:rsid w:val="006A0A35"/>
    <w:rsid w:val="006A0AC1"/>
    <w:rsid w:val="006A0B43"/>
    <w:rsid w:val="006A0BBD"/>
    <w:rsid w:val="006A0D69"/>
    <w:rsid w:val="006A0D8E"/>
    <w:rsid w:val="006A1142"/>
    <w:rsid w:val="006A1193"/>
    <w:rsid w:val="006A1541"/>
    <w:rsid w:val="006A1570"/>
    <w:rsid w:val="006A1725"/>
    <w:rsid w:val="006A17C6"/>
    <w:rsid w:val="006A17C9"/>
    <w:rsid w:val="006A18B2"/>
    <w:rsid w:val="006A1927"/>
    <w:rsid w:val="006A19EC"/>
    <w:rsid w:val="006A1CD7"/>
    <w:rsid w:val="006A1E17"/>
    <w:rsid w:val="006A1E9E"/>
    <w:rsid w:val="006A1EB6"/>
    <w:rsid w:val="006A1ED8"/>
    <w:rsid w:val="006A1F7C"/>
    <w:rsid w:val="006A1FE4"/>
    <w:rsid w:val="006A20AD"/>
    <w:rsid w:val="006A213F"/>
    <w:rsid w:val="006A246C"/>
    <w:rsid w:val="006A2528"/>
    <w:rsid w:val="006A26E2"/>
    <w:rsid w:val="006A27B3"/>
    <w:rsid w:val="006A2873"/>
    <w:rsid w:val="006A298F"/>
    <w:rsid w:val="006A2A59"/>
    <w:rsid w:val="006A2D03"/>
    <w:rsid w:val="006A2D9F"/>
    <w:rsid w:val="006A2EEE"/>
    <w:rsid w:val="006A2EF9"/>
    <w:rsid w:val="006A2FE8"/>
    <w:rsid w:val="006A308A"/>
    <w:rsid w:val="006A33B8"/>
    <w:rsid w:val="006A36BC"/>
    <w:rsid w:val="006A36CD"/>
    <w:rsid w:val="006A372C"/>
    <w:rsid w:val="006A3747"/>
    <w:rsid w:val="006A3915"/>
    <w:rsid w:val="006A3916"/>
    <w:rsid w:val="006A3942"/>
    <w:rsid w:val="006A39E9"/>
    <w:rsid w:val="006A3C30"/>
    <w:rsid w:val="006A3CC2"/>
    <w:rsid w:val="006A3CCF"/>
    <w:rsid w:val="006A3DAE"/>
    <w:rsid w:val="006A40B5"/>
    <w:rsid w:val="006A44D8"/>
    <w:rsid w:val="006A49F0"/>
    <w:rsid w:val="006A4EC1"/>
    <w:rsid w:val="006A4ED0"/>
    <w:rsid w:val="006A4EEB"/>
    <w:rsid w:val="006A4FBB"/>
    <w:rsid w:val="006A51F3"/>
    <w:rsid w:val="006A51FC"/>
    <w:rsid w:val="006A54C2"/>
    <w:rsid w:val="006A5627"/>
    <w:rsid w:val="006A56E9"/>
    <w:rsid w:val="006A5716"/>
    <w:rsid w:val="006A57A0"/>
    <w:rsid w:val="006A587C"/>
    <w:rsid w:val="006A5B61"/>
    <w:rsid w:val="006A5B6F"/>
    <w:rsid w:val="006A5D36"/>
    <w:rsid w:val="006A5EF5"/>
    <w:rsid w:val="006A5F64"/>
    <w:rsid w:val="006A5FB8"/>
    <w:rsid w:val="006A5FD5"/>
    <w:rsid w:val="006A603C"/>
    <w:rsid w:val="006A6303"/>
    <w:rsid w:val="006A64E5"/>
    <w:rsid w:val="006A653D"/>
    <w:rsid w:val="006A6547"/>
    <w:rsid w:val="006A677B"/>
    <w:rsid w:val="006A679E"/>
    <w:rsid w:val="006A6810"/>
    <w:rsid w:val="006A6888"/>
    <w:rsid w:val="006A68CA"/>
    <w:rsid w:val="006A6B96"/>
    <w:rsid w:val="006A6BAB"/>
    <w:rsid w:val="006A6CF2"/>
    <w:rsid w:val="006A6E7B"/>
    <w:rsid w:val="006A6F1F"/>
    <w:rsid w:val="006A7017"/>
    <w:rsid w:val="006A7253"/>
    <w:rsid w:val="006A7422"/>
    <w:rsid w:val="006A7437"/>
    <w:rsid w:val="006A7448"/>
    <w:rsid w:val="006A74DC"/>
    <w:rsid w:val="006A7604"/>
    <w:rsid w:val="006A76DC"/>
    <w:rsid w:val="006A78B4"/>
    <w:rsid w:val="006A7A21"/>
    <w:rsid w:val="006A7E2A"/>
    <w:rsid w:val="006B031E"/>
    <w:rsid w:val="006B037A"/>
    <w:rsid w:val="006B0413"/>
    <w:rsid w:val="006B042F"/>
    <w:rsid w:val="006B0518"/>
    <w:rsid w:val="006B0662"/>
    <w:rsid w:val="006B06ED"/>
    <w:rsid w:val="006B08BB"/>
    <w:rsid w:val="006B08F9"/>
    <w:rsid w:val="006B097C"/>
    <w:rsid w:val="006B09D5"/>
    <w:rsid w:val="006B0AFF"/>
    <w:rsid w:val="006B0D55"/>
    <w:rsid w:val="006B0E07"/>
    <w:rsid w:val="006B0E3F"/>
    <w:rsid w:val="006B0F38"/>
    <w:rsid w:val="006B1060"/>
    <w:rsid w:val="006B1388"/>
    <w:rsid w:val="006B13AA"/>
    <w:rsid w:val="006B16EE"/>
    <w:rsid w:val="006B18C7"/>
    <w:rsid w:val="006B18FD"/>
    <w:rsid w:val="006B1997"/>
    <w:rsid w:val="006B1BE5"/>
    <w:rsid w:val="006B1CDA"/>
    <w:rsid w:val="006B1DCF"/>
    <w:rsid w:val="006B20A3"/>
    <w:rsid w:val="006B2109"/>
    <w:rsid w:val="006B2230"/>
    <w:rsid w:val="006B2388"/>
    <w:rsid w:val="006B238D"/>
    <w:rsid w:val="006B253B"/>
    <w:rsid w:val="006B2546"/>
    <w:rsid w:val="006B2732"/>
    <w:rsid w:val="006B27B2"/>
    <w:rsid w:val="006B27CB"/>
    <w:rsid w:val="006B29F3"/>
    <w:rsid w:val="006B2AC2"/>
    <w:rsid w:val="006B2C54"/>
    <w:rsid w:val="006B2CE7"/>
    <w:rsid w:val="006B2E3E"/>
    <w:rsid w:val="006B2EFC"/>
    <w:rsid w:val="006B30F4"/>
    <w:rsid w:val="006B351F"/>
    <w:rsid w:val="006B35A1"/>
    <w:rsid w:val="006B35A4"/>
    <w:rsid w:val="006B35B5"/>
    <w:rsid w:val="006B375C"/>
    <w:rsid w:val="006B381F"/>
    <w:rsid w:val="006B3A55"/>
    <w:rsid w:val="006B3BE9"/>
    <w:rsid w:val="006B3C6B"/>
    <w:rsid w:val="006B3CAF"/>
    <w:rsid w:val="006B3D15"/>
    <w:rsid w:val="006B3D28"/>
    <w:rsid w:val="006B3E36"/>
    <w:rsid w:val="006B3E66"/>
    <w:rsid w:val="006B3EBB"/>
    <w:rsid w:val="006B3F62"/>
    <w:rsid w:val="006B3F7B"/>
    <w:rsid w:val="006B4244"/>
    <w:rsid w:val="006B4566"/>
    <w:rsid w:val="006B4592"/>
    <w:rsid w:val="006B45A4"/>
    <w:rsid w:val="006B465A"/>
    <w:rsid w:val="006B4A6F"/>
    <w:rsid w:val="006B4B0E"/>
    <w:rsid w:val="006B4B10"/>
    <w:rsid w:val="006B4C12"/>
    <w:rsid w:val="006B4D87"/>
    <w:rsid w:val="006B4EF5"/>
    <w:rsid w:val="006B51EF"/>
    <w:rsid w:val="006B522F"/>
    <w:rsid w:val="006B5287"/>
    <w:rsid w:val="006B52E1"/>
    <w:rsid w:val="006B52F5"/>
    <w:rsid w:val="006B53F3"/>
    <w:rsid w:val="006B54A6"/>
    <w:rsid w:val="006B5559"/>
    <w:rsid w:val="006B55EF"/>
    <w:rsid w:val="006B5774"/>
    <w:rsid w:val="006B585C"/>
    <w:rsid w:val="006B5904"/>
    <w:rsid w:val="006B5930"/>
    <w:rsid w:val="006B593E"/>
    <w:rsid w:val="006B59CA"/>
    <w:rsid w:val="006B5EC4"/>
    <w:rsid w:val="006B609E"/>
    <w:rsid w:val="006B6153"/>
    <w:rsid w:val="006B6370"/>
    <w:rsid w:val="006B63DA"/>
    <w:rsid w:val="006B658C"/>
    <w:rsid w:val="006B660C"/>
    <w:rsid w:val="006B6614"/>
    <w:rsid w:val="006B666C"/>
    <w:rsid w:val="006B6672"/>
    <w:rsid w:val="006B677B"/>
    <w:rsid w:val="006B68BA"/>
    <w:rsid w:val="006B6935"/>
    <w:rsid w:val="006B6A87"/>
    <w:rsid w:val="006B6CDA"/>
    <w:rsid w:val="006B6DF2"/>
    <w:rsid w:val="006B6F1E"/>
    <w:rsid w:val="006B6FC1"/>
    <w:rsid w:val="006B7036"/>
    <w:rsid w:val="006B7085"/>
    <w:rsid w:val="006B7097"/>
    <w:rsid w:val="006B7212"/>
    <w:rsid w:val="006B724C"/>
    <w:rsid w:val="006B74A7"/>
    <w:rsid w:val="006B75BA"/>
    <w:rsid w:val="006B7640"/>
    <w:rsid w:val="006B775F"/>
    <w:rsid w:val="006B783C"/>
    <w:rsid w:val="006B7D13"/>
    <w:rsid w:val="006B7E77"/>
    <w:rsid w:val="006B7EEE"/>
    <w:rsid w:val="006C0150"/>
    <w:rsid w:val="006C0256"/>
    <w:rsid w:val="006C03F1"/>
    <w:rsid w:val="006C04C1"/>
    <w:rsid w:val="006C08F2"/>
    <w:rsid w:val="006C0A49"/>
    <w:rsid w:val="006C0A94"/>
    <w:rsid w:val="006C0AFC"/>
    <w:rsid w:val="006C0C85"/>
    <w:rsid w:val="006C0DA9"/>
    <w:rsid w:val="006C0E0D"/>
    <w:rsid w:val="006C0E73"/>
    <w:rsid w:val="006C0F5B"/>
    <w:rsid w:val="006C106C"/>
    <w:rsid w:val="006C1096"/>
    <w:rsid w:val="006C113D"/>
    <w:rsid w:val="006C122F"/>
    <w:rsid w:val="006C1276"/>
    <w:rsid w:val="006C12E0"/>
    <w:rsid w:val="006C12F2"/>
    <w:rsid w:val="006C13C5"/>
    <w:rsid w:val="006C1545"/>
    <w:rsid w:val="006C1560"/>
    <w:rsid w:val="006C156D"/>
    <w:rsid w:val="006C16EF"/>
    <w:rsid w:val="006C1766"/>
    <w:rsid w:val="006C187F"/>
    <w:rsid w:val="006C191B"/>
    <w:rsid w:val="006C1A4E"/>
    <w:rsid w:val="006C1BB4"/>
    <w:rsid w:val="006C1C5D"/>
    <w:rsid w:val="006C1D08"/>
    <w:rsid w:val="006C1D10"/>
    <w:rsid w:val="006C1FDF"/>
    <w:rsid w:val="006C200A"/>
    <w:rsid w:val="006C2075"/>
    <w:rsid w:val="006C20E2"/>
    <w:rsid w:val="006C2114"/>
    <w:rsid w:val="006C2227"/>
    <w:rsid w:val="006C22AF"/>
    <w:rsid w:val="006C2385"/>
    <w:rsid w:val="006C23DD"/>
    <w:rsid w:val="006C2477"/>
    <w:rsid w:val="006C24F9"/>
    <w:rsid w:val="006C28F7"/>
    <w:rsid w:val="006C2989"/>
    <w:rsid w:val="006C2A24"/>
    <w:rsid w:val="006C2AAD"/>
    <w:rsid w:val="006C2B27"/>
    <w:rsid w:val="006C2D26"/>
    <w:rsid w:val="006C2DBA"/>
    <w:rsid w:val="006C2FCC"/>
    <w:rsid w:val="006C30C0"/>
    <w:rsid w:val="006C31A3"/>
    <w:rsid w:val="006C31C8"/>
    <w:rsid w:val="006C3359"/>
    <w:rsid w:val="006C3416"/>
    <w:rsid w:val="006C3534"/>
    <w:rsid w:val="006C3596"/>
    <w:rsid w:val="006C359A"/>
    <w:rsid w:val="006C3AC2"/>
    <w:rsid w:val="006C3B3A"/>
    <w:rsid w:val="006C3DD6"/>
    <w:rsid w:val="006C3E6B"/>
    <w:rsid w:val="006C3E88"/>
    <w:rsid w:val="006C3FA9"/>
    <w:rsid w:val="006C4131"/>
    <w:rsid w:val="006C42B1"/>
    <w:rsid w:val="006C44E4"/>
    <w:rsid w:val="006C471A"/>
    <w:rsid w:val="006C474D"/>
    <w:rsid w:val="006C4921"/>
    <w:rsid w:val="006C4977"/>
    <w:rsid w:val="006C4A6C"/>
    <w:rsid w:val="006C4A83"/>
    <w:rsid w:val="006C4ADC"/>
    <w:rsid w:val="006C4BDE"/>
    <w:rsid w:val="006C4FAA"/>
    <w:rsid w:val="006C4FE8"/>
    <w:rsid w:val="006C50A3"/>
    <w:rsid w:val="006C52A8"/>
    <w:rsid w:val="006C534E"/>
    <w:rsid w:val="006C543B"/>
    <w:rsid w:val="006C5577"/>
    <w:rsid w:val="006C56FD"/>
    <w:rsid w:val="006C5A11"/>
    <w:rsid w:val="006C5A1E"/>
    <w:rsid w:val="006C5B7B"/>
    <w:rsid w:val="006C5B97"/>
    <w:rsid w:val="006C5BD3"/>
    <w:rsid w:val="006C5D23"/>
    <w:rsid w:val="006C5D63"/>
    <w:rsid w:val="006C5E6F"/>
    <w:rsid w:val="006C5F54"/>
    <w:rsid w:val="006C605C"/>
    <w:rsid w:val="006C60F4"/>
    <w:rsid w:val="006C625F"/>
    <w:rsid w:val="006C632F"/>
    <w:rsid w:val="006C63F2"/>
    <w:rsid w:val="006C64F6"/>
    <w:rsid w:val="006C659E"/>
    <w:rsid w:val="006C663A"/>
    <w:rsid w:val="006C6665"/>
    <w:rsid w:val="006C6A58"/>
    <w:rsid w:val="006C6AB0"/>
    <w:rsid w:val="006C6B0A"/>
    <w:rsid w:val="006C6BC6"/>
    <w:rsid w:val="006C6BE1"/>
    <w:rsid w:val="006C6DA6"/>
    <w:rsid w:val="006C6E1B"/>
    <w:rsid w:val="006C6E76"/>
    <w:rsid w:val="006C6FBB"/>
    <w:rsid w:val="006C7242"/>
    <w:rsid w:val="006C7526"/>
    <w:rsid w:val="006C755E"/>
    <w:rsid w:val="006C7F13"/>
    <w:rsid w:val="006C7FB7"/>
    <w:rsid w:val="006D025A"/>
    <w:rsid w:val="006D02EE"/>
    <w:rsid w:val="006D0310"/>
    <w:rsid w:val="006D034F"/>
    <w:rsid w:val="006D03EE"/>
    <w:rsid w:val="006D03F1"/>
    <w:rsid w:val="006D0439"/>
    <w:rsid w:val="006D04CE"/>
    <w:rsid w:val="006D051D"/>
    <w:rsid w:val="006D06FC"/>
    <w:rsid w:val="006D0704"/>
    <w:rsid w:val="006D088F"/>
    <w:rsid w:val="006D0A2E"/>
    <w:rsid w:val="006D0BAD"/>
    <w:rsid w:val="006D0BBD"/>
    <w:rsid w:val="006D0DE0"/>
    <w:rsid w:val="006D0E04"/>
    <w:rsid w:val="006D0FC8"/>
    <w:rsid w:val="006D10D4"/>
    <w:rsid w:val="006D1130"/>
    <w:rsid w:val="006D14FB"/>
    <w:rsid w:val="006D17BF"/>
    <w:rsid w:val="006D18D9"/>
    <w:rsid w:val="006D193F"/>
    <w:rsid w:val="006D1991"/>
    <w:rsid w:val="006D19DA"/>
    <w:rsid w:val="006D1A3C"/>
    <w:rsid w:val="006D1A40"/>
    <w:rsid w:val="006D1ACE"/>
    <w:rsid w:val="006D1B88"/>
    <w:rsid w:val="006D1CB5"/>
    <w:rsid w:val="006D1DA0"/>
    <w:rsid w:val="006D1DFF"/>
    <w:rsid w:val="006D1E43"/>
    <w:rsid w:val="006D1E6D"/>
    <w:rsid w:val="006D20ED"/>
    <w:rsid w:val="006D21B1"/>
    <w:rsid w:val="006D224A"/>
    <w:rsid w:val="006D22A8"/>
    <w:rsid w:val="006D23B1"/>
    <w:rsid w:val="006D23F3"/>
    <w:rsid w:val="006D2565"/>
    <w:rsid w:val="006D2595"/>
    <w:rsid w:val="006D25AF"/>
    <w:rsid w:val="006D2689"/>
    <w:rsid w:val="006D26EF"/>
    <w:rsid w:val="006D283E"/>
    <w:rsid w:val="006D2872"/>
    <w:rsid w:val="006D28D2"/>
    <w:rsid w:val="006D2961"/>
    <w:rsid w:val="006D2A4F"/>
    <w:rsid w:val="006D2D34"/>
    <w:rsid w:val="006D2E49"/>
    <w:rsid w:val="006D2EAE"/>
    <w:rsid w:val="006D3166"/>
    <w:rsid w:val="006D3273"/>
    <w:rsid w:val="006D3368"/>
    <w:rsid w:val="006D347D"/>
    <w:rsid w:val="006D35A9"/>
    <w:rsid w:val="006D3696"/>
    <w:rsid w:val="006D36D0"/>
    <w:rsid w:val="006D37DC"/>
    <w:rsid w:val="006D3A51"/>
    <w:rsid w:val="006D3DDC"/>
    <w:rsid w:val="006D3E14"/>
    <w:rsid w:val="006D3F49"/>
    <w:rsid w:val="006D41A9"/>
    <w:rsid w:val="006D42F8"/>
    <w:rsid w:val="006D4307"/>
    <w:rsid w:val="006D445E"/>
    <w:rsid w:val="006D453E"/>
    <w:rsid w:val="006D45E4"/>
    <w:rsid w:val="006D460A"/>
    <w:rsid w:val="006D477D"/>
    <w:rsid w:val="006D4808"/>
    <w:rsid w:val="006D4916"/>
    <w:rsid w:val="006D4BB6"/>
    <w:rsid w:val="006D4C29"/>
    <w:rsid w:val="006D4F48"/>
    <w:rsid w:val="006D5138"/>
    <w:rsid w:val="006D5259"/>
    <w:rsid w:val="006D5294"/>
    <w:rsid w:val="006D52D6"/>
    <w:rsid w:val="006D52FB"/>
    <w:rsid w:val="006D5339"/>
    <w:rsid w:val="006D556E"/>
    <w:rsid w:val="006D57F9"/>
    <w:rsid w:val="006D58A0"/>
    <w:rsid w:val="006D5A30"/>
    <w:rsid w:val="006D5A4B"/>
    <w:rsid w:val="006D5B08"/>
    <w:rsid w:val="006D5B45"/>
    <w:rsid w:val="006D5BA6"/>
    <w:rsid w:val="006D5D11"/>
    <w:rsid w:val="006D5DC8"/>
    <w:rsid w:val="006D5DCE"/>
    <w:rsid w:val="006D5E46"/>
    <w:rsid w:val="006D5EB4"/>
    <w:rsid w:val="006D5F22"/>
    <w:rsid w:val="006D5FD7"/>
    <w:rsid w:val="006D5FFF"/>
    <w:rsid w:val="006D60E9"/>
    <w:rsid w:val="006D62B0"/>
    <w:rsid w:val="006D63E4"/>
    <w:rsid w:val="006D6471"/>
    <w:rsid w:val="006D64BC"/>
    <w:rsid w:val="006D650E"/>
    <w:rsid w:val="006D6520"/>
    <w:rsid w:val="006D6811"/>
    <w:rsid w:val="006D69AD"/>
    <w:rsid w:val="006D6ACF"/>
    <w:rsid w:val="006D6C40"/>
    <w:rsid w:val="006D6D42"/>
    <w:rsid w:val="006D6D89"/>
    <w:rsid w:val="006D6E0F"/>
    <w:rsid w:val="006D6E34"/>
    <w:rsid w:val="006D6FE9"/>
    <w:rsid w:val="006D707B"/>
    <w:rsid w:val="006D72E8"/>
    <w:rsid w:val="006D738C"/>
    <w:rsid w:val="006D73C1"/>
    <w:rsid w:val="006D73D1"/>
    <w:rsid w:val="006D7418"/>
    <w:rsid w:val="006D75A1"/>
    <w:rsid w:val="006D76A1"/>
    <w:rsid w:val="006D7BB3"/>
    <w:rsid w:val="006D7C6F"/>
    <w:rsid w:val="006D7D72"/>
    <w:rsid w:val="006E009F"/>
    <w:rsid w:val="006E0186"/>
    <w:rsid w:val="006E01BC"/>
    <w:rsid w:val="006E037B"/>
    <w:rsid w:val="006E0601"/>
    <w:rsid w:val="006E0B45"/>
    <w:rsid w:val="006E0B91"/>
    <w:rsid w:val="006E0D03"/>
    <w:rsid w:val="006E0D81"/>
    <w:rsid w:val="006E0DE8"/>
    <w:rsid w:val="006E0EDD"/>
    <w:rsid w:val="006E0F1B"/>
    <w:rsid w:val="006E0F8F"/>
    <w:rsid w:val="006E1010"/>
    <w:rsid w:val="006E10D7"/>
    <w:rsid w:val="006E1126"/>
    <w:rsid w:val="006E1611"/>
    <w:rsid w:val="006E1920"/>
    <w:rsid w:val="006E1A90"/>
    <w:rsid w:val="006E1AC4"/>
    <w:rsid w:val="006E21DC"/>
    <w:rsid w:val="006E21E1"/>
    <w:rsid w:val="006E220C"/>
    <w:rsid w:val="006E22F6"/>
    <w:rsid w:val="006E243C"/>
    <w:rsid w:val="006E27F5"/>
    <w:rsid w:val="006E2AA1"/>
    <w:rsid w:val="006E2ACB"/>
    <w:rsid w:val="006E2AEF"/>
    <w:rsid w:val="006E2B04"/>
    <w:rsid w:val="006E2EBF"/>
    <w:rsid w:val="006E2F9F"/>
    <w:rsid w:val="006E3008"/>
    <w:rsid w:val="006E3034"/>
    <w:rsid w:val="006E3133"/>
    <w:rsid w:val="006E328C"/>
    <w:rsid w:val="006E32B5"/>
    <w:rsid w:val="006E353F"/>
    <w:rsid w:val="006E359E"/>
    <w:rsid w:val="006E3701"/>
    <w:rsid w:val="006E37ED"/>
    <w:rsid w:val="006E38BA"/>
    <w:rsid w:val="006E3906"/>
    <w:rsid w:val="006E3A85"/>
    <w:rsid w:val="006E3D3B"/>
    <w:rsid w:val="006E3F7F"/>
    <w:rsid w:val="006E3F80"/>
    <w:rsid w:val="006E413F"/>
    <w:rsid w:val="006E419A"/>
    <w:rsid w:val="006E425F"/>
    <w:rsid w:val="006E44EC"/>
    <w:rsid w:val="006E460C"/>
    <w:rsid w:val="006E46CA"/>
    <w:rsid w:val="006E4815"/>
    <w:rsid w:val="006E49A5"/>
    <w:rsid w:val="006E4BF2"/>
    <w:rsid w:val="006E5073"/>
    <w:rsid w:val="006E510A"/>
    <w:rsid w:val="006E522F"/>
    <w:rsid w:val="006E52C4"/>
    <w:rsid w:val="006E52E5"/>
    <w:rsid w:val="006E555A"/>
    <w:rsid w:val="006E5566"/>
    <w:rsid w:val="006E5597"/>
    <w:rsid w:val="006E5674"/>
    <w:rsid w:val="006E573E"/>
    <w:rsid w:val="006E5769"/>
    <w:rsid w:val="006E58F7"/>
    <w:rsid w:val="006E5E84"/>
    <w:rsid w:val="006E5F01"/>
    <w:rsid w:val="006E5F24"/>
    <w:rsid w:val="006E5FBB"/>
    <w:rsid w:val="006E6147"/>
    <w:rsid w:val="006E6193"/>
    <w:rsid w:val="006E61BE"/>
    <w:rsid w:val="006E61D1"/>
    <w:rsid w:val="006E6203"/>
    <w:rsid w:val="006E6266"/>
    <w:rsid w:val="006E62B1"/>
    <w:rsid w:val="006E671C"/>
    <w:rsid w:val="006E6748"/>
    <w:rsid w:val="006E6750"/>
    <w:rsid w:val="006E6B30"/>
    <w:rsid w:val="006E6B9E"/>
    <w:rsid w:val="006E6E2F"/>
    <w:rsid w:val="006E7002"/>
    <w:rsid w:val="006E71CF"/>
    <w:rsid w:val="006E72D0"/>
    <w:rsid w:val="006E72F9"/>
    <w:rsid w:val="006E7308"/>
    <w:rsid w:val="006E7446"/>
    <w:rsid w:val="006E7549"/>
    <w:rsid w:val="006E75C1"/>
    <w:rsid w:val="006E7825"/>
    <w:rsid w:val="006E78E1"/>
    <w:rsid w:val="006E7A33"/>
    <w:rsid w:val="006E7C12"/>
    <w:rsid w:val="006E7DE4"/>
    <w:rsid w:val="006E7EF3"/>
    <w:rsid w:val="006F012A"/>
    <w:rsid w:val="006F0209"/>
    <w:rsid w:val="006F028D"/>
    <w:rsid w:val="006F0309"/>
    <w:rsid w:val="006F03FF"/>
    <w:rsid w:val="006F044F"/>
    <w:rsid w:val="006F0514"/>
    <w:rsid w:val="006F0535"/>
    <w:rsid w:val="006F06C2"/>
    <w:rsid w:val="006F085D"/>
    <w:rsid w:val="006F0911"/>
    <w:rsid w:val="006F0AA6"/>
    <w:rsid w:val="006F0BB5"/>
    <w:rsid w:val="006F0C3E"/>
    <w:rsid w:val="006F0C4D"/>
    <w:rsid w:val="006F0E7A"/>
    <w:rsid w:val="006F0FBF"/>
    <w:rsid w:val="006F100A"/>
    <w:rsid w:val="006F1011"/>
    <w:rsid w:val="006F11AE"/>
    <w:rsid w:val="006F1257"/>
    <w:rsid w:val="006F1282"/>
    <w:rsid w:val="006F12B0"/>
    <w:rsid w:val="006F1345"/>
    <w:rsid w:val="006F14FE"/>
    <w:rsid w:val="006F1C28"/>
    <w:rsid w:val="006F1CB6"/>
    <w:rsid w:val="006F1CC0"/>
    <w:rsid w:val="006F1E01"/>
    <w:rsid w:val="006F1E11"/>
    <w:rsid w:val="006F1ED9"/>
    <w:rsid w:val="006F2044"/>
    <w:rsid w:val="006F2453"/>
    <w:rsid w:val="006F2543"/>
    <w:rsid w:val="006F2624"/>
    <w:rsid w:val="006F26E9"/>
    <w:rsid w:val="006F2A8E"/>
    <w:rsid w:val="006F2A97"/>
    <w:rsid w:val="006F2B7E"/>
    <w:rsid w:val="006F2CE6"/>
    <w:rsid w:val="006F2DE7"/>
    <w:rsid w:val="006F2EB8"/>
    <w:rsid w:val="006F3077"/>
    <w:rsid w:val="006F3193"/>
    <w:rsid w:val="006F32D4"/>
    <w:rsid w:val="006F3365"/>
    <w:rsid w:val="006F33A5"/>
    <w:rsid w:val="006F345D"/>
    <w:rsid w:val="006F34AC"/>
    <w:rsid w:val="006F34E5"/>
    <w:rsid w:val="006F35A8"/>
    <w:rsid w:val="006F3826"/>
    <w:rsid w:val="006F38C8"/>
    <w:rsid w:val="006F3ADB"/>
    <w:rsid w:val="006F3B48"/>
    <w:rsid w:val="006F3BA2"/>
    <w:rsid w:val="006F3BA9"/>
    <w:rsid w:val="006F3FAC"/>
    <w:rsid w:val="006F4134"/>
    <w:rsid w:val="006F415C"/>
    <w:rsid w:val="006F420D"/>
    <w:rsid w:val="006F421C"/>
    <w:rsid w:val="006F425E"/>
    <w:rsid w:val="006F42F0"/>
    <w:rsid w:val="006F4348"/>
    <w:rsid w:val="006F4358"/>
    <w:rsid w:val="006F43A9"/>
    <w:rsid w:val="006F4546"/>
    <w:rsid w:val="006F4640"/>
    <w:rsid w:val="006F4703"/>
    <w:rsid w:val="006F4795"/>
    <w:rsid w:val="006F4802"/>
    <w:rsid w:val="006F487B"/>
    <w:rsid w:val="006F4960"/>
    <w:rsid w:val="006F49E0"/>
    <w:rsid w:val="006F49E7"/>
    <w:rsid w:val="006F4B7E"/>
    <w:rsid w:val="006F4C08"/>
    <w:rsid w:val="006F4C36"/>
    <w:rsid w:val="006F4C65"/>
    <w:rsid w:val="006F4F56"/>
    <w:rsid w:val="006F4F80"/>
    <w:rsid w:val="006F5083"/>
    <w:rsid w:val="006F511E"/>
    <w:rsid w:val="006F51F9"/>
    <w:rsid w:val="006F5274"/>
    <w:rsid w:val="006F529A"/>
    <w:rsid w:val="006F544B"/>
    <w:rsid w:val="006F556B"/>
    <w:rsid w:val="006F556C"/>
    <w:rsid w:val="006F55ED"/>
    <w:rsid w:val="006F56A0"/>
    <w:rsid w:val="006F5719"/>
    <w:rsid w:val="006F5876"/>
    <w:rsid w:val="006F5993"/>
    <w:rsid w:val="006F5A6E"/>
    <w:rsid w:val="006F5AA2"/>
    <w:rsid w:val="006F5AB1"/>
    <w:rsid w:val="006F5C2B"/>
    <w:rsid w:val="006F5CC1"/>
    <w:rsid w:val="006F5D02"/>
    <w:rsid w:val="006F5E08"/>
    <w:rsid w:val="006F5E5D"/>
    <w:rsid w:val="006F5F72"/>
    <w:rsid w:val="006F5FE3"/>
    <w:rsid w:val="006F6151"/>
    <w:rsid w:val="006F6182"/>
    <w:rsid w:val="006F61A2"/>
    <w:rsid w:val="006F641F"/>
    <w:rsid w:val="006F6420"/>
    <w:rsid w:val="006F6586"/>
    <w:rsid w:val="006F677E"/>
    <w:rsid w:val="006F68CD"/>
    <w:rsid w:val="006F68D3"/>
    <w:rsid w:val="006F69F5"/>
    <w:rsid w:val="006F6B83"/>
    <w:rsid w:val="006F6BF6"/>
    <w:rsid w:val="006F7000"/>
    <w:rsid w:val="006F707B"/>
    <w:rsid w:val="006F708C"/>
    <w:rsid w:val="006F70FE"/>
    <w:rsid w:val="006F7136"/>
    <w:rsid w:val="006F72EE"/>
    <w:rsid w:val="006F740E"/>
    <w:rsid w:val="006F741E"/>
    <w:rsid w:val="006F753B"/>
    <w:rsid w:val="006F7608"/>
    <w:rsid w:val="006F7657"/>
    <w:rsid w:val="006F76A1"/>
    <w:rsid w:val="006F7738"/>
    <w:rsid w:val="006F78FA"/>
    <w:rsid w:val="006F7AE5"/>
    <w:rsid w:val="006F7BC3"/>
    <w:rsid w:val="006F7BF9"/>
    <w:rsid w:val="006F7D45"/>
    <w:rsid w:val="006F7DC5"/>
    <w:rsid w:val="006F7EBB"/>
    <w:rsid w:val="006F7EE4"/>
    <w:rsid w:val="006F7F47"/>
    <w:rsid w:val="00700099"/>
    <w:rsid w:val="00700358"/>
    <w:rsid w:val="00700564"/>
    <w:rsid w:val="0070057C"/>
    <w:rsid w:val="00700583"/>
    <w:rsid w:val="0070081A"/>
    <w:rsid w:val="00700983"/>
    <w:rsid w:val="007009F6"/>
    <w:rsid w:val="00700D06"/>
    <w:rsid w:val="00700D37"/>
    <w:rsid w:val="00700F7C"/>
    <w:rsid w:val="007010DC"/>
    <w:rsid w:val="0070122D"/>
    <w:rsid w:val="0070125C"/>
    <w:rsid w:val="00701374"/>
    <w:rsid w:val="007015F2"/>
    <w:rsid w:val="007016C7"/>
    <w:rsid w:val="007019AC"/>
    <w:rsid w:val="00701AC2"/>
    <w:rsid w:val="0070225F"/>
    <w:rsid w:val="0070235A"/>
    <w:rsid w:val="007024FE"/>
    <w:rsid w:val="00702766"/>
    <w:rsid w:val="00702771"/>
    <w:rsid w:val="00702786"/>
    <w:rsid w:val="007027F6"/>
    <w:rsid w:val="00702936"/>
    <w:rsid w:val="007029D1"/>
    <w:rsid w:val="00702A5F"/>
    <w:rsid w:val="00702AC5"/>
    <w:rsid w:val="00702B1E"/>
    <w:rsid w:val="00702B24"/>
    <w:rsid w:val="00702B4C"/>
    <w:rsid w:val="00702B84"/>
    <w:rsid w:val="00702B88"/>
    <w:rsid w:val="00702C03"/>
    <w:rsid w:val="00702D2C"/>
    <w:rsid w:val="00702D58"/>
    <w:rsid w:val="00702E1F"/>
    <w:rsid w:val="00702E4F"/>
    <w:rsid w:val="00703091"/>
    <w:rsid w:val="00703092"/>
    <w:rsid w:val="0070309C"/>
    <w:rsid w:val="00703121"/>
    <w:rsid w:val="0070324E"/>
    <w:rsid w:val="00703342"/>
    <w:rsid w:val="00703391"/>
    <w:rsid w:val="007033DB"/>
    <w:rsid w:val="00703483"/>
    <w:rsid w:val="007036B7"/>
    <w:rsid w:val="0070372E"/>
    <w:rsid w:val="00703806"/>
    <w:rsid w:val="0070380F"/>
    <w:rsid w:val="0070392F"/>
    <w:rsid w:val="00703AAE"/>
    <w:rsid w:val="00703C14"/>
    <w:rsid w:val="00703C98"/>
    <w:rsid w:val="00703CD6"/>
    <w:rsid w:val="00703CD9"/>
    <w:rsid w:val="00703D56"/>
    <w:rsid w:val="00703D78"/>
    <w:rsid w:val="00703F6E"/>
    <w:rsid w:val="007040BA"/>
    <w:rsid w:val="00704127"/>
    <w:rsid w:val="0070427F"/>
    <w:rsid w:val="007042E1"/>
    <w:rsid w:val="007042E4"/>
    <w:rsid w:val="007043D7"/>
    <w:rsid w:val="00704444"/>
    <w:rsid w:val="0070448F"/>
    <w:rsid w:val="007044BF"/>
    <w:rsid w:val="0070457B"/>
    <w:rsid w:val="0070460A"/>
    <w:rsid w:val="0070463E"/>
    <w:rsid w:val="00704763"/>
    <w:rsid w:val="00704989"/>
    <w:rsid w:val="007049B5"/>
    <w:rsid w:val="00704AF5"/>
    <w:rsid w:val="00704D83"/>
    <w:rsid w:val="00704E7F"/>
    <w:rsid w:val="00704E9B"/>
    <w:rsid w:val="00704F2F"/>
    <w:rsid w:val="00705336"/>
    <w:rsid w:val="0070554F"/>
    <w:rsid w:val="007057AA"/>
    <w:rsid w:val="007057CF"/>
    <w:rsid w:val="00705B73"/>
    <w:rsid w:val="00705C91"/>
    <w:rsid w:val="00705DFD"/>
    <w:rsid w:val="00705EE7"/>
    <w:rsid w:val="00706242"/>
    <w:rsid w:val="00706557"/>
    <w:rsid w:val="0070656F"/>
    <w:rsid w:val="0070661F"/>
    <w:rsid w:val="00706728"/>
    <w:rsid w:val="00706B25"/>
    <w:rsid w:val="00706BA6"/>
    <w:rsid w:val="00706BCC"/>
    <w:rsid w:val="00706BCD"/>
    <w:rsid w:val="00706C31"/>
    <w:rsid w:val="00706CBF"/>
    <w:rsid w:val="00706D2E"/>
    <w:rsid w:val="00706D86"/>
    <w:rsid w:val="00706E73"/>
    <w:rsid w:val="00707030"/>
    <w:rsid w:val="007073BC"/>
    <w:rsid w:val="00707480"/>
    <w:rsid w:val="00707578"/>
    <w:rsid w:val="00707666"/>
    <w:rsid w:val="00707863"/>
    <w:rsid w:val="007078A6"/>
    <w:rsid w:val="007079BE"/>
    <w:rsid w:val="007079D5"/>
    <w:rsid w:val="00707C29"/>
    <w:rsid w:val="00707C53"/>
    <w:rsid w:val="00707EA5"/>
    <w:rsid w:val="00707EB2"/>
    <w:rsid w:val="00707FA3"/>
    <w:rsid w:val="00707FBA"/>
    <w:rsid w:val="00710241"/>
    <w:rsid w:val="007102C3"/>
    <w:rsid w:val="007103EE"/>
    <w:rsid w:val="00710535"/>
    <w:rsid w:val="00710723"/>
    <w:rsid w:val="007108A8"/>
    <w:rsid w:val="00710A90"/>
    <w:rsid w:val="00710AC2"/>
    <w:rsid w:val="00710AED"/>
    <w:rsid w:val="00710B4A"/>
    <w:rsid w:val="00710ED2"/>
    <w:rsid w:val="00710FBE"/>
    <w:rsid w:val="00711018"/>
    <w:rsid w:val="007110CB"/>
    <w:rsid w:val="0071115F"/>
    <w:rsid w:val="00711212"/>
    <w:rsid w:val="007112F0"/>
    <w:rsid w:val="0071137C"/>
    <w:rsid w:val="00711398"/>
    <w:rsid w:val="007113E1"/>
    <w:rsid w:val="00711455"/>
    <w:rsid w:val="007116AA"/>
    <w:rsid w:val="007116DF"/>
    <w:rsid w:val="007118DD"/>
    <w:rsid w:val="0071194B"/>
    <w:rsid w:val="0071198B"/>
    <w:rsid w:val="00711BDA"/>
    <w:rsid w:val="00711BF2"/>
    <w:rsid w:val="00711C78"/>
    <w:rsid w:val="00711EFC"/>
    <w:rsid w:val="00711F2F"/>
    <w:rsid w:val="0071209F"/>
    <w:rsid w:val="007121C6"/>
    <w:rsid w:val="007121FA"/>
    <w:rsid w:val="007122DA"/>
    <w:rsid w:val="00712624"/>
    <w:rsid w:val="0071291E"/>
    <w:rsid w:val="007129FE"/>
    <w:rsid w:val="00712B98"/>
    <w:rsid w:val="00712C07"/>
    <w:rsid w:val="00712C41"/>
    <w:rsid w:val="00712C45"/>
    <w:rsid w:val="00712CC1"/>
    <w:rsid w:val="00712CC6"/>
    <w:rsid w:val="00712ECD"/>
    <w:rsid w:val="00712FD8"/>
    <w:rsid w:val="007130D6"/>
    <w:rsid w:val="007131D9"/>
    <w:rsid w:val="007133EC"/>
    <w:rsid w:val="00713433"/>
    <w:rsid w:val="007135BB"/>
    <w:rsid w:val="007135DA"/>
    <w:rsid w:val="007136BC"/>
    <w:rsid w:val="007137FC"/>
    <w:rsid w:val="0071380C"/>
    <w:rsid w:val="00713BF7"/>
    <w:rsid w:val="00713CDF"/>
    <w:rsid w:val="00713D0B"/>
    <w:rsid w:val="00713D3C"/>
    <w:rsid w:val="00713D41"/>
    <w:rsid w:val="00713ED9"/>
    <w:rsid w:val="00713F8B"/>
    <w:rsid w:val="00713FFB"/>
    <w:rsid w:val="007142E4"/>
    <w:rsid w:val="0071447A"/>
    <w:rsid w:val="0071458A"/>
    <w:rsid w:val="0071459A"/>
    <w:rsid w:val="007147DC"/>
    <w:rsid w:val="0071488C"/>
    <w:rsid w:val="007148BB"/>
    <w:rsid w:val="00714A56"/>
    <w:rsid w:val="00714C3A"/>
    <w:rsid w:val="0071524C"/>
    <w:rsid w:val="00715448"/>
    <w:rsid w:val="007154B9"/>
    <w:rsid w:val="00715701"/>
    <w:rsid w:val="00715A77"/>
    <w:rsid w:val="00715C27"/>
    <w:rsid w:val="00715C71"/>
    <w:rsid w:val="00715D75"/>
    <w:rsid w:val="00715E61"/>
    <w:rsid w:val="00715E69"/>
    <w:rsid w:val="00715ED7"/>
    <w:rsid w:val="00715F5F"/>
    <w:rsid w:val="007160AE"/>
    <w:rsid w:val="007160F5"/>
    <w:rsid w:val="00716114"/>
    <w:rsid w:val="00716784"/>
    <w:rsid w:val="007167B8"/>
    <w:rsid w:val="007168B5"/>
    <w:rsid w:val="00716BCD"/>
    <w:rsid w:val="00716BEF"/>
    <w:rsid w:val="00716C0C"/>
    <w:rsid w:val="00716CAD"/>
    <w:rsid w:val="00716CB9"/>
    <w:rsid w:val="00716D37"/>
    <w:rsid w:val="00716F49"/>
    <w:rsid w:val="0071700C"/>
    <w:rsid w:val="0071712D"/>
    <w:rsid w:val="00717173"/>
    <w:rsid w:val="00717191"/>
    <w:rsid w:val="007171F0"/>
    <w:rsid w:val="00717206"/>
    <w:rsid w:val="007172AA"/>
    <w:rsid w:val="0071748B"/>
    <w:rsid w:val="007174B7"/>
    <w:rsid w:val="007176A7"/>
    <w:rsid w:val="007177E6"/>
    <w:rsid w:val="007177EE"/>
    <w:rsid w:val="00717A2D"/>
    <w:rsid w:val="00717AC8"/>
    <w:rsid w:val="00717AD8"/>
    <w:rsid w:val="00720035"/>
    <w:rsid w:val="0072003B"/>
    <w:rsid w:val="0072008D"/>
    <w:rsid w:val="0072015C"/>
    <w:rsid w:val="007203F3"/>
    <w:rsid w:val="00720420"/>
    <w:rsid w:val="00720540"/>
    <w:rsid w:val="00720565"/>
    <w:rsid w:val="0072058D"/>
    <w:rsid w:val="00720676"/>
    <w:rsid w:val="0072070E"/>
    <w:rsid w:val="00720765"/>
    <w:rsid w:val="00720985"/>
    <w:rsid w:val="007209D8"/>
    <w:rsid w:val="007209EF"/>
    <w:rsid w:val="00720A62"/>
    <w:rsid w:val="00720B6E"/>
    <w:rsid w:val="00720BB1"/>
    <w:rsid w:val="00720DFF"/>
    <w:rsid w:val="00720FD9"/>
    <w:rsid w:val="00721062"/>
    <w:rsid w:val="00721099"/>
    <w:rsid w:val="007212A6"/>
    <w:rsid w:val="00721320"/>
    <w:rsid w:val="007213E2"/>
    <w:rsid w:val="00721625"/>
    <w:rsid w:val="0072185A"/>
    <w:rsid w:val="007218A6"/>
    <w:rsid w:val="00721A10"/>
    <w:rsid w:val="00721B04"/>
    <w:rsid w:val="00721C5F"/>
    <w:rsid w:val="00721D1C"/>
    <w:rsid w:val="007220C0"/>
    <w:rsid w:val="00722190"/>
    <w:rsid w:val="0072226A"/>
    <w:rsid w:val="007222E2"/>
    <w:rsid w:val="0072245A"/>
    <w:rsid w:val="007226B5"/>
    <w:rsid w:val="007226B6"/>
    <w:rsid w:val="007226BD"/>
    <w:rsid w:val="00722738"/>
    <w:rsid w:val="007228AD"/>
    <w:rsid w:val="0072291B"/>
    <w:rsid w:val="00722EBB"/>
    <w:rsid w:val="00722F25"/>
    <w:rsid w:val="00722FD3"/>
    <w:rsid w:val="007230FF"/>
    <w:rsid w:val="00723281"/>
    <w:rsid w:val="00723314"/>
    <w:rsid w:val="0072348C"/>
    <w:rsid w:val="0072360D"/>
    <w:rsid w:val="0072368F"/>
    <w:rsid w:val="007237B2"/>
    <w:rsid w:val="007237D3"/>
    <w:rsid w:val="00723930"/>
    <w:rsid w:val="00723BBC"/>
    <w:rsid w:val="00723D04"/>
    <w:rsid w:val="00723DA5"/>
    <w:rsid w:val="00723F81"/>
    <w:rsid w:val="00724061"/>
    <w:rsid w:val="007240AD"/>
    <w:rsid w:val="007240C0"/>
    <w:rsid w:val="007240EE"/>
    <w:rsid w:val="007240F1"/>
    <w:rsid w:val="00724131"/>
    <w:rsid w:val="007241CA"/>
    <w:rsid w:val="00724232"/>
    <w:rsid w:val="007243B4"/>
    <w:rsid w:val="007246FA"/>
    <w:rsid w:val="00724848"/>
    <w:rsid w:val="007249B7"/>
    <w:rsid w:val="00724A44"/>
    <w:rsid w:val="00724A78"/>
    <w:rsid w:val="00724B0F"/>
    <w:rsid w:val="00724B4D"/>
    <w:rsid w:val="00724BB8"/>
    <w:rsid w:val="00724C06"/>
    <w:rsid w:val="00724C83"/>
    <w:rsid w:val="00724CEF"/>
    <w:rsid w:val="00724E7A"/>
    <w:rsid w:val="00724F56"/>
    <w:rsid w:val="0072503A"/>
    <w:rsid w:val="00725142"/>
    <w:rsid w:val="007251C8"/>
    <w:rsid w:val="00725211"/>
    <w:rsid w:val="00725229"/>
    <w:rsid w:val="00725235"/>
    <w:rsid w:val="007253D6"/>
    <w:rsid w:val="00725467"/>
    <w:rsid w:val="007254B7"/>
    <w:rsid w:val="00725886"/>
    <w:rsid w:val="00725901"/>
    <w:rsid w:val="007259CF"/>
    <w:rsid w:val="00725A0F"/>
    <w:rsid w:val="00725C61"/>
    <w:rsid w:val="00725CAD"/>
    <w:rsid w:val="00725F58"/>
    <w:rsid w:val="00725FB5"/>
    <w:rsid w:val="007260E6"/>
    <w:rsid w:val="0072637E"/>
    <w:rsid w:val="007263E6"/>
    <w:rsid w:val="00726515"/>
    <w:rsid w:val="007267C6"/>
    <w:rsid w:val="00726946"/>
    <w:rsid w:val="007269DF"/>
    <w:rsid w:val="00726D37"/>
    <w:rsid w:val="00726F9F"/>
    <w:rsid w:val="00726FB3"/>
    <w:rsid w:val="007270FD"/>
    <w:rsid w:val="00727151"/>
    <w:rsid w:val="0072717E"/>
    <w:rsid w:val="007273E6"/>
    <w:rsid w:val="00727603"/>
    <w:rsid w:val="00727761"/>
    <w:rsid w:val="00727966"/>
    <w:rsid w:val="007279D4"/>
    <w:rsid w:val="00727D2B"/>
    <w:rsid w:val="00727DEB"/>
    <w:rsid w:val="00727F1A"/>
    <w:rsid w:val="00727FEB"/>
    <w:rsid w:val="00730061"/>
    <w:rsid w:val="00730106"/>
    <w:rsid w:val="0073016C"/>
    <w:rsid w:val="007301B3"/>
    <w:rsid w:val="007301F4"/>
    <w:rsid w:val="007301F8"/>
    <w:rsid w:val="007302DA"/>
    <w:rsid w:val="0073031C"/>
    <w:rsid w:val="00730367"/>
    <w:rsid w:val="0073036D"/>
    <w:rsid w:val="00730596"/>
    <w:rsid w:val="007305BE"/>
    <w:rsid w:val="00730615"/>
    <w:rsid w:val="00730658"/>
    <w:rsid w:val="00730663"/>
    <w:rsid w:val="007307B9"/>
    <w:rsid w:val="00730B10"/>
    <w:rsid w:val="00730B1A"/>
    <w:rsid w:val="00730B84"/>
    <w:rsid w:val="00730D4D"/>
    <w:rsid w:val="00730D86"/>
    <w:rsid w:val="00730E4D"/>
    <w:rsid w:val="00730E7F"/>
    <w:rsid w:val="00730F4B"/>
    <w:rsid w:val="00731097"/>
    <w:rsid w:val="007312D9"/>
    <w:rsid w:val="007316F2"/>
    <w:rsid w:val="00731752"/>
    <w:rsid w:val="0073182C"/>
    <w:rsid w:val="007319DA"/>
    <w:rsid w:val="00731A09"/>
    <w:rsid w:val="00731E4A"/>
    <w:rsid w:val="007321F4"/>
    <w:rsid w:val="007322BE"/>
    <w:rsid w:val="007322C0"/>
    <w:rsid w:val="007326A0"/>
    <w:rsid w:val="00732773"/>
    <w:rsid w:val="0073280F"/>
    <w:rsid w:val="00732843"/>
    <w:rsid w:val="0073290F"/>
    <w:rsid w:val="00732932"/>
    <w:rsid w:val="007329DC"/>
    <w:rsid w:val="00732F7B"/>
    <w:rsid w:val="0073303E"/>
    <w:rsid w:val="00733086"/>
    <w:rsid w:val="00733211"/>
    <w:rsid w:val="00733381"/>
    <w:rsid w:val="007333D1"/>
    <w:rsid w:val="007333E8"/>
    <w:rsid w:val="0073349E"/>
    <w:rsid w:val="00733585"/>
    <w:rsid w:val="007335B7"/>
    <w:rsid w:val="007337A5"/>
    <w:rsid w:val="0073391B"/>
    <w:rsid w:val="007339CF"/>
    <w:rsid w:val="00733A14"/>
    <w:rsid w:val="00733CA4"/>
    <w:rsid w:val="00733E61"/>
    <w:rsid w:val="00733E62"/>
    <w:rsid w:val="00733E9F"/>
    <w:rsid w:val="00733F61"/>
    <w:rsid w:val="00733FA0"/>
    <w:rsid w:val="0073406A"/>
    <w:rsid w:val="00734359"/>
    <w:rsid w:val="00734380"/>
    <w:rsid w:val="007343B0"/>
    <w:rsid w:val="00734586"/>
    <w:rsid w:val="00734609"/>
    <w:rsid w:val="00734610"/>
    <w:rsid w:val="0073463A"/>
    <w:rsid w:val="0073471A"/>
    <w:rsid w:val="00734755"/>
    <w:rsid w:val="0073478A"/>
    <w:rsid w:val="0073478F"/>
    <w:rsid w:val="00734823"/>
    <w:rsid w:val="00734BF3"/>
    <w:rsid w:val="00734C08"/>
    <w:rsid w:val="00734D02"/>
    <w:rsid w:val="00734FCA"/>
    <w:rsid w:val="0073507D"/>
    <w:rsid w:val="0073534B"/>
    <w:rsid w:val="007353ED"/>
    <w:rsid w:val="007353F4"/>
    <w:rsid w:val="00735461"/>
    <w:rsid w:val="00735554"/>
    <w:rsid w:val="007355BB"/>
    <w:rsid w:val="00735619"/>
    <w:rsid w:val="007356DE"/>
    <w:rsid w:val="007358CE"/>
    <w:rsid w:val="0073592B"/>
    <w:rsid w:val="00735950"/>
    <w:rsid w:val="00735974"/>
    <w:rsid w:val="00735A95"/>
    <w:rsid w:val="00735BEF"/>
    <w:rsid w:val="00735E45"/>
    <w:rsid w:val="00735FC9"/>
    <w:rsid w:val="007360DB"/>
    <w:rsid w:val="007360E7"/>
    <w:rsid w:val="00736133"/>
    <w:rsid w:val="00736260"/>
    <w:rsid w:val="007362C3"/>
    <w:rsid w:val="00736390"/>
    <w:rsid w:val="00736631"/>
    <w:rsid w:val="007366C0"/>
    <w:rsid w:val="0073675B"/>
    <w:rsid w:val="00736913"/>
    <w:rsid w:val="00736956"/>
    <w:rsid w:val="00736C4B"/>
    <w:rsid w:val="00736CBF"/>
    <w:rsid w:val="00736E54"/>
    <w:rsid w:val="00736F2E"/>
    <w:rsid w:val="00737016"/>
    <w:rsid w:val="0073706D"/>
    <w:rsid w:val="00737151"/>
    <w:rsid w:val="0073733A"/>
    <w:rsid w:val="00737386"/>
    <w:rsid w:val="007373E9"/>
    <w:rsid w:val="0073743D"/>
    <w:rsid w:val="0073750A"/>
    <w:rsid w:val="00737710"/>
    <w:rsid w:val="007378B7"/>
    <w:rsid w:val="007378DE"/>
    <w:rsid w:val="00737993"/>
    <w:rsid w:val="007379D6"/>
    <w:rsid w:val="00737A8A"/>
    <w:rsid w:val="00737AEC"/>
    <w:rsid w:val="00737DF7"/>
    <w:rsid w:val="00737E69"/>
    <w:rsid w:val="00737F52"/>
    <w:rsid w:val="007401C2"/>
    <w:rsid w:val="0074028F"/>
    <w:rsid w:val="007402B1"/>
    <w:rsid w:val="007402F9"/>
    <w:rsid w:val="00740425"/>
    <w:rsid w:val="00740497"/>
    <w:rsid w:val="00740534"/>
    <w:rsid w:val="007405FF"/>
    <w:rsid w:val="007408FA"/>
    <w:rsid w:val="007409BA"/>
    <w:rsid w:val="007409D1"/>
    <w:rsid w:val="00740A8B"/>
    <w:rsid w:val="00740AC6"/>
    <w:rsid w:val="00740B61"/>
    <w:rsid w:val="00740C7D"/>
    <w:rsid w:val="00740F88"/>
    <w:rsid w:val="00740FFE"/>
    <w:rsid w:val="00741017"/>
    <w:rsid w:val="007410CD"/>
    <w:rsid w:val="0074116A"/>
    <w:rsid w:val="007413B0"/>
    <w:rsid w:val="0074148C"/>
    <w:rsid w:val="007414AE"/>
    <w:rsid w:val="0074176A"/>
    <w:rsid w:val="007417D7"/>
    <w:rsid w:val="007417FE"/>
    <w:rsid w:val="007419B3"/>
    <w:rsid w:val="00741A11"/>
    <w:rsid w:val="00741A70"/>
    <w:rsid w:val="00741AA4"/>
    <w:rsid w:val="00741B63"/>
    <w:rsid w:val="00741B9B"/>
    <w:rsid w:val="00741CC5"/>
    <w:rsid w:val="00741D65"/>
    <w:rsid w:val="00741EC5"/>
    <w:rsid w:val="0074200D"/>
    <w:rsid w:val="00742029"/>
    <w:rsid w:val="00742071"/>
    <w:rsid w:val="0074229C"/>
    <w:rsid w:val="0074245E"/>
    <w:rsid w:val="007424BA"/>
    <w:rsid w:val="00742530"/>
    <w:rsid w:val="007425EA"/>
    <w:rsid w:val="007426DD"/>
    <w:rsid w:val="00742A38"/>
    <w:rsid w:val="00742B4A"/>
    <w:rsid w:val="00742C31"/>
    <w:rsid w:val="00742F56"/>
    <w:rsid w:val="00743081"/>
    <w:rsid w:val="00743370"/>
    <w:rsid w:val="00743399"/>
    <w:rsid w:val="007433AA"/>
    <w:rsid w:val="007434A5"/>
    <w:rsid w:val="007434C5"/>
    <w:rsid w:val="0074352D"/>
    <w:rsid w:val="00743583"/>
    <w:rsid w:val="0074362D"/>
    <w:rsid w:val="00743719"/>
    <w:rsid w:val="007437C3"/>
    <w:rsid w:val="00743980"/>
    <w:rsid w:val="00743B0C"/>
    <w:rsid w:val="00743C68"/>
    <w:rsid w:val="00744013"/>
    <w:rsid w:val="0074415A"/>
    <w:rsid w:val="00744207"/>
    <w:rsid w:val="00744384"/>
    <w:rsid w:val="007443D9"/>
    <w:rsid w:val="00744427"/>
    <w:rsid w:val="0074449A"/>
    <w:rsid w:val="007448E8"/>
    <w:rsid w:val="0074491A"/>
    <w:rsid w:val="00744971"/>
    <w:rsid w:val="00744AAF"/>
    <w:rsid w:val="00744AD2"/>
    <w:rsid w:val="00744C86"/>
    <w:rsid w:val="00744E13"/>
    <w:rsid w:val="00744EC4"/>
    <w:rsid w:val="00744F11"/>
    <w:rsid w:val="00744F4C"/>
    <w:rsid w:val="0074504E"/>
    <w:rsid w:val="00745465"/>
    <w:rsid w:val="007454BE"/>
    <w:rsid w:val="0074570B"/>
    <w:rsid w:val="007457F4"/>
    <w:rsid w:val="00745881"/>
    <w:rsid w:val="00745918"/>
    <w:rsid w:val="00745A42"/>
    <w:rsid w:val="00745D01"/>
    <w:rsid w:val="00745D4C"/>
    <w:rsid w:val="00745E6C"/>
    <w:rsid w:val="00745F13"/>
    <w:rsid w:val="00746021"/>
    <w:rsid w:val="0074603C"/>
    <w:rsid w:val="007460C9"/>
    <w:rsid w:val="00746272"/>
    <w:rsid w:val="00746421"/>
    <w:rsid w:val="00746440"/>
    <w:rsid w:val="00746485"/>
    <w:rsid w:val="0074667B"/>
    <w:rsid w:val="00746798"/>
    <w:rsid w:val="007467ED"/>
    <w:rsid w:val="007467F6"/>
    <w:rsid w:val="00746809"/>
    <w:rsid w:val="00746886"/>
    <w:rsid w:val="0074694B"/>
    <w:rsid w:val="0074697E"/>
    <w:rsid w:val="00746A5B"/>
    <w:rsid w:val="00746AB9"/>
    <w:rsid w:val="00746B74"/>
    <w:rsid w:val="00746B8D"/>
    <w:rsid w:val="00746BEA"/>
    <w:rsid w:val="00746CAE"/>
    <w:rsid w:val="00746CFE"/>
    <w:rsid w:val="00746D6E"/>
    <w:rsid w:val="00746DA2"/>
    <w:rsid w:val="00746EC3"/>
    <w:rsid w:val="00747065"/>
    <w:rsid w:val="007470A6"/>
    <w:rsid w:val="007470F2"/>
    <w:rsid w:val="007471FE"/>
    <w:rsid w:val="00747268"/>
    <w:rsid w:val="00747276"/>
    <w:rsid w:val="00747294"/>
    <w:rsid w:val="007473D7"/>
    <w:rsid w:val="00747404"/>
    <w:rsid w:val="007475C5"/>
    <w:rsid w:val="00747653"/>
    <w:rsid w:val="007476ED"/>
    <w:rsid w:val="00747710"/>
    <w:rsid w:val="00747775"/>
    <w:rsid w:val="007477AA"/>
    <w:rsid w:val="007477B1"/>
    <w:rsid w:val="007477C1"/>
    <w:rsid w:val="0074780C"/>
    <w:rsid w:val="0074781B"/>
    <w:rsid w:val="00747863"/>
    <w:rsid w:val="00747932"/>
    <w:rsid w:val="00747AC0"/>
    <w:rsid w:val="00747C2C"/>
    <w:rsid w:val="00747C4F"/>
    <w:rsid w:val="00747ECD"/>
    <w:rsid w:val="00747F2E"/>
    <w:rsid w:val="00747FA8"/>
    <w:rsid w:val="007500C0"/>
    <w:rsid w:val="0075025F"/>
    <w:rsid w:val="00750299"/>
    <w:rsid w:val="007506D2"/>
    <w:rsid w:val="0075072D"/>
    <w:rsid w:val="00750A88"/>
    <w:rsid w:val="00750B97"/>
    <w:rsid w:val="00750C09"/>
    <w:rsid w:val="00750C8D"/>
    <w:rsid w:val="00751111"/>
    <w:rsid w:val="00751134"/>
    <w:rsid w:val="007511B3"/>
    <w:rsid w:val="00751239"/>
    <w:rsid w:val="00751400"/>
    <w:rsid w:val="00751410"/>
    <w:rsid w:val="007514A9"/>
    <w:rsid w:val="00751599"/>
    <w:rsid w:val="007518AA"/>
    <w:rsid w:val="00751961"/>
    <w:rsid w:val="00751A4E"/>
    <w:rsid w:val="00751A9C"/>
    <w:rsid w:val="00751DA7"/>
    <w:rsid w:val="00751DF4"/>
    <w:rsid w:val="00751E91"/>
    <w:rsid w:val="00751FB2"/>
    <w:rsid w:val="00752003"/>
    <w:rsid w:val="00752384"/>
    <w:rsid w:val="00752391"/>
    <w:rsid w:val="007526E7"/>
    <w:rsid w:val="00752801"/>
    <w:rsid w:val="007528AA"/>
    <w:rsid w:val="00752947"/>
    <w:rsid w:val="0075298A"/>
    <w:rsid w:val="00752AFF"/>
    <w:rsid w:val="00752BB7"/>
    <w:rsid w:val="00752BDB"/>
    <w:rsid w:val="00752C05"/>
    <w:rsid w:val="00752C23"/>
    <w:rsid w:val="00752DEE"/>
    <w:rsid w:val="00752E9F"/>
    <w:rsid w:val="00752EAC"/>
    <w:rsid w:val="00752FE0"/>
    <w:rsid w:val="0075305A"/>
    <w:rsid w:val="00753308"/>
    <w:rsid w:val="00753360"/>
    <w:rsid w:val="007533A0"/>
    <w:rsid w:val="007535BA"/>
    <w:rsid w:val="00753797"/>
    <w:rsid w:val="007537BF"/>
    <w:rsid w:val="0075389D"/>
    <w:rsid w:val="00753A4D"/>
    <w:rsid w:val="00753A73"/>
    <w:rsid w:val="00753AF8"/>
    <w:rsid w:val="00753D4E"/>
    <w:rsid w:val="00753EF9"/>
    <w:rsid w:val="0075400D"/>
    <w:rsid w:val="00754016"/>
    <w:rsid w:val="00754031"/>
    <w:rsid w:val="0075406F"/>
    <w:rsid w:val="0075419C"/>
    <w:rsid w:val="007541D8"/>
    <w:rsid w:val="00754775"/>
    <w:rsid w:val="00754806"/>
    <w:rsid w:val="00754836"/>
    <w:rsid w:val="00754842"/>
    <w:rsid w:val="00754879"/>
    <w:rsid w:val="00754CC8"/>
    <w:rsid w:val="00754D04"/>
    <w:rsid w:val="00754FFA"/>
    <w:rsid w:val="0075504E"/>
    <w:rsid w:val="0075507D"/>
    <w:rsid w:val="0075519E"/>
    <w:rsid w:val="0075529B"/>
    <w:rsid w:val="0075552A"/>
    <w:rsid w:val="00755746"/>
    <w:rsid w:val="00755830"/>
    <w:rsid w:val="00755987"/>
    <w:rsid w:val="00755A99"/>
    <w:rsid w:val="00755AAD"/>
    <w:rsid w:val="00755D1E"/>
    <w:rsid w:val="00755D91"/>
    <w:rsid w:val="00755F8B"/>
    <w:rsid w:val="00756045"/>
    <w:rsid w:val="0075613B"/>
    <w:rsid w:val="0075619F"/>
    <w:rsid w:val="007564A8"/>
    <w:rsid w:val="0075650E"/>
    <w:rsid w:val="007567C2"/>
    <w:rsid w:val="007568D5"/>
    <w:rsid w:val="00756A63"/>
    <w:rsid w:val="00756D3E"/>
    <w:rsid w:val="00757239"/>
    <w:rsid w:val="007572F1"/>
    <w:rsid w:val="00757352"/>
    <w:rsid w:val="00757432"/>
    <w:rsid w:val="007574FB"/>
    <w:rsid w:val="00757511"/>
    <w:rsid w:val="0075754E"/>
    <w:rsid w:val="00757731"/>
    <w:rsid w:val="007577CB"/>
    <w:rsid w:val="00757802"/>
    <w:rsid w:val="0075791A"/>
    <w:rsid w:val="00757942"/>
    <w:rsid w:val="00757ADD"/>
    <w:rsid w:val="00757CA2"/>
    <w:rsid w:val="00757F4D"/>
    <w:rsid w:val="00757FB6"/>
    <w:rsid w:val="007600EC"/>
    <w:rsid w:val="007601C5"/>
    <w:rsid w:val="007601D2"/>
    <w:rsid w:val="00760685"/>
    <w:rsid w:val="00760803"/>
    <w:rsid w:val="00760835"/>
    <w:rsid w:val="00760842"/>
    <w:rsid w:val="00760891"/>
    <w:rsid w:val="00760901"/>
    <w:rsid w:val="007609A2"/>
    <w:rsid w:val="00760AF1"/>
    <w:rsid w:val="00760B46"/>
    <w:rsid w:val="00760B92"/>
    <w:rsid w:val="00760C45"/>
    <w:rsid w:val="00760E71"/>
    <w:rsid w:val="00760EDD"/>
    <w:rsid w:val="00761080"/>
    <w:rsid w:val="00761180"/>
    <w:rsid w:val="0076118B"/>
    <w:rsid w:val="007612E4"/>
    <w:rsid w:val="0076131D"/>
    <w:rsid w:val="00761384"/>
    <w:rsid w:val="007613EA"/>
    <w:rsid w:val="007614C7"/>
    <w:rsid w:val="0076150C"/>
    <w:rsid w:val="007615C8"/>
    <w:rsid w:val="00761667"/>
    <w:rsid w:val="0076166D"/>
    <w:rsid w:val="00761848"/>
    <w:rsid w:val="00761934"/>
    <w:rsid w:val="00761A12"/>
    <w:rsid w:val="00761A47"/>
    <w:rsid w:val="00761B30"/>
    <w:rsid w:val="00761B36"/>
    <w:rsid w:val="00761D2E"/>
    <w:rsid w:val="00761D67"/>
    <w:rsid w:val="00761E04"/>
    <w:rsid w:val="00761F49"/>
    <w:rsid w:val="00761F7C"/>
    <w:rsid w:val="00761F92"/>
    <w:rsid w:val="007620CC"/>
    <w:rsid w:val="0076211C"/>
    <w:rsid w:val="007623CA"/>
    <w:rsid w:val="00762951"/>
    <w:rsid w:val="007629C3"/>
    <w:rsid w:val="00762ABE"/>
    <w:rsid w:val="00762C16"/>
    <w:rsid w:val="00762D3A"/>
    <w:rsid w:val="00762DC1"/>
    <w:rsid w:val="00762F23"/>
    <w:rsid w:val="00762F3D"/>
    <w:rsid w:val="007630E0"/>
    <w:rsid w:val="00763367"/>
    <w:rsid w:val="00763469"/>
    <w:rsid w:val="007637BF"/>
    <w:rsid w:val="007638EC"/>
    <w:rsid w:val="00763A05"/>
    <w:rsid w:val="00763B66"/>
    <w:rsid w:val="00763B9C"/>
    <w:rsid w:val="00763BC5"/>
    <w:rsid w:val="00763E00"/>
    <w:rsid w:val="007642CE"/>
    <w:rsid w:val="007642E9"/>
    <w:rsid w:val="007645EB"/>
    <w:rsid w:val="00764702"/>
    <w:rsid w:val="00764832"/>
    <w:rsid w:val="00764833"/>
    <w:rsid w:val="007648E0"/>
    <w:rsid w:val="0076495C"/>
    <w:rsid w:val="00764BF3"/>
    <w:rsid w:val="00764D9F"/>
    <w:rsid w:val="00764E9B"/>
    <w:rsid w:val="00765102"/>
    <w:rsid w:val="0076522D"/>
    <w:rsid w:val="00765504"/>
    <w:rsid w:val="007655A0"/>
    <w:rsid w:val="007655F4"/>
    <w:rsid w:val="007657D5"/>
    <w:rsid w:val="0076596C"/>
    <w:rsid w:val="00765AD1"/>
    <w:rsid w:val="00765BA2"/>
    <w:rsid w:val="00765D46"/>
    <w:rsid w:val="00765ECC"/>
    <w:rsid w:val="00765EFD"/>
    <w:rsid w:val="00766016"/>
    <w:rsid w:val="0076611B"/>
    <w:rsid w:val="0076620E"/>
    <w:rsid w:val="00766369"/>
    <w:rsid w:val="007663B1"/>
    <w:rsid w:val="00766476"/>
    <w:rsid w:val="007664F7"/>
    <w:rsid w:val="00766503"/>
    <w:rsid w:val="00766525"/>
    <w:rsid w:val="0076655A"/>
    <w:rsid w:val="0076660F"/>
    <w:rsid w:val="00766731"/>
    <w:rsid w:val="007668F9"/>
    <w:rsid w:val="00766932"/>
    <w:rsid w:val="00766984"/>
    <w:rsid w:val="00766B70"/>
    <w:rsid w:val="00766CF5"/>
    <w:rsid w:val="00766E07"/>
    <w:rsid w:val="00766EE1"/>
    <w:rsid w:val="0076700B"/>
    <w:rsid w:val="00767124"/>
    <w:rsid w:val="007671E5"/>
    <w:rsid w:val="007671E8"/>
    <w:rsid w:val="0076740C"/>
    <w:rsid w:val="00767415"/>
    <w:rsid w:val="0076741D"/>
    <w:rsid w:val="0076756A"/>
    <w:rsid w:val="0076761E"/>
    <w:rsid w:val="00767621"/>
    <w:rsid w:val="007676F1"/>
    <w:rsid w:val="00767710"/>
    <w:rsid w:val="00767717"/>
    <w:rsid w:val="007677F6"/>
    <w:rsid w:val="007679F6"/>
    <w:rsid w:val="00767AB2"/>
    <w:rsid w:val="00767B89"/>
    <w:rsid w:val="0077001B"/>
    <w:rsid w:val="00770048"/>
    <w:rsid w:val="007700D2"/>
    <w:rsid w:val="00770163"/>
    <w:rsid w:val="007701DC"/>
    <w:rsid w:val="007702DA"/>
    <w:rsid w:val="00770300"/>
    <w:rsid w:val="00770304"/>
    <w:rsid w:val="00770509"/>
    <w:rsid w:val="00770535"/>
    <w:rsid w:val="007708B4"/>
    <w:rsid w:val="0077098F"/>
    <w:rsid w:val="00770BD1"/>
    <w:rsid w:val="00770BD4"/>
    <w:rsid w:val="00770E1E"/>
    <w:rsid w:val="00770E69"/>
    <w:rsid w:val="00771029"/>
    <w:rsid w:val="00771074"/>
    <w:rsid w:val="0077112D"/>
    <w:rsid w:val="00771150"/>
    <w:rsid w:val="00771323"/>
    <w:rsid w:val="00771497"/>
    <w:rsid w:val="00771634"/>
    <w:rsid w:val="00771684"/>
    <w:rsid w:val="007716A0"/>
    <w:rsid w:val="00771B4E"/>
    <w:rsid w:val="00771C1B"/>
    <w:rsid w:val="00771CAE"/>
    <w:rsid w:val="00771EAE"/>
    <w:rsid w:val="00771F09"/>
    <w:rsid w:val="00771FAB"/>
    <w:rsid w:val="00772073"/>
    <w:rsid w:val="0077207A"/>
    <w:rsid w:val="0077208F"/>
    <w:rsid w:val="007721C2"/>
    <w:rsid w:val="007722CD"/>
    <w:rsid w:val="0077233B"/>
    <w:rsid w:val="00772386"/>
    <w:rsid w:val="0077239C"/>
    <w:rsid w:val="00772497"/>
    <w:rsid w:val="007725BF"/>
    <w:rsid w:val="007726AE"/>
    <w:rsid w:val="007729B5"/>
    <w:rsid w:val="00772BC2"/>
    <w:rsid w:val="00772CE2"/>
    <w:rsid w:val="00772D51"/>
    <w:rsid w:val="00772F12"/>
    <w:rsid w:val="00772F3B"/>
    <w:rsid w:val="00772F55"/>
    <w:rsid w:val="007732B5"/>
    <w:rsid w:val="00773386"/>
    <w:rsid w:val="00773443"/>
    <w:rsid w:val="007735FA"/>
    <w:rsid w:val="00773606"/>
    <w:rsid w:val="0077378A"/>
    <w:rsid w:val="00773AAE"/>
    <w:rsid w:val="00773C10"/>
    <w:rsid w:val="00773D63"/>
    <w:rsid w:val="00773E18"/>
    <w:rsid w:val="00773E55"/>
    <w:rsid w:val="00774074"/>
    <w:rsid w:val="007740B9"/>
    <w:rsid w:val="00774160"/>
    <w:rsid w:val="0077423F"/>
    <w:rsid w:val="0077429C"/>
    <w:rsid w:val="007743C6"/>
    <w:rsid w:val="00774405"/>
    <w:rsid w:val="0077444C"/>
    <w:rsid w:val="007744F4"/>
    <w:rsid w:val="00774535"/>
    <w:rsid w:val="0077456F"/>
    <w:rsid w:val="007745E6"/>
    <w:rsid w:val="00774A99"/>
    <w:rsid w:val="00774BA8"/>
    <w:rsid w:val="00774EFB"/>
    <w:rsid w:val="00774F09"/>
    <w:rsid w:val="007750C5"/>
    <w:rsid w:val="00775169"/>
    <w:rsid w:val="00775224"/>
    <w:rsid w:val="007753F0"/>
    <w:rsid w:val="00775871"/>
    <w:rsid w:val="0077589C"/>
    <w:rsid w:val="00775923"/>
    <w:rsid w:val="00775B55"/>
    <w:rsid w:val="00775C00"/>
    <w:rsid w:val="00775D42"/>
    <w:rsid w:val="00775D79"/>
    <w:rsid w:val="00775F01"/>
    <w:rsid w:val="00775FEF"/>
    <w:rsid w:val="00776022"/>
    <w:rsid w:val="00776144"/>
    <w:rsid w:val="00776573"/>
    <w:rsid w:val="00776617"/>
    <w:rsid w:val="007767BE"/>
    <w:rsid w:val="007767C2"/>
    <w:rsid w:val="00776954"/>
    <w:rsid w:val="00776999"/>
    <w:rsid w:val="007769E7"/>
    <w:rsid w:val="007769F9"/>
    <w:rsid w:val="00776B9D"/>
    <w:rsid w:val="00776CBE"/>
    <w:rsid w:val="00776D5E"/>
    <w:rsid w:val="00776E05"/>
    <w:rsid w:val="0077707F"/>
    <w:rsid w:val="00777391"/>
    <w:rsid w:val="00777433"/>
    <w:rsid w:val="007774E6"/>
    <w:rsid w:val="00777650"/>
    <w:rsid w:val="00777840"/>
    <w:rsid w:val="00777B96"/>
    <w:rsid w:val="00777E48"/>
    <w:rsid w:val="00777EE8"/>
    <w:rsid w:val="00777F01"/>
    <w:rsid w:val="0078012C"/>
    <w:rsid w:val="0078013D"/>
    <w:rsid w:val="007803F4"/>
    <w:rsid w:val="00780443"/>
    <w:rsid w:val="007805D5"/>
    <w:rsid w:val="0078065A"/>
    <w:rsid w:val="007806FD"/>
    <w:rsid w:val="00780834"/>
    <w:rsid w:val="0078087C"/>
    <w:rsid w:val="007808AA"/>
    <w:rsid w:val="00780936"/>
    <w:rsid w:val="00780A5D"/>
    <w:rsid w:val="00780BAF"/>
    <w:rsid w:val="00780DEE"/>
    <w:rsid w:val="00780E36"/>
    <w:rsid w:val="00780EE9"/>
    <w:rsid w:val="00781031"/>
    <w:rsid w:val="0078108B"/>
    <w:rsid w:val="007812D1"/>
    <w:rsid w:val="007814A3"/>
    <w:rsid w:val="007814F0"/>
    <w:rsid w:val="00781516"/>
    <w:rsid w:val="007815BA"/>
    <w:rsid w:val="007816E3"/>
    <w:rsid w:val="00781712"/>
    <w:rsid w:val="00781892"/>
    <w:rsid w:val="007818A3"/>
    <w:rsid w:val="007818C2"/>
    <w:rsid w:val="00781A83"/>
    <w:rsid w:val="00781B73"/>
    <w:rsid w:val="00781B95"/>
    <w:rsid w:val="00781BA2"/>
    <w:rsid w:val="00781C58"/>
    <w:rsid w:val="00781C6A"/>
    <w:rsid w:val="00781FFC"/>
    <w:rsid w:val="00782066"/>
    <w:rsid w:val="00782086"/>
    <w:rsid w:val="007820EE"/>
    <w:rsid w:val="007821EA"/>
    <w:rsid w:val="00782356"/>
    <w:rsid w:val="00782414"/>
    <w:rsid w:val="0078245C"/>
    <w:rsid w:val="00782619"/>
    <w:rsid w:val="00782648"/>
    <w:rsid w:val="007827A6"/>
    <w:rsid w:val="007827EA"/>
    <w:rsid w:val="0078290A"/>
    <w:rsid w:val="007829CD"/>
    <w:rsid w:val="00782CF0"/>
    <w:rsid w:val="00782D51"/>
    <w:rsid w:val="00782DF1"/>
    <w:rsid w:val="00782F29"/>
    <w:rsid w:val="007831B0"/>
    <w:rsid w:val="0078326D"/>
    <w:rsid w:val="00783276"/>
    <w:rsid w:val="007832F8"/>
    <w:rsid w:val="007837A2"/>
    <w:rsid w:val="00783822"/>
    <w:rsid w:val="00783874"/>
    <w:rsid w:val="0078395B"/>
    <w:rsid w:val="00783D7E"/>
    <w:rsid w:val="00783E06"/>
    <w:rsid w:val="00783E91"/>
    <w:rsid w:val="00783EA2"/>
    <w:rsid w:val="0078403A"/>
    <w:rsid w:val="00784063"/>
    <w:rsid w:val="007842FF"/>
    <w:rsid w:val="007843C4"/>
    <w:rsid w:val="0078447D"/>
    <w:rsid w:val="0078448F"/>
    <w:rsid w:val="007844C8"/>
    <w:rsid w:val="007846D8"/>
    <w:rsid w:val="00784883"/>
    <w:rsid w:val="00784A63"/>
    <w:rsid w:val="00784BC7"/>
    <w:rsid w:val="00784BFF"/>
    <w:rsid w:val="00784F0B"/>
    <w:rsid w:val="007850A6"/>
    <w:rsid w:val="007851B8"/>
    <w:rsid w:val="00785337"/>
    <w:rsid w:val="007853B4"/>
    <w:rsid w:val="0078554A"/>
    <w:rsid w:val="00785559"/>
    <w:rsid w:val="00785579"/>
    <w:rsid w:val="00785606"/>
    <w:rsid w:val="007857FB"/>
    <w:rsid w:val="0078582B"/>
    <w:rsid w:val="00785A3B"/>
    <w:rsid w:val="00785A57"/>
    <w:rsid w:val="00785B66"/>
    <w:rsid w:val="00785BE2"/>
    <w:rsid w:val="00785C85"/>
    <w:rsid w:val="00785D04"/>
    <w:rsid w:val="00785F09"/>
    <w:rsid w:val="00785F4B"/>
    <w:rsid w:val="00786005"/>
    <w:rsid w:val="00786046"/>
    <w:rsid w:val="007861BA"/>
    <w:rsid w:val="007861D6"/>
    <w:rsid w:val="0078620D"/>
    <w:rsid w:val="0078620F"/>
    <w:rsid w:val="00786210"/>
    <w:rsid w:val="00786238"/>
    <w:rsid w:val="00786295"/>
    <w:rsid w:val="00786364"/>
    <w:rsid w:val="0078672E"/>
    <w:rsid w:val="0078683F"/>
    <w:rsid w:val="00786A16"/>
    <w:rsid w:val="00786D0F"/>
    <w:rsid w:val="00787159"/>
    <w:rsid w:val="00787175"/>
    <w:rsid w:val="007871AE"/>
    <w:rsid w:val="00787231"/>
    <w:rsid w:val="007872A6"/>
    <w:rsid w:val="00787428"/>
    <w:rsid w:val="007874B1"/>
    <w:rsid w:val="0078763D"/>
    <w:rsid w:val="00787696"/>
    <w:rsid w:val="00787702"/>
    <w:rsid w:val="007877F6"/>
    <w:rsid w:val="00787988"/>
    <w:rsid w:val="00787AED"/>
    <w:rsid w:val="00787AFA"/>
    <w:rsid w:val="00787B6F"/>
    <w:rsid w:val="00787C37"/>
    <w:rsid w:val="00787CEC"/>
    <w:rsid w:val="00787CFC"/>
    <w:rsid w:val="00787D59"/>
    <w:rsid w:val="00787E9A"/>
    <w:rsid w:val="00787ECA"/>
    <w:rsid w:val="00787F1C"/>
    <w:rsid w:val="00787F59"/>
    <w:rsid w:val="00787FA2"/>
    <w:rsid w:val="00790009"/>
    <w:rsid w:val="0079002D"/>
    <w:rsid w:val="0079011C"/>
    <w:rsid w:val="00790274"/>
    <w:rsid w:val="0079027F"/>
    <w:rsid w:val="0079033E"/>
    <w:rsid w:val="00790347"/>
    <w:rsid w:val="0079037A"/>
    <w:rsid w:val="007903A8"/>
    <w:rsid w:val="0079040D"/>
    <w:rsid w:val="0079049D"/>
    <w:rsid w:val="00790517"/>
    <w:rsid w:val="00790586"/>
    <w:rsid w:val="00790739"/>
    <w:rsid w:val="00790842"/>
    <w:rsid w:val="00790891"/>
    <w:rsid w:val="00790B6A"/>
    <w:rsid w:val="00790D07"/>
    <w:rsid w:val="00790F70"/>
    <w:rsid w:val="007910B5"/>
    <w:rsid w:val="007912E1"/>
    <w:rsid w:val="00791518"/>
    <w:rsid w:val="007915BE"/>
    <w:rsid w:val="00791662"/>
    <w:rsid w:val="0079172D"/>
    <w:rsid w:val="00791761"/>
    <w:rsid w:val="0079182B"/>
    <w:rsid w:val="007919E9"/>
    <w:rsid w:val="00791A56"/>
    <w:rsid w:val="00791B4D"/>
    <w:rsid w:val="00791B88"/>
    <w:rsid w:val="00791C4D"/>
    <w:rsid w:val="00791E51"/>
    <w:rsid w:val="00791EFD"/>
    <w:rsid w:val="00791F28"/>
    <w:rsid w:val="00791F85"/>
    <w:rsid w:val="00791F87"/>
    <w:rsid w:val="00791FE0"/>
    <w:rsid w:val="00792253"/>
    <w:rsid w:val="00792262"/>
    <w:rsid w:val="00792326"/>
    <w:rsid w:val="007924AB"/>
    <w:rsid w:val="0079264F"/>
    <w:rsid w:val="00792769"/>
    <w:rsid w:val="007927F6"/>
    <w:rsid w:val="007929E8"/>
    <w:rsid w:val="00792A1B"/>
    <w:rsid w:val="00792A42"/>
    <w:rsid w:val="00792B3B"/>
    <w:rsid w:val="00792B80"/>
    <w:rsid w:val="00792DC8"/>
    <w:rsid w:val="00792E8D"/>
    <w:rsid w:val="00792F71"/>
    <w:rsid w:val="00792FCD"/>
    <w:rsid w:val="00792FD5"/>
    <w:rsid w:val="0079307E"/>
    <w:rsid w:val="007932DA"/>
    <w:rsid w:val="0079343F"/>
    <w:rsid w:val="00793716"/>
    <w:rsid w:val="0079382F"/>
    <w:rsid w:val="00793830"/>
    <w:rsid w:val="007938B2"/>
    <w:rsid w:val="00793952"/>
    <w:rsid w:val="00793994"/>
    <w:rsid w:val="00793C43"/>
    <w:rsid w:val="00793D84"/>
    <w:rsid w:val="00793E4D"/>
    <w:rsid w:val="00793EB4"/>
    <w:rsid w:val="00793F3E"/>
    <w:rsid w:val="00794017"/>
    <w:rsid w:val="007943AC"/>
    <w:rsid w:val="00794516"/>
    <w:rsid w:val="007945F4"/>
    <w:rsid w:val="00794757"/>
    <w:rsid w:val="0079489A"/>
    <w:rsid w:val="00794A72"/>
    <w:rsid w:val="00794B5A"/>
    <w:rsid w:val="00794C25"/>
    <w:rsid w:val="00794E21"/>
    <w:rsid w:val="0079509A"/>
    <w:rsid w:val="00795120"/>
    <w:rsid w:val="00795235"/>
    <w:rsid w:val="00795266"/>
    <w:rsid w:val="007952C2"/>
    <w:rsid w:val="00795401"/>
    <w:rsid w:val="00795606"/>
    <w:rsid w:val="0079560C"/>
    <w:rsid w:val="00795712"/>
    <w:rsid w:val="00795857"/>
    <w:rsid w:val="007958D6"/>
    <w:rsid w:val="00795A4A"/>
    <w:rsid w:val="00795A50"/>
    <w:rsid w:val="00795AA8"/>
    <w:rsid w:val="00795B9D"/>
    <w:rsid w:val="00795EA8"/>
    <w:rsid w:val="00795EB8"/>
    <w:rsid w:val="007962F7"/>
    <w:rsid w:val="007966AE"/>
    <w:rsid w:val="00796966"/>
    <w:rsid w:val="00796AE9"/>
    <w:rsid w:val="00796AF6"/>
    <w:rsid w:val="00796CEA"/>
    <w:rsid w:val="00796CFB"/>
    <w:rsid w:val="00796E08"/>
    <w:rsid w:val="00796F8D"/>
    <w:rsid w:val="00797134"/>
    <w:rsid w:val="0079719E"/>
    <w:rsid w:val="007972F2"/>
    <w:rsid w:val="00797592"/>
    <w:rsid w:val="007977A7"/>
    <w:rsid w:val="007978C3"/>
    <w:rsid w:val="0079796E"/>
    <w:rsid w:val="007979C3"/>
    <w:rsid w:val="00797B62"/>
    <w:rsid w:val="00797BF3"/>
    <w:rsid w:val="00797BFC"/>
    <w:rsid w:val="00797C15"/>
    <w:rsid w:val="00797C29"/>
    <w:rsid w:val="00797D9B"/>
    <w:rsid w:val="00797DEA"/>
    <w:rsid w:val="00797E96"/>
    <w:rsid w:val="00797EF7"/>
    <w:rsid w:val="007A0021"/>
    <w:rsid w:val="007A0047"/>
    <w:rsid w:val="007A011D"/>
    <w:rsid w:val="007A01FC"/>
    <w:rsid w:val="007A0220"/>
    <w:rsid w:val="007A0359"/>
    <w:rsid w:val="007A0371"/>
    <w:rsid w:val="007A0460"/>
    <w:rsid w:val="007A05CC"/>
    <w:rsid w:val="007A063F"/>
    <w:rsid w:val="007A066F"/>
    <w:rsid w:val="007A078E"/>
    <w:rsid w:val="007A08DC"/>
    <w:rsid w:val="007A0B4D"/>
    <w:rsid w:val="007A0C39"/>
    <w:rsid w:val="007A0CE1"/>
    <w:rsid w:val="007A0E3B"/>
    <w:rsid w:val="007A0F14"/>
    <w:rsid w:val="007A0F7E"/>
    <w:rsid w:val="007A0FFA"/>
    <w:rsid w:val="007A1117"/>
    <w:rsid w:val="007A13C9"/>
    <w:rsid w:val="007A13F6"/>
    <w:rsid w:val="007A1407"/>
    <w:rsid w:val="007A1409"/>
    <w:rsid w:val="007A14D7"/>
    <w:rsid w:val="007A1709"/>
    <w:rsid w:val="007A1813"/>
    <w:rsid w:val="007A1831"/>
    <w:rsid w:val="007A18D2"/>
    <w:rsid w:val="007A1B58"/>
    <w:rsid w:val="007A1CC7"/>
    <w:rsid w:val="007A1D07"/>
    <w:rsid w:val="007A1D7F"/>
    <w:rsid w:val="007A1EC0"/>
    <w:rsid w:val="007A1ED8"/>
    <w:rsid w:val="007A213C"/>
    <w:rsid w:val="007A2236"/>
    <w:rsid w:val="007A2556"/>
    <w:rsid w:val="007A259B"/>
    <w:rsid w:val="007A26D4"/>
    <w:rsid w:val="007A289C"/>
    <w:rsid w:val="007A28A1"/>
    <w:rsid w:val="007A29F2"/>
    <w:rsid w:val="007A2A48"/>
    <w:rsid w:val="007A2CD5"/>
    <w:rsid w:val="007A2CE5"/>
    <w:rsid w:val="007A2F99"/>
    <w:rsid w:val="007A3036"/>
    <w:rsid w:val="007A308E"/>
    <w:rsid w:val="007A31A3"/>
    <w:rsid w:val="007A3202"/>
    <w:rsid w:val="007A3251"/>
    <w:rsid w:val="007A3310"/>
    <w:rsid w:val="007A3374"/>
    <w:rsid w:val="007A3430"/>
    <w:rsid w:val="007A3434"/>
    <w:rsid w:val="007A35E2"/>
    <w:rsid w:val="007A3601"/>
    <w:rsid w:val="007A36ED"/>
    <w:rsid w:val="007A3823"/>
    <w:rsid w:val="007A3832"/>
    <w:rsid w:val="007A386A"/>
    <w:rsid w:val="007A3A78"/>
    <w:rsid w:val="007A3AD3"/>
    <w:rsid w:val="007A3C85"/>
    <w:rsid w:val="007A3E2D"/>
    <w:rsid w:val="007A3E71"/>
    <w:rsid w:val="007A3F41"/>
    <w:rsid w:val="007A3F58"/>
    <w:rsid w:val="007A43F5"/>
    <w:rsid w:val="007A44B5"/>
    <w:rsid w:val="007A4693"/>
    <w:rsid w:val="007A4698"/>
    <w:rsid w:val="007A47A8"/>
    <w:rsid w:val="007A4909"/>
    <w:rsid w:val="007A491B"/>
    <w:rsid w:val="007A4951"/>
    <w:rsid w:val="007A4A82"/>
    <w:rsid w:val="007A4CE5"/>
    <w:rsid w:val="007A4D02"/>
    <w:rsid w:val="007A4D47"/>
    <w:rsid w:val="007A4E81"/>
    <w:rsid w:val="007A4F3E"/>
    <w:rsid w:val="007A4F4A"/>
    <w:rsid w:val="007A51F5"/>
    <w:rsid w:val="007A526F"/>
    <w:rsid w:val="007A52F1"/>
    <w:rsid w:val="007A5359"/>
    <w:rsid w:val="007A53EF"/>
    <w:rsid w:val="007A550B"/>
    <w:rsid w:val="007A5591"/>
    <w:rsid w:val="007A55EC"/>
    <w:rsid w:val="007A56BC"/>
    <w:rsid w:val="007A573B"/>
    <w:rsid w:val="007A57F0"/>
    <w:rsid w:val="007A5B26"/>
    <w:rsid w:val="007A5D0D"/>
    <w:rsid w:val="007A5F31"/>
    <w:rsid w:val="007A5F8C"/>
    <w:rsid w:val="007A60D0"/>
    <w:rsid w:val="007A6355"/>
    <w:rsid w:val="007A6369"/>
    <w:rsid w:val="007A63B3"/>
    <w:rsid w:val="007A6509"/>
    <w:rsid w:val="007A6577"/>
    <w:rsid w:val="007A6610"/>
    <w:rsid w:val="007A66DE"/>
    <w:rsid w:val="007A66FF"/>
    <w:rsid w:val="007A6719"/>
    <w:rsid w:val="007A67B9"/>
    <w:rsid w:val="007A68F8"/>
    <w:rsid w:val="007A69C1"/>
    <w:rsid w:val="007A6A23"/>
    <w:rsid w:val="007A6B4B"/>
    <w:rsid w:val="007A6D93"/>
    <w:rsid w:val="007A6FB5"/>
    <w:rsid w:val="007A71CD"/>
    <w:rsid w:val="007A72DB"/>
    <w:rsid w:val="007A73A1"/>
    <w:rsid w:val="007A740A"/>
    <w:rsid w:val="007A7444"/>
    <w:rsid w:val="007A7520"/>
    <w:rsid w:val="007A7533"/>
    <w:rsid w:val="007A754A"/>
    <w:rsid w:val="007A754B"/>
    <w:rsid w:val="007A77AB"/>
    <w:rsid w:val="007A78AB"/>
    <w:rsid w:val="007A78C0"/>
    <w:rsid w:val="007A79ED"/>
    <w:rsid w:val="007A7AD8"/>
    <w:rsid w:val="007A7B28"/>
    <w:rsid w:val="007A7BE7"/>
    <w:rsid w:val="007A7D23"/>
    <w:rsid w:val="007A7FC4"/>
    <w:rsid w:val="007B004D"/>
    <w:rsid w:val="007B0191"/>
    <w:rsid w:val="007B021B"/>
    <w:rsid w:val="007B0496"/>
    <w:rsid w:val="007B0502"/>
    <w:rsid w:val="007B0593"/>
    <w:rsid w:val="007B061A"/>
    <w:rsid w:val="007B08E4"/>
    <w:rsid w:val="007B0A44"/>
    <w:rsid w:val="007B0A50"/>
    <w:rsid w:val="007B0B30"/>
    <w:rsid w:val="007B0BF1"/>
    <w:rsid w:val="007B0C0E"/>
    <w:rsid w:val="007B0DC0"/>
    <w:rsid w:val="007B0EAD"/>
    <w:rsid w:val="007B0EEA"/>
    <w:rsid w:val="007B0F2A"/>
    <w:rsid w:val="007B0FB9"/>
    <w:rsid w:val="007B110B"/>
    <w:rsid w:val="007B1439"/>
    <w:rsid w:val="007B1472"/>
    <w:rsid w:val="007B170E"/>
    <w:rsid w:val="007B17B8"/>
    <w:rsid w:val="007B18D2"/>
    <w:rsid w:val="007B18FA"/>
    <w:rsid w:val="007B1A61"/>
    <w:rsid w:val="007B1A91"/>
    <w:rsid w:val="007B1BAC"/>
    <w:rsid w:val="007B1BB3"/>
    <w:rsid w:val="007B1CDE"/>
    <w:rsid w:val="007B1D98"/>
    <w:rsid w:val="007B1DBA"/>
    <w:rsid w:val="007B1F96"/>
    <w:rsid w:val="007B1FAD"/>
    <w:rsid w:val="007B1FFD"/>
    <w:rsid w:val="007B204F"/>
    <w:rsid w:val="007B20F4"/>
    <w:rsid w:val="007B22BD"/>
    <w:rsid w:val="007B231D"/>
    <w:rsid w:val="007B2373"/>
    <w:rsid w:val="007B2420"/>
    <w:rsid w:val="007B2584"/>
    <w:rsid w:val="007B25B3"/>
    <w:rsid w:val="007B25EA"/>
    <w:rsid w:val="007B2647"/>
    <w:rsid w:val="007B2C23"/>
    <w:rsid w:val="007B3062"/>
    <w:rsid w:val="007B30DA"/>
    <w:rsid w:val="007B3282"/>
    <w:rsid w:val="007B33A4"/>
    <w:rsid w:val="007B3408"/>
    <w:rsid w:val="007B341F"/>
    <w:rsid w:val="007B349C"/>
    <w:rsid w:val="007B35F8"/>
    <w:rsid w:val="007B35FC"/>
    <w:rsid w:val="007B3747"/>
    <w:rsid w:val="007B3A38"/>
    <w:rsid w:val="007B3D2E"/>
    <w:rsid w:val="007B3EA1"/>
    <w:rsid w:val="007B3F22"/>
    <w:rsid w:val="007B4008"/>
    <w:rsid w:val="007B43DE"/>
    <w:rsid w:val="007B463A"/>
    <w:rsid w:val="007B4808"/>
    <w:rsid w:val="007B4818"/>
    <w:rsid w:val="007B4A2E"/>
    <w:rsid w:val="007B4B3E"/>
    <w:rsid w:val="007B4B98"/>
    <w:rsid w:val="007B4C31"/>
    <w:rsid w:val="007B4C9C"/>
    <w:rsid w:val="007B4DED"/>
    <w:rsid w:val="007B4E10"/>
    <w:rsid w:val="007B4F4E"/>
    <w:rsid w:val="007B4FD1"/>
    <w:rsid w:val="007B5166"/>
    <w:rsid w:val="007B51A0"/>
    <w:rsid w:val="007B51FA"/>
    <w:rsid w:val="007B51FB"/>
    <w:rsid w:val="007B528B"/>
    <w:rsid w:val="007B5293"/>
    <w:rsid w:val="007B52D7"/>
    <w:rsid w:val="007B53E9"/>
    <w:rsid w:val="007B556F"/>
    <w:rsid w:val="007B55D9"/>
    <w:rsid w:val="007B574E"/>
    <w:rsid w:val="007B5794"/>
    <w:rsid w:val="007B57AC"/>
    <w:rsid w:val="007B584A"/>
    <w:rsid w:val="007B58A1"/>
    <w:rsid w:val="007B59DB"/>
    <w:rsid w:val="007B5C45"/>
    <w:rsid w:val="007B5CF2"/>
    <w:rsid w:val="007B5E28"/>
    <w:rsid w:val="007B5E67"/>
    <w:rsid w:val="007B601A"/>
    <w:rsid w:val="007B6103"/>
    <w:rsid w:val="007B64B2"/>
    <w:rsid w:val="007B6583"/>
    <w:rsid w:val="007B6651"/>
    <w:rsid w:val="007B6660"/>
    <w:rsid w:val="007B66EB"/>
    <w:rsid w:val="007B6810"/>
    <w:rsid w:val="007B681E"/>
    <w:rsid w:val="007B6941"/>
    <w:rsid w:val="007B69A6"/>
    <w:rsid w:val="007B69AF"/>
    <w:rsid w:val="007B6A38"/>
    <w:rsid w:val="007B6C82"/>
    <w:rsid w:val="007B6D00"/>
    <w:rsid w:val="007B6D8C"/>
    <w:rsid w:val="007B7117"/>
    <w:rsid w:val="007B7153"/>
    <w:rsid w:val="007B7214"/>
    <w:rsid w:val="007B7224"/>
    <w:rsid w:val="007B72E0"/>
    <w:rsid w:val="007B758D"/>
    <w:rsid w:val="007B75AC"/>
    <w:rsid w:val="007B75FB"/>
    <w:rsid w:val="007B769C"/>
    <w:rsid w:val="007B76F8"/>
    <w:rsid w:val="007B78B1"/>
    <w:rsid w:val="007B7ACE"/>
    <w:rsid w:val="007B7B19"/>
    <w:rsid w:val="007B7B31"/>
    <w:rsid w:val="007B7C3C"/>
    <w:rsid w:val="007B7D35"/>
    <w:rsid w:val="007B7F2F"/>
    <w:rsid w:val="007C0195"/>
    <w:rsid w:val="007C0231"/>
    <w:rsid w:val="007C030C"/>
    <w:rsid w:val="007C032D"/>
    <w:rsid w:val="007C035C"/>
    <w:rsid w:val="007C050C"/>
    <w:rsid w:val="007C08B8"/>
    <w:rsid w:val="007C096A"/>
    <w:rsid w:val="007C0AD2"/>
    <w:rsid w:val="007C0BAF"/>
    <w:rsid w:val="007C0C0A"/>
    <w:rsid w:val="007C0CEA"/>
    <w:rsid w:val="007C0E6F"/>
    <w:rsid w:val="007C0E7B"/>
    <w:rsid w:val="007C0EE1"/>
    <w:rsid w:val="007C0FF1"/>
    <w:rsid w:val="007C133B"/>
    <w:rsid w:val="007C13B6"/>
    <w:rsid w:val="007C17BD"/>
    <w:rsid w:val="007C188A"/>
    <w:rsid w:val="007C192B"/>
    <w:rsid w:val="007C19C0"/>
    <w:rsid w:val="007C1CE6"/>
    <w:rsid w:val="007C2083"/>
    <w:rsid w:val="007C20B1"/>
    <w:rsid w:val="007C218E"/>
    <w:rsid w:val="007C24A1"/>
    <w:rsid w:val="007C25F3"/>
    <w:rsid w:val="007C2674"/>
    <w:rsid w:val="007C267B"/>
    <w:rsid w:val="007C27A7"/>
    <w:rsid w:val="007C2989"/>
    <w:rsid w:val="007C2BCE"/>
    <w:rsid w:val="007C2CDD"/>
    <w:rsid w:val="007C2D17"/>
    <w:rsid w:val="007C2E44"/>
    <w:rsid w:val="007C2F4B"/>
    <w:rsid w:val="007C2FF7"/>
    <w:rsid w:val="007C3078"/>
    <w:rsid w:val="007C3109"/>
    <w:rsid w:val="007C32C3"/>
    <w:rsid w:val="007C332D"/>
    <w:rsid w:val="007C34B7"/>
    <w:rsid w:val="007C35B3"/>
    <w:rsid w:val="007C36E2"/>
    <w:rsid w:val="007C373C"/>
    <w:rsid w:val="007C37EB"/>
    <w:rsid w:val="007C3A5F"/>
    <w:rsid w:val="007C3BDD"/>
    <w:rsid w:val="007C3CBB"/>
    <w:rsid w:val="007C3CEF"/>
    <w:rsid w:val="007C3D39"/>
    <w:rsid w:val="007C3D79"/>
    <w:rsid w:val="007C3EC9"/>
    <w:rsid w:val="007C3F72"/>
    <w:rsid w:val="007C40A8"/>
    <w:rsid w:val="007C40BB"/>
    <w:rsid w:val="007C40E6"/>
    <w:rsid w:val="007C41EE"/>
    <w:rsid w:val="007C437C"/>
    <w:rsid w:val="007C43F4"/>
    <w:rsid w:val="007C46D3"/>
    <w:rsid w:val="007C470E"/>
    <w:rsid w:val="007C4765"/>
    <w:rsid w:val="007C4879"/>
    <w:rsid w:val="007C4D81"/>
    <w:rsid w:val="007C4D88"/>
    <w:rsid w:val="007C4DCE"/>
    <w:rsid w:val="007C4E99"/>
    <w:rsid w:val="007C4FE5"/>
    <w:rsid w:val="007C5373"/>
    <w:rsid w:val="007C53CE"/>
    <w:rsid w:val="007C53E7"/>
    <w:rsid w:val="007C567A"/>
    <w:rsid w:val="007C57B6"/>
    <w:rsid w:val="007C583F"/>
    <w:rsid w:val="007C59D8"/>
    <w:rsid w:val="007C5A97"/>
    <w:rsid w:val="007C5DC3"/>
    <w:rsid w:val="007C602E"/>
    <w:rsid w:val="007C60F3"/>
    <w:rsid w:val="007C617B"/>
    <w:rsid w:val="007C6188"/>
    <w:rsid w:val="007C6192"/>
    <w:rsid w:val="007C640D"/>
    <w:rsid w:val="007C6509"/>
    <w:rsid w:val="007C65BB"/>
    <w:rsid w:val="007C660A"/>
    <w:rsid w:val="007C6742"/>
    <w:rsid w:val="007C6786"/>
    <w:rsid w:val="007C67CC"/>
    <w:rsid w:val="007C6985"/>
    <w:rsid w:val="007C6B82"/>
    <w:rsid w:val="007C6CA6"/>
    <w:rsid w:val="007C6FA5"/>
    <w:rsid w:val="007C6FB0"/>
    <w:rsid w:val="007C7170"/>
    <w:rsid w:val="007C730C"/>
    <w:rsid w:val="007C7603"/>
    <w:rsid w:val="007C7850"/>
    <w:rsid w:val="007C799B"/>
    <w:rsid w:val="007C79B3"/>
    <w:rsid w:val="007C7ADB"/>
    <w:rsid w:val="007C7C26"/>
    <w:rsid w:val="007C7CBC"/>
    <w:rsid w:val="007D0071"/>
    <w:rsid w:val="007D00BA"/>
    <w:rsid w:val="007D0215"/>
    <w:rsid w:val="007D02B9"/>
    <w:rsid w:val="007D02F0"/>
    <w:rsid w:val="007D0316"/>
    <w:rsid w:val="007D0348"/>
    <w:rsid w:val="007D0437"/>
    <w:rsid w:val="007D066D"/>
    <w:rsid w:val="007D0672"/>
    <w:rsid w:val="007D0910"/>
    <w:rsid w:val="007D0AE5"/>
    <w:rsid w:val="007D0B16"/>
    <w:rsid w:val="007D0BA4"/>
    <w:rsid w:val="007D0BFB"/>
    <w:rsid w:val="007D0F96"/>
    <w:rsid w:val="007D1133"/>
    <w:rsid w:val="007D1156"/>
    <w:rsid w:val="007D1262"/>
    <w:rsid w:val="007D132E"/>
    <w:rsid w:val="007D13BB"/>
    <w:rsid w:val="007D1436"/>
    <w:rsid w:val="007D147D"/>
    <w:rsid w:val="007D1488"/>
    <w:rsid w:val="007D15F2"/>
    <w:rsid w:val="007D1A62"/>
    <w:rsid w:val="007D1C4A"/>
    <w:rsid w:val="007D1CC4"/>
    <w:rsid w:val="007D1D15"/>
    <w:rsid w:val="007D1DB6"/>
    <w:rsid w:val="007D1F08"/>
    <w:rsid w:val="007D201C"/>
    <w:rsid w:val="007D234E"/>
    <w:rsid w:val="007D235A"/>
    <w:rsid w:val="007D23C5"/>
    <w:rsid w:val="007D243D"/>
    <w:rsid w:val="007D252D"/>
    <w:rsid w:val="007D25B3"/>
    <w:rsid w:val="007D25F3"/>
    <w:rsid w:val="007D2614"/>
    <w:rsid w:val="007D2652"/>
    <w:rsid w:val="007D26A0"/>
    <w:rsid w:val="007D26C1"/>
    <w:rsid w:val="007D2805"/>
    <w:rsid w:val="007D29A6"/>
    <w:rsid w:val="007D2D59"/>
    <w:rsid w:val="007D2D95"/>
    <w:rsid w:val="007D2ECC"/>
    <w:rsid w:val="007D2ED8"/>
    <w:rsid w:val="007D2FD6"/>
    <w:rsid w:val="007D3058"/>
    <w:rsid w:val="007D3112"/>
    <w:rsid w:val="007D316B"/>
    <w:rsid w:val="007D32FF"/>
    <w:rsid w:val="007D3390"/>
    <w:rsid w:val="007D3487"/>
    <w:rsid w:val="007D354A"/>
    <w:rsid w:val="007D3560"/>
    <w:rsid w:val="007D3720"/>
    <w:rsid w:val="007D3767"/>
    <w:rsid w:val="007D37C5"/>
    <w:rsid w:val="007D3931"/>
    <w:rsid w:val="007D3999"/>
    <w:rsid w:val="007D39F3"/>
    <w:rsid w:val="007D3A28"/>
    <w:rsid w:val="007D3B58"/>
    <w:rsid w:val="007D3BCA"/>
    <w:rsid w:val="007D3D51"/>
    <w:rsid w:val="007D3DD4"/>
    <w:rsid w:val="007D3E1F"/>
    <w:rsid w:val="007D3E7B"/>
    <w:rsid w:val="007D3E90"/>
    <w:rsid w:val="007D3E94"/>
    <w:rsid w:val="007D3FEA"/>
    <w:rsid w:val="007D40FE"/>
    <w:rsid w:val="007D42AF"/>
    <w:rsid w:val="007D42DD"/>
    <w:rsid w:val="007D462B"/>
    <w:rsid w:val="007D46EF"/>
    <w:rsid w:val="007D46F1"/>
    <w:rsid w:val="007D47FB"/>
    <w:rsid w:val="007D4964"/>
    <w:rsid w:val="007D4A91"/>
    <w:rsid w:val="007D4D02"/>
    <w:rsid w:val="007D4FCD"/>
    <w:rsid w:val="007D506E"/>
    <w:rsid w:val="007D5475"/>
    <w:rsid w:val="007D54E1"/>
    <w:rsid w:val="007D556E"/>
    <w:rsid w:val="007D56B9"/>
    <w:rsid w:val="007D5727"/>
    <w:rsid w:val="007D582E"/>
    <w:rsid w:val="007D58F4"/>
    <w:rsid w:val="007D5924"/>
    <w:rsid w:val="007D5947"/>
    <w:rsid w:val="007D59AB"/>
    <w:rsid w:val="007D5A5E"/>
    <w:rsid w:val="007D5A69"/>
    <w:rsid w:val="007D5AB2"/>
    <w:rsid w:val="007D5B5D"/>
    <w:rsid w:val="007D5BCE"/>
    <w:rsid w:val="007D5C0D"/>
    <w:rsid w:val="007D5C7B"/>
    <w:rsid w:val="007D5C95"/>
    <w:rsid w:val="007D5D38"/>
    <w:rsid w:val="007D5D7E"/>
    <w:rsid w:val="007D609E"/>
    <w:rsid w:val="007D6105"/>
    <w:rsid w:val="007D62A0"/>
    <w:rsid w:val="007D6532"/>
    <w:rsid w:val="007D6625"/>
    <w:rsid w:val="007D6844"/>
    <w:rsid w:val="007D6888"/>
    <w:rsid w:val="007D6B02"/>
    <w:rsid w:val="007D6B1A"/>
    <w:rsid w:val="007D6B66"/>
    <w:rsid w:val="007D6BC8"/>
    <w:rsid w:val="007D6BFC"/>
    <w:rsid w:val="007D6EEC"/>
    <w:rsid w:val="007D6F3B"/>
    <w:rsid w:val="007D716F"/>
    <w:rsid w:val="007D72F7"/>
    <w:rsid w:val="007D755A"/>
    <w:rsid w:val="007D75DB"/>
    <w:rsid w:val="007D781C"/>
    <w:rsid w:val="007D7969"/>
    <w:rsid w:val="007D7993"/>
    <w:rsid w:val="007D7A80"/>
    <w:rsid w:val="007D7B10"/>
    <w:rsid w:val="007D7EF5"/>
    <w:rsid w:val="007E00CB"/>
    <w:rsid w:val="007E043C"/>
    <w:rsid w:val="007E0476"/>
    <w:rsid w:val="007E0619"/>
    <w:rsid w:val="007E0A67"/>
    <w:rsid w:val="007E0BC7"/>
    <w:rsid w:val="007E0E14"/>
    <w:rsid w:val="007E0E4C"/>
    <w:rsid w:val="007E0E7C"/>
    <w:rsid w:val="007E0E8A"/>
    <w:rsid w:val="007E0FEB"/>
    <w:rsid w:val="007E10F3"/>
    <w:rsid w:val="007E12EA"/>
    <w:rsid w:val="007E149C"/>
    <w:rsid w:val="007E14BD"/>
    <w:rsid w:val="007E1584"/>
    <w:rsid w:val="007E17C7"/>
    <w:rsid w:val="007E18A2"/>
    <w:rsid w:val="007E191D"/>
    <w:rsid w:val="007E19A4"/>
    <w:rsid w:val="007E1A60"/>
    <w:rsid w:val="007E1C38"/>
    <w:rsid w:val="007E1CDD"/>
    <w:rsid w:val="007E1EAF"/>
    <w:rsid w:val="007E208D"/>
    <w:rsid w:val="007E2115"/>
    <w:rsid w:val="007E2130"/>
    <w:rsid w:val="007E2168"/>
    <w:rsid w:val="007E218E"/>
    <w:rsid w:val="007E2339"/>
    <w:rsid w:val="007E234F"/>
    <w:rsid w:val="007E24D7"/>
    <w:rsid w:val="007E25CB"/>
    <w:rsid w:val="007E2608"/>
    <w:rsid w:val="007E2614"/>
    <w:rsid w:val="007E26A5"/>
    <w:rsid w:val="007E26FC"/>
    <w:rsid w:val="007E2992"/>
    <w:rsid w:val="007E2AD6"/>
    <w:rsid w:val="007E2B88"/>
    <w:rsid w:val="007E2B93"/>
    <w:rsid w:val="007E2BB7"/>
    <w:rsid w:val="007E2BD0"/>
    <w:rsid w:val="007E2BFC"/>
    <w:rsid w:val="007E2C96"/>
    <w:rsid w:val="007E2E2C"/>
    <w:rsid w:val="007E2E6C"/>
    <w:rsid w:val="007E2FD4"/>
    <w:rsid w:val="007E3023"/>
    <w:rsid w:val="007E30E2"/>
    <w:rsid w:val="007E312E"/>
    <w:rsid w:val="007E3179"/>
    <w:rsid w:val="007E3336"/>
    <w:rsid w:val="007E333B"/>
    <w:rsid w:val="007E34F5"/>
    <w:rsid w:val="007E35FE"/>
    <w:rsid w:val="007E37BA"/>
    <w:rsid w:val="007E3874"/>
    <w:rsid w:val="007E3A6C"/>
    <w:rsid w:val="007E3AA2"/>
    <w:rsid w:val="007E3D3A"/>
    <w:rsid w:val="007E3F0C"/>
    <w:rsid w:val="007E3F31"/>
    <w:rsid w:val="007E3F54"/>
    <w:rsid w:val="007E3F6E"/>
    <w:rsid w:val="007E41A4"/>
    <w:rsid w:val="007E41C6"/>
    <w:rsid w:val="007E4206"/>
    <w:rsid w:val="007E471B"/>
    <w:rsid w:val="007E47F4"/>
    <w:rsid w:val="007E4810"/>
    <w:rsid w:val="007E48F6"/>
    <w:rsid w:val="007E4BAA"/>
    <w:rsid w:val="007E4C85"/>
    <w:rsid w:val="007E4CFF"/>
    <w:rsid w:val="007E4DFF"/>
    <w:rsid w:val="007E5243"/>
    <w:rsid w:val="007E52C6"/>
    <w:rsid w:val="007E543F"/>
    <w:rsid w:val="007E56C8"/>
    <w:rsid w:val="007E56D6"/>
    <w:rsid w:val="007E5761"/>
    <w:rsid w:val="007E57AE"/>
    <w:rsid w:val="007E5837"/>
    <w:rsid w:val="007E58AB"/>
    <w:rsid w:val="007E5BA7"/>
    <w:rsid w:val="007E5CD9"/>
    <w:rsid w:val="007E5DEA"/>
    <w:rsid w:val="007E5EEF"/>
    <w:rsid w:val="007E5FA6"/>
    <w:rsid w:val="007E602A"/>
    <w:rsid w:val="007E617A"/>
    <w:rsid w:val="007E62A1"/>
    <w:rsid w:val="007E6582"/>
    <w:rsid w:val="007E6694"/>
    <w:rsid w:val="007E66B3"/>
    <w:rsid w:val="007E66D1"/>
    <w:rsid w:val="007E677C"/>
    <w:rsid w:val="007E67C1"/>
    <w:rsid w:val="007E6A51"/>
    <w:rsid w:val="007E6A8A"/>
    <w:rsid w:val="007E6B73"/>
    <w:rsid w:val="007E700D"/>
    <w:rsid w:val="007E7055"/>
    <w:rsid w:val="007E7060"/>
    <w:rsid w:val="007E715C"/>
    <w:rsid w:val="007E716E"/>
    <w:rsid w:val="007E7361"/>
    <w:rsid w:val="007E75B1"/>
    <w:rsid w:val="007E763C"/>
    <w:rsid w:val="007E77B3"/>
    <w:rsid w:val="007E7835"/>
    <w:rsid w:val="007E7844"/>
    <w:rsid w:val="007E785E"/>
    <w:rsid w:val="007E794D"/>
    <w:rsid w:val="007E7A1E"/>
    <w:rsid w:val="007E7A8D"/>
    <w:rsid w:val="007E7A90"/>
    <w:rsid w:val="007E7ADC"/>
    <w:rsid w:val="007E7D26"/>
    <w:rsid w:val="007E7D99"/>
    <w:rsid w:val="007E7F08"/>
    <w:rsid w:val="007E7FAF"/>
    <w:rsid w:val="007F01DB"/>
    <w:rsid w:val="007F020F"/>
    <w:rsid w:val="007F02B7"/>
    <w:rsid w:val="007F0323"/>
    <w:rsid w:val="007F0421"/>
    <w:rsid w:val="007F0627"/>
    <w:rsid w:val="007F06A8"/>
    <w:rsid w:val="007F06C9"/>
    <w:rsid w:val="007F0807"/>
    <w:rsid w:val="007F084B"/>
    <w:rsid w:val="007F08D5"/>
    <w:rsid w:val="007F0941"/>
    <w:rsid w:val="007F0997"/>
    <w:rsid w:val="007F09E7"/>
    <w:rsid w:val="007F09F9"/>
    <w:rsid w:val="007F0B65"/>
    <w:rsid w:val="007F0BB6"/>
    <w:rsid w:val="007F0D82"/>
    <w:rsid w:val="007F0E0A"/>
    <w:rsid w:val="007F0E4C"/>
    <w:rsid w:val="007F0E7B"/>
    <w:rsid w:val="007F0FB8"/>
    <w:rsid w:val="007F1031"/>
    <w:rsid w:val="007F10BE"/>
    <w:rsid w:val="007F11C6"/>
    <w:rsid w:val="007F13B7"/>
    <w:rsid w:val="007F1431"/>
    <w:rsid w:val="007F1439"/>
    <w:rsid w:val="007F145B"/>
    <w:rsid w:val="007F1470"/>
    <w:rsid w:val="007F1481"/>
    <w:rsid w:val="007F14A4"/>
    <w:rsid w:val="007F1503"/>
    <w:rsid w:val="007F17D2"/>
    <w:rsid w:val="007F17E0"/>
    <w:rsid w:val="007F17ED"/>
    <w:rsid w:val="007F1812"/>
    <w:rsid w:val="007F1943"/>
    <w:rsid w:val="007F19D0"/>
    <w:rsid w:val="007F1D08"/>
    <w:rsid w:val="007F1E13"/>
    <w:rsid w:val="007F2046"/>
    <w:rsid w:val="007F22B9"/>
    <w:rsid w:val="007F22DA"/>
    <w:rsid w:val="007F230D"/>
    <w:rsid w:val="007F236D"/>
    <w:rsid w:val="007F24DF"/>
    <w:rsid w:val="007F2501"/>
    <w:rsid w:val="007F2B1A"/>
    <w:rsid w:val="007F2B54"/>
    <w:rsid w:val="007F2BA0"/>
    <w:rsid w:val="007F2D44"/>
    <w:rsid w:val="007F2DFE"/>
    <w:rsid w:val="007F3218"/>
    <w:rsid w:val="007F3232"/>
    <w:rsid w:val="007F3272"/>
    <w:rsid w:val="007F328C"/>
    <w:rsid w:val="007F35A1"/>
    <w:rsid w:val="007F36A7"/>
    <w:rsid w:val="007F3702"/>
    <w:rsid w:val="007F3802"/>
    <w:rsid w:val="007F3830"/>
    <w:rsid w:val="007F394C"/>
    <w:rsid w:val="007F3972"/>
    <w:rsid w:val="007F3A35"/>
    <w:rsid w:val="007F3A3A"/>
    <w:rsid w:val="007F3B55"/>
    <w:rsid w:val="007F3CE0"/>
    <w:rsid w:val="007F3D33"/>
    <w:rsid w:val="007F40E4"/>
    <w:rsid w:val="007F4144"/>
    <w:rsid w:val="007F4237"/>
    <w:rsid w:val="007F429A"/>
    <w:rsid w:val="007F42BB"/>
    <w:rsid w:val="007F43C5"/>
    <w:rsid w:val="007F4406"/>
    <w:rsid w:val="007F4438"/>
    <w:rsid w:val="007F45F1"/>
    <w:rsid w:val="007F4785"/>
    <w:rsid w:val="007F479E"/>
    <w:rsid w:val="007F4879"/>
    <w:rsid w:val="007F4994"/>
    <w:rsid w:val="007F49EF"/>
    <w:rsid w:val="007F4A58"/>
    <w:rsid w:val="007F4AA5"/>
    <w:rsid w:val="007F4AF6"/>
    <w:rsid w:val="007F4B97"/>
    <w:rsid w:val="007F4C3C"/>
    <w:rsid w:val="007F4D3E"/>
    <w:rsid w:val="007F4D5B"/>
    <w:rsid w:val="007F4E86"/>
    <w:rsid w:val="007F4EA7"/>
    <w:rsid w:val="007F4F75"/>
    <w:rsid w:val="007F52AC"/>
    <w:rsid w:val="007F5569"/>
    <w:rsid w:val="007F5A87"/>
    <w:rsid w:val="007F5BA4"/>
    <w:rsid w:val="007F5C29"/>
    <w:rsid w:val="007F5EDF"/>
    <w:rsid w:val="007F5F35"/>
    <w:rsid w:val="007F5F64"/>
    <w:rsid w:val="007F5FE7"/>
    <w:rsid w:val="007F605E"/>
    <w:rsid w:val="007F60A7"/>
    <w:rsid w:val="007F6175"/>
    <w:rsid w:val="007F620F"/>
    <w:rsid w:val="007F622A"/>
    <w:rsid w:val="007F6230"/>
    <w:rsid w:val="007F6257"/>
    <w:rsid w:val="007F6270"/>
    <w:rsid w:val="007F6315"/>
    <w:rsid w:val="007F6545"/>
    <w:rsid w:val="007F660C"/>
    <w:rsid w:val="007F66D0"/>
    <w:rsid w:val="007F68AE"/>
    <w:rsid w:val="007F6952"/>
    <w:rsid w:val="007F6955"/>
    <w:rsid w:val="007F69B8"/>
    <w:rsid w:val="007F69F3"/>
    <w:rsid w:val="007F6A27"/>
    <w:rsid w:val="007F6AC1"/>
    <w:rsid w:val="007F6C2E"/>
    <w:rsid w:val="007F6F54"/>
    <w:rsid w:val="007F6FDE"/>
    <w:rsid w:val="007F702C"/>
    <w:rsid w:val="007F703F"/>
    <w:rsid w:val="007F7053"/>
    <w:rsid w:val="007F7106"/>
    <w:rsid w:val="007F714A"/>
    <w:rsid w:val="007F72FD"/>
    <w:rsid w:val="007F7336"/>
    <w:rsid w:val="007F733A"/>
    <w:rsid w:val="007F7741"/>
    <w:rsid w:val="007F7771"/>
    <w:rsid w:val="007F7DB5"/>
    <w:rsid w:val="007F7E67"/>
    <w:rsid w:val="007F7FA1"/>
    <w:rsid w:val="00800080"/>
    <w:rsid w:val="00800149"/>
    <w:rsid w:val="00800170"/>
    <w:rsid w:val="008005DB"/>
    <w:rsid w:val="0080076F"/>
    <w:rsid w:val="0080079D"/>
    <w:rsid w:val="0080082A"/>
    <w:rsid w:val="0080087C"/>
    <w:rsid w:val="00800892"/>
    <w:rsid w:val="008009A5"/>
    <w:rsid w:val="00800A46"/>
    <w:rsid w:val="00800A7E"/>
    <w:rsid w:val="00800B17"/>
    <w:rsid w:val="00800B69"/>
    <w:rsid w:val="00800CA4"/>
    <w:rsid w:val="00800DB3"/>
    <w:rsid w:val="00801013"/>
    <w:rsid w:val="0080102C"/>
    <w:rsid w:val="0080119B"/>
    <w:rsid w:val="00801237"/>
    <w:rsid w:val="00801302"/>
    <w:rsid w:val="00801336"/>
    <w:rsid w:val="008013AB"/>
    <w:rsid w:val="00801648"/>
    <w:rsid w:val="008016F1"/>
    <w:rsid w:val="00801771"/>
    <w:rsid w:val="008018CA"/>
    <w:rsid w:val="00801AD3"/>
    <w:rsid w:val="00801AD9"/>
    <w:rsid w:val="00801E06"/>
    <w:rsid w:val="00801E31"/>
    <w:rsid w:val="00801E81"/>
    <w:rsid w:val="00801E88"/>
    <w:rsid w:val="00802040"/>
    <w:rsid w:val="00802055"/>
    <w:rsid w:val="0080211B"/>
    <w:rsid w:val="00802184"/>
    <w:rsid w:val="008021F2"/>
    <w:rsid w:val="008022C3"/>
    <w:rsid w:val="0080239A"/>
    <w:rsid w:val="008024B7"/>
    <w:rsid w:val="008025DA"/>
    <w:rsid w:val="00802758"/>
    <w:rsid w:val="00802808"/>
    <w:rsid w:val="00802905"/>
    <w:rsid w:val="00802A59"/>
    <w:rsid w:val="00802D85"/>
    <w:rsid w:val="00802E09"/>
    <w:rsid w:val="0080306D"/>
    <w:rsid w:val="00803279"/>
    <w:rsid w:val="008033B1"/>
    <w:rsid w:val="00803417"/>
    <w:rsid w:val="0080344C"/>
    <w:rsid w:val="0080377F"/>
    <w:rsid w:val="008037A1"/>
    <w:rsid w:val="008038FC"/>
    <w:rsid w:val="008039D8"/>
    <w:rsid w:val="00803A1C"/>
    <w:rsid w:val="00803B91"/>
    <w:rsid w:val="00803BB6"/>
    <w:rsid w:val="00803DA7"/>
    <w:rsid w:val="00803DFD"/>
    <w:rsid w:val="00803F78"/>
    <w:rsid w:val="00804023"/>
    <w:rsid w:val="00804172"/>
    <w:rsid w:val="008041E5"/>
    <w:rsid w:val="00804444"/>
    <w:rsid w:val="0080449F"/>
    <w:rsid w:val="008044F7"/>
    <w:rsid w:val="008045A8"/>
    <w:rsid w:val="00804735"/>
    <w:rsid w:val="00804902"/>
    <w:rsid w:val="008049FE"/>
    <w:rsid w:val="00804A48"/>
    <w:rsid w:val="00804CD7"/>
    <w:rsid w:val="00804DC6"/>
    <w:rsid w:val="00804DF0"/>
    <w:rsid w:val="00804E8E"/>
    <w:rsid w:val="00804EA1"/>
    <w:rsid w:val="00804F09"/>
    <w:rsid w:val="0080502D"/>
    <w:rsid w:val="0080512C"/>
    <w:rsid w:val="00805242"/>
    <w:rsid w:val="008054A5"/>
    <w:rsid w:val="0080562C"/>
    <w:rsid w:val="008056D3"/>
    <w:rsid w:val="0080570B"/>
    <w:rsid w:val="00805746"/>
    <w:rsid w:val="008057F4"/>
    <w:rsid w:val="00805820"/>
    <w:rsid w:val="00805CB0"/>
    <w:rsid w:val="00805D89"/>
    <w:rsid w:val="00805E03"/>
    <w:rsid w:val="00805FA1"/>
    <w:rsid w:val="00805FCD"/>
    <w:rsid w:val="0080601B"/>
    <w:rsid w:val="00806344"/>
    <w:rsid w:val="0080669F"/>
    <w:rsid w:val="00806992"/>
    <w:rsid w:val="00806B4F"/>
    <w:rsid w:val="00806E8D"/>
    <w:rsid w:val="0080711D"/>
    <w:rsid w:val="008072E2"/>
    <w:rsid w:val="00807495"/>
    <w:rsid w:val="00807532"/>
    <w:rsid w:val="008075A1"/>
    <w:rsid w:val="008076EE"/>
    <w:rsid w:val="0080783A"/>
    <w:rsid w:val="008078F8"/>
    <w:rsid w:val="0080799B"/>
    <w:rsid w:val="00807ACA"/>
    <w:rsid w:val="00807C82"/>
    <w:rsid w:val="00807CEE"/>
    <w:rsid w:val="00807D1E"/>
    <w:rsid w:val="00807D22"/>
    <w:rsid w:val="00807D57"/>
    <w:rsid w:val="00807FC9"/>
    <w:rsid w:val="008102D0"/>
    <w:rsid w:val="0081031F"/>
    <w:rsid w:val="00810359"/>
    <w:rsid w:val="0081051B"/>
    <w:rsid w:val="008105C7"/>
    <w:rsid w:val="00810832"/>
    <w:rsid w:val="008108B5"/>
    <w:rsid w:val="00810963"/>
    <w:rsid w:val="00810A21"/>
    <w:rsid w:val="00810B81"/>
    <w:rsid w:val="00810BB1"/>
    <w:rsid w:val="00810D84"/>
    <w:rsid w:val="0081113D"/>
    <w:rsid w:val="008111B2"/>
    <w:rsid w:val="00811267"/>
    <w:rsid w:val="008113D5"/>
    <w:rsid w:val="00811476"/>
    <w:rsid w:val="008114BA"/>
    <w:rsid w:val="00811519"/>
    <w:rsid w:val="00811600"/>
    <w:rsid w:val="0081167F"/>
    <w:rsid w:val="00811698"/>
    <w:rsid w:val="00811ADF"/>
    <w:rsid w:val="00811B8E"/>
    <w:rsid w:val="00811C35"/>
    <w:rsid w:val="00811D89"/>
    <w:rsid w:val="00811DAD"/>
    <w:rsid w:val="00811DC0"/>
    <w:rsid w:val="00811F61"/>
    <w:rsid w:val="00812119"/>
    <w:rsid w:val="0081225A"/>
    <w:rsid w:val="00812416"/>
    <w:rsid w:val="008124ED"/>
    <w:rsid w:val="00812552"/>
    <w:rsid w:val="00812591"/>
    <w:rsid w:val="008129C3"/>
    <w:rsid w:val="008129E3"/>
    <w:rsid w:val="00812A79"/>
    <w:rsid w:val="00812B1B"/>
    <w:rsid w:val="00812B83"/>
    <w:rsid w:val="00812C4F"/>
    <w:rsid w:val="00812C87"/>
    <w:rsid w:val="00812DCB"/>
    <w:rsid w:val="00812E5D"/>
    <w:rsid w:val="00812EEC"/>
    <w:rsid w:val="00812EF5"/>
    <w:rsid w:val="0081301B"/>
    <w:rsid w:val="0081310D"/>
    <w:rsid w:val="0081316A"/>
    <w:rsid w:val="0081320E"/>
    <w:rsid w:val="00813291"/>
    <w:rsid w:val="00813377"/>
    <w:rsid w:val="0081351A"/>
    <w:rsid w:val="00813639"/>
    <w:rsid w:val="008136AE"/>
    <w:rsid w:val="00813804"/>
    <w:rsid w:val="008138E2"/>
    <w:rsid w:val="00813916"/>
    <w:rsid w:val="00813961"/>
    <w:rsid w:val="008139D3"/>
    <w:rsid w:val="00813B38"/>
    <w:rsid w:val="00813BD9"/>
    <w:rsid w:val="00813C26"/>
    <w:rsid w:val="00813C37"/>
    <w:rsid w:val="00813EB3"/>
    <w:rsid w:val="00813F5F"/>
    <w:rsid w:val="00813FFB"/>
    <w:rsid w:val="00814399"/>
    <w:rsid w:val="008143AC"/>
    <w:rsid w:val="0081443A"/>
    <w:rsid w:val="008144F8"/>
    <w:rsid w:val="008147F6"/>
    <w:rsid w:val="008149FE"/>
    <w:rsid w:val="00814C4B"/>
    <w:rsid w:val="00814E77"/>
    <w:rsid w:val="00814E87"/>
    <w:rsid w:val="00814EE7"/>
    <w:rsid w:val="00815215"/>
    <w:rsid w:val="0081523A"/>
    <w:rsid w:val="0081525D"/>
    <w:rsid w:val="00815387"/>
    <w:rsid w:val="0081540C"/>
    <w:rsid w:val="00815458"/>
    <w:rsid w:val="008154FC"/>
    <w:rsid w:val="00815519"/>
    <w:rsid w:val="0081553D"/>
    <w:rsid w:val="008155CA"/>
    <w:rsid w:val="008155D9"/>
    <w:rsid w:val="00815736"/>
    <w:rsid w:val="00815738"/>
    <w:rsid w:val="00815798"/>
    <w:rsid w:val="008158D5"/>
    <w:rsid w:val="00815920"/>
    <w:rsid w:val="00815BAF"/>
    <w:rsid w:val="00815C39"/>
    <w:rsid w:val="00815D5F"/>
    <w:rsid w:val="00815E6B"/>
    <w:rsid w:val="00816135"/>
    <w:rsid w:val="00816162"/>
    <w:rsid w:val="00816218"/>
    <w:rsid w:val="008163DE"/>
    <w:rsid w:val="008163F4"/>
    <w:rsid w:val="008165A1"/>
    <w:rsid w:val="00816701"/>
    <w:rsid w:val="00816886"/>
    <w:rsid w:val="008168C9"/>
    <w:rsid w:val="0081691F"/>
    <w:rsid w:val="00816924"/>
    <w:rsid w:val="00816B74"/>
    <w:rsid w:val="00816CB1"/>
    <w:rsid w:val="00816CCC"/>
    <w:rsid w:val="00816D5A"/>
    <w:rsid w:val="00816EC2"/>
    <w:rsid w:val="00816FA1"/>
    <w:rsid w:val="00817144"/>
    <w:rsid w:val="008171FD"/>
    <w:rsid w:val="00817217"/>
    <w:rsid w:val="0081722B"/>
    <w:rsid w:val="0081725A"/>
    <w:rsid w:val="0081727E"/>
    <w:rsid w:val="008173F0"/>
    <w:rsid w:val="00817541"/>
    <w:rsid w:val="00817603"/>
    <w:rsid w:val="008176C6"/>
    <w:rsid w:val="00817765"/>
    <w:rsid w:val="00817877"/>
    <w:rsid w:val="0081787A"/>
    <w:rsid w:val="00817926"/>
    <w:rsid w:val="00817B12"/>
    <w:rsid w:val="00817E1F"/>
    <w:rsid w:val="00817EAD"/>
    <w:rsid w:val="00820150"/>
    <w:rsid w:val="008202C4"/>
    <w:rsid w:val="008202D8"/>
    <w:rsid w:val="0082030B"/>
    <w:rsid w:val="00820333"/>
    <w:rsid w:val="0082034F"/>
    <w:rsid w:val="0082043A"/>
    <w:rsid w:val="00820829"/>
    <w:rsid w:val="008209E4"/>
    <w:rsid w:val="00820A01"/>
    <w:rsid w:val="00820A16"/>
    <w:rsid w:val="00820AFC"/>
    <w:rsid w:val="00820BEE"/>
    <w:rsid w:val="00820C3B"/>
    <w:rsid w:val="00820CEA"/>
    <w:rsid w:val="00820CFD"/>
    <w:rsid w:val="00820D7E"/>
    <w:rsid w:val="00820DA9"/>
    <w:rsid w:val="00820DDB"/>
    <w:rsid w:val="00820F1F"/>
    <w:rsid w:val="00820F33"/>
    <w:rsid w:val="00820FA9"/>
    <w:rsid w:val="00821131"/>
    <w:rsid w:val="00821168"/>
    <w:rsid w:val="00821368"/>
    <w:rsid w:val="00821489"/>
    <w:rsid w:val="008215F7"/>
    <w:rsid w:val="0082172E"/>
    <w:rsid w:val="0082174F"/>
    <w:rsid w:val="00821876"/>
    <w:rsid w:val="008218EE"/>
    <w:rsid w:val="00821BD8"/>
    <w:rsid w:val="00821CFF"/>
    <w:rsid w:val="00821D61"/>
    <w:rsid w:val="00821DA5"/>
    <w:rsid w:val="00821DFE"/>
    <w:rsid w:val="00821EA6"/>
    <w:rsid w:val="00821F7B"/>
    <w:rsid w:val="00821FED"/>
    <w:rsid w:val="0082207F"/>
    <w:rsid w:val="0082220C"/>
    <w:rsid w:val="00822554"/>
    <w:rsid w:val="0082258F"/>
    <w:rsid w:val="008225A7"/>
    <w:rsid w:val="0082265A"/>
    <w:rsid w:val="0082275F"/>
    <w:rsid w:val="008228ED"/>
    <w:rsid w:val="00822BA1"/>
    <w:rsid w:val="00822D05"/>
    <w:rsid w:val="00822D4C"/>
    <w:rsid w:val="0082339A"/>
    <w:rsid w:val="008233DF"/>
    <w:rsid w:val="008234EF"/>
    <w:rsid w:val="00823503"/>
    <w:rsid w:val="0082351D"/>
    <w:rsid w:val="0082360B"/>
    <w:rsid w:val="00823680"/>
    <w:rsid w:val="0082376E"/>
    <w:rsid w:val="008238CA"/>
    <w:rsid w:val="00823970"/>
    <w:rsid w:val="00823A1D"/>
    <w:rsid w:val="00823A60"/>
    <w:rsid w:val="00823B09"/>
    <w:rsid w:val="00823CB5"/>
    <w:rsid w:val="00823D29"/>
    <w:rsid w:val="00823F4A"/>
    <w:rsid w:val="00823F5C"/>
    <w:rsid w:val="008240D3"/>
    <w:rsid w:val="008240DD"/>
    <w:rsid w:val="00824416"/>
    <w:rsid w:val="00824451"/>
    <w:rsid w:val="0082453C"/>
    <w:rsid w:val="00824544"/>
    <w:rsid w:val="0082471A"/>
    <w:rsid w:val="00824C43"/>
    <w:rsid w:val="00824E94"/>
    <w:rsid w:val="00825052"/>
    <w:rsid w:val="00825076"/>
    <w:rsid w:val="0082522D"/>
    <w:rsid w:val="008253AB"/>
    <w:rsid w:val="00825770"/>
    <w:rsid w:val="00825B4C"/>
    <w:rsid w:val="00825BCC"/>
    <w:rsid w:val="00825BEB"/>
    <w:rsid w:val="008261B4"/>
    <w:rsid w:val="00826272"/>
    <w:rsid w:val="00826432"/>
    <w:rsid w:val="0082648F"/>
    <w:rsid w:val="008264E0"/>
    <w:rsid w:val="00826665"/>
    <w:rsid w:val="0082686D"/>
    <w:rsid w:val="008268D8"/>
    <w:rsid w:val="008268E3"/>
    <w:rsid w:val="008268EB"/>
    <w:rsid w:val="00826A4A"/>
    <w:rsid w:val="00826B00"/>
    <w:rsid w:val="00826B08"/>
    <w:rsid w:val="00826B37"/>
    <w:rsid w:val="00826C49"/>
    <w:rsid w:val="00826D91"/>
    <w:rsid w:val="00826EB8"/>
    <w:rsid w:val="00826EF1"/>
    <w:rsid w:val="00827063"/>
    <w:rsid w:val="00827267"/>
    <w:rsid w:val="00827360"/>
    <w:rsid w:val="008278D8"/>
    <w:rsid w:val="0082799F"/>
    <w:rsid w:val="00827A1D"/>
    <w:rsid w:val="00827B52"/>
    <w:rsid w:val="00827C93"/>
    <w:rsid w:val="00827C9C"/>
    <w:rsid w:val="00827CF1"/>
    <w:rsid w:val="00827F21"/>
    <w:rsid w:val="008301BC"/>
    <w:rsid w:val="008303B9"/>
    <w:rsid w:val="00830462"/>
    <w:rsid w:val="00830541"/>
    <w:rsid w:val="0083057D"/>
    <w:rsid w:val="00830592"/>
    <w:rsid w:val="00830604"/>
    <w:rsid w:val="008307C3"/>
    <w:rsid w:val="008308C1"/>
    <w:rsid w:val="008309DE"/>
    <w:rsid w:val="00830A99"/>
    <w:rsid w:val="00830B98"/>
    <w:rsid w:val="00830C38"/>
    <w:rsid w:val="00830E48"/>
    <w:rsid w:val="00830F44"/>
    <w:rsid w:val="00831058"/>
    <w:rsid w:val="0083135F"/>
    <w:rsid w:val="008314EB"/>
    <w:rsid w:val="0083173E"/>
    <w:rsid w:val="00831856"/>
    <w:rsid w:val="00831930"/>
    <w:rsid w:val="00831931"/>
    <w:rsid w:val="00831A20"/>
    <w:rsid w:val="00831A8C"/>
    <w:rsid w:val="00831BAC"/>
    <w:rsid w:val="00831C4B"/>
    <w:rsid w:val="00831CF6"/>
    <w:rsid w:val="00832676"/>
    <w:rsid w:val="0083270A"/>
    <w:rsid w:val="00832932"/>
    <w:rsid w:val="00832951"/>
    <w:rsid w:val="00832A50"/>
    <w:rsid w:val="00832AB3"/>
    <w:rsid w:val="00832B60"/>
    <w:rsid w:val="00832BD5"/>
    <w:rsid w:val="00832C7E"/>
    <w:rsid w:val="00832C8B"/>
    <w:rsid w:val="00832E47"/>
    <w:rsid w:val="00832EF5"/>
    <w:rsid w:val="00832F82"/>
    <w:rsid w:val="00832F96"/>
    <w:rsid w:val="0083301D"/>
    <w:rsid w:val="008330E3"/>
    <w:rsid w:val="00833115"/>
    <w:rsid w:val="008335A9"/>
    <w:rsid w:val="008335CC"/>
    <w:rsid w:val="00833701"/>
    <w:rsid w:val="008337FA"/>
    <w:rsid w:val="00833921"/>
    <w:rsid w:val="0083397B"/>
    <w:rsid w:val="00833AD6"/>
    <w:rsid w:val="00833B7E"/>
    <w:rsid w:val="00833C03"/>
    <w:rsid w:val="00833D33"/>
    <w:rsid w:val="00833E38"/>
    <w:rsid w:val="00833E85"/>
    <w:rsid w:val="00833EB1"/>
    <w:rsid w:val="00833EF2"/>
    <w:rsid w:val="00833F80"/>
    <w:rsid w:val="00833FD9"/>
    <w:rsid w:val="00834209"/>
    <w:rsid w:val="00834220"/>
    <w:rsid w:val="0083426F"/>
    <w:rsid w:val="00834473"/>
    <w:rsid w:val="008344B6"/>
    <w:rsid w:val="0083467C"/>
    <w:rsid w:val="008346A3"/>
    <w:rsid w:val="00834714"/>
    <w:rsid w:val="00834771"/>
    <w:rsid w:val="008349D1"/>
    <w:rsid w:val="008349F5"/>
    <w:rsid w:val="00834CB5"/>
    <w:rsid w:val="00834D0D"/>
    <w:rsid w:val="00834E0A"/>
    <w:rsid w:val="00834FE3"/>
    <w:rsid w:val="008350AE"/>
    <w:rsid w:val="008350DC"/>
    <w:rsid w:val="008350E4"/>
    <w:rsid w:val="00835307"/>
    <w:rsid w:val="0083532E"/>
    <w:rsid w:val="008353ED"/>
    <w:rsid w:val="008355F3"/>
    <w:rsid w:val="008358FB"/>
    <w:rsid w:val="00835A6E"/>
    <w:rsid w:val="00835A95"/>
    <w:rsid w:val="00835F05"/>
    <w:rsid w:val="00836025"/>
    <w:rsid w:val="008364A2"/>
    <w:rsid w:val="008364E8"/>
    <w:rsid w:val="00836665"/>
    <w:rsid w:val="008366FE"/>
    <w:rsid w:val="0083690D"/>
    <w:rsid w:val="00836910"/>
    <w:rsid w:val="00836929"/>
    <w:rsid w:val="008369EA"/>
    <w:rsid w:val="00836C9A"/>
    <w:rsid w:val="00836E29"/>
    <w:rsid w:val="008370B3"/>
    <w:rsid w:val="008370D9"/>
    <w:rsid w:val="0083715A"/>
    <w:rsid w:val="00837207"/>
    <w:rsid w:val="00837542"/>
    <w:rsid w:val="00837556"/>
    <w:rsid w:val="00837666"/>
    <w:rsid w:val="008377D2"/>
    <w:rsid w:val="00837959"/>
    <w:rsid w:val="0083796A"/>
    <w:rsid w:val="0083797C"/>
    <w:rsid w:val="00837A47"/>
    <w:rsid w:val="00837A61"/>
    <w:rsid w:val="00837B83"/>
    <w:rsid w:val="00837C50"/>
    <w:rsid w:val="00837CC4"/>
    <w:rsid w:val="00837E74"/>
    <w:rsid w:val="00837E87"/>
    <w:rsid w:val="00837F00"/>
    <w:rsid w:val="00837FB0"/>
    <w:rsid w:val="0084003D"/>
    <w:rsid w:val="008400CA"/>
    <w:rsid w:val="008400DD"/>
    <w:rsid w:val="0084019C"/>
    <w:rsid w:val="00840317"/>
    <w:rsid w:val="00840385"/>
    <w:rsid w:val="008404F8"/>
    <w:rsid w:val="0084069D"/>
    <w:rsid w:val="008407ED"/>
    <w:rsid w:val="00840931"/>
    <w:rsid w:val="00840ACA"/>
    <w:rsid w:val="00840AFF"/>
    <w:rsid w:val="00840B8F"/>
    <w:rsid w:val="00840DDC"/>
    <w:rsid w:val="00840F00"/>
    <w:rsid w:val="00840FC3"/>
    <w:rsid w:val="008410C7"/>
    <w:rsid w:val="0084125D"/>
    <w:rsid w:val="00841538"/>
    <w:rsid w:val="008415BD"/>
    <w:rsid w:val="008415E6"/>
    <w:rsid w:val="008416C8"/>
    <w:rsid w:val="008416DE"/>
    <w:rsid w:val="008419E5"/>
    <w:rsid w:val="00841BDE"/>
    <w:rsid w:val="00841F94"/>
    <w:rsid w:val="00841FA6"/>
    <w:rsid w:val="00842056"/>
    <w:rsid w:val="00842142"/>
    <w:rsid w:val="0084219B"/>
    <w:rsid w:val="00842244"/>
    <w:rsid w:val="008423A1"/>
    <w:rsid w:val="00842545"/>
    <w:rsid w:val="0084286E"/>
    <w:rsid w:val="00842892"/>
    <w:rsid w:val="008429E5"/>
    <w:rsid w:val="00842EE3"/>
    <w:rsid w:val="00842EEE"/>
    <w:rsid w:val="008430DC"/>
    <w:rsid w:val="0084310A"/>
    <w:rsid w:val="00843198"/>
    <w:rsid w:val="00843311"/>
    <w:rsid w:val="00843354"/>
    <w:rsid w:val="00843423"/>
    <w:rsid w:val="0084345E"/>
    <w:rsid w:val="008434D6"/>
    <w:rsid w:val="008437CF"/>
    <w:rsid w:val="0084383C"/>
    <w:rsid w:val="00843851"/>
    <w:rsid w:val="008438B4"/>
    <w:rsid w:val="00843949"/>
    <w:rsid w:val="00843AA8"/>
    <w:rsid w:val="00843BB8"/>
    <w:rsid w:val="00843C2E"/>
    <w:rsid w:val="00843CD4"/>
    <w:rsid w:val="00843D86"/>
    <w:rsid w:val="00843F96"/>
    <w:rsid w:val="00844095"/>
    <w:rsid w:val="0084411B"/>
    <w:rsid w:val="0084412F"/>
    <w:rsid w:val="008441EE"/>
    <w:rsid w:val="00844240"/>
    <w:rsid w:val="0084437A"/>
    <w:rsid w:val="00844543"/>
    <w:rsid w:val="00844547"/>
    <w:rsid w:val="008446A0"/>
    <w:rsid w:val="008446D5"/>
    <w:rsid w:val="0084472B"/>
    <w:rsid w:val="008447AA"/>
    <w:rsid w:val="00844899"/>
    <w:rsid w:val="008448D4"/>
    <w:rsid w:val="0084493A"/>
    <w:rsid w:val="008449C7"/>
    <w:rsid w:val="008449E2"/>
    <w:rsid w:val="00844C0B"/>
    <w:rsid w:val="00844C2D"/>
    <w:rsid w:val="00844CB6"/>
    <w:rsid w:val="00844DB9"/>
    <w:rsid w:val="00844F6E"/>
    <w:rsid w:val="00845224"/>
    <w:rsid w:val="00845275"/>
    <w:rsid w:val="008452CF"/>
    <w:rsid w:val="00845371"/>
    <w:rsid w:val="00845770"/>
    <w:rsid w:val="008457AE"/>
    <w:rsid w:val="00845C21"/>
    <w:rsid w:val="00845C89"/>
    <w:rsid w:val="00845DE0"/>
    <w:rsid w:val="00845E29"/>
    <w:rsid w:val="00846169"/>
    <w:rsid w:val="00846221"/>
    <w:rsid w:val="0084627F"/>
    <w:rsid w:val="008462D4"/>
    <w:rsid w:val="00846428"/>
    <w:rsid w:val="0084645D"/>
    <w:rsid w:val="00846478"/>
    <w:rsid w:val="008466F3"/>
    <w:rsid w:val="008467D4"/>
    <w:rsid w:val="008467D8"/>
    <w:rsid w:val="00846880"/>
    <w:rsid w:val="00846BB7"/>
    <w:rsid w:val="00846BF4"/>
    <w:rsid w:val="00846C86"/>
    <w:rsid w:val="00846E4A"/>
    <w:rsid w:val="00847085"/>
    <w:rsid w:val="00847291"/>
    <w:rsid w:val="008472D8"/>
    <w:rsid w:val="0084734B"/>
    <w:rsid w:val="008474C5"/>
    <w:rsid w:val="00847518"/>
    <w:rsid w:val="0084752C"/>
    <w:rsid w:val="00847653"/>
    <w:rsid w:val="0084770B"/>
    <w:rsid w:val="008477C7"/>
    <w:rsid w:val="00847809"/>
    <w:rsid w:val="008478EB"/>
    <w:rsid w:val="0084791F"/>
    <w:rsid w:val="00847991"/>
    <w:rsid w:val="00847BB0"/>
    <w:rsid w:val="00847CB8"/>
    <w:rsid w:val="00847CFA"/>
    <w:rsid w:val="00847E29"/>
    <w:rsid w:val="00847E78"/>
    <w:rsid w:val="00847F12"/>
    <w:rsid w:val="00847F54"/>
    <w:rsid w:val="00850139"/>
    <w:rsid w:val="00850491"/>
    <w:rsid w:val="008504C4"/>
    <w:rsid w:val="00850534"/>
    <w:rsid w:val="00850577"/>
    <w:rsid w:val="008505F8"/>
    <w:rsid w:val="00850861"/>
    <w:rsid w:val="00850891"/>
    <w:rsid w:val="00850BC1"/>
    <w:rsid w:val="00850C5A"/>
    <w:rsid w:val="00850C79"/>
    <w:rsid w:val="00850D65"/>
    <w:rsid w:val="00850D9F"/>
    <w:rsid w:val="00850F64"/>
    <w:rsid w:val="00851248"/>
    <w:rsid w:val="008512EB"/>
    <w:rsid w:val="0085136A"/>
    <w:rsid w:val="008513CE"/>
    <w:rsid w:val="008513F2"/>
    <w:rsid w:val="0085146D"/>
    <w:rsid w:val="008514C7"/>
    <w:rsid w:val="008514FE"/>
    <w:rsid w:val="00851544"/>
    <w:rsid w:val="008515A8"/>
    <w:rsid w:val="008515E7"/>
    <w:rsid w:val="008518F2"/>
    <w:rsid w:val="0085196A"/>
    <w:rsid w:val="00851C28"/>
    <w:rsid w:val="00851E37"/>
    <w:rsid w:val="00851F72"/>
    <w:rsid w:val="008521D4"/>
    <w:rsid w:val="0085232A"/>
    <w:rsid w:val="00852378"/>
    <w:rsid w:val="00852398"/>
    <w:rsid w:val="00852624"/>
    <w:rsid w:val="00852716"/>
    <w:rsid w:val="008528CB"/>
    <w:rsid w:val="00852A2C"/>
    <w:rsid w:val="00852B5D"/>
    <w:rsid w:val="00852C4B"/>
    <w:rsid w:val="00852C5A"/>
    <w:rsid w:val="00852D1F"/>
    <w:rsid w:val="00852D76"/>
    <w:rsid w:val="00852F06"/>
    <w:rsid w:val="00852F5D"/>
    <w:rsid w:val="008532AE"/>
    <w:rsid w:val="00853400"/>
    <w:rsid w:val="0085353C"/>
    <w:rsid w:val="00853559"/>
    <w:rsid w:val="008535C0"/>
    <w:rsid w:val="008536C5"/>
    <w:rsid w:val="008536F5"/>
    <w:rsid w:val="00853792"/>
    <w:rsid w:val="008537BA"/>
    <w:rsid w:val="008537DE"/>
    <w:rsid w:val="008537F9"/>
    <w:rsid w:val="0085385B"/>
    <w:rsid w:val="008538DB"/>
    <w:rsid w:val="00853CC3"/>
    <w:rsid w:val="00853D4D"/>
    <w:rsid w:val="00853D83"/>
    <w:rsid w:val="00853DC6"/>
    <w:rsid w:val="00853E10"/>
    <w:rsid w:val="00853E38"/>
    <w:rsid w:val="00853EFF"/>
    <w:rsid w:val="00853F71"/>
    <w:rsid w:val="0085417D"/>
    <w:rsid w:val="00854181"/>
    <w:rsid w:val="00854271"/>
    <w:rsid w:val="0085452F"/>
    <w:rsid w:val="008546B3"/>
    <w:rsid w:val="008546E7"/>
    <w:rsid w:val="0085479B"/>
    <w:rsid w:val="008547FC"/>
    <w:rsid w:val="008548FA"/>
    <w:rsid w:val="00854969"/>
    <w:rsid w:val="00854A39"/>
    <w:rsid w:val="00854E23"/>
    <w:rsid w:val="00854E4F"/>
    <w:rsid w:val="00854F3A"/>
    <w:rsid w:val="008551CF"/>
    <w:rsid w:val="0085520F"/>
    <w:rsid w:val="008552AA"/>
    <w:rsid w:val="00855356"/>
    <w:rsid w:val="008555DA"/>
    <w:rsid w:val="0085577F"/>
    <w:rsid w:val="00855810"/>
    <w:rsid w:val="008558D8"/>
    <w:rsid w:val="00855A0B"/>
    <w:rsid w:val="00855A66"/>
    <w:rsid w:val="00855BE7"/>
    <w:rsid w:val="00855C20"/>
    <w:rsid w:val="00855CC0"/>
    <w:rsid w:val="00855CF9"/>
    <w:rsid w:val="00855D7A"/>
    <w:rsid w:val="00855DBA"/>
    <w:rsid w:val="00855E0A"/>
    <w:rsid w:val="00855EA8"/>
    <w:rsid w:val="00855F17"/>
    <w:rsid w:val="00855FFC"/>
    <w:rsid w:val="00856062"/>
    <w:rsid w:val="00856152"/>
    <w:rsid w:val="00856216"/>
    <w:rsid w:val="0085625C"/>
    <w:rsid w:val="00856285"/>
    <w:rsid w:val="008562E5"/>
    <w:rsid w:val="00856474"/>
    <w:rsid w:val="0085650B"/>
    <w:rsid w:val="0085653C"/>
    <w:rsid w:val="00856694"/>
    <w:rsid w:val="008569ED"/>
    <w:rsid w:val="008569FE"/>
    <w:rsid w:val="00856B5C"/>
    <w:rsid w:val="00856BD8"/>
    <w:rsid w:val="00856D6F"/>
    <w:rsid w:val="00856DC0"/>
    <w:rsid w:val="00857190"/>
    <w:rsid w:val="008571D8"/>
    <w:rsid w:val="0085720E"/>
    <w:rsid w:val="00857243"/>
    <w:rsid w:val="00857283"/>
    <w:rsid w:val="008572D6"/>
    <w:rsid w:val="0085746B"/>
    <w:rsid w:val="00857731"/>
    <w:rsid w:val="00857785"/>
    <w:rsid w:val="00857A3C"/>
    <w:rsid w:val="00857A8E"/>
    <w:rsid w:val="00857C24"/>
    <w:rsid w:val="00857D22"/>
    <w:rsid w:val="00857DAF"/>
    <w:rsid w:val="00857DE0"/>
    <w:rsid w:val="00857E35"/>
    <w:rsid w:val="00857E5E"/>
    <w:rsid w:val="00857F27"/>
    <w:rsid w:val="00857FD4"/>
    <w:rsid w:val="008600C7"/>
    <w:rsid w:val="00860155"/>
    <w:rsid w:val="00860185"/>
    <w:rsid w:val="00860239"/>
    <w:rsid w:val="0086025C"/>
    <w:rsid w:val="00860393"/>
    <w:rsid w:val="008604D4"/>
    <w:rsid w:val="00860574"/>
    <w:rsid w:val="008605A6"/>
    <w:rsid w:val="00860659"/>
    <w:rsid w:val="00860AA8"/>
    <w:rsid w:val="00860B28"/>
    <w:rsid w:val="00860D6C"/>
    <w:rsid w:val="00860ED4"/>
    <w:rsid w:val="00861173"/>
    <w:rsid w:val="008611AF"/>
    <w:rsid w:val="00861491"/>
    <w:rsid w:val="00861614"/>
    <w:rsid w:val="008618EE"/>
    <w:rsid w:val="008619FB"/>
    <w:rsid w:val="00861A51"/>
    <w:rsid w:val="00861D48"/>
    <w:rsid w:val="00861EAE"/>
    <w:rsid w:val="00861FD6"/>
    <w:rsid w:val="0086220F"/>
    <w:rsid w:val="00862274"/>
    <w:rsid w:val="008622CD"/>
    <w:rsid w:val="00862336"/>
    <w:rsid w:val="00862337"/>
    <w:rsid w:val="00862421"/>
    <w:rsid w:val="008624A0"/>
    <w:rsid w:val="008624EE"/>
    <w:rsid w:val="00862516"/>
    <w:rsid w:val="00862629"/>
    <w:rsid w:val="008626AF"/>
    <w:rsid w:val="008626F1"/>
    <w:rsid w:val="0086275D"/>
    <w:rsid w:val="00862997"/>
    <w:rsid w:val="00862A8C"/>
    <w:rsid w:val="00862BB2"/>
    <w:rsid w:val="00862C7D"/>
    <w:rsid w:val="00862DC4"/>
    <w:rsid w:val="00862F90"/>
    <w:rsid w:val="0086318A"/>
    <w:rsid w:val="00863302"/>
    <w:rsid w:val="00863364"/>
    <w:rsid w:val="00863401"/>
    <w:rsid w:val="008634B4"/>
    <w:rsid w:val="0086367E"/>
    <w:rsid w:val="008636D2"/>
    <w:rsid w:val="008636D3"/>
    <w:rsid w:val="00863B94"/>
    <w:rsid w:val="00863C9A"/>
    <w:rsid w:val="00863D75"/>
    <w:rsid w:val="00863FA0"/>
    <w:rsid w:val="00863FB4"/>
    <w:rsid w:val="008641C0"/>
    <w:rsid w:val="008641CA"/>
    <w:rsid w:val="008642F0"/>
    <w:rsid w:val="00864461"/>
    <w:rsid w:val="00864489"/>
    <w:rsid w:val="008644A7"/>
    <w:rsid w:val="0086456C"/>
    <w:rsid w:val="00864598"/>
    <w:rsid w:val="00864836"/>
    <w:rsid w:val="0086487D"/>
    <w:rsid w:val="008648C5"/>
    <w:rsid w:val="00864945"/>
    <w:rsid w:val="00864A80"/>
    <w:rsid w:val="00864B8A"/>
    <w:rsid w:val="00864B99"/>
    <w:rsid w:val="00864D70"/>
    <w:rsid w:val="00864E7B"/>
    <w:rsid w:val="00864F15"/>
    <w:rsid w:val="00864FFC"/>
    <w:rsid w:val="00865198"/>
    <w:rsid w:val="00865201"/>
    <w:rsid w:val="00865240"/>
    <w:rsid w:val="00865343"/>
    <w:rsid w:val="00865430"/>
    <w:rsid w:val="00865568"/>
    <w:rsid w:val="0086556F"/>
    <w:rsid w:val="00865706"/>
    <w:rsid w:val="00865727"/>
    <w:rsid w:val="00865801"/>
    <w:rsid w:val="00865828"/>
    <w:rsid w:val="00865897"/>
    <w:rsid w:val="0086597B"/>
    <w:rsid w:val="008659E5"/>
    <w:rsid w:val="00865C00"/>
    <w:rsid w:val="00865C50"/>
    <w:rsid w:val="00865CC7"/>
    <w:rsid w:val="0086600D"/>
    <w:rsid w:val="00866287"/>
    <w:rsid w:val="0086630F"/>
    <w:rsid w:val="008663A9"/>
    <w:rsid w:val="008663E5"/>
    <w:rsid w:val="00866482"/>
    <w:rsid w:val="008664D4"/>
    <w:rsid w:val="00866520"/>
    <w:rsid w:val="0086688E"/>
    <w:rsid w:val="0086689A"/>
    <w:rsid w:val="00866988"/>
    <w:rsid w:val="00866AAE"/>
    <w:rsid w:val="00866E42"/>
    <w:rsid w:val="00866E6E"/>
    <w:rsid w:val="00866E97"/>
    <w:rsid w:val="00866E9E"/>
    <w:rsid w:val="00866F60"/>
    <w:rsid w:val="0086706A"/>
    <w:rsid w:val="00867274"/>
    <w:rsid w:val="00867329"/>
    <w:rsid w:val="008677BF"/>
    <w:rsid w:val="00867830"/>
    <w:rsid w:val="008678C1"/>
    <w:rsid w:val="008679BE"/>
    <w:rsid w:val="00867BDF"/>
    <w:rsid w:val="00867CD1"/>
    <w:rsid w:val="00867F52"/>
    <w:rsid w:val="00867FF7"/>
    <w:rsid w:val="00870016"/>
    <w:rsid w:val="0087007F"/>
    <w:rsid w:val="0087011C"/>
    <w:rsid w:val="00870182"/>
    <w:rsid w:val="00870430"/>
    <w:rsid w:val="00870511"/>
    <w:rsid w:val="00870675"/>
    <w:rsid w:val="008706D8"/>
    <w:rsid w:val="00870813"/>
    <w:rsid w:val="00870890"/>
    <w:rsid w:val="00870A2D"/>
    <w:rsid w:val="00870A3A"/>
    <w:rsid w:val="00870A93"/>
    <w:rsid w:val="00870C51"/>
    <w:rsid w:val="00870E84"/>
    <w:rsid w:val="00870F57"/>
    <w:rsid w:val="00870F73"/>
    <w:rsid w:val="00871044"/>
    <w:rsid w:val="008711E0"/>
    <w:rsid w:val="00871448"/>
    <w:rsid w:val="008715DD"/>
    <w:rsid w:val="00871851"/>
    <w:rsid w:val="00871A5E"/>
    <w:rsid w:val="00871A68"/>
    <w:rsid w:val="00871B11"/>
    <w:rsid w:val="00871C67"/>
    <w:rsid w:val="00871C7B"/>
    <w:rsid w:val="00871C98"/>
    <w:rsid w:val="00871CCB"/>
    <w:rsid w:val="00871DF7"/>
    <w:rsid w:val="00871E97"/>
    <w:rsid w:val="00871EB0"/>
    <w:rsid w:val="00872061"/>
    <w:rsid w:val="008722FD"/>
    <w:rsid w:val="00872376"/>
    <w:rsid w:val="0087237A"/>
    <w:rsid w:val="008724C3"/>
    <w:rsid w:val="008724FA"/>
    <w:rsid w:val="00872557"/>
    <w:rsid w:val="008725EC"/>
    <w:rsid w:val="00872795"/>
    <w:rsid w:val="008727A7"/>
    <w:rsid w:val="008728C4"/>
    <w:rsid w:val="00872A4A"/>
    <w:rsid w:val="00872A59"/>
    <w:rsid w:val="00872A8E"/>
    <w:rsid w:val="00872B0F"/>
    <w:rsid w:val="00872C3A"/>
    <w:rsid w:val="00872C56"/>
    <w:rsid w:val="00872CF0"/>
    <w:rsid w:val="00872E84"/>
    <w:rsid w:val="00872ED4"/>
    <w:rsid w:val="00872F4B"/>
    <w:rsid w:val="00873090"/>
    <w:rsid w:val="0087318A"/>
    <w:rsid w:val="0087338C"/>
    <w:rsid w:val="00873728"/>
    <w:rsid w:val="00873919"/>
    <w:rsid w:val="0087391C"/>
    <w:rsid w:val="0087392A"/>
    <w:rsid w:val="008739CB"/>
    <w:rsid w:val="008739E2"/>
    <w:rsid w:val="00873A54"/>
    <w:rsid w:val="00873A7D"/>
    <w:rsid w:val="00873B3F"/>
    <w:rsid w:val="00873B74"/>
    <w:rsid w:val="00873CBA"/>
    <w:rsid w:val="00873CE5"/>
    <w:rsid w:val="00873F8A"/>
    <w:rsid w:val="00874049"/>
    <w:rsid w:val="00874100"/>
    <w:rsid w:val="0087412D"/>
    <w:rsid w:val="00874136"/>
    <w:rsid w:val="0087417E"/>
    <w:rsid w:val="00874214"/>
    <w:rsid w:val="00874296"/>
    <w:rsid w:val="00874481"/>
    <w:rsid w:val="00874526"/>
    <w:rsid w:val="00874580"/>
    <w:rsid w:val="00874659"/>
    <w:rsid w:val="008746C3"/>
    <w:rsid w:val="008746C5"/>
    <w:rsid w:val="008748B6"/>
    <w:rsid w:val="00874924"/>
    <w:rsid w:val="008749F0"/>
    <w:rsid w:val="00874CDF"/>
    <w:rsid w:val="00874DE9"/>
    <w:rsid w:val="00874E51"/>
    <w:rsid w:val="00874E9C"/>
    <w:rsid w:val="00874ED2"/>
    <w:rsid w:val="0087503A"/>
    <w:rsid w:val="00875099"/>
    <w:rsid w:val="008750DF"/>
    <w:rsid w:val="00875238"/>
    <w:rsid w:val="008755B6"/>
    <w:rsid w:val="0087560E"/>
    <w:rsid w:val="0087560F"/>
    <w:rsid w:val="008757D4"/>
    <w:rsid w:val="008758C7"/>
    <w:rsid w:val="008758D5"/>
    <w:rsid w:val="00875932"/>
    <w:rsid w:val="0087596E"/>
    <w:rsid w:val="00875AF7"/>
    <w:rsid w:val="00875B6A"/>
    <w:rsid w:val="00875C48"/>
    <w:rsid w:val="00875DB9"/>
    <w:rsid w:val="0087600A"/>
    <w:rsid w:val="008760D3"/>
    <w:rsid w:val="008760FA"/>
    <w:rsid w:val="008762D0"/>
    <w:rsid w:val="008762E8"/>
    <w:rsid w:val="008763BE"/>
    <w:rsid w:val="0087675E"/>
    <w:rsid w:val="0087677B"/>
    <w:rsid w:val="0087692C"/>
    <w:rsid w:val="00876A79"/>
    <w:rsid w:val="00876BB9"/>
    <w:rsid w:val="00876BF9"/>
    <w:rsid w:val="00876F42"/>
    <w:rsid w:val="008771AE"/>
    <w:rsid w:val="00877238"/>
    <w:rsid w:val="00877339"/>
    <w:rsid w:val="008773A1"/>
    <w:rsid w:val="008774EE"/>
    <w:rsid w:val="00877573"/>
    <w:rsid w:val="00877791"/>
    <w:rsid w:val="008777A6"/>
    <w:rsid w:val="008777E0"/>
    <w:rsid w:val="008778C3"/>
    <w:rsid w:val="008779EA"/>
    <w:rsid w:val="00877A16"/>
    <w:rsid w:val="00877B0E"/>
    <w:rsid w:val="00877BFA"/>
    <w:rsid w:val="00877D7E"/>
    <w:rsid w:val="00877D8D"/>
    <w:rsid w:val="00877E52"/>
    <w:rsid w:val="008800A8"/>
    <w:rsid w:val="008800FF"/>
    <w:rsid w:val="0088046A"/>
    <w:rsid w:val="00880485"/>
    <w:rsid w:val="0088051A"/>
    <w:rsid w:val="008805B7"/>
    <w:rsid w:val="008805D0"/>
    <w:rsid w:val="0088067C"/>
    <w:rsid w:val="00880693"/>
    <w:rsid w:val="008808C5"/>
    <w:rsid w:val="00880A05"/>
    <w:rsid w:val="00880A72"/>
    <w:rsid w:val="00880A86"/>
    <w:rsid w:val="00880DFB"/>
    <w:rsid w:val="00880E60"/>
    <w:rsid w:val="0088104B"/>
    <w:rsid w:val="008810C3"/>
    <w:rsid w:val="008813E3"/>
    <w:rsid w:val="00881674"/>
    <w:rsid w:val="00881A93"/>
    <w:rsid w:val="00881AEE"/>
    <w:rsid w:val="00881B36"/>
    <w:rsid w:val="00881B97"/>
    <w:rsid w:val="00881BCC"/>
    <w:rsid w:val="00881C3E"/>
    <w:rsid w:val="00881D09"/>
    <w:rsid w:val="00881D49"/>
    <w:rsid w:val="00881ED9"/>
    <w:rsid w:val="00882145"/>
    <w:rsid w:val="00882504"/>
    <w:rsid w:val="0088250D"/>
    <w:rsid w:val="0088258C"/>
    <w:rsid w:val="0088287D"/>
    <w:rsid w:val="008829C8"/>
    <w:rsid w:val="00882A04"/>
    <w:rsid w:val="00882A11"/>
    <w:rsid w:val="00882B1D"/>
    <w:rsid w:val="00882B3E"/>
    <w:rsid w:val="00882BA5"/>
    <w:rsid w:val="00883114"/>
    <w:rsid w:val="0088329F"/>
    <w:rsid w:val="00883408"/>
    <w:rsid w:val="00883536"/>
    <w:rsid w:val="008835F8"/>
    <w:rsid w:val="0088364A"/>
    <w:rsid w:val="008838F5"/>
    <w:rsid w:val="00883A64"/>
    <w:rsid w:val="00883AD4"/>
    <w:rsid w:val="00883CD4"/>
    <w:rsid w:val="00883D84"/>
    <w:rsid w:val="00883E81"/>
    <w:rsid w:val="00883ED2"/>
    <w:rsid w:val="00883F59"/>
    <w:rsid w:val="00884020"/>
    <w:rsid w:val="0088407C"/>
    <w:rsid w:val="008840A2"/>
    <w:rsid w:val="008840C0"/>
    <w:rsid w:val="008840D5"/>
    <w:rsid w:val="00884249"/>
    <w:rsid w:val="00884398"/>
    <w:rsid w:val="00884413"/>
    <w:rsid w:val="00884454"/>
    <w:rsid w:val="0088464E"/>
    <w:rsid w:val="0088492E"/>
    <w:rsid w:val="00884A39"/>
    <w:rsid w:val="00884A46"/>
    <w:rsid w:val="00884A5F"/>
    <w:rsid w:val="00884AF3"/>
    <w:rsid w:val="00884B1D"/>
    <w:rsid w:val="00884BB9"/>
    <w:rsid w:val="00884C3A"/>
    <w:rsid w:val="00884C6E"/>
    <w:rsid w:val="00884C96"/>
    <w:rsid w:val="00884D79"/>
    <w:rsid w:val="00884DE5"/>
    <w:rsid w:val="00884E2C"/>
    <w:rsid w:val="00884E50"/>
    <w:rsid w:val="00884ED6"/>
    <w:rsid w:val="00884EE7"/>
    <w:rsid w:val="0088503A"/>
    <w:rsid w:val="0088518C"/>
    <w:rsid w:val="008852B7"/>
    <w:rsid w:val="00885338"/>
    <w:rsid w:val="008854A0"/>
    <w:rsid w:val="008854BE"/>
    <w:rsid w:val="008855C7"/>
    <w:rsid w:val="0088560C"/>
    <w:rsid w:val="0088575D"/>
    <w:rsid w:val="0088578D"/>
    <w:rsid w:val="008857A2"/>
    <w:rsid w:val="00885834"/>
    <w:rsid w:val="0088587B"/>
    <w:rsid w:val="008858C7"/>
    <w:rsid w:val="00885B8F"/>
    <w:rsid w:val="00885D47"/>
    <w:rsid w:val="00885F20"/>
    <w:rsid w:val="00886158"/>
    <w:rsid w:val="008862B7"/>
    <w:rsid w:val="00886304"/>
    <w:rsid w:val="00886373"/>
    <w:rsid w:val="008863C2"/>
    <w:rsid w:val="008863FB"/>
    <w:rsid w:val="008865FB"/>
    <w:rsid w:val="00886877"/>
    <w:rsid w:val="008868CF"/>
    <w:rsid w:val="00886D01"/>
    <w:rsid w:val="00886E8E"/>
    <w:rsid w:val="00886F59"/>
    <w:rsid w:val="00887155"/>
    <w:rsid w:val="00887249"/>
    <w:rsid w:val="00887431"/>
    <w:rsid w:val="00887535"/>
    <w:rsid w:val="00887583"/>
    <w:rsid w:val="008876BF"/>
    <w:rsid w:val="0088777D"/>
    <w:rsid w:val="00887866"/>
    <w:rsid w:val="00887A71"/>
    <w:rsid w:val="00887CC3"/>
    <w:rsid w:val="00887CE3"/>
    <w:rsid w:val="00887DB4"/>
    <w:rsid w:val="00887EB9"/>
    <w:rsid w:val="00887F17"/>
    <w:rsid w:val="00887F2A"/>
    <w:rsid w:val="00887F49"/>
    <w:rsid w:val="00887FCD"/>
    <w:rsid w:val="0088B4B9"/>
    <w:rsid w:val="00890108"/>
    <w:rsid w:val="00890204"/>
    <w:rsid w:val="00890307"/>
    <w:rsid w:val="0089036E"/>
    <w:rsid w:val="008903B6"/>
    <w:rsid w:val="00890437"/>
    <w:rsid w:val="008904CC"/>
    <w:rsid w:val="0089051C"/>
    <w:rsid w:val="008905A1"/>
    <w:rsid w:val="008906A2"/>
    <w:rsid w:val="008906FD"/>
    <w:rsid w:val="00890830"/>
    <w:rsid w:val="0089083A"/>
    <w:rsid w:val="008908FE"/>
    <w:rsid w:val="00890997"/>
    <w:rsid w:val="008909BC"/>
    <w:rsid w:val="00890AB8"/>
    <w:rsid w:val="00891008"/>
    <w:rsid w:val="00891052"/>
    <w:rsid w:val="00891227"/>
    <w:rsid w:val="00891250"/>
    <w:rsid w:val="008912EC"/>
    <w:rsid w:val="0089134C"/>
    <w:rsid w:val="00891427"/>
    <w:rsid w:val="00891667"/>
    <w:rsid w:val="00891721"/>
    <w:rsid w:val="008917ED"/>
    <w:rsid w:val="008919E4"/>
    <w:rsid w:val="00891A0D"/>
    <w:rsid w:val="00891BC6"/>
    <w:rsid w:val="0089224F"/>
    <w:rsid w:val="008922A7"/>
    <w:rsid w:val="008922DC"/>
    <w:rsid w:val="00892419"/>
    <w:rsid w:val="00892514"/>
    <w:rsid w:val="00892550"/>
    <w:rsid w:val="00892625"/>
    <w:rsid w:val="00892749"/>
    <w:rsid w:val="00892785"/>
    <w:rsid w:val="00892822"/>
    <w:rsid w:val="008928EF"/>
    <w:rsid w:val="00892B23"/>
    <w:rsid w:val="00892BA2"/>
    <w:rsid w:val="00892CB2"/>
    <w:rsid w:val="00892D39"/>
    <w:rsid w:val="00892DCC"/>
    <w:rsid w:val="00892ECC"/>
    <w:rsid w:val="00892F61"/>
    <w:rsid w:val="00893068"/>
    <w:rsid w:val="008930EA"/>
    <w:rsid w:val="008931AF"/>
    <w:rsid w:val="008931B0"/>
    <w:rsid w:val="008931B5"/>
    <w:rsid w:val="008935BA"/>
    <w:rsid w:val="0089372D"/>
    <w:rsid w:val="00893735"/>
    <w:rsid w:val="008937E3"/>
    <w:rsid w:val="00893800"/>
    <w:rsid w:val="008938D2"/>
    <w:rsid w:val="008938DC"/>
    <w:rsid w:val="008939C5"/>
    <w:rsid w:val="00893C4C"/>
    <w:rsid w:val="00893CA9"/>
    <w:rsid w:val="00893F8E"/>
    <w:rsid w:val="008940BF"/>
    <w:rsid w:val="00894147"/>
    <w:rsid w:val="00894151"/>
    <w:rsid w:val="0089426E"/>
    <w:rsid w:val="008942BD"/>
    <w:rsid w:val="0089430F"/>
    <w:rsid w:val="0089433A"/>
    <w:rsid w:val="00894359"/>
    <w:rsid w:val="0089458A"/>
    <w:rsid w:val="00894608"/>
    <w:rsid w:val="00894616"/>
    <w:rsid w:val="00894752"/>
    <w:rsid w:val="008947AF"/>
    <w:rsid w:val="00894832"/>
    <w:rsid w:val="008948E0"/>
    <w:rsid w:val="00894926"/>
    <w:rsid w:val="008949C2"/>
    <w:rsid w:val="00894B07"/>
    <w:rsid w:val="00894B51"/>
    <w:rsid w:val="00894B5C"/>
    <w:rsid w:val="00894C1A"/>
    <w:rsid w:val="00894DF8"/>
    <w:rsid w:val="00894E0F"/>
    <w:rsid w:val="00894E12"/>
    <w:rsid w:val="00894E82"/>
    <w:rsid w:val="00894F57"/>
    <w:rsid w:val="00895037"/>
    <w:rsid w:val="0089516E"/>
    <w:rsid w:val="00895256"/>
    <w:rsid w:val="008952D9"/>
    <w:rsid w:val="008954A9"/>
    <w:rsid w:val="0089554E"/>
    <w:rsid w:val="00895552"/>
    <w:rsid w:val="008955BD"/>
    <w:rsid w:val="008955C3"/>
    <w:rsid w:val="008956EF"/>
    <w:rsid w:val="0089572B"/>
    <w:rsid w:val="00895A6A"/>
    <w:rsid w:val="00895AA9"/>
    <w:rsid w:val="00895FEB"/>
    <w:rsid w:val="00896065"/>
    <w:rsid w:val="00896096"/>
    <w:rsid w:val="008960D3"/>
    <w:rsid w:val="00896404"/>
    <w:rsid w:val="0089652A"/>
    <w:rsid w:val="00896794"/>
    <w:rsid w:val="008967D7"/>
    <w:rsid w:val="00896826"/>
    <w:rsid w:val="00896ACA"/>
    <w:rsid w:val="00896D0B"/>
    <w:rsid w:val="008970E7"/>
    <w:rsid w:val="0089717A"/>
    <w:rsid w:val="008971A6"/>
    <w:rsid w:val="008972E2"/>
    <w:rsid w:val="008972E7"/>
    <w:rsid w:val="008972FD"/>
    <w:rsid w:val="0089732F"/>
    <w:rsid w:val="0089734F"/>
    <w:rsid w:val="008973A0"/>
    <w:rsid w:val="0089740B"/>
    <w:rsid w:val="00897509"/>
    <w:rsid w:val="00897615"/>
    <w:rsid w:val="0089763C"/>
    <w:rsid w:val="0089764E"/>
    <w:rsid w:val="00897854"/>
    <w:rsid w:val="00897857"/>
    <w:rsid w:val="008978F5"/>
    <w:rsid w:val="00897A0A"/>
    <w:rsid w:val="00897B82"/>
    <w:rsid w:val="00897D59"/>
    <w:rsid w:val="00897DEF"/>
    <w:rsid w:val="008A000A"/>
    <w:rsid w:val="008A036A"/>
    <w:rsid w:val="008A054D"/>
    <w:rsid w:val="008A0698"/>
    <w:rsid w:val="008A0756"/>
    <w:rsid w:val="008A07D9"/>
    <w:rsid w:val="008A0A81"/>
    <w:rsid w:val="008A0B1A"/>
    <w:rsid w:val="008A0B65"/>
    <w:rsid w:val="008A0D4E"/>
    <w:rsid w:val="008A0F33"/>
    <w:rsid w:val="008A1273"/>
    <w:rsid w:val="008A128C"/>
    <w:rsid w:val="008A12E9"/>
    <w:rsid w:val="008A1381"/>
    <w:rsid w:val="008A14F8"/>
    <w:rsid w:val="008A16BC"/>
    <w:rsid w:val="008A16E3"/>
    <w:rsid w:val="008A19D9"/>
    <w:rsid w:val="008A1A3C"/>
    <w:rsid w:val="008A1B02"/>
    <w:rsid w:val="008A1D2D"/>
    <w:rsid w:val="008A1D49"/>
    <w:rsid w:val="008A1D72"/>
    <w:rsid w:val="008A1E33"/>
    <w:rsid w:val="008A1E3D"/>
    <w:rsid w:val="008A1EA4"/>
    <w:rsid w:val="008A1EC5"/>
    <w:rsid w:val="008A1F07"/>
    <w:rsid w:val="008A2525"/>
    <w:rsid w:val="008A2714"/>
    <w:rsid w:val="008A276A"/>
    <w:rsid w:val="008A2823"/>
    <w:rsid w:val="008A28DA"/>
    <w:rsid w:val="008A29E8"/>
    <w:rsid w:val="008A2A0F"/>
    <w:rsid w:val="008A2AAD"/>
    <w:rsid w:val="008A2ADD"/>
    <w:rsid w:val="008A2B2B"/>
    <w:rsid w:val="008A2C51"/>
    <w:rsid w:val="008A2CA3"/>
    <w:rsid w:val="008A2E2D"/>
    <w:rsid w:val="008A2E6B"/>
    <w:rsid w:val="008A2FE4"/>
    <w:rsid w:val="008A3060"/>
    <w:rsid w:val="008A3159"/>
    <w:rsid w:val="008A31BC"/>
    <w:rsid w:val="008A31E2"/>
    <w:rsid w:val="008A32A4"/>
    <w:rsid w:val="008A3409"/>
    <w:rsid w:val="008A357B"/>
    <w:rsid w:val="008A3640"/>
    <w:rsid w:val="008A3747"/>
    <w:rsid w:val="008A3790"/>
    <w:rsid w:val="008A387F"/>
    <w:rsid w:val="008A3C89"/>
    <w:rsid w:val="008A3CD7"/>
    <w:rsid w:val="008A4377"/>
    <w:rsid w:val="008A44CF"/>
    <w:rsid w:val="008A450C"/>
    <w:rsid w:val="008A45E8"/>
    <w:rsid w:val="008A4788"/>
    <w:rsid w:val="008A4933"/>
    <w:rsid w:val="008A499E"/>
    <w:rsid w:val="008A49AA"/>
    <w:rsid w:val="008A4AD0"/>
    <w:rsid w:val="008A4B03"/>
    <w:rsid w:val="008A4B26"/>
    <w:rsid w:val="008A4CC5"/>
    <w:rsid w:val="008A4CC9"/>
    <w:rsid w:val="008A4E79"/>
    <w:rsid w:val="008A4E8E"/>
    <w:rsid w:val="008A4F8A"/>
    <w:rsid w:val="008A505A"/>
    <w:rsid w:val="008A5119"/>
    <w:rsid w:val="008A5285"/>
    <w:rsid w:val="008A533C"/>
    <w:rsid w:val="008A5498"/>
    <w:rsid w:val="008A54C3"/>
    <w:rsid w:val="008A559C"/>
    <w:rsid w:val="008A5679"/>
    <w:rsid w:val="008A5927"/>
    <w:rsid w:val="008A5B31"/>
    <w:rsid w:val="008A5BBC"/>
    <w:rsid w:val="008A5D7A"/>
    <w:rsid w:val="008A603C"/>
    <w:rsid w:val="008A609D"/>
    <w:rsid w:val="008A611E"/>
    <w:rsid w:val="008A6388"/>
    <w:rsid w:val="008A64C8"/>
    <w:rsid w:val="008A6500"/>
    <w:rsid w:val="008A6517"/>
    <w:rsid w:val="008A66BF"/>
    <w:rsid w:val="008A67AB"/>
    <w:rsid w:val="008A68EE"/>
    <w:rsid w:val="008A6AC2"/>
    <w:rsid w:val="008A6BF0"/>
    <w:rsid w:val="008A6CB8"/>
    <w:rsid w:val="008A6F82"/>
    <w:rsid w:val="008A700B"/>
    <w:rsid w:val="008A704B"/>
    <w:rsid w:val="008A71BC"/>
    <w:rsid w:val="008A72AC"/>
    <w:rsid w:val="008A7530"/>
    <w:rsid w:val="008A7551"/>
    <w:rsid w:val="008A7670"/>
    <w:rsid w:val="008A76BE"/>
    <w:rsid w:val="008A7892"/>
    <w:rsid w:val="008A78A1"/>
    <w:rsid w:val="008A7973"/>
    <w:rsid w:val="008A798D"/>
    <w:rsid w:val="008A7992"/>
    <w:rsid w:val="008A79A9"/>
    <w:rsid w:val="008A7A5F"/>
    <w:rsid w:val="008A7ABD"/>
    <w:rsid w:val="008A7AC3"/>
    <w:rsid w:val="008A7BB5"/>
    <w:rsid w:val="008A7DF7"/>
    <w:rsid w:val="008A7E41"/>
    <w:rsid w:val="008A7F28"/>
    <w:rsid w:val="008B0093"/>
    <w:rsid w:val="008B012D"/>
    <w:rsid w:val="008B02DC"/>
    <w:rsid w:val="008B03C9"/>
    <w:rsid w:val="008B059F"/>
    <w:rsid w:val="008B05E1"/>
    <w:rsid w:val="008B0710"/>
    <w:rsid w:val="008B0904"/>
    <w:rsid w:val="008B0AFD"/>
    <w:rsid w:val="008B0BF2"/>
    <w:rsid w:val="008B0C2D"/>
    <w:rsid w:val="008B0D30"/>
    <w:rsid w:val="008B0DF8"/>
    <w:rsid w:val="008B0E61"/>
    <w:rsid w:val="008B0F0F"/>
    <w:rsid w:val="008B1110"/>
    <w:rsid w:val="008B11B3"/>
    <w:rsid w:val="008B1203"/>
    <w:rsid w:val="008B12B0"/>
    <w:rsid w:val="008B1536"/>
    <w:rsid w:val="008B167D"/>
    <w:rsid w:val="008B169D"/>
    <w:rsid w:val="008B1797"/>
    <w:rsid w:val="008B17D7"/>
    <w:rsid w:val="008B17FE"/>
    <w:rsid w:val="008B181A"/>
    <w:rsid w:val="008B1904"/>
    <w:rsid w:val="008B1BC2"/>
    <w:rsid w:val="008B1C3D"/>
    <w:rsid w:val="008B1D62"/>
    <w:rsid w:val="008B1E39"/>
    <w:rsid w:val="008B1E41"/>
    <w:rsid w:val="008B1F13"/>
    <w:rsid w:val="008B1F3D"/>
    <w:rsid w:val="008B1F64"/>
    <w:rsid w:val="008B205A"/>
    <w:rsid w:val="008B210C"/>
    <w:rsid w:val="008B2117"/>
    <w:rsid w:val="008B2189"/>
    <w:rsid w:val="008B227A"/>
    <w:rsid w:val="008B237C"/>
    <w:rsid w:val="008B24A4"/>
    <w:rsid w:val="008B24A7"/>
    <w:rsid w:val="008B24FB"/>
    <w:rsid w:val="008B2526"/>
    <w:rsid w:val="008B28CB"/>
    <w:rsid w:val="008B2959"/>
    <w:rsid w:val="008B2AB1"/>
    <w:rsid w:val="008B2ABF"/>
    <w:rsid w:val="008B2B6D"/>
    <w:rsid w:val="008B2B71"/>
    <w:rsid w:val="008B2DBA"/>
    <w:rsid w:val="008B2EF2"/>
    <w:rsid w:val="008B2F21"/>
    <w:rsid w:val="008B303B"/>
    <w:rsid w:val="008B3066"/>
    <w:rsid w:val="008B3184"/>
    <w:rsid w:val="008B3209"/>
    <w:rsid w:val="008B323D"/>
    <w:rsid w:val="008B33E1"/>
    <w:rsid w:val="008B33EE"/>
    <w:rsid w:val="008B3496"/>
    <w:rsid w:val="008B3543"/>
    <w:rsid w:val="008B35EE"/>
    <w:rsid w:val="008B367C"/>
    <w:rsid w:val="008B3693"/>
    <w:rsid w:val="008B3926"/>
    <w:rsid w:val="008B3993"/>
    <w:rsid w:val="008B3A24"/>
    <w:rsid w:val="008B3A53"/>
    <w:rsid w:val="008B3A90"/>
    <w:rsid w:val="008B3BD3"/>
    <w:rsid w:val="008B3D8A"/>
    <w:rsid w:val="008B3DDA"/>
    <w:rsid w:val="008B3EBD"/>
    <w:rsid w:val="008B3EED"/>
    <w:rsid w:val="008B45CD"/>
    <w:rsid w:val="008B45E5"/>
    <w:rsid w:val="008B468D"/>
    <w:rsid w:val="008B496C"/>
    <w:rsid w:val="008B4A7D"/>
    <w:rsid w:val="008B4B4F"/>
    <w:rsid w:val="008B4C4F"/>
    <w:rsid w:val="008B4EFE"/>
    <w:rsid w:val="008B4F54"/>
    <w:rsid w:val="008B4F58"/>
    <w:rsid w:val="008B5016"/>
    <w:rsid w:val="008B5271"/>
    <w:rsid w:val="008B53A0"/>
    <w:rsid w:val="008B5466"/>
    <w:rsid w:val="008B5819"/>
    <w:rsid w:val="008B5854"/>
    <w:rsid w:val="008B58A0"/>
    <w:rsid w:val="008B596C"/>
    <w:rsid w:val="008B5B10"/>
    <w:rsid w:val="008B5BFF"/>
    <w:rsid w:val="008B5C09"/>
    <w:rsid w:val="008B5CDB"/>
    <w:rsid w:val="008B5D5C"/>
    <w:rsid w:val="008B5E87"/>
    <w:rsid w:val="008B5EA4"/>
    <w:rsid w:val="008B5F47"/>
    <w:rsid w:val="008B629A"/>
    <w:rsid w:val="008B6321"/>
    <w:rsid w:val="008B63DC"/>
    <w:rsid w:val="008B6540"/>
    <w:rsid w:val="008B663D"/>
    <w:rsid w:val="008B673E"/>
    <w:rsid w:val="008B67D9"/>
    <w:rsid w:val="008B6930"/>
    <w:rsid w:val="008B6ACB"/>
    <w:rsid w:val="008B6B62"/>
    <w:rsid w:val="008B6D02"/>
    <w:rsid w:val="008B6D95"/>
    <w:rsid w:val="008B6DAE"/>
    <w:rsid w:val="008B6E70"/>
    <w:rsid w:val="008B7162"/>
    <w:rsid w:val="008B7166"/>
    <w:rsid w:val="008B72B5"/>
    <w:rsid w:val="008B72C1"/>
    <w:rsid w:val="008B732C"/>
    <w:rsid w:val="008B73A9"/>
    <w:rsid w:val="008B755E"/>
    <w:rsid w:val="008B77BC"/>
    <w:rsid w:val="008B78AB"/>
    <w:rsid w:val="008B78EB"/>
    <w:rsid w:val="008B78FB"/>
    <w:rsid w:val="008B792C"/>
    <w:rsid w:val="008B7A96"/>
    <w:rsid w:val="008B7BEB"/>
    <w:rsid w:val="008B7C23"/>
    <w:rsid w:val="008B7D34"/>
    <w:rsid w:val="008B7D70"/>
    <w:rsid w:val="008B7DEE"/>
    <w:rsid w:val="008B7E0B"/>
    <w:rsid w:val="008B7F8C"/>
    <w:rsid w:val="008C000D"/>
    <w:rsid w:val="008C0080"/>
    <w:rsid w:val="008C01B5"/>
    <w:rsid w:val="008C01CA"/>
    <w:rsid w:val="008C01FE"/>
    <w:rsid w:val="008C0286"/>
    <w:rsid w:val="008C02A8"/>
    <w:rsid w:val="008C03DA"/>
    <w:rsid w:val="008C03DD"/>
    <w:rsid w:val="008C0416"/>
    <w:rsid w:val="008C054E"/>
    <w:rsid w:val="008C0584"/>
    <w:rsid w:val="008C06C4"/>
    <w:rsid w:val="008C0704"/>
    <w:rsid w:val="008C07D8"/>
    <w:rsid w:val="008C0A37"/>
    <w:rsid w:val="008C0A49"/>
    <w:rsid w:val="008C0A7B"/>
    <w:rsid w:val="008C0AD0"/>
    <w:rsid w:val="008C0BAC"/>
    <w:rsid w:val="008C0CE9"/>
    <w:rsid w:val="008C0D7E"/>
    <w:rsid w:val="008C0EF3"/>
    <w:rsid w:val="008C0F06"/>
    <w:rsid w:val="008C0F31"/>
    <w:rsid w:val="008C0F97"/>
    <w:rsid w:val="008C1152"/>
    <w:rsid w:val="008C1285"/>
    <w:rsid w:val="008C12D0"/>
    <w:rsid w:val="008C137D"/>
    <w:rsid w:val="008C154E"/>
    <w:rsid w:val="008C15F3"/>
    <w:rsid w:val="008C1B77"/>
    <w:rsid w:val="008C1D91"/>
    <w:rsid w:val="008C1DA3"/>
    <w:rsid w:val="008C1F16"/>
    <w:rsid w:val="008C20B3"/>
    <w:rsid w:val="008C20E5"/>
    <w:rsid w:val="008C2233"/>
    <w:rsid w:val="008C23DE"/>
    <w:rsid w:val="008C26E0"/>
    <w:rsid w:val="008C2AB2"/>
    <w:rsid w:val="008C2AE8"/>
    <w:rsid w:val="008C2D0A"/>
    <w:rsid w:val="008C2DAA"/>
    <w:rsid w:val="008C2F63"/>
    <w:rsid w:val="008C3050"/>
    <w:rsid w:val="008C32B5"/>
    <w:rsid w:val="008C32CD"/>
    <w:rsid w:val="008C334A"/>
    <w:rsid w:val="008C3376"/>
    <w:rsid w:val="008C347D"/>
    <w:rsid w:val="008C3577"/>
    <w:rsid w:val="008C39D1"/>
    <w:rsid w:val="008C3A06"/>
    <w:rsid w:val="008C3A8A"/>
    <w:rsid w:val="008C3B2A"/>
    <w:rsid w:val="008C3DD2"/>
    <w:rsid w:val="008C3DFB"/>
    <w:rsid w:val="008C4232"/>
    <w:rsid w:val="008C42EB"/>
    <w:rsid w:val="008C44E4"/>
    <w:rsid w:val="008C461C"/>
    <w:rsid w:val="008C4944"/>
    <w:rsid w:val="008C4CA9"/>
    <w:rsid w:val="008C4D72"/>
    <w:rsid w:val="008C4DBE"/>
    <w:rsid w:val="008C4F30"/>
    <w:rsid w:val="008C5014"/>
    <w:rsid w:val="008C50AE"/>
    <w:rsid w:val="008C525A"/>
    <w:rsid w:val="008C5590"/>
    <w:rsid w:val="008C5606"/>
    <w:rsid w:val="008C59BD"/>
    <w:rsid w:val="008C5A47"/>
    <w:rsid w:val="008C5BDB"/>
    <w:rsid w:val="008C5E5F"/>
    <w:rsid w:val="008C5E88"/>
    <w:rsid w:val="008C5EA0"/>
    <w:rsid w:val="008C6048"/>
    <w:rsid w:val="008C60F3"/>
    <w:rsid w:val="008C613B"/>
    <w:rsid w:val="008C6257"/>
    <w:rsid w:val="008C63D7"/>
    <w:rsid w:val="008C63FA"/>
    <w:rsid w:val="008C64DC"/>
    <w:rsid w:val="008C653D"/>
    <w:rsid w:val="008C6643"/>
    <w:rsid w:val="008C6665"/>
    <w:rsid w:val="008C6709"/>
    <w:rsid w:val="008C684D"/>
    <w:rsid w:val="008C6884"/>
    <w:rsid w:val="008C68DF"/>
    <w:rsid w:val="008C690C"/>
    <w:rsid w:val="008C6979"/>
    <w:rsid w:val="008C6A40"/>
    <w:rsid w:val="008C6ABF"/>
    <w:rsid w:val="008C6AC9"/>
    <w:rsid w:val="008C6F14"/>
    <w:rsid w:val="008C70E2"/>
    <w:rsid w:val="008C7130"/>
    <w:rsid w:val="008C728E"/>
    <w:rsid w:val="008C72C9"/>
    <w:rsid w:val="008C72DE"/>
    <w:rsid w:val="008C7348"/>
    <w:rsid w:val="008C73AB"/>
    <w:rsid w:val="008C7549"/>
    <w:rsid w:val="008C75B5"/>
    <w:rsid w:val="008C77D9"/>
    <w:rsid w:val="008C77FC"/>
    <w:rsid w:val="008C7809"/>
    <w:rsid w:val="008C7A17"/>
    <w:rsid w:val="008C7BFE"/>
    <w:rsid w:val="008C7D07"/>
    <w:rsid w:val="008C7F86"/>
    <w:rsid w:val="008D00E7"/>
    <w:rsid w:val="008D0174"/>
    <w:rsid w:val="008D0386"/>
    <w:rsid w:val="008D061C"/>
    <w:rsid w:val="008D062A"/>
    <w:rsid w:val="008D075E"/>
    <w:rsid w:val="008D0881"/>
    <w:rsid w:val="008D091B"/>
    <w:rsid w:val="008D09C1"/>
    <w:rsid w:val="008D0A58"/>
    <w:rsid w:val="008D0A6A"/>
    <w:rsid w:val="008D0B6B"/>
    <w:rsid w:val="008D0E1A"/>
    <w:rsid w:val="008D0E3F"/>
    <w:rsid w:val="008D0E4C"/>
    <w:rsid w:val="008D0F7F"/>
    <w:rsid w:val="008D0FB0"/>
    <w:rsid w:val="008D1143"/>
    <w:rsid w:val="008D1355"/>
    <w:rsid w:val="008D1552"/>
    <w:rsid w:val="008D164B"/>
    <w:rsid w:val="008D169C"/>
    <w:rsid w:val="008D16EF"/>
    <w:rsid w:val="008D1A66"/>
    <w:rsid w:val="008D1BEB"/>
    <w:rsid w:val="008D1EBD"/>
    <w:rsid w:val="008D1F8A"/>
    <w:rsid w:val="008D201C"/>
    <w:rsid w:val="008D2059"/>
    <w:rsid w:val="008D22E7"/>
    <w:rsid w:val="008D23E9"/>
    <w:rsid w:val="008D2495"/>
    <w:rsid w:val="008D25DE"/>
    <w:rsid w:val="008D2708"/>
    <w:rsid w:val="008D287C"/>
    <w:rsid w:val="008D2904"/>
    <w:rsid w:val="008D2B4E"/>
    <w:rsid w:val="008D2BBA"/>
    <w:rsid w:val="008D2BBD"/>
    <w:rsid w:val="008D2C3D"/>
    <w:rsid w:val="008D2D4A"/>
    <w:rsid w:val="008D2E99"/>
    <w:rsid w:val="008D332C"/>
    <w:rsid w:val="008D33DE"/>
    <w:rsid w:val="008D3501"/>
    <w:rsid w:val="008D3568"/>
    <w:rsid w:val="008D358A"/>
    <w:rsid w:val="008D3815"/>
    <w:rsid w:val="008D3B55"/>
    <w:rsid w:val="008D3B83"/>
    <w:rsid w:val="008D3CC3"/>
    <w:rsid w:val="008D3CFB"/>
    <w:rsid w:val="008D3EA4"/>
    <w:rsid w:val="008D3F2B"/>
    <w:rsid w:val="008D40EC"/>
    <w:rsid w:val="008D416B"/>
    <w:rsid w:val="008D4192"/>
    <w:rsid w:val="008D4268"/>
    <w:rsid w:val="008D4277"/>
    <w:rsid w:val="008D42C5"/>
    <w:rsid w:val="008D42F9"/>
    <w:rsid w:val="008D433C"/>
    <w:rsid w:val="008D44BC"/>
    <w:rsid w:val="008D44FF"/>
    <w:rsid w:val="008D45FF"/>
    <w:rsid w:val="008D464D"/>
    <w:rsid w:val="008D4AF8"/>
    <w:rsid w:val="008D4B72"/>
    <w:rsid w:val="008D4C51"/>
    <w:rsid w:val="008D4DB4"/>
    <w:rsid w:val="008D4E47"/>
    <w:rsid w:val="008D5161"/>
    <w:rsid w:val="008D522B"/>
    <w:rsid w:val="008D5333"/>
    <w:rsid w:val="008D573E"/>
    <w:rsid w:val="008D58C3"/>
    <w:rsid w:val="008D58CF"/>
    <w:rsid w:val="008D5906"/>
    <w:rsid w:val="008D598A"/>
    <w:rsid w:val="008D5AA3"/>
    <w:rsid w:val="008D5AE9"/>
    <w:rsid w:val="008D5D51"/>
    <w:rsid w:val="008D5FAC"/>
    <w:rsid w:val="008D6162"/>
    <w:rsid w:val="008D618D"/>
    <w:rsid w:val="008D6215"/>
    <w:rsid w:val="008D621A"/>
    <w:rsid w:val="008D62A3"/>
    <w:rsid w:val="008D6370"/>
    <w:rsid w:val="008D63D6"/>
    <w:rsid w:val="008D64B0"/>
    <w:rsid w:val="008D65CA"/>
    <w:rsid w:val="008D660D"/>
    <w:rsid w:val="008D67BD"/>
    <w:rsid w:val="008D67C7"/>
    <w:rsid w:val="008D6807"/>
    <w:rsid w:val="008D68F2"/>
    <w:rsid w:val="008D6ADD"/>
    <w:rsid w:val="008D6CCC"/>
    <w:rsid w:val="008D6CF4"/>
    <w:rsid w:val="008D704B"/>
    <w:rsid w:val="008D70A9"/>
    <w:rsid w:val="008D7184"/>
    <w:rsid w:val="008D72CA"/>
    <w:rsid w:val="008D73B8"/>
    <w:rsid w:val="008D7407"/>
    <w:rsid w:val="008D7423"/>
    <w:rsid w:val="008D7515"/>
    <w:rsid w:val="008D753E"/>
    <w:rsid w:val="008D755C"/>
    <w:rsid w:val="008D75C8"/>
    <w:rsid w:val="008D7647"/>
    <w:rsid w:val="008D789B"/>
    <w:rsid w:val="008D7A56"/>
    <w:rsid w:val="008D7B9C"/>
    <w:rsid w:val="008D7BA0"/>
    <w:rsid w:val="008D7BCB"/>
    <w:rsid w:val="008D7E80"/>
    <w:rsid w:val="008E0018"/>
    <w:rsid w:val="008E0113"/>
    <w:rsid w:val="008E0130"/>
    <w:rsid w:val="008E0249"/>
    <w:rsid w:val="008E029F"/>
    <w:rsid w:val="008E02FD"/>
    <w:rsid w:val="008E03D6"/>
    <w:rsid w:val="008E0494"/>
    <w:rsid w:val="008E0664"/>
    <w:rsid w:val="008E0671"/>
    <w:rsid w:val="008E06DC"/>
    <w:rsid w:val="008E076D"/>
    <w:rsid w:val="008E07E2"/>
    <w:rsid w:val="008E08A4"/>
    <w:rsid w:val="008E0975"/>
    <w:rsid w:val="008E0AD3"/>
    <w:rsid w:val="008E0BEF"/>
    <w:rsid w:val="008E0D42"/>
    <w:rsid w:val="008E0E27"/>
    <w:rsid w:val="008E0E78"/>
    <w:rsid w:val="008E0EB3"/>
    <w:rsid w:val="008E0F30"/>
    <w:rsid w:val="008E0F69"/>
    <w:rsid w:val="008E11D3"/>
    <w:rsid w:val="008E11D9"/>
    <w:rsid w:val="008E12B8"/>
    <w:rsid w:val="008E13C5"/>
    <w:rsid w:val="008E146F"/>
    <w:rsid w:val="008E1592"/>
    <w:rsid w:val="008E15CD"/>
    <w:rsid w:val="008E171F"/>
    <w:rsid w:val="008E17C1"/>
    <w:rsid w:val="008E180E"/>
    <w:rsid w:val="008E1A2E"/>
    <w:rsid w:val="008E1BB6"/>
    <w:rsid w:val="008E1C20"/>
    <w:rsid w:val="008E1C60"/>
    <w:rsid w:val="008E1EE1"/>
    <w:rsid w:val="008E1F82"/>
    <w:rsid w:val="008E20F5"/>
    <w:rsid w:val="008E2514"/>
    <w:rsid w:val="008E2598"/>
    <w:rsid w:val="008E25FA"/>
    <w:rsid w:val="008E26F4"/>
    <w:rsid w:val="008E2829"/>
    <w:rsid w:val="008E294A"/>
    <w:rsid w:val="008E29EB"/>
    <w:rsid w:val="008E2ADB"/>
    <w:rsid w:val="008E2BA4"/>
    <w:rsid w:val="008E2D52"/>
    <w:rsid w:val="008E2DBA"/>
    <w:rsid w:val="008E2DF4"/>
    <w:rsid w:val="008E30A2"/>
    <w:rsid w:val="008E30A6"/>
    <w:rsid w:val="008E31A9"/>
    <w:rsid w:val="008E330B"/>
    <w:rsid w:val="008E3397"/>
    <w:rsid w:val="008E33EF"/>
    <w:rsid w:val="008E38A0"/>
    <w:rsid w:val="008E3990"/>
    <w:rsid w:val="008E3A77"/>
    <w:rsid w:val="008E3C06"/>
    <w:rsid w:val="008E3D69"/>
    <w:rsid w:val="008E3DC1"/>
    <w:rsid w:val="008E3E74"/>
    <w:rsid w:val="008E3EC2"/>
    <w:rsid w:val="008E3EE8"/>
    <w:rsid w:val="008E3F6B"/>
    <w:rsid w:val="008E4099"/>
    <w:rsid w:val="008E4153"/>
    <w:rsid w:val="008E4171"/>
    <w:rsid w:val="008E4173"/>
    <w:rsid w:val="008E4265"/>
    <w:rsid w:val="008E43C5"/>
    <w:rsid w:val="008E4770"/>
    <w:rsid w:val="008E489D"/>
    <w:rsid w:val="008E49A4"/>
    <w:rsid w:val="008E4A25"/>
    <w:rsid w:val="008E4A3E"/>
    <w:rsid w:val="008E4A8B"/>
    <w:rsid w:val="008E4AE5"/>
    <w:rsid w:val="008E4AFB"/>
    <w:rsid w:val="008E4B88"/>
    <w:rsid w:val="008E4B9F"/>
    <w:rsid w:val="008E4BD2"/>
    <w:rsid w:val="008E4C2F"/>
    <w:rsid w:val="008E4CF3"/>
    <w:rsid w:val="008E4D62"/>
    <w:rsid w:val="008E4DD8"/>
    <w:rsid w:val="008E4E9E"/>
    <w:rsid w:val="008E50C8"/>
    <w:rsid w:val="008E5126"/>
    <w:rsid w:val="008E5221"/>
    <w:rsid w:val="008E522C"/>
    <w:rsid w:val="008E5337"/>
    <w:rsid w:val="008E53DA"/>
    <w:rsid w:val="008E53DB"/>
    <w:rsid w:val="008E55F3"/>
    <w:rsid w:val="008E55FA"/>
    <w:rsid w:val="008E5940"/>
    <w:rsid w:val="008E5ACF"/>
    <w:rsid w:val="008E5BC6"/>
    <w:rsid w:val="008E5CAA"/>
    <w:rsid w:val="008E5E18"/>
    <w:rsid w:val="008E5E71"/>
    <w:rsid w:val="008E6031"/>
    <w:rsid w:val="008E611E"/>
    <w:rsid w:val="008E61C2"/>
    <w:rsid w:val="008E6279"/>
    <w:rsid w:val="008E640D"/>
    <w:rsid w:val="008E6596"/>
    <w:rsid w:val="008E6597"/>
    <w:rsid w:val="008E65E8"/>
    <w:rsid w:val="008E6813"/>
    <w:rsid w:val="008E6893"/>
    <w:rsid w:val="008E6ACD"/>
    <w:rsid w:val="008E6BA7"/>
    <w:rsid w:val="008E6D0A"/>
    <w:rsid w:val="008E6D0B"/>
    <w:rsid w:val="008E6DC3"/>
    <w:rsid w:val="008E6F8C"/>
    <w:rsid w:val="008E6FD9"/>
    <w:rsid w:val="008E7164"/>
    <w:rsid w:val="008E71AC"/>
    <w:rsid w:val="008E71EB"/>
    <w:rsid w:val="008E7213"/>
    <w:rsid w:val="008E73CF"/>
    <w:rsid w:val="008E74B1"/>
    <w:rsid w:val="008E753E"/>
    <w:rsid w:val="008E75A4"/>
    <w:rsid w:val="008E75C0"/>
    <w:rsid w:val="008E7680"/>
    <w:rsid w:val="008E774A"/>
    <w:rsid w:val="008E77C3"/>
    <w:rsid w:val="008E790C"/>
    <w:rsid w:val="008E79CA"/>
    <w:rsid w:val="008E7A42"/>
    <w:rsid w:val="008E7D25"/>
    <w:rsid w:val="008E7D84"/>
    <w:rsid w:val="008E7DC9"/>
    <w:rsid w:val="008E7FC2"/>
    <w:rsid w:val="008F0155"/>
    <w:rsid w:val="008F0256"/>
    <w:rsid w:val="008F0294"/>
    <w:rsid w:val="008F06AF"/>
    <w:rsid w:val="008F07D3"/>
    <w:rsid w:val="008F07EB"/>
    <w:rsid w:val="008F08A6"/>
    <w:rsid w:val="008F08BC"/>
    <w:rsid w:val="008F092B"/>
    <w:rsid w:val="008F0A35"/>
    <w:rsid w:val="008F0A3D"/>
    <w:rsid w:val="008F0A8A"/>
    <w:rsid w:val="008F0B1B"/>
    <w:rsid w:val="008F0B34"/>
    <w:rsid w:val="008F0CFB"/>
    <w:rsid w:val="008F0E45"/>
    <w:rsid w:val="008F0F4A"/>
    <w:rsid w:val="008F0FB3"/>
    <w:rsid w:val="008F130C"/>
    <w:rsid w:val="008F13E4"/>
    <w:rsid w:val="008F14A8"/>
    <w:rsid w:val="008F153C"/>
    <w:rsid w:val="008F175F"/>
    <w:rsid w:val="008F1830"/>
    <w:rsid w:val="008F18B1"/>
    <w:rsid w:val="008F19B7"/>
    <w:rsid w:val="008F1AF6"/>
    <w:rsid w:val="008F1B54"/>
    <w:rsid w:val="008F1E10"/>
    <w:rsid w:val="008F1F4E"/>
    <w:rsid w:val="008F1FDB"/>
    <w:rsid w:val="008F20B7"/>
    <w:rsid w:val="008F20E4"/>
    <w:rsid w:val="008F213B"/>
    <w:rsid w:val="008F2172"/>
    <w:rsid w:val="008F23D5"/>
    <w:rsid w:val="008F2605"/>
    <w:rsid w:val="008F2862"/>
    <w:rsid w:val="008F286F"/>
    <w:rsid w:val="008F297C"/>
    <w:rsid w:val="008F2A2C"/>
    <w:rsid w:val="008F2AAF"/>
    <w:rsid w:val="008F2E05"/>
    <w:rsid w:val="008F2E76"/>
    <w:rsid w:val="008F2EFF"/>
    <w:rsid w:val="008F2F30"/>
    <w:rsid w:val="008F31F9"/>
    <w:rsid w:val="008F332C"/>
    <w:rsid w:val="008F3359"/>
    <w:rsid w:val="008F3374"/>
    <w:rsid w:val="008F3727"/>
    <w:rsid w:val="008F37A5"/>
    <w:rsid w:val="008F37F5"/>
    <w:rsid w:val="008F38CA"/>
    <w:rsid w:val="008F3998"/>
    <w:rsid w:val="008F39CF"/>
    <w:rsid w:val="008F3A28"/>
    <w:rsid w:val="008F3A8C"/>
    <w:rsid w:val="008F3B0B"/>
    <w:rsid w:val="008F3BBA"/>
    <w:rsid w:val="008F3BC5"/>
    <w:rsid w:val="008F3C04"/>
    <w:rsid w:val="008F4171"/>
    <w:rsid w:val="008F4307"/>
    <w:rsid w:val="008F4462"/>
    <w:rsid w:val="008F4505"/>
    <w:rsid w:val="008F4535"/>
    <w:rsid w:val="008F4641"/>
    <w:rsid w:val="008F4849"/>
    <w:rsid w:val="008F484F"/>
    <w:rsid w:val="008F4931"/>
    <w:rsid w:val="008F49AD"/>
    <w:rsid w:val="008F49E8"/>
    <w:rsid w:val="008F4A29"/>
    <w:rsid w:val="008F4C5D"/>
    <w:rsid w:val="008F4CA8"/>
    <w:rsid w:val="008F4D5D"/>
    <w:rsid w:val="008F4EB9"/>
    <w:rsid w:val="008F4F75"/>
    <w:rsid w:val="008F4F85"/>
    <w:rsid w:val="008F4FC7"/>
    <w:rsid w:val="008F50B1"/>
    <w:rsid w:val="008F52CE"/>
    <w:rsid w:val="008F52FC"/>
    <w:rsid w:val="008F5377"/>
    <w:rsid w:val="008F57E1"/>
    <w:rsid w:val="008F5AD0"/>
    <w:rsid w:val="008F5D4F"/>
    <w:rsid w:val="008F5D6B"/>
    <w:rsid w:val="008F5E0F"/>
    <w:rsid w:val="008F5E7A"/>
    <w:rsid w:val="008F5EA6"/>
    <w:rsid w:val="008F60B5"/>
    <w:rsid w:val="008F61F9"/>
    <w:rsid w:val="008F6334"/>
    <w:rsid w:val="008F6674"/>
    <w:rsid w:val="008F69CB"/>
    <w:rsid w:val="008F6D47"/>
    <w:rsid w:val="008F6D5D"/>
    <w:rsid w:val="008F735D"/>
    <w:rsid w:val="008F738F"/>
    <w:rsid w:val="008F75B7"/>
    <w:rsid w:val="008F75C9"/>
    <w:rsid w:val="008F765F"/>
    <w:rsid w:val="008F766D"/>
    <w:rsid w:val="008F779F"/>
    <w:rsid w:val="008F77A5"/>
    <w:rsid w:val="008F7865"/>
    <w:rsid w:val="008F78C4"/>
    <w:rsid w:val="008F7918"/>
    <w:rsid w:val="008F79DE"/>
    <w:rsid w:val="008F7ADF"/>
    <w:rsid w:val="008F7CB5"/>
    <w:rsid w:val="008F7CDB"/>
    <w:rsid w:val="008F7D76"/>
    <w:rsid w:val="008F7E35"/>
    <w:rsid w:val="008F7EEE"/>
    <w:rsid w:val="008F7F53"/>
    <w:rsid w:val="008F7FCB"/>
    <w:rsid w:val="0090040F"/>
    <w:rsid w:val="00900550"/>
    <w:rsid w:val="0090059E"/>
    <w:rsid w:val="009005EA"/>
    <w:rsid w:val="00900781"/>
    <w:rsid w:val="0090093D"/>
    <w:rsid w:val="00900976"/>
    <w:rsid w:val="00900A52"/>
    <w:rsid w:val="00900AF2"/>
    <w:rsid w:val="00900C15"/>
    <w:rsid w:val="00900E8D"/>
    <w:rsid w:val="00900F3A"/>
    <w:rsid w:val="00900F87"/>
    <w:rsid w:val="00900FC8"/>
    <w:rsid w:val="00900FE3"/>
    <w:rsid w:val="009011E0"/>
    <w:rsid w:val="009012F0"/>
    <w:rsid w:val="0090158B"/>
    <w:rsid w:val="00901593"/>
    <w:rsid w:val="00901629"/>
    <w:rsid w:val="009017EF"/>
    <w:rsid w:val="009019C0"/>
    <w:rsid w:val="00901A03"/>
    <w:rsid w:val="00901B5A"/>
    <w:rsid w:val="00901B7B"/>
    <w:rsid w:val="00901C52"/>
    <w:rsid w:val="00901C58"/>
    <w:rsid w:val="00901E16"/>
    <w:rsid w:val="00901E3F"/>
    <w:rsid w:val="00901F61"/>
    <w:rsid w:val="00901FB3"/>
    <w:rsid w:val="0090207C"/>
    <w:rsid w:val="009021F2"/>
    <w:rsid w:val="00902285"/>
    <w:rsid w:val="0090259B"/>
    <w:rsid w:val="009025D2"/>
    <w:rsid w:val="009025E3"/>
    <w:rsid w:val="009025F8"/>
    <w:rsid w:val="0090263F"/>
    <w:rsid w:val="00902671"/>
    <w:rsid w:val="0090267E"/>
    <w:rsid w:val="00902A14"/>
    <w:rsid w:val="00902A3E"/>
    <w:rsid w:val="00902C16"/>
    <w:rsid w:val="00902DB3"/>
    <w:rsid w:val="00902FB7"/>
    <w:rsid w:val="00903160"/>
    <w:rsid w:val="009032A8"/>
    <w:rsid w:val="0090331B"/>
    <w:rsid w:val="00903362"/>
    <w:rsid w:val="00903409"/>
    <w:rsid w:val="0090346E"/>
    <w:rsid w:val="00903491"/>
    <w:rsid w:val="009034A1"/>
    <w:rsid w:val="009034B8"/>
    <w:rsid w:val="00903528"/>
    <w:rsid w:val="009035A6"/>
    <w:rsid w:val="009035F4"/>
    <w:rsid w:val="0090368D"/>
    <w:rsid w:val="0090371A"/>
    <w:rsid w:val="009037BD"/>
    <w:rsid w:val="00903953"/>
    <w:rsid w:val="00903A22"/>
    <w:rsid w:val="00903A92"/>
    <w:rsid w:val="00903A9B"/>
    <w:rsid w:val="00903ABC"/>
    <w:rsid w:val="00903C01"/>
    <w:rsid w:val="00903D7F"/>
    <w:rsid w:val="0090402C"/>
    <w:rsid w:val="00904130"/>
    <w:rsid w:val="0090415E"/>
    <w:rsid w:val="009041EB"/>
    <w:rsid w:val="0090431D"/>
    <w:rsid w:val="009043B0"/>
    <w:rsid w:val="00904409"/>
    <w:rsid w:val="00904442"/>
    <w:rsid w:val="009044FB"/>
    <w:rsid w:val="00904742"/>
    <w:rsid w:val="0090478D"/>
    <w:rsid w:val="009047D5"/>
    <w:rsid w:val="00904820"/>
    <w:rsid w:val="0090486C"/>
    <w:rsid w:val="00904A01"/>
    <w:rsid w:val="00904A69"/>
    <w:rsid w:val="00904A85"/>
    <w:rsid w:val="00904BB5"/>
    <w:rsid w:val="00904C8D"/>
    <w:rsid w:val="00904D71"/>
    <w:rsid w:val="00904E41"/>
    <w:rsid w:val="00904FD5"/>
    <w:rsid w:val="00905015"/>
    <w:rsid w:val="009051A2"/>
    <w:rsid w:val="009051F7"/>
    <w:rsid w:val="0090522A"/>
    <w:rsid w:val="00905245"/>
    <w:rsid w:val="00905424"/>
    <w:rsid w:val="00905A5A"/>
    <w:rsid w:val="00905A6D"/>
    <w:rsid w:val="00905C1F"/>
    <w:rsid w:val="00905C95"/>
    <w:rsid w:val="00905CF4"/>
    <w:rsid w:val="00905E7F"/>
    <w:rsid w:val="00905FB2"/>
    <w:rsid w:val="00905FBE"/>
    <w:rsid w:val="0090615F"/>
    <w:rsid w:val="009062C4"/>
    <w:rsid w:val="00906360"/>
    <w:rsid w:val="00906490"/>
    <w:rsid w:val="0090649B"/>
    <w:rsid w:val="00906587"/>
    <w:rsid w:val="00906597"/>
    <w:rsid w:val="009066B9"/>
    <w:rsid w:val="009066F6"/>
    <w:rsid w:val="00906716"/>
    <w:rsid w:val="0090672D"/>
    <w:rsid w:val="0090673E"/>
    <w:rsid w:val="009067FA"/>
    <w:rsid w:val="00906817"/>
    <w:rsid w:val="009068A2"/>
    <w:rsid w:val="009069BC"/>
    <w:rsid w:val="00906A5E"/>
    <w:rsid w:val="00906AD3"/>
    <w:rsid w:val="00906C8C"/>
    <w:rsid w:val="00906CEA"/>
    <w:rsid w:val="00906F80"/>
    <w:rsid w:val="0090730D"/>
    <w:rsid w:val="00907411"/>
    <w:rsid w:val="00907423"/>
    <w:rsid w:val="00907498"/>
    <w:rsid w:val="009074BC"/>
    <w:rsid w:val="00907736"/>
    <w:rsid w:val="009077AB"/>
    <w:rsid w:val="00907822"/>
    <w:rsid w:val="009078A9"/>
    <w:rsid w:val="009078F5"/>
    <w:rsid w:val="00907A72"/>
    <w:rsid w:val="00907AEB"/>
    <w:rsid w:val="00907B0A"/>
    <w:rsid w:val="00907C35"/>
    <w:rsid w:val="00907CEF"/>
    <w:rsid w:val="00907D02"/>
    <w:rsid w:val="00907EC5"/>
    <w:rsid w:val="00907F20"/>
    <w:rsid w:val="00907FC9"/>
    <w:rsid w:val="00910062"/>
    <w:rsid w:val="00910115"/>
    <w:rsid w:val="00910126"/>
    <w:rsid w:val="00910129"/>
    <w:rsid w:val="009101E2"/>
    <w:rsid w:val="0091039A"/>
    <w:rsid w:val="009103A3"/>
    <w:rsid w:val="00910523"/>
    <w:rsid w:val="0091064E"/>
    <w:rsid w:val="00910881"/>
    <w:rsid w:val="00910C75"/>
    <w:rsid w:val="00910F5E"/>
    <w:rsid w:val="00910FE7"/>
    <w:rsid w:val="0091130D"/>
    <w:rsid w:val="00911399"/>
    <w:rsid w:val="00911531"/>
    <w:rsid w:val="0091153E"/>
    <w:rsid w:val="00911653"/>
    <w:rsid w:val="009116ED"/>
    <w:rsid w:val="009116F6"/>
    <w:rsid w:val="009117A5"/>
    <w:rsid w:val="009117D0"/>
    <w:rsid w:val="009117E7"/>
    <w:rsid w:val="00911840"/>
    <w:rsid w:val="00911867"/>
    <w:rsid w:val="00911959"/>
    <w:rsid w:val="00911983"/>
    <w:rsid w:val="00911BC4"/>
    <w:rsid w:val="0091207A"/>
    <w:rsid w:val="009121B0"/>
    <w:rsid w:val="009121CB"/>
    <w:rsid w:val="00912207"/>
    <w:rsid w:val="009123A2"/>
    <w:rsid w:val="00912440"/>
    <w:rsid w:val="00912656"/>
    <w:rsid w:val="00912710"/>
    <w:rsid w:val="0091280D"/>
    <w:rsid w:val="00912875"/>
    <w:rsid w:val="0091290D"/>
    <w:rsid w:val="00912A2F"/>
    <w:rsid w:val="00912ADA"/>
    <w:rsid w:val="00912B64"/>
    <w:rsid w:val="00912C2D"/>
    <w:rsid w:val="00912D5E"/>
    <w:rsid w:val="00912F4A"/>
    <w:rsid w:val="0091301E"/>
    <w:rsid w:val="009130AA"/>
    <w:rsid w:val="00913166"/>
    <w:rsid w:val="00913208"/>
    <w:rsid w:val="0091347F"/>
    <w:rsid w:val="0091376C"/>
    <w:rsid w:val="00913896"/>
    <w:rsid w:val="00913A1B"/>
    <w:rsid w:val="00913A46"/>
    <w:rsid w:val="00913A4D"/>
    <w:rsid w:val="00913AC0"/>
    <w:rsid w:val="00913B03"/>
    <w:rsid w:val="00913B19"/>
    <w:rsid w:val="00913D92"/>
    <w:rsid w:val="00913E04"/>
    <w:rsid w:val="00913E7E"/>
    <w:rsid w:val="00913EA8"/>
    <w:rsid w:val="00913EE7"/>
    <w:rsid w:val="00913FC8"/>
    <w:rsid w:val="009140E4"/>
    <w:rsid w:val="00914145"/>
    <w:rsid w:val="009141B6"/>
    <w:rsid w:val="009141E8"/>
    <w:rsid w:val="00914430"/>
    <w:rsid w:val="00914675"/>
    <w:rsid w:val="0091468F"/>
    <w:rsid w:val="009147C1"/>
    <w:rsid w:val="009149A9"/>
    <w:rsid w:val="00914A09"/>
    <w:rsid w:val="00914B8C"/>
    <w:rsid w:val="00914FD1"/>
    <w:rsid w:val="009150BD"/>
    <w:rsid w:val="009150DF"/>
    <w:rsid w:val="009150F9"/>
    <w:rsid w:val="00915133"/>
    <w:rsid w:val="00915258"/>
    <w:rsid w:val="0091527C"/>
    <w:rsid w:val="0091528A"/>
    <w:rsid w:val="00915427"/>
    <w:rsid w:val="00915445"/>
    <w:rsid w:val="00915525"/>
    <w:rsid w:val="00915532"/>
    <w:rsid w:val="00915542"/>
    <w:rsid w:val="009155A3"/>
    <w:rsid w:val="009156C3"/>
    <w:rsid w:val="00915827"/>
    <w:rsid w:val="00915996"/>
    <w:rsid w:val="00915AA1"/>
    <w:rsid w:val="00915E86"/>
    <w:rsid w:val="0091600D"/>
    <w:rsid w:val="0091601E"/>
    <w:rsid w:val="009160F7"/>
    <w:rsid w:val="009162AF"/>
    <w:rsid w:val="00916316"/>
    <w:rsid w:val="009163E7"/>
    <w:rsid w:val="00916438"/>
    <w:rsid w:val="00916461"/>
    <w:rsid w:val="009165A0"/>
    <w:rsid w:val="009167FA"/>
    <w:rsid w:val="009167FE"/>
    <w:rsid w:val="00916859"/>
    <w:rsid w:val="0091695C"/>
    <w:rsid w:val="00916A3C"/>
    <w:rsid w:val="00916B32"/>
    <w:rsid w:val="00916C64"/>
    <w:rsid w:val="00916CB8"/>
    <w:rsid w:val="00916D2C"/>
    <w:rsid w:val="00916D9A"/>
    <w:rsid w:val="00916E07"/>
    <w:rsid w:val="00916E15"/>
    <w:rsid w:val="00916E3C"/>
    <w:rsid w:val="00917001"/>
    <w:rsid w:val="009170E4"/>
    <w:rsid w:val="00917438"/>
    <w:rsid w:val="00917440"/>
    <w:rsid w:val="0091757B"/>
    <w:rsid w:val="009175D3"/>
    <w:rsid w:val="00917752"/>
    <w:rsid w:val="0091776C"/>
    <w:rsid w:val="00917773"/>
    <w:rsid w:val="009177DB"/>
    <w:rsid w:val="009178B3"/>
    <w:rsid w:val="009178DB"/>
    <w:rsid w:val="00917975"/>
    <w:rsid w:val="00917AE9"/>
    <w:rsid w:val="00917B00"/>
    <w:rsid w:val="00917C62"/>
    <w:rsid w:val="00917C8E"/>
    <w:rsid w:val="00917DDD"/>
    <w:rsid w:val="00917EAA"/>
    <w:rsid w:val="00920039"/>
    <w:rsid w:val="0092006E"/>
    <w:rsid w:val="00920110"/>
    <w:rsid w:val="009201E5"/>
    <w:rsid w:val="0092020D"/>
    <w:rsid w:val="00920613"/>
    <w:rsid w:val="00920657"/>
    <w:rsid w:val="00920796"/>
    <w:rsid w:val="009208EB"/>
    <w:rsid w:val="00920CD5"/>
    <w:rsid w:val="00920E81"/>
    <w:rsid w:val="00920F0B"/>
    <w:rsid w:val="00921034"/>
    <w:rsid w:val="009210D4"/>
    <w:rsid w:val="009212B6"/>
    <w:rsid w:val="009212BC"/>
    <w:rsid w:val="00921696"/>
    <w:rsid w:val="009216B6"/>
    <w:rsid w:val="009217F5"/>
    <w:rsid w:val="0092182C"/>
    <w:rsid w:val="0092188B"/>
    <w:rsid w:val="00921ACD"/>
    <w:rsid w:val="00921B16"/>
    <w:rsid w:val="00921D77"/>
    <w:rsid w:val="00921FC3"/>
    <w:rsid w:val="0092229C"/>
    <w:rsid w:val="00922344"/>
    <w:rsid w:val="0092237A"/>
    <w:rsid w:val="009223DC"/>
    <w:rsid w:val="009223E0"/>
    <w:rsid w:val="00922499"/>
    <w:rsid w:val="009225F1"/>
    <w:rsid w:val="0092290B"/>
    <w:rsid w:val="00922A5F"/>
    <w:rsid w:val="00922A74"/>
    <w:rsid w:val="00922D50"/>
    <w:rsid w:val="00922D64"/>
    <w:rsid w:val="00922D7F"/>
    <w:rsid w:val="00922DFE"/>
    <w:rsid w:val="00922EE8"/>
    <w:rsid w:val="0092302F"/>
    <w:rsid w:val="009230BC"/>
    <w:rsid w:val="00923195"/>
    <w:rsid w:val="00923254"/>
    <w:rsid w:val="009232D9"/>
    <w:rsid w:val="009232EA"/>
    <w:rsid w:val="00923396"/>
    <w:rsid w:val="009233DB"/>
    <w:rsid w:val="00923475"/>
    <w:rsid w:val="009234EC"/>
    <w:rsid w:val="00923516"/>
    <w:rsid w:val="00923605"/>
    <w:rsid w:val="009236A5"/>
    <w:rsid w:val="009239A2"/>
    <w:rsid w:val="00923CB2"/>
    <w:rsid w:val="00923D83"/>
    <w:rsid w:val="00924022"/>
    <w:rsid w:val="009241E5"/>
    <w:rsid w:val="00924216"/>
    <w:rsid w:val="00924236"/>
    <w:rsid w:val="0092435A"/>
    <w:rsid w:val="0092438F"/>
    <w:rsid w:val="009243F6"/>
    <w:rsid w:val="0092452C"/>
    <w:rsid w:val="009248AF"/>
    <w:rsid w:val="009248BE"/>
    <w:rsid w:val="0092491C"/>
    <w:rsid w:val="00924A6C"/>
    <w:rsid w:val="00924A83"/>
    <w:rsid w:val="00924AA6"/>
    <w:rsid w:val="00924B1A"/>
    <w:rsid w:val="00924DA1"/>
    <w:rsid w:val="00925008"/>
    <w:rsid w:val="00925082"/>
    <w:rsid w:val="0092519A"/>
    <w:rsid w:val="00925443"/>
    <w:rsid w:val="00925477"/>
    <w:rsid w:val="009256F4"/>
    <w:rsid w:val="009257A9"/>
    <w:rsid w:val="009257E4"/>
    <w:rsid w:val="00925824"/>
    <w:rsid w:val="009258C0"/>
    <w:rsid w:val="0092594C"/>
    <w:rsid w:val="00925A4C"/>
    <w:rsid w:val="00925B63"/>
    <w:rsid w:val="00925D19"/>
    <w:rsid w:val="00925E0D"/>
    <w:rsid w:val="00925E2E"/>
    <w:rsid w:val="00925F56"/>
    <w:rsid w:val="00925FF7"/>
    <w:rsid w:val="0092626B"/>
    <w:rsid w:val="009262C5"/>
    <w:rsid w:val="009262D8"/>
    <w:rsid w:val="009264D6"/>
    <w:rsid w:val="00926539"/>
    <w:rsid w:val="00926702"/>
    <w:rsid w:val="00926804"/>
    <w:rsid w:val="00926870"/>
    <w:rsid w:val="00926914"/>
    <w:rsid w:val="00926B03"/>
    <w:rsid w:val="00926B7A"/>
    <w:rsid w:val="00926CB5"/>
    <w:rsid w:val="00926D04"/>
    <w:rsid w:val="00926E7C"/>
    <w:rsid w:val="00926F60"/>
    <w:rsid w:val="00926FE3"/>
    <w:rsid w:val="00927007"/>
    <w:rsid w:val="00927128"/>
    <w:rsid w:val="00927292"/>
    <w:rsid w:val="009272A0"/>
    <w:rsid w:val="009272F5"/>
    <w:rsid w:val="0092730E"/>
    <w:rsid w:val="00927401"/>
    <w:rsid w:val="00927516"/>
    <w:rsid w:val="009277ED"/>
    <w:rsid w:val="00927851"/>
    <w:rsid w:val="00927867"/>
    <w:rsid w:val="0092797E"/>
    <w:rsid w:val="00927A5E"/>
    <w:rsid w:val="00927AA6"/>
    <w:rsid w:val="00927B7B"/>
    <w:rsid w:val="00927D85"/>
    <w:rsid w:val="00927F95"/>
    <w:rsid w:val="00927FD2"/>
    <w:rsid w:val="00930159"/>
    <w:rsid w:val="0093016F"/>
    <w:rsid w:val="00930181"/>
    <w:rsid w:val="009301AC"/>
    <w:rsid w:val="00930206"/>
    <w:rsid w:val="0093033D"/>
    <w:rsid w:val="00930664"/>
    <w:rsid w:val="00930672"/>
    <w:rsid w:val="00930882"/>
    <w:rsid w:val="0093090E"/>
    <w:rsid w:val="00930BC9"/>
    <w:rsid w:val="00930C92"/>
    <w:rsid w:val="00930D99"/>
    <w:rsid w:val="00930DD2"/>
    <w:rsid w:val="00930E49"/>
    <w:rsid w:val="00930EC2"/>
    <w:rsid w:val="00930ED7"/>
    <w:rsid w:val="00930F8F"/>
    <w:rsid w:val="0093104A"/>
    <w:rsid w:val="009311C4"/>
    <w:rsid w:val="009311D8"/>
    <w:rsid w:val="00931275"/>
    <w:rsid w:val="00931530"/>
    <w:rsid w:val="00931582"/>
    <w:rsid w:val="009318F5"/>
    <w:rsid w:val="00931AA6"/>
    <w:rsid w:val="00931AE0"/>
    <w:rsid w:val="00931B04"/>
    <w:rsid w:val="00931B77"/>
    <w:rsid w:val="00931C97"/>
    <w:rsid w:val="00931C99"/>
    <w:rsid w:val="00931CAC"/>
    <w:rsid w:val="00931CEB"/>
    <w:rsid w:val="00931F3D"/>
    <w:rsid w:val="00931F43"/>
    <w:rsid w:val="00931F82"/>
    <w:rsid w:val="00932092"/>
    <w:rsid w:val="009320BC"/>
    <w:rsid w:val="0093222D"/>
    <w:rsid w:val="00932280"/>
    <w:rsid w:val="00932316"/>
    <w:rsid w:val="00932340"/>
    <w:rsid w:val="009323DF"/>
    <w:rsid w:val="009323F1"/>
    <w:rsid w:val="009324AB"/>
    <w:rsid w:val="0093270E"/>
    <w:rsid w:val="0093278F"/>
    <w:rsid w:val="009327E5"/>
    <w:rsid w:val="009329D2"/>
    <w:rsid w:val="00932EA3"/>
    <w:rsid w:val="00932F3C"/>
    <w:rsid w:val="00933116"/>
    <w:rsid w:val="00933589"/>
    <w:rsid w:val="009335D0"/>
    <w:rsid w:val="00933676"/>
    <w:rsid w:val="009336C0"/>
    <w:rsid w:val="0093399C"/>
    <w:rsid w:val="00933D91"/>
    <w:rsid w:val="00933E76"/>
    <w:rsid w:val="0093410F"/>
    <w:rsid w:val="0093428D"/>
    <w:rsid w:val="0093441D"/>
    <w:rsid w:val="00934433"/>
    <w:rsid w:val="00934444"/>
    <w:rsid w:val="009344BD"/>
    <w:rsid w:val="009346B1"/>
    <w:rsid w:val="0093493D"/>
    <w:rsid w:val="009349F8"/>
    <w:rsid w:val="00934B5E"/>
    <w:rsid w:val="00934BC4"/>
    <w:rsid w:val="00934C7A"/>
    <w:rsid w:val="00934FDE"/>
    <w:rsid w:val="00935280"/>
    <w:rsid w:val="00935324"/>
    <w:rsid w:val="00935327"/>
    <w:rsid w:val="00935552"/>
    <w:rsid w:val="00935589"/>
    <w:rsid w:val="0093558F"/>
    <w:rsid w:val="009358CC"/>
    <w:rsid w:val="00935ACB"/>
    <w:rsid w:val="00935B6F"/>
    <w:rsid w:val="00935F79"/>
    <w:rsid w:val="00936352"/>
    <w:rsid w:val="009363C4"/>
    <w:rsid w:val="00936520"/>
    <w:rsid w:val="009365BB"/>
    <w:rsid w:val="009365D8"/>
    <w:rsid w:val="0093669E"/>
    <w:rsid w:val="00936778"/>
    <w:rsid w:val="009367CC"/>
    <w:rsid w:val="00936802"/>
    <w:rsid w:val="00936ABA"/>
    <w:rsid w:val="00936B4B"/>
    <w:rsid w:val="00936BC6"/>
    <w:rsid w:val="00936D1D"/>
    <w:rsid w:val="00937033"/>
    <w:rsid w:val="009370B5"/>
    <w:rsid w:val="009373DB"/>
    <w:rsid w:val="0093752F"/>
    <w:rsid w:val="0093764B"/>
    <w:rsid w:val="009376F8"/>
    <w:rsid w:val="009376FF"/>
    <w:rsid w:val="00937785"/>
    <w:rsid w:val="00937800"/>
    <w:rsid w:val="009378B7"/>
    <w:rsid w:val="0093793D"/>
    <w:rsid w:val="00937A34"/>
    <w:rsid w:val="00937BAC"/>
    <w:rsid w:val="00937C20"/>
    <w:rsid w:val="00937D38"/>
    <w:rsid w:val="00937D65"/>
    <w:rsid w:val="00940060"/>
    <w:rsid w:val="0094012C"/>
    <w:rsid w:val="009403A2"/>
    <w:rsid w:val="00940603"/>
    <w:rsid w:val="00940694"/>
    <w:rsid w:val="009406E6"/>
    <w:rsid w:val="0094080C"/>
    <w:rsid w:val="0094097A"/>
    <w:rsid w:val="00940985"/>
    <w:rsid w:val="00940A24"/>
    <w:rsid w:val="00940A68"/>
    <w:rsid w:val="00940B1A"/>
    <w:rsid w:val="00940BEA"/>
    <w:rsid w:val="00940DAB"/>
    <w:rsid w:val="00941004"/>
    <w:rsid w:val="00941042"/>
    <w:rsid w:val="0094122E"/>
    <w:rsid w:val="0094124D"/>
    <w:rsid w:val="0094137B"/>
    <w:rsid w:val="00941499"/>
    <w:rsid w:val="0094164F"/>
    <w:rsid w:val="009417F7"/>
    <w:rsid w:val="00941A0E"/>
    <w:rsid w:val="00941A61"/>
    <w:rsid w:val="00941B03"/>
    <w:rsid w:val="00941C29"/>
    <w:rsid w:val="00941C91"/>
    <w:rsid w:val="00941D3B"/>
    <w:rsid w:val="00941D3D"/>
    <w:rsid w:val="00941D70"/>
    <w:rsid w:val="00941DCC"/>
    <w:rsid w:val="00941E0A"/>
    <w:rsid w:val="00941EBF"/>
    <w:rsid w:val="00941EE4"/>
    <w:rsid w:val="00941FDE"/>
    <w:rsid w:val="00942025"/>
    <w:rsid w:val="009420A6"/>
    <w:rsid w:val="00942134"/>
    <w:rsid w:val="00942197"/>
    <w:rsid w:val="009421A5"/>
    <w:rsid w:val="009421F1"/>
    <w:rsid w:val="0094238C"/>
    <w:rsid w:val="00942473"/>
    <w:rsid w:val="0094252B"/>
    <w:rsid w:val="00942748"/>
    <w:rsid w:val="009427B9"/>
    <w:rsid w:val="009427EF"/>
    <w:rsid w:val="0094288C"/>
    <w:rsid w:val="00942BEF"/>
    <w:rsid w:val="00942D13"/>
    <w:rsid w:val="00942FEE"/>
    <w:rsid w:val="009434F1"/>
    <w:rsid w:val="00943633"/>
    <w:rsid w:val="0094367E"/>
    <w:rsid w:val="00943752"/>
    <w:rsid w:val="009438A9"/>
    <w:rsid w:val="009439A8"/>
    <w:rsid w:val="009439D6"/>
    <w:rsid w:val="00943AC9"/>
    <w:rsid w:val="00943AEF"/>
    <w:rsid w:val="00943B55"/>
    <w:rsid w:val="00943BBA"/>
    <w:rsid w:val="00943BC0"/>
    <w:rsid w:val="00943C99"/>
    <w:rsid w:val="00943DD9"/>
    <w:rsid w:val="00944094"/>
    <w:rsid w:val="00944108"/>
    <w:rsid w:val="00944119"/>
    <w:rsid w:val="00944143"/>
    <w:rsid w:val="00944277"/>
    <w:rsid w:val="00944279"/>
    <w:rsid w:val="009442AB"/>
    <w:rsid w:val="00944370"/>
    <w:rsid w:val="00944426"/>
    <w:rsid w:val="009446CD"/>
    <w:rsid w:val="00944814"/>
    <w:rsid w:val="009448FA"/>
    <w:rsid w:val="00944923"/>
    <w:rsid w:val="00944C2F"/>
    <w:rsid w:val="00944C7D"/>
    <w:rsid w:val="00944E4D"/>
    <w:rsid w:val="00944EF2"/>
    <w:rsid w:val="00945182"/>
    <w:rsid w:val="009451EF"/>
    <w:rsid w:val="00945265"/>
    <w:rsid w:val="00945267"/>
    <w:rsid w:val="009456D5"/>
    <w:rsid w:val="00945836"/>
    <w:rsid w:val="009458BD"/>
    <w:rsid w:val="0094597C"/>
    <w:rsid w:val="009459FF"/>
    <w:rsid w:val="00945A30"/>
    <w:rsid w:val="00945C8B"/>
    <w:rsid w:val="00945D80"/>
    <w:rsid w:val="00945DC6"/>
    <w:rsid w:val="009461F9"/>
    <w:rsid w:val="009463DB"/>
    <w:rsid w:val="00946420"/>
    <w:rsid w:val="009464B1"/>
    <w:rsid w:val="00946540"/>
    <w:rsid w:val="009466DB"/>
    <w:rsid w:val="0094673E"/>
    <w:rsid w:val="0094682B"/>
    <w:rsid w:val="009468E5"/>
    <w:rsid w:val="00946961"/>
    <w:rsid w:val="00946A68"/>
    <w:rsid w:val="00946B33"/>
    <w:rsid w:val="00946BB4"/>
    <w:rsid w:val="00946CE2"/>
    <w:rsid w:val="00946D5D"/>
    <w:rsid w:val="0094719C"/>
    <w:rsid w:val="0094741A"/>
    <w:rsid w:val="0094762C"/>
    <w:rsid w:val="009476B6"/>
    <w:rsid w:val="00947716"/>
    <w:rsid w:val="0094777A"/>
    <w:rsid w:val="0094787F"/>
    <w:rsid w:val="0094797C"/>
    <w:rsid w:val="00947B30"/>
    <w:rsid w:val="00947CCB"/>
    <w:rsid w:val="00947CE3"/>
    <w:rsid w:val="00947E54"/>
    <w:rsid w:val="00947F3D"/>
    <w:rsid w:val="00947F54"/>
    <w:rsid w:val="00947F90"/>
    <w:rsid w:val="00947FAE"/>
    <w:rsid w:val="00947FFE"/>
    <w:rsid w:val="0095005C"/>
    <w:rsid w:val="009501D5"/>
    <w:rsid w:val="009503E1"/>
    <w:rsid w:val="009503ED"/>
    <w:rsid w:val="00950533"/>
    <w:rsid w:val="009505D0"/>
    <w:rsid w:val="00950812"/>
    <w:rsid w:val="00950BE3"/>
    <w:rsid w:val="00950D88"/>
    <w:rsid w:val="00950FE9"/>
    <w:rsid w:val="0095109C"/>
    <w:rsid w:val="009512E4"/>
    <w:rsid w:val="009514D8"/>
    <w:rsid w:val="00951522"/>
    <w:rsid w:val="009516AC"/>
    <w:rsid w:val="009517D3"/>
    <w:rsid w:val="0095195B"/>
    <w:rsid w:val="00951A34"/>
    <w:rsid w:val="00951FEE"/>
    <w:rsid w:val="0095205F"/>
    <w:rsid w:val="009520E9"/>
    <w:rsid w:val="00952166"/>
    <w:rsid w:val="00952170"/>
    <w:rsid w:val="00952193"/>
    <w:rsid w:val="009523DB"/>
    <w:rsid w:val="009525EF"/>
    <w:rsid w:val="0095262D"/>
    <w:rsid w:val="0095271E"/>
    <w:rsid w:val="009527B0"/>
    <w:rsid w:val="009527FD"/>
    <w:rsid w:val="009529D8"/>
    <w:rsid w:val="00952C52"/>
    <w:rsid w:val="00952CA1"/>
    <w:rsid w:val="00952D03"/>
    <w:rsid w:val="00952E61"/>
    <w:rsid w:val="00952FA5"/>
    <w:rsid w:val="00953130"/>
    <w:rsid w:val="009533C6"/>
    <w:rsid w:val="009533E6"/>
    <w:rsid w:val="0095341A"/>
    <w:rsid w:val="009535B4"/>
    <w:rsid w:val="009536AF"/>
    <w:rsid w:val="009536FA"/>
    <w:rsid w:val="00953896"/>
    <w:rsid w:val="00953930"/>
    <w:rsid w:val="00953964"/>
    <w:rsid w:val="009539AE"/>
    <w:rsid w:val="00953B8A"/>
    <w:rsid w:val="00953BE7"/>
    <w:rsid w:val="00953ED8"/>
    <w:rsid w:val="00953F7C"/>
    <w:rsid w:val="00953FC1"/>
    <w:rsid w:val="0095400A"/>
    <w:rsid w:val="0095401F"/>
    <w:rsid w:val="009540CF"/>
    <w:rsid w:val="0095410E"/>
    <w:rsid w:val="00954268"/>
    <w:rsid w:val="0095426C"/>
    <w:rsid w:val="00954418"/>
    <w:rsid w:val="0095476C"/>
    <w:rsid w:val="009547CB"/>
    <w:rsid w:val="00954879"/>
    <w:rsid w:val="00954E9A"/>
    <w:rsid w:val="00954F4A"/>
    <w:rsid w:val="00954F50"/>
    <w:rsid w:val="009551FD"/>
    <w:rsid w:val="00955249"/>
    <w:rsid w:val="00955381"/>
    <w:rsid w:val="00955721"/>
    <w:rsid w:val="009557BC"/>
    <w:rsid w:val="009557EF"/>
    <w:rsid w:val="0095581C"/>
    <w:rsid w:val="00955850"/>
    <w:rsid w:val="009559C7"/>
    <w:rsid w:val="00955B56"/>
    <w:rsid w:val="00955D2F"/>
    <w:rsid w:val="00955D35"/>
    <w:rsid w:val="00955DA9"/>
    <w:rsid w:val="00955DD6"/>
    <w:rsid w:val="00955ED0"/>
    <w:rsid w:val="009561A8"/>
    <w:rsid w:val="00956241"/>
    <w:rsid w:val="00956412"/>
    <w:rsid w:val="0095642B"/>
    <w:rsid w:val="00956473"/>
    <w:rsid w:val="00956532"/>
    <w:rsid w:val="009566B8"/>
    <w:rsid w:val="00956768"/>
    <w:rsid w:val="009567E5"/>
    <w:rsid w:val="0095684F"/>
    <w:rsid w:val="00956B27"/>
    <w:rsid w:val="00956B8C"/>
    <w:rsid w:val="00956BB6"/>
    <w:rsid w:val="00956CA9"/>
    <w:rsid w:val="00956D1F"/>
    <w:rsid w:val="00956FCA"/>
    <w:rsid w:val="00957121"/>
    <w:rsid w:val="00957182"/>
    <w:rsid w:val="009571E8"/>
    <w:rsid w:val="009573A3"/>
    <w:rsid w:val="009573F8"/>
    <w:rsid w:val="009574D0"/>
    <w:rsid w:val="009575C6"/>
    <w:rsid w:val="00957742"/>
    <w:rsid w:val="009577B0"/>
    <w:rsid w:val="009578E4"/>
    <w:rsid w:val="00957AF5"/>
    <w:rsid w:val="00957E74"/>
    <w:rsid w:val="00957F28"/>
    <w:rsid w:val="0096000A"/>
    <w:rsid w:val="0096030E"/>
    <w:rsid w:val="009604DE"/>
    <w:rsid w:val="00960531"/>
    <w:rsid w:val="009605E5"/>
    <w:rsid w:val="00960641"/>
    <w:rsid w:val="00960760"/>
    <w:rsid w:val="00960812"/>
    <w:rsid w:val="0096094D"/>
    <w:rsid w:val="00960AB4"/>
    <w:rsid w:val="00960AFF"/>
    <w:rsid w:val="00960B5D"/>
    <w:rsid w:val="00960C28"/>
    <w:rsid w:val="00960C7F"/>
    <w:rsid w:val="00960CD5"/>
    <w:rsid w:val="00960D3C"/>
    <w:rsid w:val="00960EC4"/>
    <w:rsid w:val="00960EE4"/>
    <w:rsid w:val="00960F62"/>
    <w:rsid w:val="0096141D"/>
    <w:rsid w:val="0096145C"/>
    <w:rsid w:val="009614C0"/>
    <w:rsid w:val="009614E7"/>
    <w:rsid w:val="009616C7"/>
    <w:rsid w:val="009616EC"/>
    <w:rsid w:val="0096170E"/>
    <w:rsid w:val="009617D6"/>
    <w:rsid w:val="0096192F"/>
    <w:rsid w:val="00961A71"/>
    <w:rsid w:val="00961AB1"/>
    <w:rsid w:val="00961C1B"/>
    <w:rsid w:val="00961D15"/>
    <w:rsid w:val="00961DB8"/>
    <w:rsid w:val="00961E2E"/>
    <w:rsid w:val="00961F5E"/>
    <w:rsid w:val="0096234F"/>
    <w:rsid w:val="0096238F"/>
    <w:rsid w:val="00962680"/>
    <w:rsid w:val="0096297D"/>
    <w:rsid w:val="00962980"/>
    <w:rsid w:val="00962AF0"/>
    <w:rsid w:val="00962BEC"/>
    <w:rsid w:val="00962CDC"/>
    <w:rsid w:val="00962D90"/>
    <w:rsid w:val="00962F60"/>
    <w:rsid w:val="00963035"/>
    <w:rsid w:val="0096320D"/>
    <w:rsid w:val="0096326E"/>
    <w:rsid w:val="00963396"/>
    <w:rsid w:val="0096344A"/>
    <w:rsid w:val="00963550"/>
    <w:rsid w:val="0096361F"/>
    <w:rsid w:val="0096386C"/>
    <w:rsid w:val="00963895"/>
    <w:rsid w:val="009639DA"/>
    <w:rsid w:val="00963A5E"/>
    <w:rsid w:val="00963B22"/>
    <w:rsid w:val="00963BAC"/>
    <w:rsid w:val="00963D10"/>
    <w:rsid w:val="00963D6F"/>
    <w:rsid w:val="00963FC9"/>
    <w:rsid w:val="00964195"/>
    <w:rsid w:val="00964208"/>
    <w:rsid w:val="009642B0"/>
    <w:rsid w:val="0096436E"/>
    <w:rsid w:val="009643C5"/>
    <w:rsid w:val="00964634"/>
    <w:rsid w:val="0096488A"/>
    <w:rsid w:val="00964AFF"/>
    <w:rsid w:val="00964B0F"/>
    <w:rsid w:val="00964BE4"/>
    <w:rsid w:val="00964D13"/>
    <w:rsid w:val="009650C9"/>
    <w:rsid w:val="00965188"/>
    <w:rsid w:val="009652BF"/>
    <w:rsid w:val="0096534F"/>
    <w:rsid w:val="00965604"/>
    <w:rsid w:val="00965654"/>
    <w:rsid w:val="009658BE"/>
    <w:rsid w:val="00965996"/>
    <w:rsid w:val="00965A47"/>
    <w:rsid w:val="00965BBA"/>
    <w:rsid w:val="00965C7F"/>
    <w:rsid w:val="00965D19"/>
    <w:rsid w:val="00965D36"/>
    <w:rsid w:val="00965DEA"/>
    <w:rsid w:val="00965E86"/>
    <w:rsid w:val="00965F6E"/>
    <w:rsid w:val="00966373"/>
    <w:rsid w:val="0096653A"/>
    <w:rsid w:val="00966722"/>
    <w:rsid w:val="009667A6"/>
    <w:rsid w:val="009667F0"/>
    <w:rsid w:val="00966A51"/>
    <w:rsid w:val="00966A75"/>
    <w:rsid w:val="00966B07"/>
    <w:rsid w:val="00966D12"/>
    <w:rsid w:val="00966D1C"/>
    <w:rsid w:val="00966D73"/>
    <w:rsid w:val="0096706E"/>
    <w:rsid w:val="009670CB"/>
    <w:rsid w:val="009670DC"/>
    <w:rsid w:val="009671A8"/>
    <w:rsid w:val="00967274"/>
    <w:rsid w:val="009674B3"/>
    <w:rsid w:val="009674B4"/>
    <w:rsid w:val="00967649"/>
    <w:rsid w:val="0096779F"/>
    <w:rsid w:val="0096796B"/>
    <w:rsid w:val="009679B5"/>
    <w:rsid w:val="00967BA5"/>
    <w:rsid w:val="00967C7B"/>
    <w:rsid w:val="00967CCC"/>
    <w:rsid w:val="00967D94"/>
    <w:rsid w:val="00967DE7"/>
    <w:rsid w:val="00967E78"/>
    <w:rsid w:val="00967F91"/>
    <w:rsid w:val="0097031C"/>
    <w:rsid w:val="009703B8"/>
    <w:rsid w:val="0097041C"/>
    <w:rsid w:val="00970466"/>
    <w:rsid w:val="0097046E"/>
    <w:rsid w:val="00970C0C"/>
    <w:rsid w:val="00970C58"/>
    <w:rsid w:val="00970C74"/>
    <w:rsid w:val="00970CFB"/>
    <w:rsid w:val="00970D02"/>
    <w:rsid w:val="00970D62"/>
    <w:rsid w:val="00970F35"/>
    <w:rsid w:val="00970F3F"/>
    <w:rsid w:val="00970F97"/>
    <w:rsid w:val="009710AB"/>
    <w:rsid w:val="0097113A"/>
    <w:rsid w:val="0097121E"/>
    <w:rsid w:val="0097127A"/>
    <w:rsid w:val="009712CC"/>
    <w:rsid w:val="0097131B"/>
    <w:rsid w:val="0097156D"/>
    <w:rsid w:val="00971651"/>
    <w:rsid w:val="00971667"/>
    <w:rsid w:val="0097170E"/>
    <w:rsid w:val="00971714"/>
    <w:rsid w:val="00971823"/>
    <w:rsid w:val="00971898"/>
    <w:rsid w:val="009718B2"/>
    <w:rsid w:val="009719D3"/>
    <w:rsid w:val="00971A34"/>
    <w:rsid w:val="00971CBD"/>
    <w:rsid w:val="0097208C"/>
    <w:rsid w:val="0097209F"/>
    <w:rsid w:val="009721AF"/>
    <w:rsid w:val="00972241"/>
    <w:rsid w:val="00972349"/>
    <w:rsid w:val="009723BA"/>
    <w:rsid w:val="009724E2"/>
    <w:rsid w:val="0097255B"/>
    <w:rsid w:val="009725EB"/>
    <w:rsid w:val="009726F5"/>
    <w:rsid w:val="0097276D"/>
    <w:rsid w:val="009727AE"/>
    <w:rsid w:val="009727B5"/>
    <w:rsid w:val="009727FF"/>
    <w:rsid w:val="009728E1"/>
    <w:rsid w:val="00972907"/>
    <w:rsid w:val="00972BF5"/>
    <w:rsid w:val="00972D0A"/>
    <w:rsid w:val="00972D6B"/>
    <w:rsid w:val="00972EAA"/>
    <w:rsid w:val="0097308E"/>
    <w:rsid w:val="00973167"/>
    <w:rsid w:val="00973169"/>
    <w:rsid w:val="00973175"/>
    <w:rsid w:val="009731E0"/>
    <w:rsid w:val="00973212"/>
    <w:rsid w:val="009732FD"/>
    <w:rsid w:val="00973503"/>
    <w:rsid w:val="00973661"/>
    <w:rsid w:val="00973745"/>
    <w:rsid w:val="00973A4E"/>
    <w:rsid w:val="00973C1C"/>
    <w:rsid w:val="00973CA8"/>
    <w:rsid w:val="00973FEA"/>
    <w:rsid w:val="009740E0"/>
    <w:rsid w:val="0097413E"/>
    <w:rsid w:val="009743A2"/>
    <w:rsid w:val="009744B5"/>
    <w:rsid w:val="009746E3"/>
    <w:rsid w:val="00974710"/>
    <w:rsid w:val="0097494E"/>
    <w:rsid w:val="00974A00"/>
    <w:rsid w:val="00974A2B"/>
    <w:rsid w:val="00974A6A"/>
    <w:rsid w:val="00974AB7"/>
    <w:rsid w:val="00974C1D"/>
    <w:rsid w:val="00974DF0"/>
    <w:rsid w:val="00974E94"/>
    <w:rsid w:val="00974EA6"/>
    <w:rsid w:val="00974F12"/>
    <w:rsid w:val="00975046"/>
    <w:rsid w:val="0097511F"/>
    <w:rsid w:val="009752BD"/>
    <w:rsid w:val="00975393"/>
    <w:rsid w:val="009753AD"/>
    <w:rsid w:val="009753FA"/>
    <w:rsid w:val="00975453"/>
    <w:rsid w:val="00975492"/>
    <w:rsid w:val="009754EE"/>
    <w:rsid w:val="00975513"/>
    <w:rsid w:val="009756A1"/>
    <w:rsid w:val="009757CB"/>
    <w:rsid w:val="009758BD"/>
    <w:rsid w:val="00975911"/>
    <w:rsid w:val="00975A21"/>
    <w:rsid w:val="00975B7E"/>
    <w:rsid w:val="00975B8F"/>
    <w:rsid w:val="00975C9E"/>
    <w:rsid w:val="00975E09"/>
    <w:rsid w:val="00975E1E"/>
    <w:rsid w:val="00975EFA"/>
    <w:rsid w:val="00976016"/>
    <w:rsid w:val="0097605C"/>
    <w:rsid w:val="00976475"/>
    <w:rsid w:val="0097656C"/>
    <w:rsid w:val="009765C0"/>
    <w:rsid w:val="009767C2"/>
    <w:rsid w:val="009767D7"/>
    <w:rsid w:val="00976809"/>
    <w:rsid w:val="00976820"/>
    <w:rsid w:val="00976827"/>
    <w:rsid w:val="009768DE"/>
    <w:rsid w:val="009769D3"/>
    <w:rsid w:val="009769EB"/>
    <w:rsid w:val="00976A1A"/>
    <w:rsid w:val="00976B96"/>
    <w:rsid w:val="00976BA1"/>
    <w:rsid w:val="00976D11"/>
    <w:rsid w:val="00976EB1"/>
    <w:rsid w:val="00976F45"/>
    <w:rsid w:val="00976FEE"/>
    <w:rsid w:val="00976FFE"/>
    <w:rsid w:val="00977006"/>
    <w:rsid w:val="0097701D"/>
    <w:rsid w:val="00977088"/>
    <w:rsid w:val="00977208"/>
    <w:rsid w:val="0097728C"/>
    <w:rsid w:val="0097734D"/>
    <w:rsid w:val="009773D4"/>
    <w:rsid w:val="009773D8"/>
    <w:rsid w:val="009775C0"/>
    <w:rsid w:val="009775D1"/>
    <w:rsid w:val="009776B6"/>
    <w:rsid w:val="0097770B"/>
    <w:rsid w:val="009777BF"/>
    <w:rsid w:val="0097786B"/>
    <w:rsid w:val="009778A0"/>
    <w:rsid w:val="009778C2"/>
    <w:rsid w:val="00977919"/>
    <w:rsid w:val="00977A0F"/>
    <w:rsid w:val="00977AA8"/>
    <w:rsid w:val="00977C49"/>
    <w:rsid w:val="00977DD3"/>
    <w:rsid w:val="00977E42"/>
    <w:rsid w:val="00977E52"/>
    <w:rsid w:val="00977E60"/>
    <w:rsid w:val="009801B5"/>
    <w:rsid w:val="009802FB"/>
    <w:rsid w:val="009803AF"/>
    <w:rsid w:val="009803C1"/>
    <w:rsid w:val="00980441"/>
    <w:rsid w:val="0098063A"/>
    <w:rsid w:val="009806C9"/>
    <w:rsid w:val="0098075E"/>
    <w:rsid w:val="009807D4"/>
    <w:rsid w:val="00980840"/>
    <w:rsid w:val="00980D91"/>
    <w:rsid w:val="00980F27"/>
    <w:rsid w:val="00981009"/>
    <w:rsid w:val="009810AA"/>
    <w:rsid w:val="0098127F"/>
    <w:rsid w:val="0098128F"/>
    <w:rsid w:val="009813A9"/>
    <w:rsid w:val="0098154A"/>
    <w:rsid w:val="00981557"/>
    <w:rsid w:val="009816B6"/>
    <w:rsid w:val="00981815"/>
    <w:rsid w:val="009819F3"/>
    <w:rsid w:val="00981CD8"/>
    <w:rsid w:val="00981F33"/>
    <w:rsid w:val="00981F4E"/>
    <w:rsid w:val="00981F76"/>
    <w:rsid w:val="009820D7"/>
    <w:rsid w:val="00982134"/>
    <w:rsid w:val="009823FB"/>
    <w:rsid w:val="00982410"/>
    <w:rsid w:val="009824A9"/>
    <w:rsid w:val="00982507"/>
    <w:rsid w:val="00982573"/>
    <w:rsid w:val="00982599"/>
    <w:rsid w:val="009826D6"/>
    <w:rsid w:val="009829DD"/>
    <w:rsid w:val="00982AB1"/>
    <w:rsid w:val="00982AC5"/>
    <w:rsid w:val="00982B1D"/>
    <w:rsid w:val="00982C0F"/>
    <w:rsid w:val="00982C6D"/>
    <w:rsid w:val="00982CAD"/>
    <w:rsid w:val="00982D44"/>
    <w:rsid w:val="00982EF2"/>
    <w:rsid w:val="00982F06"/>
    <w:rsid w:val="00983049"/>
    <w:rsid w:val="009832D1"/>
    <w:rsid w:val="0098336D"/>
    <w:rsid w:val="0098347A"/>
    <w:rsid w:val="009834B3"/>
    <w:rsid w:val="009839D3"/>
    <w:rsid w:val="009839D9"/>
    <w:rsid w:val="00983A67"/>
    <w:rsid w:val="00983B8E"/>
    <w:rsid w:val="00983CA6"/>
    <w:rsid w:val="00983D4A"/>
    <w:rsid w:val="00983D79"/>
    <w:rsid w:val="00983E1A"/>
    <w:rsid w:val="009840FB"/>
    <w:rsid w:val="009841D3"/>
    <w:rsid w:val="00984254"/>
    <w:rsid w:val="009842CA"/>
    <w:rsid w:val="009842CD"/>
    <w:rsid w:val="00984382"/>
    <w:rsid w:val="00984427"/>
    <w:rsid w:val="009844A9"/>
    <w:rsid w:val="00984628"/>
    <w:rsid w:val="009846C8"/>
    <w:rsid w:val="00984784"/>
    <w:rsid w:val="0098492B"/>
    <w:rsid w:val="00984955"/>
    <w:rsid w:val="00984B1F"/>
    <w:rsid w:val="00984D0E"/>
    <w:rsid w:val="00984DA2"/>
    <w:rsid w:val="00984DFA"/>
    <w:rsid w:val="00984E7C"/>
    <w:rsid w:val="00984EB3"/>
    <w:rsid w:val="00984FBB"/>
    <w:rsid w:val="00984FC0"/>
    <w:rsid w:val="00985069"/>
    <w:rsid w:val="00985125"/>
    <w:rsid w:val="0098513B"/>
    <w:rsid w:val="00985251"/>
    <w:rsid w:val="00985288"/>
    <w:rsid w:val="0098537B"/>
    <w:rsid w:val="009855ED"/>
    <w:rsid w:val="00985696"/>
    <w:rsid w:val="0098584C"/>
    <w:rsid w:val="009859D9"/>
    <w:rsid w:val="00985B9A"/>
    <w:rsid w:val="00985C02"/>
    <w:rsid w:val="00985E66"/>
    <w:rsid w:val="00985EAE"/>
    <w:rsid w:val="00985EC5"/>
    <w:rsid w:val="00985EE1"/>
    <w:rsid w:val="00986021"/>
    <w:rsid w:val="009860C5"/>
    <w:rsid w:val="009860D4"/>
    <w:rsid w:val="00986200"/>
    <w:rsid w:val="009862EE"/>
    <w:rsid w:val="009865A6"/>
    <w:rsid w:val="00986678"/>
    <w:rsid w:val="00986713"/>
    <w:rsid w:val="00986769"/>
    <w:rsid w:val="009867B6"/>
    <w:rsid w:val="009867BF"/>
    <w:rsid w:val="009867EF"/>
    <w:rsid w:val="00986977"/>
    <w:rsid w:val="009869E4"/>
    <w:rsid w:val="00986A5B"/>
    <w:rsid w:val="00986A90"/>
    <w:rsid w:val="00986B10"/>
    <w:rsid w:val="00986BEF"/>
    <w:rsid w:val="00986DB1"/>
    <w:rsid w:val="00986F68"/>
    <w:rsid w:val="00987080"/>
    <w:rsid w:val="0098721B"/>
    <w:rsid w:val="00987347"/>
    <w:rsid w:val="00987369"/>
    <w:rsid w:val="0098748D"/>
    <w:rsid w:val="00987492"/>
    <w:rsid w:val="00987496"/>
    <w:rsid w:val="009874D9"/>
    <w:rsid w:val="00987684"/>
    <w:rsid w:val="009876ED"/>
    <w:rsid w:val="009879CF"/>
    <w:rsid w:val="00987D9B"/>
    <w:rsid w:val="00987EC6"/>
    <w:rsid w:val="00987F23"/>
    <w:rsid w:val="0099009F"/>
    <w:rsid w:val="009900D4"/>
    <w:rsid w:val="00990256"/>
    <w:rsid w:val="0099042A"/>
    <w:rsid w:val="00990598"/>
    <w:rsid w:val="0099069C"/>
    <w:rsid w:val="009906A9"/>
    <w:rsid w:val="009906BB"/>
    <w:rsid w:val="0099076F"/>
    <w:rsid w:val="009907C0"/>
    <w:rsid w:val="0099096B"/>
    <w:rsid w:val="00990B9F"/>
    <w:rsid w:val="00990C5F"/>
    <w:rsid w:val="00990CE2"/>
    <w:rsid w:val="00991180"/>
    <w:rsid w:val="0099169D"/>
    <w:rsid w:val="009916B9"/>
    <w:rsid w:val="00991752"/>
    <w:rsid w:val="00991794"/>
    <w:rsid w:val="009917E5"/>
    <w:rsid w:val="00991809"/>
    <w:rsid w:val="009918A0"/>
    <w:rsid w:val="009918BE"/>
    <w:rsid w:val="00991956"/>
    <w:rsid w:val="00991A5A"/>
    <w:rsid w:val="00991CAE"/>
    <w:rsid w:val="00991F8B"/>
    <w:rsid w:val="0099210F"/>
    <w:rsid w:val="00992183"/>
    <w:rsid w:val="00992218"/>
    <w:rsid w:val="009923CE"/>
    <w:rsid w:val="00992491"/>
    <w:rsid w:val="009924A0"/>
    <w:rsid w:val="009926B4"/>
    <w:rsid w:val="0099273C"/>
    <w:rsid w:val="00992A08"/>
    <w:rsid w:val="00992B78"/>
    <w:rsid w:val="00992BAA"/>
    <w:rsid w:val="00992D1A"/>
    <w:rsid w:val="00992E95"/>
    <w:rsid w:val="009930E1"/>
    <w:rsid w:val="0099311D"/>
    <w:rsid w:val="009931E2"/>
    <w:rsid w:val="00993223"/>
    <w:rsid w:val="0099327E"/>
    <w:rsid w:val="0099328D"/>
    <w:rsid w:val="009933B6"/>
    <w:rsid w:val="009933E9"/>
    <w:rsid w:val="00993436"/>
    <w:rsid w:val="0099343C"/>
    <w:rsid w:val="009934E8"/>
    <w:rsid w:val="0099352B"/>
    <w:rsid w:val="00993535"/>
    <w:rsid w:val="00993845"/>
    <w:rsid w:val="00993921"/>
    <w:rsid w:val="00993966"/>
    <w:rsid w:val="009939A4"/>
    <w:rsid w:val="009939F9"/>
    <w:rsid w:val="00993A7B"/>
    <w:rsid w:val="00993C84"/>
    <w:rsid w:val="00993D5B"/>
    <w:rsid w:val="00993D8A"/>
    <w:rsid w:val="00993FC5"/>
    <w:rsid w:val="0099416D"/>
    <w:rsid w:val="00994364"/>
    <w:rsid w:val="00994587"/>
    <w:rsid w:val="0099463E"/>
    <w:rsid w:val="00994743"/>
    <w:rsid w:val="00994789"/>
    <w:rsid w:val="009948F1"/>
    <w:rsid w:val="00994997"/>
    <w:rsid w:val="00994AC7"/>
    <w:rsid w:val="00994C43"/>
    <w:rsid w:val="00994CD5"/>
    <w:rsid w:val="00994FA3"/>
    <w:rsid w:val="00994FA7"/>
    <w:rsid w:val="00994FD3"/>
    <w:rsid w:val="009950CC"/>
    <w:rsid w:val="00995125"/>
    <w:rsid w:val="0099539B"/>
    <w:rsid w:val="009953DA"/>
    <w:rsid w:val="00995469"/>
    <w:rsid w:val="009954FB"/>
    <w:rsid w:val="0099556E"/>
    <w:rsid w:val="0099558D"/>
    <w:rsid w:val="009956F8"/>
    <w:rsid w:val="00995801"/>
    <w:rsid w:val="009958F4"/>
    <w:rsid w:val="0099591A"/>
    <w:rsid w:val="009959D1"/>
    <w:rsid w:val="00995ABB"/>
    <w:rsid w:val="00995B3B"/>
    <w:rsid w:val="00995F7A"/>
    <w:rsid w:val="00996200"/>
    <w:rsid w:val="009964B8"/>
    <w:rsid w:val="009964D4"/>
    <w:rsid w:val="0099659D"/>
    <w:rsid w:val="0099673D"/>
    <w:rsid w:val="0099680A"/>
    <w:rsid w:val="009968A5"/>
    <w:rsid w:val="009968B9"/>
    <w:rsid w:val="00996AE5"/>
    <w:rsid w:val="00996B6A"/>
    <w:rsid w:val="00996D10"/>
    <w:rsid w:val="00996E9D"/>
    <w:rsid w:val="00996F02"/>
    <w:rsid w:val="00996F05"/>
    <w:rsid w:val="00996FD3"/>
    <w:rsid w:val="00996FD4"/>
    <w:rsid w:val="00997024"/>
    <w:rsid w:val="009970B9"/>
    <w:rsid w:val="0099719A"/>
    <w:rsid w:val="00997358"/>
    <w:rsid w:val="00997366"/>
    <w:rsid w:val="009973FF"/>
    <w:rsid w:val="0099740B"/>
    <w:rsid w:val="009974D5"/>
    <w:rsid w:val="00997578"/>
    <w:rsid w:val="009975A1"/>
    <w:rsid w:val="009979B8"/>
    <w:rsid w:val="00997A04"/>
    <w:rsid w:val="00997A2B"/>
    <w:rsid w:val="00997CA7"/>
    <w:rsid w:val="00997D18"/>
    <w:rsid w:val="00997FBA"/>
    <w:rsid w:val="009A00CB"/>
    <w:rsid w:val="009A0393"/>
    <w:rsid w:val="009A040A"/>
    <w:rsid w:val="009A04BB"/>
    <w:rsid w:val="009A05F4"/>
    <w:rsid w:val="009A073F"/>
    <w:rsid w:val="009A074D"/>
    <w:rsid w:val="009A0ADB"/>
    <w:rsid w:val="009A0B97"/>
    <w:rsid w:val="009A0E41"/>
    <w:rsid w:val="009A0EB5"/>
    <w:rsid w:val="009A0F2F"/>
    <w:rsid w:val="009A0F8E"/>
    <w:rsid w:val="009A0FDF"/>
    <w:rsid w:val="009A1048"/>
    <w:rsid w:val="009A10E3"/>
    <w:rsid w:val="009A113C"/>
    <w:rsid w:val="009A1217"/>
    <w:rsid w:val="009A12CE"/>
    <w:rsid w:val="009A12F7"/>
    <w:rsid w:val="009A140E"/>
    <w:rsid w:val="009A1692"/>
    <w:rsid w:val="009A1836"/>
    <w:rsid w:val="009A1894"/>
    <w:rsid w:val="009A18AE"/>
    <w:rsid w:val="009A19B8"/>
    <w:rsid w:val="009A1A0D"/>
    <w:rsid w:val="009A1A19"/>
    <w:rsid w:val="009A1A9F"/>
    <w:rsid w:val="009A1C41"/>
    <w:rsid w:val="009A1D43"/>
    <w:rsid w:val="009A1F63"/>
    <w:rsid w:val="009A1F89"/>
    <w:rsid w:val="009A1F95"/>
    <w:rsid w:val="009A209F"/>
    <w:rsid w:val="009A217E"/>
    <w:rsid w:val="009A21B1"/>
    <w:rsid w:val="009A228D"/>
    <w:rsid w:val="009A22EF"/>
    <w:rsid w:val="009A2310"/>
    <w:rsid w:val="009A246B"/>
    <w:rsid w:val="009A2588"/>
    <w:rsid w:val="009A27FD"/>
    <w:rsid w:val="009A2800"/>
    <w:rsid w:val="009A28B3"/>
    <w:rsid w:val="009A2BE9"/>
    <w:rsid w:val="009A2D53"/>
    <w:rsid w:val="009A2DAF"/>
    <w:rsid w:val="009A301D"/>
    <w:rsid w:val="009A31A7"/>
    <w:rsid w:val="009A326A"/>
    <w:rsid w:val="009A3383"/>
    <w:rsid w:val="009A33B0"/>
    <w:rsid w:val="009A3495"/>
    <w:rsid w:val="009A3533"/>
    <w:rsid w:val="009A358C"/>
    <w:rsid w:val="009A35F7"/>
    <w:rsid w:val="009A3721"/>
    <w:rsid w:val="009A39D9"/>
    <w:rsid w:val="009A39F1"/>
    <w:rsid w:val="009A3A4B"/>
    <w:rsid w:val="009A3A6E"/>
    <w:rsid w:val="009A3AE8"/>
    <w:rsid w:val="009A3CBD"/>
    <w:rsid w:val="009A3D22"/>
    <w:rsid w:val="009A3D4B"/>
    <w:rsid w:val="009A3F71"/>
    <w:rsid w:val="009A3F80"/>
    <w:rsid w:val="009A3FD1"/>
    <w:rsid w:val="009A3FFE"/>
    <w:rsid w:val="009A40ED"/>
    <w:rsid w:val="009A41C7"/>
    <w:rsid w:val="009A4258"/>
    <w:rsid w:val="009A426A"/>
    <w:rsid w:val="009A4305"/>
    <w:rsid w:val="009A434B"/>
    <w:rsid w:val="009A443B"/>
    <w:rsid w:val="009A45E0"/>
    <w:rsid w:val="009A4755"/>
    <w:rsid w:val="009A498F"/>
    <w:rsid w:val="009A4B38"/>
    <w:rsid w:val="009A4B68"/>
    <w:rsid w:val="009A4C23"/>
    <w:rsid w:val="009A4C6C"/>
    <w:rsid w:val="009A4CFC"/>
    <w:rsid w:val="009A5157"/>
    <w:rsid w:val="009A5289"/>
    <w:rsid w:val="009A5304"/>
    <w:rsid w:val="009A53C1"/>
    <w:rsid w:val="009A547B"/>
    <w:rsid w:val="009A55C7"/>
    <w:rsid w:val="009A56C3"/>
    <w:rsid w:val="009A5810"/>
    <w:rsid w:val="009A5B7F"/>
    <w:rsid w:val="009A5BC1"/>
    <w:rsid w:val="009A5C09"/>
    <w:rsid w:val="009A5D4A"/>
    <w:rsid w:val="009A6080"/>
    <w:rsid w:val="009A6388"/>
    <w:rsid w:val="009A63D9"/>
    <w:rsid w:val="009A6603"/>
    <w:rsid w:val="009A6694"/>
    <w:rsid w:val="009A66D3"/>
    <w:rsid w:val="009A6814"/>
    <w:rsid w:val="009A696D"/>
    <w:rsid w:val="009A69F1"/>
    <w:rsid w:val="009A6B57"/>
    <w:rsid w:val="009A6CD7"/>
    <w:rsid w:val="009A7009"/>
    <w:rsid w:val="009A7034"/>
    <w:rsid w:val="009A7121"/>
    <w:rsid w:val="009A7302"/>
    <w:rsid w:val="009A733B"/>
    <w:rsid w:val="009A7448"/>
    <w:rsid w:val="009A7501"/>
    <w:rsid w:val="009A780C"/>
    <w:rsid w:val="009A782A"/>
    <w:rsid w:val="009A7ABB"/>
    <w:rsid w:val="009A7ABC"/>
    <w:rsid w:val="009A7B11"/>
    <w:rsid w:val="009A7E54"/>
    <w:rsid w:val="009A7E66"/>
    <w:rsid w:val="009A7EF6"/>
    <w:rsid w:val="009B0006"/>
    <w:rsid w:val="009B00BF"/>
    <w:rsid w:val="009B01C7"/>
    <w:rsid w:val="009B0364"/>
    <w:rsid w:val="009B0437"/>
    <w:rsid w:val="009B0588"/>
    <w:rsid w:val="009B06EA"/>
    <w:rsid w:val="009B09D9"/>
    <w:rsid w:val="009B0A75"/>
    <w:rsid w:val="009B0DD8"/>
    <w:rsid w:val="009B0EBE"/>
    <w:rsid w:val="009B0F1D"/>
    <w:rsid w:val="009B102A"/>
    <w:rsid w:val="009B1055"/>
    <w:rsid w:val="009B105B"/>
    <w:rsid w:val="009B10AF"/>
    <w:rsid w:val="009B11D9"/>
    <w:rsid w:val="009B1320"/>
    <w:rsid w:val="009B136A"/>
    <w:rsid w:val="009B13B3"/>
    <w:rsid w:val="009B141D"/>
    <w:rsid w:val="009B141F"/>
    <w:rsid w:val="009B14B2"/>
    <w:rsid w:val="009B14B9"/>
    <w:rsid w:val="009B14E8"/>
    <w:rsid w:val="009B157E"/>
    <w:rsid w:val="009B15C7"/>
    <w:rsid w:val="009B15DB"/>
    <w:rsid w:val="009B161A"/>
    <w:rsid w:val="009B1939"/>
    <w:rsid w:val="009B1B1F"/>
    <w:rsid w:val="009B1C42"/>
    <w:rsid w:val="009B1C80"/>
    <w:rsid w:val="009B1DC2"/>
    <w:rsid w:val="009B1E02"/>
    <w:rsid w:val="009B1E2F"/>
    <w:rsid w:val="009B1E9B"/>
    <w:rsid w:val="009B1EB1"/>
    <w:rsid w:val="009B1FC0"/>
    <w:rsid w:val="009B2081"/>
    <w:rsid w:val="009B20E4"/>
    <w:rsid w:val="009B221A"/>
    <w:rsid w:val="009B2286"/>
    <w:rsid w:val="009B2397"/>
    <w:rsid w:val="009B264F"/>
    <w:rsid w:val="009B2849"/>
    <w:rsid w:val="009B28CE"/>
    <w:rsid w:val="009B2A8E"/>
    <w:rsid w:val="009B2B6B"/>
    <w:rsid w:val="009B2C35"/>
    <w:rsid w:val="009B2C74"/>
    <w:rsid w:val="009B2C82"/>
    <w:rsid w:val="009B2D8D"/>
    <w:rsid w:val="009B2F67"/>
    <w:rsid w:val="009B2FE8"/>
    <w:rsid w:val="009B303D"/>
    <w:rsid w:val="009B32B1"/>
    <w:rsid w:val="009B33BD"/>
    <w:rsid w:val="009B3570"/>
    <w:rsid w:val="009B3706"/>
    <w:rsid w:val="009B3714"/>
    <w:rsid w:val="009B379E"/>
    <w:rsid w:val="009B38D2"/>
    <w:rsid w:val="009B38E5"/>
    <w:rsid w:val="009B3936"/>
    <w:rsid w:val="009B3965"/>
    <w:rsid w:val="009B3A41"/>
    <w:rsid w:val="009B3AD5"/>
    <w:rsid w:val="009B3E5A"/>
    <w:rsid w:val="009B41F3"/>
    <w:rsid w:val="009B4266"/>
    <w:rsid w:val="009B42FA"/>
    <w:rsid w:val="009B432E"/>
    <w:rsid w:val="009B4427"/>
    <w:rsid w:val="009B44B6"/>
    <w:rsid w:val="009B4568"/>
    <w:rsid w:val="009B4714"/>
    <w:rsid w:val="009B4A39"/>
    <w:rsid w:val="009B4A4D"/>
    <w:rsid w:val="009B4A60"/>
    <w:rsid w:val="009B4B0B"/>
    <w:rsid w:val="009B4B9F"/>
    <w:rsid w:val="009B4E85"/>
    <w:rsid w:val="009B4FC2"/>
    <w:rsid w:val="009B4FD0"/>
    <w:rsid w:val="009B50C7"/>
    <w:rsid w:val="009B5180"/>
    <w:rsid w:val="009B51B1"/>
    <w:rsid w:val="009B528A"/>
    <w:rsid w:val="009B53A3"/>
    <w:rsid w:val="009B54CB"/>
    <w:rsid w:val="009B5546"/>
    <w:rsid w:val="009B56D3"/>
    <w:rsid w:val="009B5705"/>
    <w:rsid w:val="009B5908"/>
    <w:rsid w:val="009B5997"/>
    <w:rsid w:val="009B5BD3"/>
    <w:rsid w:val="009B5E5D"/>
    <w:rsid w:val="009B5FD7"/>
    <w:rsid w:val="009B61DB"/>
    <w:rsid w:val="009B6200"/>
    <w:rsid w:val="009B6241"/>
    <w:rsid w:val="009B6256"/>
    <w:rsid w:val="009B647A"/>
    <w:rsid w:val="009B64BB"/>
    <w:rsid w:val="009B66E0"/>
    <w:rsid w:val="009B67B4"/>
    <w:rsid w:val="009B698D"/>
    <w:rsid w:val="009B6A3E"/>
    <w:rsid w:val="009B6A86"/>
    <w:rsid w:val="009B6CAE"/>
    <w:rsid w:val="009B6CC8"/>
    <w:rsid w:val="009B72B7"/>
    <w:rsid w:val="009B7330"/>
    <w:rsid w:val="009B7431"/>
    <w:rsid w:val="009B76A2"/>
    <w:rsid w:val="009B771E"/>
    <w:rsid w:val="009B792B"/>
    <w:rsid w:val="009B79F6"/>
    <w:rsid w:val="009B7ADF"/>
    <w:rsid w:val="009B7B0F"/>
    <w:rsid w:val="009B7C18"/>
    <w:rsid w:val="009B7C30"/>
    <w:rsid w:val="009B7C51"/>
    <w:rsid w:val="009B7E69"/>
    <w:rsid w:val="009B7F61"/>
    <w:rsid w:val="009C01D3"/>
    <w:rsid w:val="009C0236"/>
    <w:rsid w:val="009C02F9"/>
    <w:rsid w:val="009C03BB"/>
    <w:rsid w:val="009C03C1"/>
    <w:rsid w:val="009C0417"/>
    <w:rsid w:val="009C04BD"/>
    <w:rsid w:val="009C07DF"/>
    <w:rsid w:val="009C0B8C"/>
    <w:rsid w:val="009C0C8A"/>
    <w:rsid w:val="009C0CF5"/>
    <w:rsid w:val="009C0D5B"/>
    <w:rsid w:val="009C0FC2"/>
    <w:rsid w:val="009C10B6"/>
    <w:rsid w:val="009C10EF"/>
    <w:rsid w:val="009C1130"/>
    <w:rsid w:val="009C117F"/>
    <w:rsid w:val="009C11AB"/>
    <w:rsid w:val="009C1230"/>
    <w:rsid w:val="009C127A"/>
    <w:rsid w:val="009C133E"/>
    <w:rsid w:val="009C13DE"/>
    <w:rsid w:val="009C15FA"/>
    <w:rsid w:val="009C162C"/>
    <w:rsid w:val="009C181A"/>
    <w:rsid w:val="009C186D"/>
    <w:rsid w:val="009C1A24"/>
    <w:rsid w:val="009C1BBB"/>
    <w:rsid w:val="009C1E4D"/>
    <w:rsid w:val="009C20CB"/>
    <w:rsid w:val="009C212D"/>
    <w:rsid w:val="009C21F9"/>
    <w:rsid w:val="009C2245"/>
    <w:rsid w:val="009C2301"/>
    <w:rsid w:val="009C23BD"/>
    <w:rsid w:val="009C25C7"/>
    <w:rsid w:val="009C2622"/>
    <w:rsid w:val="009C2AAD"/>
    <w:rsid w:val="009C2AE5"/>
    <w:rsid w:val="009C2C0A"/>
    <w:rsid w:val="009C2C3D"/>
    <w:rsid w:val="009C2D84"/>
    <w:rsid w:val="009C2DDA"/>
    <w:rsid w:val="009C3283"/>
    <w:rsid w:val="009C32A0"/>
    <w:rsid w:val="009C32EA"/>
    <w:rsid w:val="009C330E"/>
    <w:rsid w:val="009C3338"/>
    <w:rsid w:val="009C3789"/>
    <w:rsid w:val="009C3A80"/>
    <w:rsid w:val="009C3C68"/>
    <w:rsid w:val="009C3C8B"/>
    <w:rsid w:val="009C3E14"/>
    <w:rsid w:val="009C3E88"/>
    <w:rsid w:val="009C3EB4"/>
    <w:rsid w:val="009C3FBE"/>
    <w:rsid w:val="009C3FEA"/>
    <w:rsid w:val="009C3FED"/>
    <w:rsid w:val="009C40FB"/>
    <w:rsid w:val="009C4240"/>
    <w:rsid w:val="009C46C6"/>
    <w:rsid w:val="009C47A1"/>
    <w:rsid w:val="009C47DB"/>
    <w:rsid w:val="009C4949"/>
    <w:rsid w:val="009C49DD"/>
    <w:rsid w:val="009C4AA5"/>
    <w:rsid w:val="009C4AE1"/>
    <w:rsid w:val="009C4C9E"/>
    <w:rsid w:val="009C4CBC"/>
    <w:rsid w:val="009C4CE1"/>
    <w:rsid w:val="009C4DA9"/>
    <w:rsid w:val="009C4F2D"/>
    <w:rsid w:val="009C4FAD"/>
    <w:rsid w:val="009C5043"/>
    <w:rsid w:val="009C509E"/>
    <w:rsid w:val="009C50E1"/>
    <w:rsid w:val="009C5188"/>
    <w:rsid w:val="009C5408"/>
    <w:rsid w:val="009C544E"/>
    <w:rsid w:val="009C596E"/>
    <w:rsid w:val="009C5ABD"/>
    <w:rsid w:val="009C5AF8"/>
    <w:rsid w:val="009C5B28"/>
    <w:rsid w:val="009C5B62"/>
    <w:rsid w:val="009C5BD9"/>
    <w:rsid w:val="009C5C9A"/>
    <w:rsid w:val="009C5E44"/>
    <w:rsid w:val="009C5FD2"/>
    <w:rsid w:val="009C60C6"/>
    <w:rsid w:val="009C61A4"/>
    <w:rsid w:val="009C62D4"/>
    <w:rsid w:val="009C634D"/>
    <w:rsid w:val="009C6559"/>
    <w:rsid w:val="009C6705"/>
    <w:rsid w:val="009C6736"/>
    <w:rsid w:val="009C6754"/>
    <w:rsid w:val="009C67D4"/>
    <w:rsid w:val="009C67DB"/>
    <w:rsid w:val="009C67E4"/>
    <w:rsid w:val="009C68E6"/>
    <w:rsid w:val="009C6B1F"/>
    <w:rsid w:val="009C6BE2"/>
    <w:rsid w:val="009C6CEC"/>
    <w:rsid w:val="009C6FA5"/>
    <w:rsid w:val="009C6FFD"/>
    <w:rsid w:val="009C717B"/>
    <w:rsid w:val="009C736A"/>
    <w:rsid w:val="009C738C"/>
    <w:rsid w:val="009C7700"/>
    <w:rsid w:val="009C777F"/>
    <w:rsid w:val="009C7796"/>
    <w:rsid w:val="009C779C"/>
    <w:rsid w:val="009C78B6"/>
    <w:rsid w:val="009C7922"/>
    <w:rsid w:val="009C7A9F"/>
    <w:rsid w:val="009C7AF5"/>
    <w:rsid w:val="009C7B3D"/>
    <w:rsid w:val="009C7DE2"/>
    <w:rsid w:val="009C7E1C"/>
    <w:rsid w:val="009C7E89"/>
    <w:rsid w:val="009C7FBF"/>
    <w:rsid w:val="009D00F1"/>
    <w:rsid w:val="009D00F4"/>
    <w:rsid w:val="009D019B"/>
    <w:rsid w:val="009D03D4"/>
    <w:rsid w:val="009D04F7"/>
    <w:rsid w:val="009D0551"/>
    <w:rsid w:val="009D061D"/>
    <w:rsid w:val="009D07E9"/>
    <w:rsid w:val="009D0A45"/>
    <w:rsid w:val="009D0A46"/>
    <w:rsid w:val="009D0A60"/>
    <w:rsid w:val="009D0BFE"/>
    <w:rsid w:val="009D0C23"/>
    <w:rsid w:val="009D0C29"/>
    <w:rsid w:val="009D0C4D"/>
    <w:rsid w:val="009D0D96"/>
    <w:rsid w:val="009D0DC1"/>
    <w:rsid w:val="009D0DCC"/>
    <w:rsid w:val="009D0E0B"/>
    <w:rsid w:val="009D0E68"/>
    <w:rsid w:val="009D1086"/>
    <w:rsid w:val="009D11CA"/>
    <w:rsid w:val="009D145F"/>
    <w:rsid w:val="009D1493"/>
    <w:rsid w:val="009D14F9"/>
    <w:rsid w:val="009D15B2"/>
    <w:rsid w:val="009D1697"/>
    <w:rsid w:val="009D1823"/>
    <w:rsid w:val="009D1856"/>
    <w:rsid w:val="009D18F1"/>
    <w:rsid w:val="009D1BBD"/>
    <w:rsid w:val="009D1C3D"/>
    <w:rsid w:val="009D1D4B"/>
    <w:rsid w:val="009D1D88"/>
    <w:rsid w:val="009D2043"/>
    <w:rsid w:val="009D2071"/>
    <w:rsid w:val="009D21F0"/>
    <w:rsid w:val="009D2336"/>
    <w:rsid w:val="009D25B4"/>
    <w:rsid w:val="009D25DD"/>
    <w:rsid w:val="009D2607"/>
    <w:rsid w:val="009D2674"/>
    <w:rsid w:val="009D26CB"/>
    <w:rsid w:val="009D2811"/>
    <w:rsid w:val="009D2817"/>
    <w:rsid w:val="009D2B09"/>
    <w:rsid w:val="009D2B80"/>
    <w:rsid w:val="009D2CC7"/>
    <w:rsid w:val="009D2D95"/>
    <w:rsid w:val="009D2ED8"/>
    <w:rsid w:val="009D301F"/>
    <w:rsid w:val="009D310E"/>
    <w:rsid w:val="009D3225"/>
    <w:rsid w:val="009D32A7"/>
    <w:rsid w:val="009D338E"/>
    <w:rsid w:val="009D340E"/>
    <w:rsid w:val="009D34B2"/>
    <w:rsid w:val="009D34EC"/>
    <w:rsid w:val="009D363B"/>
    <w:rsid w:val="009D378B"/>
    <w:rsid w:val="009D37F4"/>
    <w:rsid w:val="009D38C5"/>
    <w:rsid w:val="009D390F"/>
    <w:rsid w:val="009D392E"/>
    <w:rsid w:val="009D3B32"/>
    <w:rsid w:val="009D3D0A"/>
    <w:rsid w:val="009D3D15"/>
    <w:rsid w:val="009D3D8B"/>
    <w:rsid w:val="009D3DAC"/>
    <w:rsid w:val="009D4122"/>
    <w:rsid w:val="009D4247"/>
    <w:rsid w:val="009D44A3"/>
    <w:rsid w:val="009D4506"/>
    <w:rsid w:val="009D454B"/>
    <w:rsid w:val="009D4890"/>
    <w:rsid w:val="009D498E"/>
    <w:rsid w:val="009D4A0A"/>
    <w:rsid w:val="009D4B02"/>
    <w:rsid w:val="009D502F"/>
    <w:rsid w:val="009D5285"/>
    <w:rsid w:val="009D52C4"/>
    <w:rsid w:val="009D5364"/>
    <w:rsid w:val="009D543C"/>
    <w:rsid w:val="009D5538"/>
    <w:rsid w:val="009D559F"/>
    <w:rsid w:val="009D55D6"/>
    <w:rsid w:val="009D565A"/>
    <w:rsid w:val="009D58E9"/>
    <w:rsid w:val="009D5A7B"/>
    <w:rsid w:val="009D5E6C"/>
    <w:rsid w:val="009D5EFF"/>
    <w:rsid w:val="009D6076"/>
    <w:rsid w:val="009D61C9"/>
    <w:rsid w:val="009D62F2"/>
    <w:rsid w:val="009D6318"/>
    <w:rsid w:val="009D635A"/>
    <w:rsid w:val="009D646E"/>
    <w:rsid w:val="009D6665"/>
    <w:rsid w:val="009D6740"/>
    <w:rsid w:val="009D68B2"/>
    <w:rsid w:val="009D6A0D"/>
    <w:rsid w:val="009D6A55"/>
    <w:rsid w:val="009D6AB6"/>
    <w:rsid w:val="009D6B4D"/>
    <w:rsid w:val="009D6C55"/>
    <w:rsid w:val="009D6D0A"/>
    <w:rsid w:val="009D6F07"/>
    <w:rsid w:val="009D7199"/>
    <w:rsid w:val="009D71DF"/>
    <w:rsid w:val="009D725A"/>
    <w:rsid w:val="009D729F"/>
    <w:rsid w:val="009D756E"/>
    <w:rsid w:val="009D76B5"/>
    <w:rsid w:val="009D7702"/>
    <w:rsid w:val="009D7A4D"/>
    <w:rsid w:val="009D7A55"/>
    <w:rsid w:val="009D7D37"/>
    <w:rsid w:val="009D7D63"/>
    <w:rsid w:val="009D7FC6"/>
    <w:rsid w:val="009D7FE8"/>
    <w:rsid w:val="009E00AF"/>
    <w:rsid w:val="009E00CE"/>
    <w:rsid w:val="009E0106"/>
    <w:rsid w:val="009E0134"/>
    <w:rsid w:val="009E02E0"/>
    <w:rsid w:val="009E02F7"/>
    <w:rsid w:val="009E0332"/>
    <w:rsid w:val="009E034B"/>
    <w:rsid w:val="009E03C6"/>
    <w:rsid w:val="009E040A"/>
    <w:rsid w:val="009E041E"/>
    <w:rsid w:val="009E04F2"/>
    <w:rsid w:val="009E0517"/>
    <w:rsid w:val="009E05F8"/>
    <w:rsid w:val="009E063F"/>
    <w:rsid w:val="009E07E4"/>
    <w:rsid w:val="009E0801"/>
    <w:rsid w:val="009E0818"/>
    <w:rsid w:val="009E085E"/>
    <w:rsid w:val="009E089D"/>
    <w:rsid w:val="009E0961"/>
    <w:rsid w:val="009E09C1"/>
    <w:rsid w:val="009E0AC4"/>
    <w:rsid w:val="009E0DD4"/>
    <w:rsid w:val="009E11E9"/>
    <w:rsid w:val="009E13CC"/>
    <w:rsid w:val="009E13D9"/>
    <w:rsid w:val="009E1542"/>
    <w:rsid w:val="009E1563"/>
    <w:rsid w:val="009E15F6"/>
    <w:rsid w:val="009E17C8"/>
    <w:rsid w:val="009E1932"/>
    <w:rsid w:val="009E19AD"/>
    <w:rsid w:val="009E19AF"/>
    <w:rsid w:val="009E1A0E"/>
    <w:rsid w:val="009E1A7C"/>
    <w:rsid w:val="009E1BED"/>
    <w:rsid w:val="009E1C5F"/>
    <w:rsid w:val="009E1FB9"/>
    <w:rsid w:val="009E2042"/>
    <w:rsid w:val="009E20EE"/>
    <w:rsid w:val="009E218A"/>
    <w:rsid w:val="009E2291"/>
    <w:rsid w:val="009E22D1"/>
    <w:rsid w:val="009E239C"/>
    <w:rsid w:val="009E25A0"/>
    <w:rsid w:val="009E261E"/>
    <w:rsid w:val="009E26B2"/>
    <w:rsid w:val="009E27DC"/>
    <w:rsid w:val="009E298F"/>
    <w:rsid w:val="009E2E29"/>
    <w:rsid w:val="009E2F1F"/>
    <w:rsid w:val="009E3119"/>
    <w:rsid w:val="009E32A7"/>
    <w:rsid w:val="009E32E5"/>
    <w:rsid w:val="009E331F"/>
    <w:rsid w:val="009E3328"/>
    <w:rsid w:val="009E33F1"/>
    <w:rsid w:val="009E3487"/>
    <w:rsid w:val="009E34A7"/>
    <w:rsid w:val="009E35E1"/>
    <w:rsid w:val="009E3656"/>
    <w:rsid w:val="009E37CC"/>
    <w:rsid w:val="009E3949"/>
    <w:rsid w:val="009E39B5"/>
    <w:rsid w:val="009E3A2A"/>
    <w:rsid w:val="009E3B9D"/>
    <w:rsid w:val="009E3C71"/>
    <w:rsid w:val="009E3D89"/>
    <w:rsid w:val="009E3E38"/>
    <w:rsid w:val="009E3F38"/>
    <w:rsid w:val="009E3F8A"/>
    <w:rsid w:val="009E3FA7"/>
    <w:rsid w:val="009E407D"/>
    <w:rsid w:val="009E41CB"/>
    <w:rsid w:val="009E4226"/>
    <w:rsid w:val="009E4279"/>
    <w:rsid w:val="009E4282"/>
    <w:rsid w:val="009E4364"/>
    <w:rsid w:val="009E4544"/>
    <w:rsid w:val="009E45F1"/>
    <w:rsid w:val="009E4600"/>
    <w:rsid w:val="009E4813"/>
    <w:rsid w:val="009E4839"/>
    <w:rsid w:val="009E4A2C"/>
    <w:rsid w:val="009E4FB2"/>
    <w:rsid w:val="009E5072"/>
    <w:rsid w:val="009E5190"/>
    <w:rsid w:val="009E51D8"/>
    <w:rsid w:val="009E52B1"/>
    <w:rsid w:val="009E52C0"/>
    <w:rsid w:val="009E542E"/>
    <w:rsid w:val="009E5487"/>
    <w:rsid w:val="009E55C8"/>
    <w:rsid w:val="009E570F"/>
    <w:rsid w:val="009E5918"/>
    <w:rsid w:val="009E59E1"/>
    <w:rsid w:val="009E5A16"/>
    <w:rsid w:val="009E5BF3"/>
    <w:rsid w:val="009E5D12"/>
    <w:rsid w:val="009E5FCB"/>
    <w:rsid w:val="009E6086"/>
    <w:rsid w:val="009E60CA"/>
    <w:rsid w:val="009E6160"/>
    <w:rsid w:val="009E6176"/>
    <w:rsid w:val="009E625F"/>
    <w:rsid w:val="009E630B"/>
    <w:rsid w:val="009E64D4"/>
    <w:rsid w:val="009E65D9"/>
    <w:rsid w:val="009E65FA"/>
    <w:rsid w:val="009E676C"/>
    <w:rsid w:val="009E6811"/>
    <w:rsid w:val="009E6832"/>
    <w:rsid w:val="009E690A"/>
    <w:rsid w:val="009E6D1B"/>
    <w:rsid w:val="009E6D91"/>
    <w:rsid w:val="009E6EF5"/>
    <w:rsid w:val="009E70A7"/>
    <w:rsid w:val="009E71B1"/>
    <w:rsid w:val="009E71DC"/>
    <w:rsid w:val="009E7397"/>
    <w:rsid w:val="009E74B1"/>
    <w:rsid w:val="009E75B1"/>
    <w:rsid w:val="009E7690"/>
    <w:rsid w:val="009E7A0A"/>
    <w:rsid w:val="009E7AA9"/>
    <w:rsid w:val="009E7BC9"/>
    <w:rsid w:val="009E7C65"/>
    <w:rsid w:val="009E7D0A"/>
    <w:rsid w:val="009E7F05"/>
    <w:rsid w:val="009E7F65"/>
    <w:rsid w:val="009F00C9"/>
    <w:rsid w:val="009F04F8"/>
    <w:rsid w:val="009F0592"/>
    <w:rsid w:val="009F0604"/>
    <w:rsid w:val="009F0618"/>
    <w:rsid w:val="009F06AB"/>
    <w:rsid w:val="009F082A"/>
    <w:rsid w:val="009F085C"/>
    <w:rsid w:val="009F0AF6"/>
    <w:rsid w:val="009F0BC4"/>
    <w:rsid w:val="009F0BEC"/>
    <w:rsid w:val="009F0E71"/>
    <w:rsid w:val="009F0F25"/>
    <w:rsid w:val="009F1012"/>
    <w:rsid w:val="009F10F6"/>
    <w:rsid w:val="009F122A"/>
    <w:rsid w:val="009F12C2"/>
    <w:rsid w:val="009F13E9"/>
    <w:rsid w:val="009F1769"/>
    <w:rsid w:val="009F17AF"/>
    <w:rsid w:val="009F1A2A"/>
    <w:rsid w:val="009F1B8F"/>
    <w:rsid w:val="009F1FEA"/>
    <w:rsid w:val="009F20D1"/>
    <w:rsid w:val="009F2121"/>
    <w:rsid w:val="009F2523"/>
    <w:rsid w:val="009F2793"/>
    <w:rsid w:val="009F27C1"/>
    <w:rsid w:val="009F28AF"/>
    <w:rsid w:val="009F2987"/>
    <w:rsid w:val="009F2A85"/>
    <w:rsid w:val="009F2B63"/>
    <w:rsid w:val="009F2B72"/>
    <w:rsid w:val="009F2C3F"/>
    <w:rsid w:val="009F2E97"/>
    <w:rsid w:val="009F3446"/>
    <w:rsid w:val="009F36D7"/>
    <w:rsid w:val="009F3765"/>
    <w:rsid w:val="009F37CE"/>
    <w:rsid w:val="009F3930"/>
    <w:rsid w:val="009F3967"/>
    <w:rsid w:val="009F3B5B"/>
    <w:rsid w:val="009F3C36"/>
    <w:rsid w:val="009F3C88"/>
    <w:rsid w:val="009F3CD4"/>
    <w:rsid w:val="009F3E02"/>
    <w:rsid w:val="009F402A"/>
    <w:rsid w:val="009F407B"/>
    <w:rsid w:val="009F4189"/>
    <w:rsid w:val="009F41CD"/>
    <w:rsid w:val="009F4285"/>
    <w:rsid w:val="009F42B0"/>
    <w:rsid w:val="009F42C4"/>
    <w:rsid w:val="009F44D1"/>
    <w:rsid w:val="009F44F2"/>
    <w:rsid w:val="009F454B"/>
    <w:rsid w:val="009F470A"/>
    <w:rsid w:val="009F4807"/>
    <w:rsid w:val="009F4861"/>
    <w:rsid w:val="009F4925"/>
    <w:rsid w:val="009F493B"/>
    <w:rsid w:val="009F4AFA"/>
    <w:rsid w:val="009F4BEF"/>
    <w:rsid w:val="009F4CF3"/>
    <w:rsid w:val="009F4F31"/>
    <w:rsid w:val="009F5018"/>
    <w:rsid w:val="009F5065"/>
    <w:rsid w:val="009F5311"/>
    <w:rsid w:val="009F5547"/>
    <w:rsid w:val="009F558E"/>
    <w:rsid w:val="009F55F3"/>
    <w:rsid w:val="009F55FE"/>
    <w:rsid w:val="009F56A8"/>
    <w:rsid w:val="009F5801"/>
    <w:rsid w:val="009F58DF"/>
    <w:rsid w:val="009F5A66"/>
    <w:rsid w:val="009F5CA6"/>
    <w:rsid w:val="009F5CDF"/>
    <w:rsid w:val="009F5DCC"/>
    <w:rsid w:val="009F5E3D"/>
    <w:rsid w:val="009F5E79"/>
    <w:rsid w:val="009F5F5D"/>
    <w:rsid w:val="009F5FE3"/>
    <w:rsid w:val="009F61C4"/>
    <w:rsid w:val="009F6325"/>
    <w:rsid w:val="009F63C4"/>
    <w:rsid w:val="009F63E4"/>
    <w:rsid w:val="009F656F"/>
    <w:rsid w:val="009F6629"/>
    <w:rsid w:val="009F662E"/>
    <w:rsid w:val="009F676F"/>
    <w:rsid w:val="009F67B9"/>
    <w:rsid w:val="009F6962"/>
    <w:rsid w:val="009F69F2"/>
    <w:rsid w:val="009F6A60"/>
    <w:rsid w:val="009F6CB9"/>
    <w:rsid w:val="009F6D55"/>
    <w:rsid w:val="009F6D8A"/>
    <w:rsid w:val="009F6F21"/>
    <w:rsid w:val="009F7084"/>
    <w:rsid w:val="009F70DC"/>
    <w:rsid w:val="009F7192"/>
    <w:rsid w:val="009F72EE"/>
    <w:rsid w:val="009F7320"/>
    <w:rsid w:val="009F741B"/>
    <w:rsid w:val="009F7422"/>
    <w:rsid w:val="009F750B"/>
    <w:rsid w:val="009F750C"/>
    <w:rsid w:val="009F7511"/>
    <w:rsid w:val="009F753E"/>
    <w:rsid w:val="009F7610"/>
    <w:rsid w:val="009F7804"/>
    <w:rsid w:val="009F7A02"/>
    <w:rsid w:val="009F7A78"/>
    <w:rsid w:val="009F7B3C"/>
    <w:rsid w:val="009F7B6A"/>
    <w:rsid w:val="009F7B76"/>
    <w:rsid w:val="009F7D8C"/>
    <w:rsid w:val="009F7F02"/>
    <w:rsid w:val="009F7F73"/>
    <w:rsid w:val="00A00224"/>
    <w:rsid w:val="00A00426"/>
    <w:rsid w:val="00A006D6"/>
    <w:rsid w:val="00A00739"/>
    <w:rsid w:val="00A007AD"/>
    <w:rsid w:val="00A00864"/>
    <w:rsid w:val="00A00B27"/>
    <w:rsid w:val="00A00B56"/>
    <w:rsid w:val="00A00C41"/>
    <w:rsid w:val="00A00C69"/>
    <w:rsid w:val="00A00DE6"/>
    <w:rsid w:val="00A011B6"/>
    <w:rsid w:val="00A01277"/>
    <w:rsid w:val="00A012F3"/>
    <w:rsid w:val="00A013F1"/>
    <w:rsid w:val="00A014BB"/>
    <w:rsid w:val="00A0150A"/>
    <w:rsid w:val="00A01527"/>
    <w:rsid w:val="00A0158C"/>
    <w:rsid w:val="00A016C3"/>
    <w:rsid w:val="00A017B4"/>
    <w:rsid w:val="00A0181B"/>
    <w:rsid w:val="00A018A5"/>
    <w:rsid w:val="00A019C9"/>
    <w:rsid w:val="00A01CD0"/>
    <w:rsid w:val="00A01E06"/>
    <w:rsid w:val="00A01E83"/>
    <w:rsid w:val="00A01E98"/>
    <w:rsid w:val="00A02077"/>
    <w:rsid w:val="00A0230A"/>
    <w:rsid w:val="00A0259F"/>
    <w:rsid w:val="00A028B9"/>
    <w:rsid w:val="00A0298F"/>
    <w:rsid w:val="00A02994"/>
    <w:rsid w:val="00A02A1B"/>
    <w:rsid w:val="00A02B2B"/>
    <w:rsid w:val="00A02B8C"/>
    <w:rsid w:val="00A02BCA"/>
    <w:rsid w:val="00A02CAB"/>
    <w:rsid w:val="00A02D38"/>
    <w:rsid w:val="00A02D3F"/>
    <w:rsid w:val="00A02E1A"/>
    <w:rsid w:val="00A0306E"/>
    <w:rsid w:val="00A030E0"/>
    <w:rsid w:val="00A03234"/>
    <w:rsid w:val="00A03498"/>
    <w:rsid w:val="00A034A9"/>
    <w:rsid w:val="00A034CF"/>
    <w:rsid w:val="00A03734"/>
    <w:rsid w:val="00A03792"/>
    <w:rsid w:val="00A0385E"/>
    <w:rsid w:val="00A038AD"/>
    <w:rsid w:val="00A038C9"/>
    <w:rsid w:val="00A0390B"/>
    <w:rsid w:val="00A039E5"/>
    <w:rsid w:val="00A03ACF"/>
    <w:rsid w:val="00A03AED"/>
    <w:rsid w:val="00A03B7C"/>
    <w:rsid w:val="00A03BBA"/>
    <w:rsid w:val="00A03C6A"/>
    <w:rsid w:val="00A03C7F"/>
    <w:rsid w:val="00A03D95"/>
    <w:rsid w:val="00A03DAA"/>
    <w:rsid w:val="00A03EB8"/>
    <w:rsid w:val="00A04019"/>
    <w:rsid w:val="00A040D3"/>
    <w:rsid w:val="00A04125"/>
    <w:rsid w:val="00A04232"/>
    <w:rsid w:val="00A0425B"/>
    <w:rsid w:val="00A04282"/>
    <w:rsid w:val="00A042D2"/>
    <w:rsid w:val="00A04375"/>
    <w:rsid w:val="00A04475"/>
    <w:rsid w:val="00A04572"/>
    <w:rsid w:val="00A0460C"/>
    <w:rsid w:val="00A0460D"/>
    <w:rsid w:val="00A0468E"/>
    <w:rsid w:val="00A046E1"/>
    <w:rsid w:val="00A04A9D"/>
    <w:rsid w:val="00A04AD1"/>
    <w:rsid w:val="00A04BAA"/>
    <w:rsid w:val="00A04D5A"/>
    <w:rsid w:val="00A04F19"/>
    <w:rsid w:val="00A05194"/>
    <w:rsid w:val="00A0534D"/>
    <w:rsid w:val="00A05352"/>
    <w:rsid w:val="00A05362"/>
    <w:rsid w:val="00A05391"/>
    <w:rsid w:val="00A0539E"/>
    <w:rsid w:val="00A054B3"/>
    <w:rsid w:val="00A05953"/>
    <w:rsid w:val="00A05A0B"/>
    <w:rsid w:val="00A05B99"/>
    <w:rsid w:val="00A05E19"/>
    <w:rsid w:val="00A05EA0"/>
    <w:rsid w:val="00A05F2F"/>
    <w:rsid w:val="00A06283"/>
    <w:rsid w:val="00A062D4"/>
    <w:rsid w:val="00A0630A"/>
    <w:rsid w:val="00A06366"/>
    <w:rsid w:val="00A0651F"/>
    <w:rsid w:val="00A06675"/>
    <w:rsid w:val="00A06751"/>
    <w:rsid w:val="00A06908"/>
    <w:rsid w:val="00A0693B"/>
    <w:rsid w:val="00A0698F"/>
    <w:rsid w:val="00A06AE1"/>
    <w:rsid w:val="00A06B9C"/>
    <w:rsid w:val="00A06BCB"/>
    <w:rsid w:val="00A06D53"/>
    <w:rsid w:val="00A06DBF"/>
    <w:rsid w:val="00A06E26"/>
    <w:rsid w:val="00A06EB3"/>
    <w:rsid w:val="00A07165"/>
    <w:rsid w:val="00A0728F"/>
    <w:rsid w:val="00A072DB"/>
    <w:rsid w:val="00A073D9"/>
    <w:rsid w:val="00A07418"/>
    <w:rsid w:val="00A07518"/>
    <w:rsid w:val="00A0752D"/>
    <w:rsid w:val="00A075C6"/>
    <w:rsid w:val="00A07605"/>
    <w:rsid w:val="00A0761C"/>
    <w:rsid w:val="00A07709"/>
    <w:rsid w:val="00A0789D"/>
    <w:rsid w:val="00A07985"/>
    <w:rsid w:val="00A07BD1"/>
    <w:rsid w:val="00A07DDD"/>
    <w:rsid w:val="00A07DF3"/>
    <w:rsid w:val="00A07E52"/>
    <w:rsid w:val="00A07E9C"/>
    <w:rsid w:val="00A10239"/>
    <w:rsid w:val="00A1035B"/>
    <w:rsid w:val="00A10445"/>
    <w:rsid w:val="00A10461"/>
    <w:rsid w:val="00A10801"/>
    <w:rsid w:val="00A10858"/>
    <w:rsid w:val="00A1088B"/>
    <w:rsid w:val="00A10965"/>
    <w:rsid w:val="00A10AFD"/>
    <w:rsid w:val="00A10C2F"/>
    <w:rsid w:val="00A10DEE"/>
    <w:rsid w:val="00A11065"/>
    <w:rsid w:val="00A1115A"/>
    <w:rsid w:val="00A111AE"/>
    <w:rsid w:val="00A1139A"/>
    <w:rsid w:val="00A1139E"/>
    <w:rsid w:val="00A1141B"/>
    <w:rsid w:val="00A114BF"/>
    <w:rsid w:val="00A1154F"/>
    <w:rsid w:val="00A115AA"/>
    <w:rsid w:val="00A11615"/>
    <w:rsid w:val="00A1166A"/>
    <w:rsid w:val="00A11691"/>
    <w:rsid w:val="00A116DD"/>
    <w:rsid w:val="00A118AE"/>
    <w:rsid w:val="00A11CCF"/>
    <w:rsid w:val="00A11D95"/>
    <w:rsid w:val="00A11E8A"/>
    <w:rsid w:val="00A1202E"/>
    <w:rsid w:val="00A12235"/>
    <w:rsid w:val="00A12246"/>
    <w:rsid w:val="00A122AB"/>
    <w:rsid w:val="00A123B9"/>
    <w:rsid w:val="00A124DE"/>
    <w:rsid w:val="00A124EE"/>
    <w:rsid w:val="00A124F0"/>
    <w:rsid w:val="00A12553"/>
    <w:rsid w:val="00A12627"/>
    <w:rsid w:val="00A12723"/>
    <w:rsid w:val="00A12772"/>
    <w:rsid w:val="00A12883"/>
    <w:rsid w:val="00A12943"/>
    <w:rsid w:val="00A12981"/>
    <w:rsid w:val="00A12B6D"/>
    <w:rsid w:val="00A12B8C"/>
    <w:rsid w:val="00A12BEC"/>
    <w:rsid w:val="00A12E1C"/>
    <w:rsid w:val="00A12ED6"/>
    <w:rsid w:val="00A12F0B"/>
    <w:rsid w:val="00A13222"/>
    <w:rsid w:val="00A1325C"/>
    <w:rsid w:val="00A132A7"/>
    <w:rsid w:val="00A13329"/>
    <w:rsid w:val="00A1334C"/>
    <w:rsid w:val="00A133A8"/>
    <w:rsid w:val="00A13419"/>
    <w:rsid w:val="00A136D6"/>
    <w:rsid w:val="00A136D7"/>
    <w:rsid w:val="00A136D8"/>
    <w:rsid w:val="00A13733"/>
    <w:rsid w:val="00A137B6"/>
    <w:rsid w:val="00A13955"/>
    <w:rsid w:val="00A1399F"/>
    <w:rsid w:val="00A139CA"/>
    <w:rsid w:val="00A13A86"/>
    <w:rsid w:val="00A13B2D"/>
    <w:rsid w:val="00A13C65"/>
    <w:rsid w:val="00A13CB9"/>
    <w:rsid w:val="00A13DA5"/>
    <w:rsid w:val="00A13DB1"/>
    <w:rsid w:val="00A13DFB"/>
    <w:rsid w:val="00A13F11"/>
    <w:rsid w:val="00A13F5D"/>
    <w:rsid w:val="00A13FEA"/>
    <w:rsid w:val="00A14089"/>
    <w:rsid w:val="00A1446F"/>
    <w:rsid w:val="00A145D2"/>
    <w:rsid w:val="00A145DD"/>
    <w:rsid w:val="00A14715"/>
    <w:rsid w:val="00A147AF"/>
    <w:rsid w:val="00A148B3"/>
    <w:rsid w:val="00A14A29"/>
    <w:rsid w:val="00A14AE5"/>
    <w:rsid w:val="00A14B19"/>
    <w:rsid w:val="00A14D79"/>
    <w:rsid w:val="00A14E6D"/>
    <w:rsid w:val="00A14FD0"/>
    <w:rsid w:val="00A1527B"/>
    <w:rsid w:val="00A1530A"/>
    <w:rsid w:val="00A1533D"/>
    <w:rsid w:val="00A153D3"/>
    <w:rsid w:val="00A15463"/>
    <w:rsid w:val="00A15564"/>
    <w:rsid w:val="00A1557B"/>
    <w:rsid w:val="00A15617"/>
    <w:rsid w:val="00A15642"/>
    <w:rsid w:val="00A156A2"/>
    <w:rsid w:val="00A156AC"/>
    <w:rsid w:val="00A156C1"/>
    <w:rsid w:val="00A1570D"/>
    <w:rsid w:val="00A15800"/>
    <w:rsid w:val="00A1593D"/>
    <w:rsid w:val="00A15A31"/>
    <w:rsid w:val="00A15BFE"/>
    <w:rsid w:val="00A15CAC"/>
    <w:rsid w:val="00A15E70"/>
    <w:rsid w:val="00A163B2"/>
    <w:rsid w:val="00A16426"/>
    <w:rsid w:val="00A1649E"/>
    <w:rsid w:val="00A1658A"/>
    <w:rsid w:val="00A16679"/>
    <w:rsid w:val="00A16690"/>
    <w:rsid w:val="00A1674E"/>
    <w:rsid w:val="00A1684B"/>
    <w:rsid w:val="00A168B2"/>
    <w:rsid w:val="00A169CC"/>
    <w:rsid w:val="00A16A89"/>
    <w:rsid w:val="00A16D58"/>
    <w:rsid w:val="00A16DFE"/>
    <w:rsid w:val="00A16E48"/>
    <w:rsid w:val="00A16F7B"/>
    <w:rsid w:val="00A1709D"/>
    <w:rsid w:val="00A17142"/>
    <w:rsid w:val="00A17164"/>
    <w:rsid w:val="00A175F2"/>
    <w:rsid w:val="00A1761A"/>
    <w:rsid w:val="00A176AA"/>
    <w:rsid w:val="00A176FB"/>
    <w:rsid w:val="00A17716"/>
    <w:rsid w:val="00A177B6"/>
    <w:rsid w:val="00A1789A"/>
    <w:rsid w:val="00A1797C"/>
    <w:rsid w:val="00A179A6"/>
    <w:rsid w:val="00A17A3D"/>
    <w:rsid w:val="00A17E4C"/>
    <w:rsid w:val="00A17F45"/>
    <w:rsid w:val="00A17F46"/>
    <w:rsid w:val="00A20011"/>
    <w:rsid w:val="00A2012F"/>
    <w:rsid w:val="00A201B6"/>
    <w:rsid w:val="00A201C2"/>
    <w:rsid w:val="00A201E1"/>
    <w:rsid w:val="00A20343"/>
    <w:rsid w:val="00A20419"/>
    <w:rsid w:val="00A204B4"/>
    <w:rsid w:val="00A20814"/>
    <w:rsid w:val="00A20898"/>
    <w:rsid w:val="00A20935"/>
    <w:rsid w:val="00A20936"/>
    <w:rsid w:val="00A20937"/>
    <w:rsid w:val="00A20AE3"/>
    <w:rsid w:val="00A20C44"/>
    <w:rsid w:val="00A20CF0"/>
    <w:rsid w:val="00A20EE2"/>
    <w:rsid w:val="00A20FE7"/>
    <w:rsid w:val="00A20FFA"/>
    <w:rsid w:val="00A2102D"/>
    <w:rsid w:val="00A210BE"/>
    <w:rsid w:val="00A210BF"/>
    <w:rsid w:val="00A21141"/>
    <w:rsid w:val="00A21249"/>
    <w:rsid w:val="00A21251"/>
    <w:rsid w:val="00A2125D"/>
    <w:rsid w:val="00A21785"/>
    <w:rsid w:val="00A21838"/>
    <w:rsid w:val="00A21887"/>
    <w:rsid w:val="00A218D8"/>
    <w:rsid w:val="00A2190B"/>
    <w:rsid w:val="00A2198F"/>
    <w:rsid w:val="00A219E8"/>
    <w:rsid w:val="00A21BFD"/>
    <w:rsid w:val="00A21C61"/>
    <w:rsid w:val="00A222CD"/>
    <w:rsid w:val="00A223B0"/>
    <w:rsid w:val="00A22461"/>
    <w:rsid w:val="00A22540"/>
    <w:rsid w:val="00A2267D"/>
    <w:rsid w:val="00A229AA"/>
    <w:rsid w:val="00A22B21"/>
    <w:rsid w:val="00A22C00"/>
    <w:rsid w:val="00A22C04"/>
    <w:rsid w:val="00A22C16"/>
    <w:rsid w:val="00A22CC5"/>
    <w:rsid w:val="00A22E0B"/>
    <w:rsid w:val="00A22E69"/>
    <w:rsid w:val="00A23210"/>
    <w:rsid w:val="00A23273"/>
    <w:rsid w:val="00A23448"/>
    <w:rsid w:val="00A2346E"/>
    <w:rsid w:val="00A235FF"/>
    <w:rsid w:val="00A23750"/>
    <w:rsid w:val="00A23767"/>
    <w:rsid w:val="00A23815"/>
    <w:rsid w:val="00A2387F"/>
    <w:rsid w:val="00A2399E"/>
    <w:rsid w:val="00A23A0A"/>
    <w:rsid w:val="00A23A83"/>
    <w:rsid w:val="00A23B60"/>
    <w:rsid w:val="00A23B8F"/>
    <w:rsid w:val="00A23BBC"/>
    <w:rsid w:val="00A23BE2"/>
    <w:rsid w:val="00A23CD7"/>
    <w:rsid w:val="00A23EF2"/>
    <w:rsid w:val="00A23F61"/>
    <w:rsid w:val="00A2402F"/>
    <w:rsid w:val="00A24085"/>
    <w:rsid w:val="00A240A5"/>
    <w:rsid w:val="00A2416A"/>
    <w:rsid w:val="00A2420C"/>
    <w:rsid w:val="00A24315"/>
    <w:rsid w:val="00A24349"/>
    <w:rsid w:val="00A2445D"/>
    <w:rsid w:val="00A24474"/>
    <w:rsid w:val="00A244AB"/>
    <w:rsid w:val="00A244E7"/>
    <w:rsid w:val="00A2455A"/>
    <w:rsid w:val="00A248B0"/>
    <w:rsid w:val="00A2496B"/>
    <w:rsid w:val="00A24A59"/>
    <w:rsid w:val="00A24B8D"/>
    <w:rsid w:val="00A24BAF"/>
    <w:rsid w:val="00A24BB0"/>
    <w:rsid w:val="00A24BE6"/>
    <w:rsid w:val="00A24C72"/>
    <w:rsid w:val="00A24DCF"/>
    <w:rsid w:val="00A24E25"/>
    <w:rsid w:val="00A24E50"/>
    <w:rsid w:val="00A24F99"/>
    <w:rsid w:val="00A24FB2"/>
    <w:rsid w:val="00A25001"/>
    <w:rsid w:val="00A25187"/>
    <w:rsid w:val="00A2524C"/>
    <w:rsid w:val="00A2542F"/>
    <w:rsid w:val="00A25672"/>
    <w:rsid w:val="00A2568E"/>
    <w:rsid w:val="00A25751"/>
    <w:rsid w:val="00A25806"/>
    <w:rsid w:val="00A25814"/>
    <w:rsid w:val="00A258CD"/>
    <w:rsid w:val="00A25909"/>
    <w:rsid w:val="00A2592C"/>
    <w:rsid w:val="00A259FA"/>
    <w:rsid w:val="00A25A87"/>
    <w:rsid w:val="00A25ACC"/>
    <w:rsid w:val="00A25C1E"/>
    <w:rsid w:val="00A25D7E"/>
    <w:rsid w:val="00A25EA2"/>
    <w:rsid w:val="00A25ECD"/>
    <w:rsid w:val="00A26129"/>
    <w:rsid w:val="00A261F7"/>
    <w:rsid w:val="00A26291"/>
    <w:rsid w:val="00A263AD"/>
    <w:rsid w:val="00A263B0"/>
    <w:rsid w:val="00A263CA"/>
    <w:rsid w:val="00A26548"/>
    <w:rsid w:val="00A2661B"/>
    <w:rsid w:val="00A267E0"/>
    <w:rsid w:val="00A268B5"/>
    <w:rsid w:val="00A26914"/>
    <w:rsid w:val="00A26A3F"/>
    <w:rsid w:val="00A26C08"/>
    <w:rsid w:val="00A26D4D"/>
    <w:rsid w:val="00A26F0E"/>
    <w:rsid w:val="00A26FEE"/>
    <w:rsid w:val="00A273CE"/>
    <w:rsid w:val="00A2755A"/>
    <w:rsid w:val="00A2758A"/>
    <w:rsid w:val="00A2762E"/>
    <w:rsid w:val="00A276B2"/>
    <w:rsid w:val="00A27780"/>
    <w:rsid w:val="00A279BF"/>
    <w:rsid w:val="00A27CA7"/>
    <w:rsid w:val="00A27CF3"/>
    <w:rsid w:val="00A27D1A"/>
    <w:rsid w:val="00A27E24"/>
    <w:rsid w:val="00A27E84"/>
    <w:rsid w:val="00A27FF1"/>
    <w:rsid w:val="00A3008A"/>
    <w:rsid w:val="00A300D1"/>
    <w:rsid w:val="00A3032C"/>
    <w:rsid w:val="00A3039C"/>
    <w:rsid w:val="00A303BB"/>
    <w:rsid w:val="00A30581"/>
    <w:rsid w:val="00A305A7"/>
    <w:rsid w:val="00A305CE"/>
    <w:rsid w:val="00A306E3"/>
    <w:rsid w:val="00A30761"/>
    <w:rsid w:val="00A3099E"/>
    <w:rsid w:val="00A30AF6"/>
    <w:rsid w:val="00A30B36"/>
    <w:rsid w:val="00A30B58"/>
    <w:rsid w:val="00A30EC7"/>
    <w:rsid w:val="00A31054"/>
    <w:rsid w:val="00A310C3"/>
    <w:rsid w:val="00A3112B"/>
    <w:rsid w:val="00A31151"/>
    <w:rsid w:val="00A311A9"/>
    <w:rsid w:val="00A314D7"/>
    <w:rsid w:val="00A31669"/>
    <w:rsid w:val="00A316DC"/>
    <w:rsid w:val="00A319A9"/>
    <w:rsid w:val="00A31B02"/>
    <w:rsid w:val="00A31BC2"/>
    <w:rsid w:val="00A31C1A"/>
    <w:rsid w:val="00A31C67"/>
    <w:rsid w:val="00A31C7E"/>
    <w:rsid w:val="00A31EAB"/>
    <w:rsid w:val="00A31F32"/>
    <w:rsid w:val="00A31F60"/>
    <w:rsid w:val="00A32008"/>
    <w:rsid w:val="00A32272"/>
    <w:rsid w:val="00A3230D"/>
    <w:rsid w:val="00A323E2"/>
    <w:rsid w:val="00A32414"/>
    <w:rsid w:val="00A32536"/>
    <w:rsid w:val="00A32653"/>
    <w:rsid w:val="00A32872"/>
    <w:rsid w:val="00A32BD2"/>
    <w:rsid w:val="00A32CD0"/>
    <w:rsid w:val="00A32CD8"/>
    <w:rsid w:val="00A32FC7"/>
    <w:rsid w:val="00A33018"/>
    <w:rsid w:val="00A330EE"/>
    <w:rsid w:val="00A3316E"/>
    <w:rsid w:val="00A3325C"/>
    <w:rsid w:val="00A335D6"/>
    <w:rsid w:val="00A335D7"/>
    <w:rsid w:val="00A335FE"/>
    <w:rsid w:val="00A33705"/>
    <w:rsid w:val="00A3373A"/>
    <w:rsid w:val="00A3393F"/>
    <w:rsid w:val="00A33B8A"/>
    <w:rsid w:val="00A33BBF"/>
    <w:rsid w:val="00A33BE9"/>
    <w:rsid w:val="00A33D07"/>
    <w:rsid w:val="00A33EBB"/>
    <w:rsid w:val="00A33EED"/>
    <w:rsid w:val="00A33F20"/>
    <w:rsid w:val="00A341CD"/>
    <w:rsid w:val="00A341F8"/>
    <w:rsid w:val="00A34388"/>
    <w:rsid w:val="00A3439C"/>
    <w:rsid w:val="00A3453A"/>
    <w:rsid w:val="00A34593"/>
    <w:rsid w:val="00A345F2"/>
    <w:rsid w:val="00A345F9"/>
    <w:rsid w:val="00A34603"/>
    <w:rsid w:val="00A346FC"/>
    <w:rsid w:val="00A34746"/>
    <w:rsid w:val="00A34781"/>
    <w:rsid w:val="00A348CC"/>
    <w:rsid w:val="00A34904"/>
    <w:rsid w:val="00A34B51"/>
    <w:rsid w:val="00A34C81"/>
    <w:rsid w:val="00A34D5C"/>
    <w:rsid w:val="00A34E49"/>
    <w:rsid w:val="00A34E59"/>
    <w:rsid w:val="00A34EBE"/>
    <w:rsid w:val="00A34F13"/>
    <w:rsid w:val="00A350E0"/>
    <w:rsid w:val="00A35146"/>
    <w:rsid w:val="00A352D7"/>
    <w:rsid w:val="00A35364"/>
    <w:rsid w:val="00A353A4"/>
    <w:rsid w:val="00A3547B"/>
    <w:rsid w:val="00A354B8"/>
    <w:rsid w:val="00A3559B"/>
    <w:rsid w:val="00A357E4"/>
    <w:rsid w:val="00A35825"/>
    <w:rsid w:val="00A35860"/>
    <w:rsid w:val="00A35B4C"/>
    <w:rsid w:val="00A35BB8"/>
    <w:rsid w:val="00A35BE2"/>
    <w:rsid w:val="00A35D7A"/>
    <w:rsid w:val="00A35D7F"/>
    <w:rsid w:val="00A35E93"/>
    <w:rsid w:val="00A360B6"/>
    <w:rsid w:val="00A36248"/>
    <w:rsid w:val="00A362A1"/>
    <w:rsid w:val="00A36621"/>
    <w:rsid w:val="00A36679"/>
    <w:rsid w:val="00A366AB"/>
    <w:rsid w:val="00A36777"/>
    <w:rsid w:val="00A3681A"/>
    <w:rsid w:val="00A3697C"/>
    <w:rsid w:val="00A369AE"/>
    <w:rsid w:val="00A369C8"/>
    <w:rsid w:val="00A36B73"/>
    <w:rsid w:val="00A36C27"/>
    <w:rsid w:val="00A36E4F"/>
    <w:rsid w:val="00A36F09"/>
    <w:rsid w:val="00A36F7D"/>
    <w:rsid w:val="00A36F91"/>
    <w:rsid w:val="00A36FD7"/>
    <w:rsid w:val="00A37038"/>
    <w:rsid w:val="00A37075"/>
    <w:rsid w:val="00A37158"/>
    <w:rsid w:val="00A3715E"/>
    <w:rsid w:val="00A37361"/>
    <w:rsid w:val="00A3753D"/>
    <w:rsid w:val="00A37550"/>
    <w:rsid w:val="00A3758B"/>
    <w:rsid w:val="00A37663"/>
    <w:rsid w:val="00A37847"/>
    <w:rsid w:val="00A3787C"/>
    <w:rsid w:val="00A378DB"/>
    <w:rsid w:val="00A378EB"/>
    <w:rsid w:val="00A378F1"/>
    <w:rsid w:val="00A37A6C"/>
    <w:rsid w:val="00A37BA9"/>
    <w:rsid w:val="00A37D61"/>
    <w:rsid w:val="00A37DA0"/>
    <w:rsid w:val="00A37E9E"/>
    <w:rsid w:val="00A37EFA"/>
    <w:rsid w:val="00A37F16"/>
    <w:rsid w:val="00A4004D"/>
    <w:rsid w:val="00A40361"/>
    <w:rsid w:val="00A4037C"/>
    <w:rsid w:val="00A40454"/>
    <w:rsid w:val="00A406FF"/>
    <w:rsid w:val="00A408C2"/>
    <w:rsid w:val="00A4098C"/>
    <w:rsid w:val="00A40B45"/>
    <w:rsid w:val="00A40DFC"/>
    <w:rsid w:val="00A40EC8"/>
    <w:rsid w:val="00A41235"/>
    <w:rsid w:val="00A41293"/>
    <w:rsid w:val="00A4135B"/>
    <w:rsid w:val="00A417DF"/>
    <w:rsid w:val="00A419EA"/>
    <w:rsid w:val="00A41A30"/>
    <w:rsid w:val="00A41A35"/>
    <w:rsid w:val="00A41A7D"/>
    <w:rsid w:val="00A41FE3"/>
    <w:rsid w:val="00A4204B"/>
    <w:rsid w:val="00A421A2"/>
    <w:rsid w:val="00A422EF"/>
    <w:rsid w:val="00A423AD"/>
    <w:rsid w:val="00A4242E"/>
    <w:rsid w:val="00A42500"/>
    <w:rsid w:val="00A4253A"/>
    <w:rsid w:val="00A42581"/>
    <w:rsid w:val="00A426E6"/>
    <w:rsid w:val="00A42791"/>
    <w:rsid w:val="00A427C1"/>
    <w:rsid w:val="00A42A16"/>
    <w:rsid w:val="00A42A44"/>
    <w:rsid w:val="00A42A4E"/>
    <w:rsid w:val="00A42AD7"/>
    <w:rsid w:val="00A42AE5"/>
    <w:rsid w:val="00A42BF7"/>
    <w:rsid w:val="00A42C47"/>
    <w:rsid w:val="00A42E14"/>
    <w:rsid w:val="00A42E98"/>
    <w:rsid w:val="00A42FD5"/>
    <w:rsid w:val="00A42FE1"/>
    <w:rsid w:val="00A430D6"/>
    <w:rsid w:val="00A43227"/>
    <w:rsid w:val="00A43304"/>
    <w:rsid w:val="00A43440"/>
    <w:rsid w:val="00A434AF"/>
    <w:rsid w:val="00A4367F"/>
    <w:rsid w:val="00A4368F"/>
    <w:rsid w:val="00A436CE"/>
    <w:rsid w:val="00A43989"/>
    <w:rsid w:val="00A43CC3"/>
    <w:rsid w:val="00A43CD9"/>
    <w:rsid w:val="00A43D23"/>
    <w:rsid w:val="00A43D57"/>
    <w:rsid w:val="00A43DF9"/>
    <w:rsid w:val="00A43E08"/>
    <w:rsid w:val="00A43E21"/>
    <w:rsid w:val="00A43E87"/>
    <w:rsid w:val="00A43FED"/>
    <w:rsid w:val="00A441DE"/>
    <w:rsid w:val="00A44281"/>
    <w:rsid w:val="00A443CC"/>
    <w:rsid w:val="00A44507"/>
    <w:rsid w:val="00A4468A"/>
    <w:rsid w:val="00A44810"/>
    <w:rsid w:val="00A44945"/>
    <w:rsid w:val="00A44A59"/>
    <w:rsid w:val="00A44CC6"/>
    <w:rsid w:val="00A44D80"/>
    <w:rsid w:val="00A44DD6"/>
    <w:rsid w:val="00A4513B"/>
    <w:rsid w:val="00A451EB"/>
    <w:rsid w:val="00A45259"/>
    <w:rsid w:val="00A453D4"/>
    <w:rsid w:val="00A45459"/>
    <w:rsid w:val="00A45465"/>
    <w:rsid w:val="00A455A3"/>
    <w:rsid w:val="00A455D3"/>
    <w:rsid w:val="00A4561C"/>
    <w:rsid w:val="00A456F3"/>
    <w:rsid w:val="00A45704"/>
    <w:rsid w:val="00A457A4"/>
    <w:rsid w:val="00A457D3"/>
    <w:rsid w:val="00A457F5"/>
    <w:rsid w:val="00A45811"/>
    <w:rsid w:val="00A458CF"/>
    <w:rsid w:val="00A459DA"/>
    <w:rsid w:val="00A45AD6"/>
    <w:rsid w:val="00A45C1A"/>
    <w:rsid w:val="00A45C99"/>
    <w:rsid w:val="00A45DAC"/>
    <w:rsid w:val="00A45DBB"/>
    <w:rsid w:val="00A45FD7"/>
    <w:rsid w:val="00A4609F"/>
    <w:rsid w:val="00A46286"/>
    <w:rsid w:val="00A4638F"/>
    <w:rsid w:val="00A46458"/>
    <w:rsid w:val="00A46532"/>
    <w:rsid w:val="00A46573"/>
    <w:rsid w:val="00A4667F"/>
    <w:rsid w:val="00A466FA"/>
    <w:rsid w:val="00A467F9"/>
    <w:rsid w:val="00A468FB"/>
    <w:rsid w:val="00A4695D"/>
    <w:rsid w:val="00A469A7"/>
    <w:rsid w:val="00A469A8"/>
    <w:rsid w:val="00A469D5"/>
    <w:rsid w:val="00A46C01"/>
    <w:rsid w:val="00A46C2F"/>
    <w:rsid w:val="00A46D67"/>
    <w:rsid w:val="00A46D9C"/>
    <w:rsid w:val="00A46D9F"/>
    <w:rsid w:val="00A46E1A"/>
    <w:rsid w:val="00A46EBB"/>
    <w:rsid w:val="00A46F07"/>
    <w:rsid w:val="00A46F35"/>
    <w:rsid w:val="00A47064"/>
    <w:rsid w:val="00A4714D"/>
    <w:rsid w:val="00A471C3"/>
    <w:rsid w:val="00A47289"/>
    <w:rsid w:val="00A475A4"/>
    <w:rsid w:val="00A475C8"/>
    <w:rsid w:val="00A477BE"/>
    <w:rsid w:val="00A477CC"/>
    <w:rsid w:val="00A4783C"/>
    <w:rsid w:val="00A47AD9"/>
    <w:rsid w:val="00A47C03"/>
    <w:rsid w:val="00A5001A"/>
    <w:rsid w:val="00A50093"/>
    <w:rsid w:val="00A50198"/>
    <w:rsid w:val="00A50268"/>
    <w:rsid w:val="00A502FA"/>
    <w:rsid w:val="00A50431"/>
    <w:rsid w:val="00A504E0"/>
    <w:rsid w:val="00A50523"/>
    <w:rsid w:val="00A505C0"/>
    <w:rsid w:val="00A505C3"/>
    <w:rsid w:val="00A50623"/>
    <w:rsid w:val="00A50750"/>
    <w:rsid w:val="00A507BB"/>
    <w:rsid w:val="00A507C0"/>
    <w:rsid w:val="00A50944"/>
    <w:rsid w:val="00A50958"/>
    <w:rsid w:val="00A50A36"/>
    <w:rsid w:val="00A50CCC"/>
    <w:rsid w:val="00A511E5"/>
    <w:rsid w:val="00A51246"/>
    <w:rsid w:val="00A51272"/>
    <w:rsid w:val="00A512EF"/>
    <w:rsid w:val="00A51494"/>
    <w:rsid w:val="00A515DC"/>
    <w:rsid w:val="00A5160B"/>
    <w:rsid w:val="00A5161F"/>
    <w:rsid w:val="00A51642"/>
    <w:rsid w:val="00A51666"/>
    <w:rsid w:val="00A516B2"/>
    <w:rsid w:val="00A51737"/>
    <w:rsid w:val="00A517E2"/>
    <w:rsid w:val="00A518D0"/>
    <w:rsid w:val="00A5195A"/>
    <w:rsid w:val="00A51B44"/>
    <w:rsid w:val="00A51C5F"/>
    <w:rsid w:val="00A51CB3"/>
    <w:rsid w:val="00A51D26"/>
    <w:rsid w:val="00A51DD9"/>
    <w:rsid w:val="00A51E06"/>
    <w:rsid w:val="00A52030"/>
    <w:rsid w:val="00A5215C"/>
    <w:rsid w:val="00A521BB"/>
    <w:rsid w:val="00A521C0"/>
    <w:rsid w:val="00A522AC"/>
    <w:rsid w:val="00A524C4"/>
    <w:rsid w:val="00A5255D"/>
    <w:rsid w:val="00A5268B"/>
    <w:rsid w:val="00A52A79"/>
    <w:rsid w:val="00A52C04"/>
    <w:rsid w:val="00A52D7C"/>
    <w:rsid w:val="00A52E01"/>
    <w:rsid w:val="00A53009"/>
    <w:rsid w:val="00A530F1"/>
    <w:rsid w:val="00A53252"/>
    <w:rsid w:val="00A532D0"/>
    <w:rsid w:val="00A5354F"/>
    <w:rsid w:val="00A536E3"/>
    <w:rsid w:val="00A538E5"/>
    <w:rsid w:val="00A53934"/>
    <w:rsid w:val="00A53A20"/>
    <w:rsid w:val="00A53B78"/>
    <w:rsid w:val="00A53CA2"/>
    <w:rsid w:val="00A53F27"/>
    <w:rsid w:val="00A53FEF"/>
    <w:rsid w:val="00A5414C"/>
    <w:rsid w:val="00A54283"/>
    <w:rsid w:val="00A54368"/>
    <w:rsid w:val="00A54382"/>
    <w:rsid w:val="00A5465C"/>
    <w:rsid w:val="00A54671"/>
    <w:rsid w:val="00A54889"/>
    <w:rsid w:val="00A54A61"/>
    <w:rsid w:val="00A54A63"/>
    <w:rsid w:val="00A54C77"/>
    <w:rsid w:val="00A54CD7"/>
    <w:rsid w:val="00A54D9E"/>
    <w:rsid w:val="00A55102"/>
    <w:rsid w:val="00A5528A"/>
    <w:rsid w:val="00A55572"/>
    <w:rsid w:val="00A55599"/>
    <w:rsid w:val="00A55696"/>
    <w:rsid w:val="00A556E4"/>
    <w:rsid w:val="00A55892"/>
    <w:rsid w:val="00A558EE"/>
    <w:rsid w:val="00A55CE5"/>
    <w:rsid w:val="00A55F18"/>
    <w:rsid w:val="00A55F5F"/>
    <w:rsid w:val="00A55FAE"/>
    <w:rsid w:val="00A56088"/>
    <w:rsid w:val="00A56138"/>
    <w:rsid w:val="00A56190"/>
    <w:rsid w:val="00A564DA"/>
    <w:rsid w:val="00A56575"/>
    <w:rsid w:val="00A56627"/>
    <w:rsid w:val="00A56640"/>
    <w:rsid w:val="00A567EA"/>
    <w:rsid w:val="00A567EB"/>
    <w:rsid w:val="00A56ADC"/>
    <w:rsid w:val="00A56B91"/>
    <w:rsid w:val="00A56C18"/>
    <w:rsid w:val="00A56D49"/>
    <w:rsid w:val="00A56EAA"/>
    <w:rsid w:val="00A570F2"/>
    <w:rsid w:val="00A571D8"/>
    <w:rsid w:val="00A57213"/>
    <w:rsid w:val="00A572F1"/>
    <w:rsid w:val="00A57396"/>
    <w:rsid w:val="00A57423"/>
    <w:rsid w:val="00A574CC"/>
    <w:rsid w:val="00A576AE"/>
    <w:rsid w:val="00A577C9"/>
    <w:rsid w:val="00A577F0"/>
    <w:rsid w:val="00A5782A"/>
    <w:rsid w:val="00A57849"/>
    <w:rsid w:val="00A57976"/>
    <w:rsid w:val="00A5798E"/>
    <w:rsid w:val="00A57ACE"/>
    <w:rsid w:val="00A57B58"/>
    <w:rsid w:val="00A57BEE"/>
    <w:rsid w:val="00A57BFC"/>
    <w:rsid w:val="00A57C11"/>
    <w:rsid w:val="00A57DAC"/>
    <w:rsid w:val="00A57DE9"/>
    <w:rsid w:val="00A57EB5"/>
    <w:rsid w:val="00A60043"/>
    <w:rsid w:val="00A600A2"/>
    <w:rsid w:val="00A60180"/>
    <w:rsid w:val="00A601DE"/>
    <w:rsid w:val="00A60238"/>
    <w:rsid w:val="00A602DC"/>
    <w:rsid w:val="00A6036E"/>
    <w:rsid w:val="00A60395"/>
    <w:rsid w:val="00A60499"/>
    <w:rsid w:val="00A6073A"/>
    <w:rsid w:val="00A6078C"/>
    <w:rsid w:val="00A60820"/>
    <w:rsid w:val="00A60898"/>
    <w:rsid w:val="00A60A3B"/>
    <w:rsid w:val="00A60AAC"/>
    <w:rsid w:val="00A60AEF"/>
    <w:rsid w:val="00A60B1F"/>
    <w:rsid w:val="00A60B5D"/>
    <w:rsid w:val="00A60C13"/>
    <w:rsid w:val="00A61054"/>
    <w:rsid w:val="00A611D6"/>
    <w:rsid w:val="00A6127F"/>
    <w:rsid w:val="00A6133C"/>
    <w:rsid w:val="00A614AE"/>
    <w:rsid w:val="00A61666"/>
    <w:rsid w:val="00A618FD"/>
    <w:rsid w:val="00A6191A"/>
    <w:rsid w:val="00A61C1A"/>
    <w:rsid w:val="00A61C61"/>
    <w:rsid w:val="00A61CF6"/>
    <w:rsid w:val="00A61D49"/>
    <w:rsid w:val="00A61D75"/>
    <w:rsid w:val="00A62065"/>
    <w:rsid w:val="00A622BC"/>
    <w:rsid w:val="00A624F7"/>
    <w:rsid w:val="00A626AC"/>
    <w:rsid w:val="00A6276C"/>
    <w:rsid w:val="00A627E5"/>
    <w:rsid w:val="00A62C45"/>
    <w:rsid w:val="00A62D30"/>
    <w:rsid w:val="00A62E40"/>
    <w:rsid w:val="00A62E50"/>
    <w:rsid w:val="00A62F16"/>
    <w:rsid w:val="00A62F73"/>
    <w:rsid w:val="00A63105"/>
    <w:rsid w:val="00A6312F"/>
    <w:rsid w:val="00A63155"/>
    <w:rsid w:val="00A6320B"/>
    <w:rsid w:val="00A6328C"/>
    <w:rsid w:val="00A63306"/>
    <w:rsid w:val="00A6332C"/>
    <w:rsid w:val="00A634DC"/>
    <w:rsid w:val="00A63518"/>
    <w:rsid w:val="00A6354A"/>
    <w:rsid w:val="00A635A2"/>
    <w:rsid w:val="00A63640"/>
    <w:rsid w:val="00A636C6"/>
    <w:rsid w:val="00A6372A"/>
    <w:rsid w:val="00A638EB"/>
    <w:rsid w:val="00A639FE"/>
    <w:rsid w:val="00A63A65"/>
    <w:rsid w:val="00A63D73"/>
    <w:rsid w:val="00A63DDF"/>
    <w:rsid w:val="00A63F61"/>
    <w:rsid w:val="00A641EC"/>
    <w:rsid w:val="00A642E0"/>
    <w:rsid w:val="00A6435E"/>
    <w:rsid w:val="00A64374"/>
    <w:rsid w:val="00A64534"/>
    <w:rsid w:val="00A6460E"/>
    <w:rsid w:val="00A6466F"/>
    <w:rsid w:val="00A64790"/>
    <w:rsid w:val="00A649B2"/>
    <w:rsid w:val="00A64D85"/>
    <w:rsid w:val="00A64E80"/>
    <w:rsid w:val="00A64F18"/>
    <w:rsid w:val="00A65067"/>
    <w:rsid w:val="00A6519A"/>
    <w:rsid w:val="00A651FF"/>
    <w:rsid w:val="00A653C5"/>
    <w:rsid w:val="00A6542C"/>
    <w:rsid w:val="00A65519"/>
    <w:rsid w:val="00A655A9"/>
    <w:rsid w:val="00A655DD"/>
    <w:rsid w:val="00A6565D"/>
    <w:rsid w:val="00A6574A"/>
    <w:rsid w:val="00A65782"/>
    <w:rsid w:val="00A65859"/>
    <w:rsid w:val="00A65919"/>
    <w:rsid w:val="00A65964"/>
    <w:rsid w:val="00A659CF"/>
    <w:rsid w:val="00A659FA"/>
    <w:rsid w:val="00A65B0D"/>
    <w:rsid w:val="00A65BEA"/>
    <w:rsid w:val="00A65CEF"/>
    <w:rsid w:val="00A65D44"/>
    <w:rsid w:val="00A65E24"/>
    <w:rsid w:val="00A66187"/>
    <w:rsid w:val="00A66193"/>
    <w:rsid w:val="00A66362"/>
    <w:rsid w:val="00A66454"/>
    <w:rsid w:val="00A665F2"/>
    <w:rsid w:val="00A6679A"/>
    <w:rsid w:val="00A667C2"/>
    <w:rsid w:val="00A66963"/>
    <w:rsid w:val="00A669AF"/>
    <w:rsid w:val="00A66A52"/>
    <w:rsid w:val="00A66AEA"/>
    <w:rsid w:val="00A66C49"/>
    <w:rsid w:val="00A66DEA"/>
    <w:rsid w:val="00A66E38"/>
    <w:rsid w:val="00A6702D"/>
    <w:rsid w:val="00A672BC"/>
    <w:rsid w:val="00A672D1"/>
    <w:rsid w:val="00A67438"/>
    <w:rsid w:val="00A67468"/>
    <w:rsid w:val="00A676A5"/>
    <w:rsid w:val="00A676A8"/>
    <w:rsid w:val="00A676E8"/>
    <w:rsid w:val="00A67785"/>
    <w:rsid w:val="00A67787"/>
    <w:rsid w:val="00A67829"/>
    <w:rsid w:val="00A67922"/>
    <w:rsid w:val="00A67923"/>
    <w:rsid w:val="00A67BF8"/>
    <w:rsid w:val="00A67CA1"/>
    <w:rsid w:val="00A67D11"/>
    <w:rsid w:val="00A67D16"/>
    <w:rsid w:val="00A67D38"/>
    <w:rsid w:val="00A67D3D"/>
    <w:rsid w:val="00A67DC5"/>
    <w:rsid w:val="00A67F5B"/>
    <w:rsid w:val="00A70009"/>
    <w:rsid w:val="00A7002D"/>
    <w:rsid w:val="00A70087"/>
    <w:rsid w:val="00A701FD"/>
    <w:rsid w:val="00A702FC"/>
    <w:rsid w:val="00A70352"/>
    <w:rsid w:val="00A703B6"/>
    <w:rsid w:val="00A70496"/>
    <w:rsid w:val="00A704D0"/>
    <w:rsid w:val="00A70550"/>
    <w:rsid w:val="00A70593"/>
    <w:rsid w:val="00A70614"/>
    <w:rsid w:val="00A70671"/>
    <w:rsid w:val="00A706D9"/>
    <w:rsid w:val="00A708D9"/>
    <w:rsid w:val="00A709C4"/>
    <w:rsid w:val="00A70AA0"/>
    <w:rsid w:val="00A70B26"/>
    <w:rsid w:val="00A70E7C"/>
    <w:rsid w:val="00A70FF1"/>
    <w:rsid w:val="00A71077"/>
    <w:rsid w:val="00A71140"/>
    <w:rsid w:val="00A713C1"/>
    <w:rsid w:val="00A713D0"/>
    <w:rsid w:val="00A713F2"/>
    <w:rsid w:val="00A714F9"/>
    <w:rsid w:val="00A7161B"/>
    <w:rsid w:val="00A716BF"/>
    <w:rsid w:val="00A71710"/>
    <w:rsid w:val="00A71744"/>
    <w:rsid w:val="00A718D7"/>
    <w:rsid w:val="00A71968"/>
    <w:rsid w:val="00A71A4B"/>
    <w:rsid w:val="00A71C05"/>
    <w:rsid w:val="00A71D76"/>
    <w:rsid w:val="00A71EBC"/>
    <w:rsid w:val="00A72010"/>
    <w:rsid w:val="00A72068"/>
    <w:rsid w:val="00A72081"/>
    <w:rsid w:val="00A7216C"/>
    <w:rsid w:val="00A721A6"/>
    <w:rsid w:val="00A721D1"/>
    <w:rsid w:val="00A723E2"/>
    <w:rsid w:val="00A7274D"/>
    <w:rsid w:val="00A729AE"/>
    <w:rsid w:val="00A72ADB"/>
    <w:rsid w:val="00A72BFA"/>
    <w:rsid w:val="00A72C4F"/>
    <w:rsid w:val="00A72C8E"/>
    <w:rsid w:val="00A72C90"/>
    <w:rsid w:val="00A72CB4"/>
    <w:rsid w:val="00A72D3D"/>
    <w:rsid w:val="00A72E0A"/>
    <w:rsid w:val="00A72F3D"/>
    <w:rsid w:val="00A72F82"/>
    <w:rsid w:val="00A72F95"/>
    <w:rsid w:val="00A730E1"/>
    <w:rsid w:val="00A73166"/>
    <w:rsid w:val="00A73224"/>
    <w:rsid w:val="00A7331D"/>
    <w:rsid w:val="00A73530"/>
    <w:rsid w:val="00A73578"/>
    <w:rsid w:val="00A7390E"/>
    <w:rsid w:val="00A73AED"/>
    <w:rsid w:val="00A73C20"/>
    <w:rsid w:val="00A73D0E"/>
    <w:rsid w:val="00A73DB6"/>
    <w:rsid w:val="00A73F26"/>
    <w:rsid w:val="00A73F70"/>
    <w:rsid w:val="00A740A6"/>
    <w:rsid w:val="00A74215"/>
    <w:rsid w:val="00A743D5"/>
    <w:rsid w:val="00A7477F"/>
    <w:rsid w:val="00A74879"/>
    <w:rsid w:val="00A748D1"/>
    <w:rsid w:val="00A7492D"/>
    <w:rsid w:val="00A74DCE"/>
    <w:rsid w:val="00A7533C"/>
    <w:rsid w:val="00A753B5"/>
    <w:rsid w:val="00A75609"/>
    <w:rsid w:val="00A7562E"/>
    <w:rsid w:val="00A756C6"/>
    <w:rsid w:val="00A7579E"/>
    <w:rsid w:val="00A75865"/>
    <w:rsid w:val="00A759B6"/>
    <w:rsid w:val="00A75B34"/>
    <w:rsid w:val="00A75CCB"/>
    <w:rsid w:val="00A75EDE"/>
    <w:rsid w:val="00A75FAD"/>
    <w:rsid w:val="00A75FF5"/>
    <w:rsid w:val="00A76178"/>
    <w:rsid w:val="00A761DF"/>
    <w:rsid w:val="00A7629F"/>
    <w:rsid w:val="00A7630A"/>
    <w:rsid w:val="00A7637B"/>
    <w:rsid w:val="00A76558"/>
    <w:rsid w:val="00A765CC"/>
    <w:rsid w:val="00A765D8"/>
    <w:rsid w:val="00A76795"/>
    <w:rsid w:val="00A7682C"/>
    <w:rsid w:val="00A769D0"/>
    <w:rsid w:val="00A76B13"/>
    <w:rsid w:val="00A76BA2"/>
    <w:rsid w:val="00A76C89"/>
    <w:rsid w:val="00A76CF6"/>
    <w:rsid w:val="00A76DFE"/>
    <w:rsid w:val="00A76E16"/>
    <w:rsid w:val="00A76E9A"/>
    <w:rsid w:val="00A76F31"/>
    <w:rsid w:val="00A76F4E"/>
    <w:rsid w:val="00A77006"/>
    <w:rsid w:val="00A77012"/>
    <w:rsid w:val="00A7701B"/>
    <w:rsid w:val="00A770D0"/>
    <w:rsid w:val="00A77187"/>
    <w:rsid w:val="00A77207"/>
    <w:rsid w:val="00A772FE"/>
    <w:rsid w:val="00A77303"/>
    <w:rsid w:val="00A773A6"/>
    <w:rsid w:val="00A7741B"/>
    <w:rsid w:val="00A77489"/>
    <w:rsid w:val="00A77690"/>
    <w:rsid w:val="00A77748"/>
    <w:rsid w:val="00A777B5"/>
    <w:rsid w:val="00A777EF"/>
    <w:rsid w:val="00A77857"/>
    <w:rsid w:val="00A77A77"/>
    <w:rsid w:val="00A77A81"/>
    <w:rsid w:val="00A77DE5"/>
    <w:rsid w:val="00A8002C"/>
    <w:rsid w:val="00A80046"/>
    <w:rsid w:val="00A8015A"/>
    <w:rsid w:val="00A80320"/>
    <w:rsid w:val="00A8038C"/>
    <w:rsid w:val="00A8048B"/>
    <w:rsid w:val="00A805F8"/>
    <w:rsid w:val="00A8067A"/>
    <w:rsid w:val="00A807CC"/>
    <w:rsid w:val="00A807D6"/>
    <w:rsid w:val="00A809BF"/>
    <w:rsid w:val="00A80C5A"/>
    <w:rsid w:val="00A80CF0"/>
    <w:rsid w:val="00A80D99"/>
    <w:rsid w:val="00A80DCF"/>
    <w:rsid w:val="00A810AB"/>
    <w:rsid w:val="00A813B7"/>
    <w:rsid w:val="00A8152B"/>
    <w:rsid w:val="00A816BE"/>
    <w:rsid w:val="00A818AE"/>
    <w:rsid w:val="00A81B69"/>
    <w:rsid w:val="00A81DF6"/>
    <w:rsid w:val="00A81E39"/>
    <w:rsid w:val="00A81FF6"/>
    <w:rsid w:val="00A8203A"/>
    <w:rsid w:val="00A821B2"/>
    <w:rsid w:val="00A8221E"/>
    <w:rsid w:val="00A82381"/>
    <w:rsid w:val="00A8255B"/>
    <w:rsid w:val="00A825DF"/>
    <w:rsid w:val="00A82609"/>
    <w:rsid w:val="00A826A1"/>
    <w:rsid w:val="00A82750"/>
    <w:rsid w:val="00A82910"/>
    <w:rsid w:val="00A82984"/>
    <w:rsid w:val="00A829F1"/>
    <w:rsid w:val="00A82AE5"/>
    <w:rsid w:val="00A82D02"/>
    <w:rsid w:val="00A82DAB"/>
    <w:rsid w:val="00A82DDB"/>
    <w:rsid w:val="00A82E1F"/>
    <w:rsid w:val="00A82F56"/>
    <w:rsid w:val="00A82F57"/>
    <w:rsid w:val="00A8312A"/>
    <w:rsid w:val="00A83445"/>
    <w:rsid w:val="00A8370C"/>
    <w:rsid w:val="00A8379E"/>
    <w:rsid w:val="00A838EB"/>
    <w:rsid w:val="00A83923"/>
    <w:rsid w:val="00A83938"/>
    <w:rsid w:val="00A83971"/>
    <w:rsid w:val="00A83ACC"/>
    <w:rsid w:val="00A83AE5"/>
    <w:rsid w:val="00A83CE8"/>
    <w:rsid w:val="00A83EDC"/>
    <w:rsid w:val="00A84207"/>
    <w:rsid w:val="00A84270"/>
    <w:rsid w:val="00A84566"/>
    <w:rsid w:val="00A84ADF"/>
    <w:rsid w:val="00A84C32"/>
    <w:rsid w:val="00A84D86"/>
    <w:rsid w:val="00A853F5"/>
    <w:rsid w:val="00A855EA"/>
    <w:rsid w:val="00A8567E"/>
    <w:rsid w:val="00A85702"/>
    <w:rsid w:val="00A857AD"/>
    <w:rsid w:val="00A857DA"/>
    <w:rsid w:val="00A857E2"/>
    <w:rsid w:val="00A85804"/>
    <w:rsid w:val="00A85912"/>
    <w:rsid w:val="00A85AD2"/>
    <w:rsid w:val="00A85B22"/>
    <w:rsid w:val="00A85B6A"/>
    <w:rsid w:val="00A85D04"/>
    <w:rsid w:val="00A85D1A"/>
    <w:rsid w:val="00A85F0D"/>
    <w:rsid w:val="00A85F29"/>
    <w:rsid w:val="00A86060"/>
    <w:rsid w:val="00A86248"/>
    <w:rsid w:val="00A862DD"/>
    <w:rsid w:val="00A862E9"/>
    <w:rsid w:val="00A86318"/>
    <w:rsid w:val="00A8635E"/>
    <w:rsid w:val="00A86465"/>
    <w:rsid w:val="00A86506"/>
    <w:rsid w:val="00A86523"/>
    <w:rsid w:val="00A865E1"/>
    <w:rsid w:val="00A8660E"/>
    <w:rsid w:val="00A86663"/>
    <w:rsid w:val="00A868CC"/>
    <w:rsid w:val="00A8696D"/>
    <w:rsid w:val="00A86A37"/>
    <w:rsid w:val="00A86A95"/>
    <w:rsid w:val="00A86B3F"/>
    <w:rsid w:val="00A86C32"/>
    <w:rsid w:val="00A86CD1"/>
    <w:rsid w:val="00A86D13"/>
    <w:rsid w:val="00A86EB4"/>
    <w:rsid w:val="00A87086"/>
    <w:rsid w:val="00A872C3"/>
    <w:rsid w:val="00A87379"/>
    <w:rsid w:val="00A8749E"/>
    <w:rsid w:val="00A87577"/>
    <w:rsid w:val="00A875F6"/>
    <w:rsid w:val="00A877F4"/>
    <w:rsid w:val="00A8792A"/>
    <w:rsid w:val="00A8793B"/>
    <w:rsid w:val="00A879E2"/>
    <w:rsid w:val="00A87EC7"/>
    <w:rsid w:val="00A900C9"/>
    <w:rsid w:val="00A9012C"/>
    <w:rsid w:val="00A90145"/>
    <w:rsid w:val="00A90283"/>
    <w:rsid w:val="00A903F2"/>
    <w:rsid w:val="00A90549"/>
    <w:rsid w:val="00A90616"/>
    <w:rsid w:val="00A9061B"/>
    <w:rsid w:val="00A9079A"/>
    <w:rsid w:val="00A90829"/>
    <w:rsid w:val="00A9084C"/>
    <w:rsid w:val="00A909E3"/>
    <w:rsid w:val="00A90AA4"/>
    <w:rsid w:val="00A90AEF"/>
    <w:rsid w:val="00A90B20"/>
    <w:rsid w:val="00A90C7F"/>
    <w:rsid w:val="00A90CC2"/>
    <w:rsid w:val="00A90D6D"/>
    <w:rsid w:val="00A90E2C"/>
    <w:rsid w:val="00A90E3A"/>
    <w:rsid w:val="00A90F95"/>
    <w:rsid w:val="00A90FCD"/>
    <w:rsid w:val="00A91161"/>
    <w:rsid w:val="00A9124E"/>
    <w:rsid w:val="00A9135A"/>
    <w:rsid w:val="00A9144F"/>
    <w:rsid w:val="00A91481"/>
    <w:rsid w:val="00A914E6"/>
    <w:rsid w:val="00A915BE"/>
    <w:rsid w:val="00A91631"/>
    <w:rsid w:val="00A9169A"/>
    <w:rsid w:val="00A91730"/>
    <w:rsid w:val="00A917A7"/>
    <w:rsid w:val="00A917E3"/>
    <w:rsid w:val="00A91800"/>
    <w:rsid w:val="00A91906"/>
    <w:rsid w:val="00A91A20"/>
    <w:rsid w:val="00A91BB1"/>
    <w:rsid w:val="00A91BB7"/>
    <w:rsid w:val="00A91CDE"/>
    <w:rsid w:val="00A91D8A"/>
    <w:rsid w:val="00A91E48"/>
    <w:rsid w:val="00A91F19"/>
    <w:rsid w:val="00A921EB"/>
    <w:rsid w:val="00A9235D"/>
    <w:rsid w:val="00A923F8"/>
    <w:rsid w:val="00A9240C"/>
    <w:rsid w:val="00A92463"/>
    <w:rsid w:val="00A92503"/>
    <w:rsid w:val="00A92796"/>
    <w:rsid w:val="00A9283A"/>
    <w:rsid w:val="00A928D5"/>
    <w:rsid w:val="00A92960"/>
    <w:rsid w:val="00A92A50"/>
    <w:rsid w:val="00A92AD3"/>
    <w:rsid w:val="00A92F74"/>
    <w:rsid w:val="00A931A1"/>
    <w:rsid w:val="00A9321A"/>
    <w:rsid w:val="00A93291"/>
    <w:rsid w:val="00A93347"/>
    <w:rsid w:val="00A934A8"/>
    <w:rsid w:val="00A93500"/>
    <w:rsid w:val="00A935A9"/>
    <w:rsid w:val="00A9366A"/>
    <w:rsid w:val="00A936A5"/>
    <w:rsid w:val="00A93712"/>
    <w:rsid w:val="00A9380B"/>
    <w:rsid w:val="00A938A2"/>
    <w:rsid w:val="00A93A5B"/>
    <w:rsid w:val="00A93ABF"/>
    <w:rsid w:val="00A93B90"/>
    <w:rsid w:val="00A93F51"/>
    <w:rsid w:val="00A93FFA"/>
    <w:rsid w:val="00A942A4"/>
    <w:rsid w:val="00A942FF"/>
    <w:rsid w:val="00A94364"/>
    <w:rsid w:val="00A9451E"/>
    <w:rsid w:val="00A945ED"/>
    <w:rsid w:val="00A9466E"/>
    <w:rsid w:val="00A946B2"/>
    <w:rsid w:val="00A94766"/>
    <w:rsid w:val="00A9477B"/>
    <w:rsid w:val="00A9487F"/>
    <w:rsid w:val="00A948D1"/>
    <w:rsid w:val="00A94A0D"/>
    <w:rsid w:val="00A94A15"/>
    <w:rsid w:val="00A94BCB"/>
    <w:rsid w:val="00A94C75"/>
    <w:rsid w:val="00A94C7C"/>
    <w:rsid w:val="00A94E3A"/>
    <w:rsid w:val="00A94E6A"/>
    <w:rsid w:val="00A9501C"/>
    <w:rsid w:val="00A95113"/>
    <w:rsid w:val="00A952E3"/>
    <w:rsid w:val="00A952F1"/>
    <w:rsid w:val="00A9542F"/>
    <w:rsid w:val="00A95435"/>
    <w:rsid w:val="00A954BD"/>
    <w:rsid w:val="00A95611"/>
    <w:rsid w:val="00A95627"/>
    <w:rsid w:val="00A95644"/>
    <w:rsid w:val="00A9569D"/>
    <w:rsid w:val="00A9577A"/>
    <w:rsid w:val="00A957E5"/>
    <w:rsid w:val="00A95854"/>
    <w:rsid w:val="00A95CA1"/>
    <w:rsid w:val="00A95D3E"/>
    <w:rsid w:val="00A95DA8"/>
    <w:rsid w:val="00A95E44"/>
    <w:rsid w:val="00A95E48"/>
    <w:rsid w:val="00A95E8B"/>
    <w:rsid w:val="00A95EEB"/>
    <w:rsid w:val="00A96011"/>
    <w:rsid w:val="00A9606B"/>
    <w:rsid w:val="00A96205"/>
    <w:rsid w:val="00A9644A"/>
    <w:rsid w:val="00A96677"/>
    <w:rsid w:val="00A96AF5"/>
    <w:rsid w:val="00A96BB4"/>
    <w:rsid w:val="00A96D5D"/>
    <w:rsid w:val="00A96EC1"/>
    <w:rsid w:val="00A96ECA"/>
    <w:rsid w:val="00A96FEE"/>
    <w:rsid w:val="00A97038"/>
    <w:rsid w:val="00A9704D"/>
    <w:rsid w:val="00A97174"/>
    <w:rsid w:val="00A9717A"/>
    <w:rsid w:val="00A97538"/>
    <w:rsid w:val="00A976DA"/>
    <w:rsid w:val="00A9794D"/>
    <w:rsid w:val="00A97978"/>
    <w:rsid w:val="00A97AAE"/>
    <w:rsid w:val="00A97B62"/>
    <w:rsid w:val="00A97C16"/>
    <w:rsid w:val="00A97C8D"/>
    <w:rsid w:val="00A97D53"/>
    <w:rsid w:val="00A97E60"/>
    <w:rsid w:val="00A97EA8"/>
    <w:rsid w:val="00AA00BC"/>
    <w:rsid w:val="00AA0253"/>
    <w:rsid w:val="00AA0380"/>
    <w:rsid w:val="00AA0539"/>
    <w:rsid w:val="00AA05F3"/>
    <w:rsid w:val="00AA0659"/>
    <w:rsid w:val="00AA0690"/>
    <w:rsid w:val="00AA09CD"/>
    <w:rsid w:val="00AA0B15"/>
    <w:rsid w:val="00AA0B53"/>
    <w:rsid w:val="00AA0B84"/>
    <w:rsid w:val="00AA0B8E"/>
    <w:rsid w:val="00AA0BF5"/>
    <w:rsid w:val="00AA0C9A"/>
    <w:rsid w:val="00AA0D22"/>
    <w:rsid w:val="00AA0DB3"/>
    <w:rsid w:val="00AA0E55"/>
    <w:rsid w:val="00AA0E80"/>
    <w:rsid w:val="00AA0FAC"/>
    <w:rsid w:val="00AA1013"/>
    <w:rsid w:val="00AA1374"/>
    <w:rsid w:val="00AA13FF"/>
    <w:rsid w:val="00AA1514"/>
    <w:rsid w:val="00AA158A"/>
    <w:rsid w:val="00AA182E"/>
    <w:rsid w:val="00AA191E"/>
    <w:rsid w:val="00AA1A13"/>
    <w:rsid w:val="00AA1B5B"/>
    <w:rsid w:val="00AA1B99"/>
    <w:rsid w:val="00AA1BCD"/>
    <w:rsid w:val="00AA1E08"/>
    <w:rsid w:val="00AA1F6D"/>
    <w:rsid w:val="00AA1F90"/>
    <w:rsid w:val="00AA2117"/>
    <w:rsid w:val="00AA21D3"/>
    <w:rsid w:val="00AA226D"/>
    <w:rsid w:val="00AA2363"/>
    <w:rsid w:val="00AA237C"/>
    <w:rsid w:val="00AA2520"/>
    <w:rsid w:val="00AA252A"/>
    <w:rsid w:val="00AA2543"/>
    <w:rsid w:val="00AA2A7B"/>
    <w:rsid w:val="00AA2B77"/>
    <w:rsid w:val="00AA2C08"/>
    <w:rsid w:val="00AA2C58"/>
    <w:rsid w:val="00AA3092"/>
    <w:rsid w:val="00AA30B8"/>
    <w:rsid w:val="00AA30D9"/>
    <w:rsid w:val="00AA30FC"/>
    <w:rsid w:val="00AA31B9"/>
    <w:rsid w:val="00AA31E8"/>
    <w:rsid w:val="00AA31E9"/>
    <w:rsid w:val="00AA33E4"/>
    <w:rsid w:val="00AA36CF"/>
    <w:rsid w:val="00AA3834"/>
    <w:rsid w:val="00AA38D4"/>
    <w:rsid w:val="00AA394B"/>
    <w:rsid w:val="00AA39D5"/>
    <w:rsid w:val="00AA3ACC"/>
    <w:rsid w:val="00AA3E4B"/>
    <w:rsid w:val="00AA3E90"/>
    <w:rsid w:val="00AA3FFE"/>
    <w:rsid w:val="00AA4011"/>
    <w:rsid w:val="00AA40DD"/>
    <w:rsid w:val="00AA410B"/>
    <w:rsid w:val="00AA4128"/>
    <w:rsid w:val="00AA41FE"/>
    <w:rsid w:val="00AA43B8"/>
    <w:rsid w:val="00AA4510"/>
    <w:rsid w:val="00AA454F"/>
    <w:rsid w:val="00AA4617"/>
    <w:rsid w:val="00AA478C"/>
    <w:rsid w:val="00AA4A12"/>
    <w:rsid w:val="00AA4D36"/>
    <w:rsid w:val="00AA4EF8"/>
    <w:rsid w:val="00AA5258"/>
    <w:rsid w:val="00AA5271"/>
    <w:rsid w:val="00AA5346"/>
    <w:rsid w:val="00AA56DD"/>
    <w:rsid w:val="00AA57AF"/>
    <w:rsid w:val="00AA58C8"/>
    <w:rsid w:val="00AA5923"/>
    <w:rsid w:val="00AA5ABC"/>
    <w:rsid w:val="00AA5B3F"/>
    <w:rsid w:val="00AA5BE4"/>
    <w:rsid w:val="00AA5C0B"/>
    <w:rsid w:val="00AA5CF4"/>
    <w:rsid w:val="00AA5FA5"/>
    <w:rsid w:val="00AA6072"/>
    <w:rsid w:val="00AA62D3"/>
    <w:rsid w:val="00AA637F"/>
    <w:rsid w:val="00AA63D2"/>
    <w:rsid w:val="00AA6568"/>
    <w:rsid w:val="00AA667E"/>
    <w:rsid w:val="00AA67F0"/>
    <w:rsid w:val="00AA6B04"/>
    <w:rsid w:val="00AA6EE4"/>
    <w:rsid w:val="00AA6FDB"/>
    <w:rsid w:val="00AA70E5"/>
    <w:rsid w:val="00AA7227"/>
    <w:rsid w:val="00AA72B0"/>
    <w:rsid w:val="00AA7521"/>
    <w:rsid w:val="00AA7620"/>
    <w:rsid w:val="00AA7659"/>
    <w:rsid w:val="00AA776B"/>
    <w:rsid w:val="00AA7772"/>
    <w:rsid w:val="00AA789B"/>
    <w:rsid w:val="00AA7954"/>
    <w:rsid w:val="00AA7964"/>
    <w:rsid w:val="00AA79AA"/>
    <w:rsid w:val="00AA7A91"/>
    <w:rsid w:val="00AA7B31"/>
    <w:rsid w:val="00AA7C1E"/>
    <w:rsid w:val="00AA7E17"/>
    <w:rsid w:val="00AA7E8A"/>
    <w:rsid w:val="00AB027E"/>
    <w:rsid w:val="00AB02C5"/>
    <w:rsid w:val="00AB02E1"/>
    <w:rsid w:val="00AB03B4"/>
    <w:rsid w:val="00AB03B7"/>
    <w:rsid w:val="00AB0496"/>
    <w:rsid w:val="00AB051A"/>
    <w:rsid w:val="00AB0598"/>
    <w:rsid w:val="00AB09D2"/>
    <w:rsid w:val="00AB0B8B"/>
    <w:rsid w:val="00AB0D10"/>
    <w:rsid w:val="00AB0DAF"/>
    <w:rsid w:val="00AB0DB7"/>
    <w:rsid w:val="00AB10B4"/>
    <w:rsid w:val="00AB10C1"/>
    <w:rsid w:val="00AB112D"/>
    <w:rsid w:val="00AB1237"/>
    <w:rsid w:val="00AB12DB"/>
    <w:rsid w:val="00AB1460"/>
    <w:rsid w:val="00AB15E6"/>
    <w:rsid w:val="00AB1740"/>
    <w:rsid w:val="00AB1828"/>
    <w:rsid w:val="00AB1968"/>
    <w:rsid w:val="00AB1979"/>
    <w:rsid w:val="00AB1B31"/>
    <w:rsid w:val="00AB1E14"/>
    <w:rsid w:val="00AB1E71"/>
    <w:rsid w:val="00AB1F62"/>
    <w:rsid w:val="00AB1FC8"/>
    <w:rsid w:val="00AB203E"/>
    <w:rsid w:val="00AB21E0"/>
    <w:rsid w:val="00AB23D8"/>
    <w:rsid w:val="00AB241A"/>
    <w:rsid w:val="00AB2537"/>
    <w:rsid w:val="00AB261F"/>
    <w:rsid w:val="00AB280C"/>
    <w:rsid w:val="00AB2842"/>
    <w:rsid w:val="00AB2897"/>
    <w:rsid w:val="00AB2930"/>
    <w:rsid w:val="00AB2954"/>
    <w:rsid w:val="00AB2A6B"/>
    <w:rsid w:val="00AB2CC4"/>
    <w:rsid w:val="00AB2E58"/>
    <w:rsid w:val="00AB2F7F"/>
    <w:rsid w:val="00AB31E1"/>
    <w:rsid w:val="00AB33F8"/>
    <w:rsid w:val="00AB3454"/>
    <w:rsid w:val="00AB34B4"/>
    <w:rsid w:val="00AB38EC"/>
    <w:rsid w:val="00AB3A7B"/>
    <w:rsid w:val="00AB3BB6"/>
    <w:rsid w:val="00AB3C31"/>
    <w:rsid w:val="00AB3D40"/>
    <w:rsid w:val="00AB3E11"/>
    <w:rsid w:val="00AB3ECB"/>
    <w:rsid w:val="00AB40EA"/>
    <w:rsid w:val="00AB41F3"/>
    <w:rsid w:val="00AB4211"/>
    <w:rsid w:val="00AB429A"/>
    <w:rsid w:val="00AB43E4"/>
    <w:rsid w:val="00AB449E"/>
    <w:rsid w:val="00AB4868"/>
    <w:rsid w:val="00AB4950"/>
    <w:rsid w:val="00AB4A0A"/>
    <w:rsid w:val="00AB4E32"/>
    <w:rsid w:val="00AB4E74"/>
    <w:rsid w:val="00AB4EB1"/>
    <w:rsid w:val="00AB4ED4"/>
    <w:rsid w:val="00AB4F46"/>
    <w:rsid w:val="00AB4F88"/>
    <w:rsid w:val="00AB4FD8"/>
    <w:rsid w:val="00AB5060"/>
    <w:rsid w:val="00AB51E0"/>
    <w:rsid w:val="00AB5200"/>
    <w:rsid w:val="00AB5230"/>
    <w:rsid w:val="00AB5338"/>
    <w:rsid w:val="00AB53B2"/>
    <w:rsid w:val="00AB53DB"/>
    <w:rsid w:val="00AB5423"/>
    <w:rsid w:val="00AB55B4"/>
    <w:rsid w:val="00AB575E"/>
    <w:rsid w:val="00AB5826"/>
    <w:rsid w:val="00AB5A89"/>
    <w:rsid w:val="00AB5ADD"/>
    <w:rsid w:val="00AB5BF7"/>
    <w:rsid w:val="00AB5F55"/>
    <w:rsid w:val="00AB61F3"/>
    <w:rsid w:val="00AB6394"/>
    <w:rsid w:val="00AB639C"/>
    <w:rsid w:val="00AB6499"/>
    <w:rsid w:val="00AB6586"/>
    <w:rsid w:val="00AB6676"/>
    <w:rsid w:val="00AB66C1"/>
    <w:rsid w:val="00AB66D0"/>
    <w:rsid w:val="00AB67F6"/>
    <w:rsid w:val="00AB680B"/>
    <w:rsid w:val="00AB685B"/>
    <w:rsid w:val="00AB6869"/>
    <w:rsid w:val="00AB68F2"/>
    <w:rsid w:val="00AB69D1"/>
    <w:rsid w:val="00AB6A22"/>
    <w:rsid w:val="00AB6AE0"/>
    <w:rsid w:val="00AB6B0F"/>
    <w:rsid w:val="00AB6D13"/>
    <w:rsid w:val="00AB6EC4"/>
    <w:rsid w:val="00AB7314"/>
    <w:rsid w:val="00AB73D4"/>
    <w:rsid w:val="00AB73F1"/>
    <w:rsid w:val="00AB7408"/>
    <w:rsid w:val="00AB741D"/>
    <w:rsid w:val="00AB75CF"/>
    <w:rsid w:val="00AB7810"/>
    <w:rsid w:val="00AB7A2A"/>
    <w:rsid w:val="00AB7AB2"/>
    <w:rsid w:val="00AB7B08"/>
    <w:rsid w:val="00AB7B4A"/>
    <w:rsid w:val="00AB7BDE"/>
    <w:rsid w:val="00AB7F27"/>
    <w:rsid w:val="00AB7FDC"/>
    <w:rsid w:val="00AC00EC"/>
    <w:rsid w:val="00AC00F6"/>
    <w:rsid w:val="00AC00F9"/>
    <w:rsid w:val="00AC0108"/>
    <w:rsid w:val="00AC014F"/>
    <w:rsid w:val="00AC040B"/>
    <w:rsid w:val="00AC04E6"/>
    <w:rsid w:val="00AC05F3"/>
    <w:rsid w:val="00AC06A4"/>
    <w:rsid w:val="00AC0719"/>
    <w:rsid w:val="00AC07E8"/>
    <w:rsid w:val="00AC0854"/>
    <w:rsid w:val="00AC08F3"/>
    <w:rsid w:val="00AC09AF"/>
    <w:rsid w:val="00AC09B0"/>
    <w:rsid w:val="00AC09DF"/>
    <w:rsid w:val="00AC0AAE"/>
    <w:rsid w:val="00AC0B19"/>
    <w:rsid w:val="00AC0C7C"/>
    <w:rsid w:val="00AC0CF4"/>
    <w:rsid w:val="00AC0E84"/>
    <w:rsid w:val="00AC10E4"/>
    <w:rsid w:val="00AC11EB"/>
    <w:rsid w:val="00AC123D"/>
    <w:rsid w:val="00AC156E"/>
    <w:rsid w:val="00AC17C9"/>
    <w:rsid w:val="00AC1A80"/>
    <w:rsid w:val="00AC1A89"/>
    <w:rsid w:val="00AC1AE0"/>
    <w:rsid w:val="00AC1AE7"/>
    <w:rsid w:val="00AC1B0F"/>
    <w:rsid w:val="00AC1C67"/>
    <w:rsid w:val="00AC1C82"/>
    <w:rsid w:val="00AC1DD6"/>
    <w:rsid w:val="00AC1E62"/>
    <w:rsid w:val="00AC21E6"/>
    <w:rsid w:val="00AC23CA"/>
    <w:rsid w:val="00AC254A"/>
    <w:rsid w:val="00AC2715"/>
    <w:rsid w:val="00AC28F8"/>
    <w:rsid w:val="00AC2B1E"/>
    <w:rsid w:val="00AC2C63"/>
    <w:rsid w:val="00AC2C8E"/>
    <w:rsid w:val="00AC2E04"/>
    <w:rsid w:val="00AC2FAD"/>
    <w:rsid w:val="00AC3072"/>
    <w:rsid w:val="00AC30DE"/>
    <w:rsid w:val="00AC316B"/>
    <w:rsid w:val="00AC32E3"/>
    <w:rsid w:val="00AC3408"/>
    <w:rsid w:val="00AC363F"/>
    <w:rsid w:val="00AC3853"/>
    <w:rsid w:val="00AC3979"/>
    <w:rsid w:val="00AC3BC8"/>
    <w:rsid w:val="00AC3C23"/>
    <w:rsid w:val="00AC3CBA"/>
    <w:rsid w:val="00AC3D3F"/>
    <w:rsid w:val="00AC41E3"/>
    <w:rsid w:val="00AC4269"/>
    <w:rsid w:val="00AC428B"/>
    <w:rsid w:val="00AC4368"/>
    <w:rsid w:val="00AC440C"/>
    <w:rsid w:val="00AC44D0"/>
    <w:rsid w:val="00AC451E"/>
    <w:rsid w:val="00AC4553"/>
    <w:rsid w:val="00AC4573"/>
    <w:rsid w:val="00AC45CE"/>
    <w:rsid w:val="00AC46F2"/>
    <w:rsid w:val="00AC479A"/>
    <w:rsid w:val="00AC47C5"/>
    <w:rsid w:val="00AC47E8"/>
    <w:rsid w:val="00AC4810"/>
    <w:rsid w:val="00AC4857"/>
    <w:rsid w:val="00AC48F8"/>
    <w:rsid w:val="00AC4947"/>
    <w:rsid w:val="00AC4AB0"/>
    <w:rsid w:val="00AC4FCA"/>
    <w:rsid w:val="00AC514A"/>
    <w:rsid w:val="00AC52A2"/>
    <w:rsid w:val="00AC53A0"/>
    <w:rsid w:val="00AC53DC"/>
    <w:rsid w:val="00AC5409"/>
    <w:rsid w:val="00AC5469"/>
    <w:rsid w:val="00AC54F5"/>
    <w:rsid w:val="00AC54FE"/>
    <w:rsid w:val="00AC55CB"/>
    <w:rsid w:val="00AC56CA"/>
    <w:rsid w:val="00AC57BD"/>
    <w:rsid w:val="00AC5807"/>
    <w:rsid w:val="00AC583D"/>
    <w:rsid w:val="00AC5ABF"/>
    <w:rsid w:val="00AC5B52"/>
    <w:rsid w:val="00AC5BEF"/>
    <w:rsid w:val="00AC5CDD"/>
    <w:rsid w:val="00AC5E00"/>
    <w:rsid w:val="00AC5EE2"/>
    <w:rsid w:val="00AC5FE6"/>
    <w:rsid w:val="00AC624E"/>
    <w:rsid w:val="00AC6534"/>
    <w:rsid w:val="00AC657A"/>
    <w:rsid w:val="00AC6600"/>
    <w:rsid w:val="00AC667C"/>
    <w:rsid w:val="00AC6972"/>
    <w:rsid w:val="00AC6A3C"/>
    <w:rsid w:val="00AC6A58"/>
    <w:rsid w:val="00AC6A64"/>
    <w:rsid w:val="00AC6AB5"/>
    <w:rsid w:val="00AC6B60"/>
    <w:rsid w:val="00AC6BD8"/>
    <w:rsid w:val="00AC723E"/>
    <w:rsid w:val="00AC7274"/>
    <w:rsid w:val="00AC746B"/>
    <w:rsid w:val="00AC74B7"/>
    <w:rsid w:val="00AC74C1"/>
    <w:rsid w:val="00AC764D"/>
    <w:rsid w:val="00AC7687"/>
    <w:rsid w:val="00AC768E"/>
    <w:rsid w:val="00AC76EC"/>
    <w:rsid w:val="00AC78E1"/>
    <w:rsid w:val="00AC7B9C"/>
    <w:rsid w:val="00AC7C14"/>
    <w:rsid w:val="00AC7C57"/>
    <w:rsid w:val="00AC7C67"/>
    <w:rsid w:val="00AC7CB7"/>
    <w:rsid w:val="00AC7D1D"/>
    <w:rsid w:val="00AC7D71"/>
    <w:rsid w:val="00AC7E68"/>
    <w:rsid w:val="00AC7EE5"/>
    <w:rsid w:val="00AC7F8E"/>
    <w:rsid w:val="00AD00A9"/>
    <w:rsid w:val="00AD00BB"/>
    <w:rsid w:val="00AD00F8"/>
    <w:rsid w:val="00AD028C"/>
    <w:rsid w:val="00AD053C"/>
    <w:rsid w:val="00AD0571"/>
    <w:rsid w:val="00AD064A"/>
    <w:rsid w:val="00AD068C"/>
    <w:rsid w:val="00AD0708"/>
    <w:rsid w:val="00AD079D"/>
    <w:rsid w:val="00AD08E1"/>
    <w:rsid w:val="00AD090C"/>
    <w:rsid w:val="00AD09BB"/>
    <w:rsid w:val="00AD09DE"/>
    <w:rsid w:val="00AD09F8"/>
    <w:rsid w:val="00AD0CF5"/>
    <w:rsid w:val="00AD0DC1"/>
    <w:rsid w:val="00AD0DE1"/>
    <w:rsid w:val="00AD0F53"/>
    <w:rsid w:val="00AD1107"/>
    <w:rsid w:val="00AD12B3"/>
    <w:rsid w:val="00AD133B"/>
    <w:rsid w:val="00AD1483"/>
    <w:rsid w:val="00AD1558"/>
    <w:rsid w:val="00AD179E"/>
    <w:rsid w:val="00AD17F2"/>
    <w:rsid w:val="00AD1853"/>
    <w:rsid w:val="00AD18C4"/>
    <w:rsid w:val="00AD198F"/>
    <w:rsid w:val="00AD1AA0"/>
    <w:rsid w:val="00AD1AB4"/>
    <w:rsid w:val="00AD1B86"/>
    <w:rsid w:val="00AD1BE9"/>
    <w:rsid w:val="00AD1CAD"/>
    <w:rsid w:val="00AD1E5C"/>
    <w:rsid w:val="00AD1E91"/>
    <w:rsid w:val="00AD1F12"/>
    <w:rsid w:val="00AD2001"/>
    <w:rsid w:val="00AD20A6"/>
    <w:rsid w:val="00AD210D"/>
    <w:rsid w:val="00AD221F"/>
    <w:rsid w:val="00AD22F0"/>
    <w:rsid w:val="00AD231A"/>
    <w:rsid w:val="00AD237D"/>
    <w:rsid w:val="00AD23B8"/>
    <w:rsid w:val="00AD2496"/>
    <w:rsid w:val="00AD2499"/>
    <w:rsid w:val="00AD24EA"/>
    <w:rsid w:val="00AD267B"/>
    <w:rsid w:val="00AD2805"/>
    <w:rsid w:val="00AD2910"/>
    <w:rsid w:val="00AD29D4"/>
    <w:rsid w:val="00AD2D64"/>
    <w:rsid w:val="00AD2EB0"/>
    <w:rsid w:val="00AD2F48"/>
    <w:rsid w:val="00AD31D4"/>
    <w:rsid w:val="00AD31E7"/>
    <w:rsid w:val="00AD32E1"/>
    <w:rsid w:val="00AD333F"/>
    <w:rsid w:val="00AD34F1"/>
    <w:rsid w:val="00AD375F"/>
    <w:rsid w:val="00AD3964"/>
    <w:rsid w:val="00AD3A0C"/>
    <w:rsid w:val="00AD3A4B"/>
    <w:rsid w:val="00AD42A2"/>
    <w:rsid w:val="00AD42CC"/>
    <w:rsid w:val="00AD42DE"/>
    <w:rsid w:val="00AD449C"/>
    <w:rsid w:val="00AD4737"/>
    <w:rsid w:val="00AD4814"/>
    <w:rsid w:val="00AD489E"/>
    <w:rsid w:val="00AD4A2F"/>
    <w:rsid w:val="00AD4AC4"/>
    <w:rsid w:val="00AD4AF4"/>
    <w:rsid w:val="00AD4B5B"/>
    <w:rsid w:val="00AD4D0F"/>
    <w:rsid w:val="00AD4D1E"/>
    <w:rsid w:val="00AD4D48"/>
    <w:rsid w:val="00AD5169"/>
    <w:rsid w:val="00AD536D"/>
    <w:rsid w:val="00AD54E4"/>
    <w:rsid w:val="00AD5678"/>
    <w:rsid w:val="00AD57E3"/>
    <w:rsid w:val="00AD5839"/>
    <w:rsid w:val="00AD5A15"/>
    <w:rsid w:val="00AD5CD3"/>
    <w:rsid w:val="00AD5F41"/>
    <w:rsid w:val="00AD5F86"/>
    <w:rsid w:val="00AD6277"/>
    <w:rsid w:val="00AD651E"/>
    <w:rsid w:val="00AD67AE"/>
    <w:rsid w:val="00AD6817"/>
    <w:rsid w:val="00AD687D"/>
    <w:rsid w:val="00AD6A90"/>
    <w:rsid w:val="00AD6C2E"/>
    <w:rsid w:val="00AD6CD2"/>
    <w:rsid w:val="00AD6CFE"/>
    <w:rsid w:val="00AD6DBD"/>
    <w:rsid w:val="00AD6EB4"/>
    <w:rsid w:val="00AD6EDA"/>
    <w:rsid w:val="00AD6EFF"/>
    <w:rsid w:val="00AD6F76"/>
    <w:rsid w:val="00AD71DF"/>
    <w:rsid w:val="00AD7243"/>
    <w:rsid w:val="00AD7660"/>
    <w:rsid w:val="00AD7675"/>
    <w:rsid w:val="00AD78F5"/>
    <w:rsid w:val="00AD7956"/>
    <w:rsid w:val="00AD7ADC"/>
    <w:rsid w:val="00AD7CA8"/>
    <w:rsid w:val="00AD7CF7"/>
    <w:rsid w:val="00AD7D30"/>
    <w:rsid w:val="00AD7D9E"/>
    <w:rsid w:val="00AD7E29"/>
    <w:rsid w:val="00AD7E31"/>
    <w:rsid w:val="00AD7E89"/>
    <w:rsid w:val="00AD7ED2"/>
    <w:rsid w:val="00AD7F07"/>
    <w:rsid w:val="00AD7FA7"/>
    <w:rsid w:val="00AE01DB"/>
    <w:rsid w:val="00AE0460"/>
    <w:rsid w:val="00AE0672"/>
    <w:rsid w:val="00AE0779"/>
    <w:rsid w:val="00AE085C"/>
    <w:rsid w:val="00AE0914"/>
    <w:rsid w:val="00AE09FE"/>
    <w:rsid w:val="00AE0A74"/>
    <w:rsid w:val="00AE0AE5"/>
    <w:rsid w:val="00AE0B03"/>
    <w:rsid w:val="00AE0B05"/>
    <w:rsid w:val="00AE0CBD"/>
    <w:rsid w:val="00AE0CFF"/>
    <w:rsid w:val="00AE0D65"/>
    <w:rsid w:val="00AE0E49"/>
    <w:rsid w:val="00AE0E8C"/>
    <w:rsid w:val="00AE0EBD"/>
    <w:rsid w:val="00AE0F50"/>
    <w:rsid w:val="00AE0FED"/>
    <w:rsid w:val="00AE1115"/>
    <w:rsid w:val="00AE1245"/>
    <w:rsid w:val="00AE1496"/>
    <w:rsid w:val="00AE15D5"/>
    <w:rsid w:val="00AE1686"/>
    <w:rsid w:val="00AE1694"/>
    <w:rsid w:val="00AE1801"/>
    <w:rsid w:val="00AE189E"/>
    <w:rsid w:val="00AE1928"/>
    <w:rsid w:val="00AE1BFD"/>
    <w:rsid w:val="00AE1C2E"/>
    <w:rsid w:val="00AE1C4A"/>
    <w:rsid w:val="00AE1DF2"/>
    <w:rsid w:val="00AE1F7E"/>
    <w:rsid w:val="00AE1F8D"/>
    <w:rsid w:val="00AE1FBC"/>
    <w:rsid w:val="00AE201C"/>
    <w:rsid w:val="00AE2039"/>
    <w:rsid w:val="00AE2064"/>
    <w:rsid w:val="00AE2276"/>
    <w:rsid w:val="00AE26C2"/>
    <w:rsid w:val="00AE2708"/>
    <w:rsid w:val="00AE27A1"/>
    <w:rsid w:val="00AE2808"/>
    <w:rsid w:val="00AE29CF"/>
    <w:rsid w:val="00AE2ACC"/>
    <w:rsid w:val="00AE2EC8"/>
    <w:rsid w:val="00AE30B8"/>
    <w:rsid w:val="00AE31A2"/>
    <w:rsid w:val="00AE3241"/>
    <w:rsid w:val="00AE326D"/>
    <w:rsid w:val="00AE34BD"/>
    <w:rsid w:val="00AE357B"/>
    <w:rsid w:val="00AE36D2"/>
    <w:rsid w:val="00AE3913"/>
    <w:rsid w:val="00AE3915"/>
    <w:rsid w:val="00AE396C"/>
    <w:rsid w:val="00AE3CC7"/>
    <w:rsid w:val="00AE3D1A"/>
    <w:rsid w:val="00AE3EA1"/>
    <w:rsid w:val="00AE4045"/>
    <w:rsid w:val="00AE4053"/>
    <w:rsid w:val="00AE41C6"/>
    <w:rsid w:val="00AE4337"/>
    <w:rsid w:val="00AE44C4"/>
    <w:rsid w:val="00AE44E6"/>
    <w:rsid w:val="00AE4512"/>
    <w:rsid w:val="00AE45EA"/>
    <w:rsid w:val="00AE4641"/>
    <w:rsid w:val="00AE4710"/>
    <w:rsid w:val="00AE48DB"/>
    <w:rsid w:val="00AE48F8"/>
    <w:rsid w:val="00AE4A32"/>
    <w:rsid w:val="00AE4AF6"/>
    <w:rsid w:val="00AE4B9E"/>
    <w:rsid w:val="00AE4C0A"/>
    <w:rsid w:val="00AE4CF2"/>
    <w:rsid w:val="00AE4DC4"/>
    <w:rsid w:val="00AE501F"/>
    <w:rsid w:val="00AE5144"/>
    <w:rsid w:val="00AE5163"/>
    <w:rsid w:val="00AE519A"/>
    <w:rsid w:val="00AE5217"/>
    <w:rsid w:val="00AE556D"/>
    <w:rsid w:val="00AE560B"/>
    <w:rsid w:val="00AE5635"/>
    <w:rsid w:val="00AE5674"/>
    <w:rsid w:val="00AE56F7"/>
    <w:rsid w:val="00AE58F6"/>
    <w:rsid w:val="00AE593C"/>
    <w:rsid w:val="00AE59D6"/>
    <w:rsid w:val="00AE59EB"/>
    <w:rsid w:val="00AE5C10"/>
    <w:rsid w:val="00AE6017"/>
    <w:rsid w:val="00AE6229"/>
    <w:rsid w:val="00AE6265"/>
    <w:rsid w:val="00AE62D0"/>
    <w:rsid w:val="00AE6360"/>
    <w:rsid w:val="00AE63C6"/>
    <w:rsid w:val="00AE6434"/>
    <w:rsid w:val="00AE647E"/>
    <w:rsid w:val="00AE6541"/>
    <w:rsid w:val="00AE6618"/>
    <w:rsid w:val="00AE6755"/>
    <w:rsid w:val="00AE687C"/>
    <w:rsid w:val="00AE688F"/>
    <w:rsid w:val="00AE6966"/>
    <w:rsid w:val="00AE6B25"/>
    <w:rsid w:val="00AE6BF3"/>
    <w:rsid w:val="00AE6C59"/>
    <w:rsid w:val="00AE6C63"/>
    <w:rsid w:val="00AE6FEA"/>
    <w:rsid w:val="00AE721B"/>
    <w:rsid w:val="00AE72BB"/>
    <w:rsid w:val="00AE74A4"/>
    <w:rsid w:val="00AE7680"/>
    <w:rsid w:val="00AE7686"/>
    <w:rsid w:val="00AE77B3"/>
    <w:rsid w:val="00AE7ABE"/>
    <w:rsid w:val="00AE7C2B"/>
    <w:rsid w:val="00AE7C5C"/>
    <w:rsid w:val="00AE7CB4"/>
    <w:rsid w:val="00AE7D0F"/>
    <w:rsid w:val="00AE7FB9"/>
    <w:rsid w:val="00AF02A5"/>
    <w:rsid w:val="00AF02BA"/>
    <w:rsid w:val="00AF02FB"/>
    <w:rsid w:val="00AF0599"/>
    <w:rsid w:val="00AF05D0"/>
    <w:rsid w:val="00AF07B3"/>
    <w:rsid w:val="00AF086C"/>
    <w:rsid w:val="00AF090D"/>
    <w:rsid w:val="00AF093F"/>
    <w:rsid w:val="00AF0D35"/>
    <w:rsid w:val="00AF0EFD"/>
    <w:rsid w:val="00AF0FC4"/>
    <w:rsid w:val="00AF1131"/>
    <w:rsid w:val="00AF11AE"/>
    <w:rsid w:val="00AF124A"/>
    <w:rsid w:val="00AF13BA"/>
    <w:rsid w:val="00AF13C6"/>
    <w:rsid w:val="00AF13C9"/>
    <w:rsid w:val="00AF16F2"/>
    <w:rsid w:val="00AF1747"/>
    <w:rsid w:val="00AF1806"/>
    <w:rsid w:val="00AF18B5"/>
    <w:rsid w:val="00AF196A"/>
    <w:rsid w:val="00AF19A3"/>
    <w:rsid w:val="00AF1A10"/>
    <w:rsid w:val="00AF1A39"/>
    <w:rsid w:val="00AF1AC6"/>
    <w:rsid w:val="00AF1B80"/>
    <w:rsid w:val="00AF1B9B"/>
    <w:rsid w:val="00AF1DA1"/>
    <w:rsid w:val="00AF1EA1"/>
    <w:rsid w:val="00AF1F4D"/>
    <w:rsid w:val="00AF21F0"/>
    <w:rsid w:val="00AF2203"/>
    <w:rsid w:val="00AF2228"/>
    <w:rsid w:val="00AF2260"/>
    <w:rsid w:val="00AF23ED"/>
    <w:rsid w:val="00AF24FE"/>
    <w:rsid w:val="00AF2568"/>
    <w:rsid w:val="00AF25A3"/>
    <w:rsid w:val="00AF26ED"/>
    <w:rsid w:val="00AF2865"/>
    <w:rsid w:val="00AF291E"/>
    <w:rsid w:val="00AF2A02"/>
    <w:rsid w:val="00AF2A69"/>
    <w:rsid w:val="00AF2B34"/>
    <w:rsid w:val="00AF2B54"/>
    <w:rsid w:val="00AF2BE7"/>
    <w:rsid w:val="00AF2D09"/>
    <w:rsid w:val="00AF2DEE"/>
    <w:rsid w:val="00AF2E1A"/>
    <w:rsid w:val="00AF2E5A"/>
    <w:rsid w:val="00AF2E95"/>
    <w:rsid w:val="00AF2F2C"/>
    <w:rsid w:val="00AF314A"/>
    <w:rsid w:val="00AF3495"/>
    <w:rsid w:val="00AF34A9"/>
    <w:rsid w:val="00AF3501"/>
    <w:rsid w:val="00AF352B"/>
    <w:rsid w:val="00AF366B"/>
    <w:rsid w:val="00AF3763"/>
    <w:rsid w:val="00AF37D0"/>
    <w:rsid w:val="00AF38FE"/>
    <w:rsid w:val="00AF396A"/>
    <w:rsid w:val="00AF3BB5"/>
    <w:rsid w:val="00AF3C73"/>
    <w:rsid w:val="00AF3CFD"/>
    <w:rsid w:val="00AF3ECA"/>
    <w:rsid w:val="00AF3F73"/>
    <w:rsid w:val="00AF3FDE"/>
    <w:rsid w:val="00AF413A"/>
    <w:rsid w:val="00AF42CC"/>
    <w:rsid w:val="00AF4477"/>
    <w:rsid w:val="00AF452D"/>
    <w:rsid w:val="00AF468D"/>
    <w:rsid w:val="00AF46B9"/>
    <w:rsid w:val="00AF4728"/>
    <w:rsid w:val="00AF47AE"/>
    <w:rsid w:val="00AF47EF"/>
    <w:rsid w:val="00AF49BF"/>
    <w:rsid w:val="00AF4A3A"/>
    <w:rsid w:val="00AF4AD0"/>
    <w:rsid w:val="00AF4B49"/>
    <w:rsid w:val="00AF4B75"/>
    <w:rsid w:val="00AF4B76"/>
    <w:rsid w:val="00AF4BA4"/>
    <w:rsid w:val="00AF4D6F"/>
    <w:rsid w:val="00AF4E13"/>
    <w:rsid w:val="00AF4E48"/>
    <w:rsid w:val="00AF4E4C"/>
    <w:rsid w:val="00AF4F5C"/>
    <w:rsid w:val="00AF4F5E"/>
    <w:rsid w:val="00AF4F7E"/>
    <w:rsid w:val="00AF4FE4"/>
    <w:rsid w:val="00AF506E"/>
    <w:rsid w:val="00AF5102"/>
    <w:rsid w:val="00AF5151"/>
    <w:rsid w:val="00AF5155"/>
    <w:rsid w:val="00AF5354"/>
    <w:rsid w:val="00AF5423"/>
    <w:rsid w:val="00AF5449"/>
    <w:rsid w:val="00AF5465"/>
    <w:rsid w:val="00AF54F4"/>
    <w:rsid w:val="00AF5599"/>
    <w:rsid w:val="00AF5609"/>
    <w:rsid w:val="00AF5612"/>
    <w:rsid w:val="00AF5642"/>
    <w:rsid w:val="00AF5741"/>
    <w:rsid w:val="00AF5764"/>
    <w:rsid w:val="00AF5822"/>
    <w:rsid w:val="00AF5823"/>
    <w:rsid w:val="00AF5859"/>
    <w:rsid w:val="00AF58DA"/>
    <w:rsid w:val="00AF59AD"/>
    <w:rsid w:val="00AF5AFA"/>
    <w:rsid w:val="00AF5CAB"/>
    <w:rsid w:val="00AF5CE2"/>
    <w:rsid w:val="00AF5D2D"/>
    <w:rsid w:val="00AF637A"/>
    <w:rsid w:val="00AF6449"/>
    <w:rsid w:val="00AF651D"/>
    <w:rsid w:val="00AF6560"/>
    <w:rsid w:val="00AF6691"/>
    <w:rsid w:val="00AF67B1"/>
    <w:rsid w:val="00AF67BA"/>
    <w:rsid w:val="00AF67DD"/>
    <w:rsid w:val="00AF6AC2"/>
    <w:rsid w:val="00AF6C21"/>
    <w:rsid w:val="00AF6C8D"/>
    <w:rsid w:val="00AF6CAD"/>
    <w:rsid w:val="00AF6CB9"/>
    <w:rsid w:val="00AF6DCD"/>
    <w:rsid w:val="00AF6DD4"/>
    <w:rsid w:val="00AF7099"/>
    <w:rsid w:val="00AF7232"/>
    <w:rsid w:val="00AF730B"/>
    <w:rsid w:val="00AF7420"/>
    <w:rsid w:val="00AF7447"/>
    <w:rsid w:val="00AF754C"/>
    <w:rsid w:val="00AF7648"/>
    <w:rsid w:val="00AF7749"/>
    <w:rsid w:val="00AF779F"/>
    <w:rsid w:val="00AF7948"/>
    <w:rsid w:val="00AF79E9"/>
    <w:rsid w:val="00AF7A8A"/>
    <w:rsid w:val="00AF7BA3"/>
    <w:rsid w:val="00AF7C3A"/>
    <w:rsid w:val="00AF7DA1"/>
    <w:rsid w:val="00AF7E09"/>
    <w:rsid w:val="00AF7E38"/>
    <w:rsid w:val="00AF7F95"/>
    <w:rsid w:val="00AF7FE0"/>
    <w:rsid w:val="00B00075"/>
    <w:rsid w:val="00B000F6"/>
    <w:rsid w:val="00B0012B"/>
    <w:rsid w:val="00B00175"/>
    <w:rsid w:val="00B00229"/>
    <w:rsid w:val="00B0033B"/>
    <w:rsid w:val="00B00372"/>
    <w:rsid w:val="00B003A3"/>
    <w:rsid w:val="00B003D8"/>
    <w:rsid w:val="00B004C7"/>
    <w:rsid w:val="00B00573"/>
    <w:rsid w:val="00B0063B"/>
    <w:rsid w:val="00B006D8"/>
    <w:rsid w:val="00B00738"/>
    <w:rsid w:val="00B00806"/>
    <w:rsid w:val="00B0092D"/>
    <w:rsid w:val="00B00EA3"/>
    <w:rsid w:val="00B012FB"/>
    <w:rsid w:val="00B01306"/>
    <w:rsid w:val="00B01486"/>
    <w:rsid w:val="00B014DC"/>
    <w:rsid w:val="00B014EB"/>
    <w:rsid w:val="00B015CF"/>
    <w:rsid w:val="00B01662"/>
    <w:rsid w:val="00B01804"/>
    <w:rsid w:val="00B0194C"/>
    <w:rsid w:val="00B01AED"/>
    <w:rsid w:val="00B01C4B"/>
    <w:rsid w:val="00B01D84"/>
    <w:rsid w:val="00B01E94"/>
    <w:rsid w:val="00B01F17"/>
    <w:rsid w:val="00B025A6"/>
    <w:rsid w:val="00B02812"/>
    <w:rsid w:val="00B02931"/>
    <w:rsid w:val="00B02B07"/>
    <w:rsid w:val="00B02B56"/>
    <w:rsid w:val="00B02B8B"/>
    <w:rsid w:val="00B02C9C"/>
    <w:rsid w:val="00B03033"/>
    <w:rsid w:val="00B03069"/>
    <w:rsid w:val="00B03079"/>
    <w:rsid w:val="00B03172"/>
    <w:rsid w:val="00B031CA"/>
    <w:rsid w:val="00B03484"/>
    <w:rsid w:val="00B03536"/>
    <w:rsid w:val="00B03600"/>
    <w:rsid w:val="00B03616"/>
    <w:rsid w:val="00B03632"/>
    <w:rsid w:val="00B03691"/>
    <w:rsid w:val="00B03701"/>
    <w:rsid w:val="00B03833"/>
    <w:rsid w:val="00B038EA"/>
    <w:rsid w:val="00B03A03"/>
    <w:rsid w:val="00B03A79"/>
    <w:rsid w:val="00B03AA2"/>
    <w:rsid w:val="00B03B55"/>
    <w:rsid w:val="00B03B72"/>
    <w:rsid w:val="00B03B85"/>
    <w:rsid w:val="00B03CE8"/>
    <w:rsid w:val="00B03E8E"/>
    <w:rsid w:val="00B04257"/>
    <w:rsid w:val="00B043A5"/>
    <w:rsid w:val="00B045BA"/>
    <w:rsid w:val="00B047F4"/>
    <w:rsid w:val="00B0484D"/>
    <w:rsid w:val="00B04AFC"/>
    <w:rsid w:val="00B04B49"/>
    <w:rsid w:val="00B04C47"/>
    <w:rsid w:val="00B04EAE"/>
    <w:rsid w:val="00B04FDC"/>
    <w:rsid w:val="00B04FFC"/>
    <w:rsid w:val="00B04FFE"/>
    <w:rsid w:val="00B05190"/>
    <w:rsid w:val="00B05834"/>
    <w:rsid w:val="00B05B69"/>
    <w:rsid w:val="00B05C6B"/>
    <w:rsid w:val="00B05C70"/>
    <w:rsid w:val="00B05D0E"/>
    <w:rsid w:val="00B05D11"/>
    <w:rsid w:val="00B05F1B"/>
    <w:rsid w:val="00B05F3D"/>
    <w:rsid w:val="00B06024"/>
    <w:rsid w:val="00B06162"/>
    <w:rsid w:val="00B06430"/>
    <w:rsid w:val="00B066F4"/>
    <w:rsid w:val="00B06780"/>
    <w:rsid w:val="00B0681A"/>
    <w:rsid w:val="00B06846"/>
    <w:rsid w:val="00B06867"/>
    <w:rsid w:val="00B06A4C"/>
    <w:rsid w:val="00B06C8A"/>
    <w:rsid w:val="00B06C8C"/>
    <w:rsid w:val="00B06DC6"/>
    <w:rsid w:val="00B06EBD"/>
    <w:rsid w:val="00B06F4A"/>
    <w:rsid w:val="00B06FB0"/>
    <w:rsid w:val="00B070E3"/>
    <w:rsid w:val="00B07124"/>
    <w:rsid w:val="00B07207"/>
    <w:rsid w:val="00B0734D"/>
    <w:rsid w:val="00B0744C"/>
    <w:rsid w:val="00B07491"/>
    <w:rsid w:val="00B074D2"/>
    <w:rsid w:val="00B074DF"/>
    <w:rsid w:val="00B07501"/>
    <w:rsid w:val="00B0760D"/>
    <w:rsid w:val="00B0773A"/>
    <w:rsid w:val="00B078AC"/>
    <w:rsid w:val="00B0795D"/>
    <w:rsid w:val="00B079D4"/>
    <w:rsid w:val="00B07A5A"/>
    <w:rsid w:val="00B07AE8"/>
    <w:rsid w:val="00B07CCA"/>
    <w:rsid w:val="00B07D27"/>
    <w:rsid w:val="00B07DA8"/>
    <w:rsid w:val="00B07E32"/>
    <w:rsid w:val="00B07F2A"/>
    <w:rsid w:val="00B07F7B"/>
    <w:rsid w:val="00B10222"/>
    <w:rsid w:val="00B1025B"/>
    <w:rsid w:val="00B10320"/>
    <w:rsid w:val="00B103E5"/>
    <w:rsid w:val="00B104B7"/>
    <w:rsid w:val="00B10636"/>
    <w:rsid w:val="00B1069D"/>
    <w:rsid w:val="00B106BE"/>
    <w:rsid w:val="00B107D3"/>
    <w:rsid w:val="00B107E9"/>
    <w:rsid w:val="00B1084C"/>
    <w:rsid w:val="00B1087D"/>
    <w:rsid w:val="00B10901"/>
    <w:rsid w:val="00B109D0"/>
    <w:rsid w:val="00B10A39"/>
    <w:rsid w:val="00B10B86"/>
    <w:rsid w:val="00B11091"/>
    <w:rsid w:val="00B11150"/>
    <w:rsid w:val="00B112ED"/>
    <w:rsid w:val="00B11310"/>
    <w:rsid w:val="00B115AF"/>
    <w:rsid w:val="00B115E7"/>
    <w:rsid w:val="00B1164A"/>
    <w:rsid w:val="00B11830"/>
    <w:rsid w:val="00B118BA"/>
    <w:rsid w:val="00B11928"/>
    <w:rsid w:val="00B1199B"/>
    <w:rsid w:val="00B11A4F"/>
    <w:rsid w:val="00B11A53"/>
    <w:rsid w:val="00B11C3A"/>
    <w:rsid w:val="00B11C5E"/>
    <w:rsid w:val="00B11D31"/>
    <w:rsid w:val="00B11DF2"/>
    <w:rsid w:val="00B11E34"/>
    <w:rsid w:val="00B11F12"/>
    <w:rsid w:val="00B11F7B"/>
    <w:rsid w:val="00B12028"/>
    <w:rsid w:val="00B121B0"/>
    <w:rsid w:val="00B121BD"/>
    <w:rsid w:val="00B1239A"/>
    <w:rsid w:val="00B12408"/>
    <w:rsid w:val="00B12446"/>
    <w:rsid w:val="00B124DD"/>
    <w:rsid w:val="00B125F1"/>
    <w:rsid w:val="00B126DC"/>
    <w:rsid w:val="00B1284F"/>
    <w:rsid w:val="00B1286B"/>
    <w:rsid w:val="00B12947"/>
    <w:rsid w:val="00B12A2F"/>
    <w:rsid w:val="00B12A58"/>
    <w:rsid w:val="00B12A73"/>
    <w:rsid w:val="00B12A9C"/>
    <w:rsid w:val="00B12ABF"/>
    <w:rsid w:val="00B12BFF"/>
    <w:rsid w:val="00B12CEF"/>
    <w:rsid w:val="00B12D36"/>
    <w:rsid w:val="00B12D75"/>
    <w:rsid w:val="00B12DF3"/>
    <w:rsid w:val="00B13038"/>
    <w:rsid w:val="00B1307A"/>
    <w:rsid w:val="00B130FA"/>
    <w:rsid w:val="00B133D8"/>
    <w:rsid w:val="00B1353C"/>
    <w:rsid w:val="00B13543"/>
    <w:rsid w:val="00B1358E"/>
    <w:rsid w:val="00B136BB"/>
    <w:rsid w:val="00B136D5"/>
    <w:rsid w:val="00B1391B"/>
    <w:rsid w:val="00B13998"/>
    <w:rsid w:val="00B13B65"/>
    <w:rsid w:val="00B13BA2"/>
    <w:rsid w:val="00B13C6B"/>
    <w:rsid w:val="00B13CAA"/>
    <w:rsid w:val="00B13CBE"/>
    <w:rsid w:val="00B13DEC"/>
    <w:rsid w:val="00B13FAA"/>
    <w:rsid w:val="00B13FC8"/>
    <w:rsid w:val="00B142CB"/>
    <w:rsid w:val="00B14312"/>
    <w:rsid w:val="00B14384"/>
    <w:rsid w:val="00B143E4"/>
    <w:rsid w:val="00B145B2"/>
    <w:rsid w:val="00B1461C"/>
    <w:rsid w:val="00B1462D"/>
    <w:rsid w:val="00B148D6"/>
    <w:rsid w:val="00B14910"/>
    <w:rsid w:val="00B14943"/>
    <w:rsid w:val="00B14A07"/>
    <w:rsid w:val="00B14AC4"/>
    <w:rsid w:val="00B14CAB"/>
    <w:rsid w:val="00B14DF8"/>
    <w:rsid w:val="00B14E40"/>
    <w:rsid w:val="00B14E51"/>
    <w:rsid w:val="00B14EA3"/>
    <w:rsid w:val="00B1505B"/>
    <w:rsid w:val="00B150B2"/>
    <w:rsid w:val="00B150D1"/>
    <w:rsid w:val="00B1521B"/>
    <w:rsid w:val="00B15342"/>
    <w:rsid w:val="00B153D1"/>
    <w:rsid w:val="00B153FC"/>
    <w:rsid w:val="00B1543F"/>
    <w:rsid w:val="00B1552A"/>
    <w:rsid w:val="00B15549"/>
    <w:rsid w:val="00B1582F"/>
    <w:rsid w:val="00B15A32"/>
    <w:rsid w:val="00B15A6E"/>
    <w:rsid w:val="00B15AF3"/>
    <w:rsid w:val="00B15B00"/>
    <w:rsid w:val="00B15D1F"/>
    <w:rsid w:val="00B15D32"/>
    <w:rsid w:val="00B15D4C"/>
    <w:rsid w:val="00B15E4B"/>
    <w:rsid w:val="00B15F22"/>
    <w:rsid w:val="00B15F88"/>
    <w:rsid w:val="00B16079"/>
    <w:rsid w:val="00B160B2"/>
    <w:rsid w:val="00B16143"/>
    <w:rsid w:val="00B16163"/>
    <w:rsid w:val="00B161B6"/>
    <w:rsid w:val="00B16485"/>
    <w:rsid w:val="00B165F7"/>
    <w:rsid w:val="00B167DD"/>
    <w:rsid w:val="00B168E3"/>
    <w:rsid w:val="00B16CFE"/>
    <w:rsid w:val="00B16D5F"/>
    <w:rsid w:val="00B16E93"/>
    <w:rsid w:val="00B16EF7"/>
    <w:rsid w:val="00B17047"/>
    <w:rsid w:val="00B1709D"/>
    <w:rsid w:val="00B170AD"/>
    <w:rsid w:val="00B170EC"/>
    <w:rsid w:val="00B17357"/>
    <w:rsid w:val="00B17408"/>
    <w:rsid w:val="00B175E2"/>
    <w:rsid w:val="00B17718"/>
    <w:rsid w:val="00B177A9"/>
    <w:rsid w:val="00B178FE"/>
    <w:rsid w:val="00B1790E"/>
    <w:rsid w:val="00B17A2E"/>
    <w:rsid w:val="00B17C3D"/>
    <w:rsid w:val="00B17E92"/>
    <w:rsid w:val="00B200E9"/>
    <w:rsid w:val="00B20218"/>
    <w:rsid w:val="00B20231"/>
    <w:rsid w:val="00B20248"/>
    <w:rsid w:val="00B20435"/>
    <w:rsid w:val="00B20606"/>
    <w:rsid w:val="00B2063C"/>
    <w:rsid w:val="00B206B4"/>
    <w:rsid w:val="00B20BC2"/>
    <w:rsid w:val="00B20E02"/>
    <w:rsid w:val="00B20E3F"/>
    <w:rsid w:val="00B20F66"/>
    <w:rsid w:val="00B21367"/>
    <w:rsid w:val="00B21403"/>
    <w:rsid w:val="00B2145E"/>
    <w:rsid w:val="00B21484"/>
    <w:rsid w:val="00B215CC"/>
    <w:rsid w:val="00B21674"/>
    <w:rsid w:val="00B21725"/>
    <w:rsid w:val="00B21998"/>
    <w:rsid w:val="00B21ADC"/>
    <w:rsid w:val="00B21B27"/>
    <w:rsid w:val="00B21B2B"/>
    <w:rsid w:val="00B21C72"/>
    <w:rsid w:val="00B21CF8"/>
    <w:rsid w:val="00B21ED0"/>
    <w:rsid w:val="00B22316"/>
    <w:rsid w:val="00B224EA"/>
    <w:rsid w:val="00B22554"/>
    <w:rsid w:val="00B2256B"/>
    <w:rsid w:val="00B22669"/>
    <w:rsid w:val="00B226BD"/>
    <w:rsid w:val="00B22750"/>
    <w:rsid w:val="00B2276F"/>
    <w:rsid w:val="00B2277A"/>
    <w:rsid w:val="00B2283D"/>
    <w:rsid w:val="00B22A1C"/>
    <w:rsid w:val="00B22A87"/>
    <w:rsid w:val="00B22C19"/>
    <w:rsid w:val="00B22D3A"/>
    <w:rsid w:val="00B22E90"/>
    <w:rsid w:val="00B22F10"/>
    <w:rsid w:val="00B22F1C"/>
    <w:rsid w:val="00B22FAC"/>
    <w:rsid w:val="00B22FFD"/>
    <w:rsid w:val="00B230F7"/>
    <w:rsid w:val="00B23103"/>
    <w:rsid w:val="00B231C1"/>
    <w:rsid w:val="00B2334E"/>
    <w:rsid w:val="00B233C9"/>
    <w:rsid w:val="00B23532"/>
    <w:rsid w:val="00B23825"/>
    <w:rsid w:val="00B23A1B"/>
    <w:rsid w:val="00B240A7"/>
    <w:rsid w:val="00B241B6"/>
    <w:rsid w:val="00B24265"/>
    <w:rsid w:val="00B24290"/>
    <w:rsid w:val="00B244F0"/>
    <w:rsid w:val="00B2481C"/>
    <w:rsid w:val="00B248C2"/>
    <w:rsid w:val="00B249CB"/>
    <w:rsid w:val="00B24C3C"/>
    <w:rsid w:val="00B24CCF"/>
    <w:rsid w:val="00B24E09"/>
    <w:rsid w:val="00B24E22"/>
    <w:rsid w:val="00B24E5F"/>
    <w:rsid w:val="00B24F03"/>
    <w:rsid w:val="00B24F27"/>
    <w:rsid w:val="00B25353"/>
    <w:rsid w:val="00B254A7"/>
    <w:rsid w:val="00B255F1"/>
    <w:rsid w:val="00B25613"/>
    <w:rsid w:val="00B2588A"/>
    <w:rsid w:val="00B258DD"/>
    <w:rsid w:val="00B258FF"/>
    <w:rsid w:val="00B25943"/>
    <w:rsid w:val="00B25AE4"/>
    <w:rsid w:val="00B25B48"/>
    <w:rsid w:val="00B25C81"/>
    <w:rsid w:val="00B25CCC"/>
    <w:rsid w:val="00B25DDD"/>
    <w:rsid w:val="00B25E7D"/>
    <w:rsid w:val="00B25F05"/>
    <w:rsid w:val="00B25F28"/>
    <w:rsid w:val="00B260C7"/>
    <w:rsid w:val="00B2629C"/>
    <w:rsid w:val="00B2654C"/>
    <w:rsid w:val="00B2661B"/>
    <w:rsid w:val="00B269B8"/>
    <w:rsid w:val="00B26B64"/>
    <w:rsid w:val="00B26D23"/>
    <w:rsid w:val="00B26D38"/>
    <w:rsid w:val="00B26DED"/>
    <w:rsid w:val="00B26EBE"/>
    <w:rsid w:val="00B26ECC"/>
    <w:rsid w:val="00B26F6B"/>
    <w:rsid w:val="00B26FC4"/>
    <w:rsid w:val="00B27053"/>
    <w:rsid w:val="00B27075"/>
    <w:rsid w:val="00B27097"/>
    <w:rsid w:val="00B274D0"/>
    <w:rsid w:val="00B2754D"/>
    <w:rsid w:val="00B27578"/>
    <w:rsid w:val="00B2757B"/>
    <w:rsid w:val="00B2766F"/>
    <w:rsid w:val="00B277D3"/>
    <w:rsid w:val="00B279A5"/>
    <w:rsid w:val="00B27A0B"/>
    <w:rsid w:val="00B27A47"/>
    <w:rsid w:val="00B27A72"/>
    <w:rsid w:val="00B27B9C"/>
    <w:rsid w:val="00B27C83"/>
    <w:rsid w:val="00B27CD0"/>
    <w:rsid w:val="00B27D51"/>
    <w:rsid w:val="00B27ED8"/>
    <w:rsid w:val="00B27F0D"/>
    <w:rsid w:val="00B27FF1"/>
    <w:rsid w:val="00B30015"/>
    <w:rsid w:val="00B300CD"/>
    <w:rsid w:val="00B3017D"/>
    <w:rsid w:val="00B303C8"/>
    <w:rsid w:val="00B30430"/>
    <w:rsid w:val="00B30456"/>
    <w:rsid w:val="00B3049F"/>
    <w:rsid w:val="00B304B0"/>
    <w:rsid w:val="00B306C9"/>
    <w:rsid w:val="00B30784"/>
    <w:rsid w:val="00B307BE"/>
    <w:rsid w:val="00B3095F"/>
    <w:rsid w:val="00B30AE1"/>
    <w:rsid w:val="00B30CBA"/>
    <w:rsid w:val="00B30CDD"/>
    <w:rsid w:val="00B30F23"/>
    <w:rsid w:val="00B30F9F"/>
    <w:rsid w:val="00B30FA9"/>
    <w:rsid w:val="00B310E8"/>
    <w:rsid w:val="00B31118"/>
    <w:rsid w:val="00B311B3"/>
    <w:rsid w:val="00B311F1"/>
    <w:rsid w:val="00B311FF"/>
    <w:rsid w:val="00B3123E"/>
    <w:rsid w:val="00B312EA"/>
    <w:rsid w:val="00B3130B"/>
    <w:rsid w:val="00B31314"/>
    <w:rsid w:val="00B31374"/>
    <w:rsid w:val="00B313D9"/>
    <w:rsid w:val="00B314B3"/>
    <w:rsid w:val="00B315E4"/>
    <w:rsid w:val="00B31623"/>
    <w:rsid w:val="00B31674"/>
    <w:rsid w:val="00B316B0"/>
    <w:rsid w:val="00B31760"/>
    <w:rsid w:val="00B317F1"/>
    <w:rsid w:val="00B31850"/>
    <w:rsid w:val="00B3186D"/>
    <w:rsid w:val="00B318F7"/>
    <w:rsid w:val="00B31ADA"/>
    <w:rsid w:val="00B31B4D"/>
    <w:rsid w:val="00B31C0D"/>
    <w:rsid w:val="00B31CCD"/>
    <w:rsid w:val="00B320D8"/>
    <w:rsid w:val="00B3220E"/>
    <w:rsid w:val="00B32211"/>
    <w:rsid w:val="00B32532"/>
    <w:rsid w:val="00B32652"/>
    <w:rsid w:val="00B326A1"/>
    <w:rsid w:val="00B32703"/>
    <w:rsid w:val="00B32865"/>
    <w:rsid w:val="00B32A47"/>
    <w:rsid w:val="00B32AF6"/>
    <w:rsid w:val="00B32CB6"/>
    <w:rsid w:val="00B33003"/>
    <w:rsid w:val="00B3306D"/>
    <w:rsid w:val="00B33079"/>
    <w:rsid w:val="00B330CC"/>
    <w:rsid w:val="00B331BF"/>
    <w:rsid w:val="00B33230"/>
    <w:rsid w:val="00B332D6"/>
    <w:rsid w:val="00B3341B"/>
    <w:rsid w:val="00B339B3"/>
    <w:rsid w:val="00B33A8B"/>
    <w:rsid w:val="00B33CBD"/>
    <w:rsid w:val="00B33CFB"/>
    <w:rsid w:val="00B33F07"/>
    <w:rsid w:val="00B340F5"/>
    <w:rsid w:val="00B34350"/>
    <w:rsid w:val="00B344EE"/>
    <w:rsid w:val="00B34523"/>
    <w:rsid w:val="00B3476A"/>
    <w:rsid w:val="00B34889"/>
    <w:rsid w:val="00B3494E"/>
    <w:rsid w:val="00B34A1A"/>
    <w:rsid w:val="00B34AFF"/>
    <w:rsid w:val="00B34B24"/>
    <w:rsid w:val="00B34CCB"/>
    <w:rsid w:val="00B34E33"/>
    <w:rsid w:val="00B34FCF"/>
    <w:rsid w:val="00B35064"/>
    <w:rsid w:val="00B350BA"/>
    <w:rsid w:val="00B350C3"/>
    <w:rsid w:val="00B351FB"/>
    <w:rsid w:val="00B3526E"/>
    <w:rsid w:val="00B3537A"/>
    <w:rsid w:val="00B3539B"/>
    <w:rsid w:val="00B353E9"/>
    <w:rsid w:val="00B355E8"/>
    <w:rsid w:val="00B35613"/>
    <w:rsid w:val="00B35631"/>
    <w:rsid w:val="00B356CF"/>
    <w:rsid w:val="00B35916"/>
    <w:rsid w:val="00B35945"/>
    <w:rsid w:val="00B359B0"/>
    <w:rsid w:val="00B359B5"/>
    <w:rsid w:val="00B359B6"/>
    <w:rsid w:val="00B35BCB"/>
    <w:rsid w:val="00B35C05"/>
    <w:rsid w:val="00B35CA5"/>
    <w:rsid w:val="00B35DB7"/>
    <w:rsid w:val="00B35DD3"/>
    <w:rsid w:val="00B35EAD"/>
    <w:rsid w:val="00B35F0C"/>
    <w:rsid w:val="00B35F40"/>
    <w:rsid w:val="00B35FF0"/>
    <w:rsid w:val="00B36057"/>
    <w:rsid w:val="00B36296"/>
    <w:rsid w:val="00B362FB"/>
    <w:rsid w:val="00B3645D"/>
    <w:rsid w:val="00B3649D"/>
    <w:rsid w:val="00B36645"/>
    <w:rsid w:val="00B366DC"/>
    <w:rsid w:val="00B36746"/>
    <w:rsid w:val="00B36759"/>
    <w:rsid w:val="00B368AE"/>
    <w:rsid w:val="00B368F4"/>
    <w:rsid w:val="00B36B13"/>
    <w:rsid w:val="00B36E83"/>
    <w:rsid w:val="00B37137"/>
    <w:rsid w:val="00B3719B"/>
    <w:rsid w:val="00B371C6"/>
    <w:rsid w:val="00B37262"/>
    <w:rsid w:val="00B37291"/>
    <w:rsid w:val="00B372D7"/>
    <w:rsid w:val="00B372FE"/>
    <w:rsid w:val="00B373A8"/>
    <w:rsid w:val="00B373C5"/>
    <w:rsid w:val="00B373D5"/>
    <w:rsid w:val="00B37438"/>
    <w:rsid w:val="00B374BB"/>
    <w:rsid w:val="00B3754A"/>
    <w:rsid w:val="00B37562"/>
    <w:rsid w:val="00B3783C"/>
    <w:rsid w:val="00B378F0"/>
    <w:rsid w:val="00B3795F"/>
    <w:rsid w:val="00B37A4B"/>
    <w:rsid w:val="00B37AEB"/>
    <w:rsid w:val="00B37B10"/>
    <w:rsid w:val="00B37C07"/>
    <w:rsid w:val="00B37C40"/>
    <w:rsid w:val="00B37C57"/>
    <w:rsid w:val="00B37D44"/>
    <w:rsid w:val="00B37D73"/>
    <w:rsid w:val="00B37DF1"/>
    <w:rsid w:val="00B37E5C"/>
    <w:rsid w:val="00B37EB9"/>
    <w:rsid w:val="00B37ED4"/>
    <w:rsid w:val="00B400E5"/>
    <w:rsid w:val="00B4011F"/>
    <w:rsid w:val="00B401B8"/>
    <w:rsid w:val="00B40208"/>
    <w:rsid w:val="00B40235"/>
    <w:rsid w:val="00B40244"/>
    <w:rsid w:val="00B4028A"/>
    <w:rsid w:val="00B402D3"/>
    <w:rsid w:val="00B402DA"/>
    <w:rsid w:val="00B4030F"/>
    <w:rsid w:val="00B4037F"/>
    <w:rsid w:val="00B404C9"/>
    <w:rsid w:val="00B4059E"/>
    <w:rsid w:val="00B40629"/>
    <w:rsid w:val="00B4063C"/>
    <w:rsid w:val="00B406B7"/>
    <w:rsid w:val="00B406F2"/>
    <w:rsid w:val="00B40907"/>
    <w:rsid w:val="00B409EC"/>
    <w:rsid w:val="00B40A10"/>
    <w:rsid w:val="00B40B1A"/>
    <w:rsid w:val="00B40B84"/>
    <w:rsid w:val="00B40BB5"/>
    <w:rsid w:val="00B40D8A"/>
    <w:rsid w:val="00B40EC1"/>
    <w:rsid w:val="00B40F53"/>
    <w:rsid w:val="00B4109F"/>
    <w:rsid w:val="00B41214"/>
    <w:rsid w:val="00B41258"/>
    <w:rsid w:val="00B412BD"/>
    <w:rsid w:val="00B41329"/>
    <w:rsid w:val="00B415B3"/>
    <w:rsid w:val="00B41701"/>
    <w:rsid w:val="00B4172D"/>
    <w:rsid w:val="00B418C4"/>
    <w:rsid w:val="00B4191A"/>
    <w:rsid w:val="00B419D9"/>
    <w:rsid w:val="00B41CCF"/>
    <w:rsid w:val="00B41E8A"/>
    <w:rsid w:val="00B41ECE"/>
    <w:rsid w:val="00B4214C"/>
    <w:rsid w:val="00B421D6"/>
    <w:rsid w:val="00B42254"/>
    <w:rsid w:val="00B423F6"/>
    <w:rsid w:val="00B42457"/>
    <w:rsid w:val="00B424C1"/>
    <w:rsid w:val="00B425A6"/>
    <w:rsid w:val="00B426FE"/>
    <w:rsid w:val="00B42831"/>
    <w:rsid w:val="00B42A07"/>
    <w:rsid w:val="00B42A51"/>
    <w:rsid w:val="00B42B06"/>
    <w:rsid w:val="00B42CC1"/>
    <w:rsid w:val="00B42D14"/>
    <w:rsid w:val="00B42D9C"/>
    <w:rsid w:val="00B43367"/>
    <w:rsid w:val="00B4336D"/>
    <w:rsid w:val="00B43471"/>
    <w:rsid w:val="00B43499"/>
    <w:rsid w:val="00B43540"/>
    <w:rsid w:val="00B4358B"/>
    <w:rsid w:val="00B43789"/>
    <w:rsid w:val="00B43AE7"/>
    <w:rsid w:val="00B43D76"/>
    <w:rsid w:val="00B43E19"/>
    <w:rsid w:val="00B43ED7"/>
    <w:rsid w:val="00B44000"/>
    <w:rsid w:val="00B4406E"/>
    <w:rsid w:val="00B440F7"/>
    <w:rsid w:val="00B44106"/>
    <w:rsid w:val="00B44174"/>
    <w:rsid w:val="00B441E9"/>
    <w:rsid w:val="00B44339"/>
    <w:rsid w:val="00B44413"/>
    <w:rsid w:val="00B44440"/>
    <w:rsid w:val="00B444EE"/>
    <w:rsid w:val="00B44536"/>
    <w:rsid w:val="00B44582"/>
    <w:rsid w:val="00B4462E"/>
    <w:rsid w:val="00B44671"/>
    <w:rsid w:val="00B447C6"/>
    <w:rsid w:val="00B44BC3"/>
    <w:rsid w:val="00B44C25"/>
    <w:rsid w:val="00B44C32"/>
    <w:rsid w:val="00B44C59"/>
    <w:rsid w:val="00B44D20"/>
    <w:rsid w:val="00B44F05"/>
    <w:rsid w:val="00B44FE3"/>
    <w:rsid w:val="00B45005"/>
    <w:rsid w:val="00B450BB"/>
    <w:rsid w:val="00B45746"/>
    <w:rsid w:val="00B4581F"/>
    <w:rsid w:val="00B458B7"/>
    <w:rsid w:val="00B458FF"/>
    <w:rsid w:val="00B45926"/>
    <w:rsid w:val="00B459C8"/>
    <w:rsid w:val="00B45A63"/>
    <w:rsid w:val="00B45AF4"/>
    <w:rsid w:val="00B45B3A"/>
    <w:rsid w:val="00B45BDF"/>
    <w:rsid w:val="00B45CE8"/>
    <w:rsid w:val="00B45DE1"/>
    <w:rsid w:val="00B45E2D"/>
    <w:rsid w:val="00B45FB8"/>
    <w:rsid w:val="00B45FD9"/>
    <w:rsid w:val="00B4618E"/>
    <w:rsid w:val="00B46581"/>
    <w:rsid w:val="00B465FA"/>
    <w:rsid w:val="00B468E0"/>
    <w:rsid w:val="00B4695B"/>
    <w:rsid w:val="00B46A3A"/>
    <w:rsid w:val="00B46A98"/>
    <w:rsid w:val="00B46AA9"/>
    <w:rsid w:val="00B46B6F"/>
    <w:rsid w:val="00B46CE0"/>
    <w:rsid w:val="00B46CF4"/>
    <w:rsid w:val="00B46F01"/>
    <w:rsid w:val="00B46F0E"/>
    <w:rsid w:val="00B46F2C"/>
    <w:rsid w:val="00B46F51"/>
    <w:rsid w:val="00B47190"/>
    <w:rsid w:val="00B4746C"/>
    <w:rsid w:val="00B47509"/>
    <w:rsid w:val="00B47571"/>
    <w:rsid w:val="00B47C04"/>
    <w:rsid w:val="00B47CE8"/>
    <w:rsid w:val="00B47D76"/>
    <w:rsid w:val="00B47EE7"/>
    <w:rsid w:val="00B47F49"/>
    <w:rsid w:val="00B50000"/>
    <w:rsid w:val="00B502D5"/>
    <w:rsid w:val="00B5068B"/>
    <w:rsid w:val="00B50842"/>
    <w:rsid w:val="00B5087F"/>
    <w:rsid w:val="00B508A2"/>
    <w:rsid w:val="00B5092C"/>
    <w:rsid w:val="00B5100C"/>
    <w:rsid w:val="00B5109C"/>
    <w:rsid w:val="00B510C4"/>
    <w:rsid w:val="00B5112A"/>
    <w:rsid w:val="00B512CA"/>
    <w:rsid w:val="00B51329"/>
    <w:rsid w:val="00B51439"/>
    <w:rsid w:val="00B5146F"/>
    <w:rsid w:val="00B515C6"/>
    <w:rsid w:val="00B51687"/>
    <w:rsid w:val="00B516BF"/>
    <w:rsid w:val="00B5170E"/>
    <w:rsid w:val="00B5173A"/>
    <w:rsid w:val="00B517D9"/>
    <w:rsid w:val="00B51855"/>
    <w:rsid w:val="00B51981"/>
    <w:rsid w:val="00B519F8"/>
    <w:rsid w:val="00B51B00"/>
    <w:rsid w:val="00B51BD5"/>
    <w:rsid w:val="00B51C47"/>
    <w:rsid w:val="00B51DE9"/>
    <w:rsid w:val="00B51DEF"/>
    <w:rsid w:val="00B51E7E"/>
    <w:rsid w:val="00B51E9D"/>
    <w:rsid w:val="00B52000"/>
    <w:rsid w:val="00B52073"/>
    <w:rsid w:val="00B52607"/>
    <w:rsid w:val="00B5273C"/>
    <w:rsid w:val="00B52ADA"/>
    <w:rsid w:val="00B52B8A"/>
    <w:rsid w:val="00B52BBC"/>
    <w:rsid w:val="00B52C70"/>
    <w:rsid w:val="00B52CC2"/>
    <w:rsid w:val="00B52DCD"/>
    <w:rsid w:val="00B52F6B"/>
    <w:rsid w:val="00B52FED"/>
    <w:rsid w:val="00B53008"/>
    <w:rsid w:val="00B53065"/>
    <w:rsid w:val="00B532A5"/>
    <w:rsid w:val="00B532F1"/>
    <w:rsid w:val="00B5356D"/>
    <w:rsid w:val="00B53864"/>
    <w:rsid w:val="00B53881"/>
    <w:rsid w:val="00B53923"/>
    <w:rsid w:val="00B53AA2"/>
    <w:rsid w:val="00B53C5A"/>
    <w:rsid w:val="00B53CE3"/>
    <w:rsid w:val="00B53D4F"/>
    <w:rsid w:val="00B53EAB"/>
    <w:rsid w:val="00B53EEE"/>
    <w:rsid w:val="00B54093"/>
    <w:rsid w:val="00B54126"/>
    <w:rsid w:val="00B5412D"/>
    <w:rsid w:val="00B5428D"/>
    <w:rsid w:val="00B542F4"/>
    <w:rsid w:val="00B544C7"/>
    <w:rsid w:val="00B54593"/>
    <w:rsid w:val="00B54636"/>
    <w:rsid w:val="00B5485A"/>
    <w:rsid w:val="00B54A41"/>
    <w:rsid w:val="00B54A8A"/>
    <w:rsid w:val="00B54B11"/>
    <w:rsid w:val="00B54D34"/>
    <w:rsid w:val="00B54EA2"/>
    <w:rsid w:val="00B55062"/>
    <w:rsid w:val="00B550D8"/>
    <w:rsid w:val="00B5510E"/>
    <w:rsid w:val="00B5517D"/>
    <w:rsid w:val="00B55408"/>
    <w:rsid w:val="00B5546D"/>
    <w:rsid w:val="00B555E1"/>
    <w:rsid w:val="00B5562E"/>
    <w:rsid w:val="00B55701"/>
    <w:rsid w:val="00B558A6"/>
    <w:rsid w:val="00B55B00"/>
    <w:rsid w:val="00B55B5C"/>
    <w:rsid w:val="00B55BA5"/>
    <w:rsid w:val="00B55C22"/>
    <w:rsid w:val="00B55CEB"/>
    <w:rsid w:val="00B55D72"/>
    <w:rsid w:val="00B55DD8"/>
    <w:rsid w:val="00B55E5D"/>
    <w:rsid w:val="00B55FB3"/>
    <w:rsid w:val="00B55FE1"/>
    <w:rsid w:val="00B5601C"/>
    <w:rsid w:val="00B5606E"/>
    <w:rsid w:val="00B56092"/>
    <w:rsid w:val="00B56145"/>
    <w:rsid w:val="00B5629E"/>
    <w:rsid w:val="00B56376"/>
    <w:rsid w:val="00B563A6"/>
    <w:rsid w:val="00B563BB"/>
    <w:rsid w:val="00B56419"/>
    <w:rsid w:val="00B564D7"/>
    <w:rsid w:val="00B56608"/>
    <w:rsid w:val="00B56722"/>
    <w:rsid w:val="00B56819"/>
    <w:rsid w:val="00B56841"/>
    <w:rsid w:val="00B569ED"/>
    <w:rsid w:val="00B56D6F"/>
    <w:rsid w:val="00B5703E"/>
    <w:rsid w:val="00B57074"/>
    <w:rsid w:val="00B5707E"/>
    <w:rsid w:val="00B570BE"/>
    <w:rsid w:val="00B5720E"/>
    <w:rsid w:val="00B57262"/>
    <w:rsid w:val="00B5726F"/>
    <w:rsid w:val="00B57396"/>
    <w:rsid w:val="00B57428"/>
    <w:rsid w:val="00B5745E"/>
    <w:rsid w:val="00B575D8"/>
    <w:rsid w:val="00B57647"/>
    <w:rsid w:val="00B576A9"/>
    <w:rsid w:val="00B57799"/>
    <w:rsid w:val="00B57881"/>
    <w:rsid w:val="00B578E2"/>
    <w:rsid w:val="00B57AFF"/>
    <w:rsid w:val="00B57B68"/>
    <w:rsid w:val="00B57BA0"/>
    <w:rsid w:val="00B57F81"/>
    <w:rsid w:val="00B60011"/>
    <w:rsid w:val="00B6023B"/>
    <w:rsid w:val="00B60307"/>
    <w:rsid w:val="00B605DB"/>
    <w:rsid w:val="00B60676"/>
    <w:rsid w:val="00B606A2"/>
    <w:rsid w:val="00B606FD"/>
    <w:rsid w:val="00B607F9"/>
    <w:rsid w:val="00B60A00"/>
    <w:rsid w:val="00B60C6D"/>
    <w:rsid w:val="00B60D5B"/>
    <w:rsid w:val="00B60D71"/>
    <w:rsid w:val="00B60E0D"/>
    <w:rsid w:val="00B60F25"/>
    <w:rsid w:val="00B610DD"/>
    <w:rsid w:val="00B6117E"/>
    <w:rsid w:val="00B611B8"/>
    <w:rsid w:val="00B611FB"/>
    <w:rsid w:val="00B61394"/>
    <w:rsid w:val="00B613A4"/>
    <w:rsid w:val="00B613AB"/>
    <w:rsid w:val="00B613F4"/>
    <w:rsid w:val="00B61448"/>
    <w:rsid w:val="00B614BB"/>
    <w:rsid w:val="00B615EA"/>
    <w:rsid w:val="00B6161E"/>
    <w:rsid w:val="00B6168D"/>
    <w:rsid w:val="00B617DD"/>
    <w:rsid w:val="00B618D6"/>
    <w:rsid w:val="00B61908"/>
    <w:rsid w:val="00B61EF1"/>
    <w:rsid w:val="00B61F78"/>
    <w:rsid w:val="00B6265D"/>
    <w:rsid w:val="00B62673"/>
    <w:rsid w:val="00B627A9"/>
    <w:rsid w:val="00B628DC"/>
    <w:rsid w:val="00B62964"/>
    <w:rsid w:val="00B62999"/>
    <w:rsid w:val="00B62AA2"/>
    <w:rsid w:val="00B62B35"/>
    <w:rsid w:val="00B62B48"/>
    <w:rsid w:val="00B62BCE"/>
    <w:rsid w:val="00B62BE3"/>
    <w:rsid w:val="00B62C0B"/>
    <w:rsid w:val="00B62CBE"/>
    <w:rsid w:val="00B62D18"/>
    <w:rsid w:val="00B62DA5"/>
    <w:rsid w:val="00B63080"/>
    <w:rsid w:val="00B631B9"/>
    <w:rsid w:val="00B632AC"/>
    <w:rsid w:val="00B632DF"/>
    <w:rsid w:val="00B6347A"/>
    <w:rsid w:val="00B635DE"/>
    <w:rsid w:val="00B63695"/>
    <w:rsid w:val="00B637AF"/>
    <w:rsid w:val="00B63B4B"/>
    <w:rsid w:val="00B63C52"/>
    <w:rsid w:val="00B63D09"/>
    <w:rsid w:val="00B63D3F"/>
    <w:rsid w:val="00B63DAF"/>
    <w:rsid w:val="00B63DCA"/>
    <w:rsid w:val="00B63F07"/>
    <w:rsid w:val="00B640AC"/>
    <w:rsid w:val="00B641C0"/>
    <w:rsid w:val="00B64210"/>
    <w:rsid w:val="00B6431D"/>
    <w:rsid w:val="00B64498"/>
    <w:rsid w:val="00B64719"/>
    <w:rsid w:val="00B6472D"/>
    <w:rsid w:val="00B647AC"/>
    <w:rsid w:val="00B647B5"/>
    <w:rsid w:val="00B64823"/>
    <w:rsid w:val="00B64D30"/>
    <w:rsid w:val="00B64D66"/>
    <w:rsid w:val="00B64E33"/>
    <w:rsid w:val="00B64ECB"/>
    <w:rsid w:val="00B651AB"/>
    <w:rsid w:val="00B65225"/>
    <w:rsid w:val="00B65261"/>
    <w:rsid w:val="00B65285"/>
    <w:rsid w:val="00B65286"/>
    <w:rsid w:val="00B65374"/>
    <w:rsid w:val="00B65793"/>
    <w:rsid w:val="00B65856"/>
    <w:rsid w:val="00B658FF"/>
    <w:rsid w:val="00B65992"/>
    <w:rsid w:val="00B6599D"/>
    <w:rsid w:val="00B65A9D"/>
    <w:rsid w:val="00B65C9E"/>
    <w:rsid w:val="00B65DEB"/>
    <w:rsid w:val="00B66042"/>
    <w:rsid w:val="00B6622E"/>
    <w:rsid w:val="00B66395"/>
    <w:rsid w:val="00B66442"/>
    <w:rsid w:val="00B66470"/>
    <w:rsid w:val="00B664AC"/>
    <w:rsid w:val="00B66642"/>
    <w:rsid w:val="00B666B1"/>
    <w:rsid w:val="00B6677D"/>
    <w:rsid w:val="00B66835"/>
    <w:rsid w:val="00B668A0"/>
    <w:rsid w:val="00B66F3C"/>
    <w:rsid w:val="00B66F46"/>
    <w:rsid w:val="00B66FC6"/>
    <w:rsid w:val="00B67067"/>
    <w:rsid w:val="00B67130"/>
    <w:rsid w:val="00B671A9"/>
    <w:rsid w:val="00B671B0"/>
    <w:rsid w:val="00B673EF"/>
    <w:rsid w:val="00B674A0"/>
    <w:rsid w:val="00B675D7"/>
    <w:rsid w:val="00B67659"/>
    <w:rsid w:val="00B67713"/>
    <w:rsid w:val="00B67759"/>
    <w:rsid w:val="00B678F5"/>
    <w:rsid w:val="00B67A71"/>
    <w:rsid w:val="00B67A95"/>
    <w:rsid w:val="00B67B6F"/>
    <w:rsid w:val="00B67EA9"/>
    <w:rsid w:val="00B67FE8"/>
    <w:rsid w:val="00B7005F"/>
    <w:rsid w:val="00B70127"/>
    <w:rsid w:val="00B702AC"/>
    <w:rsid w:val="00B7032D"/>
    <w:rsid w:val="00B7056D"/>
    <w:rsid w:val="00B705F4"/>
    <w:rsid w:val="00B7079B"/>
    <w:rsid w:val="00B707F4"/>
    <w:rsid w:val="00B7085D"/>
    <w:rsid w:val="00B709E8"/>
    <w:rsid w:val="00B70A8A"/>
    <w:rsid w:val="00B70C6B"/>
    <w:rsid w:val="00B70C9A"/>
    <w:rsid w:val="00B70D5C"/>
    <w:rsid w:val="00B70F67"/>
    <w:rsid w:val="00B71169"/>
    <w:rsid w:val="00B711D1"/>
    <w:rsid w:val="00B7123F"/>
    <w:rsid w:val="00B7138F"/>
    <w:rsid w:val="00B7149D"/>
    <w:rsid w:val="00B714B8"/>
    <w:rsid w:val="00B715D6"/>
    <w:rsid w:val="00B7191B"/>
    <w:rsid w:val="00B71985"/>
    <w:rsid w:val="00B71DE5"/>
    <w:rsid w:val="00B71F35"/>
    <w:rsid w:val="00B721C5"/>
    <w:rsid w:val="00B72234"/>
    <w:rsid w:val="00B72270"/>
    <w:rsid w:val="00B72306"/>
    <w:rsid w:val="00B723D4"/>
    <w:rsid w:val="00B723EF"/>
    <w:rsid w:val="00B72424"/>
    <w:rsid w:val="00B72476"/>
    <w:rsid w:val="00B72757"/>
    <w:rsid w:val="00B727AB"/>
    <w:rsid w:val="00B72844"/>
    <w:rsid w:val="00B72869"/>
    <w:rsid w:val="00B729C8"/>
    <w:rsid w:val="00B729CE"/>
    <w:rsid w:val="00B72A27"/>
    <w:rsid w:val="00B72AA6"/>
    <w:rsid w:val="00B72BF4"/>
    <w:rsid w:val="00B72D28"/>
    <w:rsid w:val="00B7306A"/>
    <w:rsid w:val="00B73132"/>
    <w:rsid w:val="00B7326A"/>
    <w:rsid w:val="00B73326"/>
    <w:rsid w:val="00B73342"/>
    <w:rsid w:val="00B73411"/>
    <w:rsid w:val="00B7347E"/>
    <w:rsid w:val="00B73730"/>
    <w:rsid w:val="00B737AE"/>
    <w:rsid w:val="00B737CB"/>
    <w:rsid w:val="00B73817"/>
    <w:rsid w:val="00B73869"/>
    <w:rsid w:val="00B7390A"/>
    <w:rsid w:val="00B7391D"/>
    <w:rsid w:val="00B73920"/>
    <w:rsid w:val="00B739B8"/>
    <w:rsid w:val="00B73B79"/>
    <w:rsid w:val="00B73CAB"/>
    <w:rsid w:val="00B73DDF"/>
    <w:rsid w:val="00B7402B"/>
    <w:rsid w:val="00B74141"/>
    <w:rsid w:val="00B74166"/>
    <w:rsid w:val="00B742CD"/>
    <w:rsid w:val="00B743B9"/>
    <w:rsid w:val="00B74474"/>
    <w:rsid w:val="00B744B3"/>
    <w:rsid w:val="00B74562"/>
    <w:rsid w:val="00B74621"/>
    <w:rsid w:val="00B74764"/>
    <w:rsid w:val="00B7483D"/>
    <w:rsid w:val="00B7487E"/>
    <w:rsid w:val="00B74DA9"/>
    <w:rsid w:val="00B74DBE"/>
    <w:rsid w:val="00B74DE8"/>
    <w:rsid w:val="00B75072"/>
    <w:rsid w:val="00B75148"/>
    <w:rsid w:val="00B75374"/>
    <w:rsid w:val="00B75462"/>
    <w:rsid w:val="00B75468"/>
    <w:rsid w:val="00B754FE"/>
    <w:rsid w:val="00B75517"/>
    <w:rsid w:val="00B75538"/>
    <w:rsid w:val="00B757A6"/>
    <w:rsid w:val="00B7583B"/>
    <w:rsid w:val="00B758E9"/>
    <w:rsid w:val="00B75986"/>
    <w:rsid w:val="00B759E9"/>
    <w:rsid w:val="00B75BBF"/>
    <w:rsid w:val="00B75C56"/>
    <w:rsid w:val="00B75DEB"/>
    <w:rsid w:val="00B760EA"/>
    <w:rsid w:val="00B76108"/>
    <w:rsid w:val="00B761BD"/>
    <w:rsid w:val="00B7622E"/>
    <w:rsid w:val="00B7625B"/>
    <w:rsid w:val="00B762D3"/>
    <w:rsid w:val="00B76319"/>
    <w:rsid w:val="00B7644F"/>
    <w:rsid w:val="00B76475"/>
    <w:rsid w:val="00B76494"/>
    <w:rsid w:val="00B7686B"/>
    <w:rsid w:val="00B76942"/>
    <w:rsid w:val="00B76A11"/>
    <w:rsid w:val="00B76C7A"/>
    <w:rsid w:val="00B76D4D"/>
    <w:rsid w:val="00B76D9F"/>
    <w:rsid w:val="00B76DD9"/>
    <w:rsid w:val="00B76F4E"/>
    <w:rsid w:val="00B76F90"/>
    <w:rsid w:val="00B7733F"/>
    <w:rsid w:val="00B774E3"/>
    <w:rsid w:val="00B775E1"/>
    <w:rsid w:val="00B7760E"/>
    <w:rsid w:val="00B778D2"/>
    <w:rsid w:val="00B77974"/>
    <w:rsid w:val="00B779F2"/>
    <w:rsid w:val="00B77B2C"/>
    <w:rsid w:val="00B77BA7"/>
    <w:rsid w:val="00B77C4B"/>
    <w:rsid w:val="00B77C51"/>
    <w:rsid w:val="00B77D6A"/>
    <w:rsid w:val="00B77E13"/>
    <w:rsid w:val="00B77EC8"/>
    <w:rsid w:val="00B77FDE"/>
    <w:rsid w:val="00B77FEA"/>
    <w:rsid w:val="00B80078"/>
    <w:rsid w:val="00B80114"/>
    <w:rsid w:val="00B8033D"/>
    <w:rsid w:val="00B8048E"/>
    <w:rsid w:val="00B804B1"/>
    <w:rsid w:val="00B804CB"/>
    <w:rsid w:val="00B8052D"/>
    <w:rsid w:val="00B805DA"/>
    <w:rsid w:val="00B805E0"/>
    <w:rsid w:val="00B8061F"/>
    <w:rsid w:val="00B806D0"/>
    <w:rsid w:val="00B80B5B"/>
    <w:rsid w:val="00B80C7D"/>
    <w:rsid w:val="00B80DE5"/>
    <w:rsid w:val="00B80E6F"/>
    <w:rsid w:val="00B80EB7"/>
    <w:rsid w:val="00B811F1"/>
    <w:rsid w:val="00B812C8"/>
    <w:rsid w:val="00B81369"/>
    <w:rsid w:val="00B813DE"/>
    <w:rsid w:val="00B81418"/>
    <w:rsid w:val="00B81628"/>
    <w:rsid w:val="00B818CF"/>
    <w:rsid w:val="00B8192F"/>
    <w:rsid w:val="00B81A11"/>
    <w:rsid w:val="00B81AB9"/>
    <w:rsid w:val="00B81B08"/>
    <w:rsid w:val="00B81B21"/>
    <w:rsid w:val="00B81B2D"/>
    <w:rsid w:val="00B81C49"/>
    <w:rsid w:val="00B81F7C"/>
    <w:rsid w:val="00B825E6"/>
    <w:rsid w:val="00B82736"/>
    <w:rsid w:val="00B827DF"/>
    <w:rsid w:val="00B828F9"/>
    <w:rsid w:val="00B82A76"/>
    <w:rsid w:val="00B82C4D"/>
    <w:rsid w:val="00B82DF8"/>
    <w:rsid w:val="00B82E9B"/>
    <w:rsid w:val="00B82ECD"/>
    <w:rsid w:val="00B83092"/>
    <w:rsid w:val="00B832C7"/>
    <w:rsid w:val="00B8346E"/>
    <w:rsid w:val="00B8349B"/>
    <w:rsid w:val="00B83540"/>
    <w:rsid w:val="00B83555"/>
    <w:rsid w:val="00B83583"/>
    <w:rsid w:val="00B838D8"/>
    <w:rsid w:val="00B8393B"/>
    <w:rsid w:val="00B83943"/>
    <w:rsid w:val="00B83BBE"/>
    <w:rsid w:val="00B83F66"/>
    <w:rsid w:val="00B8411F"/>
    <w:rsid w:val="00B8421C"/>
    <w:rsid w:val="00B846F6"/>
    <w:rsid w:val="00B84A2D"/>
    <w:rsid w:val="00B84BD4"/>
    <w:rsid w:val="00B84BDF"/>
    <w:rsid w:val="00B84C39"/>
    <w:rsid w:val="00B84CD8"/>
    <w:rsid w:val="00B84F2E"/>
    <w:rsid w:val="00B85029"/>
    <w:rsid w:val="00B85136"/>
    <w:rsid w:val="00B85191"/>
    <w:rsid w:val="00B8520B"/>
    <w:rsid w:val="00B85343"/>
    <w:rsid w:val="00B85488"/>
    <w:rsid w:val="00B855BC"/>
    <w:rsid w:val="00B8563C"/>
    <w:rsid w:val="00B85984"/>
    <w:rsid w:val="00B85AFC"/>
    <w:rsid w:val="00B85C81"/>
    <w:rsid w:val="00B85CD5"/>
    <w:rsid w:val="00B85D30"/>
    <w:rsid w:val="00B85DCF"/>
    <w:rsid w:val="00B85EA3"/>
    <w:rsid w:val="00B85FBE"/>
    <w:rsid w:val="00B85FDD"/>
    <w:rsid w:val="00B86135"/>
    <w:rsid w:val="00B86358"/>
    <w:rsid w:val="00B863B3"/>
    <w:rsid w:val="00B86400"/>
    <w:rsid w:val="00B8695A"/>
    <w:rsid w:val="00B86BE4"/>
    <w:rsid w:val="00B86C65"/>
    <w:rsid w:val="00B86DD6"/>
    <w:rsid w:val="00B870FD"/>
    <w:rsid w:val="00B87122"/>
    <w:rsid w:val="00B87125"/>
    <w:rsid w:val="00B87244"/>
    <w:rsid w:val="00B8726D"/>
    <w:rsid w:val="00B87309"/>
    <w:rsid w:val="00B87477"/>
    <w:rsid w:val="00B874B1"/>
    <w:rsid w:val="00B87546"/>
    <w:rsid w:val="00B87619"/>
    <w:rsid w:val="00B87626"/>
    <w:rsid w:val="00B878F6"/>
    <w:rsid w:val="00B879C6"/>
    <w:rsid w:val="00B879F6"/>
    <w:rsid w:val="00B87C15"/>
    <w:rsid w:val="00B87CB1"/>
    <w:rsid w:val="00B87D67"/>
    <w:rsid w:val="00B87DC1"/>
    <w:rsid w:val="00B87DE4"/>
    <w:rsid w:val="00B87E26"/>
    <w:rsid w:val="00B87E4D"/>
    <w:rsid w:val="00B87EF0"/>
    <w:rsid w:val="00B901A6"/>
    <w:rsid w:val="00B9029D"/>
    <w:rsid w:val="00B90593"/>
    <w:rsid w:val="00B905E6"/>
    <w:rsid w:val="00B90608"/>
    <w:rsid w:val="00B9077F"/>
    <w:rsid w:val="00B907D0"/>
    <w:rsid w:val="00B90932"/>
    <w:rsid w:val="00B90A40"/>
    <w:rsid w:val="00B90A6E"/>
    <w:rsid w:val="00B90AC2"/>
    <w:rsid w:val="00B90D63"/>
    <w:rsid w:val="00B90D6C"/>
    <w:rsid w:val="00B90E68"/>
    <w:rsid w:val="00B90E9A"/>
    <w:rsid w:val="00B90F60"/>
    <w:rsid w:val="00B9104E"/>
    <w:rsid w:val="00B9107F"/>
    <w:rsid w:val="00B915D6"/>
    <w:rsid w:val="00B91627"/>
    <w:rsid w:val="00B91840"/>
    <w:rsid w:val="00B91851"/>
    <w:rsid w:val="00B919BD"/>
    <w:rsid w:val="00B91C23"/>
    <w:rsid w:val="00B91CC4"/>
    <w:rsid w:val="00B91D63"/>
    <w:rsid w:val="00B91D8E"/>
    <w:rsid w:val="00B91E19"/>
    <w:rsid w:val="00B91E6D"/>
    <w:rsid w:val="00B91F54"/>
    <w:rsid w:val="00B921EF"/>
    <w:rsid w:val="00B92249"/>
    <w:rsid w:val="00B9238C"/>
    <w:rsid w:val="00B923B7"/>
    <w:rsid w:val="00B92631"/>
    <w:rsid w:val="00B92837"/>
    <w:rsid w:val="00B92905"/>
    <w:rsid w:val="00B92A65"/>
    <w:rsid w:val="00B92B12"/>
    <w:rsid w:val="00B92B38"/>
    <w:rsid w:val="00B92C74"/>
    <w:rsid w:val="00B92CCD"/>
    <w:rsid w:val="00B92D8B"/>
    <w:rsid w:val="00B92DB2"/>
    <w:rsid w:val="00B92DBC"/>
    <w:rsid w:val="00B92DF3"/>
    <w:rsid w:val="00B92E82"/>
    <w:rsid w:val="00B92EE9"/>
    <w:rsid w:val="00B92F5E"/>
    <w:rsid w:val="00B93106"/>
    <w:rsid w:val="00B935EE"/>
    <w:rsid w:val="00B936FE"/>
    <w:rsid w:val="00B9381D"/>
    <w:rsid w:val="00B9386A"/>
    <w:rsid w:val="00B9395A"/>
    <w:rsid w:val="00B93988"/>
    <w:rsid w:val="00B939F0"/>
    <w:rsid w:val="00B93AA1"/>
    <w:rsid w:val="00B93C35"/>
    <w:rsid w:val="00B93C82"/>
    <w:rsid w:val="00B93F81"/>
    <w:rsid w:val="00B9424C"/>
    <w:rsid w:val="00B942D9"/>
    <w:rsid w:val="00B94537"/>
    <w:rsid w:val="00B94575"/>
    <w:rsid w:val="00B947DA"/>
    <w:rsid w:val="00B94812"/>
    <w:rsid w:val="00B9498D"/>
    <w:rsid w:val="00B949E8"/>
    <w:rsid w:val="00B94A5A"/>
    <w:rsid w:val="00B94A6B"/>
    <w:rsid w:val="00B94A99"/>
    <w:rsid w:val="00B94AEF"/>
    <w:rsid w:val="00B94BFC"/>
    <w:rsid w:val="00B94C1C"/>
    <w:rsid w:val="00B94D05"/>
    <w:rsid w:val="00B94DBF"/>
    <w:rsid w:val="00B94E5A"/>
    <w:rsid w:val="00B94EDB"/>
    <w:rsid w:val="00B953ED"/>
    <w:rsid w:val="00B95412"/>
    <w:rsid w:val="00B9548E"/>
    <w:rsid w:val="00B954CA"/>
    <w:rsid w:val="00B95637"/>
    <w:rsid w:val="00B9581D"/>
    <w:rsid w:val="00B95B65"/>
    <w:rsid w:val="00B95BB0"/>
    <w:rsid w:val="00B95C25"/>
    <w:rsid w:val="00B95C42"/>
    <w:rsid w:val="00B95D0E"/>
    <w:rsid w:val="00B95D6E"/>
    <w:rsid w:val="00B95ED4"/>
    <w:rsid w:val="00B96078"/>
    <w:rsid w:val="00B960B9"/>
    <w:rsid w:val="00B96181"/>
    <w:rsid w:val="00B962E3"/>
    <w:rsid w:val="00B966A7"/>
    <w:rsid w:val="00B9693D"/>
    <w:rsid w:val="00B969A7"/>
    <w:rsid w:val="00B96A50"/>
    <w:rsid w:val="00B96AD0"/>
    <w:rsid w:val="00B96C21"/>
    <w:rsid w:val="00B96F6D"/>
    <w:rsid w:val="00B97017"/>
    <w:rsid w:val="00B972AD"/>
    <w:rsid w:val="00B975D9"/>
    <w:rsid w:val="00B9765F"/>
    <w:rsid w:val="00B9766F"/>
    <w:rsid w:val="00B97677"/>
    <w:rsid w:val="00B976F7"/>
    <w:rsid w:val="00B976FC"/>
    <w:rsid w:val="00B97811"/>
    <w:rsid w:val="00B978E6"/>
    <w:rsid w:val="00B979CC"/>
    <w:rsid w:val="00B97AFE"/>
    <w:rsid w:val="00B97B25"/>
    <w:rsid w:val="00B97BCD"/>
    <w:rsid w:val="00B97C6D"/>
    <w:rsid w:val="00B97C85"/>
    <w:rsid w:val="00B97E73"/>
    <w:rsid w:val="00B97F75"/>
    <w:rsid w:val="00BA004A"/>
    <w:rsid w:val="00BA02FC"/>
    <w:rsid w:val="00BA0363"/>
    <w:rsid w:val="00BA0404"/>
    <w:rsid w:val="00BA0574"/>
    <w:rsid w:val="00BA0802"/>
    <w:rsid w:val="00BA0A8C"/>
    <w:rsid w:val="00BA0C2C"/>
    <w:rsid w:val="00BA0C68"/>
    <w:rsid w:val="00BA0C8F"/>
    <w:rsid w:val="00BA0F84"/>
    <w:rsid w:val="00BA0FC2"/>
    <w:rsid w:val="00BA0FF4"/>
    <w:rsid w:val="00BA1145"/>
    <w:rsid w:val="00BA11AB"/>
    <w:rsid w:val="00BA1376"/>
    <w:rsid w:val="00BA14CB"/>
    <w:rsid w:val="00BA1765"/>
    <w:rsid w:val="00BA17D8"/>
    <w:rsid w:val="00BA197B"/>
    <w:rsid w:val="00BA1983"/>
    <w:rsid w:val="00BA1B5B"/>
    <w:rsid w:val="00BA1B80"/>
    <w:rsid w:val="00BA1BB1"/>
    <w:rsid w:val="00BA1BCD"/>
    <w:rsid w:val="00BA1CB3"/>
    <w:rsid w:val="00BA1E99"/>
    <w:rsid w:val="00BA2002"/>
    <w:rsid w:val="00BA21E0"/>
    <w:rsid w:val="00BA2346"/>
    <w:rsid w:val="00BA24B1"/>
    <w:rsid w:val="00BA2648"/>
    <w:rsid w:val="00BA27C0"/>
    <w:rsid w:val="00BA2838"/>
    <w:rsid w:val="00BA2951"/>
    <w:rsid w:val="00BA2A2F"/>
    <w:rsid w:val="00BA2A3C"/>
    <w:rsid w:val="00BA2ACB"/>
    <w:rsid w:val="00BA2FCE"/>
    <w:rsid w:val="00BA3109"/>
    <w:rsid w:val="00BA3144"/>
    <w:rsid w:val="00BA32BB"/>
    <w:rsid w:val="00BA3303"/>
    <w:rsid w:val="00BA330D"/>
    <w:rsid w:val="00BA3376"/>
    <w:rsid w:val="00BA34C7"/>
    <w:rsid w:val="00BA35BE"/>
    <w:rsid w:val="00BA35E9"/>
    <w:rsid w:val="00BA369F"/>
    <w:rsid w:val="00BA3707"/>
    <w:rsid w:val="00BA37E4"/>
    <w:rsid w:val="00BA38EE"/>
    <w:rsid w:val="00BA3983"/>
    <w:rsid w:val="00BA3A45"/>
    <w:rsid w:val="00BA3AF4"/>
    <w:rsid w:val="00BA3AFA"/>
    <w:rsid w:val="00BA3C93"/>
    <w:rsid w:val="00BA3D81"/>
    <w:rsid w:val="00BA3DDB"/>
    <w:rsid w:val="00BA3DEC"/>
    <w:rsid w:val="00BA3E12"/>
    <w:rsid w:val="00BA4162"/>
    <w:rsid w:val="00BA4163"/>
    <w:rsid w:val="00BA4232"/>
    <w:rsid w:val="00BA4307"/>
    <w:rsid w:val="00BA4347"/>
    <w:rsid w:val="00BA43A8"/>
    <w:rsid w:val="00BA43AD"/>
    <w:rsid w:val="00BA45B6"/>
    <w:rsid w:val="00BA46D2"/>
    <w:rsid w:val="00BA472E"/>
    <w:rsid w:val="00BA483D"/>
    <w:rsid w:val="00BA487D"/>
    <w:rsid w:val="00BA48C1"/>
    <w:rsid w:val="00BA4A2E"/>
    <w:rsid w:val="00BA4AFC"/>
    <w:rsid w:val="00BA4C59"/>
    <w:rsid w:val="00BA4C72"/>
    <w:rsid w:val="00BA4C8F"/>
    <w:rsid w:val="00BA5023"/>
    <w:rsid w:val="00BA51E9"/>
    <w:rsid w:val="00BA51F8"/>
    <w:rsid w:val="00BA5432"/>
    <w:rsid w:val="00BA55AD"/>
    <w:rsid w:val="00BA567E"/>
    <w:rsid w:val="00BA579E"/>
    <w:rsid w:val="00BA57DF"/>
    <w:rsid w:val="00BA57FF"/>
    <w:rsid w:val="00BA583A"/>
    <w:rsid w:val="00BA589B"/>
    <w:rsid w:val="00BA5928"/>
    <w:rsid w:val="00BA59FA"/>
    <w:rsid w:val="00BA5B25"/>
    <w:rsid w:val="00BA5B39"/>
    <w:rsid w:val="00BA5B91"/>
    <w:rsid w:val="00BA5C02"/>
    <w:rsid w:val="00BA5D6E"/>
    <w:rsid w:val="00BA5E9A"/>
    <w:rsid w:val="00BA5F1B"/>
    <w:rsid w:val="00BA6110"/>
    <w:rsid w:val="00BA6216"/>
    <w:rsid w:val="00BA631C"/>
    <w:rsid w:val="00BA63AF"/>
    <w:rsid w:val="00BA63BE"/>
    <w:rsid w:val="00BA6448"/>
    <w:rsid w:val="00BA6502"/>
    <w:rsid w:val="00BA659D"/>
    <w:rsid w:val="00BA6666"/>
    <w:rsid w:val="00BA6779"/>
    <w:rsid w:val="00BA67B5"/>
    <w:rsid w:val="00BA68ED"/>
    <w:rsid w:val="00BA6912"/>
    <w:rsid w:val="00BA695A"/>
    <w:rsid w:val="00BA69A4"/>
    <w:rsid w:val="00BA6A95"/>
    <w:rsid w:val="00BA6B42"/>
    <w:rsid w:val="00BA6C0E"/>
    <w:rsid w:val="00BA6D52"/>
    <w:rsid w:val="00BA6FE1"/>
    <w:rsid w:val="00BA7040"/>
    <w:rsid w:val="00BA7045"/>
    <w:rsid w:val="00BA704B"/>
    <w:rsid w:val="00BA7199"/>
    <w:rsid w:val="00BA71E0"/>
    <w:rsid w:val="00BA72F9"/>
    <w:rsid w:val="00BA7328"/>
    <w:rsid w:val="00BA734F"/>
    <w:rsid w:val="00BA73B6"/>
    <w:rsid w:val="00BA7536"/>
    <w:rsid w:val="00BA759E"/>
    <w:rsid w:val="00BA77EF"/>
    <w:rsid w:val="00BA7AAD"/>
    <w:rsid w:val="00BA7B34"/>
    <w:rsid w:val="00BA7B52"/>
    <w:rsid w:val="00BA7D0D"/>
    <w:rsid w:val="00BA7D9E"/>
    <w:rsid w:val="00BA7E0C"/>
    <w:rsid w:val="00BA7E12"/>
    <w:rsid w:val="00BA7E2B"/>
    <w:rsid w:val="00BA7E32"/>
    <w:rsid w:val="00BB04F3"/>
    <w:rsid w:val="00BB05E2"/>
    <w:rsid w:val="00BB074F"/>
    <w:rsid w:val="00BB08B8"/>
    <w:rsid w:val="00BB08E6"/>
    <w:rsid w:val="00BB09F3"/>
    <w:rsid w:val="00BB11C4"/>
    <w:rsid w:val="00BB1267"/>
    <w:rsid w:val="00BB132F"/>
    <w:rsid w:val="00BB140F"/>
    <w:rsid w:val="00BB1621"/>
    <w:rsid w:val="00BB179C"/>
    <w:rsid w:val="00BB17D9"/>
    <w:rsid w:val="00BB18C8"/>
    <w:rsid w:val="00BB19CA"/>
    <w:rsid w:val="00BB1A9F"/>
    <w:rsid w:val="00BB1AD2"/>
    <w:rsid w:val="00BB1D61"/>
    <w:rsid w:val="00BB1F37"/>
    <w:rsid w:val="00BB1F6E"/>
    <w:rsid w:val="00BB1F88"/>
    <w:rsid w:val="00BB2264"/>
    <w:rsid w:val="00BB22D6"/>
    <w:rsid w:val="00BB2434"/>
    <w:rsid w:val="00BB2531"/>
    <w:rsid w:val="00BB268D"/>
    <w:rsid w:val="00BB2A50"/>
    <w:rsid w:val="00BB2AEF"/>
    <w:rsid w:val="00BB2B82"/>
    <w:rsid w:val="00BB2BD9"/>
    <w:rsid w:val="00BB2E09"/>
    <w:rsid w:val="00BB2ECB"/>
    <w:rsid w:val="00BB3121"/>
    <w:rsid w:val="00BB31F7"/>
    <w:rsid w:val="00BB326C"/>
    <w:rsid w:val="00BB33FF"/>
    <w:rsid w:val="00BB348E"/>
    <w:rsid w:val="00BB3777"/>
    <w:rsid w:val="00BB37C5"/>
    <w:rsid w:val="00BB37ED"/>
    <w:rsid w:val="00BB39D8"/>
    <w:rsid w:val="00BB3CCC"/>
    <w:rsid w:val="00BB3EB1"/>
    <w:rsid w:val="00BB3EE0"/>
    <w:rsid w:val="00BB3F3E"/>
    <w:rsid w:val="00BB3F3F"/>
    <w:rsid w:val="00BB411D"/>
    <w:rsid w:val="00BB42BC"/>
    <w:rsid w:val="00BB442B"/>
    <w:rsid w:val="00BB44A2"/>
    <w:rsid w:val="00BB4578"/>
    <w:rsid w:val="00BB4772"/>
    <w:rsid w:val="00BB47A6"/>
    <w:rsid w:val="00BB4820"/>
    <w:rsid w:val="00BB4A12"/>
    <w:rsid w:val="00BB4A36"/>
    <w:rsid w:val="00BB4A4B"/>
    <w:rsid w:val="00BB4AA0"/>
    <w:rsid w:val="00BB4B8E"/>
    <w:rsid w:val="00BB4D20"/>
    <w:rsid w:val="00BB4DC3"/>
    <w:rsid w:val="00BB4E13"/>
    <w:rsid w:val="00BB4FA4"/>
    <w:rsid w:val="00BB4FD1"/>
    <w:rsid w:val="00BB51CF"/>
    <w:rsid w:val="00BB5257"/>
    <w:rsid w:val="00BB5260"/>
    <w:rsid w:val="00BB54FD"/>
    <w:rsid w:val="00BB5642"/>
    <w:rsid w:val="00BB592A"/>
    <w:rsid w:val="00BB5A08"/>
    <w:rsid w:val="00BB5A6E"/>
    <w:rsid w:val="00BB5E2B"/>
    <w:rsid w:val="00BB6115"/>
    <w:rsid w:val="00BB617A"/>
    <w:rsid w:val="00BB64C1"/>
    <w:rsid w:val="00BB64D8"/>
    <w:rsid w:val="00BB64E5"/>
    <w:rsid w:val="00BB67C9"/>
    <w:rsid w:val="00BB6801"/>
    <w:rsid w:val="00BB69B3"/>
    <w:rsid w:val="00BB69EF"/>
    <w:rsid w:val="00BB6BB5"/>
    <w:rsid w:val="00BB6D48"/>
    <w:rsid w:val="00BB6F43"/>
    <w:rsid w:val="00BB717E"/>
    <w:rsid w:val="00BB740C"/>
    <w:rsid w:val="00BB74DB"/>
    <w:rsid w:val="00BB75C1"/>
    <w:rsid w:val="00BB793B"/>
    <w:rsid w:val="00BB797F"/>
    <w:rsid w:val="00BB7D0D"/>
    <w:rsid w:val="00BB7D31"/>
    <w:rsid w:val="00BB7D39"/>
    <w:rsid w:val="00BB7D3C"/>
    <w:rsid w:val="00BB7EEB"/>
    <w:rsid w:val="00BB7FB5"/>
    <w:rsid w:val="00BC000F"/>
    <w:rsid w:val="00BC0025"/>
    <w:rsid w:val="00BC003F"/>
    <w:rsid w:val="00BC006D"/>
    <w:rsid w:val="00BC00C5"/>
    <w:rsid w:val="00BC010C"/>
    <w:rsid w:val="00BC027C"/>
    <w:rsid w:val="00BC0677"/>
    <w:rsid w:val="00BC06A6"/>
    <w:rsid w:val="00BC079D"/>
    <w:rsid w:val="00BC0887"/>
    <w:rsid w:val="00BC08C3"/>
    <w:rsid w:val="00BC0AD5"/>
    <w:rsid w:val="00BC0B52"/>
    <w:rsid w:val="00BC0C00"/>
    <w:rsid w:val="00BC0EC6"/>
    <w:rsid w:val="00BC0FB0"/>
    <w:rsid w:val="00BC1042"/>
    <w:rsid w:val="00BC108B"/>
    <w:rsid w:val="00BC109D"/>
    <w:rsid w:val="00BC11D9"/>
    <w:rsid w:val="00BC132C"/>
    <w:rsid w:val="00BC139C"/>
    <w:rsid w:val="00BC14F3"/>
    <w:rsid w:val="00BC1579"/>
    <w:rsid w:val="00BC18C0"/>
    <w:rsid w:val="00BC190C"/>
    <w:rsid w:val="00BC1AD7"/>
    <w:rsid w:val="00BC1D60"/>
    <w:rsid w:val="00BC1E54"/>
    <w:rsid w:val="00BC1F71"/>
    <w:rsid w:val="00BC1FBC"/>
    <w:rsid w:val="00BC1FDA"/>
    <w:rsid w:val="00BC2025"/>
    <w:rsid w:val="00BC215B"/>
    <w:rsid w:val="00BC219B"/>
    <w:rsid w:val="00BC22D1"/>
    <w:rsid w:val="00BC2366"/>
    <w:rsid w:val="00BC237D"/>
    <w:rsid w:val="00BC24B9"/>
    <w:rsid w:val="00BC2590"/>
    <w:rsid w:val="00BC2E2A"/>
    <w:rsid w:val="00BC2E46"/>
    <w:rsid w:val="00BC2EE6"/>
    <w:rsid w:val="00BC30F8"/>
    <w:rsid w:val="00BC3158"/>
    <w:rsid w:val="00BC31A1"/>
    <w:rsid w:val="00BC31DB"/>
    <w:rsid w:val="00BC324D"/>
    <w:rsid w:val="00BC32E6"/>
    <w:rsid w:val="00BC351E"/>
    <w:rsid w:val="00BC36CB"/>
    <w:rsid w:val="00BC3833"/>
    <w:rsid w:val="00BC3A38"/>
    <w:rsid w:val="00BC3A6C"/>
    <w:rsid w:val="00BC3AD5"/>
    <w:rsid w:val="00BC3B91"/>
    <w:rsid w:val="00BC3C43"/>
    <w:rsid w:val="00BC3D70"/>
    <w:rsid w:val="00BC3DFA"/>
    <w:rsid w:val="00BC3EA8"/>
    <w:rsid w:val="00BC3F8C"/>
    <w:rsid w:val="00BC402E"/>
    <w:rsid w:val="00BC4045"/>
    <w:rsid w:val="00BC4229"/>
    <w:rsid w:val="00BC42A2"/>
    <w:rsid w:val="00BC42A7"/>
    <w:rsid w:val="00BC4450"/>
    <w:rsid w:val="00BC4668"/>
    <w:rsid w:val="00BC471E"/>
    <w:rsid w:val="00BC4737"/>
    <w:rsid w:val="00BC4829"/>
    <w:rsid w:val="00BC4837"/>
    <w:rsid w:val="00BC4843"/>
    <w:rsid w:val="00BC48AD"/>
    <w:rsid w:val="00BC48C2"/>
    <w:rsid w:val="00BC48D7"/>
    <w:rsid w:val="00BC4905"/>
    <w:rsid w:val="00BC4B07"/>
    <w:rsid w:val="00BC4BE7"/>
    <w:rsid w:val="00BC4C34"/>
    <w:rsid w:val="00BC4C99"/>
    <w:rsid w:val="00BC4CAE"/>
    <w:rsid w:val="00BC4CAF"/>
    <w:rsid w:val="00BC4D7A"/>
    <w:rsid w:val="00BC4DDA"/>
    <w:rsid w:val="00BC4DDE"/>
    <w:rsid w:val="00BC4EA1"/>
    <w:rsid w:val="00BC4FD1"/>
    <w:rsid w:val="00BC500F"/>
    <w:rsid w:val="00BC5070"/>
    <w:rsid w:val="00BC54F6"/>
    <w:rsid w:val="00BC55B1"/>
    <w:rsid w:val="00BC55BF"/>
    <w:rsid w:val="00BC55CD"/>
    <w:rsid w:val="00BC5636"/>
    <w:rsid w:val="00BC564C"/>
    <w:rsid w:val="00BC572A"/>
    <w:rsid w:val="00BC5A3D"/>
    <w:rsid w:val="00BC5A75"/>
    <w:rsid w:val="00BC5A79"/>
    <w:rsid w:val="00BC5C2A"/>
    <w:rsid w:val="00BC5CF1"/>
    <w:rsid w:val="00BC5F4F"/>
    <w:rsid w:val="00BC5F90"/>
    <w:rsid w:val="00BC606C"/>
    <w:rsid w:val="00BC6112"/>
    <w:rsid w:val="00BC619B"/>
    <w:rsid w:val="00BC619E"/>
    <w:rsid w:val="00BC621D"/>
    <w:rsid w:val="00BC6275"/>
    <w:rsid w:val="00BC62F6"/>
    <w:rsid w:val="00BC6310"/>
    <w:rsid w:val="00BC63DA"/>
    <w:rsid w:val="00BC6570"/>
    <w:rsid w:val="00BC65A7"/>
    <w:rsid w:val="00BC65BF"/>
    <w:rsid w:val="00BC66FB"/>
    <w:rsid w:val="00BC6876"/>
    <w:rsid w:val="00BC689D"/>
    <w:rsid w:val="00BC69A5"/>
    <w:rsid w:val="00BC6B66"/>
    <w:rsid w:val="00BC6BD4"/>
    <w:rsid w:val="00BC6C4E"/>
    <w:rsid w:val="00BC6EAE"/>
    <w:rsid w:val="00BC6F3D"/>
    <w:rsid w:val="00BC70B1"/>
    <w:rsid w:val="00BC717F"/>
    <w:rsid w:val="00BC71AE"/>
    <w:rsid w:val="00BC71B0"/>
    <w:rsid w:val="00BC71C0"/>
    <w:rsid w:val="00BC7286"/>
    <w:rsid w:val="00BC7591"/>
    <w:rsid w:val="00BC75BF"/>
    <w:rsid w:val="00BC77E7"/>
    <w:rsid w:val="00BC78F3"/>
    <w:rsid w:val="00BC7A85"/>
    <w:rsid w:val="00BC7AC2"/>
    <w:rsid w:val="00BC7D4B"/>
    <w:rsid w:val="00BC7DAD"/>
    <w:rsid w:val="00BC7F79"/>
    <w:rsid w:val="00BD00E3"/>
    <w:rsid w:val="00BD01D6"/>
    <w:rsid w:val="00BD026C"/>
    <w:rsid w:val="00BD0270"/>
    <w:rsid w:val="00BD02AF"/>
    <w:rsid w:val="00BD02EA"/>
    <w:rsid w:val="00BD0330"/>
    <w:rsid w:val="00BD03D9"/>
    <w:rsid w:val="00BD0820"/>
    <w:rsid w:val="00BD0978"/>
    <w:rsid w:val="00BD09C0"/>
    <w:rsid w:val="00BD0A1B"/>
    <w:rsid w:val="00BD0AD8"/>
    <w:rsid w:val="00BD0FAF"/>
    <w:rsid w:val="00BD1032"/>
    <w:rsid w:val="00BD1055"/>
    <w:rsid w:val="00BD1189"/>
    <w:rsid w:val="00BD125F"/>
    <w:rsid w:val="00BD1263"/>
    <w:rsid w:val="00BD146F"/>
    <w:rsid w:val="00BD1506"/>
    <w:rsid w:val="00BD16A5"/>
    <w:rsid w:val="00BD16AE"/>
    <w:rsid w:val="00BD17AB"/>
    <w:rsid w:val="00BD186B"/>
    <w:rsid w:val="00BD18DB"/>
    <w:rsid w:val="00BD18E5"/>
    <w:rsid w:val="00BD193B"/>
    <w:rsid w:val="00BD1A2F"/>
    <w:rsid w:val="00BD1A68"/>
    <w:rsid w:val="00BD1B35"/>
    <w:rsid w:val="00BD1C31"/>
    <w:rsid w:val="00BD1CE1"/>
    <w:rsid w:val="00BD1D75"/>
    <w:rsid w:val="00BD21D8"/>
    <w:rsid w:val="00BD229A"/>
    <w:rsid w:val="00BD2424"/>
    <w:rsid w:val="00BD25D5"/>
    <w:rsid w:val="00BD28AE"/>
    <w:rsid w:val="00BD28EE"/>
    <w:rsid w:val="00BD2AB1"/>
    <w:rsid w:val="00BD2BC0"/>
    <w:rsid w:val="00BD2BC4"/>
    <w:rsid w:val="00BD2CD2"/>
    <w:rsid w:val="00BD2D19"/>
    <w:rsid w:val="00BD2E32"/>
    <w:rsid w:val="00BD2E9B"/>
    <w:rsid w:val="00BD2EF3"/>
    <w:rsid w:val="00BD2FDA"/>
    <w:rsid w:val="00BD315E"/>
    <w:rsid w:val="00BD31C5"/>
    <w:rsid w:val="00BD3439"/>
    <w:rsid w:val="00BD352C"/>
    <w:rsid w:val="00BD354D"/>
    <w:rsid w:val="00BD36F8"/>
    <w:rsid w:val="00BD37B8"/>
    <w:rsid w:val="00BD3805"/>
    <w:rsid w:val="00BD398C"/>
    <w:rsid w:val="00BD3AB0"/>
    <w:rsid w:val="00BD3C2B"/>
    <w:rsid w:val="00BD3D88"/>
    <w:rsid w:val="00BD4117"/>
    <w:rsid w:val="00BD424C"/>
    <w:rsid w:val="00BD4526"/>
    <w:rsid w:val="00BD45AF"/>
    <w:rsid w:val="00BD45F2"/>
    <w:rsid w:val="00BD45FF"/>
    <w:rsid w:val="00BD4840"/>
    <w:rsid w:val="00BD4871"/>
    <w:rsid w:val="00BD4B02"/>
    <w:rsid w:val="00BD4B18"/>
    <w:rsid w:val="00BD4C5D"/>
    <w:rsid w:val="00BD4E03"/>
    <w:rsid w:val="00BD4FCF"/>
    <w:rsid w:val="00BD52F7"/>
    <w:rsid w:val="00BD5342"/>
    <w:rsid w:val="00BD53B7"/>
    <w:rsid w:val="00BD5454"/>
    <w:rsid w:val="00BD549F"/>
    <w:rsid w:val="00BD557D"/>
    <w:rsid w:val="00BD55C7"/>
    <w:rsid w:val="00BD5663"/>
    <w:rsid w:val="00BD5957"/>
    <w:rsid w:val="00BD60C0"/>
    <w:rsid w:val="00BD6247"/>
    <w:rsid w:val="00BD62E4"/>
    <w:rsid w:val="00BD658E"/>
    <w:rsid w:val="00BD65B2"/>
    <w:rsid w:val="00BD698C"/>
    <w:rsid w:val="00BD6A0A"/>
    <w:rsid w:val="00BD6A41"/>
    <w:rsid w:val="00BD6AF1"/>
    <w:rsid w:val="00BD6C2C"/>
    <w:rsid w:val="00BD6C5B"/>
    <w:rsid w:val="00BD6E9F"/>
    <w:rsid w:val="00BD6FD4"/>
    <w:rsid w:val="00BD7164"/>
    <w:rsid w:val="00BD71A4"/>
    <w:rsid w:val="00BD725E"/>
    <w:rsid w:val="00BD738C"/>
    <w:rsid w:val="00BD7401"/>
    <w:rsid w:val="00BD7863"/>
    <w:rsid w:val="00BD78A9"/>
    <w:rsid w:val="00BD78D1"/>
    <w:rsid w:val="00BD78E6"/>
    <w:rsid w:val="00BD7A53"/>
    <w:rsid w:val="00BD7AB9"/>
    <w:rsid w:val="00BD7CCB"/>
    <w:rsid w:val="00BD7D32"/>
    <w:rsid w:val="00BD7D36"/>
    <w:rsid w:val="00BD7D66"/>
    <w:rsid w:val="00BD7D96"/>
    <w:rsid w:val="00BD7DE4"/>
    <w:rsid w:val="00BD7EA6"/>
    <w:rsid w:val="00BD7F6F"/>
    <w:rsid w:val="00BD7FC4"/>
    <w:rsid w:val="00BE0104"/>
    <w:rsid w:val="00BE015C"/>
    <w:rsid w:val="00BE01F3"/>
    <w:rsid w:val="00BE0576"/>
    <w:rsid w:val="00BE057E"/>
    <w:rsid w:val="00BE06AF"/>
    <w:rsid w:val="00BE06F9"/>
    <w:rsid w:val="00BE074A"/>
    <w:rsid w:val="00BE07CA"/>
    <w:rsid w:val="00BE0993"/>
    <w:rsid w:val="00BE09DD"/>
    <w:rsid w:val="00BE0A72"/>
    <w:rsid w:val="00BE0AFB"/>
    <w:rsid w:val="00BE0BBE"/>
    <w:rsid w:val="00BE0E0A"/>
    <w:rsid w:val="00BE0E2C"/>
    <w:rsid w:val="00BE0F37"/>
    <w:rsid w:val="00BE129F"/>
    <w:rsid w:val="00BE12DE"/>
    <w:rsid w:val="00BE1426"/>
    <w:rsid w:val="00BE145E"/>
    <w:rsid w:val="00BE1603"/>
    <w:rsid w:val="00BE16A1"/>
    <w:rsid w:val="00BE197B"/>
    <w:rsid w:val="00BE19C4"/>
    <w:rsid w:val="00BE1A12"/>
    <w:rsid w:val="00BE1C1E"/>
    <w:rsid w:val="00BE1CC5"/>
    <w:rsid w:val="00BE1D5D"/>
    <w:rsid w:val="00BE1D88"/>
    <w:rsid w:val="00BE1DEF"/>
    <w:rsid w:val="00BE2080"/>
    <w:rsid w:val="00BE2163"/>
    <w:rsid w:val="00BE216F"/>
    <w:rsid w:val="00BE2196"/>
    <w:rsid w:val="00BE21A2"/>
    <w:rsid w:val="00BE2257"/>
    <w:rsid w:val="00BE24AD"/>
    <w:rsid w:val="00BE2503"/>
    <w:rsid w:val="00BE258C"/>
    <w:rsid w:val="00BE259E"/>
    <w:rsid w:val="00BE25DE"/>
    <w:rsid w:val="00BE26D6"/>
    <w:rsid w:val="00BE27DC"/>
    <w:rsid w:val="00BE281B"/>
    <w:rsid w:val="00BE29FF"/>
    <w:rsid w:val="00BE2AC6"/>
    <w:rsid w:val="00BE2B9B"/>
    <w:rsid w:val="00BE2CEC"/>
    <w:rsid w:val="00BE2F6D"/>
    <w:rsid w:val="00BE3076"/>
    <w:rsid w:val="00BE32AC"/>
    <w:rsid w:val="00BE345C"/>
    <w:rsid w:val="00BE3552"/>
    <w:rsid w:val="00BE362D"/>
    <w:rsid w:val="00BE3667"/>
    <w:rsid w:val="00BE36F7"/>
    <w:rsid w:val="00BE3767"/>
    <w:rsid w:val="00BE3972"/>
    <w:rsid w:val="00BE39FF"/>
    <w:rsid w:val="00BE3D42"/>
    <w:rsid w:val="00BE3E73"/>
    <w:rsid w:val="00BE425B"/>
    <w:rsid w:val="00BE441B"/>
    <w:rsid w:val="00BE4492"/>
    <w:rsid w:val="00BE4510"/>
    <w:rsid w:val="00BE45BF"/>
    <w:rsid w:val="00BE4614"/>
    <w:rsid w:val="00BE462A"/>
    <w:rsid w:val="00BE478F"/>
    <w:rsid w:val="00BE47BF"/>
    <w:rsid w:val="00BE4AB5"/>
    <w:rsid w:val="00BE4B4F"/>
    <w:rsid w:val="00BE4BFA"/>
    <w:rsid w:val="00BE4C3C"/>
    <w:rsid w:val="00BE4D89"/>
    <w:rsid w:val="00BE5261"/>
    <w:rsid w:val="00BE52EC"/>
    <w:rsid w:val="00BE5331"/>
    <w:rsid w:val="00BE5407"/>
    <w:rsid w:val="00BE5456"/>
    <w:rsid w:val="00BE5481"/>
    <w:rsid w:val="00BE5839"/>
    <w:rsid w:val="00BE5973"/>
    <w:rsid w:val="00BE59BE"/>
    <w:rsid w:val="00BE59DF"/>
    <w:rsid w:val="00BE59E5"/>
    <w:rsid w:val="00BE5B69"/>
    <w:rsid w:val="00BE5D2E"/>
    <w:rsid w:val="00BE5D78"/>
    <w:rsid w:val="00BE5D97"/>
    <w:rsid w:val="00BE5DFD"/>
    <w:rsid w:val="00BE5E09"/>
    <w:rsid w:val="00BE6022"/>
    <w:rsid w:val="00BE61FB"/>
    <w:rsid w:val="00BE63AC"/>
    <w:rsid w:val="00BE660E"/>
    <w:rsid w:val="00BE67BA"/>
    <w:rsid w:val="00BE6A2A"/>
    <w:rsid w:val="00BE6B3D"/>
    <w:rsid w:val="00BE6E08"/>
    <w:rsid w:val="00BE6E25"/>
    <w:rsid w:val="00BE6F61"/>
    <w:rsid w:val="00BE701B"/>
    <w:rsid w:val="00BE705B"/>
    <w:rsid w:val="00BE7062"/>
    <w:rsid w:val="00BE73BE"/>
    <w:rsid w:val="00BE7406"/>
    <w:rsid w:val="00BE74A2"/>
    <w:rsid w:val="00BE755C"/>
    <w:rsid w:val="00BE7694"/>
    <w:rsid w:val="00BE76E2"/>
    <w:rsid w:val="00BE76E7"/>
    <w:rsid w:val="00BE76EC"/>
    <w:rsid w:val="00BE7814"/>
    <w:rsid w:val="00BE7844"/>
    <w:rsid w:val="00BE79CB"/>
    <w:rsid w:val="00BE7D4A"/>
    <w:rsid w:val="00BE7D9A"/>
    <w:rsid w:val="00BE7E4D"/>
    <w:rsid w:val="00BF0069"/>
    <w:rsid w:val="00BF0070"/>
    <w:rsid w:val="00BF03A0"/>
    <w:rsid w:val="00BF03B6"/>
    <w:rsid w:val="00BF03F3"/>
    <w:rsid w:val="00BF0417"/>
    <w:rsid w:val="00BF04B4"/>
    <w:rsid w:val="00BF0511"/>
    <w:rsid w:val="00BF05CF"/>
    <w:rsid w:val="00BF0663"/>
    <w:rsid w:val="00BF068A"/>
    <w:rsid w:val="00BF071D"/>
    <w:rsid w:val="00BF0791"/>
    <w:rsid w:val="00BF0840"/>
    <w:rsid w:val="00BF08D7"/>
    <w:rsid w:val="00BF0BFD"/>
    <w:rsid w:val="00BF0C57"/>
    <w:rsid w:val="00BF0EE0"/>
    <w:rsid w:val="00BF11D1"/>
    <w:rsid w:val="00BF121B"/>
    <w:rsid w:val="00BF1244"/>
    <w:rsid w:val="00BF1272"/>
    <w:rsid w:val="00BF1537"/>
    <w:rsid w:val="00BF15E7"/>
    <w:rsid w:val="00BF1624"/>
    <w:rsid w:val="00BF16F3"/>
    <w:rsid w:val="00BF1731"/>
    <w:rsid w:val="00BF1835"/>
    <w:rsid w:val="00BF1A38"/>
    <w:rsid w:val="00BF1A39"/>
    <w:rsid w:val="00BF1B0B"/>
    <w:rsid w:val="00BF1B2D"/>
    <w:rsid w:val="00BF1B3C"/>
    <w:rsid w:val="00BF1BD5"/>
    <w:rsid w:val="00BF1C0D"/>
    <w:rsid w:val="00BF1C26"/>
    <w:rsid w:val="00BF1CDC"/>
    <w:rsid w:val="00BF1DC8"/>
    <w:rsid w:val="00BF1EF8"/>
    <w:rsid w:val="00BF2099"/>
    <w:rsid w:val="00BF20F0"/>
    <w:rsid w:val="00BF21F3"/>
    <w:rsid w:val="00BF2372"/>
    <w:rsid w:val="00BF267B"/>
    <w:rsid w:val="00BF29E6"/>
    <w:rsid w:val="00BF2C4E"/>
    <w:rsid w:val="00BF2C72"/>
    <w:rsid w:val="00BF2DCC"/>
    <w:rsid w:val="00BF2F86"/>
    <w:rsid w:val="00BF2FB9"/>
    <w:rsid w:val="00BF2FDC"/>
    <w:rsid w:val="00BF31EB"/>
    <w:rsid w:val="00BF32D0"/>
    <w:rsid w:val="00BF32F1"/>
    <w:rsid w:val="00BF3303"/>
    <w:rsid w:val="00BF333B"/>
    <w:rsid w:val="00BF3398"/>
    <w:rsid w:val="00BF33E0"/>
    <w:rsid w:val="00BF34CC"/>
    <w:rsid w:val="00BF355F"/>
    <w:rsid w:val="00BF37FF"/>
    <w:rsid w:val="00BF3808"/>
    <w:rsid w:val="00BF39BE"/>
    <w:rsid w:val="00BF3AA5"/>
    <w:rsid w:val="00BF3D25"/>
    <w:rsid w:val="00BF3DD0"/>
    <w:rsid w:val="00BF423C"/>
    <w:rsid w:val="00BF432E"/>
    <w:rsid w:val="00BF43B0"/>
    <w:rsid w:val="00BF4430"/>
    <w:rsid w:val="00BF4698"/>
    <w:rsid w:val="00BF481C"/>
    <w:rsid w:val="00BF498A"/>
    <w:rsid w:val="00BF4AD5"/>
    <w:rsid w:val="00BF4B88"/>
    <w:rsid w:val="00BF4E90"/>
    <w:rsid w:val="00BF5123"/>
    <w:rsid w:val="00BF51EF"/>
    <w:rsid w:val="00BF5212"/>
    <w:rsid w:val="00BF52EE"/>
    <w:rsid w:val="00BF5359"/>
    <w:rsid w:val="00BF54B9"/>
    <w:rsid w:val="00BF558E"/>
    <w:rsid w:val="00BF55F7"/>
    <w:rsid w:val="00BF5740"/>
    <w:rsid w:val="00BF5957"/>
    <w:rsid w:val="00BF5AA6"/>
    <w:rsid w:val="00BF5AB3"/>
    <w:rsid w:val="00BF5AC4"/>
    <w:rsid w:val="00BF5B0E"/>
    <w:rsid w:val="00BF5B64"/>
    <w:rsid w:val="00BF5C15"/>
    <w:rsid w:val="00BF5C61"/>
    <w:rsid w:val="00BF5DEF"/>
    <w:rsid w:val="00BF5E2A"/>
    <w:rsid w:val="00BF5E47"/>
    <w:rsid w:val="00BF5EA7"/>
    <w:rsid w:val="00BF5F6B"/>
    <w:rsid w:val="00BF5F8B"/>
    <w:rsid w:val="00BF63CE"/>
    <w:rsid w:val="00BF6469"/>
    <w:rsid w:val="00BF649F"/>
    <w:rsid w:val="00BF6583"/>
    <w:rsid w:val="00BF6622"/>
    <w:rsid w:val="00BF66D1"/>
    <w:rsid w:val="00BF67A0"/>
    <w:rsid w:val="00BF6A6E"/>
    <w:rsid w:val="00BF6A8F"/>
    <w:rsid w:val="00BF6AD3"/>
    <w:rsid w:val="00BF6B7D"/>
    <w:rsid w:val="00BF6C35"/>
    <w:rsid w:val="00BF6D0E"/>
    <w:rsid w:val="00BF6E34"/>
    <w:rsid w:val="00BF6E86"/>
    <w:rsid w:val="00BF6EE1"/>
    <w:rsid w:val="00BF6EF9"/>
    <w:rsid w:val="00BF6F2D"/>
    <w:rsid w:val="00BF6FDE"/>
    <w:rsid w:val="00BF7133"/>
    <w:rsid w:val="00BF7193"/>
    <w:rsid w:val="00BF729F"/>
    <w:rsid w:val="00BF72B9"/>
    <w:rsid w:val="00BF7315"/>
    <w:rsid w:val="00BF732F"/>
    <w:rsid w:val="00BF7354"/>
    <w:rsid w:val="00BF7405"/>
    <w:rsid w:val="00BF7435"/>
    <w:rsid w:val="00BF745F"/>
    <w:rsid w:val="00BF74A6"/>
    <w:rsid w:val="00BF757A"/>
    <w:rsid w:val="00BF7657"/>
    <w:rsid w:val="00BF767C"/>
    <w:rsid w:val="00BF7820"/>
    <w:rsid w:val="00BF78AE"/>
    <w:rsid w:val="00BF7922"/>
    <w:rsid w:val="00BF79C4"/>
    <w:rsid w:val="00BF7B62"/>
    <w:rsid w:val="00BF7E75"/>
    <w:rsid w:val="00BF7EEB"/>
    <w:rsid w:val="00BF7F17"/>
    <w:rsid w:val="00BF7F5E"/>
    <w:rsid w:val="00BF7F81"/>
    <w:rsid w:val="00BF7FAB"/>
    <w:rsid w:val="00C000CE"/>
    <w:rsid w:val="00C00350"/>
    <w:rsid w:val="00C003EB"/>
    <w:rsid w:val="00C0040A"/>
    <w:rsid w:val="00C00504"/>
    <w:rsid w:val="00C0052D"/>
    <w:rsid w:val="00C00552"/>
    <w:rsid w:val="00C00823"/>
    <w:rsid w:val="00C00A02"/>
    <w:rsid w:val="00C00F04"/>
    <w:rsid w:val="00C01037"/>
    <w:rsid w:val="00C011CC"/>
    <w:rsid w:val="00C0120F"/>
    <w:rsid w:val="00C012A5"/>
    <w:rsid w:val="00C012BB"/>
    <w:rsid w:val="00C0135F"/>
    <w:rsid w:val="00C016A6"/>
    <w:rsid w:val="00C016DE"/>
    <w:rsid w:val="00C017C5"/>
    <w:rsid w:val="00C018D7"/>
    <w:rsid w:val="00C01987"/>
    <w:rsid w:val="00C01D16"/>
    <w:rsid w:val="00C01D79"/>
    <w:rsid w:val="00C01DEE"/>
    <w:rsid w:val="00C01F6F"/>
    <w:rsid w:val="00C021E6"/>
    <w:rsid w:val="00C02221"/>
    <w:rsid w:val="00C02322"/>
    <w:rsid w:val="00C02378"/>
    <w:rsid w:val="00C023F4"/>
    <w:rsid w:val="00C02785"/>
    <w:rsid w:val="00C02C21"/>
    <w:rsid w:val="00C02C66"/>
    <w:rsid w:val="00C02D06"/>
    <w:rsid w:val="00C02D68"/>
    <w:rsid w:val="00C02E0C"/>
    <w:rsid w:val="00C02EA7"/>
    <w:rsid w:val="00C02F3F"/>
    <w:rsid w:val="00C03079"/>
    <w:rsid w:val="00C030A1"/>
    <w:rsid w:val="00C031D8"/>
    <w:rsid w:val="00C031ED"/>
    <w:rsid w:val="00C0326A"/>
    <w:rsid w:val="00C03368"/>
    <w:rsid w:val="00C03513"/>
    <w:rsid w:val="00C0367E"/>
    <w:rsid w:val="00C03782"/>
    <w:rsid w:val="00C037CB"/>
    <w:rsid w:val="00C03842"/>
    <w:rsid w:val="00C038A0"/>
    <w:rsid w:val="00C03962"/>
    <w:rsid w:val="00C03AB1"/>
    <w:rsid w:val="00C03B32"/>
    <w:rsid w:val="00C03BDF"/>
    <w:rsid w:val="00C03BE9"/>
    <w:rsid w:val="00C03D37"/>
    <w:rsid w:val="00C03E7D"/>
    <w:rsid w:val="00C0415D"/>
    <w:rsid w:val="00C04201"/>
    <w:rsid w:val="00C04209"/>
    <w:rsid w:val="00C04422"/>
    <w:rsid w:val="00C04440"/>
    <w:rsid w:val="00C04493"/>
    <w:rsid w:val="00C044B7"/>
    <w:rsid w:val="00C04561"/>
    <w:rsid w:val="00C047E2"/>
    <w:rsid w:val="00C047E7"/>
    <w:rsid w:val="00C04809"/>
    <w:rsid w:val="00C04839"/>
    <w:rsid w:val="00C048C1"/>
    <w:rsid w:val="00C0493B"/>
    <w:rsid w:val="00C04B6A"/>
    <w:rsid w:val="00C04BF6"/>
    <w:rsid w:val="00C04C72"/>
    <w:rsid w:val="00C04DD8"/>
    <w:rsid w:val="00C04E1F"/>
    <w:rsid w:val="00C04ED4"/>
    <w:rsid w:val="00C04FFA"/>
    <w:rsid w:val="00C051E7"/>
    <w:rsid w:val="00C0520E"/>
    <w:rsid w:val="00C052BA"/>
    <w:rsid w:val="00C052D0"/>
    <w:rsid w:val="00C0548C"/>
    <w:rsid w:val="00C05624"/>
    <w:rsid w:val="00C0576A"/>
    <w:rsid w:val="00C0581D"/>
    <w:rsid w:val="00C05BFD"/>
    <w:rsid w:val="00C05CC1"/>
    <w:rsid w:val="00C05D37"/>
    <w:rsid w:val="00C05D68"/>
    <w:rsid w:val="00C05DCD"/>
    <w:rsid w:val="00C05E04"/>
    <w:rsid w:val="00C05EFD"/>
    <w:rsid w:val="00C05FD0"/>
    <w:rsid w:val="00C05FF9"/>
    <w:rsid w:val="00C061AB"/>
    <w:rsid w:val="00C062B5"/>
    <w:rsid w:val="00C062CE"/>
    <w:rsid w:val="00C063CE"/>
    <w:rsid w:val="00C0642D"/>
    <w:rsid w:val="00C06578"/>
    <w:rsid w:val="00C06644"/>
    <w:rsid w:val="00C067CF"/>
    <w:rsid w:val="00C06A5B"/>
    <w:rsid w:val="00C06A7B"/>
    <w:rsid w:val="00C06B33"/>
    <w:rsid w:val="00C06B3D"/>
    <w:rsid w:val="00C06BE2"/>
    <w:rsid w:val="00C06EA3"/>
    <w:rsid w:val="00C06EB0"/>
    <w:rsid w:val="00C06EF1"/>
    <w:rsid w:val="00C06F25"/>
    <w:rsid w:val="00C06F2A"/>
    <w:rsid w:val="00C0731B"/>
    <w:rsid w:val="00C073C8"/>
    <w:rsid w:val="00C076CE"/>
    <w:rsid w:val="00C07776"/>
    <w:rsid w:val="00C07804"/>
    <w:rsid w:val="00C07892"/>
    <w:rsid w:val="00C07936"/>
    <w:rsid w:val="00C07952"/>
    <w:rsid w:val="00C079CE"/>
    <w:rsid w:val="00C07A98"/>
    <w:rsid w:val="00C07CC0"/>
    <w:rsid w:val="00C07F79"/>
    <w:rsid w:val="00C10066"/>
    <w:rsid w:val="00C10095"/>
    <w:rsid w:val="00C101FB"/>
    <w:rsid w:val="00C104A9"/>
    <w:rsid w:val="00C105BB"/>
    <w:rsid w:val="00C105D1"/>
    <w:rsid w:val="00C106FD"/>
    <w:rsid w:val="00C107C8"/>
    <w:rsid w:val="00C107CA"/>
    <w:rsid w:val="00C109F4"/>
    <w:rsid w:val="00C10AE2"/>
    <w:rsid w:val="00C10B33"/>
    <w:rsid w:val="00C10CC6"/>
    <w:rsid w:val="00C10DFE"/>
    <w:rsid w:val="00C111BC"/>
    <w:rsid w:val="00C111ED"/>
    <w:rsid w:val="00C11379"/>
    <w:rsid w:val="00C113E4"/>
    <w:rsid w:val="00C1142F"/>
    <w:rsid w:val="00C11435"/>
    <w:rsid w:val="00C1171B"/>
    <w:rsid w:val="00C11909"/>
    <w:rsid w:val="00C119E6"/>
    <w:rsid w:val="00C119F1"/>
    <w:rsid w:val="00C11A20"/>
    <w:rsid w:val="00C11ACE"/>
    <w:rsid w:val="00C11B2B"/>
    <w:rsid w:val="00C11C27"/>
    <w:rsid w:val="00C11C59"/>
    <w:rsid w:val="00C11C82"/>
    <w:rsid w:val="00C11DB6"/>
    <w:rsid w:val="00C11E6B"/>
    <w:rsid w:val="00C11F80"/>
    <w:rsid w:val="00C12000"/>
    <w:rsid w:val="00C1203E"/>
    <w:rsid w:val="00C1213A"/>
    <w:rsid w:val="00C1226D"/>
    <w:rsid w:val="00C12357"/>
    <w:rsid w:val="00C124A0"/>
    <w:rsid w:val="00C12532"/>
    <w:rsid w:val="00C12648"/>
    <w:rsid w:val="00C127B6"/>
    <w:rsid w:val="00C12802"/>
    <w:rsid w:val="00C12832"/>
    <w:rsid w:val="00C1296B"/>
    <w:rsid w:val="00C12AA3"/>
    <w:rsid w:val="00C12ADA"/>
    <w:rsid w:val="00C12AED"/>
    <w:rsid w:val="00C12B54"/>
    <w:rsid w:val="00C12BEB"/>
    <w:rsid w:val="00C12C17"/>
    <w:rsid w:val="00C12E20"/>
    <w:rsid w:val="00C12E6C"/>
    <w:rsid w:val="00C12EAF"/>
    <w:rsid w:val="00C12F31"/>
    <w:rsid w:val="00C13005"/>
    <w:rsid w:val="00C1305C"/>
    <w:rsid w:val="00C1306C"/>
    <w:rsid w:val="00C130EF"/>
    <w:rsid w:val="00C1337E"/>
    <w:rsid w:val="00C13415"/>
    <w:rsid w:val="00C1357D"/>
    <w:rsid w:val="00C13588"/>
    <w:rsid w:val="00C13800"/>
    <w:rsid w:val="00C139E1"/>
    <w:rsid w:val="00C13BCC"/>
    <w:rsid w:val="00C13C1F"/>
    <w:rsid w:val="00C14043"/>
    <w:rsid w:val="00C142F2"/>
    <w:rsid w:val="00C143B3"/>
    <w:rsid w:val="00C144D6"/>
    <w:rsid w:val="00C145DA"/>
    <w:rsid w:val="00C145DC"/>
    <w:rsid w:val="00C14AE7"/>
    <w:rsid w:val="00C14BEE"/>
    <w:rsid w:val="00C14CCD"/>
    <w:rsid w:val="00C14D14"/>
    <w:rsid w:val="00C14D92"/>
    <w:rsid w:val="00C14DA1"/>
    <w:rsid w:val="00C14E2F"/>
    <w:rsid w:val="00C14F14"/>
    <w:rsid w:val="00C14F2D"/>
    <w:rsid w:val="00C14F52"/>
    <w:rsid w:val="00C152B2"/>
    <w:rsid w:val="00C1543E"/>
    <w:rsid w:val="00C15504"/>
    <w:rsid w:val="00C155A6"/>
    <w:rsid w:val="00C155E4"/>
    <w:rsid w:val="00C155EB"/>
    <w:rsid w:val="00C15663"/>
    <w:rsid w:val="00C15670"/>
    <w:rsid w:val="00C156A4"/>
    <w:rsid w:val="00C1585E"/>
    <w:rsid w:val="00C15950"/>
    <w:rsid w:val="00C15961"/>
    <w:rsid w:val="00C15977"/>
    <w:rsid w:val="00C15CF6"/>
    <w:rsid w:val="00C15D1A"/>
    <w:rsid w:val="00C15E73"/>
    <w:rsid w:val="00C15F50"/>
    <w:rsid w:val="00C15FF2"/>
    <w:rsid w:val="00C160A4"/>
    <w:rsid w:val="00C16460"/>
    <w:rsid w:val="00C165C8"/>
    <w:rsid w:val="00C16690"/>
    <w:rsid w:val="00C166DC"/>
    <w:rsid w:val="00C1681B"/>
    <w:rsid w:val="00C16851"/>
    <w:rsid w:val="00C16890"/>
    <w:rsid w:val="00C16C0F"/>
    <w:rsid w:val="00C16C3E"/>
    <w:rsid w:val="00C16C6F"/>
    <w:rsid w:val="00C16CFB"/>
    <w:rsid w:val="00C16E22"/>
    <w:rsid w:val="00C16E4C"/>
    <w:rsid w:val="00C16E7B"/>
    <w:rsid w:val="00C16E89"/>
    <w:rsid w:val="00C17027"/>
    <w:rsid w:val="00C1707F"/>
    <w:rsid w:val="00C170B4"/>
    <w:rsid w:val="00C170CC"/>
    <w:rsid w:val="00C17175"/>
    <w:rsid w:val="00C17223"/>
    <w:rsid w:val="00C17283"/>
    <w:rsid w:val="00C17332"/>
    <w:rsid w:val="00C173E4"/>
    <w:rsid w:val="00C17646"/>
    <w:rsid w:val="00C178D3"/>
    <w:rsid w:val="00C179CD"/>
    <w:rsid w:val="00C179E0"/>
    <w:rsid w:val="00C179E4"/>
    <w:rsid w:val="00C17B79"/>
    <w:rsid w:val="00C17B83"/>
    <w:rsid w:val="00C17DB4"/>
    <w:rsid w:val="00C17DC4"/>
    <w:rsid w:val="00C17E41"/>
    <w:rsid w:val="00C17EE7"/>
    <w:rsid w:val="00C17FEE"/>
    <w:rsid w:val="00C200AB"/>
    <w:rsid w:val="00C200C0"/>
    <w:rsid w:val="00C2010A"/>
    <w:rsid w:val="00C201A6"/>
    <w:rsid w:val="00C201F4"/>
    <w:rsid w:val="00C20203"/>
    <w:rsid w:val="00C2035B"/>
    <w:rsid w:val="00C20452"/>
    <w:rsid w:val="00C20562"/>
    <w:rsid w:val="00C206BE"/>
    <w:rsid w:val="00C209B2"/>
    <w:rsid w:val="00C20C3C"/>
    <w:rsid w:val="00C20CFA"/>
    <w:rsid w:val="00C20E61"/>
    <w:rsid w:val="00C21032"/>
    <w:rsid w:val="00C21118"/>
    <w:rsid w:val="00C21527"/>
    <w:rsid w:val="00C2158F"/>
    <w:rsid w:val="00C217D0"/>
    <w:rsid w:val="00C21925"/>
    <w:rsid w:val="00C21995"/>
    <w:rsid w:val="00C219BC"/>
    <w:rsid w:val="00C219D6"/>
    <w:rsid w:val="00C21A3E"/>
    <w:rsid w:val="00C21C23"/>
    <w:rsid w:val="00C21D98"/>
    <w:rsid w:val="00C21DB1"/>
    <w:rsid w:val="00C21E95"/>
    <w:rsid w:val="00C21EA7"/>
    <w:rsid w:val="00C21EEE"/>
    <w:rsid w:val="00C21EF1"/>
    <w:rsid w:val="00C21F1B"/>
    <w:rsid w:val="00C2212A"/>
    <w:rsid w:val="00C2214F"/>
    <w:rsid w:val="00C223B8"/>
    <w:rsid w:val="00C22435"/>
    <w:rsid w:val="00C2251B"/>
    <w:rsid w:val="00C2263A"/>
    <w:rsid w:val="00C22781"/>
    <w:rsid w:val="00C227CB"/>
    <w:rsid w:val="00C229A6"/>
    <w:rsid w:val="00C22AE0"/>
    <w:rsid w:val="00C22BD5"/>
    <w:rsid w:val="00C22BDC"/>
    <w:rsid w:val="00C22CC9"/>
    <w:rsid w:val="00C22CFA"/>
    <w:rsid w:val="00C22CFD"/>
    <w:rsid w:val="00C22D18"/>
    <w:rsid w:val="00C22ECF"/>
    <w:rsid w:val="00C232A0"/>
    <w:rsid w:val="00C232C2"/>
    <w:rsid w:val="00C2340B"/>
    <w:rsid w:val="00C234D1"/>
    <w:rsid w:val="00C23509"/>
    <w:rsid w:val="00C2352B"/>
    <w:rsid w:val="00C235C3"/>
    <w:rsid w:val="00C2369D"/>
    <w:rsid w:val="00C23897"/>
    <w:rsid w:val="00C23900"/>
    <w:rsid w:val="00C23990"/>
    <w:rsid w:val="00C239F2"/>
    <w:rsid w:val="00C239FF"/>
    <w:rsid w:val="00C23A47"/>
    <w:rsid w:val="00C23A7F"/>
    <w:rsid w:val="00C23E1D"/>
    <w:rsid w:val="00C2405C"/>
    <w:rsid w:val="00C24074"/>
    <w:rsid w:val="00C24201"/>
    <w:rsid w:val="00C24254"/>
    <w:rsid w:val="00C24264"/>
    <w:rsid w:val="00C244EC"/>
    <w:rsid w:val="00C2450C"/>
    <w:rsid w:val="00C24518"/>
    <w:rsid w:val="00C2456E"/>
    <w:rsid w:val="00C2462A"/>
    <w:rsid w:val="00C24658"/>
    <w:rsid w:val="00C24684"/>
    <w:rsid w:val="00C247C9"/>
    <w:rsid w:val="00C2494B"/>
    <w:rsid w:val="00C249BB"/>
    <w:rsid w:val="00C249EC"/>
    <w:rsid w:val="00C24C30"/>
    <w:rsid w:val="00C24E08"/>
    <w:rsid w:val="00C25028"/>
    <w:rsid w:val="00C25075"/>
    <w:rsid w:val="00C2516E"/>
    <w:rsid w:val="00C25170"/>
    <w:rsid w:val="00C252FD"/>
    <w:rsid w:val="00C253A6"/>
    <w:rsid w:val="00C25486"/>
    <w:rsid w:val="00C25611"/>
    <w:rsid w:val="00C256E0"/>
    <w:rsid w:val="00C257BD"/>
    <w:rsid w:val="00C2580F"/>
    <w:rsid w:val="00C25ADD"/>
    <w:rsid w:val="00C25B86"/>
    <w:rsid w:val="00C25BB5"/>
    <w:rsid w:val="00C25CC6"/>
    <w:rsid w:val="00C25E12"/>
    <w:rsid w:val="00C25F12"/>
    <w:rsid w:val="00C25F6F"/>
    <w:rsid w:val="00C26067"/>
    <w:rsid w:val="00C2608D"/>
    <w:rsid w:val="00C26134"/>
    <w:rsid w:val="00C26280"/>
    <w:rsid w:val="00C264A1"/>
    <w:rsid w:val="00C2654A"/>
    <w:rsid w:val="00C2657E"/>
    <w:rsid w:val="00C26663"/>
    <w:rsid w:val="00C26734"/>
    <w:rsid w:val="00C269C5"/>
    <w:rsid w:val="00C26A7E"/>
    <w:rsid w:val="00C26AF9"/>
    <w:rsid w:val="00C26BC5"/>
    <w:rsid w:val="00C26CA0"/>
    <w:rsid w:val="00C26E00"/>
    <w:rsid w:val="00C2705E"/>
    <w:rsid w:val="00C27260"/>
    <w:rsid w:val="00C27322"/>
    <w:rsid w:val="00C2759E"/>
    <w:rsid w:val="00C275D7"/>
    <w:rsid w:val="00C277F9"/>
    <w:rsid w:val="00C2784F"/>
    <w:rsid w:val="00C2787D"/>
    <w:rsid w:val="00C27BC5"/>
    <w:rsid w:val="00C27CB2"/>
    <w:rsid w:val="00C27E15"/>
    <w:rsid w:val="00C27F67"/>
    <w:rsid w:val="00C30174"/>
    <w:rsid w:val="00C301E3"/>
    <w:rsid w:val="00C30240"/>
    <w:rsid w:val="00C30564"/>
    <w:rsid w:val="00C30666"/>
    <w:rsid w:val="00C3067D"/>
    <w:rsid w:val="00C306D6"/>
    <w:rsid w:val="00C3074F"/>
    <w:rsid w:val="00C30758"/>
    <w:rsid w:val="00C30CB0"/>
    <w:rsid w:val="00C30D06"/>
    <w:rsid w:val="00C31078"/>
    <w:rsid w:val="00C31288"/>
    <w:rsid w:val="00C31492"/>
    <w:rsid w:val="00C314B9"/>
    <w:rsid w:val="00C31560"/>
    <w:rsid w:val="00C3186F"/>
    <w:rsid w:val="00C319E4"/>
    <w:rsid w:val="00C31A91"/>
    <w:rsid w:val="00C31B62"/>
    <w:rsid w:val="00C31D01"/>
    <w:rsid w:val="00C31D94"/>
    <w:rsid w:val="00C31EE9"/>
    <w:rsid w:val="00C31F04"/>
    <w:rsid w:val="00C31FA3"/>
    <w:rsid w:val="00C3212A"/>
    <w:rsid w:val="00C3222A"/>
    <w:rsid w:val="00C32580"/>
    <w:rsid w:val="00C326C1"/>
    <w:rsid w:val="00C3272B"/>
    <w:rsid w:val="00C32733"/>
    <w:rsid w:val="00C32E12"/>
    <w:rsid w:val="00C32EA1"/>
    <w:rsid w:val="00C32F03"/>
    <w:rsid w:val="00C3304F"/>
    <w:rsid w:val="00C330AF"/>
    <w:rsid w:val="00C3310B"/>
    <w:rsid w:val="00C33306"/>
    <w:rsid w:val="00C33436"/>
    <w:rsid w:val="00C335C2"/>
    <w:rsid w:val="00C33637"/>
    <w:rsid w:val="00C3363B"/>
    <w:rsid w:val="00C336F1"/>
    <w:rsid w:val="00C336F4"/>
    <w:rsid w:val="00C338C3"/>
    <w:rsid w:val="00C338CD"/>
    <w:rsid w:val="00C3392E"/>
    <w:rsid w:val="00C339D9"/>
    <w:rsid w:val="00C33BDD"/>
    <w:rsid w:val="00C33E4F"/>
    <w:rsid w:val="00C33F98"/>
    <w:rsid w:val="00C33FCF"/>
    <w:rsid w:val="00C34046"/>
    <w:rsid w:val="00C341EC"/>
    <w:rsid w:val="00C34287"/>
    <w:rsid w:val="00C345A8"/>
    <w:rsid w:val="00C345BF"/>
    <w:rsid w:val="00C346A2"/>
    <w:rsid w:val="00C34730"/>
    <w:rsid w:val="00C34876"/>
    <w:rsid w:val="00C34AAD"/>
    <w:rsid w:val="00C34AD7"/>
    <w:rsid w:val="00C34AE4"/>
    <w:rsid w:val="00C34BC1"/>
    <w:rsid w:val="00C35038"/>
    <w:rsid w:val="00C3503D"/>
    <w:rsid w:val="00C3527D"/>
    <w:rsid w:val="00C3542D"/>
    <w:rsid w:val="00C35461"/>
    <w:rsid w:val="00C35471"/>
    <w:rsid w:val="00C35551"/>
    <w:rsid w:val="00C35581"/>
    <w:rsid w:val="00C355D1"/>
    <w:rsid w:val="00C35685"/>
    <w:rsid w:val="00C3575A"/>
    <w:rsid w:val="00C357AB"/>
    <w:rsid w:val="00C3596C"/>
    <w:rsid w:val="00C35AB3"/>
    <w:rsid w:val="00C35B2C"/>
    <w:rsid w:val="00C35B7D"/>
    <w:rsid w:val="00C35C38"/>
    <w:rsid w:val="00C35CB7"/>
    <w:rsid w:val="00C35D14"/>
    <w:rsid w:val="00C35DD7"/>
    <w:rsid w:val="00C35E45"/>
    <w:rsid w:val="00C35EBE"/>
    <w:rsid w:val="00C35ED3"/>
    <w:rsid w:val="00C3619B"/>
    <w:rsid w:val="00C361C0"/>
    <w:rsid w:val="00C361C4"/>
    <w:rsid w:val="00C36254"/>
    <w:rsid w:val="00C36269"/>
    <w:rsid w:val="00C36362"/>
    <w:rsid w:val="00C36368"/>
    <w:rsid w:val="00C363CC"/>
    <w:rsid w:val="00C363CE"/>
    <w:rsid w:val="00C3643D"/>
    <w:rsid w:val="00C364BF"/>
    <w:rsid w:val="00C36592"/>
    <w:rsid w:val="00C365DE"/>
    <w:rsid w:val="00C36701"/>
    <w:rsid w:val="00C3682A"/>
    <w:rsid w:val="00C3692D"/>
    <w:rsid w:val="00C36A06"/>
    <w:rsid w:val="00C36C60"/>
    <w:rsid w:val="00C36E12"/>
    <w:rsid w:val="00C36EEF"/>
    <w:rsid w:val="00C36F20"/>
    <w:rsid w:val="00C36F79"/>
    <w:rsid w:val="00C36FB1"/>
    <w:rsid w:val="00C3748C"/>
    <w:rsid w:val="00C374C6"/>
    <w:rsid w:val="00C376C3"/>
    <w:rsid w:val="00C37857"/>
    <w:rsid w:val="00C379AB"/>
    <w:rsid w:val="00C37A6C"/>
    <w:rsid w:val="00C37CF8"/>
    <w:rsid w:val="00C37CFE"/>
    <w:rsid w:val="00C37E55"/>
    <w:rsid w:val="00C37F0D"/>
    <w:rsid w:val="00C40012"/>
    <w:rsid w:val="00C40014"/>
    <w:rsid w:val="00C40088"/>
    <w:rsid w:val="00C40122"/>
    <w:rsid w:val="00C401AE"/>
    <w:rsid w:val="00C4020E"/>
    <w:rsid w:val="00C40222"/>
    <w:rsid w:val="00C40364"/>
    <w:rsid w:val="00C405D5"/>
    <w:rsid w:val="00C40662"/>
    <w:rsid w:val="00C407BA"/>
    <w:rsid w:val="00C408A2"/>
    <w:rsid w:val="00C408E4"/>
    <w:rsid w:val="00C40A4D"/>
    <w:rsid w:val="00C40ACE"/>
    <w:rsid w:val="00C40F3B"/>
    <w:rsid w:val="00C410E7"/>
    <w:rsid w:val="00C413EF"/>
    <w:rsid w:val="00C414F9"/>
    <w:rsid w:val="00C41645"/>
    <w:rsid w:val="00C416F1"/>
    <w:rsid w:val="00C4176F"/>
    <w:rsid w:val="00C41A6B"/>
    <w:rsid w:val="00C41B40"/>
    <w:rsid w:val="00C41CED"/>
    <w:rsid w:val="00C41EEF"/>
    <w:rsid w:val="00C41FFF"/>
    <w:rsid w:val="00C4218F"/>
    <w:rsid w:val="00C422D5"/>
    <w:rsid w:val="00C4263F"/>
    <w:rsid w:val="00C427D0"/>
    <w:rsid w:val="00C427D1"/>
    <w:rsid w:val="00C42838"/>
    <w:rsid w:val="00C4289F"/>
    <w:rsid w:val="00C428D6"/>
    <w:rsid w:val="00C42B49"/>
    <w:rsid w:val="00C42B61"/>
    <w:rsid w:val="00C42BC9"/>
    <w:rsid w:val="00C431EB"/>
    <w:rsid w:val="00C432A6"/>
    <w:rsid w:val="00C43448"/>
    <w:rsid w:val="00C436E5"/>
    <w:rsid w:val="00C43D3A"/>
    <w:rsid w:val="00C43D7E"/>
    <w:rsid w:val="00C43E70"/>
    <w:rsid w:val="00C43F6E"/>
    <w:rsid w:val="00C43F81"/>
    <w:rsid w:val="00C43FFD"/>
    <w:rsid w:val="00C44118"/>
    <w:rsid w:val="00C441BD"/>
    <w:rsid w:val="00C441FD"/>
    <w:rsid w:val="00C444BE"/>
    <w:rsid w:val="00C445E5"/>
    <w:rsid w:val="00C44977"/>
    <w:rsid w:val="00C44A03"/>
    <w:rsid w:val="00C44A5C"/>
    <w:rsid w:val="00C45128"/>
    <w:rsid w:val="00C45176"/>
    <w:rsid w:val="00C45335"/>
    <w:rsid w:val="00C4581C"/>
    <w:rsid w:val="00C45869"/>
    <w:rsid w:val="00C459D9"/>
    <w:rsid w:val="00C45C3F"/>
    <w:rsid w:val="00C45D7D"/>
    <w:rsid w:val="00C4612A"/>
    <w:rsid w:val="00C461D5"/>
    <w:rsid w:val="00C46403"/>
    <w:rsid w:val="00C464D5"/>
    <w:rsid w:val="00C46509"/>
    <w:rsid w:val="00C46530"/>
    <w:rsid w:val="00C46595"/>
    <w:rsid w:val="00C46805"/>
    <w:rsid w:val="00C46A53"/>
    <w:rsid w:val="00C46ADE"/>
    <w:rsid w:val="00C46BB2"/>
    <w:rsid w:val="00C46E95"/>
    <w:rsid w:val="00C46F63"/>
    <w:rsid w:val="00C47216"/>
    <w:rsid w:val="00C47399"/>
    <w:rsid w:val="00C473DB"/>
    <w:rsid w:val="00C47478"/>
    <w:rsid w:val="00C4753D"/>
    <w:rsid w:val="00C475DE"/>
    <w:rsid w:val="00C4764E"/>
    <w:rsid w:val="00C476A7"/>
    <w:rsid w:val="00C476CA"/>
    <w:rsid w:val="00C476E6"/>
    <w:rsid w:val="00C47770"/>
    <w:rsid w:val="00C478D7"/>
    <w:rsid w:val="00C47971"/>
    <w:rsid w:val="00C4798E"/>
    <w:rsid w:val="00C479C0"/>
    <w:rsid w:val="00C47AB7"/>
    <w:rsid w:val="00C47B58"/>
    <w:rsid w:val="00C47BF3"/>
    <w:rsid w:val="00C47C40"/>
    <w:rsid w:val="00C47C56"/>
    <w:rsid w:val="00C47C94"/>
    <w:rsid w:val="00C47EF6"/>
    <w:rsid w:val="00C47F9D"/>
    <w:rsid w:val="00C50228"/>
    <w:rsid w:val="00C50245"/>
    <w:rsid w:val="00C50347"/>
    <w:rsid w:val="00C50376"/>
    <w:rsid w:val="00C5072F"/>
    <w:rsid w:val="00C507A2"/>
    <w:rsid w:val="00C507BB"/>
    <w:rsid w:val="00C507F5"/>
    <w:rsid w:val="00C50921"/>
    <w:rsid w:val="00C509F9"/>
    <w:rsid w:val="00C50AEE"/>
    <w:rsid w:val="00C50B82"/>
    <w:rsid w:val="00C50C00"/>
    <w:rsid w:val="00C50F13"/>
    <w:rsid w:val="00C50F2F"/>
    <w:rsid w:val="00C50F30"/>
    <w:rsid w:val="00C50F90"/>
    <w:rsid w:val="00C50FD7"/>
    <w:rsid w:val="00C50FF0"/>
    <w:rsid w:val="00C510B5"/>
    <w:rsid w:val="00C510B8"/>
    <w:rsid w:val="00C51150"/>
    <w:rsid w:val="00C511ED"/>
    <w:rsid w:val="00C513C5"/>
    <w:rsid w:val="00C513F1"/>
    <w:rsid w:val="00C5190E"/>
    <w:rsid w:val="00C519E1"/>
    <w:rsid w:val="00C51A45"/>
    <w:rsid w:val="00C51F49"/>
    <w:rsid w:val="00C51F75"/>
    <w:rsid w:val="00C5204C"/>
    <w:rsid w:val="00C520A3"/>
    <w:rsid w:val="00C5217B"/>
    <w:rsid w:val="00C52198"/>
    <w:rsid w:val="00C52218"/>
    <w:rsid w:val="00C52269"/>
    <w:rsid w:val="00C523A2"/>
    <w:rsid w:val="00C524CF"/>
    <w:rsid w:val="00C52520"/>
    <w:rsid w:val="00C525F4"/>
    <w:rsid w:val="00C5288E"/>
    <w:rsid w:val="00C52979"/>
    <w:rsid w:val="00C529D2"/>
    <w:rsid w:val="00C52BA9"/>
    <w:rsid w:val="00C52BBE"/>
    <w:rsid w:val="00C52C2A"/>
    <w:rsid w:val="00C52F3E"/>
    <w:rsid w:val="00C52FCF"/>
    <w:rsid w:val="00C5307A"/>
    <w:rsid w:val="00C53213"/>
    <w:rsid w:val="00C53434"/>
    <w:rsid w:val="00C53648"/>
    <w:rsid w:val="00C5370E"/>
    <w:rsid w:val="00C53733"/>
    <w:rsid w:val="00C53964"/>
    <w:rsid w:val="00C5399F"/>
    <w:rsid w:val="00C53A90"/>
    <w:rsid w:val="00C53D02"/>
    <w:rsid w:val="00C53E2F"/>
    <w:rsid w:val="00C53FF1"/>
    <w:rsid w:val="00C5413E"/>
    <w:rsid w:val="00C541F9"/>
    <w:rsid w:val="00C542D5"/>
    <w:rsid w:val="00C5460E"/>
    <w:rsid w:val="00C5487D"/>
    <w:rsid w:val="00C548AE"/>
    <w:rsid w:val="00C54AD5"/>
    <w:rsid w:val="00C54B7B"/>
    <w:rsid w:val="00C54D6C"/>
    <w:rsid w:val="00C54ED1"/>
    <w:rsid w:val="00C550EF"/>
    <w:rsid w:val="00C5526A"/>
    <w:rsid w:val="00C5529B"/>
    <w:rsid w:val="00C552B2"/>
    <w:rsid w:val="00C5539F"/>
    <w:rsid w:val="00C554B1"/>
    <w:rsid w:val="00C555E4"/>
    <w:rsid w:val="00C55745"/>
    <w:rsid w:val="00C5584D"/>
    <w:rsid w:val="00C5598D"/>
    <w:rsid w:val="00C55B93"/>
    <w:rsid w:val="00C55CC7"/>
    <w:rsid w:val="00C55DF1"/>
    <w:rsid w:val="00C562F7"/>
    <w:rsid w:val="00C563FA"/>
    <w:rsid w:val="00C56556"/>
    <w:rsid w:val="00C565BB"/>
    <w:rsid w:val="00C568F0"/>
    <w:rsid w:val="00C56A48"/>
    <w:rsid w:val="00C56B57"/>
    <w:rsid w:val="00C56B8B"/>
    <w:rsid w:val="00C56CF7"/>
    <w:rsid w:val="00C56E2B"/>
    <w:rsid w:val="00C5706E"/>
    <w:rsid w:val="00C57163"/>
    <w:rsid w:val="00C57206"/>
    <w:rsid w:val="00C57341"/>
    <w:rsid w:val="00C57498"/>
    <w:rsid w:val="00C57550"/>
    <w:rsid w:val="00C57649"/>
    <w:rsid w:val="00C5774D"/>
    <w:rsid w:val="00C5778A"/>
    <w:rsid w:val="00C5787F"/>
    <w:rsid w:val="00C57963"/>
    <w:rsid w:val="00C579BB"/>
    <w:rsid w:val="00C57C47"/>
    <w:rsid w:val="00C57C72"/>
    <w:rsid w:val="00C57D52"/>
    <w:rsid w:val="00C57E26"/>
    <w:rsid w:val="00C57E38"/>
    <w:rsid w:val="00C57F6B"/>
    <w:rsid w:val="00C60027"/>
    <w:rsid w:val="00C60185"/>
    <w:rsid w:val="00C6024A"/>
    <w:rsid w:val="00C6052E"/>
    <w:rsid w:val="00C60681"/>
    <w:rsid w:val="00C60727"/>
    <w:rsid w:val="00C6072D"/>
    <w:rsid w:val="00C607BF"/>
    <w:rsid w:val="00C608A0"/>
    <w:rsid w:val="00C60907"/>
    <w:rsid w:val="00C6096D"/>
    <w:rsid w:val="00C60C92"/>
    <w:rsid w:val="00C60F9C"/>
    <w:rsid w:val="00C6119D"/>
    <w:rsid w:val="00C612CF"/>
    <w:rsid w:val="00C613A4"/>
    <w:rsid w:val="00C613FD"/>
    <w:rsid w:val="00C6143D"/>
    <w:rsid w:val="00C61495"/>
    <w:rsid w:val="00C614A5"/>
    <w:rsid w:val="00C61506"/>
    <w:rsid w:val="00C616B4"/>
    <w:rsid w:val="00C6189C"/>
    <w:rsid w:val="00C619BC"/>
    <w:rsid w:val="00C61D5E"/>
    <w:rsid w:val="00C61F75"/>
    <w:rsid w:val="00C61FCD"/>
    <w:rsid w:val="00C61FEA"/>
    <w:rsid w:val="00C621B0"/>
    <w:rsid w:val="00C622A5"/>
    <w:rsid w:val="00C622B7"/>
    <w:rsid w:val="00C623F2"/>
    <w:rsid w:val="00C6248E"/>
    <w:rsid w:val="00C6251F"/>
    <w:rsid w:val="00C62590"/>
    <w:rsid w:val="00C6265A"/>
    <w:rsid w:val="00C626AC"/>
    <w:rsid w:val="00C626CA"/>
    <w:rsid w:val="00C6295A"/>
    <w:rsid w:val="00C629FD"/>
    <w:rsid w:val="00C62B9B"/>
    <w:rsid w:val="00C62D06"/>
    <w:rsid w:val="00C62D38"/>
    <w:rsid w:val="00C62F5F"/>
    <w:rsid w:val="00C62F73"/>
    <w:rsid w:val="00C63255"/>
    <w:rsid w:val="00C6337F"/>
    <w:rsid w:val="00C63443"/>
    <w:rsid w:val="00C634FE"/>
    <w:rsid w:val="00C63543"/>
    <w:rsid w:val="00C6354B"/>
    <w:rsid w:val="00C63597"/>
    <w:rsid w:val="00C635D2"/>
    <w:rsid w:val="00C6367F"/>
    <w:rsid w:val="00C6373F"/>
    <w:rsid w:val="00C63923"/>
    <w:rsid w:val="00C6394D"/>
    <w:rsid w:val="00C63995"/>
    <w:rsid w:val="00C63A4D"/>
    <w:rsid w:val="00C63BCA"/>
    <w:rsid w:val="00C63C27"/>
    <w:rsid w:val="00C63D4D"/>
    <w:rsid w:val="00C63F1A"/>
    <w:rsid w:val="00C63FC4"/>
    <w:rsid w:val="00C642CB"/>
    <w:rsid w:val="00C644A8"/>
    <w:rsid w:val="00C64522"/>
    <w:rsid w:val="00C646C0"/>
    <w:rsid w:val="00C64754"/>
    <w:rsid w:val="00C648B9"/>
    <w:rsid w:val="00C64A7C"/>
    <w:rsid w:val="00C64BCB"/>
    <w:rsid w:val="00C64C57"/>
    <w:rsid w:val="00C64D9A"/>
    <w:rsid w:val="00C64EF1"/>
    <w:rsid w:val="00C64F5F"/>
    <w:rsid w:val="00C64F6C"/>
    <w:rsid w:val="00C650AD"/>
    <w:rsid w:val="00C65164"/>
    <w:rsid w:val="00C6527B"/>
    <w:rsid w:val="00C65298"/>
    <w:rsid w:val="00C652A1"/>
    <w:rsid w:val="00C659D2"/>
    <w:rsid w:val="00C65A17"/>
    <w:rsid w:val="00C65AA0"/>
    <w:rsid w:val="00C65AC2"/>
    <w:rsid w:val="00C65ACB"/>
    <w:rsid w:val="00C65D5D"/>
    <w:rsid w:val="00C65DBA"/>
    <w:rsid w:val="00C65EB5"/>
    <w:rsid w:val="00C65EB7"/>
    <w:rsid w:val="00C65F96"/>
    <w:rsid w:val="00C66053"/>
    <w:rsid w:val="00C66094"/>
    <w:rsid w:val="00C66148"/>
    <w:rsid w:val="00C661D5"/>
    <w:rsid w:val="00C6629B"/>
    <w:rsid w:val="00C6631F"/>
    <w:rsid w:val="00C663CC"/>
    <w:rsid w:val="00C66597"/>
    <w:rsid w:val="00C66697"/>
    <w:rsid w:val="00C666C5"/>
    <w:rsid w:val="00C66836"/>
    <w:rsid w:val="00C6688E"/>
    <w:rsid w:val="00C6698B"/>
    <w:rsid w:val="00C669D7"/>
    <w:rsid w:val="00C66BDA"/>
    <w:rsid w:val="00C66CC5"/>
    <w:rsid w:val="00C66CC8"/>
    <w:rsid w:val="00C66D26"/>
    <w:rsid w:val="00C66FC4"/>
    <w:rsid w:val="00C66FEF"/>
    <w:rsid w:val="00C67293"/>
    <w:rsid w:val="00C673DF"/>
    <w:rsid w:val="00C675A7"/>
    <w:rsid w:val="00C67605"/>
    <w:rsid w:val="00C676C7"/>
    <w:rsid w:val="00C676EC"/>
    <w:rsid w:val="00C6789B"/>
    <w:rsid w:val="00C67901"/>
    <w:rsid w:val="00C67976"/>
    <w:rsid w:val="00C679D6"/>
    <w:rsid w:val="00C67C61"/>
    <w:rsid w:val="00C67CE3"/>
    <w:rsid w:val="00C67D3A"/>
    <w:rsid w:val="00C67E1D"/>
    <w:rsid w:val="00C67E74"/>
    <w:rsid w:val="00C701FC"/>
    <w:rsid w:val="00C702A7"/>
    <w:rsid w:val="00C7031E"/>
    <w:rsid w:val="00C7056E"/>
    <w:rsid w:val="00C705DD"/>
    <w:rsid w:val="00C706BD"/>
    <w:rsid w:val="00C706F9"/>
    <w:rsid w:val="00C708A3"/>
    <w:rsid w:val="00C708EC"/>
    <w:rsid w:val="00C7093B"/>
    <w:rsid w:val="00C70993"/>
    <w:rsid w:val="00C7099F"/>
    <w:rsid w:val="00C70AEA"/>
    <w:rsid w:val="00C70D10"/>
    <w:rsid w:val="00C70ECC"/>
    <w:rsid w:val="00C70EF0"/>
    <w:rsid w:val="00C71482"/>
    <w:rsid w:val="00C714EC"/>
    <w:rsid w:val="00C71529"/>
    <w:rsid w:val="00C715A3"/>
    <w:rsid w:val="00C716DE"/>
    <w:rsid w:val="00C7170D"/>
    <w:rsid w:val="00C7179E"/>
    <w:rsid w:val="00C71861"/>
    <w:rsid w:val="00C718FC"/>
    <w:rsid w:val="00C71926"/>
    <w:rsid w:val="00C719A0"/>
    <w:rsid w:val="00C71A01"/>
    <w:rsid w:val="00C71D62"/>
    <w:rsid w:val="00C71D69"/>
    <w:rsid w:val="00C71D8D"/>
    <w:rsid w:val="00C71DF9"/>
    <w:rsid w:val="00C71E09"/>
    <w:rsid w:val="00C71EEE"/>
    <w:rsid w:val="00C71F0D"/>
    <w:rsid w:val="00C71F97"/>
    <w:rsid w:val="00C71FA0"/>
    <w:rsid w:val="00C720E1"/>
    <w:rsid w:val="00C72275"/>
    <w:rsid w:val="00C722F8"/>
    <w:rsid w:val="00C72398"/>
    <w:rsid w:val="00C723B4"/>
    <w:rsid w:val="00C725B8"/>
    <w:rsid w:val="00C727F6"/>
    <w:rsid w:val="00C72830"/>
    <w:rsid w:val="00C72963"/>
    <w:rsid w:val="00C729B9"/>
    <w:rsid w:val="00C72B5C"/>
    <w:rsid w:val="00C72C37"/>
    <w:rsid w:val="00C72D91"/>
    <w:rsid w:val="00C72FC0"/>
    <w:rsid w:val="00C730C5"/>
    <w:rsid w:val="00C7316B"/>
    <w:rsid w:val="00C731CE"/>
    <w:rsid w:val="00C73234"/>
    <w:rsid w:val="00C73296"/>
    <w:rsid w:val="00C7342B"/>
    <w:rsid w:val="00C7373B"/>
    <w:rsid w:val="00C73780"/>
    <w:rsid w:val="00C73820"/>
    <w:rsid w:val="00C73895"/>
    <w:rsid w:val="00C73A95"/>
    <w:rsid w:val="00C73B14"/>
    <w:rsid w:val="00C73BF2"/>
    <w:rsid w:val="00C73D5E"/>
    <w:rsid w:val="00C73E1F"/>
    <w:rsid w:val="00C74447"/>
    <w:rsid w:val="00C74466"/>
    <w:rsid w:val="00C74551"/>
    <w:rsid w:val="00C74677"/>
    <w:rsid w:val="00C74728"/>
    <w:rsid w:val="00C74831"/>
    <w:rsid w:val="00C748AE"/>
    <w:rsid w:val="00C748C1"/>
    <w:rsid w:val="00C749C3"/>
    <w:rsid w:val="00C74B0C"/>
    <w:rsid w:val="00C74D28"/>
    <w:rsid w:val="00C74F22"/>
    <w:rsid w:val="00C74FAA"/>
    <w:rsid w:val="00C7507C"/>
    <w:rsid w:val="00C7510C"/>
    <w:rsid w:val="00C75138"/>
    <w:rsid w:val="00C7522D"/>
    <w:rsid w:val="00C75271"/>
    <w:rsid w:val="00C752F0"/>
    <w:rsid w:val="00C75409"/>
    <w:rsid w:val="00C75432"/>
    <w:rsid w:val="00C75478"/>
    <w:rsid w:val="00C7565C"/>
    <w:rsid w:val="00C75695"/>
    <w:rsid w:val="00C75701"/>
    <w:rsid w:val="00C75834"/>
    <w:rsid w:val="00C75887"/>
    <w:rsid w:val="00C758EC"/>
    <w:rsid w:val="00C75940"/>
    <w:rsid w:val="00C75A59"/>
    <w:rsid w:val="00C75AEA"/>
    <w:rsid w:val="00C75B3B"/>
    <w:rsid w:val="00C75B83"/>
    <w:rsid w:val="00C75BDC"/>
    <w:rsid w:val="00C75F88"/>
    <w:rsid w:val="00C76088"/>
    <w:rsid w:val="00C7609B"/>
    <w:rsid w:val="00C7618D"/>
    <w:rsid w:val="00C761AA"/>
    <w:rsid w:val="00C76284"/>
    <w:rsid w:val="00C76437"/>
    <w:rsid w:val="00C7647A"/>
    <w:rsid w:val="00C767A8"/>
    <w:rsid w:val="00C767B4"/>
    <w:rsid w:val="00C768A3"/>
    <w:rsid w:val="00C768E7"/>
    <w:rsid w:val="00C76C96"/>
    <w:rsid w:val="00C76D5D"/>
    <w:rsid w:val="00C76E34"/>
    <w:rsid w:val="00C76FAA"/>
    <w:rsid w:val="00C7700E"/>
    <w:rsid w:val="00C77032"/>
    <w:rsid w:val="00C77065"/>
    <w:rsid w:val="00C7785F"/>
    <w:rsid w:val="00C7789D"/>
    <w:rsid w:val="00C77981"/>
    <w:rsid w:val="00C77B3C"/>
    <w:rsid w:val="00C77C8B"/>
    <w:rsid w:val="00C77D1B"/>
    <w:rsid w:val="00C77E8D"/>
    <w:rsid w:val="00C77F56"/>
    <w:rsid w:val="00C80034"/>
    <w:rsid w:val="00C80068"/>
    <w:rsid w:val="00C800AD"/>
    <w:rsid w:val="00C801E7"/>
    <w:rsid w:val="00C80204"/>
    <w:rsid w:val="00C802D3"/>
    <w:rsid w:val="00C802FF"/>
    <w:rsid w:val="00C80315"/>
    <w:rsid w:val="00C803E4"/>
    <w:rsid w:val="00C804B6"/>
    <w:rsid w:val="00C80607"/>
    <w:rsid w:val="00C80A17"/>
    <w:rsid w:val="00C80AF2"/>
    <w:rsid w:val="00C80B6F"/>
    <w:rsid w:val="00C80B89"/>
    <w:rsid w:val="00C80BC9"/>
    <w:rsid w:val="00C80D0A"/>
    <w:rsid w:val="00C80DAE"/>
    <w:rsid w:val="00C80E3B"/>
    <w:rsid w:val="00C80EB8"/>
    <w:rsid w:val="00C80EE5"/>
    <w:rsid w:val="00C80F23"/>
    <w:rsid w:val="00C80FF2"/>
    <w:rsid w:val="00C8119E"/>
    <w:rsid w:val="00C811A2"/>
    <w:rsid w:val="00C8121E"/>
    <w:rsid w:val="00C812A5"/>
    <w:rsid w:val="00C812FB"/>
    <w:rsid w:val="00C81344"/>
    <w:rsid w:val="00C81513"/>
    <w:rsid w:val="00C81580"/>
    <w:rsid w:val="00C816FB"/>
    <w:rsid w:val="00C817F6"/>
    <w:rsid w:val="00C81918"/>
    <w:rsid w:val="00C8192C"/>
    <w:rsid w:val="00C8197C"/>
    <w:rsid w:val="00C8198D"/>
    <w:rsid w:val="00C81992"/>
    <w:rsid w:val="00C81A44"/>
    <w:rsid w:val="00C81ABC"/>
    <w:rsid w:val="00C81AE0"/>
    <w:rsid w:val="00C81D4F"/>
    <w:rsid w:val="00C81DA9"/>
    <w:rsid w:val="00C81ED2"/>
    <w:rsid w:val="00C824CE"/>
    <w:rsid w:val="00C824FE"/>
    <w:rsid w:val="00C8252A"/>
    <w:rsid w:val="00C82B26"/>
    <w:rsid w:val="00C82C26"/>
    <w:rsid w:val="00C82C2A"/>
    <w:rsid w:val="00C82C4C"/>
    <w:rsid w:val="00C82D52"/>
    <w:rsid w:val="00C82F7F"/>
    <w:rsid w:val="00C82FAC"/>
    <w:rsid w:val="00C831C3"/>
    <w:rsid w:val="00C8326F"/>
    <w:rsid w:val="00C83554"/>
    <w:rsid w:val="00C8379E"/>
    <w:rsid w:val="00C83AE7"/>
    <w:rsid w:val="00C83B65"/>
    <w:rsid w:val="00C83B9A"/>
    <w:rsid w:val="00C83C46"/>
    <w:rsid w:val="00C83D56"/>
    <w:rsid w:val="00C83F94"/>
    <w:rsid w:val="00C84095"/>
    <w:rsid w:val="00C840C5"/>
    <w:rsid w:val="00C8432E"/>
    <w:rsid w:val="00C843CC"/>
    <w:rsid w:val="00C844E3"/>
    <w:rsid w:val="00C8452B"/>
    <w:rsid w:val="00C845CB"/>
    <w:rsid w:val="00C8460D"/>
    <w:rsid w:val="00C8467C"/>
    <w:rsid w:val="00C847C9"/>
    <w:rsid w:val="00C8489B"/>
    <w:rsid w:val="00C84DE1"/>
    <w:rsid w:val="00C84E11"/>
    <w:rsid w:val="00C84E29"/>
    <w:rsid w:val="00C84F4C"/>
    <w:rsid w:val="00C8502F"/>
    <w:rsid w:val="00C85080"/>
    <w:rsid w:val="00C85119"/>
    <w:rsid w:val="00C85137"/>
    <w:rsid w:val="00C85444"/>
    <w:rsid w:val="00C85786"/>
    <w:rsid w:val="00C85830"/>
    <w:rsid w:val="00C85849"/>
    <w:rsid w:val="00C85917"/>
    <w:rsid w:val="00C859DA"/>
    <w:rsid w:val="00C859FB"/>
    <w:rsid w:val="00C85A50"/>
    <w:rsid w:val="00C85E06"/>
    <w:rsid w:val="00C85E2A"/>
    <w:rsid w:val="00C85F3C"/>
    <w:rsid w:val="00C85F65"/>
    <w:rsid w:val="00C85F75"/>
    <w:rsid w:val="00C86100"/>
    <w:rsid w:val="00C8639F"/>
    <w:rsid w:val="00C86414"/>
    <w:rsid w:val="00C864C1"/>
    <w:rsid w:val="00C86901"/>
    <w:rsid w:val="00C8693A"/>
    <w:rsid w:val="00C869CA"/>
    <w:rsid w:val="00C86A42"/>
    <w:rsid w:val="00C86A48"/>
    <w:rsid w:val="00C86AA6"/>
    <w:rsid w:val="00C86AFA"/>
    <w:rsid w:val="00C86B6D"/>
    <w:rsid w:val="00C86B9A"/>
    <w:rsid w:val="00C86BCB"/>
    <w:rsid w:val="00C86C42"/>
    <w:rsid w:val="00C86D34"/>
    <w:rsid w:val="00C87008"/>
    <w:rsid w:val="00C8714D"/>
    <w:rsid w:val="00C87238"/>
    <w:rsid w:val="00C87249"/>
    <w:rsid w:val="00C87284"/>
    <w:rsid w:val="00C87470"/>
    <w:rsid w:val="00C87488"/>
    <w:rsid w:val="00C8750C"/>
    <w:rsid w:val="00C8761E"/>
    <w:rsid w:val="00C87687"/>
    <w:rsid w:val="00C876EF"/>
    <w:rsid w:val="00C87710"/>
    <w:rsid w:val="00C87847"/>
    <w:rsid w:val="00C8797C"/>
    <w:rsid w:val="00C87D28"/>
    <w:rsid w:val="00C87DC6"/>
    <w:rsid w:val="00C87E6F"/>
    <w:rsid w:val="00C900F1"/>
    <w:rsid w:val="00C90112"/>
    <w:rsid w:val="00C901A1"/>
    <w:rsid w:val="00C90242"/>
    <w:rsid w:val="00C90335"/>
    <w:rsid w:val="00C90414"/>
    <w:rsid w:val="00C9041E"/>
    <w:rsid w:val="00C905FF"/>
    <w:rsid w:val="00C907F1"/>
    <w:rsid w:val="00C908BA"/>
    <w:rsid w:val="00C90911"/>
    <w:rsid w:val="00C90948"/>
    <w:rsid w:val="00C9095D"/>
    <w:rsid w:val="00C909D1"/>
    <w:rsid w:val="00C90C43"/>
    <w:rsid w:val="00C90F58"/>
    <w:rsid w:val="00C90FAB"/>
    <w:rsid w:val="00C90FD9"/>
    <w:rsid w:val="00C91088"/>
    <w:rsid w:val="00C911C7"/>
    <w:rsid w:val="00C91293"/>
    <w:rsid w:val="00C91A88"/>
    <w:rsid w:val="00C91AA3"/>
    <w:rsid w:val="00C91AE3"/>
    <w:rsid w:val="00C91C75"/>
    <w:rsid w:val="00C91C98"/>
    <w:rsid w:val="00C91CB9"/>
    <w:rsid w:val="00C91DAD"/>
    <w:rsid w:val="00C91DE6"/>
    <w:rsid w:val="00C91E0E"/>
    <w:rsid w:val="00C9226A"/>
    <w:rsid w:val="00C9229B"/>
    <w:rsid w:val="00C923E5"/>
    <w:rsid w:val="00C924CF"/>
    <w:rsid w:val="00C92501"/>
    <w:rsid w:val="00C9254F"/>
    <w:rsid w:val="00C926A6"/>
    <w:rsid w:val="00C9299B"/>
    <w:rsid w:val="00C929EE"/>
    <w:rsid w:val="00C92ADD"/>
    <w:rsid w:val="00C92C02"/>
    <w:rsid w:val="00C92E82"/>
    <w:rsid w:val="00C92F94"/>
    <w:rsid w:val="00C9314F"/>
    <w:rsid w:val="00C931D8"/>
    <w:rsid w:val="00C932F6"/>
    <w:rsid w:val="00C934AB"/>
    <w:rsid w:val="00C93537"/>
    <w:rsid w:val="00C936CC"/>
    <w:rsid w:val="00C93A82"/>
    <w:rsid w:val="00C93AB3"/>
    <w:rsid w:val="00C93B10"/>
    <w:rsid w:val="00C93B11"/>
    <w:rsid w:val="00C93D96"/>
    <w:rsid w:val="00C93E81"/>
    <w:rsid w:val="00C93EC8"/>
    <w:rsid w:val="00C93F37"/>
    <w:rsid w:val="00C94101"/>
    <w:rsid w:val="00C94133"/>
    <w:rsid w:val="00C94176"/>
    <w:rsid w:val="00C941CA"/>
    <w:rsid w:val="00C9428A"/>
    <w:rsid w:val="00C9429F"/>
    <w:rsid w:val="00C9445B"/>
    <w:rsid w:val="00C94551"/>
    <w:rsid w:val="00C945E0"/>
    <w:rsid w:val="00C945EE"/>
    <w:rsid w:val="00C9465F"/>
    <w:rsid w:val="00C946AA"/>
    <w:rsid w:val="00C946C9"/>
    <w:rsid w:val="00C946E8"/>
    <w:rsid w:val="00C949F9"/>
    <w:rsid w:val="00C94ADD"/>
    <w:rsid w:val="00C94BCB"/>
    <w:rsid w:val="00C94D2D"/>
    <w:rsid w:val="00C94FAF"/>
    <w:rsid w:val="00C95222"/>
    <w:rsid w:val="00C952DB"/>
    <w:rsid w:val="00C9531D"/>
    <w:rsid w:val="00C9541F"/>
    <w:rsid w:val="00C954B8"/>
    <w:rsid w:val="00C954C8"/>
    <w:rsid w:val="00C95581"/>
    <w:rsid w:val="00C955C5"/>
    <w:rsid w:val="00C955D0"/>
    <w:rsid w:val="00C955FE"/>
    <w:rsid w:val="00C95725"/>
    <w:rsid w:val="00C957AD"/>
    <w:rsid w:val="00C95888"/>
    <w:rsid w:val="00C958E9"/>
    <w:rsid w:val="00C958F8"/>
    <w:rsid w:val="00C95928"/>
    <w:rsid w:val="00C9593E"/>
    <w:rsid w:val="00C95AB0"/>
    <w:rsid w:val="00C95B8C"/>
    <w:rsid w:val="00C95BCD"/>
    <w:rsid w:val="00C95C57"/>
    <w:rsid w:val="00C95C6A"/>
    <w:rsid w:val="00C95DA0"/>
    <w:rsid w:val="00C95E87"/>
    <w:rsid w:val="00C96004"/>
    <w:rsid w:val="00C960B9"/>
    <w:rsid w:val="00C961B8"/>
    <w:rsid w:val="00C96480"/>
    <w:rsid w:val="00C964E0"/>
    <w:rsid w:val="00C9653B"/>
    <w:rsid w:val="00C9677C"/>
    <w:rsid w:val="00C96783"/>
    <w:rsid w:val="00C96910"/>
    <w:rsid w:val="00C96996"/>
    <w:rsid w:val="00C96C01"/>
    <w:rsid w:val="00C96CBD"/>
    <w:rsid w:val="00C96E31"/>
    <w:rsid w:val="00C96EEC"/>
    <w:rsid w:val="00C96F54"/>
    <w:rsid w:val="00C97050"/>
    <w:rsid w:val="00C970FF"/>
    <w:rsid w:val="00C97146"/>
    <w:rsid w:val="00C972E6"/>
    <w:rsid w:val="00C97310"/>
    <w:rsid w:val="00C97320"/>
    <w:rsid w:val="00C974E8"/>
    <w:rsid w:val="00C9758E"/>
    <w:rsid w:val="00C97675"/>
    <w:rsid w:val="00C97682"/>
    <w:rsid w:val="00C9772B"/>
    <w:rsid w:val="00C97825"/>
    <w:rsid w:val="00C97846"/>
    <w:rsid w:val="00C9786A"/>
    <w:rsid w:val="00C97A25"/>
    <w:rsid w:val="00C97B05"/>
    <w:rsid w:val="00C97BEF"/>
    <w:rsid w:val="00C97C61"/>
    <w:rsid w:val="00C97DC2"/>
    <w:rsid w:val="00C97E2E"/>
    <w:rsid w:val="00CA007E"/>
    <w:rsid w:val="00CA00D5"/>
    <w:rsid w:val="00CA047D"/>
    <w:rsid w:val="00CA0550"/>
    <w:rsid w:val="00CA0806"/>
    <w:rsid w:val="00CA0962"/>
    <w:rsid w:val="00CA09F5"/>
    <w:rsid w:val="00CA0A38"/>
    <w:rsid w:val="00CA0A4F"/>
    <w:rsid w:val="00CA0A75"/>
    <w:rsid w:val="00CA0AB6"/>
    <w:rsid w:val="00CA0EAC"/>
    <w:rsid w:val="00CA0FA1"/>
    <w:rsid w:val="00CA0FFA"/>
    <w:rsid w:val="00CA1238"/>
    <w:rsid w:val="00CA130F"/>
    <w:rsid w:val="00CA1317"/>
    <w:rsid w:val="00CA1344"/>
    <w:rsid w:val="00CA14D8"/>
    <w:rsid w:val="00CA160D"/>
    <w:rsid w:val="00CA167F"/>
    <w:rsid w:val="00CA1707"/>
    <w:rsid w:val="00CA1735"/>
    <w:rsid w:val="00CA1909"/>
    <w:rsid w:val="00CA1B56"/>
    <w:rsid w:val="00CA1F18"/>
    <w:rsid w:val="00CA1FCD"/>
    <w:rsid w:val="00CA1FEE"/>
    <w:rsid w:val="00CA2489"/>
    <w:rsid w:val="00CA2499"/>
    <w:rsid w:val="00CA2736"/>
    <w:rsid w:val="00CA2753"/>
    <w:rsid w:val="00CA2776"/>
    <w:rsid w:val="00CA27D1"/>
    <w:rsid w:val="00CA27E3"/>
    <w:rsid w:val="00CA29AD"/>
    <w:rsid w:val="00CA2BE9"/>
    <w:rsid w:val="00CA2EFC"/>
    <w:rsid w:val="00CA2F71"/>
    <w:rsid w:val="00CA2F9B"/>
    <w:rsid w:val="00CA306A"/>
    <w:rsid w:val="00CA3131"/>
    <w:rsid w:val="00CA3284"/>
    <w:rsid w:val="00CA34FF"/>
    <w:rsid w:val="00CA3502"/>
    <w:rsid w:val="00CA354B"/>
    <w:rsid w:val="00CA3692"/>
    <w:rsid w:val="00CA38C8"/>
    <w:rsid w:val="00CA3933"/>
    <w:rsid w:val="00CA3BC5"/>
    <w:rsid w:val="00CA3C42"/>
    <w:rsid w:val="00CA3F19"/>
    <w:rsid w:val="00CA3F4E"/>
    <w:rsid w:val="00CA3FB1"/>
    <w:rsid w:val="00CA4004"/>
    <w:rsid w:val="00CA405C"/>
    <w:rsid w:val="00CA40B2"/>
    <w:rsid w:val="00CA4104"/>
    <w:rsid w:val="00CA420A"/>
    <w:rsid w:val="00CA442A"/>
    <w:rsid w:val="00CA4472"/>
    <w:rsid w:val="00CA45F5"/>
    <w:rsid w:val="00CA4670"/>
    <w:rsid w:val="00CA4762"/>
    <w:rsid w:val="00CA483C"/>
    <w:rsid w:val="00CA48DC"/>
    <w:rsid w:val="00CA4964"/>
    <w:rsid w:val="00CA4965"/>
    <w:rsid w:val="00CA4AD5"/>
    <w:rsid w:val="00CA4C3D"/>
    <w:rsid w:val="00CA4CD6"/>
    <w:rsid w:val="00CA50A0"/>
    <w:rsid w:val="00CA50E4"/>
    <w:rsid w:val="00CA5120"/>
    <w:rsid w:val="00CA519C"/>
    <w:rsid w:val="00CA51EF"/>
    <w:rsid w:val="00CA52FE"/>
    <w:rsid w:val="00CA5399"/>
    <w:rsid w:val="00CA53C0"/>
    <w:rsid w:val="00CA53D9"/>
    <w:rsid w:val="00CA546E"/>
    <w:rsid w:val="00CA551E"/>
    <w:rsid w:val="00CA5528"/>
    <w:rsid w:val="00CA563B"/>
    <w:rsid w:val="00CA569B"/>
    <w:rsid w:val="00CA576E"/>
    <w:rsid w:val="00CA57BA"/>
    <w:rsid w:val="00CA57C7"/>
    <w:rsid w:val="00CA58C0"/>
    <w:rsid w:val="00CA5B3F"/>
    <w:rsid w:val="00CA5C7C"/>
    <w:rsid w:val="00CA60F1"/>
    <w:rsid w:val="00CA6103"/>
    <w:rsid w:val="00CA614C"/>
    <w:rsid w:val="00CA61C8"/>
    <w:rsid w:val="00CA61CA"/>
    <w:rsid w:val="00CA61FA"/>
    <w:rsid w:val="00CA6306"/>
    <w:rsid w:val="00CA63E4"/>
    <w:rsid w:val="00CA6419"/>
    <w:rsid w:val="00CA686E"/>
    <w:rsid w:val="00CA6904"/>
    <w:rsid w:val="00CA69CE"/>
    <w:rsid w:val="00CA6A3E"/>
    <w:rsid w:val="00CA6AE8"/>
    <w:rsid w:val="00CA6B31"/>
    <w:rsid w:val="00CA6D9C"/>
    <w:rsid w:val="00CA6E03"/>
    <w:rsid w:val="00CA6EE7"/>
    <w:rsid w:val="00CA7090"/>
    <w:rsid w:val="00CA70D7"/>
    <w:rsid w:val="00CA736A"/>
    <w:rsid w:val="00CA7438"/>
    <w:rsid w:val="00CA7454"/>
    <w:rsid w:val="00CA7480"/>
    <w:rsid w:val="00CA77B5"/>
    <w:rsid w:val="00CA783E"/>
    <w:rsid w:val="00CA78E6"/>
    <w:rsid w:val="00CA78F4"/>
    <w:rsid w:val="00CA7942"/>
    <w:rsid w:val="00CA79EC"/>
    <w:rsid w:val="00CA7AD8"/>
    <w:rsid w:val="00CA7B6B"/>
    <w:rsid w:val="00CA7CB7"/>
    <w:rsid w:val="00CA7D5C"/>
    <w:rsid w:val="00CA7DE5"/>
    <w:rsid w:val="00CB00F0"/>
    <w:rsid w:val="00CB0103"/>
    <w:rsid w:val="00CB0185"/>
    <w:rsid w:val="00CB01A8"/>
    <w:rsid w:val="00CB01CA"/>
    <w:rsid w:val="00CB02D0"/>
    <w:rsid w:val="00CB0390"/>
    <w:rsid w:val="00CB039C"/>
    <w:rsid w:val="00CB0404"/>
    <w:rsid w:val="00CB0408"/>
    <w:rsid w:val="00CB06A1"/>
    <w:rsid w:val="00CB076D"/>
    <w:rsid w:val="00CB077B"/>
    <w:rsid w:val="00CB08BB"/>
    <w:rsid w:val="00CB092C"/>
    <w:rsid w:val="00CB097F"/>
    <w:rsid w:val="00CB0984"/>
    <w:rsid w:val="00CB0B0D"/>
    <w:rsid w:val="00CB0CF6"/>
    <w:rsid w:val="00CB0D3C"/>
    <w:rsid w:val="00CB1002"/>
    <w:rsid w:val="00CB10F8"/>
    <w:rsid w:val="00CB14B0"/>
    <w:rsid w:val="00CB159D"/>
    <w:rsid w:val="00CB15E7"/>
    <w:rsid w:val="00CB15EA"/>
    <w:rsid w:val="00CB1651"/>
    <w:rsid w:val="00CB1697"/>
    <w:rsid w:val="00CB16CC"/>
    <w:rsid w:val="00CB181D"/>
    <w:rsid w:val="00CB1916"/>
    <w:rsid w:val="00CB1923"/>
    <w:rsid w:val="00CB1E0D"/>
    <w:rsid w:val="00CB228F"/>
    <w:rsid w:val="00CB2297"/>
    <w:rsid w:val="00CB22B3"/>
    <w:rsid w:val="00CB2315"/>
    <w:rsid w:val="00CB2342"/>
    <w:rsid w:val="00CB2384"/>
    <w:rsid w:val="00CB23E0"/>
    <w:rsid w:val="00CB240F"/>
    <w:rsid w:val="00CB24A3"/>
    <w:rsid w:val="00CB25C4"/>
    <w:rsid w:val="00CB2608"/>
    <w:rsid w:val="00CB2617"/>
    <w:rsid w:val="00CB281E"/>
    <w:rsid w:val="00CB2A04"/>
    <w:rsid w:val="00CB2BEB"/>
    <w:rsid w:val="00CB2C60"/>
    <w:rsid w:val="00CB2C7B"/>
    <w:rsid w:val="00CB2D10"/>
    <w:rsid w:val="00CB2DEE"/>
    <w:rsid w:val="00CB3078"/>
    <w:rsid w:val="00CB313A"/>
    <w:rsid w:val="00CB31AC"/>
    <w:rsid w:val="00CB33F9"/>
    <w:rsid w:val="00CB34EB"/>
    <w:rsid w:val="00CB34F4"/>
    <w:rsid w:val="00CB36B0"/>
    <w:rsid w:val="00CB36CA"/>
    <w:rsid w:val="00CB37ED"/>
    <w:rsid w:val="00CB38B3"/>
    <w:rsid w:val="00CB3A20"/>
    <w:rsid w:val="00CB3A9C"/>
    <w:rsid w:val="00CB3BC2"/>
    <w:rsid w:val="00CB3CBB"/>
    <w:rsid w:val="00CB3D48"/>
    <w:rsid w:val="00CB4195"/>
    <w:rsid w:val="00CB4213"/>
    <w:rsid w:val="00CB4277"/>
    <w:rsid w:val="00CB43C2"/>
    <w:rsid w:val="00CB43F2"/>
    <w:rsid w:val="00CB4416"/>
    <w:rsid w:val="00CB447F"/>
    <w:rsid w:val="00CB463D"/>
    <w:rsid w:val="00CB4640"/>
    <w:rsid w:val="00CB4663"/>
    <w:rsid w:val="00CB48E4"/>
    <w:rsid w:val="00CB4958"/>
    <w:rsid w:val="00CB4BF8"/>
    <w:rsid w:val="00CB4CB3"/>
    <w:rsid w:val="00CB5206"/>
    <w:rsid w:val="00CB5314"/>
    <w:rsid w:val="00CB5423"/>
    <w:rsid w:val="00CB5534"/>
    <w:rsid w:val="00CB5650"/>
    <w:rsid w:val="00CB5690"/>
    <w:rsid w:val="00CB56C7"/>
    <w:rsid w:val="00CB576D"/>
    <w:rsid w:val="00CB57F3"/>
    <w:rsid w:val="00CB5801"/>
    <w:rsid w:val="00CB58C8"/>
    <w:rsid w:val="00CB59B8"/>
    <w:rsid w:val="00CB5A4F"/>
    <w:rsid w:val="00CB5B3A"/>
    <w:rsid w:val="00CB5B96"/>
    <w:rsid w:val="00CB5BA2"/>
    <w:rsid w:val="00CB5DF3"/>
    <w:rsid w:val="00CB5E4B"/>
    <w:rsid w:val="00CB5E5F"/>
    <w:rsid w:val="00CB5E63"/>
    <w:rsid w:val="00CB5ED4"/>
    <w:rsid w:val="00CB60E8"/>
    <w:rsid w:val="00CB6138"/>
    <w:rsid w:val="00CB616A"/>
    <w:rsid w:val="00CB6204"/>
    <w:rsid w:val="00CB6485"/>
    <w:rsid w:val="00CB66AA"/>
    <w:rsid w:val="00CB66D8"/>
    <w:rsid w:val="00CB66FE"/>
    <w:rsid w:val="00CB67B8"/>
    <w:rsid w:val="00CB67E1"/>
    <w:rsid w:val="00CB68F9"/>
    <w:rsid w:val="00CB693C"/>
    <w:rsid w:val="00CB6955"/>
    <w:rsid w:val="00CB698E"/>
    <w:rsid w:val="00CB69C5"/>
    <w:rsid w:val="00CB6A87"/>
    <w:rsid w:val="00CB6BBD"/>
    <w:rsid w:val="00CB6C81"/>
    <w:rsid w:val="00CB6F00"/>
    <w:rsid w:val="00CB70B3"/>
    <w:rsid w:val="00CB7117"/>
    <w:rsid w:val="00CB7212"/>
    <w:rsid w:val="00CB7478"/>
    <w:rsid w:val="00CB74C8"/>
    <w:rsid w:val="00CB750E"/>
    <w:rsid w:val="00CB7523"/>
    <w:rsid w:val="00CB78FB"/>
    <w:rsid w:val="00CB7B08"/>
    <w:rsid w:val="00CB7B7E"/>
    <w:rsid w:val="00CB7B9B"/>
    <w:rsid w:val="00CB7D19"/>
    <w:rsid w:val="00CB7D9D"/>
    <w:rsid w:val="00CB7DB7"/>
    <w:rsid w:val="00CC0341"/>
    <w:rsid w:val="00CC0395"/>
    <w:rsid w:val="00CC03F1"/>
    <w:rsid w:val="00CC0474"/>
    <w:rsid w:val="00CC0855"/>
    <w:rsid w:val="00CC0860"/>
    <w:rsid w:val="00CC087C"/>
    <w:rsid w:val="00CC0ACC"/>
    <w:rsid w:val="00CC0B8A"/>
    <w:rsid w:val="00CC0C7B"/>
    <w:rsid w:val="00CC0DFF"/>
    <w:rsid w:val="00CC0E80"/>
    <w:rsid w:val="00CC0E85"/>
    <w:rsid w:val="00CC0EA2"/>
    <w:rsid w:val="00CC0F3A"/>
    <w:rsid w:val="00CC1071"/>
    <w:rsid w:val="00CC10EB"/>
    <w:rsid w:val="00CC1112"/>
    <w:rsid w:val="00CC1148"/>
    <w:rsid w:val="00CC122F"/>
    <w:rsid w:val="00CC1245"/>
    <w:rsid w:val="00CC128B"/>
    <w:rsid w:val="00CC1406"/>
    <w:rsid w:val="00CC1439"/>
    <w:rsid w:val="00CC148A"/>
    <w:rsid w:val="00CC14B7"/>
    <w:rsid w:val="00CC155B"/>
    <w:rsid w:val="00CC1570"/>
    <w:rsid w:val="00CC1744"/>
    <w:rsid w:val="00CC17A6"/>
    <w:rsid w:val="00CC183C"/>
    <w:rsid w:val="00CC1948"/>
    <w:rsid w:val="00CC1B26"/>
    <w:rsid w:val="00CC1B31"/>
    <w:rsid w:val="00CC1BE3"/>
    <w:rsid w:val="00CC1D2A"/>
    <w:rsid w:val="00CC1D53"/>
    <w:rsid w:val="00CC1DB1"/>
    <w:rsid w:val="00CC1E36"/>
    <w:rsid w:val="00CC1EBA"/>
    <w:rsid w:val="00CC1EF7"/>
    <w:rsid w:val="00CC205B"/>
    <w:rsid w:val="00CC2320"/>
    <w:rsid w:val="00CC24DC"/>
    <w:rsid w:val="00CC291D"/>
    <w:rsid w:val="00CC2B2E"/>
    <w:rsid w:val="00CC2B3F"/>
    <w:rsid w:val="00CC2B50"/>
    <w:rsid w:val="00CC2BB2"/>
    <w:rsid w:val="00CC2D8B"/>
    <w:rsid w:val="00CC2EF1"/>
    <w:rsid w:val="00CC3121"/>
    <w:rsid w:val="00CC32AC"/>
    <w:rsid w:val="00CC32B5"/>
    <w:rsid w:val="00CC3378"/>
    <w:rsid w:val="00CC352E"/>
    <w:rsid w:val="00CC35AA"/>
    <w:rsid w:val="00CC37B4"/>
    <w:rsid w:val="00CC3ADD"/>
    <w:rsid w:val="00CC3C8D"/>
    <w:rsid w:val="00CC3CDD"/>
    <w:rsid w:val="00CC3D2D"/>
    <w:rsid w:val="00CC3DB6"/>
    <w:rsid w:val="00CC3DC6"/>
    <w:rsid w:val="00CC3F0F"/>
    <w:rsid w:val="00CC3F7C"/>
    <w:rsid w:val="00CC4069"/>
    <w:rsid w:val="00CC416A"/>
    <w:rsid w:val="00CC4393"/>
    <w:rsid w:val="00CC4585"/>
    <w:rsid w:val="00CC45A1"/>
    <w:rsid w:val="00CC45DC"/>
    <w:rsid w:val="00CC46D4"/>
    <w:rsid w:val="00CC4708"/>
    <w:rsid w:val="00CC4804"/>
    <w:rsid w:val="00CC48A0"/>
    <w:rsid w:val="00CC49FC"/>
    <w:rsid w:val="00CC4A19"/>
    <w:rsid w:val="00CC4C6F"/>
    <w:rsid w:val="00CC4CDD"/>
    <w:rsid w:val="00CC4FBF"/>
    <w:rsid w:val="00CC5114"/>
    <w:rsid w:val="00CC51CB"/>
    <w:rsid w:val="00CC5498"/>
    <w:rsid w:val="00CC5625"/>
    <w:rsid w:val="00CC562A"/>
    <w:rsid w:val="00CC5857"/>
    <w:rsid w:val="00CC58A2"/>
    <w:rsid w:val="00CC5A11"/>
    <w:rsid w:val="00CC5B62"/>
    <w:rsid w:val="00CC5B63"/>
    <w:rsid w:val="00CC5B85"/>
    <w:rsid w:val="00CC5D68"/>
    <w:rsid w:val="00CC5D79"/>
    <w:rsid w:val="00CC5DA0"/>
    <w:rsid w:val="00CC5F24"/>
    <w:rsid w:val="00CC604F"/>
    <w:rsid w:val="00CC6084"/>
    <w:rsid w:val="00CC62B5"/>
    <w:rsid w:val="00CC64BA"/>
    <w:rsid w:val="00CC6580"/>
    <w:rsid w:val="00CC663C"/>
    <w:rsid w:val="00CC6645"/>
    <w:rsid w:val="00CC6864"/>
    <w:rsid w:val="00CC6A4F"/>
    <w:rsid w:val="00CC6B2C"/>
    <w:rsid w:val="00CC6B4E"/>
    <w:rsid w:val="00CC6BC3"/>
    <w:rsid w:val="00CC6C8B"/>
    <w:rsid w:val="00CC6DFE"/>
    <w:rsid w:val="00CC6E7A"/>
    <w:rsid w:val="00CC6FDB"/>
    <w:rsid w:val="00CC7084"/>
    <w:rsid w:val="00CC734F"/>
    <w:rsid w:val="00CC747C"/>
    <w:rsid w:val="00CC7488"/>
    <w:rsid w:val="00CC74DB"/>
    <w:rsid w:val="00CC7574"/>
    <w:rsid w:val="00CC75E9"/>
    <w:rsid w:val="00CC78A6"/>
    <w:rsid w:val="00CC7A13"/>
    <w:rsid w:val="00CC7A9E"/>
    <w:rsid w:val="00CC7AFF"/>
    <w:rsid w:val="00CC7C29"/>
    <w:rsid w:val="00CC7C51"/>
    <w:rsid w:val="00CC7D37"/>
    <w:rsid w:val="00CC7D88"/>
    <w:rsid w:val="00CD00F4"/>
    <w:rsid w:val="00CD0100"/>
    <w:rsid w:val="00CD019D"/>
    <w:rsid w:val="00CD01B3"/>
    <w:rsid w:val="00CD02F8"/>
    <w:rsid w:val="00CD03F6"/>
    <w:rsid w:val="00CD0787"/>
    <w:rsid w:val="00CD0917"/>
    <w:rsid w:val="00CD09B5"/>
    <w:rsid w:val="00CD09E9"/>
    <w:rsid w:val="00CD0AA9"/>
    <w:rsid w:val="00CD0C89"/>
    <w:rsid w:val="00CD0D7D"/>
    <w:rsid w:val="00CD0ED9"/>
    <w:rsid w:val="00CD104C"/>
    <w:rsid w:val="00CD10BF"/>
    <w:rsid w:val="00CD1175"/>
    <w:rsid w:val="00CD148D"/>
    <w:rsid w:val="00CD1505"/>
    <w:rsid w:val="00CD152C"/>
    <w:rsid w:val="00CD1632"/>
    <w:rsid w:val="00CD16E6"/>
    <w:rsid w:val="00CD1BEA"/>
    <w:rsid w:val="00CD1C14"/>
    <w:rsid w:val="00CD1E80"/>
    <w:rsid w:val="00CD1F2C"/>
    <w:rsid w:val="00CD2024"/>
    <w:rsid w:val="00CD23F7"/>
    <w:rsid w:val="00CD258E"/>
    <w:rsid w:val="00CD2620"/>
    <w:rsid w:val="00CD282E"/>
    <w:rsid w:val="00CD2960"/>
    <w:rsid w:val="00CD29C8"/>
    <w:rsid w:val="00CD2A4B"/>
    <w:rsid w:val="00CD2B7B"/>
    <w:rsid w:val="00CD3112"/>
    <w:rsid w:val="00CD313D"/>
    <w:rsid w:val="00CD320E"/>
    <w:rsid w:val="00CD3419"/>
    <w:rsid w:val="00CD34A4"/>
    <w:rsid w:val="00CD355F"/>
    <w:rsid w:val="00CD36FD"/>
    <w:rsid w:val="00CD373D"/>
    <w:rsid w:val="00CD3844"/>
    <w:rsid w:val="00CD3865"/>
    <w:rsid w:val="00CD39FC"/>
    <w:rsid w:val="00CD3AF5"/>
    <w:rsid w:val="00CD3CFE"/>
    <w:rsid w:val="00CD405E"/>
    <w:rsid w:val="00CD4070"/>
    <w:rsid w:val="00CD4086"/>
    <w:rsid w:val="00CD40F1"/>
    <w:rsid w:val="00CD4159"/>
    <w:rsid w:val="00CD45E4"/>
    <w:rsid w:val="00CD476F"/>
    <w:rsid w:val="00CD47F2"/>
    <w:rsid w:val="00CD48B8"/>
    <w:rsid w:val="00CD48F1"/>
    <w:rsid w:val="00CD4A59"/>
    <w:rsid w:val="00CD4A93"/>
    <w:rsid w:val="00CD4AEF"/>
    <w:rsid w:val="00CD4B0C"/>
    <w:rsid w:val="00CD4D14"/>
    <w:rsid w:val="00CD4E9C"/>
    <w:rsid w:val="00CD4EBF"/>
    <w:rsid w:val="00CD4EF1"/>
    <w:rsid w:val="00CD511A"/>
    <w:rsid w:val="00CD515D"/>
    <w:rsid w:val="00CD517C"/>
    <w:rsid w:val="00CD520F"/>
    <w:rsid w:val="00CD535C"/>
    <w:rsid w:val="00CD547A"/>
    <w:rsid w:val="00CD5986"/>
    <w:rsid w:val="00CD5A32"/>
    <w:rsid w:val="00CD5B26"/>
    <w:rsid w:val="00CD5B34"/>
    <w:rsid w:val="00CD5ECE"/>
    <w:rsid w:val="00CD5F06"/>
    <w:rsid w:val="00CD6069"/>
    <w:rsid w:val="00CD61AF"/>
    <w:rsid w:val="00CD61F2"/>
    <w:rsid w:val="00CD62B1"/>
    <w:rsid w:val="00CD63BF"/>
    <w:rsid w:val="00CD64A0"/>
    <w:rsid w:val="00CD6501"/>
    <w:rsid w:val="00CD659E"/>
    <w:rsid w:val="00CD68E8"/>
    <w:rsid w:val="00CD6B26"/>
    <w:rsid w:val="00CD6B89"/>
    <w:rsid w:val="00CD6C08"/>
    <w:rsid w:val="00CD6D9F"/>
    <w:rsid w:val="00CD6EB1"/>
    <w:rsid w:val="00CD6EB6"/>
    <w:rsid w:val="00CD6F5B"/>
    <w:rsid w:val="00CD6FE8"/>
    <w:rsid w:val="00CD7325"/>
    <w:rsid w:val="00CD73A7"/>
    <w:rsid w:val="00CD7405"/>
    <w:rsid w:val="00CD741D"/>
    <w:rsid w:val="00CD7544"/>
    <w:rsid w:val="00CD765F"/>
    <w:rsid w:val="00CD77A6"/>
    <w:rsid w:val="00CD77E6"/>
    <w:rsid w:val="00CD78BE"/>
    <w:rsid w:val="00CD7A1D"/>
    <w:rsid w:val="00CD7A39"/>
    <w:rsid w:val="00CD7A82"/>
    <w:rsid w:val="00CD7B05"/>
    <w:rsid w:val="00CD7CBA"/>
    <w:rsid w:val="00CE001B"/>
    <w:rsid w:val="00CE00A4"/>
    <w:rsid w:val="00CE0154"/>
    <w:rsid w:val="00CE04EE"/>
    <w:rsid w:val="00CE0764"/>
    <w:rsid w:val="00CE0816"/>
    <w:rsid w:val="00CE0846"/>
    <w:rsid w:val="00CE08C4"/>
    <w:rsid w:val="00CE09E5"/>
    <w:rsid w:val="00CE0AB2"/>
    <w:rsid w:val="00CE0CD8"/>
    <w:rsid w:val="00CE0FA3"/>
    <w:rsid w:val="00CE1045"/>
    <w:rsid w:val="00CE1095"/>
    <w:rsid w:val="00CE10B6"/>
    <w:rsid w:val="00CE12FB"/>
    <w:rsid w:val="00CE1389"/>
    <w:rsid w:val="00CE141E"/>
    <w:rsid w:val="00CE1479"/>
    <w:rsid w:val="00CE15AA"/>
    <w:rsid w:val="00CE1600"/>
    <w:rsid w:val="00CE166B"/>
    <w:rsid w:val="00CE1716"/>
    <w:rsid w:val="00CE1731"/>
    <w:rsid w:val="00CE1736"/>
    <w:rsid w:val="00CE183D"/>
    <w:rsid w:val="00CE1B8F"/>
    <w:rsid w:val="00CE1BAD"/>
    <w:rsid w:val="00CE22C9"/>
    <w:rsid w:val="00CE2347"/>
    <w:rsid w:val="00CE2384"/>
    <w:rsid w:val="00CE2970"/>
    <w:rsid w:val="00CE29A2"/>
    <w:rsid w:val="00CE2A14"/>
    <w:rsid w:val="00CE2B27"/>
    <w:rsid w:val="00CE2B54"/>
    <w:rsid w:val="00CE2C0E"/>
    <w:rsid w:val="00CE2CAE"/>
    <w:rsid w:val="00CE2CF7"/>
    <w:rsid w:val="00CE2ED4"/>
    <w:rsid w:val="00CE2FEE"/>
    <w:rsid w:val="00CE32DD"/>
    <w:rsid w:val="00CE342E"/>
    <w:rsid w:val="00CE353D"/>
    <w:rsid w:val="00CE355A"/>
    <w:rsid w:val="00CE35B3"/>
    <w:rsid w:val="00CE368B"/>
    <w:rsid w:val="00CE36A6"/>
    <w:rsid w:val="00CE37C8"/>
    <w:rsid w:val="00CE37D3"/>
    <w:rsid w:val="00CE3868"/>
    <w:rsid w:val="00CE3899"/>
    <w:rsid w:val="00CE38CD"/>
    <w:rsid w:val="00CE38EA"/>
    <w:rsid w:val="00CE3915"/>
    <w:rsid w:val="00CE3964"/>
    <w:rsid w:val="00CE39A5"/>
    <w:rsid w:val="00CE3B34"/>
    <w:rsid w:val="00CE4107"/>
    <w:rsid w:val="00CE42D8"/>
    <w:rsid w:val="00CE42EC"/>
    <w:rsid w:val="00CE43B2"/>
    <w:rsid w:val="00CE4485"/>
    <w:rsid w:val="00CE448E"/>
    <w:rsid w:val="00CE45D8"/>
    <w:rsid w:val="00CE4876"/>
    <w:rsid w:val="00CE48EC"/>
    <w:rsid w:val="00CE4B6E"/>
    <w:rsid w:val="00CE4BE2"/>
    <w:rsid w:val="00CE4C17"/>
    <w:rsid w:val="00CE4C2B"/>
    <w:rsid w:val="00CE4D55"/>
    <w:rsid w:val="00CE4EE5"/>
    <w:rsid w:val="00CE4F0F"/>
    <w:rsid w:val="00CE4F43"/>
    <w:rsid w:val="00CE4F67"/>
    <w:rsid w:val="00CE5008"/>
    <w:rsid w:val="00CE5050"/>
    <w:rsid w:val="00CE506B"/>
    <w:rsid w:val="00CE5157"/>
    <w:rsid w:val="00CE516F"/>
    <w:rsid w:val="00CE522E"/>
    <w:rsid w:val="00CE523D"/>
    <w:rsid w:val="00CE5257"/>
    <w:rsid w:val="00CE5285"/>
    <w:rsid w:val="00CE530A"/>
    <w:rsid w:val="00CE553A"/>
    <w:rsid w:val="00CE5578"/>
    <w:rsid w:val="00CE566E"/>
    <w:rsid w:val="00CE568E"/>
    <w:rsid w:val="00CE57B7"/>
    <w:rsid w:val="00CE5943"/>
    <w:rsid w:val="00CE5951"/>
    <w:rsid w:val="00CE5ACE"/>
    <w:rsid w:val="00CE5C85"/>
    <w:rsid w:val="00CE5DAB"/>
    <w:rsid w:val="00CE5EEF"/>
    <w:rsid w:val="00CE5F01"/>
    <w:rsid w:val="00CE5FC6"/>
    <w:rsid w:val="00CE6109"/>
    <w:rsid w:val="00CE6208"/>
    <w:rsid w:val="00CE63A6"/>
    <w:rsid w:val="00CE64D9"/>
    <w:rsid w:val="00CE655D"/>
    <w:rsid w:val="00CE65CA"/>
    <w:rsid w:val="00CE669D"/>
    <w:rsid w:val="00CE67C4"/>
    <w:rsid w:val="00CE68FD"/>
    <w:rsid w:val="00CE6963"/>
    <w:rsid w:val="00CE69D6"/>
    <w:rsid w:val="00CE6B59"/>
    <w:rsid w:val="00CE6D86"/>
    <w:rsid w:val="00CE6DE6"/>
    <w:rsid w:val="00CE6E06"/>
    <w:rsid w:val="00CE6E45"/>
    <w:rsid w:val="00CE6E72"/>
    <w:rsid w:val="00CE6EFB"/>
    <w:rsid w:val="00CE7021"/>
    <w:rsid w:val="00CE70C4"/>
    <w:rsid w:val="00CE71BE"/>
    <w:rsid w:val="00CE7356"/>
    <w:rsid w:val="00CE7793"/>
    <w:rsid w:val="00CE7827"/>
    <w:rsid w:val="00CE78ED"/>
    <w:rsid w:val="00CE7A21"/>
    <w:rsid w:val="00CE7C43"/>
    <w:rsid w:val="00CE7D5A"/>
    <w:rsid w:val="00CE7F34"/>
    <w:rsid w:val="00CE7FF8"/>
    <w:rsid w:val="00CF0272"/>
    <w:rsid w:val="00CF03CB"/>
    <w:rsid w:val="00CF04D0"/>
    <w:rsid w:val="00CF0622"/>
    <w:rsid w:val="00CF067C"/>
    <w:rsid w:val="00CF07F6"/>
    <w:rsid w:val="00CF081A"/>
    <w:rsid w:val="00CF08D7"/>
    <w:rsid w:val="00CF0B14"/>
    <w:rsid w:val="00CF0B3A"/>
    <w:rsid w:val="00CF0BC4"/>
    <w:rsid w:val="00CF103D"/>
    <w:rsid w:val="00CF1087"/>
    <w:rsid w:val="00CF1270"/>
    <w:rsid w:val="00CF12AA"/>
    <w:rsid w:val="00CF1378"/>
    <w:rsid w:val="00CF14BB"/>
    <w:rsid w:val="00CF1587"/>
    <w:rsid w:val="00CF1624"/>
    <w:rsid w:val="00CF1792"/>
    <w:rsid w:val="00CF1B7A"/>
    <w:rsid w:val="00CF1BD0"/>
    <w:rsid w:val="00CF1BF3"/>
    <w:rsid w:val="00CF1C7E"/>
    <w:rsid w:val="00CF1CF1"/>
    <w:rsid w:val="00CF1CF7"/>
    <w:rsid w:val="00CF1EEA"/>
    <w:rsid w:val="00CF1FD3"/>
    <w:rsid w:val="00CF2085"/>
    <w:rsid w:val="00CF20FC"/>
    <w:rsid w:val="00CF2158"/>
    <w:rsid w:val="00CF22E3"/>
    <w:rsid w:val="00CF231E"/>
    <w:rsid w:val="00CF243C"/>
    <w:rsid w:val="00CF25C3"/>
    <w:rsid w:val="00CF274E"/>
    <w:rsid w:val="00CF27C2"/>
    <w:rsid w:val="00CF2963"/>
    <w:rsid w:val="00CF2AC0"/>
    <w:rsid w:val="00CF2B06"/>
    <w:rsid w:val="00CF2C07"/>
    <w:rsid w:val="00CF2C35"/>
    <w:rsid w:val="00CF2C9D"/>
    <w:rsid w:val="00CF2CE9"/>
    <w:rsid w:val="00CF2D83"/>
    <w:rsid w:val="00CF2F17"/>
    <w:rsid w:val="00CF300D"/>
    <w:rsid w:val="00CF30CB"/>
    <w:rsid w:val="00CF3109"/>
    <w:rsid w:val="00CF314C"/>
    <w:rsid w:val="00CF31DA"/>
    <w:rsid w:val="00CF3361"/>
    <w:rsid w:val="00CF3410"/>
    <w:rsid w:val="00CF346D"/>
    <w:rsid w:val="00CF34C9"/>
    <w:rsid w:val="00CF34E6"/>
    <w:rsid w:val="00CF3541"/>
    <w:rsid w:val="00CF356C"/>
    <w:rsid w:val="00CF358A"/>
    <w:rsid w:val="00CF35B6"/>
    <w:rsid w:val="00CF37A5"/>
    <w:rsid w:val="00CF3822"/>
    <w:rsid w:val="00CF3872"/>
    <w:rsid w:val="00CF3875"/>
    <w:rsid w:val="00CF3915"/>
    <w:rsid w:val="00CF3B9F"/>
    <w:rsid w:val="00CF3C53"/>
    <w:rsid w:val="00CF3F04"/>
    <w:rsid w:val="00CF3F66"/>
    <w:rsid w:val="00CF4021"/>
    <w:rsid w:val="00CF4064"/>
    <w:rsid w:val="00CF41B2"/>
    <w:rsid w:val="00CF43E1"/>
    <w:rsid w:val="00CF455D"/>
    <w:rsid w:val="00CF4819"/>
    <w:rsid w:val="00CF4A13"/>
    <w:rsid w:val="00CF510A"/>
    <w:rsid w:val="00CF510B"/>
    <w:rsid w:val="00CF51CA"/>
    <w:rsid w:val="00CF521D"/>
    <w:rsid w:val="00CF5348"/>
    <w:rsid w:val="00CF56CD"/>
    <w:rsid w:val="00CF574D"/>
    <w:rsid w:val="00CF5767"/>
    <w:rsid w:val="00CF576D"/>
    <w:rsid w:val="00CF57D1"/>
    <w:rsid w:val="00CF5905"/>
    <w:rsid w:val="00CF5917"/>
    <w:rsid w:val="00CF5AB3"/>
    <w:rsid w:val="00CF5B43"/>
    <w:rsid w:val="00CF5B69"/>
    <w:rsid w:val="00CF5DE6"/>
    <w:rsid w:val="00CF5E8C"/>
    <w:rsid w:val="00CF616F"/>
    <w:rsid w:val="00CF631E"/>
    <w:rsid w:val="00CF64FA"/>
    <w:rsid w:val="00CF658F"/>
    <w:rsid w:val="00CF69DC"/>
    <w:rsid w:val="00CF6C41"/>
    <w:rsid w:val="00CF6C77"/>
    <w:rsid w:val="00CF6D89"/>
    <w:rsid w:val="00CF6F42"/>
    <w:rsid w:val="00CF6FB7"/>
    <w:rsid w:val="00CF7024"/>
    <w:rsid w:val="00CF7433"/>
    <w:rsid w:val="00CF746A"/>
    <w:rsid w:val="00CF7499"/>
    <w:rsid w:val="00CF74B8"/>
    <w:rsid w:val="00CF7645"/>
    <w:rsid w:val="00CF7704"/>
    <w:rsid w:val="00CF7968"/>
    <w:rsid w:val="00CF79B1"/>
    <w:rsid w:val="00CF7BE5"/>
    <w:rsid w:val="00CF7D3B"/>
    <w:rsid w:val="00CF7DA2"/>
    <w:rsid w:val="00CF7DDD"/>
    <w:rsid w:val="00CF7DE2"/>
    <w:rsid w:val="00CF7DED"/>
    <w:rsid w:val="00CF7EF1"/>
    <w:rsid w:val="00CF7EF4"/>
    <w:rsid w:val="00CF7F68"/>
    <w:rsid w:val="00CF7F79"/>
    <w:rsid w:val="00CF7FF7"/>
    <w:rsid w:val="00D000FB"/>
    <w:rsid w:val="00D00104"/>
    <w:rsid w:val="00D00220"/>
    <w:rsid w:val="00D0022A"/>
    <w:rsid w:val="00D00280"/>
    <w:rsid w:val="00D00478"/>
    <w:rsid w:val="00D004BF"/>
    <w:rsid w:val="00D00551"/>
    <w:rsid w:val="00D006C8"/>
    <w:rsid w:val="00D00763"/>
    <w:rsid w:val="00D00884"/>
    <w:rsid w:val="00D00892"/>
    <w:rsid w:val="00D008EF"/>
    <w:rsid w:val="00D00AA7"/>
    <w:rsid w:val="00D00BFD"/>
    <w:rsid w:val="00D00C41"/>
    <w:rsid w:val="00D00CBC"/>
    <w:rsid w:val="00D00D09"/>
    <w:rsid w:val="00D00D95"/>
    <w:rsid w:val="00D00E34"/>
    <w:rsid w:val="00D00E84"/>
    <w:rsid w:val="00D01124"/>
    <w:rsid w:val="00D011FB"/>
    <w:rsid w:val="00D0126E"/>
    <w:rsid w:val="00D0135E"/>
    <w:rsid w:val="00D013C2"/>
    <w:rsid w:val="00D0140A"/>
    <w:rsid w:val="00D0167F"/>
    <w:rsid w:val="00D0169D"/>
    <w:rsid w:val="00D016E8"/>
    <w:rsid w:val="00D01824"/>
    <w:rsid w:val="00D01856"/>
    <w:rsid w:val="00D01880"/>
    <w:rsid w:val="00D01A48"/>
    <w:rsid w:val="00D01A75"/>
    <w:rsid w:val="00D01D06"/>
    <w:rsid w:val="00D01D78"/>
    <w:rsid w:val="00D01DF0"/>
    <w:rsid w:val="00D01E8A"/>
    <w:rsid w:val="00D01F77"/>
    <w:rsid w:val="00D0206D"/>
    <w:rsid w:val="00D0208C"/>
    <w:rsid w:val="00D020D4"/>
    <w:rsid w:val="00D021FF"/>
    <w:rsid w:val="00D027CB"/>
    <w:rsid w:val="00D02842"/>
    <w:rsid w:val="00D0284A"/>
    <w:rsid w:val="00D02C52"/>
    <w:rsid w:val="00D02D09"/>
    <w:rsid w:val="00D02E20"/>
    <w:rsid w:val="00D02E62"/>
    <w:rsid w:val="00D02E92"/>
    <w:rsid w:val="00D02F34"/>
    <w:rsid w:val="00D032A6"/>
    <w:rsid w:val="00D033C2"/>
    <w:rsid w:val="00D034DA"/>
    <w:rsid w:val="00D035A2"/>
    <w:rsid w:val="00D03631"/>
    <w:rsid w:val="00D03639"/>
    <w:rsid w:val="00D036DD"/>
    <w:rsid w:val="00D036E6"/>
    <w:rsid w:val="00D0380B"/>
    <w:rsid w:val="00D03942"/>
    <w:rsid w:val="00D03961"/>
    <w:rsid w:val="00D0396A"/>
    <w:rsid w:val="00D03985"/>
    <w:rsid w:val="00D039E1"/>
    <w:rsid w:val="00D03A08"/>
    <w:rsid w:val="00D03A18"/>
    <w:rsid w:val="00D03C15"/>
    <w:rsid w:val="00D03CED"/>
    <w:rsid w:val="00D03EAD"/>
    <w:rsid w:val="00D04069"/>
    <w:rsid w:val="00D041DA"/>
    <w:rsid w:val="00D043EF"/>
    <w:rsid w:val="00D04734"/>
    <w:rsid w:val="00D047C2"/>
    <w:rsid w:val="00D0481A"/>
    <w:rsid w:val="00D04932"/>
    <w:rsid w:val="00D04AF4"/>
    <w:rsid w:val="00D04D98"/>
    <w:rsid w:val="00D04ED5"/>
    <w:rsid w:val="00D05093"/>
    <w:rsid w:val="00D050EE"/>
    <w:rsid w:val="00D05192"/>
    <w:rsid w:val="00D051CE"/>
    <w:rsid w:val="00D052A7"/>
    <w:rsid w:val="00D0537E"/>
    <w:rsid w:val="00D05435"/>
    <w:rsid w:val="00D05614"/>
    <w:rsid w:val="00D05696"/>
    <w:rsid w:val="00D05761"/>
    <w:rsid w:val="00D058C8"/>
    <w:rsid w:val="00D05913"/>
    <w:rsid w:val="00D05AD8"/>
    <w:rsid w:val="00D05B27"/>
    <w:rsid w:val="00D05D12"/>
    <w:rsid w:val="00D05D81"/>
    <w:rsid w:val="00D05E10"/>
    <w:rsid w:val="00D05F00"/>
    <w:rsid w:val="00D05FD3"/>
    <w:rsid w:val="00D060E7"/>
    <w:rsid w:val="00D06170"/>
    <w:rsid w:val="00D061B2"/>
    <w:rsid w:val="00D064E7"/>
    <w:rsid w:val="00D0667B"/>
    <w:rsid w:val="00D06737"/>
    <w:rsid w:val="00D06859"/>
    <w:rsid w:val="00D06AD4"/>
    <w:rsid w:val="00D06B98"/>
    <w:rsid w:val="00D06BFE"/>
    <w:rsid w:val="00D06CA2"/>
    <w:rsid w:val="00D06CF3"/>
    <w:rsid w:val="00D06D0C"/>
    <w:rsid w:val="00D06DB2"/>
    <w:rsid w:val="00D06E94"/>
    <w:rsid w:val="00D07051"/>
    <w:rsid w:val="00D071F4"/>
    <w:rsid w:val="00D074DC"/>
    <w:rsid w:val="00D0758E"/>
    <w:rsid w:val="00D075DA"/>
    <w:rsid w:val="00D07659"/>
    <w:rsid w:val="00D076B1"/>
    <w:rsid w:val="00D079E9"/>
    <w:rsid w:val="00D07B5E"/>
    <w:rsid w:val="00D07BE7"/>
    <w:rsid w:val="00D07CCA"/>
    <w:rsid w:val="00D07F9A"/>
    <w:rsid w:val="00D07FEC"/>
    <w:rsid w:val="00D1007C"/>
    <w:rsid w:val="00D100D6"/>
    <w:rsid w:val="00D10131"/>
    <w:rsid w:val="00D10190"/>
    <w:rsid w:val="00D101AB"/>
    <w:rsid w:val="00D104E8"/>
    <w:rsid w:val="00D105A3"/>
    <w:rsid w:val="00D1071A"/>
    <w:rsid w:val="00D1079F"/>
    <w:rsid w:val="00D10840"/>
    <w:rsid w:val="00D10A0E"/>
    <w:rsid w:val="00D10B80"/>
    <w:rsid w:val="00D10B90"/>
    <w:rsid w:val="00D10C9C"/>
    <w:rsid w:val="00D10CFD"/>
    <w:rsid w:val="00D10E39"/>
    <w:rsid w:val="00D10F0E"/>
    <w:rsid w:val="00D10FB1"/>
    <w:rsid w:val="00D1112A"/>
    <w:rsid w:val="00D1113B"/>
    <w:rsid w:val="00D11188"/>
    <w:rsid w:val="00D11223"/>
    <w:rsid w:val="00D113F6"/>
    <w:rsid w:val="00D11447"/>
    <w:rsid w:val="00D11470"/>
    <w:rsid w:val="00D11676"/>
    <w:rsid w:val="00D118B6"/>
    <w:rsid w:val="00D118C6"/>
    <w:rsid w:val="00D11A75"/>
    <w:rsid w:val="00D11A7D"/>
    <w:rsid w:val="00D11BBE"/>
    <w:rsid w:val="00D11CD1"/>
    <w:rsid w:val="00D11E22"/>
    <w:rsid w:val="00D11F20"/>
    <w:rsid w:val="00D11F7B"/>
    <w:rsid w:val="00D1203D"/>
    <w:rsid w:val="00D12058"/>
    <w:rsid w:val="00D12177"/>
    <w:rsid w:val="00D1226C"/>
    <w:rsid w:val="00D12272"/>
    <w:rsid w:val="00D1229A"/>
    <w:rsid w:val="00D1229C"/>
    <w:rsid w:val="00D1234B"/>
    <w:rsid w:val="00D12433"/>
    <w:rsid w:val="00D1245C"/>
    <w:rsid w:val="00D12608"/>
    <w:rsid w:val="00D12681"/>
    <w:rsid w:val="00D126C1"/>
    <w:rsid w:val="00D126CF"/>
    <w:rsid w:val="00D1278F"/>
    <w:rsid w:val="00D12BAE"/>
    <w:rsid w:val="00D12C79"/>
    <w:rsid w:val="00D12CDE"/>
    <w:rsid w:val="00D12E85"/>
    <w:rsid w:val="00D12EA2"/>
    <w:rsid w:val="00D12EC7"/>
    <w:rsid w:val="00D12F86"/>
    <w:rsid w:val="00D12FF4"/>
    <w:rsid w:val="00D13094"/>
    <w:rsid w:val="00D130D3"/>
    <w:rsid w:val="00D13114"/>
    <w:rsid w:val="00D13274"/>
    <w:rsid w:val="00D1337A"/>
    <w:rsid w:val="00D13558"/>
    <w:rsid w:val="00D13941"/>
    <w:rsid w:val="00D139FB"/>
    <w:rsid w:val="00D13AD3"/>
    <w:rsid w:val="00D13D30"/>
    <w:rsid w:val="00D13DE5"/>
    <w:rsid w:val="00D13EBC"/>
    <w:rsid w:val="00D140C3"/>
    <w:rsid w:val="00D14100"/>
    <w:rsid w:val="00D1411A"/>
    <w:rsid w:val="00D14132"/>
    <w:rsid w:val="00D1416C"/>
    <w:rsid w:val="00D141F2"/>
    <w:rsid w:val="00D1424D"/>
    <w:rsid w:val="00D14409"/>
    <w:rsid w:val="00D14483"/>
    <w:rsid w:val="00D146D1"/>
    <w:rsid w:val="00D148E0"/>
    <w:rsid w:val="00D149E3"/>
    <w:rsid w:val="00D149E4"/>
    <w:rsid w:val="00D14A1B"/>
    <w:rsid w:val="00D14AB1"/>
    <w:rsid w:val="00D14B34"/>
    <w:rsid w:val="00D14C74"/>
    <w:rsid w:val="00D14C85"/>
    <w:rsid w:val="00D14DF0"/>
    <w:rsid w:val="00D151B9"/>
    <w:rsid w:val="00D152A9"/>
    <w:rsid w:val="00D152B3"/>
    <w:rsid w:val="00D153B5"/>
    <w:rsid w:val="00D15547"/>
    <w:rsid w:val="00D15554"/>
    <w:rsid w:val="00D15588"/>
    <w:rsid w:val="00D156EE"/>
    <w:rsid w:val="00D15789"/>
    <w:rsid w:val="00D158AE"/>
    <w:rsid w:val="00D15B0A"/>
    <w:rsid w:val="00D15B10"/>
    <w:rsid w:val="00D15B3D"/>
    <w:rsid w:val="00D15BE2"/>
    <w:rsid w:val="00D15C4E"/>
    <w:rsid w:val="00D15CD0"/>
    <w:rsid w:val="00D16030"/>
    <w:rsid w:val="00D1608C"/>
    <w:rsid w:val="00D160B6"/>
    <w:rsid w:val="00D16117"/>
    <w:rsid w:val="00D1618C"/>
    <w:rsid w:val="00D161BC"/>
    <w:rsid w:val="00D16286"/>
    <w:rsid w:val="00D1654A"/>
    <w:rsid w:val="00D16583"/>
    <w:rsid w:val="00D166C4"/>
    <w:rsid w:val="00D16741"/>
    <w:rsid w:val="00D167DA"/>
    <w:rsid w:val="00D169B6"/>
    <w:rsid w:val="00D16AD8"/>
    <w:rsid w:val="00D16B0F"/>
    <w:rsid w:val="00D16B99"/>
    <w:rsid w:val="00D16C81"/>
    <w:rsid w:val="00D16C9D"/>
    <w:rsid w:val="00D16F32"/>
    <w:rsid w:val="00D16F93"/>
    <w:rsid w:val="00D16FB3"/>
    <w:rsid w:val="00D16FB8"/>
    <w:rsid w:val="00D16FE5"/>
    <w:rsid w:val="00D1701E"/>
    <w:rsid w:val="00D170B6"/>
    <w:rsid w:val="00D170C0"/>
    <w:rsid w:val="00D1720F"/>
    <w:rsid w:val="00D17337"/>
    <w:rsid w:val="00D175DC"/>
    <w:rsid w:val="00D17B08"/>
    <w:rsid w:val="00D17FF2"/>
    <w:rsid w:val="00D200A9"/>
    <w:rsid w:val="00D200B4"/>
    <w:rsid w:val="00D201F2"/>
    <w:rsid w:val="00D2026A"/>
    <w:rsid w:val="00D20365"/>
    <w:rsid w:val="00D20395"/>
    <w:rsid w:val="00D2047D"/>
    <w:rsid w:val="00D204C1"/>
    <w:rsid w:val="00D205CC"/>
    <w:rsid w:val="00D205DA"/>
    <w:rsid w:val="00D20939"/>
    <w:rsid w:val="00D20999"/>
    <w:rsid w:val="00D20B22"/>
    <w:rsid w:val="00D20B3D"/>
    <w:rsid w:val="00D20BC1"/>
    <w:rsid w:val="00D20C96"/>
    <w:rsid w:val="00D20D4D"/>
    <w:rsid w:val="00D21267"/>
    <w:rsid w:val="00D212EB"/>
    <w:rsid w:val="00D212F7"/>
    <w:rsid w:val="00D213ED"/>
    <w:rsid w:val="00D21BA3"/>
    <w:rsid w:val="00D21C5E"/>
    <w:rsid w:val="00D21DB2"/>
    <w:rsid w:val="00D2200D"/>
    <w:rsid w:val="00D221BC"/>
    <w:rsid w:val="00D222B6"/>
    <w:rsid w:val="00D2263D"/>
    <w:rsid w:val="00D2281F"/>
    <w:rsid w:val="00D22ACD"/>
    <w:rsid w:val="00D22BB0"/>
    <w:rsid w:val="00D22C9D"/>
    <w:rsid w:val="00D22CB2"/>
    <w:rsid w:val="00D22E96"/>
    <w:rsid w:val="00D22F19"/>
    <w:rsid w:val="00D231F7"/>
    <w:rsid w:val="00D23260"/>
    <w:rsid w:val="00D2342B"/>
    <w:rsid w:val="00D23586"/>
    <w:rsid w:val="00D235BD"/>
    <w:rsid w:val="00D23646"/>
    <w:rsid w:val="00D2364E"/>
    <w:rsid w:val="00D237C7"/>
    <w:rsid w:val="00D2386A"/>
    <w:rsid w:val="00D23C22"/>
    <w:rsid w:val="00D23C67"/>
    <w:rsid w:val="00D2405C"/>
    <w:rsid w:val="00D24081"/>
    <w:rsid w:val="00D2421D"/>
    <w:rsid w:val="00D2428D"/>
    <w:rsid w:val="00D242F2"/>
    <w:rsid w:val="00D2460A"/>
    <w:rsid w:val="00D24857"/>
    <w:rsid w:val="00D2492E"/>
    <w:rsid w:val="00D24A19"/>
    <w:rsid w:val="00D24E8B"/>
    <w:rsid w:val="00D24F34"/>
    <w:rsid w:val="00D24F57"/>
    <w:rsid w:val="00D2505F"/>
    <w:rsid w:val="00D25230"/>
    <w:rsid w:val="00D254B6"/>
    <w:rsid w:val="00D25513"/>
    <w:rsid w:val="00D25574"/>
    <w:rsid w:val="00D255AE"/>
    <w:rsid w:val="00D25623"/>
    <w:rsid w:val="00D25696"/>
    <w:rsid w:val="00D25722"/>
    <w:rsid w:val="00D25872"/>
    <w:rsid w:val="00D25B2B"/>
    <w:rsid w:val="00D25B79"/>
    <w:rsid w:val="00D25C0A"/>
    <w:rsid w:val="00D25C46"/>
    <w:rsid w:val="00D25D14"/>
    <w:rsid w:val="00D25D26"/>
    <w:rsid w:val="00D25D44"/>
    <w:rsid w:val="00D25E3C"/>
    <w:rsid w:val="00D260B5"/>
    <w:rsid w:val="00D261EE"/>
    <w:rsid w:val="00D2627C"/>
    <w:rsid w:val="00D26412"/>
    <w:rsid w:val="00D26557"/>
    <w:rsid w:val="00D26729"/>
    <w:rsid w:val="00D2674B"/>
    <w:rsid w:val="00D267BB"/>
    <w:rsid w:val="00D26860"/>
    <w:rsid w:val="00D268FF"/>
    <w:rsid w:val="00D26A8D"/>
    <w:rsid w:val="00D26B63"/>
    <w:rsid w:val="00D26EC5"/>
    <w:rsid w:val="00D26F46"/>
    <w:rsid w:val="00D27030"/>
    <w:rsid w:val="00D270C0"/>
    <w:rsid w:val="00D27182"/>
    <w:rsid w:val="00D27194"/>
    <w:rsid w:val="00D27429"/>
    <w:rsid w:val="00D274AB"/>
    <w:rsid w:val="00D274C8"/>
    <w:rsid w:val="00D2752E"/>
    <w:rsid w:val="00D277E4"/>
    <w:rsid w:val="00D27905"/>
    <w:rsid w:val="00D27BD8"/>
    <w:rsid w:val="00D27E8C"/>
    <w:rsid w:val="00D27F54"/>
    <w:rsid w:val="00D3028B"/>
    <w:rsid w:val="00D302EA"/>
    <w:rsid w:val="00D30550"/>
    <w:rsid w:val="00D30796"/>
    <w:rsid w:val="00D3083E"/>
    <w:rsid w:val="00D309C6"/>
    <w:rsid w:val="00D309E6"/>
    <w:rsid w:val="00D30ABC"/>
    <w:rsid w:val="00D30CA9"/>
    <w:rsid w:val="00D30D36"/>
    <w:rsid w:val="00D30E99"/>
    <w:rsid w:val="00D31089"/>
    <w:rsid w:val="00D31127"/>
    <w:rsid w:val="00D31142"/>
    <w:rsid w:val="00D311AD"/>
    <w:rsid w:val="00D311EB"/>
    <w:rsid w:val="00D31311"/>
    <w:rsid w:val="00D3139F"/>
    <w:rsid w:val="00D313CF"/>
    <w:rsid w:val="00D3142B"/>
    <w:rsid w:val="00D314E3"/>
    <w:rsid w:val="00D31B0B"/>
    <w:rsid w:val="00D31BF8"/>
    <w:rsid w:val="00D31CC7"/>
    <w:rsid w:val="00D31F5D"/>
    <w:rsid w:val="00D32032"/>
    <w:rsid w:val="00D320D3"/>
    <w:rsid w:val="00D3225A"/>
    <w:rsid w:val="00D32375"/>
    <w:rsid w:val="00D32420"/>
    <w:rsid w:val="00D3245F"/>
    <w:rsid w:val="00D3271C"/>
    <w:rsid w:val="00D3272D"/>
    <w:rsid w:val="00D327E1"/>
    <w:rsid w:val="00D328BA"/>
    <w:rsid w:val="00D329AC"/>
    <w:rsid w:val="00D32A04"/>
    <w:rsid w:val="00D32BC8"/>
    <w:rsid w:val="00D32D7E"/>
    <w:rsid w:val="00D32DB7"/>
    <w:rsid w:val="00D32F4F"/>
    <w:rsid w:val="00D332E1"/>
    <w:rsid w:val="00D333BC"/>
    <w:rsid w:val="00D333D9"/>
    <w:rsid w:val="00D335C0"/>
    <w:rsid w:val="00D3368C"/>
    <w:rsid w:val="00D33710"/>
    <w:rsid w:val="00D338AC"/>
    <w:rsid w:val="00D3397F"/>
    <w:rsid w:val="00D339CD"/>
    <w:rsid w:val="00D33AFE"/>
    <w:rsid w:val="00D33C03"/>
    <w:rsid w:val="00D33C10"/>
    <w:rsid w:val="00D33C1D"/>
    <w:rsid w:val="00D33C5E"/>
    <w:rsid w:val="00D33CBF"/>
    <w:rsid w:val="00D33CEC"/>
    <w:rsid w:val="00D33DCB"/>
    <w:rsid w:val="00D33E7D"/>
    <w:rsid w:val="00D340BE"/>
    <w:rsid w:val="00D34148"/>
    <w:rsid w:val="00D341AE"/>
    <w:rsid w:val="00D341DB"/>
    <w:rsid w:val="00D3421D"/>
    <w:rsid w:val="00D34352"/>
    <w:rsid w:val="00D3462E"/>
    <w:rsid w:val="00D34640"/>
    <w:rsid w:val="00D34775"/>
    <w:rsid w:val="00D347F0"/>
    <w:rsid w:val="00D34883"/>
    <w:rsid w:val="00D34913"/>
    <w:rsid w:val="00D34941"/>
    <w:rsid w:val="00D34AFC"/>
    <w:rsid w:val="00D34EFB"/>
    <w:rsid w:val="00D35002"/>
    <w:rsid w:val="00D3500E"/>
    <w:rsid w:val="00D3502D"/>
    <w:rsid w:val="00D350B1"/>
    <w:rsid w:val="00D3514F"/>
    <w:rsid w:val="00D353A1"/>
    <w:rsid w:val="00D35727"/>
    <w:rsid w:val="00D3578B"/>
    <w:rsid w:val="00D357D1"/>
    <w:rsid w:val="00D358A4"/>
    <w:rsid w:val="00D358CD"/>
    <w:rsid w:val="00D35A52"/>
    <w:rsid w:val="00D35AB2"/>
    <w:rsid w:val="00D35B20"/>
    <w:rsid w:val="00D35B45"/>
    <w:rsid w:val="00D35BCF"/>
    <w:rsid w:val="00D35EB6"/>
    <w:rsid w:val="00D35EDB"/>
    <w:rsid w:val="00D361BD"/>
    <w:rsid w:val="00D36231"/>
    <w:rsid w:val="00D362E2"/>
    <w:rsid w:val="00D36396"/>
    <w:rsid w:val="00D3645E"/>
    <w:rsid w:val="00D36807"/>
    <w:rsid w:val="00D36895"/>
    <w:rsid w:val="00D36AE4"/>
    <w:rsid w:val="00D36BD0"/>
    <w:rsid w:val="00D36DAB"/>
    <w:rsid w:val="00D36E65"/>
    <w:rsid w:val="00D36E9B"/>
    <w:rsid w:val="00D36F78"/>
    <w:rsid w:val="00D37047"/>
    <w:rsid w:val="00D370DB"/>
    <w:rsid w:val="00D37361"/>
    <w:rsid w:val="00D37376"/>
    <w:rsid w:val="00D374B1"/>
    <w:rsid w:val="00D37556"/>
    <w:rsid w:val="00D37735"/>
    <w:rsid w:val="00D3781E"/>
    <w:rsid w:val="00D37A49"/>
    <w:rsid w:val="00D37A5A"/>
    <w:rsid w:val="00D37C27"/>
    <w:rsid w:val="00D37F67"/>
    <w:rsid w:val="00D37F81"/>
    <w:rsid w:val="00D40043"/>
    <w:rsid w:val="00D400C4"/>
    <w:rsid w:val="00D401F3"/>
    <w:rsid w:val="00D4062E"/>
    <w:rsid w:val="00D4081C"/>
    <w:rsid w:val="00D4081E"/>
    <w:rsid w:val="00D40A52"/>
    <w:rsid w:val="00D40BA3"/>
    <w:rsid w:val="00D40C39"/>
    <w:rsid w:val="00D40DCD"/>
    <w:rsid w:val="00D40E60"/>
    <w:rsid w:val="00D40EC6"/>
    <w:rsid w:val="00D41079"/>
    <w:rsid w:val="00D410BB"/>
    <w:rsid w:val="00D41148"/>
    <w:rsid w:val="00D415C4"/>
    <w:rsid w:val="00D41673"/>
    <w:rsid w:val="00D41693"/>
    <w:rsid w:val="00D416C0"/>
    <w:rsid w:val="00D41958"/>
    <w:rsid w:val="00D41963"/>
    <w:rsid w:val="00D41A9F"/>
    <w:rsid w:val="00D41B1C"/>
    <w:rsid w:val="00D41B2E"/>
    <w:rsid w:val="00D41D70"/>
    <w:rsid w:val="00D41EBB"/>
    <w:rsid w:val="00D41F34"/>
    <w:rsid w:val="00D41FC3"/>
    <w:rsid w:val="00D42092"/>
    <w:rsid w:val="00D4248D"/>
    <w:rsid w:val="00D4262E"/>
    <w:rsid w:val="00D426EA"/>
    <w:rsid w:val="00D4280A"/>
    <w:rsid w:val="00D42841"/>
    <w:rsid w:val="00D42889"/>
    <w:rsid w:val="00D42975"/>
    <w:rsid w:val="00D429AD"/>
    <w:rsid w:val="00D42AEB"/>
    <w:rsid w:val="00D42B0D"/>
    <w:rsid w:val="00D42D45"/>
    <w:rsid w:val="00D42E6E"/>
    <w:rsid w:val="00D43055"/>
    <w:rsid w:val="00D430D4"/>
    <w:rsid w:val="00D431F9"/>
    <w:rsid w:val="00D432C1"/>
    <w:rsid w:val="00D43451"/>
    <w:rsid w:val="00D434FB"/>
    <w:rsid w:val="00D4362F"/>
    <w:rsid w:val="00D4394E"/>
    <w:rsid w:val="00D43A5B"/>
    <w:rsid w:val="00D43AB7"/>
    <w:rsid w:val="00D43B61"/>
    <w:rsid w:val="00D43C91"/>
    <w:rsid w:val="00D43D01"/>
    <w:rsid w:val="00D43FA7"/>
    <w:rsid w:val="00D43FAA"/>
    <w:rsid w:val="00D440BC"/>
    <w:rsid w:val="00D44268"/>
    <w:rsid w:val="00D4435D"/>
    <w:rsid w:val="00D44475"/>
    <w:rsid w:val="00D44528"/>
    <w:rsid w:val="00D4467B"/>
    <w:rsid w:val="00D4470E"/>
    <w:rsid w:val="00D44890"/>
    <w:rsid w:val="00D450BE"/>
    <w:rsid w:val="00D451DA"/>
    <w:rsid w:val="00D451ED"/>
    <w:rsid w:val="00D45341"/>
    <w:rsid w:val="00D454DE"/>
    <w:rsid w:val="00D45578"/>
    <w:rsid w:val="00D4562C"/>
    <w:rsid w:val="00D4582B"/>
    <w:rsid w:val="00D45841"/>
    <w:rsid w:val="00D4599E"/>
    <w:rsid w:val="00D45A1F"/>
    <w:rsid w:val="00D45A3C"/>
    <w:rsid w:val="00D45A7B"/>
    <w:rsid w:val="00D45B19"/>
    <w:rsid w:val="00D45B68"/>
    <w:rsid w:val="00D45BD1"/>
    <w:rsid w:val="00D45C79"/>
    <w:rsid w:val="00D45CE8"/>
    <w:rsid w:val="00D45E8C"/>
    <w:rsid w:val="00D45F78"/>
    <w:rsid w:val="00D46040"/>
    <w:rsid w:val="00D460BA"/>
    <w:rsid w:val="00D46166"/>
    <w:rsid w:val="00D4635C"/>
    <w:rsid w:val="00D4645C"/>
    <w:rsid w:val="00D466D9"/>
    <w:rsid w:val="00D46764"/>
    <w:rsid w:val="00D468E2"/>
    <w:rsid w:val="00D468E4"/>
    <w:rsid w:val="00D468F9"/>
    <w:rsid w:val="00D46B1C"/>
    <w:rsid w:val="00D46CFA"/>
    <w:rsid w:val="00D46D77"/>
    <w:rsid w:val="00D46E4D"/>
    <w:rsid w:val="00D46F57"/>
    <w:rsid w:val="00D47193"/>
    <w:rsid w:val="00D47268"/>
    <w:rsid w:val="00D47328"/>
    <w:rsid w:val="00D474AD"/>
    <w:rsid w:val="00D4778A"/>
    <w:rsid w:val="00D47917"/>
    <w:rsid w:val="00D47A71"/>
    <w:rsid w:val="00D47B2B"/>
    <w:rsid w:val="00D47B2C"/>
    <w:rsid w:val="00D47B67"/>
    <w:rsid w:val="00D47BB3"/>
    <w:rsid w:val="00D47E4A"/>
    <w:rsid w:val="00D47EB8"/>
    <w:rsid w:val="00D5021F"/>
    <w:rsid w:val="00D503BB"/>
    <w:rsid w:val="00D503C2"/>
    <w:rsid w:val="00D5053A"/>
    <w:rsid w:val="00D5054C"/>
    <w:rsid w:val="00D50590"/>
    <w:rsid w:val="00D5075B"/>
    <w:rsid w:val="00D507A6"/>
    <w:rsid w:val="00D5089E"/>
    <w:rsid w:val="00D5093A"/>
    <w:rsid w:val="00D50998"/>
    <w:rsid w:val="00D50A6C"/>
    <w:rsid w:val="00D50AF8"/>
    <w:rsid w:val="00D50B81"/>
    <w:rsid w:val="00D50CF8"/>
    <w:rsid w:val="00D50D2B"/>
    <w:rsid w:val="00D50DA7"/>
    <w:rsid w:val="00D50E71"/>
    <w:rsid w:val="00D50EAC"/>
    <w:rsid w:val="00D50EE2"/>
    <w:rsid w:val="00D50F6A"/>
    <w:rsid w:val="00D51089"/>
    <w:rsid w:val="00D510A1"/>
    <w:rsid w:val="00D5113C"/>
    <w:rsid w:val="00D51149"/>
    <w:rsid w:val="00D51198"/>
    <w:rsid w:val="00D5126E"/>
    <w:rsid w:val="00D5131F"/>
    <w:rsid w:val="00D51436"/>
    <w:rsid w:val="00D51489"/>
    <w:rsid w:val="00D5160A"/>
    <w:rsid w:val="00D5162A"/>
    <w:rsid w:val="00D516FA"/>
    <w:rsid w:val="00D51956"/>
    <w:rsid w:val="00D51CD6"/>
    <w:rsid w:val="00D51D4C"/>
    <w:rsid w:val="00D51EC0"/>
    <w:rsid w:val="00D51EDC"/>
    <w:rsid w:val="00D51F15"/>
    <w:rsid w:val="00D51F1B"/>
    <w:rsid w:val="00D5207D"/>
    <w:rsid w:val="00D52252"/>
    <w:rsid w:val="00D523DE"/>
    <w:rsid w:val="00D524FF"/>
    <w:rsid w:val="00D526A1"/>
    <w:rsid w:val="00D52769"/>
    <w:rsid w:val="00D52785"/>
    <w:rsid w:val="00D52967"/>
    <w:rsid w:val="00D52B8B"/>
    <w:rsid w:val="00D52D2B"/>
    <w:rsid w:val="00D52D93"/>
    <w:rsid w:val="00D52E7F"/>
    <w:rsid w:val="00D52E94"/>
    <w:rsid w:val="00D532E4"/>
    <w:rsid w:val="00D5374D"/>
    <w:rsid w:val="00D53786"/>
    <w:rsid w:val="00D537B9"/>
    <w:rsid w:val="00D5398F"/>
    <w:rsid w:val="00D53A03"/>
    <w:rsid w:val="00D53C19"/>
    <w:rsid w:val="00D53C78"/>
    <w:rsid w:val="00D53CCF"/>
    <w:rsid w:val="00D53DD7"/>
    <w:rsid w:val="00D53E49"/>
    <w:rsid w:val="00D53EF8"/>
    <w:rsid w:val="00D540C6"/>
    <w:rsid w:val="00D5416B"/>
    <w:rsid w:val="00D54237"/>
    <w:rsid w:val="00D542DE"/>
    <w:rsid w:val="00D543F6"/>
    <w:rsid w:val="00D544F1"/>
    <w:rsid w:val="00D54740"/>
    <w:rsid w:val="00D54754"/>
    <w:rsid w:val="00D54A13"/>
    <w:rsid w:val="00D54A3E"/>
    <w:rsid w:val="00D54A5F"/>
    <w:rsid w:val="00D54B47"/>
    <w:rsid w:val="00D54BCE"/>
    <w:rsid w:val="00D54D2D"/>
    <w:rsid w:val="00D54E18"/>
    <w:rsid w:val="00D54F32"/>
    <w:rsid w:val="00D54FE3"/>
    <w:rsid w:val="00D55129"/>
    <w:rsid w:val="00D55131"/>
    <w:rsid w:val="00D551A7"/>
    <w:rsid w:val="00D5523A"/>
    <w:rsid w:val="00D5532C"/>
    <w:rsid w:val="00D554FA"/>
    <w:rsid w:val="00D555F3"/>
    <w:rsid w:val="00D5565F"/>
    <w:rsid w:val="00D556FE"/>
    <w:rsid w:val="00D5570A"/>
    <w:rsid w:val="00D55861"/>
    <w:rsid w:val="00D558DD"/>
    <w:rsid w:val="00D55901"/>
    <w:rsid w:val="00D559AC"/>
    <w:rsid w:val="00D559E4"/>
    <w:rsid w:val="00D55A44"/>
    <w:rsid w:val="00D55A62"/>
    <w:rsid w:val="00D55AC7"/>
    <w:rsid w:val="00D55B87"/>
    <w:rsid w:val="00D55F6C"/>
    <w:rsid w:val="00D5605A"/>
    <w:rsid w:val="00D5620F"/>
    <w:rsid w:val="00D562D7"/>
    <w:rsid w:val="00D56328"/>
    <w:rsid w:val="00D56354"/>
    <w:rsid w:val="00D565C9"/>
    <w:rsid w:val="00D565DB"/>
    <w:rsid w:val="00D565FF"/>
    <w:rsid w:val="00D56771"/>
    <w:rsid w:val="00D56A4A"/>
    <w:rsid w:val="00D56ADB"/>
    <w:rsid w:val="00D56AF0"/>
    <w:rsid w:val="00D56F07"/>
    <w:rsid w:val="00D56F21"/>
    <w:rsid w:val="00D571B0"/>
    <w:rsid w:val="00D57571"/>
    <w:rsid w:val="00D575EF"/>
    <w:rsid w:val="00D5785A"/>
    <w:rsid w:val="00D578B6"/>
    <w:rsid w:val="00D57927"/>
    <w:rsid w:val="00D57976"/>
    <w:rsid w:val="00D579CE"/>
    <w:rsid w:val="00D57A6C"/>
    <w:rsid w:val="00D57B54"/>
    <w:rsid w:val="00D57BFB"/>
    <w:rsid w:val="00D57C68"/>
    <w:rsid w:val="00D57D5F"/>
    <w:rsid w:val="00D57DFD"/>
    <w:rsid w:val="00D60000"/>
    <w:rsid w:val="00D6002D"/>
    <w:rsid w:val="00D60041"/>
    <w:rsid w:val="00D60079"/>
    <w:rsid w:val="00D6007F"/>
    <w:rsid w:val="00D600B3"/>
    <w:rsid w:val="00D6033E"/>
    <w:rsid w:val="00D603A8"/>
    <w:rsid w:val="00D604BD"/>
    <w:rsid w:val="00D605C8"/>
    <w:rsid w:val="00D60783"/>
    <w:rsid w:val="00D6080E"/>
    <w:rsid w:val="00D60817"/>
    <w:rsid w:val="00D60B04"/>
    <w:rsid w:val="00D60C16"/>
    <w:rsid w:val="00D60C19"/>
    <w:rsid w:val="00D60CF7"/>
    <w:rsid w:val="00D60DEB"/>
    <w:rsid w:val="00D61048"/>
    <w:rsid w:val="00D610E8"/>
    <w:rsid w:val="00D6125D"/>
    <w:rsid w:val="00D61432"/>
    <w:rsid w:val="00D614FD"/>
    <w:rsid w:val="00D6150F"/>
    <w:rsid w:val="00D61546"/>
    <w:rsid w:val="00D617F8"/>
    <w:rsid w:val="00D619B6"/>
    <w:rsid w:val="00D61A6D"/>
    <w:rsid w:val="00D61C6D"/>
    <w:rsid w:val="00D61CBB"/>
    <w:rsid w:val="00D62285"/>
    <w:rsid w:val="00D62308"/>
    <w:rsid w:val="00D62314"/>
    <w:rsid w:val="00D623CC"/>
    <w:rsid w:val="00D623DE"/>
    <w:rsid w:val="00D624B5"/>
    <w:rsid w:val="00D62585"/>
    <w:rsid w:val="00D625DF"/>
    <w:rsid w:val="00D62631"/>
    <w:rsid w:val="00D626FB"/>
    <w:rsid w:val="00D62AAF"/>
    <w:rsid w:val="00D62C24"/>
    <w:rsid w:val="00D62C42"/>
    <w:rsid w:val="00D62F4C"/>
    <w:rsid w:val="00D63505"/>
    <w:rsid w:val="00D63561"/>
    <w:rsid w:val="00D635FB"/>
    <w:rsid w:val="00D63628"/>
    <w:rsid w:val="00D6362C"/>
    <w:rsid w:val="00D6363E"/>
    <w:rsid w:val="00D636F3"/>
    <w:rsid w:val="00D63C1A"/>
    <w:rsid w:val="00D63C73"/>
    <w:rsid w:val="00D63D43"/>
    <w:rsid w:val="00D63E32"/>
    <w:rsid w:val="00D63F2A"/>
    <w:rsid w:val="00D63F68"/>
    <w:rsid w:val="00D6405D"/>
    <w:rsid w:val="00D64068"/>
    <w:rsid w:val="00D641A8"/>
    <w:rsid w:val="00D644D3"/>
    <w:rsid w:val="00D6471B"/>
    <w:rsid w:val="00D649D1"/>
    <w:rsid w:val="00D64D36"/>
    <w:rsid w:val="00D64D68"/>
    <w:rsid w:val="00D64F38"/>
    <w:rsid w:val="00D64FE3"/>
    <w:rsid w:val="00D650B3"/>
    <w:rsid w:val="00D651B7"/>
    <w:rsid w:val="00D652B6"/>
    <w:rsid w:val="00D652D7"/>
    <w:rsid w:val="00D65306"/>
    <w:rsid w:val="00D65341"/>
    <w:rsid w:val="00D6540E"/>
    <w:rsid w:val="00D65498"/>
    <w:rsid w:val="00D65676"/>
    <w:rsid w:val="00D656B8"/>
    <w:rsid w:val="00D65714"/>
    <w:rsid w:val="00D65947"/>
    <w:rsid w:val="00D65A04"/>
    <w:rsid w:val="00D65B9D"/>
    <w:rsid w:val="00D65CDC"/>
    <w:rsid w:val="00D65DBB"/>
    <w:rsid w:val="00D65DF1"/>
    <w:rsid w:val="00D65E17"/>
    <w:rsid w:val="00D66049"/>
    <w:rsid w:val="00D66056"/>
    <w:rsid w:val="00D660D6"/>
    <w:rsid w:val="00D66389"/>
    <w:rsid w:val="00D66494"/>
    <w:rsid w:val="00D665AA"/>
    <w:rsid w:val="00D666DA"/>
    <w:rsid w:val="00D667C3"/>
    <w:rsid w:val="00D66C98"/>
    <w:rsid w:val="00D66CDC"/>
    <w:rsid w:val="00D66D1F"/>
    <w:rsid w:val="00D66DAA"/>
    <w:rsid w:val="00D66DD6"/>
    <w:rsid w:val="00D66E24"/>
    <w:rsid w:val="00D66E3A"/>
    <w:rsid w:val="00D66E9D"/>
    <w:rsid w:val="00D67123"/>
    <w:rsid w:val="00D671AD"/>
    <w:rsid w:val="00D6721B"/>
    <w:rsid w:val="00D6740B"/>
    <w:rsid w:val="00D674D1"/>
    <w:rsid w:val="00D67545"/>
    <w:rsid w:val="00D67555"/>
    <w:rsid w:val="00D676C6"/>
    <w:rsid w:val="00D678C2"/>
    <w:rsid w:val="00D67939"/>
    <w:rsid w:val="00D67A3B"/>
    <w:rsid w:val="00D67A95"/>
    <w:rsid w:val="00D67C0A"/>
    <w:rsid w:val="00D67C64"/>
    <w:rsid w:val="00D67D14"/>
    <w:rsid w:val="00D67D3F"/>
    <w:rsid w:val="00D67EDB"/>
    <w:rsid w:val="00D700FF"/>
    <w:rsid w:val="00D70288"/>
    <w:rsid w:val="00D702F5"/>
    <w:rsid w:val="00D7031A"/>
    <w:rsid w:val="00D70335"/>
    <w:rsid w:val="00D70369"/>
    <w:rsid w:val="00D7038C"/>
    <w:rsid w:val="00D705F2"/>
    <w:rsid w:val="00D706DF"/>
    <w:rsid w:val="00D70820"/>
    <w:rsid w:val="00D70AB0"/>
    <w:rsid w:val="00D70B49"/>
    <w:rsid w:val="00D70CF7"/>
    <w:rsid w:val="00D70D47"/>
    <w:rsid w:val="00D70E71"/>
    <w:rsid w:val="00D70F82"/>
    <w:rsid w:val="00D70F8B"/>
    <w:rsid w:val="00D7102A"/>
    <w:rsid w:val="00D710CA"/>
    <w:rsid w:val="00D710F2"/>
    <w:rsid w:val="00D711CF"/>
    <w:rsid w:val="00D711D6"/>
    <w:rsid w:val="00D71318"/>
    <w:rsid w:val="00D7135B"/>
    <w:rsid w:val="00D7147B"/>
    <w:rsid w:val="00D7148C"/>
    <w:rsid w:val="00D715FF"/>
    <w:rsid w:val="00D717BB"/>
    <w:rsid w:val="00D719CC"/>
    <w:rsid w:val="00D71BF2"/>
    <w:rsid w:val="00D71C6A"/>
    <w:rsid w:val="00D71CA8"/>
    <w:rsid w:val="00D71CAD"/>
    <w:rsid w:val="00D71D13"/>
    <w:rsid w:val="00D71E7C"/>
    <w:rsid w:val="00D71E95"/>
    <w:rsid w:val="00D71ED7"/>
    <w:rsid w:val="00D71F17"/>
    <w:rsid w:val="00D71FDD"/>
    <w:rsid w:val="00D71FF5"/>
    <w:rsid w:val="00D72014"/>
    <w:rsid w:val="00D720CC"/>
    <w:rsid w:val="00D72196"/>
    <w:rsid w:val="00D7227A"/>
    <w:rsid w:val="00D72298"/>
    <w:rsid w:val="00D72386"/>
    <w:rsid w:val="00D7251A"/>
    <w:rsid w:val="00D72ABC"/>
    <w:rsid w:val="00D72DD3"/>
    <w:rsid w:val="00D72E83"/>
    <w:rsid w:val="00D73028"/>
    <w:rsid w:val="00D7305A"/>
    <w:rsid w:val="00D730D0"/>
    <w:rsid w:val="00D731FC"/>
    <w:rsid w:val="00D732A4"/>
    <w:rsid w:val="00D7332A"/>
    <w:rsid w:val="00D733D1"/>
    <w:rsid w:val="00D73410"/>
    <w:rsid w:val="00D734CC"/>
    <w:rsid w:val="00D73571"/>
    <w:rsid w:val="00D73575"/>
    <w:rsid w:val="00D73616"/>
    <w:rsid w:val="00D736F2"/>
    <w:rsid w:val="00D737CF"/>
    <w:rsid w:val="00D73882"/>
    <w:rsid w:val="00D738C8"/>
    <w:rsid w:val="00D738F9"/>
    <w:rsid w:val="00D7395D"/>
    <w:rsid w:val="00D73B0C"/>
    <w:rsid w:val="00D73B1C"/>
    <w:rsid w:val="00D73C71"/>
    <w:rsid w:val="00D73D6E"/>
    <w:rsid w:val="00D73E68"/>
    <w:rsid w:val="00D73E87"/>
    <w:rsid w:val="00D7412C"/>
    <w:rsid w:val="00D7423D"/>
    <w:rsid w:val="00D74364"/>
    <w:rsid w:val="00D744CB"/>
    <w:rsid w:val="00D745C4"/>
    <w:rsid w:val="00D746B2"/>
    <w:rsid w:val="00D74800"/>
    <w:rsid w:val="00D748AB"/>
    <w:rsid w:val="00D749C2"/>
    <w:rsid w:val="00D74B8E"/>
    <w:rsid w:val="00D74CA1"/>
    <w:rsid w:val="00D74DBC"/>
    <w:rsid w:val="00D74E88"/>
    <w:rsid w:val="00D74F57"/>
    <w:rsid w:val="00D74F99"/>
    <w:rsid w:val="00D75224"/>
    <w:rsid w:val="00D752A8"/>
    <w:rsid w:val="00D75509"/>
    <w:rsid w:val="00D755D3"/>
    <w:rsid w:val="00D756C1"/>
    <w:rsid w:val="00D75726"/>
    <w:rsid w:val="00D75895"/>
    <w:rsid w:val="00D758AA"/>
    <w:rsid w:val="00D759B3"/>
    <w:rsid w:val="00D759B8"/>
    <w:rsid w:val="00D75AAA"/>
    <w:rsid w:val="00D75B74"/>
    <w:rsid w:val="00D75FA4"/>
    <w:rsid w:val="00D76160"/>
    <w:rsid w:val="00D76213"/>
    <w:rsid w:val="00D7626C"/>
    <w:rsid w:val="00D762F9"/>
    <w:rsid w:val="00D76411"/>
    <w:rsid w:val="00D764A3"/>
    <w:rsid w:val="00D765DA"/>
    <w:rsid w:val="00D76799"/>
    <w:rsid w:val="00D767C4"/>
    <w:rsid w:val="00D767E0"/>
    <w:rsid w:val="00D76817"/>
    <w:rsid w:val="00D76848"/>
    <w:rsid w:val="00D76A9A"/>
    <w:rsid w:val="00D76B3D"/>
    <w:rsid w:val="00D76DFC"/>
    <w:rsid w:val="00D76EC5"/>
    <w:rsid w:val="00D7717F"/>
    <w:rsid w:val="00D77276"/>
    <w:rsid w:val="00D77308"/>
    <w:rsid w:val="00D77444"/>
    <w:rsid w:val="00D774E1"/>
    <w:rsid w:val="00D774E5"/>
    <w:rsid w:val="00D77569"/>
    <w:rsid w:val="00D7756C"/>
    <w:rsid w:val="00D775DC"/>
    <w:rsid w:val="00D775FD"/>
    <w:rsid w:val="00D776B4"/>
    <w:rsid w:val="00D77932"/>
    <w:rsid w:val="00D77A8B"/>
    <w:rsid w:val="00D77CF5"/>
    <w:rsid w:val="00D77DD6"/>
    <w:rsid w:val="00D77DF0"/>
    <w:rsid w:val="00D77F4E"/>
    <w:rsid w:val="00D77FDE"/>
    <w:rsid w:val="00D8010E"/>
    <w:rsid w:val="00D80154"/>
    <w:rsid w:val="00D802D9"/>
    <w:rsid w:val="00D802E2"/>
    <w:rsid w:val="00D803EA"/>
    <w:rsid w:val="00D80431"/>
    <w:rsid w:val="00D805A3"/>
    <w:rsid w:val="00D8080E"/>
    <w:rsid w:val="00D80958"/>
    <w:rsid w:val="00D80AFF"/>
    <w:rsid w:val="00D80B01"/>
    <w:rsid w:val="00D80C07"/>
    <w:rsid w:val="00D80CA8"/>
    <w:rsid w:val="00D80FDE"/>
    <w:rsid w:val="00D81123"/>
    <w:rsid w:val="00D81237"/>
    <w:rsid w:val="00D81467"/>
    <w:rsid w:val="00D81496"/>
    <w:rsid w:val="00D815D3"/>
    <w:rsid w:val="00D81650"/>
    <w:rsid w:val="00D818AF"/>
    <w:rsid w:val="00D81A1D"/>
    <w:rsid w:val="00D81B41"/>
    <w:rsid w:val="00D81C7D"/>
    <w:rsid w:val="00D81FDF"/>
    <w:rsid w:val="00D820F1"/>
    <w:rsid w:val="00D8216A"/>
    <w:rsid w:val="00D822E1"/>
    <w:rsid w:val="00D82424"/>
    <w:rsid w:val="00D8243F"/>
    <w:rsid w:val="00D82462"/>
    <w:rsid w:val="00D82483"/>
    <w:rsid w:val="00D825E6"/>
    <w:rsid w:val="00D825F9"/>
    <w:rsid w:val="00D8274E"/>
    <w:rsid w:val="00D8277F"/>
    <w:rsid w:val="00D82787"/>
    <w:rsid w:val="00D82987"/>
    <w:rsid w:val="00D8299A"/>
    <w:rsid w:val="00D8299D"/>
    <w:rsid w:val="00D829C9"/>
    <w:rsid w:val="00D82A9C"/>
    <w:rsid w:val="00D82D88"/>
    <w:rsid w:val="00D82DBA"/>
    <w:rsid w:val="00D82F36"/>
    <w:rsid w:val="00D8307E"/>
    <w:rsid w:val="00D830A3"/>
    <w:rsid w:val="00D83204"/>
    <w:rsid w:val="00D8332E"/>
    <w:rsid w:val="00D83417"/>
    <w:rsid w:val="00D8341A"/>
    <w:rsid w:val="00D834C1"/>
    <w:rsid w:val="00D834E4"/>
    <w:rsid w:val="00D837C0"/>
    <w:rsid w:val="00D837C6"/>
    <w:rsid w:val="00D838AB"/>
    <w:rsid w:val="00D83AD4"/>
    <w:rsid w:val="00D83C77"/>
    <w:rsid w:val="00D83D22"/>
    <w:rsid w:val="00D8403E"/>
    <w:rsid w:val="00D840AD"/>
    <w:rsid w:val="00D84109"/>
    <w:rsid w:val="00D84289"/>
    <w:rsid w:val="00D84611"/>
    <w:rsid w:val="00D84676"/>
    <w:rsid w:val="00D8469F"/>
    <w:rsid w:val="00D847E7"/>
    <w:rsid w:val="00D8481B"/>
    <w:rsid w:val="00D848D5"/>
    <w:rsid w:val="00D849AB"/>
    <w:rsid w:val="00D84A18"/>
    <w:rsid w:val="00D84A42"/>
    <w:rsid w:val="00D84ABE"/>
    <w:rsid w:val="00D84B8B"/>
    <w:rsid w:val="00D84C4E"/>
    <w:rsid w:val="00D84D94"/>
    <w:rsid w:val="00D84E12"/>
    <w:rsid w:val="00D84EBB"/>
    <w:rsid w:val="00D84FCB"/>
    <w:rsid w:val="00D85028"/>
    <w:rsid w:val="00D8504A"/>
    <w:rsid w:val="00D8505B"/>
    <w:rsid w:val="00D85192"/>
    <w:rsid w:val="00D85234"/>
    <w:rsid w:val="00D85274"/>
    <w:rsid w:val="00D853F4"/>
    <w:rsid w:val="00D85589"/>
    <w:rsid w:val="00D857A6"/>
    <w:rsid w:val="00D85829"/>
    <w:rsid w:val="00D85981"/>
    <w:rsid w:val="00D85E57"/>
    <w:rsid w:val="00D86120"/>
    <w:rsid w:val="00D86187"/>
    <w:rsid w:val="00D86194"/>
    <w:rsid w:val="00D86221"/>
    <w:rsid w:val="00D863AC"/>
    <w:rsid w:val="00D863F1"/>
    <w:rsid w:val="00D864CC"/>
    <w:rsid w:val="00D864F3"/>
    <w:rsid w:val="00D865A6"/>
    <w:rsid w:val="00D865AD"/>
    <w:rsid w:val="00D86660"/>
    <w:rsid w:val="00D86727"/>
    <w:rsid w:val="00D86CEA"/>
    <w:rsid w:val="00D86CFE"/>
    <w:rsid w:val="00D86D81"/>
    <w:rsid w:val="00D86D83"/>
    <w:rsid w:val="00D86E0C"/>
    <w:rsid w:val="00D86E93"/>
    <w:rsid w:val="00D87038"/>
    <w:rsid w:val="00D870A2"/>
    <w:rsid w:val="00D8735C"/>
    <w:rsid w:val="00D873AE"/>
    <w:rsid w:val="00D873ED"/>
    <w:rsid w:val="00D876B5"/>
    <w:rsid w:val="00D87778"/>
    <w:rsid w:val="00D879D7"/>
    <w:rsid w:val="00D87F02"/>
    <w:rsid w:val="00D87F10"/>
    <w:rsid w:val="00D87FE5"/>
    <w:rsid w:val="00D90070"/>
    <w:rsid w:val="00D900E7"/>
    <w:rsid w:val="00D90266"/>
    <w:rsid w:val="00D903E0"/>
    <w:rsid w:val="00D90458"/>
    <w:rsid w:val="00D9053C"/>
    <w:rsid w:val="00D9060F"/>
    <w:rsid w:val="00D906C3"/>
    <w:rsid w:val="00D908B7"/>
    <w:rsid w:val="00D90936"/>
    <w:rsid w:val="00D90AC5"/>
    <w:rsid w:val="00D90C07"/>
    <w:rsid w:val="00D90E1C"/>
    <w:rsid w:val="00D90E8D"/>
    <w:rsid w:val="00D90EEE"/>
    <w:rsid w:val="00D90F0A"/>
    <w:rsid w:val="00D9119F"/>
    <w:rsid w:val="00D911C9"/>
    <w:rsid w:val="00D91243"/>
    <w:rsid w:val="00D912DB"/>
    <w:rsid w:val="00D91412"/>
    <w:rsid w:val="00D9172B"/>
    <w:rsid w:val="00D919FE"/>
    <w:rsid w:val="00D91A22"/>
    <w:rsid w:val="00D91B02"/>
    <w:rsid w:val="00D91BC3"/>
    <w:rsid w:val="00D91CAF"/>
    <w:rsid w:val="00D91E03"/>
    <w:rsid w:val="00D91FBB"/>
    <w:rsid w:val="00D921ED"/>
    <w:rsid w:val="00D92495"/>
    <w:rsid w:val="00D924F8"/>
    <w:rsid w:val="00D92596"/>
    <w:rsid w:val="00D9260D"/>
    <w:rsid w:val="00D926A3"/>
    <w:rsid w:val="00D926F5"/>
    <w:rsid w:val="00D926F9"/>
    <w:rsid w:val="00D92747"/>
    <w:rsid w:val="00D927A4"/>
    <w:rsid w:val="00D9283C"/>
    <w:rsid w:val="00D92A77"/>
    <w:rsid w:val="00D92A99"/>
    <w:rsid w:val="00D92DDD"/>
    <w:rsid w:val="00D92E25"/>
    <w:rsid w:val="00D92E76"/>
    <w:rsid w:val="00D931CD"/>
    <w:rsid w:val="00D93280"/>
    <w:rsid w:val="00D9338E"/>
    <w:rsid w:val="00D9341E"/>
    <w:rsid w:val="00D9342A"/>
    <w:rsid w:val="00D93562"/>
    <w:rsid w:val="00D93581"/>
    <w:rsid w:val="00D937A0"/>
    <w:rsid w:val="00D937FB"/>
    <w:rsid w:val="00D93833"/>
    <w:rsid w:val="00D9389B"/>
    <w:rsid w:val="00D93BD7"/>
    <w:rsid w:val="00D93EBA"/>
    <w:rsid w:val="00D93EC2"/>
    <w:rsid w:val="00D940D1"/>
    <w:rsid w:val="00D9426D"/>
    <w:rsid w:val="00D9431E"/>
    <w:rsid w:val="00D94364"/>
    <w:rsid w:val="00D9436F"/>
    <w:rsid w:val="00D944FA"/>
    <w:rsid w:val="00D94DAE"/>
    <w:rsid w:val="00D94E67"/>
    <w:rsid w:val="00D94E89"/>
    <w:rsid w:val="00D95079"/>
    <w:rsid w:val="00D95252"/>
    <w:rsid w:val="00D9541A"/>
    <w:rsid w:val="00D95552"/>
    <w:rsid w:val="00D95691"/>
    <w:rsid w:val="00D956E1"/>
    <w:rsid w:val="00D95777"/>
    <w:rsid w:val="00D9578E"/>
    <w:rsid w:val="00D958DB"/>
    <w:rsid w:val="00D959D6"/>
    <w:rsid w:val="00D95BDE"/>
    <w:rsid w:val="00D95BED"/>
    <w:rsid w:val="00D95CB2"/>
    <w:rsid w:val="00D95D13"/>
    <w:rsid w:val="00D95D23"/>
    <w:rsid w:val="00D95D48"/>
    <w:rsid w:val="00D95F09"/>
    <w:rsid w:val="00D95F50"/>
    <w:rsid w:val="00D962F3"/>
    <w:rsid w:val="00D9639E"/>
    <w:rsid w:val="00D96544"/>
    <w:rsid w:val="00D968E7"/>
    <w:rsid w:val="00D96D40"/>
    <w:rsid w:val="00D96D6E"/>
    <w:rsid w:val="00D96D7F"/>
    <w:rsid w:val="00D96DAB"/>
    <w:rsid w:val="00D96DED"/>
    <w:rsid w:val="00D96EC8"/>
    <w:rsid w:val="00D96FCC"/>
    <w:rsid w:val="00D9734E"/>
    <w:rsid w:val="00D97462"/>
    <w:rsid w:val="00D974B3"/>
    <w:rsid w:val="00D97543"/>
    <w:rsid w:val="00D9792E"/>
    <w:rsid w:val="00D9793C"/>
    <w:rsid w:val="00D97B41"/>
    <w:rsid w:val="00D97B59"/>
    <w:rsid w:val="00D97D40"/>
    <w:rsid w:val="00D97DF8"/>
    <w:rsid w:val="00D97E11"/>
    <w:rsid w:val="00D97F02"/>
    <w:rsid w:val="00DA0066"/>
    <w:rsid w:val="00DA0204"/>
    <w:rsid w:val="00DA0259"/>
    <w:rsid w:val="00DA0416"/>
    <w:rsid w:val="00DA06BD"/>
    <w:rsid w:val="00DA078B"/>
    <w:rsid w:val="00DA0AC7"/>
    <w:rsid w:val="00DA0B4D"/>
    <w:rsid w:val="00DA0B4F"/>
    <w:rsid w:val="00DA0F6B"/>
    <w:rsid w:val="00DA10A9"/>
    <w:rsid w:val="00DA1225"/>
    <w:rsid w:val="00DA1643"/>
    <w:rsid w:val="00DA1955"/>
    <w:rsid w:val="00DA1D18"/>
    <w:rsid w:val="00DA2586"/>
    <w:rsid w:val="00DA25DB"/>
    <w:rsid w:val="00DA2693"/>
    <w:rsid w:val="00DA2853"/>
    <w:rsid w:val="00DA2A60"/>
    <w:rsid w:val="00DA2B5F"/>
    <w:rsid w:val="00DA2E87"/>
    <w:rsid w:val="00DA2ECC"/>
    <w:rsid w:val="00DA2FBF"/>
    <w:rsid w:val="00DA3080"/>
    <w:rsid w:val="00DA3269"/>
    <w:rsid w:val="00DA34EE"/>
    <w:rsid w:val="00DA38DC"/>
    <w:rsid w:val="00DA392B"/>
    <w:rsid w:val="00DA3C44"/>
    <w:rsid w:val="00DA3C9E"/>
    <w:rsid w:val="00DA3F95"/>
    <w:rsid w:val="00DA401C"/>
    <w:rsid w:val="00DA4068"/>
    <w:rsid w:val="00DA40B6"/>
    <w:rsid w:val="00DA40F7"/>
    <w:rsid w:val="00DA429D"/>
    <w:rsid w:val="00DA4453"/>
    <w:rsid w:val="00DA4499"/>
    <w:rsid w:val="00DA4512"/>
    <w:rsid w:val="00DA467B"/>
    <w:rsid w:val="00DA47A3"/>
    <w:rsid w:val="00DA494C"/>
    <w:rsid w:val="00DA4DBA"/>
    <w:rsid w:val="00DA4FCC"/>
    <w:rsid w:val="00DA5016"/>
    <w:rsid w:val="00DA5089"/>
    <w:rsid w:val="00DA510E"/>
    <w:rsid w:val="00DA5171"/>
    <w:rsid w:val="00DA571D"/>
    <w:rsid w:val="00DA58F9"/>
    <w:rsid w:val="00DA5973"/>
    <w:rsid w:val="00DA5991"/>
    <w:rsid w:val="00DA5B2F"/>
    <w:rsid w:val="00DA5BDE"/>
    <w:rsid w:val="00DA5D31"/>
    <w:rsid w:val="00DA5D36"/>
    <w:rsid w:val="00DA5D83"/>
    <w:rsid w:val="00DA5D86"/>
    <w:rsid w:val="00DA5DC2"/>
    <w:rsid w:val="00DA5E35"/>
    <w:rsid w:val="00DA5E4C"/>
    <w:rsid w:val="00DA5F8C"/>
    <w:rsid w:val="00DA6113"/>
    <w:rsid w:val="00DA6151"/>
    <w:rsid w:val="00DA6194"/>
    <w:rsid w:val="00DA61EF"/>
    <w:rsid w:val="00DA6250"/>
    <w:rsid w:val="00DA625F"/>
    <w:rsid w:val="00DA6319"/>
    <w:rsid w:val="00DA638A"/>
    <w:rsid w:val="00DA639C"/>
    <w:rsid w:val="00DA640C"/>
    <w:rsid w:val="00DA64B6"/>
    <w:rsid w:val="00DA64D0"/>
    <w:rsid w:val="00DA6502"/>
    <w:rsid w:val="00DA657D"/>
    <w:rsid w:val="00DA6715"/>
    <w:rsid w:val="00DA67D9"/>
    <w:rsid w:val="00DA691B"/>
    <w:rsid w:val="00DA6BD2"/>
    <w:rsid w:val="00DA6C54"/>
    <w:rsid w:val="00DA6C68"/>
    <w:rsid w:val="00DA6E44"/>
    <w:rsid w:val="00DA7389"/>
    <w:rsid w:val="00DA738F"/>
    <w:rsid w:val="00DA7562"/>
    <w:rsid w:val="00DA75DF"/>
    <w:rsid w:val="00DA7846"/>
    <w:rsid w:val="00DA78B0"/>
    <w:rsid w:val="00DA79DA"/>
    <w:rsid w:val="00DA7AB4"/>
    <w:rsid w:val="00DA7BB1"/>
    <w:rsid w:val="00DA7D51"/>
    <w:rsid w:val="00DA7E43"/>
    <w:rsid w:val="00DA7E6C"/>
    <w:rsid w:val="00DA7E8E"/>
    <w:rsid w:val="00DA7F3F"/>
    <w:rsid w:val="00DB00CB"/>
    <w:rsid w:val="00DB0152"/>
    <w:rsid w:val="00DB0214"/>
    <w:rsid w:val="00DB0248"/>
    <w:rsid w:val="00DB034D"/>
    <w:rsid w:val="00DB0383"/>
    <w:rsid w:val="00DB0795"/>
    <w:rsid w:val="00DB07C3"/>
    <w:rsid w:val="00DB0C57"/>
    <w:rsid w:val="00DB0D45"/>
    <w:rsid w:val="00DB0F64"/>
    <w:rsid w:val="00DB1340"/>
    <w:rsid w:val="00DB13AB"/>
    <w:rsid w:val="00DB13E0"/>
    <w:rsid w:val="00DB1486"/>
    <w:rsid w:val="00DB14BC"/>
    <w:rsid w:val="00DB15CE"/>
    <w:rsid w:val="00DB15EE"/>
    <w:rsid w:val="00DB1963"/>
    <w:rsid w:val="00DB1964"/>
    <w:rsid w:val="00DB1AAA"/>
    <w:rsid w:val="00DB1B11"/>
    <w:rsid w:val="00DB1B9A"/>
    <w:rsid w:val="00DB1C67"/>
    <w:rsid w:val="00DB1CCE"/>
    <w:rsid w:val="00DB1E3B"/>
    <w:rsid w:val="00DB1E68"/>
    <w:rsid w:val="00DB1FC0"/>
    <w:rsid w:val="00DB2110"/>
    <w:rsid w:val="00DB213A"/>
    <w:rsid w:val="00DB24D0"/>
    <w:rsid w:val="00DB27C4"/>
    <w:rsid w:val="00DB2B60"/>
    <w:rsid w:val="00DB2C1D"/>
    <w:rsid w:val="00DB2D1C"/>
    <w:rsid w:val="00DB2D2E"/>
    <w:rsid w:val="00DB2DED"/>
    <w:rsid w:val="00DB2E20"/>
    <w:rsid w:val="00DB2EDE"/>
    <w:rsid w:val="00DB2EEF"/>
    <w:rsid w:val="00DB2F39"/>
    <w:rsid w:val="00DB2FAA"/>
    <w:rsid w:val="00DB303A"/>
    <w:rsid w:val="00DB317B"/>
    <w:rsid w:val="00DB3234"/>
    <w:rsid w:val="00DB3272"/>
    <w:rsid w:val="00DB33B7"/>
    <w:rsid w:val="00DB3500"/>
    <w:rsid w:val="00DB35D3"/>
    <w:rsid w:val="00DB36F1"/>
    <w:rsid w:val="00DB393C"/>
    <w:rsid w:val="00DB3B4E"/>
    <w:rsid w:val="00DB4129"/>
    <w:rsid w:val="00DB4178"/>
    <w:rsid w:val="00DB419A"/>
    <w:rsid w:val="00DB426F"/>
    <w:rsid w:val="00DB44FE"/>
    <w:rsid w:val="00DB4545"/>
    <w:rsid w:val="00DB4611"/>
    <w:rsid w:val="00DB4958"/>
    <w:rsid w:val="00DB49F0"/>
    <w:rsid w:val="00DB4A9D"/>
    <w:rsid w:val="00DB4D78"/>
    <w:rsid w:val="00DB4E4B"/>
    <w:rsid w:val="00DB4FAB"/>
    <w:rsid w:val="00DB4FEF"/>
    <w:rsid w:val="00DB50A6"/>
    <w:rsid w:val="00DB51B3"/>
    <w:rsid w:val="00DB5300"/>
    <w:rsid w:val="00DB55E9"/>
    <w:rsid w:val="00DB56FC"/>
    <w:rsid w:val="00DB59FA"/>
    <w:rsid w:val="00DB5B3D"/>
    <w:rsid w:val="00DB5BAF"/>
    <w:rsid w:val="00DB5D9D"/>
    <w:rsid w:val="00DB5DA9"/>
    <w:rsid w:val="00DB5E5F"/>
    <w:rsid w:val="00DB5E93"/>
    <w:rsid w:val="00DB5F74"/>
    <w:rsid w:val="00DB626C"/>
    <w:rsid w:val="00DB647C"/>
    <w:rsid w:val="00DB6488"/>
    <w:rsid w:val="00DB650B"/>
    <w:rsid w:val="00DB661E"/>
    <w:rsid w:val="00DB6654"/>
    <w:rsid w:val="00DB6664"/>
    <w:rsid w:val="00DB669F"/>
    <w:rsid w:val="00DB66EB"/>
    <w:rsid w:val="00DB67CA"/>
    <w:rsid w:val="00DB67ED"/>
    <w:rsid w:val="00DB6BB5"/>
    <w:rsid w:val="00DB6E08"/>
    <w:rsid w:val="00DB6E49"/>
    <w:rsid w:val="00DB6F84"/>
    <w:rsid w:val="00DB70C6"/>
    <w:rsid w:val="00DB70DD"/>
    <w:rsid w:val="00DB74B4"/>
    <w:rsid w:val="00DB762D"/>
    <w:rsid w:val="00DB764A"/>
    <w:rsid w:val="00DB772D"/>
    <w:rsid w:val="00DB775C"/>
    <w:rsid w:val="00DB7760"/>
    <w:rsid w:val="00DB786E"/>
    <w:rsid w:val="00DB7885"/>
    <w:rsid w:val="00DB78EA"/>
    <w:rsid w:val="00DB7918"/>
    <w:rsid w:val="00DB7973"/>
    <w:rsid w:val="00DB7A58"/>
    <w:rsid w:val="00DB7A75"/>
    <w:rsid w:val="00DB7C5E"/>
    <w:rsid w:val="00DB7D2B"/>
    <w:rsid w:val="00DB7EF8"/>
    <w:rsid w:val="00DB7F8A"/>
    <w:rsid w:val="00DC0046"/>
    <w:rsid w:val="00DC0075"/>
    <w:rsid w:val="00DC00C6"/>
    <w:rsid w:val="00DC00CA"/>
    <w:rsid w:val="00DC02C0"/>
    <w:rsid w:val="00DC056F"/>
    <w:rsid w:val="00DC09E8"/>
    <w:rsid w:val="00DC0A4C"/>
    <w:rsid w:val="00DC0AF1"/>
    <w:rsid w:val="00DC0AF4"/>
    <w:rsid w:val="00DC0B36"/>
    <w:rsid w:val="00DC0B52"/>
    <w:rsid w:val="00DC0C7C"/>
    <w:rsid w:val="00DC0C99"/>
    <w:rsid w:val="00DC0CCE"/>
    <w:rsid w:val="00DC0D79"/>
    <w:rsid w:val="00DC0E30"/>
    <w:rsid w:val="00DC0EF0"/>
    <w:rsid w:val="00DC1152"/>
    <w:rsid w:val="00DC1259"/>
    <w:rsid w:val="00DC13F6"/>
    <w:rsid w:val="00DC1774"/>
    <w:rsid w:val="00DC1778"/>
    <w:rsid w:val="00DC17DF"/>
    <w:rsid w:val="00DC1820"/>
    <w:rsid w:val="00DC18DC"/>
    <w:rsid w:val="00DC18FB"/>
    <w:rsid w:val="00DC1993"/>
    <w:rsid w:val="00DC1A12"/>
    <w:rsid w:val="00DC1B2F"/>
    <w:rsid w:val="00DC1B70"/>
    <w:rsid w:val="00DC1C20"/>
    <w:rsid w:val="00DC1E5D"/>
    <w:rsid w:val="00DC1F61"/>
    <w:rsid w:val="00DC1FEC"/>
    <w:rsid w:val="00DC2014"/>
    <w:rsid w:val="00DC206B"/>
    <w:rsid w:val="00DC217C"/>
    <w:rsid w:val="00DC219E"/>
    <w:rsid w:val="00DC21D3"/>
    <w:rsid w:val="00DC21FA"/>
    <w:rsid w:val="00DC255E"/>
    <w:rsid w:val="00DC25ED"/>
    <w:rsid w:val="00DC2612"/>
    <w:rsid w:val="00DC2729"/>
    <w:rsid w:val="00DC2891"/>
    <w:rsid w:val="00DC2959"/>
    <w:rsid w:val="00DC29A5"/>
    <w:rsid w:val="00DC2A38"/>
    <w:rsid w:val="00DC2AEE"/>
    <w:rsid w:val="00DC2B71"/>
    <w:rsid w:val="00DC2B7A"/>
    <w:rsid w:val="00DC2C82"/>
    <w:rsid w:val="00DC30CF"/>
    <w:rsid w:val="00DC32A9"/>
    <w:rsid w:val="00DC32E2"/>
    <w:rsid w:val="00DC3369"/>
    <w:rsid w:val="00DC3413"/>
    <w:rsid w:val="00DC356D"/>
    <w:rsid w:val="00DC3784"/>
    <w:rsid w:val="00DC3C35"/>
    <w:rsid w:val="00DC3C58"/>
    <w:rsid w:val="00DC3E39"/>
    <w:rsid w:val="00DC3E54"/>
    <w:rsid w:val="00DC3FB1"/>
    <w:rsid w:val="00DC4143"/>
    <w:rsid w:val="00DC4188"/>
    <w:rsid w:val="00DC42B5"/>
    <w:rsid w:val="00DC4341"/>
    <w:rsid w:val="00DC43BF"/>
    <w:rsid w:val="00DC43DC"/>
    <w:rsid w:val="00DC4474"/>
    <w:rsid w:val="00DC470D"/>
    <w:rsid w:val="00DC4975"/>
    <w:rsid w:val="00DC4A6E"/>
    <w:rsid w:val="00DC4B4C"/>
    <w:rsid w:val="00DC4BB3"/>
    <w:rsid w:val="00DC4D31"/>
    <w:rsid w:val="00DC4DDF"/>
    <w:rsid w:val="00DC4F4A"/>
    <w:rsid w:val="00DC4F68"/>
    <w:rsid w:val="00DC4F8E"/>
    <w:rsid w:val="00DC4FDB"/>
    <w:rsid w:val="00DC5119"/>
    <w:rsid w:val="00DC5153"/>
    <w:rsid w:val="00DC53D1"/>
    <w:rsid w:val="00DC542B"/>
    <w:rsid w:val="00DC5498"/>
    <w:rsid w:val="00DC5513"/>
    <w:rsid w:val="00DC55C3"/>
    <w:rsid w:val="00DC566E"/>
    <w:rsid w:val="00DC5700"/>
    <w:rsid w:val="00DC578A"/>
    <w:rsid w:val="00DC5812"/>
    <w:rsid w:val="00DC58B5"/>
    <w:rsid w:val="00DC59A8"/>
    <w:rsid w:val="00DC5A0B"/>
    <w:rsid w:val="00DC5A3C"/>
    <w:rsid w:val="00DC5AAD"/>
    <w:rsid w:val="00DC5B9B"/>
    <w:rsid w:val="00DC5C44"/>
    <w:rsid w:val="00DC5DE7"/>
    <w:rsid w:val="00DC60C9"/>
    <w:rsid w:val="00DC6265"/>
    <w:rsid w:val="00DC62B9"/>
    <w:rsid w:val="00DC647F"/>
    <w:rsid w:val="00DC653F"/>
    <w:rsid w:val="00DC698A"/>
    <w:rsid w:val="00DC6A2D"/>
    <w:rsid w:val="00DC6A4C"/>
    <w:rsid w:val="00DC6A8C"/>
    <w:rsid w:val="00DC6B5A"/>
    <w:rsid w:val="00DC6DF0"/>
    <w:rsid w:val="00DC6ECA"/>
    <w:rsid w:val="00DC6F3D"/>
    <w:rsid w:val="00DC6FE0"/>
    <w:rsid w:val="00DC7059"/>
    <w:rsid w:val="00DC706D"/>
    <w:rsid w:val="00DC7152"/>
    <w:rsid w:val="00DC7279"/>
    <w:rsid w:val="00DC7286"/>
    <w:rsid w:val="00DC72DD"/>
    <w:rsid w:val="00DC743E"/>
    <w:rsid w:val="00DC74EF"/>
    <w:rsid w:val="00DC754D"/>
    <w:rsid w:val="00DC75E8"/>
    <w:rsid w:val="00DC7705"/>
    <w:rsid w:val="00DC7925"/>
    <w:rsid w:val="00DC7A0D"/>
    <w:rsid w:val="00DC7A6D"/>
    <w:rsid w:val="00DC7BA2"/>
    <w:rsid w:val="00DC7C5C"/>
    <w:rsid w:val="00DC7CEB"/>
    <w:rsid w:val="00DC7DD7"/>
    <w:rsid w:val="00DC7EAB"/>
    <w:rsid w:val="00DC7FF3"/>
    <w:rsid w:val="00DD008F"/>
    <w:rsid w:val="00DD0247"/>
    <w:rsid w:val="00DD024C"/>
    <w:rsid w:val="00DD0488"/>
    <w:rsid w:val="00DD056D"/>
    <w:rsid w:val="00DD0571"/>
    <w:rsid w:val="00DD05F4"/>
    <w:rsid w:val="00DD071E"/>
    <w:rsid w:val="00DD0980"/>
    <w:rsid w:val="00DD09BB"/>
    <w:rsid w:val="00DD09EA"/>
    <w:rsid w:val="00DD0C2C"/>
    <w:rsid w:val="00DD0DD0"/>
    <w:rsid w:val="00DD0E46"/>
    <w:rsid w:val="00DD0F76"/>
    <w:rsid w:val="00DD0F7D"/>
    <w:rsid w:val="00DD10F4"/>
    <w:rsid w:val="00DD11AB"/>
    <w:rsid w:val="00DD11DA"/>
    <w:rsid w:val="00DD12F0"/>
    <w:rsid w:val="00DD13DC"/>
    <w:rsid w:val="00DD140C"/>
    <w:rsid w:val="00DD150E"/>
    <w:rsid w:val="00DD1517"/>
    <w:rsid w:val="00DD1631"/>
    <w:rsid w:val="00DD164C"/>
    <w:rsid w:val="00DD165A"/>
    <w:rsid w:val="00DD168B"/>
    <w:rsid w:val="00DD17D5"/>
    <w:rsid w:val="00DD18B8"/>
    <w:rsid w:val="00DD191F"/>
    <w:rsid w:val="00DD192B"/>
    <w:rsid w:val="00DD19A7"/>
    <w:rsid w:val="00DD19CF"/>
    <w:rsid w:val="00DD1D46"/>
    <w:rsid w:val="00DD1FA6"/>
    <w:rsid w:val="00DD1FE7"/>
    <w:rsid w:val="00DD2143"/>
    <w:rsid w:val="00DD2241"/>
    <w:rsid w:val="00DD22B5"/>
    <w:rsid w:val="00DD2304"/>
    <w:rsid w:val="00DD2355"/>
    <w:rsid w:val="00DD24CD"/>
    <w:rsid w:val="00DD258F"/>
    <w:rsid w:val="00DD264D"/>
    <w:rsid w:val="00DD2A23"/>
    <w:rsid w:val="00DD2A39"/>
    <w:rsid w:val="00DD2CE6"/>
    <w:rsid w:val="00DD2F43"/>
    <w:rsid w:val="00DD30A7"/>
    <w:rsid w:val="00DD3238"/>
    <w:rsid w:val="00DD3248"/>
    <w:rsid w:val="00DD3317"/>
    <w:rsid w:val="00DD357C"/>
    <w:rsid w:val="00DD383A"/>
    <w:rsid w:val="00DD3A0D"/>
    <w:rsid w:val="00DD3AD3"/>
    <w:rsid w:val="00DD3AF2"/>
    <w:rsid w:val="00DD3BF2"/>
    <w:rsid w:val="00DD3C79"/>
    <w:rsid w:val="00DD3ED1"/>
    <w:rsid w:val="00DD3F3A"/>
    <w:rsid w:val="00DD3F70"/>
    <w:rsid w:val="00DD3F71"/>
    <w:rsid w:val="00DD402A"/>
    <w:rsid w:val="00DD4194"/>
    <w:rsid w:val="00DD42AB"/>
    <w:rsid w:val="00DD42CF"/>
    <w:rsid w:val="00DD42D8"/>
    <w:rsid w:val="00DD43B0"/>
    <w:rsid w:val="00DD449F"/>
    <w:rsid w:val="00DD4573"/>
    <w:rsid w:val="00DD4865"/>
    <w:rsid w:val="00DD4962"/>
    <w:rsid w:val="00DD49FB"/>
    <w:rsid w:val="00DD4B97"/>
    <w:rsid w:val="00DD4C54"/>
    <w:rsid w:val="00DD4CFC"/>
    <w:rsid w:val="00DD4D46"/>
    <w:rsid w:val="00DD4D60"/>
    <w:rsid w:val="00DD4D85"/>
    <w:rsid w:val="00DD4DAE"/>
    <w:rsid w:val="00DD4DBD"/>
    <w:rsid w:val="00DD4F5B"/>
    <w:rsid w:val="00DD4FE2"/>
    <w:rsid w:val="00DD500E"/>
    <w:rsid w:val="00DD5035"/>
    <w:rsid w:val="00DD5118"/>
    <w:rsid w:val="00DD515E"/>
    <w:rsid w:val="00DD51FE"/>
    <w:rsid w:val="00DD5439"/>
    <w:rsid w:val="00DD55C8"/>
    <w:rsid w:val="00DD5697"/>
    <w:rsid w:val="00DD56F2"/>
    <w:rsid w:val="00DD578C"/>
    <w:rsid w:val="00DD5AAA"/>
    <w:rsid w:val="00DD5B39"/>
    <w:rsid w:val="00DD5BC3"/>
    <w:rsid w:val="00DD5BCC"/>
    <w:rsid w:val="00DD5F47"/>
    <w:rsid w:val="00DD5FF3"/>
    <w:rsid w:val="00DD6038"/>
    <w:rsid w:val="00DD60EA"/>
    <w:rsid w:val="00DD6180"/>
    <w:rsid w:val="00DD61A8"/>
    <w:rsid w:val="00DD61F6"/>
    <w:rsid w:val="00DD629A"/>
    <w:rsid w:val="00DD62AE"/>
    <w:rsid w:val="00DD636A"/>
    <w:rsid w:val="00DD63AF"/>
    <w:rsid w:val="00DD6464"/>
    <w:rsid w:val="00DD646B"/>
    <w:rsid w:val="00DD6578"/>
    <w:rsid w:val="00DD6596"/>
    <w:rsid w:val="00DD6630"/>
    <w:rsid w:val="00DD66A4"/>
    <w:rsid w:val="00DD6938"/>
    <w:rsid w:val="00DD69E7"/>
    <w:rsid w:val="00DD6BF4"/>
    <w:rsid w:val="00DD6CC1"/>
    <w:rsid w:val="00DD6DEA"/>
    <w:rsid w:val="00DD6E08"/>
    <w:rsid w:val="00DD6F8D"/>
    <w:rsid w:val="00DD7040"/>
    <w:rsid w:val="00DD7074"/>
    <w:rsid w:val="00DD7214"/>
    <w:rsid w:val="00DD734F"/>
    <w:rsid w:val="00DD73B6"/>
    <w:rsid w:val="00DD7648"/>
    <w:rsid w:val="00DD765B"/>
    <w:rsid w:val="00DD76D7"/>
    <w:rsid w:val="00DD7992"/>
    <w:rsid w:val="00DD7BAF"/>
    <w:rsid w:val="00DD7C99"/>
    <w:rsid w:val="00DD7F52"/>
    <w:rsid w:val="00DE0101"/>
    <w:rsid w:val="00DE0108"/>
    <w:rsid w:val="00DE0164"/>
    <w:rsid w:val="00DE0219"/>
    <w:rsid w:val="00DE03C0"/>
    <w:rsid w:val="00DE04AF"/>
    <w:rsid w:val="00DE0504"/>
    <w:rsid w:val="00DE0518"/>
    <w:rsid w:val="00DE086D"/>
    <w:rsid w:val="00DE0B1A"/>
    <w:rsid w:val="00DE0B3B"/>
    <w:rsid w:val="00DE0B6E"/>
    <w:rsid w:val="00DE0BAC"/>
    <w:rsid w:val="00DE0D2A"/>
    <w:rsid w:val="00DE0F29"/>
    <w:rsid w:val="00DE0FED"/>
    <w:rsid w:val="00DE1064"/>
    <w:rsid w:val="00DE10CF"/>
    <w:rsid w:val="00DE10E3"/>
    <w:rsid w:val="00DE11B0"/>
    <w:rsid w:val="00DE140A"/>
    <w:rsid w:val="00DE144E"/>
    <w:rsid w:val="00DE1636"/>
    <w:rsid w:val="00DE17E1"/>
    <w:rsid w:val="00DE1A22"/>
    <w:rsid w:val="00DE1B06"/>
    <w:rsid w:val="00DE1BD5"/>
    <w:rsid w:val="00DE1C74"/>
    <w:rsid w:val="00DE1CE1"/>
    <w:rsid w:val="00DE1D96"/>
    <w:rsid w:val="00DE1E46"/>
    <w:rsid w:val="00DE1E62"/>
    <w:rsid w:val="00DE1F90"/>
    <w:rsid w:val="00DE2022"/>
    <w:rsid w:val="00DE2065"/>
    <w:rsid w:val="00DE2185"/>
    <w:rsid w:val="00DE22F9"/>
    <w:rsid w:val="00DE2321"/>
    <w:rsid w:val="00DE253A"/>
    <w:rsid w:val="00DE2782"/>
    <w:rsid w:val="00DE28A4"/>
    <w:rsid w:val="00DE28BC"/>
    <w:rsid w:val="00DE295D"/>
    <w:rsid w:val="00DE2B63"/>
    <w:rsid w:val="00DE2B9D"/>
    <w:rsid w:val="00DE303B"/>
    <w:rsid w:val="00DE3085"/>
    <w:rsid w:val="00DE30A8"/>
    <w:rsid w:val="00DE33C4"/>
    <w:rsid w:val="00DE341B"/>
    <w:rsid w:val="00DE3540"/>
    <w:rsid w:val="00DE3767"/>
    <w:rsid w:val="00DE37DB"/>
    <w:rsid w:val="00DE3902"/>
    <w:rsid w:val="00DE3BCC"/>
    <w:rsid w:val="00DE3D23"/>
    <w:rsid w:val="00DE3E35"/>
    <w:rsid w:val="00DE4002"/>
    <w:rsid w:val="00DE40DC"/>
    <w:rsid w:val="00DE410C"/>
    <w:rsid w:val="00DE429B"/>
    <w:rsid w:val="00DE468D"/>
    <w:rsid w:val="00DE46B9"/>
    <w:rsid w:val="00DE4707"/>
    <w:rsid w:val="00DE479B"/>
    <w:rsid w:val="00DE48C2"/>
    <w:rsid w:val="00DE4ABB"/>
    <w:rsid w:val="00DE4B00"/>
    <w:rsid w:val="00DE4B08"/>
    <w:rsid w:val="00DE4BE4"/>
    <w:rsid w:val="00DE4D57"/>
    <w:rsid w:val="00DE5203"/>
    <w:rsid w:val="00DE5209"/>
    <w:rsid w:val="00DE52AC"/>
    <w:rsid w:val="00DE550A"/>
    <w:rsid w:val="00DE5706"/>
    <w:rsid w:val="00DE58F1"/>
    <w:rsid w:val="00DE597D"/>
    <w:rsid w:val="00DE59C8"/>
    <w:rsid w:val="00DE5B4B"/>
    <w:rsid w:val="00DE5BDB"/>
    <w:rsid w:val="00DE5C95"/>
    <w:rsid w:val="00DE601F"/>
    <w:rsid w:val="00DE603E"/>
    <w:rsid w:val="00DE6139"/>
    <w:rsid w:val="00DE61A9"/>
    <w:rsid w:val="00DE6250"/>
    <w:rsid w:val="00DE6254"/>
    <w:rsid w:val="00DE66DD"/>
    <w:rsid w:val="00DE673C"/>
    <w:rsid w:val="00DE6757"/>
    <w:rsid w:val="00DE6803"/>
    <w:rsid w:val="00DE6914"/>
    <w:rsid w:val="00DE69CF"/>
    <w:rsid w:val="00DE6D57"/>
    <w:rsid w:val="00DE6E68"/>
    <w:rsid w:val="00DE700A"/>
    <w:rsid w:val="00DE70E0"/>
    <w:rsid w:val="00DE72B3"/>
    <w:rsid w:val="00DE72FE"/>
    <w:rsid w:val="00DE735F"/>
    <w:rsid w:val="00DE76C4"/>
    <w:rsid w:val="00DE7A76"/>
    <w:rsid w:val="00DE7AA0"/>
    <w:rsid w:val="00DE7BCA"/>
    <w:rsid w:val="00DE7E9A"/>
    <w:rsid w:val="00DF0251"/>
    <w:rsid w:val="00DF04F4"/>
    <w:rsid w:val="00DF057C"/>
    <w:rsid w:val="00DF06B6"/>
    <w:rsid w:val="00DF074C"/>
    <w:rsid w:val="00DF07AF"/>
    <w:rsid w:val="00DF0864"/>
    <w:rsid w:val="00DF0893"/>
    <w:rsid w:val="00DF091F"/>
    <w:rsid w:val="00DF092C"/>
    <w:rsid w:val="00DF0B2A"/>
    <w:rsid w:val="00DF0B53"/>
    <w:rsid w:val="00DF0B80"/>
    <w:rsid w:val="00DF0BBB"/>
    <w:rsid w:val="00DF0D93"/>
    <w:rsid w:val="00DF138A"/>
    <w:rsid w:val="00DF145A"/>
    <w:rsid w:val="00DF1467"/>
    <w:rsid w:val="00DF1493"/>
    <w:rsid w:val="00DF1564"/>
    <w:rsid w:val="00DF15E4"/>
    <w:rsid w:val="00DF1623"/>
    <w:rsid w:val="00DF169B"/>
    <w:rsid w:val="00DF1754"/>
    <w:rsid w:val="00DF17FC"/>
    <w:rsid w:val="00DF185B"/>
    <w:rsid w:val="00DF1916"/>
    <w:rsid w:val="00DF1B99"/>
    <w:rsid w:val="00DF1BBD"/>
    <w:rsid w:val="00DF1BC4"/>
    <w:rsid w:val="00DF1C6D"/>
    <w:rsid w:val="00DF1F7F"/>
    <w:rsid w:val="00DF1FAA"/>
    <w:rsid w:val="00DF2071"/>
    <w:rsid w:val="00DF2075"/>
    <w:rsid w:val="00DF2079"/>
    <w:rsid w:val="00DF20EC"/>
    <w:rsid w:val="00DF21F4"/>
    <w:rsid w:val="00DF2232"/>
    <w:rsid w:val="00DF224E"/>
    <w:rsid w:val="00DF24D0"/>
    <w:rsid w:val="00DF25FC"/>
    <w:rsid w:val="00DF26A0"/>
    <w:rsid w:val="00DF272D"/>
    <w:rsid w:val="00DF27B3"/>
    <w:rsid w:val="00DF27BA"/>
    <w:rsid w:val="00DF2974"/>
    <w:rsid w:val="00DF2992"/>
    <w:rsid w:val="00DF2A02"/>
    <w:rsid w:val="00DF2C6B"/>
    <w:rsid w:val="00DF2CB3"/>
    <w:rsid w:val="00DF2D85"/>
    <w:rsid w:val="00DF2DCC"/>
    <w:rsid w:val="00DF2E2B"/>
    <w:rsid w:val="00DF342E"/>
    <w:rsid w:val="00DF348F"/>
    <w:rsid w:val="00DF3569"/>
    <w:rsid w:val="00DF365D"/>
    <w:rsid w:val="00DF3677"/>
    <w:rsid w:val="00DF37E1"/>
    <w:rsid w:val="00DF3897"/>
    <w:rsid w:val="00DF39EA"/>
    <w:rsid w:val="00DF3A2B"/>
    <w:rsid w:val="00DF3A52"/>
    <w:rsid w:val="00DF3C56"/>
    <w:rsid w:val="00DF3C58"/>
    <w:rsid w:val="00DF3E17"/>
    <w:rsid w:val="00DF3EC8"/>
    <w:rsid w:val="00DF3EF1"/>
    <w:rsid w:val="00DF40F2"/>
    <w:rsid w:val="00DF4344"/>
    <w:rsid w:val="00DF454C"/>
    <w:rsid w:val="00DF4645"/>
    <w:rsid w:val="00DF4737"/>
    <w:rsid w:val="00DF474B"/>
    <w:rsid w:val="00DF47D4"/>
    <w:rsid w:val="00DF47DB"/>
    <w:rsid w:val="00DF49F1"/>
    <w:rsid w:val="00DF4A19"/>
    <w:rsid w:val="00DF4B47"/>
    <w:rsid w:val="00DF4C19"/>
    <w:rsid w:val="00DF4CAC"/>
    <w:rsid w:val="00DF4CF0"/>
    <w:rsid w:val="00DF4D00"/>
    <w:rsid w:val="00DF4DAB"/>
    <w:rsid w:val="00DF4E73"/>
    <w:rsid w:val="00DF5138"/>
    <w:rsid w:val="00DF531D"/>
    <w:rsid w:val="00DF5418"/>
    <w:rsid w:val="00DF548B"/>
    <w:rsid w:val="00DF54B0"/>
    <w:rsid w:val="00DF54B8"/>
    <w:rsid w:val="00DF54C9"/>
    <w:rsid w:val="00DF5505"/>
    <w:rsid w:val="00DF562A"/>
    <w:rsid w:val="00DF56FB"/>
    <w:rsid w:val="00DF570C"/>
    <w:rsid w:val="00DF58F8"/>
    <w:rsid w:val="00DF59DA"/>
    <w:rsid w:val="00DF5A21"/>
    <w:rsid w:val="00DF5AAC"/>
    <w:rsid w:val="00DF5B5C"/>
    <w:rsid w:val="00DF5BA7"/>
    <w:rsid w:val="00DF5C99"/>
    <w:rsid w:val="00DF5CC1"/>
    <w:rsid w:val="00DF5DA2"/>
    <w:rsid w:val="00DF5EF8"/>
    <w:rsid w:val="00DF6009"/>
    <w:rsid w:val="00DF6037"/>
    <w:rsid w:val="00DF6132"/>
    <w:rsid w:val="00DF6246"/>
    <w:rsid w:val="00DF6264"/>
    <w:rsid w:val="00DF629C"/>
    <w:rsid w:val="00DF6314"/>
    <w:rsid w:val="00DF64F7"/>
    <w:rsid w:val="00DF65CC"/>
    <w:rsid w:val="00DF6657"/>
    <w:rsid w:val="00DF6851"/>
    <w:rsid w:val="00DF6CEC"/>
    <w:rsid w:val="00DF6DB5"/>
    <w:rsid w:val="00DF71D1"/>
    <w:rsid w:val="00DF72A1"/>
    <w:rsid w:val="00DF72F1"/>
    <w:rsid w:val="00DF7494"/>
    <w:rsid w:val="00DF7511"/>
    <w:rsid w:val="00DF786E"/>
    <w:rsid w:val="00DF7ABF"/>
    <w:rsid w:val="00DF7E4D"/>
    <w:rsid w:val="00DF7F05"/>
    <w:rsid w:val="00E000C7"/>
    <w:rsid w:val="00E00393"/>
    <w:rsid w:val="00E003E1"/>
    <w:rsid w:val="00E00711"/>
    <w:rsid w:val="00E00A67"/>
    <w:rsid w:val="00E00BA3"/>
    <w:rsid w:val="00E00CA2"/>
    <w:rsid w:val="00E00CE8"/>
    <w:rsid w:val="00E00D6B"/>
    <w:rsid w:val="00E00D6F"/>
    <w:rsid w:val="00E00E04"/>
    <w:rsid w:val="00E00E10"/>
    <w:rsid w:val="00E00F88"/>
    <w:rsid w:val="00E00FD4"/>
    <w:rsid w:val="00E010A4"/>
    <w:rsid w:val="00E010D1"/>
    <w:rsid w:val="00E01195"/>
    <w:rsid w:val="00E011AC"/>
    <w:rsid w:val="00E01371"/>
    <w:rsid w:val="00E015CA"/>
    <w:rsid w:val="00E0160F"/>
    <w:rsid w:val="00E01664"/>
    <w:rsid w:val="00E017FD"/>
    <w:rsid w:val="00E0192D"/>
    <w:rsid w:val="00E01A87"/>
    <w:rsid w:val="00E01B1C"/>
    <w:rsid w:val="00E01EEC"/>
    <w:rsid w:val="00E0212D"/>
    <w:rsid w:val="00E0214F"/>
    <w:rsid w:val="00E021E3"/>
    <w:rsid w:val="00E0229F"/>
    <w:rsid w:val="00E02381"/>
    <w:rsid w:val="00E0238C"/>
    <w:rsid w:val="00E025CA"/>
    <w:rsid w:val="00E02E32"/>
    <w:rsid w:val="00E02ECD"/>
    <w:rsid w:val="00E030B9"/>
    <w:rsid w:val="00E03144"/>
    <w:rsid w:val="00E031F1"/>
    <w:rsid w:val="00E032C0"/>
    <w:rsid w:val="00E032F2"/>
    <w:rsid w:val="00E033EF"/>
    <w:rsid w:val="00E0342F"/>
    <w:rsid w:val="00E03520"/>
    <w:rsid w:val="00E037CA"/>
    <w:rsid w:val="00E038A4"/>
    <w:rsid w:val="00E0396E"/>
    <w:rsid w:val="00E0397C"/>
    <w:rsid w:val="00E03B04"/>
    <w:rsid w:val="00E03BD6"/>
    <w:rsid w:val="00E03BD9"/>
    <w:rsid w:val="00E03F13"/>
    <w:rsid w:val="00E03FC3"/>
    <w:rsid w:val="00E0403E"/>
    <w:rsid w:val="00E04207"/>
    <w:rsid w:val="00E04220"/>
    <w:rsid w:val="00E04272"/>
    <w:rsid w:val="00E043E6"/>
    <w:rsid w:val="00E04578"/>
    <w:rsid w:val="00E045D3"/>
    <w:rsid w:val="00E047D9"/>
    <w:rsid w:val="00E047DD"/>
    <w:rsid w:val="00E04808"/>
    <w:rsid w:val="00E04962"/>
    <w:rsid w:val="00E049F7"/>
    <w:rsid w:val="00E04B83"/>
    <w:rsid w:val="00E04BAD"/>
    <w:rsid w:val="00E04C31"/>
    <w:rsid w:val="00E04C6A"/>
    <w:rsid w:val="00E04D68"/>
    <w:rsid w:val="00E04EAC"/>
    <w:rsid w:val="00E04F20"/>
    <w:rsid w:val="00E04F45"/>
    <w:rsid w:val="00E04F67"/>
    <w:rsid w:val="00E05010"/>
    <w:rsid w:val="00E05015"/>
    <w:rsid w:val="00E05164"/>
    <w:rsid w:val="00E051A8"/>
    <w:rsid w:val="00E05252"/>
    <w:rsid w:val="00E05256"/>
    <w:rsid w:val="00E05743"/>
    <w:rsid w:val="00E05A68"/>
    <w:rsid w:val="00E05B1F"/>
    <w:rsid w:val="00E05B2D"/>
    <w:rsid w:val="00E05BEB"/>
    <w:rsid w:val="00E05C78"/>
    <w:rsid w:val="00E05CB4"/>
    <w:rsid w:val="00E05E15"/>
    <w:rsid w:val="00E05E55"/>
    <w:rsid w:val="00E06233"/>
    <w:rsid w:val="00E062A1"/>
    <w:rsid w:val="00E06331"/>
    <w:rsid w:val="00E063FA"/>
    <w:rsid w:val="00E06B51"/>
    <w:rsid w:val="00E06B8A"/>
    <w:rsid w:val="00E06CC0"/>
    <w:rsid w:val="00E06D0F"/>
    <w:rsid w:val="00E06DE7"/>
    <w:rsid w:val="00E06E23"/>
    <w:rsid w:val="00E06F6A"/>
    <w:rsid w:val="00E06F78"/>
    <w:rsid w:val="00E0702E"/>
    <w:rsid w:val="00E071E3"/>
    <w:rsid w:val="00E0722B"/>
    <w:rsid w:val="00E07491"/>
    <w:rsid w:val="00E076B8"/>
    <w:rsid w:val="00E07945"/>
    <w:rsid w:val="00E07B0F"/>
    <w:rsid w:val="00E07B72"/>
    <w:rsid w:val="00E07C0E"/>
    <w:rsid w:val="00E07C9B"/>
    <w:rsid w:val="00E100FF"/>
    <w:rsid w:val="00E1019A"/>
    <w:rsid w:val="00E102A6"/>
    <w:rsid w:val="00E102D2"/>
    <w:rsid w:val="00E10305"/>
    <w:rsid w:val="00E10365"/>
    <w:rsid w:val="00E10372"/>
    <w:rsid w:val="00E10384"/>
    <w:rsid w:val="00E10495"/>
    <w:rsid w:val="00E10517"/>
    <w:rsid w:val="00E105DE"/>
    <w:rsid w:val="00E105E7"/>
    <w:rsid w:val="00E106AF"/>
    <w:rsid w:val="00E10975"/>
    <w:rsid w:val="00E109A2"/>
    <w:rsid w:val="00E10DE1"/>
    <w:rsid w:val="00E10DEC"/>
    <w:rsid w:val="00E10EA4"/>
    <w:rsid w:val="00E1102C"/>
    <w:rsid w:val="00E11064"/>
    <w:rsid w:val="00E11098"/>
    <w:rsid w:val="00E111D9"/>
    <w:rsid w:val="00E1123A"/>
    <w:rsid w:val="00E112CC"/>
    <w:rsid w:val="00E11364"/>
    <w:rsid w:val="00E113CC"/>
    <w:rsid w:val="00E113FA"/>
    <w:rsid w:val="00E115B8"/>
    <w:rsid w:val="00E11635"/>
    <w:rsid w:val="00E11725"/>
    <w:rsid w:val="00E11774"/>
    <w:rsid w:val="00E11968"/>
    <w:rsid w:val="00E11B0B"/>
    <w:rsid w:val="00E11BC7"/>
    <w:rsid w:val="00E11DD2"/>
    <w:rsid w:val="00E11F46"/>
    <w:rsid w:val="00E11FB6"/>
    <w:rsid w:val="00E1202A"/>
    <w:rsid w:val="00E12035"/>
    <w:rsid w:val="00E12197"/>
    <w:rsid w:val="00E1219B"/>
    <w:rsid w:val="00E1226E"/>
    <w:rsid w:val="00E122B5"/>
    <w:rsid w:val="00E123B0"/>
    <w:rsid w:val="00E12765"/>
    <w:rsid w:val="00E1287F"/>
    <w:rsid w:val="00E128E6"/>
    <w:rsid w:val="00E12C07"/>
    <w:rsid w:val="00E12D85"/>
    <w:rsid w:val="00E12EB6"/>
    <w:rsid w:val="00E13282"/>
    <w:rsid w:val="00E133AB"/>
    <w:rsid w:val="00E134B5"/>
    <w:rsid w:val="00E13540"/>
    <w:rsid w:val="00E13553"/>
    <w:rsid w:val="00E136DC"/>
    <w:rsid w:val="00E1392F"/>
    <w:rsid w:val="00E1393B"/>
    <w:rsid w:val="00E13987"/>
    <w:rsid w:val="00E13AB7"/>
    <w:rsid w:val="00E13AFB"/>
    <w:rsid w:val="00E13B84"/>
    <w:rsid w:val="00E13C81"/>
    <w:rsid w:val="00E13C89"/>
    <w:rsid w:val="00E13D5F"/>
    <w:rsid w:val="00E13F5E"/>
    <w:rsid w:val="00E14037"/>
    <w:rsid w:val="00E141F6"/>
    <w:rsid w:val="00E14224"/>
    <w:rsid w:val="00E14456"/>
    <w:rsid w:val="00E14711"/>
    <w:rsid w:val="00E14914"/>
    <w:rsid w:val="00E14A7A"/>
    <w:rsid w:val="00E14BE4"/>
    <w:rsid w:val="00E14C17"/>
    <w:rsid w:val="00E14C38"/>
    <w:rsid w:val="00E14D43"/>
    <w:rsid w:val="00E14EFC"/>
    <w:rsid w:val="00E14F0C"/>
    <w:rsid w:val="00E15104"/>
    <w:rsid w:val="00E152BE"/>
    <w:rsid w:val="00E1545D"/>
    <w:rsid w:val="00E154BE"/>
    <w:rsid w:val="00E154D4"/>
    <w:rsid w:val="00E15771"/>
    <w:rsid w:val="00E15876"/>
    <w:rsid w:val="00E1591F"/>
    <w:rsid w:val="00E15959"/>
    <w:rsid w:val="00E15B97"/>
    <w:rsid w:val="00E15D2E"/>
    <w:rsid w:val="00E15EDF"/>
    <w:rsid w:val="00E15F27"/>
    <w:rsid w:val="00E1623C"/>
    <w:rsid w:val="00E16416"/>
    <w:rsid w:val="00E165B7"/>
    <w:rsid w:val="00E165F0"/>
    <w:rsid w:val="00E16685"/>
    <w:rsid w:val="00E166A7"/>
    <w:rsid w:val="00E16C96"/>
    <w:rsid w:val="00E16CA8"/>
    <w:rsid w:val="00E16DFF"/>
    <w:rsid w:val="00E16EDB"/>
    <w:rsid w:val="00E16EF0"/>
    <w:rsid w:val="00E16F85"/>
    <w:rsid w:val="00E16FB6"/>
    <w:rsid w:val="00E170BF"/>
    <w:rsid w:val="00E17137"/>
    <w:rsid w:val="00E1727B"/>
    <w:rsid w:val="00E175A5"/>
    <w:rsid w:val="00E17638"/>
    <w:rsid w:val="00E17661"/>
    <w:rsid w:val="00E177DB"/>
    <w:rsid w:val="00E17814"/>
    <w:rsid w:val="00E178F0"/>
    <w:rsid w:val="00E17937"/>
    <w:rsid w:val="00E179B1"/>
    <w:rsid w:val="00E17B78"/>
    <w:rsid w:val="00E17B9F"/>
    <w:rsid w:val="00E17C2D"/>
    <w:rsid w:val="00E17E1D"/>
    <w:rsid w:val="00E20125"/>
    <w:rsid w:val="00E20209"/>
    <w:rsid w:val="00E202D3"/>
    <w:rsid w:val="00E2030D"/>
    <w:rsid w:val="00E20408"/>
    <w:rsid w:val="00E204AE"/>
    <w:rsid w:val="00E204DD"/>
    <w:rsid w:val="00E20510"/>
    <w:rsid w:val="00E2059F"/>
    <w:rsid w:val="00E205E4"/>
    <w:rsid w:val="00E20610"/>
    <w:rsid w:val="00E2074D"/>
    <w:rsid w:val="00E20896"/>
    <w:rsid w:val="00E2092D"/>
    <w:rsid w:val="00E20BDE"/>
    <w:rsid w:val="00E20E85"/>
    <w:rsid w:val="00E21046"/>
    <w:rsid w:val="00E210FB"/>
    <w:rsid w:val="00E21100"/>
    <w:rsid w:val="00E213E8"/>
    <w:rsid w:val="00E213F4"/>
    <w:rsid w:val="00E2157F"/>
    <w:rsid w:val="00E216A3"/>
    <w:rsid w:val="00E216A7"/>
    <w:rsid w:val="00E216EB"/>
    <w:rsid w:val="00E21870"/>
    <w:rsid w:val="00E2188C"/>
    <w:rsid w:val="00E218B3"/>
    <w:rsid w:val="00E21959"/>
    <w:rsid w:val="00E21966"/>
    <w:rsid w:val="00E21973"/>
    <w:rsid w:val="00E2197A"/>
    <w:rsid w:val="00E21A3E"/>
    <w:rsid w:val="00E21AF4"/>
    <w:rsid w:val="00E21B05"/>
    <w:rsid w:val="00E21E32"/>
    <w:rsid w:val="00E21EDA"/>
    <w:rsid w:val="00E22091"/>
    <w:rsid w:val="00E220BE"/>
    <w:rsid w:val="00E22196"/>
    <w:rsid w:val="00E2221E"/>
    <w:rsid w:val="00E223E5"/>
    <w:rsid w:val="00E2245D"/>
    <w:rsid w:val="00E2252B"/>
    <w:rsid w:val="00E226EE"/>
    <w:rsid w:val="00E228E4"/>
    <w:rsid w:val="00E228FB"/>
    <w:rsid w:val="00E22966"/>
    <w:rsid w:val="00E229AA"/>
    <w:rsid w:val="00E229DD"/>
    <w:rsid w:val="00E22A71"/>
    <w:rsid w:val="00E22AA4"/>
    <w:rsid w:val="00E22B15"/>
    <w:rsid w:val="00E22B68"/>
    <w:rsid w:val="00E22C93"/>
    <w:rsid w:val="00E22DD9"/>
    <w:rsid w:val="00E22F6B"/>
    <w:rsid w:val="00E22F81"/>
    <w:rsid w:val="00E23051"/>
    <w:rsid w:val="00E23133"/>
    <w:rsid w:val="00E2335A"/>
    <w:rsid w:val="00E2335E"/>
    <w:rsid w:val="00E233D1"/>
    <w:rsid w:val="00E234B9"/>
    <w:rsid w:val="00E236B7"/>
    <w:rsid w:val="00E238EC"/>
    <w:rsid w:val="00E239B0"/>
    <w:rsid w:val="00E23ABA"/>
    <w:rsid w:val="00E23D02"/>
    <w:rsid w:val="00E23DB5"/>
    <w:rsid w:val="00E23E4B"/>
    <w:rsid w:val="00E23F58"/>
    <w:rsid w:val="00E24396"/>
    <w:rsid w:val="00E24566"/>
    <w:rsid w:val="00E24668"/>
    <w:rsid w:val="00E24699"/>
    <w:rsid w:val="00E246EB"/>
    <w:rsid w:val="00E24875"/>
    <w:rsid w:val="00E2498F"/>
    <w:rsid w:val="00E24A48"/>
    <w:rsid w:val="00E24A4D"/>
    <w:rsid w:val="00E24A67"/>
    <w:rsid w:val="00E24AA7"/>
    <w:rsid w:val="00E24BFC"/>
    <w:rsid w:val="00E24CA5"/>
    <w:rsid w:val="00E24DBE"/>
    <w:rsid w:val="00E24E55"/>
    <w:rsid w:val="00E24F67"/>
    <w:rsid w:val="00E2504B"/>
    <w:rsid w:val="00E252B1"/>
    <w:rsid w:val="00E252BC"/>
    <w:rsid w:val="00E254F6"/>
    <w:rsid w:val="00E25547"/>
    <w:rsid w:val="00E25804"/>
    <w:rsid w:val="00E25937"/>
    <w:rsid w:val="00E25AD8"/>
    <w:rsid w:val="00E25ADD"/>
    <w:rsid w:val="00E25B89"/>
    <w:rsid w:val="00E25E06"/>
    <w:rsid w:val="00E25F0F"/>
    <w:rsid w:val="00E25F41"/>
    <w:rsid w:val="00E2617C"/>
    <w:rsid w:val="00E262E8"/>
    <w:rsid w:val="00E2638B"/>
    <w:rsid w:val="00E2639E"/>
    <w:rsid w:val="00E263D3"/>
    <w:rsid w:val="00E26416"/>
    <w:rsid w:val="00E264FB"/>
    <w:rsid w:val="00E26788"/>
    <w:rsid w:val="00E26B85"/>
    <w:rsid w:val="00E26C9E"/>
    <w:rsid w:val="00E26D51"/>
    <w:rsid w:val="00E26D6C"/>
    <w:rsid w:val="00E270C6"/>
    <w:rsid w:val="00E271A8"/>
    <w:rsid w:val="00E2729A"/>
    <w:rsid w:val="00E275F8"/>
    <w:rsid w:val="00E27708"/>
    <w:rsid w:val="00E2777D"/>
    <w:rsid w:val="00E27807"/>
    <w:rsid w:val="00E27974"/>
    <w:rsid w:val="00E27B0D"/>
    <w:rsid w:val="00E27BD3"/>
    <w:rsid w:val="00E27D16"/>
    <w:rsid w:val="00E27E33"/>
    <w:rsid w:val="00E27E97"/>
    <w:rsid w:val="00E27FC4"/>
    <w:rsid w:val="00E27FDA"/>
    <w:rsid w:val="00E300A2"/>
    <w:rsid w:val="00E30147"/>
    <w:rsid w:val="00E301D3"/>
    <w:rsid w:val="00E3023B"/>
    <w:rsid w:val="00E302D6"/>
    <w:rsid w:val="00E30427"/>
    <w:rsid w:val="00E304B7"/>
    <w:rsid w:val="00E30821"/>
    <w:rsid w:val="00E308AD"/>
    <w:rsid w:val="00E308CE"/>
    <w:rsid w:val="00E308E4"/>
    <w:rsid w:val="00E309A3"/>
    <w:rsid w:val="00E30A1B"/>
    <w:rsid w:val="00E30B6C"/>
    <w:rsid w:val="00E30D4C"/>
    <w:rsid w:val="00E30E4A"/>
    <w:rsid w:val="00E30E68"/>
    <w:rsid w:val="00E311CB"/>
    <w:rsid w:val="00E31315"/>
    <w:rsid w:val="00E315E7"/>
    <w:rsid w:val="00E3170A"/>
    <w:rsid w:val="00E319F8"/>
    <w:rsid w:val="00E31A18"/>
    <w:rsid w:val="00E31AD2"/>
    <w:rsid w:val="00E31B42"/>
    <w:rsid w:val="00E31D03"/>
    <w:rsid w:val="00E31D21"/>
    <w:rsid w:val="00E31E89"/>
    <w:rsid w:val="00E31F66"/>
    <w:rsid w:val="00E3205F"/>
    <w:rsid w:val="00E320CD"/>
    <w:rsid w:val="00E3229A"/>
    <w:rsid w:val="00E3238D"/>
    <w:rsid w:val="00E3263C"/>
    <w:rsid w:val="00E326EA"/>
    <w:rsid w:val="00E329DD"/>
    <w:rsid w:val="00E32A67"/>
    <w:rsid w:val="00E32A8D"/>
    <w:rsid w:val="00E32AC6"/>
    <w:rsid w:val="00E32B10"/>
    <w:rsid w:val="00E32B8A"/>
    <w:rsid w:val="00E32BF2"/>
    <w:rsid w:val="00E32D8F"/>
    <w:rsid w:val="00E32E40"/>
    <w:rsid w:val="00E32F88"/>
    <w:rsid w:val="00E33083"/>
    <w:rsid w:val="00E33222"/>
    <w:rsid w:val="00E33568"/>
    <w:rsid w:val="00E3379F"/>
    <w:rsid w:val="00E33846"/>
    <w:rsid w:val="00E33967"/>
    <w:rsid w:val="00E33A11"/>
    <w:rsid w:val="00E33A29"/>
    <w:rsid w:val="00E33C19"/>
    <w:rsid w:val="00E33D45"/>
    <w:rsid w:val="00E33D5A"/>
    <w:rsid w:val="00E33E08"/>
    <w:rsid w:val="00E33E59"/>
    <w:rsid w:val="00E3413B"/>
    <w:rsid w:val="00E34519"/>
    <w:rsid w:val="00E346E7"/>
    <w:rsid w:val="00E347F0"/>
    <w:rsid w:val="00E34815"/>
    <w:rsid w:val="00E349E2"/>
    <w:rsid w:val="00E34A88"/>
    <w:rsid w:val="00E34A89"/>
    <w:rsid w:val="00E34C9C"/>
    <w:rsid w:val="00E34F3F"/>
    <w:rsid w:val="00E35102"/>
    <w:rsid w:val="00E35696"/>
    <w:rsid w:val="00E356D8"/>
    <w:rsid w:val="00E35856"/>
    <w:rsid w:val="00E359F3"/>
    <w:rsid w:val="00E35B0B"/>
    <w:rsid w:val="00E35B88"/>
    <w:rsid w:val="00E35C96"/>
    <w:rsid w:val="00E360C3"/>
    <w:rsid w:val="00E36148"/>
    <w:rsid w:val="00E362CF"/>
    <w:rsid w:val="00E3638A"/>
    <w:rsid w:val="00E36513"/>
    <w:rsid w:val="00E36566"/>
    <w:rsid w:val="00E365EB"/>
    <w:rsid w:val="00E36728"/>
    <w:rsid w:val="00E3686A"/>
    <w:rsid w:val="00E36E85"/>
    <w:rsid w:val="00E3714C"/>
    <w:rsid w:val="00E3719C"/>
    <w:rsid w:val="00E372C6"/>
    <w:rsid w:val="00E372DD"/>
    <w:rsid w:val="00E3786B"/>
    <w:rsid w:val="00E378C5"/>
    <w:rsid w:val="00E379CA"/>
    <w:rsid w:val="00E37A3C"/>
    <w:rsid w:val="00E37B98"/>
    <w:rsid w:val="00E37BB0"/>
    <w:rsid w:val="00E37BBC"/>
    <w:rsid w:val="00E37CC0"/>
    <w:rsid w:val="00E37D04"/>
    <w:rsid w:val="00E37DBA"/>
    <w:rsid w:val="00E37DC1"/>
    <w:rsid w:val="00E37E28"/>
    <w:rsid w:val="00E37F48"/>
    <w:rsid w:val="00E37F53"/>
    <w:rsid w:val="00E400DC"/>
    <w:rsid w:val="00E40275"/>
    <w:rsid w:val="00E402A2"/>
    <w:rsid w:val="00E40429"/>
    <w:rsid w:val="00E405DD"/>
    <w:rsid w:val="00E4063C"/>
    <w:rsid w:val="00E4063D"/>
    <w:rsid w:val="00E4086C"/>
    <w:rsid w:val="00E40A34"/>
    <w:rsid w:val="00E40B59"/>
    <w:rsid w:val="00E40B7B"/>
    <w:rsid w:val="00E40CAC"/>
    <w:rsid w:val="00E40D34"/>
    <w:rsid w:val="00E40F08"/>
    <w:rsid w:val="00E40FD5"/>
    <w:rsid w:val="00E40FEA"/>
    <w:rsid w:val="00E41077"/>
    <w:rsid w:val="00E4113F"/>
    <w:rsid w:val="00E413D0"/>
    <w:rsid w:val="00E41512"/>
    <w:rsid w:val="00E415AE"/>
    <w:rsid w:val="00E4166E"/>
    <w:rsid w:val="00E4166F"/>
    <w:rsid w:val="00E41761"/>
    <w:rsid w:val="00E417EC"/>
    <w:rsid w:val="00E41B5B"/>
    <w:rsid w:val="00E41CFC"/>
    <w:rsid w:val="00E41ECC"/>
    <w:rsid w:val="00E41ECF"/>
    <w:rsid w:val="00E41F96"/>
    <w:rsid w:val="00E41FA2"/>
    <w:rsid w:val="00E420A1"/>
    <w:rsid w:val="00E4217E"/>
    <w:rsid w:val="00E421E6"/>
    <w:rsid w:val="00E4221B"/>
    <w:rsid w:val="00E422D4"/>
    <w:rsid w:val="00E42421"/>
    <w:rsid w:val="00E42561"/>
    <w:rsid w:val="00E425C8"/>
    <w:rsid w:val="00E4260F"/>
    <w:rsid w:val="00E42825"/>
    <w:rsid w:val="00E42A13"/>
    <w:rsid w:val="00E42BFF"/>
    <w:rsid w:val="00E42F7A"/>
    <w:rsid w:val="00E4301F"/>
    <w:rsid w:val="00E43076"/>
    <w:rsid w:val="00E43112"/>
    <w:rsid w:val="00E433A0"/>
    <w:rsid w:val="00E433D9"/>
    <w:rsid w:val="00E435B5"/>
    <w:rsid w:val="00E43715"/>
    <w:rsid w:val="00E4376F"/>
    <w:rsid w:val="00E43ACD"/>
    <w:rsid w:val="00E43BFD"/>
    <w:rsid w:val="00E43C01"/>
    <w:rsid w:val="00E43C08"/>
    <w:rsid w:val="00E43C91"/>
    <w:rsid w:val="00E43D53"/>
    <w:rsid w:val="00E43FD8"/>
    <w:rsid w:val="00E44065"/>
    <w:rsid w:val="00E4410A"/>
    <w:rsid w:val="00E443B3"/>
    <w:rsid w:val="00E443D0"/>
    <w:rsid w:val="00E4445E"/>
    <w:rsid w:val="00E445B5"/>
    <w:rsid w:val="00E44691"/>
    <w:rsid w:val="00E44779"/>
    <w:rsid w:val="00E448F4"/>
    <w:rsid w:val="00E44B58"/>
    <w:rsid w:val="00E44C78"/>
    <w:rsid w:val="00E44EC5"/>
    <w:rsid w:val="00E45040"/>
    <w:rsid w:val="00E4506B"/>
    <w:rsid w:val="00E45179"/>
    <w:rsid w:val="00E451AE"/>
    <w:rsid w:val="00E451E5"/>
    <w:rsid w:val="00E45372"/>
    <w:rsid w:val="00E4540A"/>
    <w:rsid w:val="00E4549E"/>
    <w:rsid w:val="00E455B6"/>
    <w:rsid w:val="00E45642"/>
    <w:rsid w:val="00E4566E"/>
    <w:rsid w:val="00E45705"/>
    <w:rsid w:val="00E458C0"/>
    <w:rsid w:val="00E45A50"/>
    <w:rsid w:val="00E45B00"/>
    <w:rsid w:val="00E45E41"/>
    <w:rsid w:val="00E45E5E"/>
    <w:rsid w:val="00E460D3"/>
    <w:rsid w:val="00E460E2"/>
    <w:rsid w:val="00E4647E"/>
    <w:rsid w:val="00E46553"/>
    <w:rsid w:val="00E465C6"/>
    <w:rsid w:val="00E4676C"/>
    <w:rsid w:val="00E46841"/>
    <w:rsid w:val="00E468BC"/>
    <w:rsid w:val="00E46967"/>
    <w:rsid w:val="00E46C47"/>
    <w:rsid w:val="00E47021"/>
    <w:rsid w:val="00E47153"/>
    <w:rsid w:val="00E4715E"/>
    <w:rsid w:val="00E47260"/>
    <w:rsid w:val="00E47317"/>
    <w:rsid w:val="00E47694"/>
    <w:rsid w:val="00E47743"/>
    <w:rsid w:val="00E47934"/>
    <w:rsid w:val="00E47935"/>
    <w:rsid w:val="00E47EF1"/>
    <w:rsid w:val="00E47FF2"/>
    <w:rsid w:val="00E5003E"/>
    <w:rsid w:val="00E5003F"/>
    <w:rsid w:val="00E50368"/>
    <w:rsid w:val="00E50416"/>
    <w:rsid w:val="00E504AA"/>
    <w:rsid w:val="00E50554"/>
    <w:rsid w:val="00E50573"/>
    <w:rsid w:val="00E505CE"/>
    <w:rsid w:val="00E505D6"/>
    <w:rsid w:val="00E5068E"/>
    <w:rsid w:val="00E50716"/>
    <w:rsid w:val="00E507F4"/>
    <w:rsid w:val="00E50812"/>
    <w:rsid w:val="00E50854"/>
    <w:rsid w:val="00E509C1"/>
    <w:rsid w:val="00E50A0F"/>
    <w:rsid w:val="00E50A97"/>
    <w:rsid w:val="00E50B8B"/>
    <w:rsid w:val="00E50C0E"/>
    <w:rsid w:val="00E50C5A"/>
    <w:rsid w:val="00E50CE9"/>
    <w:rsid w:val="00E50D25"/>
    <w:rsid w:val="00E50E80"/>
    <w:rsid w:val="00E51099"/>
    <w:rsid w:val="00E51307"/>
    <w:rsid w:val="00E51341"/>
    <w:rsid w:val="00E5134D"/>
    <w:rsid w:val="00E513EA"/>
    <w:rsid w:val="00E51402"/>
    <w:rsid w:val="00E5152E"/>
    <w:rsid w:val="00E515A3"/>
    <w:rsid w:val="00E515DD"/>
    <w:rsid w:val="00E515FB"/>
    <w:rsid w:val="00E51684"/>
    <w:rsid w:val="00E5183B"/>
    <w:rsid w:val="00E51878"/>
    <w:rsid w:val="00E51A6F"/>
    <w:rsid w:val="00E51A92"/>
    <w:rsid w:val="00E51BBC"/>
    <w:rsid w:val="00E51C0C"/>
    <w:rsid w:val="00E51D03"/>
    <w:rsid w:val="00E51FE8"/>
    <w:rsid w:val="00E5201D"/>
    <w:rsid w:val="00E520A2"/>
    <w:rsid w:val="00E52132"/>
    <w:rsid w:val="00E522CF"/>
    <w:rsid w:val="00E52812"/>
    <w:rsid w:val="00E529F8"/>
    <w:rsid w:val="00E52A96"/>
    <w:rsid w:val="00E52AB1"/>
    <w:rsid w:val="00E52B1E"/>
    <w:rsid w:val="00E52C40"/>
    <w:rsid w:val="00E52D83"/>
    <w:rsid w:val="00E52E86"/>
    <w:rsid w:val="00E52F14"/>
    <w:rsid w:val="00E52FD9"/>
    <w:rsid w:val="00E52FE7"/>
    <w:rsid w:val="00E5303B"/>
    <w:rsid w:val="00E5304B"/>
    <w:rsid w:val="00E530AF"/>
    <w:rsid w:val="00E531B5"/>
    <w:rsid w:val="00E53217"/>
    <w:rsid w:val="00E5347B"/>
    <w:rsid w:val="00E538D0"/>
    <w:rsid w:val="00E538F0"/>
    <w:rsid w:val="00E539C7"/>
    <w:rsid w:val="00E539EE"/>
    <w:rsid w:val="00E53A59"/>
    <w:rsid w:val="00E53CF3"/>
    <w:rsid w:val="00E53DB4"/>
    <w:rsid w:val="00E53E3C"/>
    <w:rsid w:val="00E5402C"/>
    <w:rsid w:val="00E5409C"/>
    <w:rsid w:val="00E540A8"/>
    <w:rsid w:val="00E5417D"/>
    <w:rsid w:val="00E54425"/>
    <w:rsid w:val="00E54526"/>
    <w:rsid w:val="00E54851"/>
    <w:rsid w:val="00E5485B"/>
    <w:rsid w:val="00E548B0"/>
    <w:rsid w:val="00E548BD"/>
    <w:rsid w:val="00E549A5"/>
    <w:rsid w:val="00E54A7E"/>
    <w:rsid w:val="00E54B89"/>
    <w:rsid w:val="00E54BB8"/>
    <w:rsid w:val="00E54C9D"/>
    <w:rsid w:val="00E54CCB"/>
    <w:rsid w:val="00E54F09"/>
    <w:rsid w:val="00E54F36"/>
    <w:rsid w:val="00E55027"/>
    <w:rsid w:val="00E55352"/>
    <w:rsid w:val="00E55389"/>
    <w:rsid w:val="00E55427"/>
    <w:rsid w:val="00E55497"/>
    <w:rsid w:val="00E55619"/>
    <w:rsid w:val="00E558C6"/>
    <w:rsid w:val="00E55937"/>
    <w:rsid w:val="00E55B5C"/>
    <w:rsid w:val="00E55C1F"/>
    <w:rsid w:val="00E55CE1"/>
    <w:rsid w:val="00E55D6B"/>
    <w:rsid w:val="00E55D8E"/>
    <w:rsid w:val="00E55E8C"/>
    <w:rsid w:val="00E55F5A"/>
    <w:rsid w:val="00E56065"/>
    <w:rsid w:val="00E566DB"/>
    <w:rsid w:val="00E56795"/>
    <w:rsid w:val="00E56829"/>
    <w:rsid w:val="00E56A42"/>
    <w:rsid w:val="00E56ADF"/>
    <w:rsid w:val="00E56BA1"/>
    <w:rsid w:val="00E56C2D"/>
    <w:rsid w:val="00E56C5F"/>
    <w:rsid w:val="00E56CB3"/>
    <w:rsid w:val="00E56E27"/>
    <w:rsid w:val="00E572B4"/>
    <w:rsid w:val="00E572D7"/>
    <w:rsid w:val="00E5732B"/>
    <w:rsid w:val="00E574A9"/>
    <w:rsid w:val="00E5756C"/>
    <w:rsid w:val="00E575EA"/>
    <w:rsid w:val="00E577BF"/>
    <w:rsid w:val="00E577CC"/>
    <w:rsid w:val="00E5782C"/>
    <w:rsid w:val="00E57869"/>
    <w:rsid w:val="00E5797F"/>
    <w:rsid w:val="00E5798C"/>
    <w:rsid w:val="00E57A6F"/>
    <w:rsid w:val="00E57DD8"/>
    <w:rsid w:val="00E601DA"/>
    <w:rsid w:val="00E60440"/>
    <w:rsid w:val="00E6050D"/>
    <w:rsid w:val="00E6069C"/>
    <w:rsid w:val="00E60779"/>
    <w:rsid w:val="00E6093C"/>
    <w:rsid w:val="00E6098D"/>
    <w:rsid w:val="00E609CF"/>
    <w:rsid w:val="00E60BF2"/>
    <w:rsid w:val="00E60C22"/>
    <w:rsid w:val="00E60C6D"/>
    <w:rsid w:val="00E60C78"/>
    <w:rsid w:val="00E60DD6"/>
    <w:rsid w:val="00E60F9F"/>
    <w:rsid w:val="00E6106D"/>
    <w:rsid w:val="00E610BF"/>
    <w:rsid w:val="00E612BF"/>
    <w:rsid w:val="00E61428"/>
    <w:rsid w:val="00E614AC"/>
    <w:rsid w:val="00E61549"/>
    <w:rsid w:val="00E61765"/>
    <w:rsid w:val="00E61779"/>
    <w:rsid w:val="00E61788"/>
    <w:rsid w:val="00E61835"/>
    <w:rsid w:val="00E61955"/>
    <w:rsid w:val="00E61972"/>
    <w:rsid w:val="00E619CF"/>
    <w:rsid w:val="00E61A43"/>
    <w:rsid w:val="00E61B73"/>
    <w:rsid w:val="00E61CCF"/>
    <w:rsid w:val="00E61F1C"/>
    <w:rsid w:val="00E61F40"/>
    <w:rsid w:val="00E6232E"/>
    <w:rsid w:val="00E623FC"/>
    <w:rsid w:val="00E62571"/>
    <w:rsid w:val="00E6278C"/>
    <w:rsid w:val="00E62882"/>
    <w:rsid w:val="00E62927"/>
    <w:rsid w:val="00E6298C"/>
    <w:rsid w:val="00E62B34"/>
    <w:rsid w:val="00E62C49"/>
    <w:rsid w:val="00E62D05"/>
    <w:rsid w:val="00E6303E"/>
    <w:rsid w:val="00E63346"/>
    <w:rsid w:val="00E6337C"/>
    <w:rsid w:val="00E635E5"/>
    <w:rsid w:val="00E63646"/>
    <w:rsid w:val="00E63681"/>
    <w:rsid w:val="00E6375A"/>
    <w:rsid w:val="00E638B8"/>
    <w:rsid w:val="00E638F3"/>
    <w:rsid w:val="00E639B8"/>
    <w:rsid w:val="00E639BD"/>
    <w:rsid w:val="00E63AF7"/>
    <w:rsid w:val="00E63C1A"/>
    <w:rsid w:val="00E64168"/>
    <w:rsid w:val="00E6416E"/>
    <w:rsid w:val="00E641E0"/>
    <w:rsid w:val="00E64243"/>
    <w:rsid w:val="00E64284"/>
    <w:rsid w:val="00E64345"/>
    <w:rsid w:val="00E644F4"/>
    <w:rsid w:val="00E6459A"/>
    <w:rsid w:val="00E648D3"/>
    <w:rsid w:val="00E64985"/>
    <w:rsid w:val="00E64A4A"/>
    <w:rsid w:val="00E64C19"/>
    <w:rsid w:val="00E64CE4"/>
    <w:rsid w:val="00E64D0F"/>
    <w:rsid w:val="00E64DB3"/>
    <w:rsid w:val="00E64DD0"/>
    <w:rsid w:val="00E64E63"/>
    <w:rsid w:val="00E65049"/>
    <w:rsid w:val="00E651F9"/>
    <w:rsid w:val="00E6523F"/>
    <w:rsid w:val="00E652E2"/>
    <w:rsid w:val="00E65379"/>
    <w:rsid w:val="00E653FC"/>
    <w:rsid w:val="00E657A6"/>
    <w:rsid w:val="00E6587E"/>
    <w:rsid w:val="00E658A6"/>
    <w:rsid w:val="00E6591E"/>
    <w:rsid w:val="00E65A75"/>
    <w:rsid w:val="00E65C97"/>
    <w:rsid w:val="00E65CD7"/>
    <w:rsid w:val="00E65E10"/>
    <w:rsid w:val="00E65E82"/>
    <w:rsid w:val="00E65EE0"/>
    <w:rsid w:val="00E65F32"/>
    <w:rsid w:val="00E65F9E"/>
    <w:rsid w:val="00E661EC"/>
    <w:rsid w:val="00E6622F"/>
    <w:rsid w:val="00E6626C"/>
    <w:rsid w:val="00E66304"/>
    <w:rsid w:val="00E6637F"/>
    <w:rsid w:val="00E663AD"/>
    <w:rsid w:val="00E6685F"/>
    <w:rsid w:val="00E66899"/>
    <w:rsid w:val="00E66BE1"/>
    <w:rsid w:val="00E66C51"/>
    <w:rsid w:val="00E66D15"/>
    <w:rsid w:val="00E66DBF"/>
    <w:rsid w:val="00E66E01"/>
    <w:rsid w:val="00E66E07"/>
    <w:rsid w:val="00E66EA1"/>
    <w:rsid w:val="00E66F64"/>
    <w:rsid w:val="00E67029"/>
    <w:rsid w:val="00E67039"/>
    <w:rsid w:val="00E6705A"/>
    <w:rsid w:val="00E67091"/>
    <w:rsid w:val="00E67097"/>
    <w:rsid w:val="00E6709C"/>
    <w:rsid w:val="00E67123"/>
    <w:rsid w:val="00E672BA"/>
    <w:rsid w:val="00E673AC"/>
    <w:rsid w:val="00E674DA"/>
    <w:rsid w:val="00E6757F"/>
    <w:rsid w:val="00E67788"/>
    <w:rsid w:val="00E678C7"/>
    <w:rsid w:val="00E678FF"/>
    <w:rsid w:val="00E67970"/>
    <w:rsid w:val="00E67A20"/>
    <w:rsid w:val="00E67BA6"/>
    <w:rsid w:val="00E67C38"/>
    <w:rsid w:val="00E67C7C"/>
    <w:rsid w:val="00E67CBA"/>
    <w:rsid w:val="00E67CE1"/>
    <w:rsid w:val="00E70008"/>
    <w:rsid w:val="00E70330"/>
    <w:rsid w:val="00E70349"/>
    <w:rsid w:val="00E7041D"/>
    <w:rsid w:val="00E7043D"/>
    <w:rsid w:val="00E705A8"/>
    <w:rsid w:val="00E70603"/>
    <w:rsid w:val="00E70679"/>
    <w:rsid w:val="00E7088B"/>
    <w:rsid w:val="00E708C5"/>
    <w:rsid w:val="00E70A90"/>
    <w:rsid w:val="00E70A9B"/>
    <w:rsid w:val="00E70B37"/>
    <w:rsid w:val="00E70B43"/>
    <w:rsid w:val="00E70BE7"/>
    <w:rsid w:val="00E70C2F"/>
    <w:rsid w:val="00E70CD0"/>
    <w:rsid w:val="00E70DE7"/>
    <w:rsid w:val="00E70E61"/>
    <w:rsid w:val="00E70F58"/>
    <w:rsid w:val="00E71065"/>
    <w:rsid w:val="00E711A1"/>
    <w:rsid w:val="00E711C0"/>
    <w:rsid w:val="00E712B8"/>
    <w:rsid w:val="00E7136A"/>
    <w:rsid w:val="00E714A7"/>
    <w:rsid w:val="00E714EC"/>
    <w:rsid w:val="00E71517"/>
    <w:rsid w:val="00E71561"/>
    <w:rsid w:val="00E71652"/>
    <w:rsid w:val="00E7177C"/>
    <w:rsid w:val="00E717F5"/>
    <w:rsid w:val="00E71837"/>
    <w:rsid w:val="00E71C30"/>
    <w:rsid w:val="00E71CD1"/>
    <w:rsid w:val="00E71DB9"/>
    <w:rsid w:val="00E72117"/>
    <w:rsid w:val="00E726E1"/>
    <w:rsid w:val="00E7283D"/>
    <w:rsid w:val="00E728AB"/>
    <w:rsid w:val="00E728AC"/>
    <w:rsid w:val="00E728C1"/>
    <w:rsid w:val="00E72ADF"/>
    <w:rsid w:val="00E72B11"/>
    <w:rsid w:val="00E72B8D"/>
    <w:rsid w:val="00E72C79"/>
    <w:rsid w:val="00E72CAB"/>
    <w:rsid w:val="00E72CD0"/>
    <w:rsid w:val="00E72D24"/>
    <w:rsid w:val="00E72D51"/>
    <w:rsid w:val="00E72D53"/>
    <w:rsid w:val="00E72F08"/>
    <w:rsid w:val="00E72F3D"/>
    <w:rsid w:val="00E731A0"/>
    <w:rsid w:val="00E73291"/>
    <w:rsid w:val="00E73324"/>
    <w:rsid w:val="00E73568"/>
    <w:rsid w:val="00E735EE"/>
    <w:rsid w:val="00E73664"/>
    <w:rsid w:val="00E736D4"/>
    <w:rsid w:val="00E738F3"/>
    <w:rsid w:val="00E73934"/>
    <w:rsid w:val="00E73A6C"/>
    <w:rsid w:val="00E73B00"/>
    <w:rsid w:val="00E73B7A"/>
    <w:rsid w:val="00E73C2B"/>
    <w:rsid w:val="00E73C43"/>
    <w:rsid w:val="00E73F65"/>
    <w:rsid w:val="00E73FC6"/>
    <w:rsid w:val="00E740A8"/>
    <w:rsid w:val="00E74135"/>
    <w:rsid w:val="00E74269"/>
    <w:rsid w:val="00E743B5"/>
    <w:rsid w:val="00E74576"/>
    <w:rsid w:val="00E745D1"/>
    <w:rsid w:val="00E74680"/>
    <w:rsid w:val="00E74855"/>
    <w:rsid w:val="00E748B1"/>
    <w:rsid w:val="00E748ED"/>
    <w:rsid w:val="00E74A2B"/>
    <w:rsid w:val="00E74AD3"/>
    <w:rsid w:val="00E74B53"/>
    <w:rsid w:val="00E74B82"/>
    <w:rsid w:val="00E74B9F"/>
    <w:rsid w:val="00E74C7C"/>
    <w:rsid w:val="00E74C8C"/>
    <w:rsid w:val="00E74DB3"/>
    <w:rsid w:val="00E74DF9"/>
    <w:rsid w:val="00E74E35"/>
    <w:rsid w:val="00E74E5C"/>
    <w:rsid w:val="00E74ED0"/>
    <w:rsid w:val="00E74EF6"/>
    <w:rsid w:val="00E74F2C"/>
    <w:rsid w:val="00E74F5D"/>
    <w:rsid w:val="00E75195"/>
    <w:rsid w:val="00E7522C"/>
    <w:rsid w:val="00E75242"/>
    <w:rsid w:val="00E75248"/>
    <w:rsid w:val="00E75280"/>
    <w:rsid w:val="00E75469"/>
    <w:rsid w:val="00E75562"/>
    <w:rsid w:val="00E7557C"/>
    <w:rsid w:val="00E755CE"/>
    <w:rsid w:val="00E756D8"/>
    <w:rsid w:val="00E756EF"/>
    <w:rsid w:val="00E75761"/>
    <w:rsid w:val="00E75869"/>
    <w:rsid w:val="00E75971"/>
    <w:rsid w:val="00E75A77"/>
    <w:rsid w:val="00E75A7A"/>
    <w:rsid w:val="00E75B0D"/>
    <w:rsid w:val="00E75C9A"/>
    <w:rsid w:val="00E75FFD"/>
    <w:rsid w:val="00E760D8"/>
    <w:rsid w:val="00E76250"/>
    <w:rsid w:val="00E7638B"/>
    <w:rsid w:val="00E76516"/>
    <w:rsid w:val="00E76590"/>
    <w:rsid w:val="00E765F6"/>
    <w:rsid w:val="00E7660D"/>
    <w:rsid w:val="00E76628"/>
    <w:rsid w:val="00E769C2"/>
    <w:rsid w:val="00E76AE8"/>
    <w:rsid w:val="00E76B65"/>
    <w:rsid w:val="00E76BEF"/>
    <w:rsid w:val="00E76DD9"/>
    <w:rsid w:val="00E76E20"/>
    <w:rsid w:val="00E76E71"/>
    <w:rsid w:val="00E76E92"/>
    <w:rsid w:val="00E76F55"/>
    <w:rsid w:val="00E77099"/>
    <w:rsid w:val="00E770A9"/>
    <w:rsid w:val="00E77283"/>
    <w:rsid w:val="00E7749A"/>
    <w:rsid w:val="00E77568"/>
    <w:rsid w:val="00E775BF"/>
    <w:rsid w:val="00E775FF"/>
    <w:rsid w:val="00E77705"/>
    <w:rsid w:val="00E7773D"/>
    <w:rsid w:val="00E77815"/>
    <w:rsid w:val="00E778B7"/>
    <w:rsid w:val="00E77B77"/>
    <w:rsid w:val="00E77CE9"/>
    <w:rsid w:val="00E77E77"/>
    <w:rsid w:val="00E800BC"/>
    <w:rsid w:val="00E80243"/>
    <w:rsid w:val="00E80318"/>
    <w:rsid w:val="00E80359"/>
    <w:rsid w:val="00E803A1"/>
    <w:rsid w:val="00E803B2"/>
    <w:rsid w:val="00E803D3"/>
    <w:rsid w:val="00E803E0"/>
    <w:rsid w:val="00E8049B"/>
    <w:rsid w:val="00E805A0"/>
    <w:rsid w:val="00E8065C"/>
    <w:rsid w:val="00E806BC"/>
    <w:rsid w:val="00E8092E"/>
    <w:rsid w:val="00E8095C"/>
    <w:rsid w:val="00E80A16"/>
    <w:rsid w:val="00E80AE0"/>
    <w:rsid w:val="00E80B7C"/>
    <w:rsid w:val="00E80D2F"/>
    <w:rsid w:val="00E80D6A"/>
    <w:rsid w:val="00E80D79"/>
    <w:rsid w:val="00E81391"/>
    <w:rsid w:val="00E81445"/>
    <w:rsid w:val="00E81502"/>
    <w:rsid w:val="00E81517"/>
    <w:rsid w:val="00E81746"/>
    <w:rsid w:val="00E81856"/>
    <w:rsid w:val="00E818AF"/>
    <w:rsid w:val="00E81993"/>
    <w:rsid w:val="00E819C9"/>
    <w:rsid w:val="00E81A00"/>
    <w:rsid w:val="00E81D95"/>
    <w:rsid w:val="00E81E10"/>
    <w:rsid w:val="00E81EE0"/>
    <w:rsid w:val="00E81FE2"/>
    <w:rsid w:val="00E82165"/>
    <w:rsid w:val="00E82192"/>
    <w:rsid w:val="00E82215"/>
    <w:rsid w:val="00E82379"/>
    <w:rsid w:val="00E82571"/>
    <w:rsid w:val="00E82652"/>
    <w:rsid w:val="00E826EE"/>
    <w:rsid w:val="00E827ED"/>
    <w:rsid w:val="00E82889"/>
    <w:rsid w:val="00E8293F"/>
    <w:rsid w:val="00E82988"/>
    <w:rsid w:val="00E82B0B"/>
    <w:rsid w:val="00E82FE5"/>
    <w:rsid w:val="00E82FEF"/>
    <w:rsid w:val="00E830B5"/>
    <w:rsid w:val="00E83350"/>
    <w:rsid w:val="00E83357"/>
    <w:rsid w:val="00E833B1"/>
    <w:rsid w:val="00E835BD"/>
    <w:rsid w:val="00E83882"/>
    <w:rsid w:val="00E83982"/>
    <w:rsid w:val="00E83990"/>
    <w:rsid w:val="00E839E4"/>
    <w:rsid w:val="00E83A6F"/>
    <w:rsid w:val="00E83A8D"/>
    <w:rsid w:val="00E83AC6"/>
    <w:rsid w:val="00E83DFC"/>
    <w:rsid w:val="00E83E0D"/>
    <w:rsid w:val="00E840A7"/>
    <w:rsid w:val="00E84121"/>
    <w:rsid w:val="00E8414F"/>
    <w:rsid w:val="00E84207"/>
    <w:rsid w:val="00E842C2"/>
    <w:rsid w:val="00E84320"/>
    <w:rsid w:val="00E843BA"/>
    <w:rsid w:val="00E84550"/>
    <w:rsid w:val="00E8456A"/>
    <w:rsid w:val="00E848DA"/>
    <w:rsid w:val="00E84AD3"/>
    <w:rsid w:val="00E84CED"/>
    <w:rsid w:val="00E84CFD"/>
    <w:rsid w:val="00E84D2E"/>
    <w:rsid w:val="00E84DD1"/>
    <w:rsid w:val="00E84E03"/>
    <w:rsid w:val="00E8509E"/>
    <w:rsid w:val="00E850C6"/>
    <w:rsid w:val="00E851E6"/>
    <w:rsid w:val="00E85446"/>
    <w:rsid w:val="00E8553E"/>
    <w:rsid w:val="00E85583"/>
    <w:rsid w:val="00E85630"/>
    <w:rsid w:val="00E85709"/>
    <w:rsid w:val="00E85B00"/>
    <w:rsid w:val="00E85B10"/>
    <w:rsid w:val="00E85BF8"/>
    <w:rsid w:val="00E85D35"/>
    <w:rsid w:val="00E85DA9"/>
    <w:rsid w:val="00E85DC2"/>
    <w:rsid w:val="00E85FA7"/>
    <w:rsid w:val="00E86158"/>
    <w:rsid w:val="00E86167"/>
    <w:rsid w:val="00E861FF"/>
    <w:rsid w:val="00E862BB"/>
    <w:rsid w:val="00E862F2"/>
    <w:rsid w:val="00E862FA"/>
    <w:rsid w:val="00E8631E"/>
    <w:rsid w:val="00E86364"/>
    <w:rsid w:val="00E86367"/>
    <w:rsid w:val="00E86484"/>
    <w:rsid w:val="00E8650C"/>
    <w:rsid w:val="00E865DA"/>
    <w:rsid w:val="00E86600"/>
    <w:rsid w:val="00E867D3"/>
    <w:rsid w:val="00E86C15"/>
    <w:rsid w:val="00E86C3A"/>
    <w:rsid w:val="00E86D12"/>
    <w:rsid w:val="00E86E2E"/>
    <w:rsid w:val="00E86E46"/>
    <w:rsid w:val="00E86E99"/>
    <w:rsid w:val="00E86E9C"/>
    <w:rsid w:val="00E86F28"/>
    <w:rsid w:val="00E86F93"/>
    <w:rsid w:val="00E8704F"/>
    <w:rsid w:val="00E8746C"/>
    <w:rsid w:val="00E875DD"/>
    <w:rsid w:val="00E87651"/>
    <w:rsid w:val="00E8766F"/>
    <w:rsid w:val="00E8777E"/>
    <w:rsid w:val="00E877C8"/>
    <w:rsid w:val="00E877DF"/>
    <w:rsid w:val="00E8781F"/>
    <w:rsid w:val="00E87886"/>
    <w:rsid w:val="00E8789A"/>
    <w:rsid w:val="00E878AF"/>
    <w:rsid w:val="00E87A60"/>
    <w:rsid w:val="00E87BB9"/>
    <w:rsid w:val="00E87BFE"/>
    <w:rsid w:val="00E87CCF"/>
    <w:rsid w:val="00E87DB4"/>
    <w:rsid w:val="00E87DD8"/>
    <w:rsid w:val="00E87EF0"/>
    <w:rsid w:val="00E87F6B"/>
    <w:rsid w:val="00E87FB6"/>
    <w:rsid w:val="00E9011C"/>
    <w:rsid w:val="00E90201"/>
    <w:rsid w:val="00E90298"/>
    <w:rsid w:val="00E902F2"/>
    <w:rsid w:val="00E90371"/>
    <w:rsid w:val="00E903A0"/>
    <w:rsid w:val="00E9045D"/>
    <w:rsid w:val="00E9072A"/>
    <w:rsid w:val="00E9096A"/>
    <w:rsid w:val="00E909AE"/>
    <w:rsid w:val="00E90BD7"/>
    <w:rsid w:val="00E90D79"/>
    <w:rsid w:val="00E90D81"/>
    <w:rsid w:val="00E90E55"/>
    <w:rsid w:val="00E90E62"/>
    <w:rsid w:val="00E90E6B"/>
    <w:rsid w:val="00E91216"/>
    <w:rsid w:val="00E914EE"/>
    <w:rsid w:val="00E9161F"/>
    <w:rsid w:val="00E917A0"/>
    <w:rsid w:val="00E917D9"/>
    <w:rsid w:val="00E9193E"/>
    <w:rsid w:val="00E9198B"/>
    <w:rsid w:val="00E919CC"/>
    <w:rsid w:val="00E91A48"/>
    <w:rsid w:val="00E91A6D"/>
    <w:rsid w:val="00E91B36"/>
    <w:rsid w:val="00E91B81"/>
    <w:rsid w:val="00E91BC5"/>
    <w:rsid w:val="00E91C92"/>
    <w:rsid w:val="00E91CAA"/>
    <w:rsid w:val="00E91CAD"/>
    <w:rsid w:val="00E91CD5"/>
    <w:rsid w:val="00E91D3B"/>
    <w:rsid w:val="00E91D8D"/>
    <w:rsid w:val="00E920B7"/>
    <w:rsid w:val="00E921E2"/>
    <w:rsid w:val="00E92205"/>
    <w:rsid w:val="00E92270"/>
    <w:rsid w:val="00E92331"/>
    <w:rsid w:val="00E923A9"/>
    <w:rsid w:val="00E9243D"/>
    <w:rsid w:val="00E92593"/>
    <w:rsid w:val="00E925CB"/>
    <w:rsid w:val="00E92656"/>
    <w:rsid w:val="00E92711"/>
    <w:rsid w:val="00E92AF7"/>
    <w:rsid w:val="00E92CD2"/>
    <w:rsid w:val="00E92DE3"/>
    <w:rsid w:val="00E92EDA"/>
    <w:rsid w:val="00E93075"/>
    <w:rsid w:val="00E932F9"/>
    <w:rsid w:val="00E932FD"/>
    <w:rsid w:val="00E933B7"/>
    <w:rsid w:val="00E93450"/>
    <w:rsid w:val="00E934FC"/>
    <w:rsid w:val="00E93564"/>
    <w:rsid w:val="00E93575"/>
    <w:rsid w:val="00E9365D"/>
    <w:rsid w:val="00E93694"/>
    <w:rsid w:val="00E937C3"/>
    <w:rsid w:val="00E937D8"/>
    <w:rsid w:val="00E93876"/>
    <w:rsid w:val="00E93962"/>
    <w:rsid w:val="00E93974"/>
    <w:rsid w:val="00E93A35"/>
    <w:rsid w:val="00E93A99"/>
    <w:rsid w:val="00E93AA5"/>
    <w:rsid w:val="00E93AAA"/>
    <w:rsid w:val="00E93D25"/>
    <w:rsid w:val="00E93EA9"/>
    <w:rsid w:val="00E94081"/>
    <w:rsid w:val="00E94163"/>
    <w:rsid w:val="00E944AC"/>
    <w:rsid w:val="00E944F3"/>
    <w:rsid w:val="00E94525"/>
    <w:rsid w:val="00E94538"/>
    <w:rsid w:val="00E9454B"/>
    <w:rsid w:val="00E94653"/>
    <w:rsid w:val="00E947EB"/>
    <w:rsid w:val="00E948EC"/>
    <w:rsid w:val="00E9490A"/>
    <w:rsid w:val="00E9493A"/>
    <w:rsid w:val="00E949CD"/>
    <w:rsid w:val="00E94A7A"/>
    <w:rsid w:val="00E94B85"/>
    <w:rsid w:val="00E94BA9"/>
    <w:rsid w:val="00E94E5D"/>
    <w:rsid w:val="00E953D4"/>
    <w:rsid w:val="00E95556"/>
    <w:rsid w:val="00E95618"/>
    <w:rsid w:val="00E957EB"/>
    <w:rsid w:val="00E958A4"/>
    <w:rsid w:val="00E958B6"/>
    <w:rsid w:val="00E95962"/>
    <w:rsid w:val="00E95A77"/>
    <w:rsid w:val="00E95AAE"/>
    <w:rsid w:val="00E95C4B"/>
    <w:rsid w:val="00E95CD2"/>
    <w:rsid w:val="00E95CD7"/>
    <w:rsid w:val="00E95E6D"/>
    <w:rsid w:val="00E95F87"/>
    <w:rsid w:val="00E95FA8"/>
    <w:rsid w:val="00E960B4"/>
    <w:rsid w:val="00E96164"/>
    <w:rsid w:val="00E96185"/>
    <w:rsid w:val="00E9625C"/>
    <w:rsid w:val="00E96330"/>
    <w:rsid w:val="00E9647F"/>
    <w:rsid w:val="00E96501"/>
    <w:rsid w:val="00E96592"/>
    <w:rsid w:val="00E966A0"/>
    <w:rsid w:val="00E968AA"/>
    <w:rsid w:val="00E96B5D"/>
    <w:rsid w:val="00E96C93"/>
    <w:rsid w:val="00E96D26"/>
    <w:rsid w:val="00E96E94"/>
    <w:rsid w:val="00E96FC4"/>
    <w:rsid w:val="00E9700B"/>
    <w:rsid w:val="00E97171"/>
    <w:rsid w:val="00E9719E"/>
    <w:rsid w:val="00E97219"/>
    <w:rsid w:val="00E97242"/>
    <w:rsid w:val="00E9739D"/>
    <w:rsid w:val="00E973CF"/>
    <w:rsid w:val="00E977A4"/>
    <w:rsid w:val="00E9780D"/>
    <w:rsid w:val="00E978BF"/>
    <w:rsid w:val="00E9796F"/>
    <w:rsid w:val="00E97A01"/>
    <w:rsid w:val="00E97A4E"/>
    <w:rsid w:val="00E97A88"/>
    <w:rsid w:val="00E97AAC"/>
    <w:rsid w:val="00E97C80"/>
    <w:rsid w:val="00E97D3A"/>
    <w:rsid w:val="00E97FC5"/>
    <w:rsid w:val="00EA0055"/>
    <w:rsid w:val="00EA0072"/>
    <w:rsid w:val="00EA014B"/>
    <w:rsid w:val="00EA01FA"/>
    <w:rsid w:val="00EA04F0"/>
    <w:rsid w:val="00EA0628"/>
    <w:rsid w:val="00EA0924"/>
    <w:rsid w:val="00EA097B"/>
    <w:rsid w:val="00EA0AAF"/>
    <w:rsid w:val="00EA0D40"/>
    <w:rsid w:val="00EA0E12"/>
    <w:rsid w:val="00EA0F01"/>
    <w:rsid w:val="00EA1302"/>
    <w:rsid w:val="00EA1308"/>
    <w:rsid w:val="00EA1350"/>
    <w:rsid w:val="00EA1352"/>
    <w:rsid w:val="00EA13CB"/>
    <w:rsid w:val="00EA140F"/>
    <w:rsid w:val="00EA14C7"/>
    <w:rsid w:val="00EA14E2"/>
    <w:rsid w:val="00EA1565"/>
    <w:rsid w:val="00EA16D0"/>
    <w:rsid w:val="00EA179D"/>
    <w:rsid w:val="00EA190E"/>
    <w:rsid w:val="00EA1A79"/>
    <w:rsid w:val="00EA1AD5"/>
    <w:rsid w:val="00EA1DA0"/>
    <w:rsid w:val="00EA1EAC"/>
    <w:rsid w:val="00EA1EDD"/>
    <w:rsid w:val="00EA1F11"/>
    <w:rsid w:val="00EA2032"/>
    <w:rsid w:val="00EA2368"/>
    <w:rsid w:val="00EA2433"/>
    <w:rsid w:val="00EA26D3"/>
    <w:rsid w:val="00EA28F9"/>
    <w:rsid w:val="00EA295E"/>
    <w:rsid w:val="00EA2B3F"/>
    <w:rsid w:val="00EA2D6A"/>
    <w:rsid w:val="00EA2D76"/>
    <w:rsid w:val="00EA312A"/>
    <w:rsid w:val="00EA3241"/>
    <w:rsid w:val="00EA3312"/>
    <w:rsid w:val="00EA334A"/>
    <w:rsid w:val="00EA3510"/>
    <w:rsid w:val="00EA37C0"/>
    <w:rsid w:val="00EA37CD"/>
    <w:rsid w:val="00EA39BA"/>
    <w:rsid w:val="00EA3AC1"/>
    <w:rsid w:val="00EA3CAF"/>
    <w:rsid w:val="00EA3CC1"/>
    <w:rsid w:val="00EA3D01"/>
    <w:rsid w:val="00EA3D2D"/>
    <w:rsid w:val="00EA3D30"/>
    <w:rsid w:val="00EA3D7C"/>
    <w:rsid w:val="00EA3E72"/>
    <w:rsid w:val="00EA3F3D"/>
    <w:rsid w:val="00EA3F66"/>
    <w:rsid w:val="00EA43DD"/>
    <w:rsid w:val="00EA4671"/>
    <w:rsid w:val="00EA47D4"/>
    <w:rsid w:val="00EA4A88"/>
    <w:rsid w:val="00EA4B0E"/>
    <w:rsid w:val="00EA4B2A"/>
    <w:rsid w:val="00EA4B4A"/>
    <w:rsid w:val="00EA4C2A"/>
    <w:rsid w:val="00EA4D38"/>
    <w:rsid w:val="00EA4D6E"/>
    <w:rsid w:val="00EA5207"/>
    <w:rsid w:val="00EA52A6"/>
    <w:rsid w:val="00EA52CB"/>
    <w:rsid w:val="00EA53ED"/>
    <w:rsid w:val="00EA5421"/>
    <w:rsid w:val="00EA548E"/>
    <w:rsid w:val="00EA5496"/>
    <w:rsid w:val="00EA54EA"/>
    <w:rsid w:val="00EA54EC"/>
    <w:rsid w:val="00EA5541"/>
    <w:rsid w:val="00EA554A"/>
    <w:rsid w:val="00EA570F"/>
    <w:rsid w:val="00EA5717"/>
    <w:rsid w:val="00EA5838"/>
    <w:rsid w:val="00EA58FF"/>
    <w:rsid w:val="00EA5A8E"/>
    <w:rsid w:val="00EA5AE6"/>
    <w:rsid w:val="00EA5B22"/>
    <w:rsid w:val="00EA5C0D"/>
    <w:rsid w:val="00EA5C78"/>
    <w:rsid w:val="00EA5C88"/>
    <w:rsid w:val="00EA5E9C"/>
    <w:rsid w:val="00EA5FD3"/>
    <w:rsid w:val="00EA6027"/>
    <w:rsid w:val="00EA60F8"/>
    <w:rsid w:val="00EA6121"/>
    <w:rsid w:val="00EA627C"/>
    <w:rsid w:val="00EA633C"/>
    <w:rsid w:val="00EA64AB"/>
    <w:rsid w:val="00EA6BB5"/>
    <w:rsid w:val="00EA6BFB"/>
    <w:rsid w:val="00EA6E95"/>
    <w:rsid w:val="00EA713B"/>
    <w:rsid w:val="00EA73A3"/>
    <w:rsid w:val="00EA744A"/>
    <w:rsid w:val="00EA79F3"/>
    <w:rsid w:val="00EA7A6E"/>
    <w:rsid w:val="00EA7A7B"/>
    <w:rsid w:val="00EA7B48"/>
    <w:rsid w:val="00EA7B95"/>
    <w:rsid w:val="00EA7D45"/>
    <w:rsid w:val="00EA7F31"/>
    <w:rsid w:val="00EA7FD5"/>
    <w:rsid w:val="00EB001B"/>
    <w:rsid w:val="00EB008B"/>
    <w:rsid w:val="00EB00F3"/>
    <w:rsid w:val="00EB012F"/>
    <w:rsid w:val="00EB0169"/>
    <w:rsid w:val="00EB0367"/>
    <w:rsid w:val="00EB04EC"/>
    <w:rsid w:val="00EB0521"/>
    <w:rsid w:val="00EB07E3"/>
    <w:rsid w:val="00EB0CBB"/>
    <w:rsid w:val="00EB0D05"/>
    <w:rsid w:val="00EB0D4D"/>
    <w:rsid w:val="00EB0E8C"/>
    <w:rsid w:val="00EB0F7C"/>
    <w:rsid w:val="00EB1070"/>
    <w:rsid w:val="00EB1207"/>
    <w:rsid w:val="00EB1258"/>
    <w:rsid w:val="00EB1328"/>
    <w:rsid w:val="00EB133A"/>
    <w:rsid w:val="00EB14A1"/>
    <w:rsid w:val="00EB14FC"/>
    <w:rsid w:val="00EB15C5"/>
    <w:rsid w:val="00EB1659"/>
    <w:rsid w:val="00EB176D"/>
    <w:rsid w:val="00EB1770"/>
    <w:rsid w:val="00EB17AF"/>
    <w:rsid w:val="00EB19DA"/>
    <w:rsid w:val="00EB1B53"/>
    <w:rsid w:val="00EB1CC6"/>
    <w:rsid w:val="00EB1E61"/>
    <w:rsid w:val="00EB225C"/>
    <w:rsid w:val="00EB22DD"/>
    <w:rsid w:val="00EB24B3"/>
    <w:rsid w:val="00EB254F"/>
    <w:rsid w:val="00EB26F8"/>
    <w:rsid w:val="00EB27D2"/>
    <w:rsid w:val="00EB29BA"/>
    <w:rsid w:val="00EB2B74"/>
    <w:rsid w:val="00EB2D08"/>
    <w:rsid w:val="00EB2D45"/>
    <w:rsid w:val="00EB2EB0"/>
    <w:rsid w:val="00EB3062"/>
    <w:rsid w:val="00EB31AC"/>
    <w:rsid w:val="00EB324A"/>
    <w:rsid w:val="00EB334F"/>
    <w:rsid w:val="00EB3416"/>
    <w:rsid w:val="00EB3562"/>
    <w:rsid w:val="00EB36B8"/>
    <w:rsid w:val="00EB36D8"/>
    <w:rsid w:val="00EB3A9E"/>
    <w:rsid w:val="00EB3B0A"/>
    <w:rsid w:val="00EB3B15"/>
    <w:rsid w:val="00EB3BD8"/>
    <w:rsid w:val="00EB3C3F"/>
    <w:rsid w:val="00EB3CFD"/>
    <w:rsid w:val="00EB3D56"/>
    <w:rsid w:val="00EB4055"/>
    <w:rsid w:val="00EB4385"/>
    <w:rsid w:val="00EB43A5"/>
    <w:rsid w:val="00EB4507"/>
    <w:rsid w:val="00EB46D1"/>
    <w:rsid w:val="00EB46D3"/>
    <w:rsid w:val="00EB47F3"/>
    <w:rsid w:val="00EB4846"/>
    <w:rsid w:val="00EB49C3"/>
    <w:rsid w:val="00EB4B95"/>
    <w:rsid w:val="00EB4BE7"/>
    <w:rsid w:val="00EB4C5D"/>
    <w:rsid w:val="00EB4D28"/>
    <w:rsid w:val="00EB4D3A"/>
    <w:rsid w:val="00EB4D9D"/>
    <w:rsid w:val="00EB4DE6"/>
    <w:rsid w:val="00EB4EA6"/>
    <w:rsid w:val="00EB4ECE"/>
    <w:rsid w:val="00EB51A6"/>
    <w:rsid w:val="00EB52BE"/>
    <w:rsid w:val="00EB53DE"/>
    <w:rsid w:val="00EB547F"/>
    <w:rsid w:val="00EB54C1"/>
    <w:rsid w:val="00EB566F"/>
    <w:rsid w:val="00EB5697"/>
    <w:rsid w:val="00EB56B4"/>
    <w:rsid w:val="00EB577B"/>
    <w:rsid w:val="00EB5856"/>
    <w:rsid w:val="00EB5932"/>
    <w:rsid w:val="00EB598A"/>
    <w:rsid w:val="00EB5AF6"/>
    <w:rsid w:val="00EB5CFA"/>
    <w:rsid w:val="00EB5F24"/>
    <w:rsid w:val="00EB5F27"/>
    <w:rsid w:val="00EB6015"/>
    <w:rsid w:val="00EB6067"/>
    <w:rsid w:val="00EB61F9"/>
    <w:rsid w:val="00EB622A"/>
    <w:rsid w:val="00EB62C0"/>
    <w:rsid w:val="00EB6307"/>
    <w:rsid w:val="00EB64B2"/>
    <w:rsid w:val="00EB6546"/>
    <w:rsid w:val="00EB65C9"/>
    <w:rsid w:val="00EB6767"/>
    <w:rsid w:val="00EB68AB"/>
    <w:rsid w:val="00EB68BB"/>
    <w:rsid w:val="00EB693C"/>
    <w:rsid w:val="00EB6B72"/>
    <w:rsid w:val="00EB6BAC"/>
    <w:rsid w:val="00EB6C41"/>
    <w:rsid w:val="00EB6D22"/>
    <w:rsid w:val="00EB6D63"/>
    <w:rsid w:val="00EB6D9D"/>
    <w:rsid w:val="00EB6E23"/>
    <w:rsid w:val="00EB6FF3"/>
    <w:rsid w:val="00EB7013"/>
    <w:rsid w:val="00EB7070"/>
    <w:rsid w:val="00EB70AF"/>
    <w:rsid w:val="00EB70E3"/>
    <w:rsid w:val="00EB713F"/>
    <w:rsid w:val="00EB7561"/>
    <w:rsid w:val="00EB75A2"/>
    <w:rsid w:val="00EB75E5"/>
    <w:rsid w:val="00EB76B8"/>
    <w:rsid w:val="00EB772D"/>
    <w:rsid w:val="00EB773B"/>
    <w:rsid w:val="00EB7877"/>
    <w:rsid w:val="00EB7AE2"/>
    <w:rsid w:val="00EB7B62"/>
    <w:rsid w:val="00EB7CFB"/>
    <w:rsid w:val="00EB7EFB"/>
    <w:rsid w:val="00EB7F92"/>
    <w:rsid w:val="00EC00B9"/>
    <w:rsid w:val="00EC013C"/>
    <w:rsid w:val="00EC019F"/>
    <w:rsid w:val="00EC046F"/>
    <w:rsid w:val="00EC04D9"/>
    <w:rsid w:val="00EC053A"/>
    <w:rsid w:val="00EC0604"/>
    <w:rsid w:val="00EC06A3"/>
    <w:rsid w:val="00EC0733"/>
    <w:rsid w:val="00EC08F9"/>
    <w:rsid w:val="00EC09A7"/>
    <w:rsid w:val="00EC0A50"/>
    <w:rsid w:val="00EC0B7C"/>
    <w:rsid w:val="00EC0BAD"/>
    <w:rsid w:val="00EC0D36"/>
    <w:rsid w:val="00EC0E78"/>
    <w:rsid w:val="00EC1083"/>
    <w:rsid w:val="00EC12B5"/>
    <w:rsid w:val="00EC154C"/>
    <w:rsid w:val="00EC15BD"/>
    <w:rsid w:val="00EC17D5"/>
    <w:rsid w:val="00EC1929"/>
    <w:rsid w:val="00EC1933"/>
    <w:rsid w:val="00EC1999"/>
    <w:rsid w:val="00EC19B1"/>
    <w:rsid w:val="00EC1B3C"/>
    <w:rsid w:val="00EC1C51"/>
    <w:rsid w:val="00EC1CE1"/>
    <w:rsid w:val="00EC1FA8"/>
    <w:rsid w:val="00EC206C"/>
    <w:rsid w:val="00EC20F0"/>
    <w:rsid w:val="00EC2161"/>
    <w:rsid w:val="00EC21DF"/>
    <w:rsid w:val="00EC25E7"/>
    <w:rsid w:val="00EC271B"/>
    <w:rsid w:val="00EC2745"/>
    <w:rsid w:val="00EC282B"/>
    <w:rsid w:val="00EC29D7"/>
    <w:rsid w:val="00EC2B12"/>
    <w:rsid w:val="00EC2B1B"/>
    <w:rsid w:val="00EC2C67"/>
    <w:rsid w:val="00EC2D33"/>
    <w:rsid w:val="00EC2E2C"/>
    <w:rsid w:val="00EC2FD9"/>
    <w:rsid w:val="00EC3097"/>
    <w:rsid w:val="00EC31EF"/>
    <w:rsid w:val="00EC338F"/>
    <w:rsid w:val="00EC33CE"/>
    <w:rsid w:val="00EC343E"/>
    <w:rsid w:val="00EC3446"/>
    <w:rsid w:val="00EC356B"/>
    <w:rsid w:val="00EC3B93"/>
    <w:rsid w:val="00EC3BF8"/>
    <w:rsid w:val="00EC3C75"/>
    <w:rsid w:val="00EC3D21"/>
    <w:rsid w:val="00EC3D48"/>
    <w:rsid w:val="00EC3D4F"/>
    <w:rsid w:val="00EC3ECB"/>
    <w:rsid w:val="00EC418B"/>
    <w:rsid w:val="00EC422E"/>
    <w:rsid w:val="00EC4285"/>
    <w:rsid w:val="00EC43D0"/>
    <w:rsid w:val="00EC4487"/>
    <w:rsid w:val="00EC46B4"/>
    <w:rsid w:val="00EC46CE"/>
    <w:rsid w:val="00EC4931"/>
    <w:rsid w:val="00EC4952"/>
    <w:rsid w:val="00EC4959"/>
    <w:rsid w:val="00EC4A12"/>
    <w:rsid w:val="00EC4A6C"/>
    <w:rsid w:val="00EC4BCA"/>
    <w:rsid w:val="00EC4EFD"/>
    <w:rsid w:val="00EC4F7D"/>
    <w:rsid w:val="00EC5024"/>
    <w:rsid w:val="00EC5168"/>
    <w:rsid w:val="00EC51A7"/>
    <w:rsid w:val="00EC52F3"/>
    <w:rsid w:val="00EC5346"/>
    <w:rsid w:val="00EC53D0"/>
    <w:rsid w:val="00EC553B"/>
    <w:rsid w:val="00EC555B"/>
    <w:rsid w:val="00EC55A7"/>
    <w:rsid w:val="00EC5613"/>
    <w:rsid w:val="00EC56AE"/>
    <w:rsid w:val="00EC575B"/>
    <w:rsid w:val="00EC5779"/>
    <w:rsid w:val="00EC58D8"/>
    <w:rsid w:val="00EC592E"/>
    <w:rsid w:val="00EC5940"/>
    <w:rsid w:val="00EC5BED"/>
    <w:rsid w:val="00EC5C40"/>
    <w:rsid w:val="00EC5D35"/>
    <w:rsid w:val="00EC5E7C"/>
    <w:rsid w:val="00EC5F46"/>
    <w:rsid w:val="00EC5FFC"/>
    <w:rsid w:val="00EC62CC"/>
    <w:rsid w:val="00EC63BE"/>
    <w:rsid w:val="00EC64A8"/>
    <w:rsid w:val="00EC64B9"/>
    <w:rsid w:val="00EC6545"/>
    <w:rsid w:val="00EC6586"/>
    <w:rsid w:val="00EC6592"/>
    <w:rsid w:val="00EC6683"/>
    <w:rsid w:val="00EC66DE"/>
    <w:rsid w:val="00EC67EA"/>
    <w:rsid w:val="00EC690F"/>
    <w:rsid w:val="00EC6AEB"/>
    <w:rsid w:val="00EC6B34"/>
    <w:rsid w:val="00EC6F1E"/>
    <w:rsid w:val="00EC6F44"/>
    <w:rsid w:val="00EC6F89"/>
    <w:rsid w:val="00EC6FF1"/>
    <w:rsid w:val="00EC715E"/>
    <w:rsid w:val="00EC723C"/>
    <w:rsid w:val="00EC7274"/>
    <w:rsid w:val="00EC7316"/>
    <w:rsid w:val="00EC7500"/>
    <w:rsid w:val="00EC765A"/>
    <w:rsid w:val="00EC7786"/>
    <w:rsid w:val="00EC7870"/>
    <w:rsid w:val="00EC79EA"/>
    <w:rsid w:val="00EC7BA6"/>
    <w:rsid w:val="00EC7C78"/>
    <w:rsid w:val="00EC7C85"/>
    <w:rsid w:val="00EC7CEC"/>
    <w:rsid w:val="00EC7F6E"/>
    <w:rsid w:val="00ED0067"/>
    <w:rsid w:val="00ED0070"/>
    <w:rsid w:val="00ED0095"/>
    <w:rsid w:val="00ED04D8"/>
    <w:rsid w:val="00ED0797"/>
    <w:rsid w:val="00ED097A"/>
    <w:rsid w:val="00ED09C9"/>
    <w:rsid w:val="00ED0A2A"/>
    <w:rsid w:val="00ED0AB4"/>
    <w:rsid w:val="00ED0B6A"/>
    <w:rsid w:val="00ED0BA9"/>
    <w:rsid w:val="00ED0F45"/>
    <w:rsid w:val="00ED0FCF"/>
    <w:rsid w:val="00ED1021"/>
    <w:rsid w:val="00ED1091"/>
    <w:rsid w:val="00ED10EE"/>
    <w:rsid w:val="00ED124B"/>
    <w:rsid w:val="00ED1275"/>
    <w:rsid w:val="00ED135B"/>
    <w:rsid w:val="00ED1427"/>
    <w:rsid w:val="00ED142A"/>
    <w:rsid w:val="00ED14EA"/>
    <w:rsid w:val="00ED1513"/>
    <w:rsid w:val="00ED152F"/>
    <w:rsid w:val="00ED15A9"/>
    <w:rsid w:val="00ED1894"/>
    <w:rsid w:val="00ED18C5"/>
    <w:rsid w:val="00ED191F"/>
    <w:rsid w:val="00ED1993"/>
    <w:rsid w:val="00ED19E6"/>
    <w:rsid w:val="00ED1B2D"/>
    <w:rsid w:val="00ED1E22"/>
    <w:rsid w:val="00ED1ECC"/>
    <w:rsid w:val="00ED1F3B"/>
    <w:rsid w:val="00ED1FBB"/>
    <w:rsid w:val="00ED2011"/>
    <w:rsid w:val="00ED20D5"/>
    <w:rsid w:val="00ED21D0"/>
    <w:rsid w:val="00ED2465"/>
    <w:rsid w:val="00ED277D"/>
    <w:rsid w:val="00ED27B6"/>
    <w:rsid w:val="00ED27DD"/>
    <w:rsid w:val="00ED282C"/>
    <w:rsid w:val="00ED2873"/>
    <w:rsid w:val="00ED2A19"/>
    <w:rsid w:val="00ED2C50"/>
    <w:rsid w:val="00ED3317"/>
    <w:rsid w:val="00ED3320"/>
    <w:rsid w:val="00ED339C"/>
    <w:rsid w:val="00ED342C"/>
    <w:rsid w:val="00ED343E"/>
    <w:rsid w:val="00ED3440"/>
    <w:rsid w:val="00ED356F"/>
    <w:rsid w:val="00ED38F8"/>
    <w:rsid w:val="00ED395E"/>
    <w:rsid w:val="00ED3D32"/>
    <w:rsid w:val="00ED3FAB"/>
    <w:rsid w:val="00ED4030"/>
    <w:rsid w:val="00ED41AF"/>
    <w:rsid w:val="00ED4277"/>
    <w:rsid w:val="00ED4450"/>
    <w:rsid w:val="00ED45BC"/>
    <w:rsid w:val="00ED45FD"/>
    <w:rsid w:val="00ED4703"/>
    <w:rsid w:val="00ED4844"/>
    <w:rsid w:val="00ED4851"/>
    <w:rsid w:val="00ED4AA8"/>
    <w:rsid w:val="00ED4CA7"/>
    <w:rsid w:val="00ED4D90"/>
    <w:rsid w:val="00ED4E5A"/>
    <w:rsid w:val="00ED4EDB"/>
    <w:rsid w:val="00ED4EEE"/>
    <w:rsid w:val="00ED50D5"/>
    <w:rsid w:val="00ED516A"/>
    <w:rsid w:val="00ED51BD"/>
    <w:rsid w:val="00ED51CB"/>
    <w:rsid w:val="00ED53F0"/>
    <w:rsid w:val="00ED5437"/>
    <w:rsid w:val="00ED55AB"/>
    <w:rsid w:val="00ED5942"/>
    <w:rsid w:val="00ED5A3E"/>
    <w:rsid w:val="00ED5C03"/>
    <w:rsid w:val="00ED5D5E"/>
    <w:rsid w:val="00ED5D81"/>
    <w:rsid w:val="00ED5EC7"/>
    <w:rsid w:val="00ED601F"/>
    <w:rsid w:val="00ED6140"/>
    <w:rsid w:val="00ED61DB"/>
    <w:rsid w:val="00ED6364"/>
    <w:rsid w:val="00ED680C"/>
    <w:rsid w:val="00ED685F"/>
    <w:rsid w:val="00ED6B79"/>
    <w:rsid w:val="00ED6BC5"/>
    <w:rsid w:val="00ED6C01"/>
    <w:rsid w:val="00ED6DB8"/>
    <w:rsid w:val="00ED6E33"/>
    <w:rsid w:val="00ED6FE3"/>
    <w:rsid w:val="00ED715F"/>
    <w:rsid w:val="00ED72DB"/>
    <w:rsid w:val="00ED72EB"/>
    <w:rsid w:val="00ED730E"/>
    <w:rsid w:val="00ED74AA"/>
    <w:rsid w:val="00ED766A"/>
    <w:rsid w:val="00ED76F5"/>
    <w:rsid w:val="00ED78C9"/>
    <w:rsid w:val="00ED7951"/>
    <w:rsid w:val="00ED7CD0"/>
    <w:rsid w:val="00ED7DD2"/>
    <w:rsid w:val="00ED7ED3"/>
    <w:rsid w:val="00ED7F4A"/>
    <w:rsid w:val="00ED7F78"/>
    <w:rsid w:val="00EE0001"/>
    <w:rsid w:val="00EE0011"/>
    <w:rsid w:val="00EE003F"/>
    <w:rsid w:val="00EE00BE"/>
    <w:rsid w:val="00EE018D"/>
    <w:rsid w:val="00EE03AF"/>
    <w:rsid w:val="00EE03DC"/>
    <w:rsid w:val="00EE0481"/>
    <w:rsid w:val="00EE04BA"/>
    <w:rsid w:val="00EE0513"/>
    <w:rsid w:val="00EE05EB"/>
    <w:rsid w:val="00EE071D"/>
    <w:rsid w:val="00EE088F"/>
    <w:rsid w:val="00EE0E03"/>
    <w:rsid w:val="00EE0E28"/>
    <w:rsid w:val="00EE11DA"/>
    <w:rsid w:val="00EE129C"/>
    <w:rsid w:val="00EE129F"/>
    <w:rsid w:val="00EE134D"/>
    <w:rsid w:val="00EE13ED"/>
    <w:rsid w:val="00EE1428"/>
    <w:rsid w:val="00EE1998"/>
    <w:rsid w:val="00EE19A7"/>
    <w:rsid w:val="00EE1A46"/>
    <w:rsid w:val="00EE1AE7"/>
    <w:rsid w:val="00EE1B29"/>
    <w:rsid w:val="00EE1B5D"/>
    <w:rsid w:val="00EE1D3F"/>
    <w:rsid w:val="00EE1E1B"/>
    <w:rsid w:val="00EE1F73"/>
    <w:rsid w:val="00EE207A"/>
    <w:rsid w:val="00EE20BC"/>
    <w:rsid w:val="00EE2146"/>
    <w:rsid w:val="00EE21DF"/>
    <w:rsid w:val="00EE2390"/>
    <w:rsid w:val="00EE24E9"/>
    <w:rsid w:val="00EE2533"/>
    <w:rsid w:val="00EE268D"/>
    <w:rsid w:val="00EE26D4"/>
    <w:rsid w:val="00EE288C"/>
    <w:rsid w:val="00EE28F9"/>
    <w:rsid w:val="00EE2A8A"/>
    <w:rsid w:val="00EE2AF2"/>
    <w:rsid w:val="00EE2B8B"/>
    <w:rsid w:val="00EE2C12"/>
    <w:rsid w:val="00EE2D63"/>
    <w:rsid w:val="00EE2E1F"/>
    <w:rsid w:val="00EE2EEA"/>
    <w:rsid w:val="00EE2F37"/>
    <w:rsid w:val="00EE327C"/>
    <w:rsid w:val="00EE3359"/>
    <w:rsid w:val="00EE33BF"/>
    <w:rsid w:val="00EE3571"/>
    <w:rsid w:val="00EE3590"/>
    <w:rsid w:val="00EE37BC"/>
    <w:rsid w:val="00EE3B43"/>
    <w:rsid w:val="00EE3E12"/>
    <w:rsid w:val="00EE3F20"/>
    <w:rsid w:val="00EE4086"/>
    <w:rsid w:val="00EE40D8"/>
    <w:rsid w:val="00EE40E9"/>
    <w:rsid w:val="00EE41DC"/>
    <w:rsid w:val="00EE4361"/>
    <w:rsid w:val="00EE43AE"/>
    <w:rsid w:val="00EE466C"/>
    <w:rsid w:val="00EE4688"/>
    <w:rsid w:val="00EE4973"/>
    <w:rsid w:val="00EE49E8"/>
    <w:rsid w:val="00EE4A67"/>
    <w:rsid w:val="00EE4B5E"/>
    <w:rsid w:val="00EE4BF6"/>
    <w:rsid w:val="00EE4C26"/>
    <w:rsid w:val="00EE4CCF"/>
    <w:rsid w:val="00EE4E70"/>
    <w:rsid w:val="00EE4F42"/>
    <w:rsid w:val="00EE50E9"/>
    <w:rsid w:val="00EE529D"/>
    <w:rsid w:val="00EE5357"/>
    <w:rsid w:val="00EE54A0"/>
    <w:rsid w:val="00EE5502"/>
    <w:rsid w:val="00EE557E"/>
    <w:rsid w:val="00EE5608"/>
    <w:rsid w:val="00EE5773"/>
    <w:rsid w:val="00EE57F1"/>
    <w:rsid w:val="00EE595B"/>
    <w:rsid w:val="00EE5A1F"/>
    <w:rsid w:val="00EE5A27"/>
    <w:rsid w:val="00EE5AF1"/>
    <w:rsid w:val="00EE5B15"/>
    <w:rsid w:val="00EE5B4A"/>
    <w:rsid w:val="00EE5B8D"/>
    <w:rsid w:val="00EE5C18"/>
    <w:rsid w:val="00EE5D94"/>
    <w:rsid w:val="00EE5FD5"/>
    <w:rsid w:val="00EE60FF"/>
    <w:rsid w:val="00EE6301"/>
    <w:rsid w:val="00EE631C"/>
    <w:rsid w:val="00EE6506"/>
    <w:rsid w:val="00EE66FF"/>
    <w:rsid w:val="00EE6748"/>
    <w:rsid w:val="00EE6E0F"/>
    <w:rsid w:val="00EE6E15"/>
    <w:rsid w:val="00EE6E17"/>
    <w:rsid w:val="00EE6F32"/>
    <w:rsid w:val="00EE7106"/>
    <w:rsid w:val="00EE73B0"/>
    <w:rsid w:val="00EE7478"/>
    <w:rsid w:val="00EE7491"/>
    <w:rsid w:val="00EE75B5"/>
    <w:rsid w:val="00EE775C"/>
    <w:rsid w:val="00EE78CF"/>
    <w:rsid w:val="00EE7BED"/>
    <w:rsid w:val="00EE7C82"/>
    <w:rsid w:val="00EE7FA1"/>
    <w:rsid w:val="00EF01C9"/>
    <w:rsid w:val="00EF0259"/>
    <w:rsid w:val="00EF02FE"/>
    <w:rsid w:val="00EF0349"/>
    <w:rsid w:val="00EF038B"/>
    <w:rsid w:val="00EF078A"/>
    <w:rsid w:val="00EF0978"/>
    <w:rsid w:val="00EF09A2"/>
    <w:rsid w:val="00EF0A74"/>
    <w:rsid w:val="00EF0ABF"/>
    <w:rsid w:val="00EF0C24"/>
    <w:rsid w:val="00EF0CFC"/>
    <w:rsid w:val="00EF0DB5"/>
    <w:rsid w:val="00EF0F70"/>
    <w:rsid w:val="00EF109B"/>
    <w:rsid w:val="00EF10C5"/>
    <w:rsid w:val="00EF118B"/>
    <w:rsid w:val="00EF11F9"/>
    <w:rsid w:val="00EF1253"/>
    <w:rsid w:val="00EF12EE"/>
    <w:rsid w:val="00EF13B5"/>
    <w:rsid w:val="00EF1415"/>
    <w:rsid w:val="00EF1457"/>
    <w:rsid w:val="00EF150C"/>
    <w:rsid w:val="00EF16A1"/>
    <w:rsid w:val="00EF1794"/>
    <w:rsid w:val="00EF1990"/>
    <w:rsid w:val="00EF199E"/>
    <w:rsid w:val="00EF19CD"/>
    <w:rsid w:val="00EF1A8C"/>
    <w:rsid w:val="00EF1DB3"/>
    <w:rsid w:val="00EF1FCA"/>
    <w:rsid w:val="00EF2071"/>
    <w:rsid w:val="00EF20A1"/>
    <w:rsid w:val="00EF2250"/>
    <w:rsid w:val="00EF2299"/>
    <w:rsid w:val="00EF2500"/>
    <w:rsid w:val="00EF2534"/>
    <w:rsid w:val="00EF2599"/>
    <w:rsid w:val="00EF2791"/>
    <w:rsid w:val="00EF2925"/>
    <w:rsid w:val="00EF29CF"/>
    <w:rsid w:val="00EF2AC2"/>
    <w:rsid w:val="00EF2B52"/>
    <w:rsid w:val="00EF2BAB"/>
    <w:rsid w:val="00EF2BDC"/>
    <w:rsid w:val="00EF2D67"/>
    <w:rsid w:val="00EF2EBD"/>
    <w:rsid w:val="00EF2F19"/>
    <w:rsid w:val="00EF31EE"/>
    <w:rsid w:val="00EF340F"/>
    <w:rsid w:val="00EF3605"/>
    <w:rsid w:val="00EF3650"/>
    <w:rsid w:val="00EF372A"/>
    <w:rsid w:val="00EF3747"/>
    <w:rsid w:val="00EF37DD"/>
    <w:rsid w:val="00EF3AC3"/>
    <w:rsid w:val="00EF3BEF"/>
    <w:rsid w:val="00EF3C3D"/>
    <w:rsid w:val="00EF3CAD"/>
    <w:rsid w:val="00EF3CE1"/>
    <w:rsid w:val="00EF3F90"/>
    <w:rsid w:val="00EF41BD"/>
    <w:rsid w:val="00EF4237"/>
    <w:rsid w:val="00EF42DD"/>
    <w:rsid w:val="00EF4377"/>
    <w:rsid w:val="00EF43A6"/>
    <w:rsid w:val="00EF43B2"/>
    <w:rsid w:val="00EF450E"/>
    <w:rsid w:val="00EF4717"/>
    <w:rsid w:val="00EF49D8"/>
    <w:rsid w:val="00EF49F7"/>
    <w:rsid w:val="00EF4A3B"/>
    <w:rsid w:val="00EF4B0E"/>
    <w:rsid w:val="00EF4B23"/>
    <w:rsid w:val="00EF4C5D"/>
    <w:rsid w:val="00EF4D0B"/>
    <w:rsid w:val="00EF4D45"/>
    <w:rsid w:val="00EF4DDB"/>
    <w:rsid w:val="00EF4E7A"/>
    <w:rsid w:val="00EF4F74"/>
    <w:rsid w:val="00EF5078"/>
    <w:rsid w:val="00EF507D"/>
    <w:rsid w:val="00EF51FA"/>
    <w:rsid w:val="00EF547E"/>
    <w:rsid w:val="00EF55A9"/>
    <w:rsid w:val="00EF56B6"/>
    <w:rsid w:val="00EF579C"/>
    <w:rsid w:val="00EF57F9"/>
    <w:rsid w:val="00EF5A90"/>
    <w:rsid w:val="00EF5C6F"/>
    <w:rsid w:val="00EF5CF0"/>
    <w:rsid w:val="00EF610E"/>
    <w:rsid w:val="00EF62DA"/>
    <w:rsid w:val="00EF62E4"/>
    <w:rsid w:val="00EF6512"/>
    <w:rsid w:val="00EF653F"/>
    <w:rsid w:val="00EF65D6"/>
    <w:rsid w:val="00EF65FD"/>
    <w:rsid w:val="00EF6672"/>
    <w:rsid w:val="00EF669E"/>
    <w:rsid w:val="00EF693A"/>
    <w:rsid w:val="00EF69D3"/>
    <w:rsid w:val="00EF6A06"/>
    <w:rsid w:val="00EF6AEE"/>
    <w:rsid w:val="00EF6CFD"/>
    <w:rsid w:val="00EF6D0A"/>
    <w:rsid w:val="00EF6DB2"/>
    <w:rsid w:val="00EF6DFA"/>
    <w:rsid w:val="00EF6EB5"/>
    <w:rsid w:val="00EF708F"/>
    <w:rsid w:val="00EF70E7"/>
    <w:rsid w:val="00EF72E0"/>
    <w:rsid w:val="00EF7654"/>
    <w:rsid w:val="00EF78AD"/>
    <w:rsid w:val="00EF7927"/>
    <w:rsid w:val="00EF7D8F"/>
    <w:rsid w:val="00EF7DE8"/>
    <w:rsid w:val="00EF7E55"/>
    <w:rsid w:val="00EF7EDA"/>
    <w:rsid w:val="00F000E3"/>
    <w:rsid w:val="00F00332"/>
    <w:rsid w:val="00F00408"/>
    <w:rsid w:val="00F005C3"/>
    <w:rsid w:val="00F0087F"/>
    <w:rsid w:val="00F00A79"/>
    <w:rsid w:val="00F00E31"/>
    <w:rsid w:val="00F00E33"/>
    <w:rsid w:val="00F01227"/>
    <w:rsid w:val="00F01236"/>
    <w:rsid w:val="00F014EA"/>
    <w:rsid w:val="00F015A5"/>
    <w:rsid w:val="00F01768"/>
    <w:rsid w:val="00F01793"/>
    <w:rsid w:val="00F0187B"/>
    <w:rsid w:val="00F01942"/>
    <w:rsid w:val="00F01C2A"/>
    <w:rsid w:val="00F01CCA"/>
    <w:rsid w:val="00F01DAB"/>
    <w:rsid w:val="00F01EC9"/>
    <w:rsid w:val="00F01F32"/>
    <w:rsid w:val="00F01FC0"/>
    <w:rsid w:val="00F02022"/>
    <w:rsid w:val="00F02164"/>
    <w:rsid w:val="00F021EA"/>
    <w:rsid w:val="00F0225F"/>
    <w:rsid w:val="00F023D0"/>
    <w:rsid w:val="00F024D6"/>
    <w:rsid w:val="00F0272D"/>
    <w:rsid w:val="00F027AF"/>
    <w:rsid w:val="00F027EE"/>
    <w:rsid w:val="00F029CC"/>
    <w:rsid w:val="00F029FD"/>
    <w:rsid w:val="00F02A38"/>
    <w:rsid w:val="00F02A5E"/>
    <w:rsid w:val="00F02AD8"/>
    <w:rsid w:val="00F02B00"/>
    <w:rsid w:val="00F02BE9"/>
    <w:rsid w:val="00F02C9D"/>
    <w:rsid w:val="00F02E9D"/>
    <w:rsid w:val="00F02ED3"/>
    <w:rsid w:val="00F02F41"/>
    <w:rsid w:val="00F02F87"/>
    <w:rsid w:val="00F0321A"/>
    <w:rsid w:val="00F032C9"/>
    <w:rsid w:val="00F03374"/>
    <w:rsid w:val="00F033F0"/>
    <w:rsid w:val="00F03450"/>
    <w:rsid w:val="00F0349E"/>
    <w:rsid w:val="00F035F0"/>
    <w:rsid w:val="00F035F2"/>
    <w:rsid w:val="00F03661"/>
    <w:rsid w:val="00F03721"/>
    <w:rsid w:val="00F037E5"/>
    <w:rsid w:val="00F038AF"/>
    <w:rsid w:val="00F039CB"/>
    <w:rsid w:val="00F03CAA"/>
    <w:rsid w:val="00F03CF6"/>
    <w:rsid w:val="00F03D43"/>
    <w:rsid w:val="00F03D83"/>
    <w:rsid w:val="00F03E98"/>
    <w:rsid w:val="00F0419A"/>
    <w:rsid w:val="00F041B6"/>
    <w:rsid w:val="00F04296"/>
    <w:rsid w:val="00F042B0"/>
    <w:rsid w:val="00F0436D"/>
    <w:rsid w:val="00F04429"/>
    <w:rsid w:val="00F044B8"/>
    <w:rsid w:val="00F044DA"/>
    <w:rsid w:val="00F045A9"/>
    <w:rsid w:val="00F046C6"/>
    <w:rsid w:val="00F046F3"/>
    <w:rsid w:val="00F0472D"/>
    <w:rsid w:val="00F047CC"/>
    <w:rsid w:val="00F047CF"/>
    <w:rsid w:val="00F04826"/>
    <w:rsid w:val="00F048C6"/>
    <w:rsid w:val="00F04989"/>
    <w:rsid w:val="00F049BC"/>
    <w:rsid w:val="00F049F0"/>
    <w:rsid w:val="00F04C3A"/>
    <w:rsid w:val="00F04C49"/>
    <w:rsid w:val="00F04E1A"/>
    <w:rsid w:val="00F04E39"/>
    <w:rsid w:val="00F04E40"/>
    <w:rsid w:val="00F04E7C"/>
    <w:rsid w:val="00F04F79"/>
    <w:rsid w:val="00F04FA8"/>
    <w:rsid w:val="00F051A6"/>
    <w:rsid w:val="00F051FB"/>
    <w:rsid w:val="00F0521B"/>
    <w:rsid w:val="00F0559B"/>
    <w:rsid w:val="00F0560E"/>
    <w:rsid w:val="00F05615"/>
    <w:rsid w:val="00F0571A"/>
    <w:rsid w:val="00F058C4"/>
    <w:rsid w:val="00F0590F"/>
    <w:rsid w:val="00F05924"/>
    <w:rsid w:val="00F05AF5"/>
    <w:rsid w:val="00F05B28"/>
    <w:rsid w:val="00F05BAE"/>
    <w:rsid w:val="00F05C2D"/>
    <w:rsid w:val="00F05D92"/>
    <w:rsid w:val="00F05DAB"/>
    <w:rsid w:val="00F05E47"/>
    <w:rsid w:val="00F05E72"/>
    <w:rsid w:val="00F05F88"/>
    <w:rsid w:val="00F06072"/>
    <w:rsid w:val="00F06143"/>
    <w:rsid w:val="00F06160"/>
    <w:rsid w:val="00F061FD"/>
    <w:rsid w:val="00F06233"/>
    <w:rsid w:val="00F0626E"/>
    <w:rsid w:val="00F062AF"/>
    <w:rsid w:val="00F06322"/>
    <w:rsid w:val="00F0644C"/>
    <w:rsid w:val="00F064EA"/>
    <w:rsid w:val="00F0668F"/>
    <w:rsid w:val="00F0676A"/>
    <w:rsid w:val="00F06A0C"/>
    <w:rsid w:val="00F06AD3"/>
    <w:rsid w:val="00F06B65"/>
    <w:rsid w:val="00F06C6E"/>
    <w:rsid w:val="00F06D02"/>
    <w:rsid w:val="00F06D46"/>
    <w:rsid w:val="00F06D56"/>
    <w:rsid w:val="00F06FAC"/>
    <w:rsid w:val="00F06FC3"/>
    <w:rsid w:val="00F071A8"/>
    <w:rsid w:val="00F071BB"/>
    <w:rsid w:val="00F07493"/>
    <w:rsid w:val="00F07527"/>
    <w:rsid w:val="00F075A7"/>
    <w:rsid w:val="00F07A04"/>
    <w:rsid w:val="00F07E89"/>
    <w:rsid w:val="00F07F17"/>
    <w:rsid w:val="00F07FC6"/>
    <w:rsid w:val="00F10112"/>
    <w:rsid w:val="00F10280"/>
    <w:rsid w:val="00F1031E"/>
    <w:rsid w:val="00F104C6"/>
    <w:rsid w:val="00F10668"/>
    <w:rsid w:val="00F106B0"/>
    <w:rsid w:val="00F106BE"/>
    <w:rsid w:val="00F10748"/>
    <w:rsid w:val="00F10787"/>
    <w:rsid w:val="00F10879"/>
    <w:rsid w:val="00F108A0"/>
    <w:rsid w:val="00F108B1"/>
    <w:rsid w:val="00F108CB"/>
    <w:rsid w:val="00F108FE"/>
    <w:rsid w:val="00F10A35"/>
    <w:rsid w:val="00F10C8D"/>
    <w:rsid w:val="00F10D4A"/>
    <w:rsid w:val="00F10DF6"/>
    <w:rsid w:val="00F10E84"/>
    <w:rsid w:val="00F1107E"/>
    <w:rsid w:val="00F110FA"/>
    <w:rsid w:val="00F11255"/>
    <w:rsid w:val="00F11330"/>
    <w:rsid w:val="00F11415"/>
    <w:rsid w:val="00F11574"/>
    <w:rsid w:val="00F11663"/>
    <w:rsid w:val="00F11720"/>
    <w:rsid w:val="00F117BA"/>
    <w:rsid w:val="00F11888"/>
    <w:rsid w:val="00F118CC"/>
    <w:rsid w:val="00F11910"/>
    <w:rsid w:val="00F11979"/>
    <w:rsid w:val="00F11A57"/>
    <w:rsid w:val="00F11B43"/>
    <w:rsid w:val="00F11BF4"/>
    <w:rsid w:val="00F11CF9"/>
    <w:rsid w:val="00F11E04"/>
    <w:rsid w:val="00F12156"/>
    <w:rsid w:val="00F12459"/>
    <w:rsid w:val="00F12479"/>
    <w:rsid w:val="00F1252A"/>
    <w:rsid w:val="00F1276E"/>
    <w:rsid w:val="00F129AC"/>
    <w:rsid w:val="00F12ACA"/>
    <w:rsid w:val="00F12BA3"/>
    <w:rsid w:val="00F12CE0"/>
    <w:rsid w:val="00F1311B"/>
    <w:rsid w:val="00F1319E"/>
    <w:rsid w:val="00F132F2"/>
    <w:rsid w:val="00F132F3"/>
    <w:rsid w:val="00F1334D"/>
    <w:rsid w:val="00F134C1"/>
    <w:rsid w:val="00F13715"/>
    <w:rsid w:val="00F13789"/>
    <w:rsid w:val="00F13815"/>
    <w:rsid w:val="00F1383F"/>
    <w:rsid w:val="00F13938"/>
    <w:rsid w:val="00F13968"/>
    <w:rsid w:val="00F13A80"/>
    <w:rsid w:val="00F13E40"/>
    <w:rsid w:val="00F13E63"/>
    <w:rsid w:val="00F13E9F"/>
    <w:rsid w:val="00F140C9"/>
    <w:rsid w:val="00F14235"/>
    <w:rsid w:val="00F14262"/>
    <w:rsid w:val="00F1431E"/>
    <w:rsid w:val="00F14467"/>
    <w:rsid w:val="00F1451A"/>
    <w:rsid w:val="00F148A5"/>
    <w:rsid w:val="00F1493F"/>
    <w:rsid w:val="00F1494B"/>
    <w:rsid w:val="00F14A8C"/>
    <w:rsid w:val="00F14B1A"/>
    <w:rsid w:val="00F14B2A"/>
    <w:rsid w:val="00F14CE1"/>
    <w:rsid w:val="00F14E6E"/>
    <w:rsid w:val="00F14F05"/>
    <w:rsid w:val="00F1502C"/>
    <w:rsid w:val="00F15174"/>
    <w:rsid w:val="00F153EF"/>
    <w:rsid w:val="00F155C7"/>
    <w:rsid w:val="00F15620"/>
    <w:rsid w:val="00F159B9"/>
    <w:rsid w:val="00F15E06"/>
    <w:rsid w:val="00F15EF3"/>
    <w:rsid w:val="00F15F4B"/>
    <w:rsid w:val="00F1603C"/>
    <w:rsid w:val="00F16058"/>
    <w:rsid w:val="00F160B0"/>
    <w:rsid w:val="00F16131"/>
    <w:rsid w:val="00F16163"/>
    <w:rsid w:val="00F16205"/>
    <w:rsid w:val="00F16257"/>
    <w:rsid w:val="00F16274"/>
    <w:rsid w:val="00F165C8"/>
    <w:rsid w:val="00F1663C"/>
    <w:rsid w:val="00F166B1"/>
    <w:rsid w:val="00F16712"/>
    <w:rsid w:val="00F16750"/>
    <w:rsid w:val="00F169BD"/>
    <w:rsid w:val="00F169F9"/>
    <w:rsid w:val="00F16C01"/>
    <w:rsid w:val="00F16DE6"/>
    <w:rsid w:val="00F16FB9"/>
    <w:rsid w:val="00F17316"/>
    <w:rsid w:val="00F1734B"/>
    <w:rsid w:val="00F173B3"/>
    <w:rsid w:val="00F1742C"/>
    <w:rsid w:val="00F17440"/>
    <w:rsid w:val="00F17685"/>
    <w:rsid w:val="00F17806"/>
    <w:rsid w:val="00F178B8"/>
    <w:rsid w:val="00F17A52"/>
    <w:rsid w:val="00F17AB1"/>
    <w:rsid w:val="00F17B39"/>
    <w:rsid w:val="00F17CB7"/>
    <w:rsid w:val="00F17CD1"/>
    <w:rsid w:val="00F17DAC"/>
    <w:rsid w:val="00F17EC7"/>
    <w:rsid w:val="00F17F49"/>
    <w:rsid w:val="00F20002"/>
    <w:rsid w:val="00F2005C"/>
    <w:rsid w:val="00F2008C"/>
    <w:rsid w:val="00F20174"/>
    <w:rsid w:val="00F202E6"/>
    <w:rsid w:val="00F20391"/>
    <w:rsid w:val="00F20609"/>
    <w:rsid w:val="00F20724"/>
    <w:rsid w:val="00F2086D"/>
    <w:rsid w:val="00F20A73"/>
    <w:rsid w:val="00F20AF9"/>
    <w:rsid w:val="00F20B23"/>
    <w:rsid w:val="00F20B6E"/>
    <w:rsid w:val="00F20BB9"/>
    <w:rsid w:val="00F20C9C"/>
    <w:rsid w:val="00F20CEC"/>
    <w:rsid w:val="00F20E38"/>
    <w:rsid w:val="00F20ECD"/>
    <w:rsid w:val="00F2106E"/>
    <w:rsid w:val="00F2127B"/>
    <w:rsid w:val="00F2139E"/>
    <w:rsid w:val="00F215E3"/>
    <w:rsid w:val="00F21624"/>
    <w:rsid w:val="00F21A7B"/>
    <w:rsid w:val="00F21C8D"/>
    <w:rsid w:val="00F21EE1"/>
    <w:rsid w:val="00F222B4"/>
    <w:rsid w:val="00F22364"/>
    <w:rsid w:val="00F22548"/>
    <w:rsid w:val="00F22665"/>
    <w:rsid w:val="00F226E7"/>
    <w:rsid w:val="00F228B6"/>
    <w:rsid w:val="00F22943"/>
    <w:rsid w:val="00F229B8"/>
    <w:rsid w:val="00F22AB9"/>
    <w:rsid w:val="00F22C53"/>
    <w:rsid w:val="00F22D0A"/>
    <w:rsid w:val="00F22FF7"/>
    <w:rsid w:val="00F23029"/>
    <w:rsid w:val="00F23067"/>
    <w:rsid w:val="00F230B2"/>
    <w:rsid w:val="00F231E9"/>
    <w:rsid w:val="00F2338F"/>
    <w:rsid w:val="00F2345F"/>
    <w:rsid w:val="00F2348A"/>
    <w:rsid w:val="00F234AF"/>
    <w:rsid w:val="00F234B9"/>
    <w:rsid w:val="00F23816"/>
    <w:rsid w:val="00F23938"/>
    <w:rsid w:val="00F239C3"/>
    <w:rsid w:val="00F239CE"/>
    <w:rsid w:val="00F239DD"/>
    <w:rsid w:val="00F23ADE"/>
    <w:rsid w:val="00F23C8D"/>
    <w:rsid w:val="00F23D79"/>
    <w:rsid w:val="00F23EB8"/>
    <w:rsid w:val="00F23EFF"/>
    <w:rsid w:val="00F23F0D"/>
    <w:rsid w:val="00F24001"/>
    <w:rsid w:val="00F240FC"/>
    <w:rsid w:val="00F242B4"/>
    <w:rsid w:val="00F2432E"/>
    <w:rsid w:val="00F2436C"/>
    <w:rsid w:val="00F243F2"/>
    <w:rsid w:val="00F24429"/>
    <w:rsid w:val="00F244DB"/>
    <w:rsid w:val="00F2466F"/>
    <w:rsid w:val="00F24871"/>
    <w:rsid w:val="00F24A5C"/>
    <w:rsid w:val="00F24BC2"/>
    <w:rsid w:val="00F24C32"/>
    <w:rsid w:val="00F24C79"/>
    <w:rsid w:val="00F24CB9"/>
    <w:rsid w:val="00F24E84"/>
    <w:rsid w:val="00F24F40"/>
    <w:rsid w:val="00F24FB2"/>
    <w:rsid w:val="00F250C1"/>
    <w:rsid w:val="00F2511A"/>
    <w:rsid w:val="00F25139"/>
    <w:rsid w:val="00F25385"/>
    <w:rsid w:val="00F25486"/>
    <w:rsid w:val="00F254C9"/>
    <w:rsid w:val="00F254E9"/>
    <w:rsid w:val="00F25738"/>
    <w:rsid w:val="00F257C1"/>
    <w:rsid w:val="00F259E0"/>
    <w:rsid w:val="00F259E4"/>
    <w:rsid w:val="00F25A64"/>
    <w:rsid w:val="00F25A7C"/>
    <w:rsid w:val="00F25BCE"/>
    <w:rsid w:val="00F25CAB"/>
    <w:rsid w:val="00F25DAC"/>
    <w:rsid w:val="00F25F66"/>
    <w:rsid w:val="00F25F79"/>
    <w:rsid w:val="00F25FA6"/>
    <w:rsid w:val="00F26032"/>
    <w:rsid w:val="00F262DA"/>
    <w:rsid w:val="00F262F2"/>
    <w:rsid w:val="00F266C7"/>
    <w:rsid w:val="00F266F7"/>
    <w:rsid w:val="00F2670B"/>
    <w:rsid w:val="00F26713"/>
    <w:rsid w:val="00F269FB"/>
    <w:rsid w:val="00F26A6C"/>
    <w:rsid w:val="00F26B1B"/>
    <w:rsid w:val="00F26B3E"/>
    <w:rsid w:val="00F26E43"/>
    <w:rsid w:val="00F26F15"/>
    <w:rsid w:val="00F26F1D"/>
    <w:rsid w:val="00F27207"/>
    <w:rsid w:val="00F27281"/>
    <w:rsid w:val="00F27314"/>
    <w:rsid w:val="00F2739E"/>
    <w:rsid w:val="00F27418"/>
    <w:rsid w:val="00F2743D"/>
    <w:rsid w:val="00F2753E"/>
    <w:rsid w:val="00F2758D"/>
    <w:rsid w:val="00F275E8"/>
    <w:rsid w:val="00F27717"/>
    <w:rsid w:val="00F27977"/>
    <w:rsid w:val="00F27AC6"/>
    <w:rsid w:val="00F27B6F"/>
    <w:rsid w:val="00F27C75"/>
    <w:rsid w:val="00F27DBC"/>
    <w:rsid w:val="00F27E9D"/>
    <w:rsid w:val="00F27EAF"/>
    <w:rsid w:val="00F27F4A"/>
    <w:rsid w:val="00F27F74"/>
    <w:rsid w:val="00F30088"/>
    <w:rsid w:val="00F30175"/>
    <w:rsid w:val="00F301FB"/>
    <w:rsid w:val="00F3021D"/>
    <w:rsid w:val="00F302BA"/>
    <w:rsid w:val="00F30372"/>
    <w:rsid w:val="00F30441"/>
    <w:rsid w:val="00F305B6"/>
    <w:rsid w:val="00F306FA"/>
    <w:rsid w:val="00F30734"/>
    <w:rsid w:val="00F30900"/>
    <w:rsid w:val="00F30947"/>
    <w:rsid w:val="00F30973"/>
    <w:rsid w:val="00F30BD1"/>
    <w:rsid w:val="00F30CA0"/>
    <w:rsid w:val="00F30D56"/>
    <w:rsid w:val="00F30EBA"/>
    <w:rsid w:val="00F30F9F"/>
    <w:rsid w:val="00F30FB8"/>
    <w:rsid w:val="00F31168"/>
    <w:rsid w:val="00F3130E"/>
    <w:rsid w:val="00F313E7"/>
    <w:rsid w:val="00F314E4"/>
    <w:rsid w:val="00F316AB"/>
    <w:rsid w:val="00F31969"/>
    <w:rsid w:val="00F31A40"/>
    <w:rsid w:val="00F31A94"/>
    <w:rsid w:val="00F31C48"/>
    <w:rsid w:val="00F31E8C"/>
    <w:rsid w:val="00F31F12"/>
    <w:rsid w:val="00F31FAB"/>
    <w:rsid w:val="00F32135"/>
    <w:rsid w:val="00F321AA"/>
    <w:rsid w:val="00F3242C"/>
    <w:rsid w:val="00F32441"/>
    <w:rsid w:val="00F32646"/>
    <w:rsid w:val="00F32751"/>
    <w:rsid w:val="00F327BE"/>
    <w:rsid w:val="00F32902"/>
    <w:rsid w:val="00F32998"/>
    <w:rsid w:val="00F32A40"/>
    <w:rsid w:val="00F32C12"/>
    <w:rsid w:val="00F32C7F"/>
    <w:rsid w:val="00F3303A"/>
    <w:rsid w:val="00F33235"/>
    <w:rsid w:val="00F332D0"/>
    <w:rsid w:val="00F33442"/>
    <w:rsid w:val="00F3345D"/>
    <w:rsid w:val="00F33474"/>
    <w:rsid w:val="00F3351E"/>
    <w:rsid w:val="00F33587"/>
    <w:rsid w:val="00F335BA"/>
    <w:rsid w:val="00F3379C"/>
    <w:rsid w:val="00F337EB"/>
    <w:rsid w:val="00F3388E"/>
    <w:rsid w:val="00F338B2"/>
    <w:rsid w:val="00F33B9B"/>
    <w:rsid w:val="00F33C13"/>
    <w:rsid w:val="00F33D6C"/>
    <w:rsid w:val="00F33DD9"/>
    <w:rsid w:val="00F33E25"/>
    <w:rsid w:val="00F33FB6"/>
    <w:rsid w:val="00F34034"/>
    <w:rsid w:val="00F34036"/>
    <w:rsid w:val="00F3404C"/>
    <w:rsid w:val="00F34127"/>
    <w:rsid w:val="00F341D8"/>
    <w:rsid w:val="00F34372"/>
    <w:rsid w:val="00F34464"/>
    <w:rsid w:val="00F34655"/>
    <w:rsid w:val="00F3467B"/>
    <w:rsid w:val="00F347EA"/>
    <w:rsid w:val="00F348A2"/>
    <w:rsid w:val="00F348AA"/>
    <w:rsid w:val="00F34BAC"/>
    <w:rsid w:val="00F34C50"/>
    <w:rsid w:val="00F34C85"/>
    <w:rsid w:val="00F34CE4"/>
    <w:rsid w:val="00F34DE3"/>
    <w:rsid w:val="00F35004"/>
    <w:rsid w:val="00F35050"/>
    <w:rsid w:val="00F3513C"/>
    <w:rsid w:val="00F35189"/>
    <w:rsid w:val="00F351E7"/>
    <w:rsid w:val="00F35220"/>
    <w:rsid w:val="00F3535A"/>
    <w:rsid w:val="00F35384"/>
    <w:rsid w:val="00F353CF"/>
    <w:rsid w:val="00F35417"/>
    <w:rsid w:val="00F355AE"/>
    <w:rsid w:val="00F3561D"/>
    <w:rsid w:val="00F3563D"/>
    <w:rsid w:val="00F3569A"/>
    <w:rsid w:val="00F35722"/>
    <w:rsid w:val="00F35831"/>
    <w:rsid w:val="00F35869"/>
    <w:rsid w:val="00F359A9"/>
    <w:rsid w:val="00F35A3F"/>
    <w:rsid w:val="00F35A9A"/>
    <w:rsid w:val="00F35B72"/>
    <w:rsid w:val="00F35BBD"/>
    <w:rsid w:val="00F35C41"/>
    <w:rsid w:val="00F35E37"/>
    <w:rsid w:val="00F3604F"/>
    <w:rsid w:val="00F36111"/>
    <w:rsid w:val="00F362CB"/>
    <w:rsid w:val="00F36353"/>
    <w:rsid w:val="00F36380"/>
    <w:rsid w:val="00F363B0"/>
    <w:rsid w:val="00F363BE"/>
    <w:rsid w:val="00F364A1"/>
    <w:rsid w:val="00F364B2"/>
    <w:rsid w:val="00F366BD"/>
    <w:rsid w:val="00F36710"/>
    <w:rsid w:val="00F36928"/>
    <w:rsid w:val="00F36CE4"/>
    <w:rsid w:val="00F36ED3"/>
    <w:rsid w:val="00F36F03"/>
    <w:rsid w:val="00F370C1"/>
    <w:rsid w:val="00F371D1"/>
    <w:rsid w:val="00F373EB"/>
    <w:rsid w:val="00F37411"/>
    <w:rsid w:val="00F3741D"/>
    <w:rsid w:val="00F3759C"/>
    <w:rsid w:val="00F378D6"/>
    <w:rsid w:val="00F379A4"/>
    <w:rsid w:val="00F37A0B"/>
    <w:rsid w:val="00F37AAC"/>
    <w:rsid w:val="00F37BCD"/>
    <w:rsid w:val="00F37FF7"/>
    <w:rsid w:val="00F4017D"/>
    <w:rsid w:val="00F401E4"/>
    <w:rsid w:val="00F40433"/>
    <w:rsid w:val="00F4051B"/>
    <w:rsid w:val="00F40566"/>
    <w:rsid w:val="00F405F7"/>
    <w:rsid w:val="00F4070D"/>
    <w:rsid w:val="00F40A49"/>
    <w:rsid w:val="00F40A5E"/>
    <w:rsid w:val="00F40B22"/>
    <w:rsid w:val="00F40BBD"/>
    <w:rsid w:val="00F40E97"/>
    <w:rsid w:val="00F40E9A"/>
    <w:rsid w:val="00F40F95"/>
    <w:rsid w:val="00F410A3"/>
    <w:rsid w:val="00F41191"/>
    <w:rsid w:val="00F412DC"/>
    <w:rsid w:val="00F41308"/>
    <w:rsid w:val="00F4130C"/>
    <w:rsid w:val="00F413B6"/>
    <w:rsid w:val="00F413D9"/>
    <w:rsid w:val="00F4158E"/>
    <w:rsid w:val="00F416D8"/>
    <w:rsid w:val="00F41724"/>
    <w:rsid w:val="00F417BB"/>
    <w:rsid w:val="00F417C8"/>
    <w:rsid w:val="00F41841"/>
    <w:rsid w:val="00F418CE"/>
    <w:rsid w:val="00F41C4E"/>
    <w:rsid w:val="00F41E94"/>
    <w:rsid w:val="00F41F69"/>
    <w:rsid w:val="00F41FC3"/>
    <w:rsid w:val="00F421A0"/>
    <w:rsid w:val="00F424E2"/>
    <w:rsid w:val="00F42529"/>
    <w:rsid w:val="00F427E0"/>
    <w:rsid w:val="00F427F0"/>
    <w:rsid w:val="00F428CC"/>
    <w:rsid w:val="00F42A25"/>
    <w:rsid w:val="00F42A4A"/>
    <w:rsid w:val="00F42C5D"/>
    <w:rsid w:val="00F42CB8"/>
    <w:rsid w:val="00F42DFB"/>
    <w:rsid w:val="00F42E07"/>
    <w:rsid w:val="00F42EFF"/>
    <w:rsid w:val="00F431B1"/>
    <w:rsid w:val="00F43296"/>
    <w:rsid w:val="00F4337E"/>
    <w:rsid w:val="00F4347C"/>
    <w:rsid w:val="00F434E9"/>
    <w:rsid w:val="00F43548"/>
    <w:rsid w:val="00F43900"/>
    <w:rsid w:val="00F43924"/>
    <w:rsid w:val="00F439DB"/>
    <w:rsid w:val="00F43BCB"/>
    <w:rsid w:val="00F43BF9"/>
    <w:rsid w:val="00F43C2B"/>
    <w:rsid w:val="00F43C92"/>
    <w:rsid w:val="00F43F23"/>
    <w:rsid w:val="00F43F44"/>
    <w:rsid w:val="00F43F52"/>
    <w:rsid w:val="00F44246"/>
    <w:rsid w:val="00F44247"/>
    <w:rsid w:val="00F442CF"/>
    <w:rsid w:val="00F44436"/>
    <w:rsid w:val="00F4445C"/>
    <w:rsid w:val="00F44778"/>
    <w:rsid w:val="00F44876"/>
    <w:rsid w:val="00F44963"/>
    <w:rsid w:val="00F4499C"/>
    <w:rsid w:val="00F44B9C"/>
    <w:rsid w:val="00F44D3F"/>
    <w:rsid w:val="00F44E3A"/>
    <w:rsid w:val="00F44E4C"/>
    <w:rsid w:val="00F44EC1"/>
    <w:rsid w:val="00F44FFE"/>
    <w:rsid w:val="00F45071"/>
    <w:rsid w:val="00F451FE"/>
    <w:rsid w:val="00F452F4"/>
    <w:rsid w:val="00F453DF"/>
    <w:rsid w:val="00F455DB"/>
    <w:rsid w:val="00F45657"/>
    <w:rsid w:val="00F45812"/>
    <w:rsid w:val="00F45999"/>
    <w:rsid w:val="00F459FA"/>
    <w:rsid w:val="00F45BA7"/>
    <w:rsid w:val="00F45C0C"/>
    <w:rsid w:val="00F45EB1"/>
    <w:rsid w:val="00F45F64"/>
    <w:rsid w:val="00F46021"/>
    <w:rsid w:val="00F46199"/>
    <w:rsid w:val="00F4624D"/>
    <w:rsid w:val="00F462FA"/>
    <w:rsid w:val="00F46551"/>
    <w:rsid w:val="00F465E9"/>
    <w:rsid w:val="00F4669C"/>
    <w:rsid w:val="00F4672B"/>
    <w:rsid w:val="00F4681A"/>
    <w:rsid w:val="00F46851"/>
    <w:rsid w:val="00F46902"/>
    <w:rsid w:val="00F46927"/>
    <w:rsid w:val="00F469B1"/>
    <w:rsid w:val="00F46A0D"/>
    <w:rsid w:val="00F46AEB"/>
    <w:rsid w:val="00F46C24"/>
    <w:rsid w:val="00F46C3F"/>
    <w:rsid w:val="00F46D31"/>
    <w:rsid w:val="00F46D38"/>
    <w:rsid w:val="00F46E04"/>
    <w:rsid w:val="00F46E6F"/>
    <w:rsid w:val="00F46ED8"/>
    <w:rsid w:val="00F46EE4"/>
    <w:rsid w:val="00F46F1A"/>
    <w:rsid w:val="00F46FBB"/>
    <w:rsid w:val="00F47049"/>
    <w:rsid w:val="00F47322"/>
    <w:rsid w:val="00F475CC"/>
    <w:rsid w:val="00F4763F"/>
    <w:rsid w:val="00F476C9"/>
    <w:rsid w:val="00F478FC"/>
    <w:rsid w:val="00F47D6F"/>
    <w:rsid w:val="00F47D85"/>
    <w:rsid w:val="00F47E14"/>
    <w:rsid w:val="00F47E95"/>
    <w:rsid w:val="00F50075"/>
    <w:rsid w:val="00F50202"/>
    <w:rsid w:val="00F505EE"/>
    <w:rsid w:val="00F505FA"/>
    <w:rsid w:val="00F507AF"/>
    <w:rsid w:val="00F50AB1"/>
    <w:rsid w:val="00F50ACD"/>
    <w:rsid w:val="00F50B29"/>
    <w:rsid w:val="00F50BF2"/>
    <w:rsid w:val="00F50E81"/>
    <w:rsid w:val="00F50F34"/>
    <w:rsid w:val="00F51096"/>
    <w:rsid w:val="00F511EB"/>
    <w:rsid w:val="00F5126C"/>
    <w:rsid w:val="00F514BB"/>
    <w:rsid w:val="00F515D5"/>
    <w:rsid w:val="00F51650"/>
    <w:rsid w:val="00F51B24"/>
    <w:rsid w:val="00F51B42"/>
    <w:rsid w:val="00F51D69"/>
    <w:rsid w:val="00F51FC7"/>
    <w:rsid w:val="00F52105"/>
    <w:rsid w:val="00F52204"/>
    <w:rsid w:val="00F52281"/>
    <w:rsid w:val="00F5245B"/>
    <w:rsid w:val="00F524A3"/>
    <w:rsid w:val="00F52522"/>
    <w:rsid w:val="00F526D8"/>
    <w:rsid w:val="00F526F2"/>
    <w:rsid w:val="00F527F1"/>
    <w:rsid w:val="00F5287C"/>
    <w:rsid w:val="00F52881"/>
    <w:rsid w:val="00F5288A"/>
    <w:rsid w:val="00F52FA3"/>
    <w:rsid w:val="00F52FFB"/>
    <w:rsid w:val="00F53040"/>
    <w:rsid w:val="00F53227"/>
    <w:rsid w:val="00F53275"/>
    <w:rsid w:val="00F53281"/>
    <w:rsid w:val="00F533CA"/>
    <w:rsid w:val="00F533D0"/>
    <w:rsid w:val="00F536EC"/>
    <w:rsid w:val="00F53831"/>
    <w:rsid w:val="00F5384F"/>
    <w:rsid w:val="00F53854"/>
    <w:rsid w:val="00F539D3"/>
    <w:rsid w:val="00F53B39"/>
    <w:rsid w:val="00F53C5C"/>
    <w:rsid w:val="00F53E4C"/>
    <w:rsid w:val="00F54055"/>
    <w:rsid w:val="00F5405D"/>
    <w:rsid w:val="00F541F6"/>
    <w:rsid w:val="00F541FD"/>
    <w:rsid w:val="00F542AF"/>
    <w:rsid w:val="00F54370"/>
    <w:rsid w:val="00F544AA"/>
    <w:rsid w:val="00F54C7A"/>
    <w:rsid w:val="00F54DED"/>
    <w:rsid w:val="00F54EAA"/>
    <w:rsid w:val="00F55008"/>
    <w:rsid w:val="00F550EB"/>
    <w:rsid w:val="00F552D7"/>
    <w:rsid w:val="00F55319"/>
    <w:rsid w:val="00F5531F"/>
    <w:rsid w:val="00F55429"/>
    <w:rsid w:val="00F554C4"/>
    <w:rsid w:val="00F55511"/>
    <w:rsid w:val="00F5553A"/>
    <w:rsid w:val="00F5582E"/>
    <w:rsid w:val="00F55A63"/>
    <w:rsid w:val="00F55AC2"/>
    <w:rsid w:val="00F55C97"/>
    <w:rsid w:val="00F55DE2"/>
    <w:rsid w:val="00F560FD"/>
    <w:rsid w:val="00F561B6"/>
    <w:rsid w:val="00F563DB"/>
    <w:rsid w:val="00F564F3"/>
    <w:rsid w:val="00F565DE"/>
    <w:rsid w:val="00F56942"/>
    <w:rsid w:val="00F56BD2"/>
    <w:rsid w:val="00F56DFF"/>
    <w:rsid w:val="00F56FAC"/>
    <w:rsid w:val="00F5721F"/>
    <w:rsid w:val="00F572F9"/>
    <w:rsid w:val="00F5747D"/>
    <w:rsid w:val="00F574AC"/>
    <w:rsid w:val="00F5767E"/>
    <w:rsid w:val="00F576A0"/>
    <w:rsid w:val="00F5778D"/>
    <w:rsid w:val="00F57810"/>
    <w:rsid w:val="00F57C07"/>
    <w:rsid w:val="00F57E2F"/>
    <w:rsid w:val="00F57E84"/>
    <w:rsid w:val="00F57EC4"/>
    <w:rsid w:val="00F57EC5"/>
    <w:rsid w:val="00F57F96"/>
    <w:rsid w:val="00F6009B"/>
    <w:rsid w:val="00F6029F"/>
    <w:rsid w:val="00F603F8"/>
    <w:rsid w:val="00F6050A"/>
    <w:rsid w:val="00F60609"/>
    <w:rsid w:val="00F60621"/>
    <w:rsid w:val="00F60661"/>
    <w:rsid w:val="00F60668"/>
    <w:rsid w:val="00F6069F"/>
    <w:rsid w:val="00F6088F"/>
    <w:rsid w:val="00F60BC9"/>
    <w:rsid w:val="00F60BCB"/>
    <w:rsid w:val="00F60CCE"/>
    <w:rsid w:val="00F60CD4"/>
    <w:rsid w:val="00F60E69"/>
    <w:rsid w:val="00F60F70"/>
    <w:rsid w:val="00F61066"/>
    <w:rsid w:val="00F61165"/>
    <w:rsid w:val="00F61310"/>
    <w:rsid w:val="00F61500"/>
    <w:rsid w:val="00F617BD"/>
    <w:rsid w:val="00F618FD"/>
    <w:rsid w:val="00F6198A"/>
    <w:rsid w:val="00F61B45"/>
    <w:rsid w:val="00F61BC0"/>
    <w:rsid w:val="00F61C4E"/>
    <w:rsid w:val="00F61ECA"/>
    <w:rsid w:val="00F61F14"/>
    <w:rsid w:val="00F61F1B"/>
    <w:rsid w:val="00F61FE6"/>
    <w:rsid w:val="00F620B2"/>
    <w:rsid w:val="00F6239F"/>
    <w:rsid w:val="00F624A9"/>
    <w:rsid w:val="00F62587"/>
    <w:rsid w:val="00F625CF"/>
    <w:rsid w:val="00F62779"/>
    <w:rsid w:val="00F62794"/>
    <w:rsid w:val="00F62967"/>
    <w:rsid w:val="00F6299F"/>
    <w:rsid w:val="00F62B3F"/>
    <w:rsid w:val="00F62C4F"/>
    <w:rsid w:val="00F62E77"/>
    <w:rsid w:val="00F62EC0"/>
    <w:rsid w:val="00F6304E"/>
    <w:rsid w:val="00F631B1"/>
    <w:rsid w:val="00F631BD"/>
    <w:rsid w:val="00F63299"/>
    <w:rsid w:val="00F634B7"/>
    <w:rsid w:val="00F63520"/>
    <w:rsid w:val="00F6352F"/>
    <w:rsid w:val="00F6353D"/>
    <w:rsid w:val="00F635AD"/>
    <w:rsid w:val="00F63A8B"/>
    <w:rsid w:val="00F63BB4"/>
    <w:rsid w:val="00F63CD9"/>
    <w:rsid w:val="00F63CFC"/>
    <w:rsid w:val="00F63E0F"/>
    <w:rsid w:val="00F63E77"/>
    <w:rsid w:val="00F63EE3"/>
    <w:rsid w:val="00F6427D"/>
    <w:rsid w:val="00F643F9"/>
    <w:rsid w:val="00F643FE"/>
    <w:rsid w:val="00F644D7"/>
    <w:rsid w:val="00F64503"/>
    <w:rsid w:val="00F6453A"/>
    <w:rsid w:val="00F64631"/>
    <w:rsid w:val="00F64748"/>
    <w:rsid w:val="00F648AE"/>
    <w:rsid w:val="00F64917"/>
    <w:rsid w:val="00F649EC"/>
    <w:rsid w:val="00F64A30"/>
    <w:rsid w:val="00F64A3D"/>
    <w:rsid w:val="00F64B3E"/>
    <w:rsid w:val="00F64C1D"/>
    <w:rsid w:val="00F64C6D"/>
    <w:rsid w:val="00F64E96"/>
    <w:rsid w:val="00F64FB9"/>
    <w:rsid w:val="00F6517A"/>
    <w:rsid w:val="00F651BB"/>
    <w:rsid w:val="00F651F1"/>
    <w:rsid w:val="00F651F6"/>
    <w:rsid w:val="00F6526F"/>
    <w:rsid w:val="00F65518"/>
    <w:rsid w:val="00F6572D"/>
    <w:rsid w:val="00F6582E"/>
    <w:rsid w:val="00F65837"/>
    <w:rsid w:val="00F65878"/>
    <w:rsid w:val="00F65928"/>
    <w:rsid w:val="00F65982"/>
    <w:rsid w:val="00F65ACB"/>
    <w:rsid w:val="00F65B3D"/>
    <w:rsid w:val="00F65BE7"/>
    <w:rsid w:val="00F65EE1"/>
    <w:rsid w:val="00F6617E"/>
    <w:rsid w:val="00F661A0"/>
    <w:rsid w:val="00F6628D"/>
    <w:rsid w:val="00F662D8"/>
    <w:rsid w:val="00F66306"/>
    <w:rsid w:val="00F66316"/>
    <w:rsid w:val="00F66328"/>
    <w:rsid w:val="00F66360"/>
    <w:rsid w:val="00F6639D"/>
    <w:rsid w:val="00F66516"/>
    <w:rsid w:val="00F66582"/>
    <w:rsid w:val="00F66807"/>
    <w:rsid w:val="00F66875"/>
    <w:rsid w:val="00F669CE"/>
    <w:rsid w:val="00F66B26"/>
    <w:rsid w:val="00F66C12"/>
    <w:rsid w:val="00F66D38"/>
    <w:rsid w:val="00F66E7B"/>
    <w:rsid w:val="00F66E9E"/>
    <w:rsid w:val="00F66F00"/>
    <w:rsid w:val="00F66FED"/>
    <w:rsid w:val="00F6732C"/>
    <w:rsid w:val="00F673AD"/>
    <w:rsid w:val="00F67518"/>
    <w:rsid w:val="00F6760F"/>
    <w:rsid w:val="00F6767B"/>
    <w:rsid w:val="00F6784C"/>
    <w:rsid w:val="00F67856"/>
    <w:rsid w:val="00F678BB"/>
    <w:rsid w:val="00F67BEA"/>
    <w:rsid w:val="00F67C6B"/>
    <w:rsid w:val="00F67DBB"/>
    <w:rsid w:val="00F67DC8"/>
    <w:rsid w:val="00F67F9E"/>
    <w:rsid w:val="00F700C4"/>
    <w:rsid w:val="00F70124"/>
    <w:rsid w:val="00F70189"/>
    <w:rsid w:val="00F7028A"/>
    <w:rsid w:val="00F703C5"/>
    <w:rsid w:val="00F706FB"/>
    <w:rsid w:val="00F70861"/>
    <w:rsid w:val="00F70A33"/>
    <w:rsid w:val="00F70A3A"/>
    <w:rsid w:val="00F70A5F"/>
    <w:rsid w:val="00F70C12"/>
    <w:rsid w:val="00F70D9F"/>
    <w:rsid w:val="00F70ECE"/>
    <w:rsid w:val="00F70F1E"/>
    <w:rsid w:val="00F70FA9"/>
    <w:rsid w:val="00F70FF2"/>
    <w:rsid w:val="00F710D7"/>
    <w:rsid w:val="00F71259"/>
    <w:rsid w:val="00F713AA"/>
    <w:rsid w:val="00F7143D"/>
    <w:rsid w:val="00F715A5"/>
    <w:rsid w:val="00F71749"/>
    <w:rsid w:val="00F71906"/>
    <w:rsid w:val="00F71F03"/>
    <w:rsid w:val="00F72091"/>
    <w:rsid w:val="00F7213A"/>
    <w:rsid w:val="00F721B3"/>
    <w:rsid w:val="00F72248"/>
    <w:rsid w:val="00F72254"/>
    <w:rsid w:val="00F72407"/>
    <w:rsid w:val="00F7245B"/>
    <w:rsid w:val="00F7259D"/>
    <w:rsid w:val="00F725A3"/>
    <w:rsid w:val="00F725CA"/>
    <w:rsid w:val="00F72645"/>
    <w:rsid w:val="00F72884"/>
    <w:rsid w:val="00F728CF"/>
    <w:rsid w:val="00F72A60"/>
    <w:rsid w:val="00F72AEB"/>
    <w:rsid w:val="00F72BC7"/>
    <w:rsid w:val="00F72BEC"/>
    <w:rsid w:val="00F72ED6"/>
    <w:rsid w:val="00F72ED8"/>
    <w:rsid w:val="00F72EFE"/>
    <w:rsid w:val="00F72F22"/>
    <w:rsid w:val="00F73000"/>
    <w:rsid w:val="00F73271"/>
    <w:rsid w:val="00F73502"/>
    <w:rsid w:val="00F7356F"/>
    <w:rsid w:val="00F73585"/>
    <w:rsid w:val="00F737C9"/>
    <w:rsid w:val="00F73820"/>
    <w:rsid w:val="00F73929"/>
    <w:rsid w:val="00F73C7A"/>
    <w:rsid w:val="00F73CEC"/>
    <w:rsid w:val="00F73E06"/>
    <w:rsid w:val="00F740AF"/>
    <w:rsid w:val="00F74489"/>
    <w:rsid w:val="00F74492"/>
    <w:rsid w:val="00F74539"/>
    <w:rsid w:val="00F7453E"/>
    <w:rsid w:val="00F74545"/>
    <w:rsid w:val="00F7469F"/>
    <w:rsid w:val="00F746A5"/>
    <w:rsid w:val="00F748F5"/>
    <w:rsid w:val="00F74A20"/>
    <w:rsid w:val="00F74B71"/>
    <w:rsid w:val="00F74C0E"/>
    <w:rsid w:val="00F74C2E"/>
    <w:rsid w:val="00F74D08"/>
    <w:rsid w:val="00F74D11"/>
    <w:rsid w:val="00F74D4E"/>
    <w:rsid w:val="00F74DE0"/>
    <w:rsid w:val="00F74DE7"/>
    <w:rsid w:val="00F74F1F"/>
    <w:rsid w:val="00F74F56"/>
    <w:rsid w:val="00F752B9"/>
    <w:rsid w:val="00F752CC"/>
    <w:rsid w:val="00F75366"/>
    <w:rsid w:val="00F7542A"/>
    <w:rsid w:val="00F7546D"/>
    <w:rsid w:val="00F755B4"/>
    <w:rsid w:val="00F75683"/>
    <w:rsid w:val="00F756F2"/>
    <w:rsid w:val="00F75818"/>
    <w:rsid w:val="00F7590C"/>
    <w:rsid w:val="00F75968"/>
    <w:rsid w:val="00F75AB1"/>
    <w:rsid w:val="00F75B2C"/>
    <w:rsid w:val="00F75BA5"/>
    <w:rsid w:val="00F75BB7"/>
    <w:rsid w:val="00F75F1F"/>
    <w:rsid w:val="00F75F29"/>
    <w:rsid w:val="00F76263"/>
    <w:rsid w:val="00F762EB"/>
    <w:rsid w:val="00F764C0"/>
    <w:rsid w:val="00F766E7"/>
    <w:rsid w:val="00F766F6"/>
    <w:rsid w:val="00F7689D"/>
    <w:rsid w:val="00F768A2"/>
    <w:rsid w:val="00F768EA"/>
    <w:rsid w:val="00F76902"/>
    <w:rsid w:val="00F76A53"/>
    <w:rsid w:val="00F76AA4"/>
    <w:rsid w:val="00F76BCE"/>
    <w:rsid w:val="00F76C05"/>
    <w:rsid w:val="00F76C37"/>
    <w:rsid w:val="00F76CCC"/>
    <w:rsid w:val="00F76D8F"/>
    <w:rsid w:val="00F76E75"/>
    <w:rsid w:val="00F76E79"/>
    <w:rsid w:val="00F76F9F"/>
    <w:rsid w:val="00F76FA6"/>
    <w:rsid w:val="00F7701D"/>
    <w:rsid w:val="00F7707B"/>
    <w:rsid w:val="00F770B3"/>
    <w:rsid w:val="00F771FF"/>
    <w:rsid w:val="00F772C1"/>
    <w:rsid w:val="00F77418"/>
    <w:rsid w:val="00F77421"/>
    <w:rsid w:val="00F77516"/>
    <w:rsid w:val="00F775CA"/>
    <w:rsid w:val="00F77612"/>
    <w:rsid w:val="00F777F7"/>
    <w:rsid w:val="00F778D7"/>
    <w:rsid w:val="00F778F9"/>
    <w:rsid w:val="00F77A23"/>
    <w:rsid w:val="00F77C67"/>
    <w:rsid w:val="00F77E2E"/>
    <w:rsid w:val="00F77EAF"/>
    <w:rsid w:val="00F8017E"/>
    <w:rsid w:val="00F8023E"/>
    <w:rsid w:val="00F8040A"/>
    <w:rsid w:val="00F80505"/>
    <w:rsid w:val="00F80583"/>
    <w:rsid w:val="00F806B5"/>
    <w:rsid w:val="00F808A6"/>
    <w:rsid w:val="00F809CE"/>
    <w:rsid w:val="00F80AAC"/>
    <w:rsid w:val="00F80B9F"/>
    <w:rsid w:val="00F80CF8"/>
    <w:rsid w:val="00F80D09"/>
    <w:rsid w:val="00F80DD8"/>
    <w:rsid w:val="00F80F48"/>
    <w:rsid w:val="00F80FBF"/>
    <w:rsid w:val="00F810A0"/>
    <w:rsid w:val="00F810D2"/>
    <w:rsid w:val="00F81255"/>
    <w:rsid w:val="00F8126D"/>
    <w:rsid w:val="00F812D8"/>
    <w:rsid w:val="00F813B3"/>
    <w:rsid w:val="00F813C5"/>
    <w:rsid w:val="00F813DC"/>
    <w:rsid w:val="00F814A7"/>
    <w:rsid w:val="00F8151B"/>
    <w:rsid w:val="00F81618"/>
    <w:rsid w:val="00F81855"/>
    <w:rsid w:val="00F81AE2"/>
    <w:rsid w:val="00F81B2B"/>
    <w:rsid w:val="00F81B4D"/>
    <w:rsid w:val="00F81BCF"/>
    <w:rsid w:val="00F81CDD"/>
    <w:rsid w:val="00F81E64"/>
    <w:rsid w:val="00F81F89"/>
    <w:rsid w:val="00F82481"/>
    <w:rsid w:val="00F82613"/>
    <w:rsid w:val="00F8261F"/>
    <w:rsid w:val="00F82742"/>
    <w:rsid w:val="00F82759"/>
    <w:rsid w:val="00F827D3"/>
    <w:rsid w:val="00F82985"/>
    <w:rsid w:val="00F82CF1"/>
    <w:rsid w:val="00F82DFA"/>
    <w:rsid w:val="00F82DFE"/>
    <w:rsid w:val="00F8305C"/>
    <w:rsid w:val="00F830E6"/>
    <w:rsid w:val="00F83243"/>
    <w:rsid w:val="00F8325C"/>
    <w:rsid w:val="00F834CF"/>
    <w:rsid w:val="00F8388F"/>
    <w:rsid w:val="00F8391F"/>
    <w:rsid w:val="00F8394A"/>
    <w:rsid w:val="00F83AED"/>
    <w:rsid w:val="00F83B95"/>
    <w:rsid w:val="00F83C10"/>
    <w:rsid w:val="00F83D0C"/>
    <w:rsid w:val="00F83ED6"/>
    <w:rsid w:val="00F83F06"/>
    <w:rsid w:val="00F83F3D"/>
    <w:rsid w:val="00F83F8C"/>
    <w:rsid w:val="00F83FAA"/>
    <w:rsid w:val="00F840DD"/>
    <w:rsid w:val="00F84101"/>
    <w:rsid w:val="00F841A9"/>
    <w:rsid w:val="00F84213"/>
    <w:rsid w:val="00F84239"/>
    <w:rsid w:val="00F84254"/>
    <w:rsid w:val="00F842DE"/>
    <w:rsid w:val="00F8436A"/>
    <w:rsid w:val="00F84394"/>
    <w:rsid w:val="00F84499"/>
    <w:rsid w:val="00F84503"/>
    <w:rsid w:val="00F8459A"/>
    <w:rsid w:val="00F845B9"/>
    <w:rsid w:val="00F847D5"/>
    <w:rsid w:val="00F847D6"/>
    <w:rsid w:val="00F84AB4"/>
    <w:rsid w:val="00F84C01"/>
    <w:rsid w:val="00F84C34"/>
    <w:rsid w:val="00F84CBE"/>
    <w:rsid w:val="00F84D98"/>
    <w:rsid w:val="00F84E30"/>
    <w:rsid w:val="00F84EC8"/>
    <w:rsid w:val="00F84EF7"/>
    <w:rsid w:val="00F85048"/>
    <w:rsid w:val="00F85124"/>
    <w:rsid w:val="00F851C3"/>
    <w:rsid w:val="00F85585"/>
    <w:rsid w:val="00F8596C"/>
    <w:rsid w:val="00F859F9"/>
    <w:rsid w:val="00F85B17"/>
    <w:rsid w:val="00F85CCE"/>
    <w:rsid w:val="00F85D72"/>
    <w:rsid w:val="00F85E51"/>
    <w:rsid w:val="00F85F2B"/>
    <w:rsid w:val="00F860FB"/>
    <w:rsid w:val="00F86155"/>
    <w:rsid w:val="00F8643F"/>
    <w:rsid w:val="00F86560"/>
    <w:rsid w:val="00F86571"/>
    <w:rsid w:val="00F86594"/>
    <w:rsid w:val="00F867A4"/>
    <w:rsid w:val="00F86880"/>
    <w:rsid w:val="00F86BEF"/>
    <w:rsid w:val="00F86D63"/>
    <w:rsid w:val="00F86E4F"/>
    <w:rsid w:val="00F86E82"/>
    <w:rsid w:val="00F86FDC"/>
    <w:rsid w:val="00F871E8"/>
    <w:rsid w:val="00F872C8"/>
    <w:rsid w:val="00F873B0"/>
    <w:rsid w:val="00F873B1"/>
    <w:rsid w:val="00F87523"/>
    <w:rsid w:val="00F875A4"/>
    <w:rsid w:val="00F876D2"/>
    <w:rsid w:val="00F878EE"/>
    <w:rsid w:val="00F87956"/>
    <w:rsid w:val="00F879AD"/>
    <w:rsid w:val="00F87B3D"/>
    <w:rsid w:val="00F87BE3"/>
    <w:rsid w:val="00F87D00"/>
    <w:rsid w:val="00F87ED1"/>
    <w:rsid w:val="00F87F1F"/>
    <w:rsid w:val="00F87F8A"/>
    <w:rsid w:val="00F9032E"/>
    <w:rsid w:val="00F903D5"/>
    <w:rsid w:val="00F905DF"/>
    <w:rsid w:val="00F90769"/>
    <w:rsid w:val="00F90785"/>
    <w:rsid w:val="00F9083C"/>
    <w:rsid w:val="00F909E1"/>
    <w:rsid w:val="00F90A9D"/>
    <w:rsid w:val="00F90BA3"/>
    <w:rsid w:val="00F90C38"/>
    <w:rsid w:val="00F90C69"/>
    <w:rsid w:val="00F90C90"/>
    <w:rsid w:val="00F90CC1"/>
    <w:rsid w:val="00F90DAC"/>
    <w:rsid w:val="00F90F09"/>
    <w:rsid w:val="00F9129A"/>
    <w:rsid w:val="00F91389"/>
    <w:rsid w:val="00F91434"/>
    <w:rsid w:val="00F914E5"/>
    <w:rsid w:val="00F91653"/>
    <w:rsid w:val="00F91683"/>
    <w:rsid w:val="00F916F8"/>
    <w:rsid w:val="00F91797"/>
    <w:rsid w:val="00F91D92"/>
    <w:rsid w:val="00F91E9F"/>
    <w:rsid w:val="00F91ECA"/>
    <w:rsid w:val="00F91EEA"/>
    <w:rsid w:val="00F92177"/>
    <w:rsid w:val="00F92234"/>
    <w:rsid w:val="00F92852"/>
    <w:rsid w:val="00F92886"/>
    <w:rsid w:val="00F92A36"/>
    <w:rsid w:val="00F92BF5"/>
    <w:rsid w:val="00F92D41"/>
    <w:rsid w:val="00F92F2B"/>
    <w:rsid w:val="00F92F72"/>
    <w:rsid w:val="00F92FEB"/>
    <w:rsid w:val="00F93270"/>
    <w:rsid w:val="00F933CA"/>
    <w:rsid w:val="00F934AB"/>
    <w:rsid w:val="00F93542"/>
    <w:rsid w:val="00F93548"/>
    <w:rsid w:val="00F93921"/>
    <w:rsid w:val="00F939D9"/>
    <w:rsid w:val="00F939ED"/>
    <w:rsid w:val="00F93B31"/>
    <w:rsid w:val="00F93BCB"/>
    <w:rsid w:val="00F93D6B"/>
    <w:rsid w:val="00F93EB5"/>
    <w:rsid w:val="00F93FE0"/>
    <w:rsid w:val="00F940A8"/>
    <w:rsid w:val="00F943CC"/>
    <w:rsid w:val="00F94410"/>
    <w:rsid w:val="00F94443"/>
    <w:rsid w:val="00F946C4"/>
    <w:rsid w:val="00F94743"/>
    <w:rsid w:val="00F948B5"/>
    <w:rsid w:val="00F948F5"/>
    <w:rsid w:val="00F949A5"/>
    <w:rsid w:val="00F949FA"/>
    <w:rsid w:val="00F94A8B"/>
    <w:rsid w:val="00F94B52"/>
    <w:rsid w:val="00F94C38"/>
    <w:rsid w:val="00F94D68"/>
    <w:rsid w:val="00F94FB7"/>
    <w:rsid w:val="00F95073"/>
    <w:rsid w:val="00F95170"/>
    <w:rsid w:val="00F95277"/>
    <w:rsid w:val="00F95339"/>
    <w:rsid w:val="00F95789"/>
    <w:rsid w:val="00F958AA"/>
    <w:rsid w:val="00F958B0"/>
    <w:rsid w:val="00F95921"/>
    <w:rsid w:val="00F9599E"/>
    <w:rsid w:val="00F959A9"/>
    <w:rsid w:val="00F95A85"/>
    <w:rsid w:val="00F95BBE"/>
    <w:rsid w:val="00F95C17"/>
    <w:rsid w:val="00F95DEA"/>
    <w:rsid w:val="00F9607F"/>
    <w:rsid w:val="00F9619F"/>
    <w:rsid w:val="00F963B6"/>
    <w:rsid w:val="00F96437"/>
    <w:rsid w:val="00F96457"/>
    <w:rsid w:val="00F96525"/>
    <w:rsid w:val="00F96548"/>
    <w:rsid w:val="00F9664F"/>
    <w:rsid w:val="00F968EF"/>
    <w:rsid w:val="00F9693E"/>
    <w:rsid w:val="00F969D1"/>
    <w:rsid w:val="00F96A22"/>
    <w:rsid w:val="00F96A30"/>
    <w:rsid w:val="00F96A50"/>
    <w:rsid w:val="00F96A7A"/>
    <w:rsid w:val="00F96A8A"/>
    <w:rsid w:val="00F96B17"/>
    <w:rsid w:val="00F96B25"/>
    <w:rsid w:val="00F96B70"/>
    <w:rsid w:val="00F96CC5"/>
    <w:rsid w:val="00F96DEE"/>
    <w:rsid w:val="00F96EEC"/>
    <w:rsid w:val="00F9711E"/>
    <w:rsid w:val="00F97196"/>
    <w:rsid w:val="00F971A5"/>
    <w:rsid w:val="00F971B1"/>
    <w:rsid w:val="00F972B6"/>
    <w:rsid w:val="00F973E1"/>
    <w:rsid w:val="00F97611"/>
    <w:rsid w:val="00F9763A"/>
    <w:rsid w:val="00F97748"/>
    <w:rsid w:val="00F977B4"/>
    <w:rsid w:val="00F97829"/>
    <w:rsid w:val="00F97A37"/>
    <w:rsid w:val="00F97B25"/>
    <w:rsid w:val="00F97C7F"/>
    <w:rsid w:val="00F97C8F"/>
    <w:rsid w:val="00F97D63"/>
    <w:rsid w:val="00F97E9E"/>
    <w:rsid w:val="00F97ECC"/>
    <w:rsid w:val="00F97F22"/>
    <w:rsid w:val="00FA0055"/>
    <w:rsid w:val="00FA0163"/>
    <w:rsid w:val="00FA0192"/>
    <w:rsid w:val="00FA0294"/>
    <w:rsid w:val="00FA029A"/>
    <w:rsid w:val="00FA05D2"/>
    <w:rsid w:val="00FA0688"/>
    <w:rsid w:val="00FA069E"/>
    <w:rsid w:val="00FA07DE"/>
    <w:rsid w:val="00FA08F5"/>
    <w:rsid w:val="00FA0939"/>
    <w:rsid w:val="00FA094A"/>
    <w:rsid w:val="00FA0955"/>
    <w:rsid w:val="00FA0A23"/>
    <w:rsid w:val="00FA0E95"/>
    <w:rsid w:val="00FA0EAD"/>
    <w:rsid w:val="00FA0F37"/>
    <w:rsid w:val="00FA0F59"/>
    <w:rsid w:val="00FA1043"/>
    <w:rsid w:val="00FA139A"/>
    <w:rsid w:val="00FA13FF"/>
    <w:rsid w:val="00FA1478"/>
    <w:rsid w:val="00FA1595"/>
    <w:rsid w:val="00FA1653"/>
    <w:rsid w:val="00FA16E0"/>
    <w:rsid w:val="00FA1791"/>
    <w:rsid w:val="00FA1C04"/>
    <w:rsid w:val="00FA1E76"/>
    <w:rsid w:val="00FA1E84"/>
    <w:rsid w:val="00FA1F57"/>
    <w:rsid w:val="00FA2000"/>
    <w:rsid w:val="00FA236F"/>
    <w:rsid w:val="00FA23D5"/>
    <w:rsid w:val="00FA25A0"/>
    <w:rsid w:val="00FA26A6"/>
    <w:rsid w:val="00FA2748"/>
    <w:rsid w:val="00FA2791"/>
    <w:rsid w:val="00FA2857"/>
    <w:rsid w:val="00FA2994"/>
    <w:rsid w:val="00FA29C0"/>
    <w:rsid w:val="00FA2B5F"/>
    <w:rsid w:val="00FA2D5D"/>
    <w:rsid w:val="00FA2F6F"/>
    <w:rsid w:val="00FA31A6"/>
    <w:rsid w:val="00FA359D"/>
    <w:rsid w:val="00FA3690"/>
    <w:rsid w:val="00FA36A8"/>
    <w:rsid w:val="00FA3B05"/>
    <w:rsid w:val="00FA3B7B"/>
    <w:rsid w:val="00FA3C68"/>
    <w:rsid w:val="00FA3C9A"/>
    <w:rsid w:val="00FA3D9A"/>
    <w:rsid w:val="00FA4135"/>
    <w:rsid w:val="00FA4361"/>
    <w:rsid w:val="00FA444A"/>
    <w:rsid w:val="00FA44C8"/>
    <w:rsid w:val="00FA457D"/>
    <w:rsid w:val="00FA480E"/>
    <w:rsid w:val="00FA4820"/>
    <w:rsid w:val="00FA4912"/>
    <w:rsid w:val="00FA4B86"/>
    <w:rsid w:val="00FA4EAF"/>
    <w:rsid w:val="00FA4F3F"/>
    <w:rsid w:val="00FA5043"/>
    <w:rsid w:val="00FA5132"/>
    <w:rsid w:val="00FA524A"/>
    <w:rsid w:val="00FA535D"/>
    <w:rsid w:val="00FA565F"/>
    <w:rsid w:val="00FA5A43"/>
    <w:rsid w:val="00FA5A52"/>
    <w:rsid w:val="00FA5A81"/>
    <w:rsid w:val="00FA5BD0"/>
    <w:rsid w:val="00FA5E59"/>
    <w:rsid w:val="00FA5EC4"/>
    <w:rsid w:val="00FA5F02"/>
    <w:rsid w:val="00FA5FB0"/>
    <w:rsid w:val="00FA6163"/>
    <w:rsid w:val="00FA6312"/>
    <w:rsid w:val="00FA633E"/>
    <w:rsid w:val="00FA6343"/>
    <w:rsid w:val="00FA6348"/>
    <w:rsid w:val="00FA6378"/>
    <w:rsid w:val="00FA65BD"/>
    <w:rsid w:val="00FA6663"/>
    <w:rsid w:val="00FA66EC"/>
    <w:rsid w:val="00FA6701"/>
    <w:rsid w:val="00FA676D"/>
    <w:rsid w:val="00FA67F7"/>
    <w:rsid w:val="00FA6806"/>
    <w:rsid w:val="00FA6954"/>
    <w:rsid w:val="00FA695F"/>
    <w:rsid w:val="00FA69B9"/>
    <w:rsid w:val="00FA6BE0"/>
    <w:rsid w:val="00FA6DD5"/>
    <w:rsid w:val="00FA6F28"/>
    <w:rsid w:val="00FA6FB3"/>
    <w:rsid w:val="00FA71A4"/>
    <w:rsid w:val="00FA71ED"/>
    <w:rsid w:val="00FA7491"/>
    <w:rsid w:val="00FA7520"/>
    <w:rsid w:val="00FA755C"/>
    <w:rsid w:val="00FA75ED"/>
    <w:rsid w:val="00FA77B6"/>
    <w:rsid w:val="00FA7939"/>
    <w:rsid w:val="00FA79FB"/>
    <w:rsid w:val="00FA7A57"/>
    <w:rsid w:val="00FA7A5C"/>
    <w:rsid w:val="00FA7A7D"/>
    <w:rsid w:val="00FA7B03"/>
    <w:rsid w:val="00FA7B52"/>
    <w:rsid w:val="00FA7C8D"/>
    <w:rsid w:val="00FA7CC3"/>
    <w:rsid w:val="00FA7F02"/>
    <w:rsid w:val="00FA7F0B"/>
    <w:rsid w:val="00FB00F1"/>
    <w:rsid w:val="00FB0127"/>
    <w:rsid w:val="00FB020B"/>
    <w:rsid w:val="00FB036B"/>
    <w:rsid w:val="00FB0578"/>
    <w:rsid w:val="00FB0822"/>
    <w:rsid w:val="00FB08BA"/>
    <w:rsid w:val="00FB0965"/>
    <w:rsid w:val="00FB0A11"/>
    <w:rsid w:val="00FB0ABB"/>
    <w:rsid w:val="00FB0AC2"/>
    <w:rsid w:val="00FB0AE8"/>
    <w:rsid w:val="00FB0BD7"/>
    <w:rsid w:val="00FB0C41"/>
    <w:rsid w:val="00FB0CF0"/>
    <w:rsid w:val="00FB0CFC"/>
    <w:rsid w:val="00FB0E11"/>
    <w:rsid w:val="00FB0E3A"/>
    <w:rsid w:val="00FB0FC0"/>
    <w:rsid w:val="00FB1005"/>
    <w:rsid w:val="00FB1074"/>
    <w:rsid w:val="00FB118E"/>
    <w:rsid w:val="00FB11C1"/>
    <w:rsid w:val="00FB11D1"/>
    <w:rsid w:val="00FB128D"/>
    <w:rsid w:val="00FB12C9"/>
    <w:rsid w:val="00FB1353"/>
    <w:rsid w:val="00FB13A5"/>
    <w:rsid w:val="00FB15B0"/>
    <w:rsid w:val="00FB1638"/>
    <w:rsid w:val="00FB1681"/>
    <w:rsid w:val="00FB185B"/>
    <w:rsid w:val="00FB186E"/>
    <w:rsid w:val="00FB189E"/>
    <w:rsid w:val="00FB1AFA"/>
    <w:rsid w:val="00FB1AFD"/>
    <w:rsid w:val="00FB1E9D"/>
    <w:rsid w:val="00FB1F09"/>
    <w:rsid w:val="00FB2084"/>
    <w:rsid w:val="00FB226F"/>
    <w:rsid w:val="00FB243A"/>
    <w:rsid w:val="00FB2494"/>
    <w:rsid w:val="00FB24AD"/>
    <w:rsid w:val="00FB27C9"/>
    <w:rsid w:val="00FB27FE"/>
    <w:rsid w:val="00FB28B8"/>
    <w:rsid w:val="00FB2B9C"/>
    <w:rsid w:val="00FB2C6F"/>
    <w:rsid w:val="00FB2DDB"/>
    <w:rsid w:val="00FB2E42"/>
    <w:rsid w:val="00FB2EF1"/>
    <w:rsid w:val="00FB30B3"/>
    <w:rsid w:val="00FB3122"/>
    <w:rsid w:val="00FB353A"/>
    <w:rsid w:val="00FB377B"/>
    <w:rsid w:val="00FB38B5"/>
    <w:rsid w:val="00FB3905"/>
    <w:rsid w:val="00FB39C8"/>
    <w:rsid w:val="00FB3AB6"/>
    <w:rsid w:val="00FB3B10"/>
    <w:rsid w:val="00FB3B23"/>
    <w:rsid w:val="00FB3B35"/>
    <w:rsid w:val="00FB3D46"/>
    <w:rsid w:val="00FB3D74"/>
    <w:rsid w:val="00FB3DCF"/>
    <w:rsid w:val="00FB3E30"/>
    <w:rsid w:val="00FB40A1"/>
    <w:rsid w:val="00FB4344"/>
    <w:rsid w:val="00FB43C8"/>
    <w:rsid w:val="00FB4505"/>
    <w:rsid w:val="00FB454A"/>
    <w:rsid w:val="00FB464E"/>
    <w:rsid w:val="00FB46DD"/>
    <w:rsid w:val="00FB4883"/>
    <w:rsid w:val="00FB4888"/>
    <w:rsid w:val="00FB4929"/>
    <w:rsid w:val="00FB49A8"/>
    <w:rsid w:val="00FB4A8F"/>
    <w:rsid w:val="00FB4AE5"/>
    <w:rsid w:val="00FB4BDD"/>
    <w:rsid w:val="00FB4CD4"/>
    <w:rsid w:val="00FB4D5E"/>
    <w:rsid w:val="00FB4D62"/>
    <w:rsid w:val="00FB4F88"/>
    <w:rsid w:val="00FB4F9E"/>
    <w:rsid w:val="00FB50D6"/>
    <w:rsid w:val="00FB51B4"/>
    <w:rsid w:val="00FB5267"/>
    <w:rsid w:val="00FB5293"/>
    <w:rsid w:val="00FB542D"/>
    <w:rsid w:val="00FB5682"/>
    <w:rsid w:val="00FB56A5"/>
    <w:rsid w:val="00FB56B1"/>
    <w:rsid w:val="00FB5773"/>
    <w:rsid w:val="00FB578A"/>
    <w:rsid w:val="00FB57F2"/>
    <w:rsid w:val="00FB5889"/>
    <w:rsid w:val="00FB59A4"/>
    <w:rsid w:val="00FB5A02"/>
    <w:rsid w:val="00FB5A69"/>
    <w:rsid w:val="00FB5B17"/>
    <w:rsid w:val="00FB5C48"/>
    <w:rsid w:val="00FB5DA1"/>
    <w:rsid w:val="00FB5EAA"/>
    <w:rsid w:val="00FB5F5E"/>
    <w:rsid w:val="00FB611D"/>
    <w:rsid w:val="00FB61D3"/>
    <w:rsid w:val="00FB62B5"/>
    <w:rsid w:val="00FB631B"/>
    <w:rsid w:val="00FB64E5"/>
    <w:rsid w:val="00FB6500"/>
    <w:rsid w:val="00FB656D"/>
    <w:rsid w:val="00FB6672"/>
    <w:rsid w:val="00FB6725"/>
    <w:rsid w:val="00FB6A85"/>
    <w:rsid w:val="00FB6BB1"/>
    <w:rsid w:val="00FB6BB8"/>
    <w:rsid w:val="00FB6E5B"/>
    <w:rsid w:val="00FB6F4D"/>
    <w:rsid w:val="00FB704A"/>
    <w:rsid w:val="00FB70C3"/>
    <w:rsid w:val="00FB710A"/>
    <w:rsid w:val="00FB74A3"/>
    <w:rsid w:val="00FB74FC"/>
    <w:rsid w:val="00FB75A2"/>
    <w:rsid w:val="00FB7645"/>
    <w:rsid w:val="00FB768E"/>
    <w:rsid w:val="00FB76AB"/>
    <w:rsid w:val="00FB78BB"/>
    <w:rsid w:val="00FB78C5"/>
    <w:rsid w:val="00FB7906"/>
    <w:rsid w:val="00FB79C8"/>
    <w:rsid w:val="00FB7A49"/>
    <w:rsid w:val="00FB7B14"/>
    <w:rsid w:val="00FB7BCF"/>
    <w:rsid w:val="00FB7CCB"/>
    <w:rsid w:val="00FB7D44"/>
    <w:rsid w:val="00FB7EA6"/>
    <w:rsid w:val="00FB7EF0"/>
    <w:rsid w:val="00FB7F06"/>
    <w:rsid w:val="00FC00AB"/>
    <w:rsid w:val="00FC01E8"/>
    <w:rsid w:val="00FC0385"/>
    <w:rsid w:val="00FC03E5"/>
    <w:rsid w:val="00FC06DE"/>
    <w:rsid w:val="00FC0931"/>
    <w:rsid w:val="00FC0A13"/>
    <w:rsid w:val="00FC0AB0"/>
    <w:rsid w:val="00FC0DBD"/>
    <w:rsid w:val="00FC1130"/>
    <w:rsid w:val="00FC11DB"/>
    <w:rsid w:val="00FC1304"/>
    <w:rsid w:val="00FC1507"/>
    <w:rsid w:val="00FC155A"/>
    <w:rsid w:val="00FC15F9"/>
    <w:rsid w:val="00FC162E"/>
    <w:rsid w:val="00FC16B4"/>
    <w:rsid w:val="00FC1764"/>
    <w:rsid w:val="00FC1BE3"/>
    <w:rsid w:val="00FC1C35"/>
    <w:rsid w:val="00FC1D38"/>
    <w:rsid w:val="00FC1E46"/>
    <w:rsid w:val="00FC1FDE"/>
    <w:rsid w:val="00FC21C0"/>
    <w:rsid w:val="00FC2389"/>
    <w:rsid w:val="00FC23D1"/>
    <w:rsid w:val="00FC2676"/>
    <w:rsid w:val="00FC27E9"/>
    <w:rsid w:val="00FC28CB"/>
    <w:rsid w:val="00FC291B"/>
    <w:rsid w:val="00FC2A6B"/>
    <w:rsid w:val="00FC2D42"/>
    <w:rsid w:val="00FC307F"/>
    <w:rsid w:val="00FC31DC"/>
    <w:rsid w:val="00FC3445"/>
    <w:rsid w:val="00FC368D"/>
    <w:rsid w:val="00FC36DE"/>
    <w:rsid w:val="00FC372B"/>
    <w:rsid w:val="00FC372E"/>
    <w:rsid w:val="00FC3765"/>
    <w:rsid w:val="00FC37C3"/>
    <w:rsid w:val="00FC38A3"/>
    <w:rsid w:val="00FC3912"/>
    <w:rsid w:val="00FC393D"/>
    <w:rsid w:val="00FC39BC"/>
    <w:rsid w:val="00FC3A73"/>
    <w:rsid w:val="00FC3C31"/>
    <w:rsid w:val="00FC3FDF"/>
    <w:rsid w:val="00FC41D0"/>
    <w:rsid w:val="00FC4381"/>
    <w:rsid w:val="00FC446A"/>
    <w:rsid w:val="00FC44E1"/>
    <w:rsid w:val="00FC44F4"/>
    <w:rsid w:val="00FC46E9"/>
    <w:rsid w:val="00FC4800"/>
    <w:rsid w:val="00FC49AB"/>
    <w:rsid w:val="00FC4A49"/>
    <w:rsid w:val="00FC4B50"/>
    <w:rsid w:val="00FC4B5A"/>
    <w:rsid w:val="00FC4B87"/>
    <w:rsid w:val="00FC4C26"/>
    <w:rsid w:val="00FC4CAD"/>
    <w:rsid w:val="00FC4E14"/>
    <w:rsid w:val="00FC4F75"/>
    <w:rsid w:val="00FC513A"/>
    <w:rsid w:val="00FC51A7"/>
    <w:rsid w:val="00FC52E3"/>
    <w:rsid w:val="00FC53A8"/>
    <w:rsid w:val="00FC53E7"/>
    <w:rsid w:val="00FC5477"/>
    <w:rsid w:val="00FC5552"/>
    <w:rsid w:val="00FC5603"/>
    <w:rsid w:val="00FC56F5"/>
    <w:rsid w:val="00FC596D"/>
    <w:rsid w:val="00FC5992"/>
    <w:rsid w:val="00FC5B2C"/>
    <w:rsid w:val="00FC5B8C"/>
    <w:rsid w:val="00FC5C0A"/>
    <w:rsid w:val="00FC5C75"/>
    <w:rsid w:val="00FC5D90"/>
    <w:rsid w:val="00FC5DD0"/>
    <w:rsid w:val="00FC5ECE"/>
    <w:rsid w:val="00FC5F40"/>
    <w:rsid w:val="00FC5F62"/>
    <w:rsid w:val="00FC6094"/>
    <w:rsid w:val="00FC61DD"/>
    <w:rsid w:val="00FC637B"/>
    <w:rsid w:val="00FC6636"/>
    <w:rsid w:val="00FC66A4"/>
    <w:rsid w:val="00FC66D3"/>
    <w:rsid w:val="00FC6769"/>
    <w:rsid w:val="00FC6792"/>
    <w:rsid w:val="00FC686F"/>
    <w:rsid w:val="00FC68AA"/>
    <w:rsid w:val="00FC6933"/>
    <w:rsid w:val="00FC6B14"/>
    <w:rsid w:val="00FC6B1F"/>
    <w:rsid w:val="00FC6B53"/>
    <w:rsid w:val="00FC6C23"/>
    <w:rsid w:val="00FC6E62"/>
    <w:rsid w:val="00FC6EDD"/>
    <w:rsid w:val="00FC70F2"/>
    <w:rsid w:val="00FC71B6"/>
    <w:rsid w:val="00FC7258"/>
    <w:rsid w:val="00FC7308"/>
    <w:rsid w:val="00FC736B"/>
    <w:rsid w:val="00FC7491"/>
    <w:rsid w:val="00FC7496"/>
    <w:rsid w:val="00FC74A6"/>
    <w:rsid w:val="00FC7590"/>
    <w:rsid w:val="00FC7606"/>
    <w:rsid w:val="00FC77A7"/>
    <w:rsid w:val="00FC7933"/>
    <w:rsid w:val="00FC7BD9"/>
    <w:rsid w:val="00FC7C1D"/>
    <w:rsid w:val="00FC7D93"/>
    <w:rsid w:val="00FC7DC2"/>
    <w:rsid w:val="00FC7EF6"/>
    <w:rsid w:val="00FD0005"/>
    <w:rsid w:val="00FD0040"/>
    <w:rsid w:val="00FD00B2"/>
    <w:rsid w:val="00FD0142"/>
    <w:rsid w:val="00FD014C"/>
    <w:rsid w:val="00FD01AF"/>
    <w:rsid w:val="00FD030E"/>
    <w:rsid w:val="00FD05C1"/>
    <w:rsid w:val="00FD0628"/>
    <w:rsid w:val="00FD09B3"/>
    <w:rsid w:val="00FD0A98"/>
    <w:rsid w:val="00FD0BB9"/>
    <w:rsid w:val="00FD0D42"/>
    <w:rsid w:val="00FD10E1"/>
    <w:rsid w:val="00FD112D"/>
    <w:rsid w:val="00FD115B"/>
    <w:rsid w:val="00FD11D5"/>
    <w:rsid w:val="00FD11EB"/>
    <w:rsid w:val="00FD159C"/>
    <w:rsid w:val="00FD17B9"/>
    <w:rsid w:val="00FD183E"/>
    <w:rsid w:val="00FD187A"/>
    <w:rsid w:val="00FD19AC"/>
    <w:rsid w:val="00FD19CE"/>
    <w:rsid w:val="00FD1B16"/>
    <w:rsid w:val="00FD1BFF"/>
    <w:rsid w:val="00FD1C1F"/>
    <w:rsid w:val="00FD1E1E"/>
    <w:rsid w:val="00FD2115"/>
    <w:rsid w:val="00FD21C0"/>
    <w:rsid w:val="00FD221F"/>
    <w:rsid w:val="00FD2261"/>
    <w:rsid w:val="00FD22A9"/>
    <w:rsid w:val="00FD2346"/>
    <w:rsid w:val="00FD2381"/>
    <w:rsid w:val="00FD23CC"/>
    <w:rsid w:val="00FD23ED"/>
    <w:rsid w:val="00FD246B"/>
    <w:rsid w:val="00FD24C1"/>
    <w:rsid w:val="00FD2541"/>
    <w:rsid w:val="00FD25ED"/>
    <w:rsid w:val="00FD2665"/>
    <w:rsid w:val="00FD2763"/>
    <w:rsid w:val="00FD27DA"/>
    <w:rsid w:val="00FD295C"/>
    <w:rsid w:val="00FD2AE5"/>
    <w:rsid w:val="00FD2AF7"/>
    <w:rsid w:val="00FD2BCA"/>
    <w:rsid w:val="00FD3040"/>
    <w:rsid w:val="00FD30A1"/>
    <w:rsid w:val="00FD30AB"/>
    <w:rsid w:val="00FD30FD"/>
    <w:rsid w:val="00FD3102"/>
    <w:rsid w:val="00FD31B6"/>
    <w:rsid w:val="00FD35FF"/>
    <w:rsid w:val="00FD3698"/>
    <w:rsid w:val="00FD379C"/>
    <w:rsid w:val="00FD3804"/>
    <w:rsid w:val="00FD3827"/>
    <w:rsid w:val="00FD3C3B"/>
    <w:rsid w:val="00FD3CB2"/>
    <w:rsid w:val="00FD418A"/>
    <w:rsid w:val="00FD41EB"/>
    <w:rsid w:val="00FD4347"/>
    <w:rsid w:val="00FD445F"/>
    <w:rsid w:val="00FD44FD"/>
    <w:rsid w:val="00FD4582"/>
    <w:rsid w:val="00FD45EB"/>
    <w:rsid w:val="00FD4733"/>
    <w:rsid w:val="00FD486D"/>
    <w:rsid w:val="00FD48B5"/>
    <w:rsid w:val="00FD48FF"/>
    <w:rsid w:val="00FD4A5B"/>
    <w:rsid w:val="00FD4B15"/>
    <w:rsid w:val="00FD4DB7"/>
    <w:rsid w:val="00FD4ED7"/>
    <w:rsid w:val="00FD4F52"/>
    <w:rsid w:val="00FD501C"/>
    <w:rsid w:val="00FD5196"/>
    <w:rsid w:val="00FD51E7"/>
    <w:rsid w:val="00FD543E"/>
    <w:rsid w:val="00FD5673"/>
    <w:rsid w:val="00FD5839"/>
    <w:rsid w:val="00FD59A1"/>
    <w:rsid w:val="00FD5B15"/>
    <w:rsid w:val="00FD5BED"/>
    <w:rsid w:val="00FD5E20"/>
    <w:rsid w:val="00FD5ED0"/>
    <w:rsid w:val="00FD6045"/>
    <w:rsid w:val="00FD60E5"/>
    <w:rsid w:val="00FD6234"/>
    <w:rsid w:val="00FD62EA"/>
    <w:rsid w:val="00FD62F2"/>
    <w:rsid w:val="00FD650C"/>
    <w:rsid w:val="00FD666D"/>
    <w:rsid w:val="00FD67A7"/>
    <w:rsid w:val="00FD68FB"/>
    <w:rsid w:val="00FD6A9D"/>
    <w:rsid w:val="00FD6B27"/>
    <w:rsid w:val="00FD6BC6"/>
    <w:rsid w:val="00FD6E68"/>
    <w:rsid w:val="00FD6FD5"/>
    <w:rsid w:val="00FD7080"/>
    <w:rsid w:val="00FD71F3"/>
    <w:rsid w:val="00FD7232"/>
    <w:rsid w:val="00FD72EA"/>
    <w:rsid w:val="00FD7398"/>
    <w:rsid w:val="00FD7474"/>
    <w:rsid w:val="00FD748A"/>
    <w:rsid w:val="00FD74AE"/>
    <w:rsid w:val="00FD74E0"/>
    <w:rsid w:val="00FD75A3"/>
    <w:rsid w:val="00FD766C"/>
    <w:rsid w:val="00FD77D6"/>
    <w:rsid w:val="00FD7868"/>
    <w:rsid w:val="00FD7A9C"/>
    <w:rsid w:val="00FD7C5D"/>
    <w:rsid w:val="00FD7CDC"/>
    <w:rsid w:val="00FD7D32"/>
    <w:rsid w:val="00FD7DB8"/>
    <w:rsid w:val="00FD7DF4"/>
    <w:rsid w:val="00FD7E0D"/>
    <w:rsid w:val="00FD7EC2"/>
    <w:rsid w:val="00FD7F90"/>
    <w:rsid w:val="00FD7FF5"/>
    <w:rsid w:val="00FE0121"/>
    <w:rsid w:val="00FE0166"/>
    <w:rsid w:val="00FE01B7"/>
    <w:rsid w:val="00FE02AC"/>
    <w:rsid w:val="00FE03FA"/>
    <w:rsid w:val="00FE05A4"/>
    <w:rsid w:val="00FE079D"/>
    <w:rsid w:val="00FE0856"/>
    <w:rsid w:val="00FE0BB7"/>
    <w:rsid w:val="00FE0BBF"/>
    <w:rsid w:val="00FE0CB3"/>
    <w:rsid w:val="00FE0E47"/>
    <w:rsid w:val="00FE0ECB"/>
    <w:rsid w:val="00FE0F8F"/>
    <w:rsid w:val="00FE11E4"/>
    <w:rsid w:val="00FE11EF"/>
    <w:rsid w:val="00FE1453"/>
    <w:rsid w:val="00FE1468"/>
    <w:rsid w:val="00FE1654"/>
    <w:rsid w:val="00FE16D4"/>
    <w:rsid w:val="00FE1754"/>
    <w:rsid w:val="00FE179A"/>
    <w:rsid w:val="00FE17E2"/>
    <w:rsid w:val="00FE1825"/>
    <w:rsid w:val="00FE183E"/>
    <w:rsid w:val="00FE185D"/>
    <w:rsid w:val="00FE18A3"/>
    <w:rsid w:val="00FE18C8"/>
    <w:rsid w:val="00FE191B"/>
    <w:rsid w:val="00FE1E5D"/>
    <w:rsid w:val="00FE203B"/>
    <w:rsid w:val="00FE2083"/>
    <w:rsid w:val="00FE20C2"/>
    <w:rsid w:val="00FE2117"/>
    <w:rsid w:val="00FE21B0"/>
    <w:rsid w:val="00FE2464"/>
    <w:rsid w:val="00FE24C2"/>
    <w:rsid w:val="00FE257C"/>
    <w:rsid w:val="00FE27B7"/>
    <w:rsid w:val="00FE2856"/>
    <w:rsid w:val="00FE28F0"/>
    <w:rsid w:val="00FE2934"/>
    <w:rsid w:val="00FE29E8"/>
    <w:rsid w:val="00FE2A3A"/>
    <w:rsid w:val="00FE2BAA"/>
    <w:rsid w:val="00FE2E0D"/>
    <w:rsid w:val="00FE2E86"/>
    <w:rsid w:val="00FE2FE9"/>
    <w:rsid w:val="00FE3407"/>
    <w:rsid w:val="00FE3486"/>
    <w:rsid w:val="00FE3542"/>
    <w:rsid w:val="00FE35C0"/>
    <w:rsid w:val="00FE36A0"/>
    <w:rsid w:val="00FE36DE"/>
    <w:rsid w:val="00FE3704"/>
    <w:rsid w:val="00FE3749"/>
    <w:rsid w:val="00FE3C6C"/>
    <w:rsid w:val="00FE3D42"/>
    <w:rsid w:val="00FE3D55"/>
    <w:rsid w:val="00FE3ECB"/>
    <w:rsid w:val="00FE3F19"/>
    <w:rsid w:val="00FE40B6"/>
    <w:rsid w:val="00FE4145"/>
    <w:rsid w:val="00FE422C"/>
    <w:rsid w:val="00FE4309"/>
    <w:rsid w:val="00FE4553"/>
    <w:rsid w:val="00FE45E2"/>
    <w:rsid w:val="00FE4605"/>
    <w:rsid w:val="00FE4676"/>
    <w:rsid w:val="00FE46F0"/>
    <w:rsid w:val="00FE4765"/>
    <w:rsid w:val="00FE4786"/>
    <w:rsid w:val="00FE483C"/>
    <w:rsid w:val="00FE4A64"/>
    <w:rsid w:val="00FE4B10"/>
    <w:rsid w:val="00FE4BB0"/>
    <w:rsid w:val="00FE4C03"/>
    <w:rsid w:val="00FE4C04"/>
    <w:rsid w:val="00FE4C90"/>
    <w:rsid w:val="00FE4CA3"/>
    <w:rsid w:val="00FE4DDD"/>
    <w:rsid w:val="00FE4ECE"/>
    <w:rsid w:val="00FE505C"/>
    <w:rsid w:val="00FE536A"/>
    <w:rsid w:val="00FE599D"/>
    <w:rsid w:val="00FE5A87"/>
    <w:rsid w:val="00FE5A9F"/>
    <w:rsid w:val="00FE5AB2"/>
    <w:rsid w:val="00FE5DF3"/>
    <w:rsid w:val="00FE5E46"/>
    <w:rsid w:val="00FE5E6B"/>
    <w:rsid w:val="00FE64E6"/>
    <w:rsid w:val="00FE65A1"/>
    <w:rsid w:val="00FE6643"/>
    <w:rsid w:val="00FE6883"/>
    <w:rsid w:val="00FE6976"/>
    <w:rsid w:val="00FE6BD0"/>
    <w:rsid w:val="00FE6C37"/>
    <w:rsid w:val="00FE6C69"/>
    <w:rsid w:val="00FE6F46"/>
    <w:rsid w:val="00FE6F94"/>
    <w:rsid w:val="00FE721D"/>
    <w:rsid w:val="00FE7252"/>
    <w:rsid w:val="00FE72B3"/>
    <w:rsid w:val="00FE738E"/>
    <w:rsid w:val="00FE741C"/>
    <w:rsid w:val="00FE7435"/>
    <w:rsid w:val="00FE746F"/>
    <w:rsid w:val="00FE7571"/>
    <w:rsid w:val="00FE75B3"/>
    <w:rsid w:val="00FE7858"/>
    <w:rsid w:val="00FE7B28"/>
    <w:rsid w:val="00FE7BDE"/>
    <w:rsid w:val="00FE7BE2"/>
    <w:rsid w:val="00FE7DAC"/>
    <w:rsid w:val="00FE7DCA"/>
    <w:rsid w:val="00FE7EE9"/>
    <w:rsid w:val="00FE7F6C"/>
    <w:rsid w:val="00FE7F7D"/>
    <w:rsid w:val="00FE7F85"/>
    <w:rsid w:val="00FE7FC5"/>
    <w:rsid w:val="00FE7FD1"/>
    <w:rsid w:val="00FE7FF6"/>
    <w:rsid w:val="00FF0006"/>
    <w:rsid w:val="00FF017C"/>
    <w:rsid w:val="00FF030B"/>
    <w:rsid w:val="00FF0326"/>
    <w:rsid w:val="00FF03AE"/>
    <w:rsid w:val="00FF0449"/>
    <w:rsid w:val="00FF048D"/>
    <w:rsid w:val="00FF0570"/>
    <w:rsid w:val="00FF0841"/>
    <w:rsid w:val="00FF0994"/>
    <w:rsid w:val="00FF0A08"/>
    <w:rsid w:val="00FF0A90"/>
    <w:rsid w:val="00FF0BD5"/>
    <w:rsid w:val="00FF0BDC"/>
    <w:rsid w:val="00FF0D0C"/>
    <w:rsid w:val="00FF0D17"/>
    <w:rsid w:val="00FF0E57"/>
    <w:rsid w:val="00FF0F62"/>
    <w:rsid w:val="00FF0FA6"/>
    <w:rsid w:val="00FF1029"/>
    <w:rsid w:val="00FF116F"/>
    <w:rsid w:val="00FF1171"/>
    <w:rsid w:val="00FF121B"/>
    <w:rsid w:val="00FF128D"/>
    <w:rsid w:val="00FF1295"/>
    <w:rsid w:val="00FF13A3"/>
    <w:rsid w:val="00FF1742"/>
    <w:rsid w:val="00FF178F"/>
    <w:rsid w:val="00FF183A"/>
    <w:rsid w:val="00FF1899"/>
    <w:rsid w:val="00FF1901"/>
    <w:rsid w:val="00FF195F"/>
    <w:rsid w:val="00FF1DC8"/>
    <w:rsid w:val="00FF1ED3"/>
    <w:rsid w:val="00FF1FDA"/>
    <w:rsid w:val="00FF216B"/>
    <w:rsid w:val="00FF2434"/>
    <w:rsid w:val="00FF262D"/>
    <w:rsid w:val="00FF26A6"/>
    <w:rsid w:val="00FF29AD"/>
    <w:rsid w:val="00FF2ACB"/>
    <w:rsid w:val="00FF2BBE"/>
    <w:rsid w:val="00FF2C8D"/>
    <w:rsid w:val="00FF2D88"/>
    <w:rsid w:val="00FF2E2A"/>
    <w:rsid w:val="00FF2EE3"/>
    <w:rsid w:val="00FF30B6"/>
    <w:rsid w:val="00FF3163"/>
    <w:rsid w:val="00FF3200"/>
    <w:rsid w:val="00FF347C"/>
    <w:rsid w:val="00FF3608"/>
    <w:rsid w:val="00FF3647"/>
    <w:rsid w:val="00FF3748"/>
    <w:rsid w:val="00FF377A"/>
    <w:rsid w:val="00FF3B74"/>
    <w:rsid w:val="00FF4148"/>
    <w:rsid w:val="00FF4246"/>
    <w:rsid w:val="00FF4291"/>
    <w:rsid w:val="00FF4397"/>
    <w:rsid w:val="00FF43F8"/>
    <w:rsid w:val="00FF45F5"/>
    <w:rsid w:val="00FF47B2"/>
    <w:rsid w:val="00FF499F"/>
    <w:rsid w:val="00FF4B68"/>
    <w:rsid w:val="00FF4D12"/>
    <w:rsid w:val="00FF4DD9"/>
    <w:rsid w:val="00FF4EB5"/>
    <w:rsid w:val="00FF4F26"/>
    <w:rsid w:val="00FF4FEA"/>
    <w:rsid w:val="00FF508B"/>
    <w:rsid w:val="00FF5275"/>
    <w:rsid w:val="00FF529E"/>
    <w:rsid w:val="00FF5697"/>
    <w:rsid w:val="00FF5A80"/>
    <w:rsid w:val="00FF5DA5"/>
    <w:rsid w:val="00FF5DCC"/>
    <w:rsid w:val="00FF5E97"/>
    <w:rsid w:val="00FF5ED9"/>
    <w:rsid w:val="00FF6012"/>
    <w:rsid w:val="00FF6208"/>
    <w:rsid w:val="00FF6242"/>
    <w:rsid w:val="00FF62A0"/>
    <w:rsid w:val="00FF655A"/>
    <w:rsid w:val="00FF6632"/>
    <w:rsid w:val="00FF6677"/>
    <w:rsid w:val="00FF6696"/>
    <w:rsid w:val="00FF669C"/>
    <w:rsid w:val="00FF68FF"/>
    <w:rsid w:val="00FF695A"/>
    <w:rsid w:val="00FF6A1D"/>
    <w:rsid w:val="00FF6B5B"/>
    <w:rsid w:val="00FF6C86"/>
    <w:rsid w:val="00FF7071"/>
    <w:rsid w:val="00FF71C2"/>
    <w:rsid w:val="00FF7222"/>
    <w:rsid w:val="00FF726B"/>
    <w:rsid w:val="00FF72AF"/>
    <w:rsid w:val="00FF746A"/>
    <w:rsid w:val="00FF7515"/>
    <w:rsid w:val="00FF7525"/>
    <w:rsid w:val="00FF7ABA"/>
    <w:rsid w:val="00FF7CD4"/>
    <w:rsid w:val="00FF7CF1"/>
    <w:rsid w:val="00FF7D6D"/>
    <w:rsid w:val="00FF7DDB"/>
    <w:rsid w:val="00FF7E7D"/>
    <w:rsid w:val="00FF7F54"/>
    <w:rsid w:val="00FF7F83"/>
    <w:rsid w:val="010692D0"/>
    <w:rsid w:val="01A9CB02"/>
    <w:rsid w:val="01F16F06"/>
    <w:rsid w:val="02A821F2"/>
    <w:rsid w:val="02CEAE94"/>
    <w:rsid w:val="032AA594"/>
    <w:rsid w:val="032B6D68"/>
    <w:rsid w:val="03821D1E"/>
    <w:rsid w:val="03A25566"/>
    <w:rsid w:val="0415E138"/>
    <w:rsid w:val="042C94D0"/>
    <w:rsid w:val="04392452"/>
    <w:rsid w:val="046DE856"/>
    <w:rsid w:val="048DE6FB"/>
    <w:rsid w:val="049FE931"/>
    <w:rsid w:val="04E9B4FB"/>
    <w:rsid w:val="05339A0D"/>
    <w:rsid w:val="05402F81"/>
    <w:rsid w:val="0578601B"/>
    <w:rsid w:val="05791BD9"/>
    <w:rsid w:val="05A94CC3"/>
    <w:rsid w:val="05F3B7E0"/>
    <w:rsid w:val="05F4517D"/>
    <w:rsid w:val="0629BFAE"/>
    <w:rsid w:val="0647F906"/>
    <w:rsid w:val="06F58C5A"/>
    <w:rsid w:val="07645F06"/>
    <w:rsid w:val="082409EA"/>
    <w:rsid w:val="0836D211"/>
    <w:rsid w:val="089627A5"/>
    <w:rsid w:val="08BF530F"/>
    <w:rsid w:val="08DA1936"/>
    <w:rsid w:val="08E3F79F"/>
    <w:rsid w:val="08EC8C72"/>
    <w:rsid w:val="08F17641"/>
    <w:rsid w:val="091D57BB"/>
    <w:rsid w:val="09393BCB"/>
    <w:rsid w:val="099212C3"/>
    <w:rsid w:val="09C52DD1"/>
    <w:rsid w:val="0A079F76"/>
    <w:rsid w:val="0A332390"/>
    <w:rsid w:val="0B4556CC"/>
    <w:rsid w:val="0BB27E95"/>
    <w:rsid w:val="0C93870B"/>
    <w:rsid w:val="0D361FA9"/>
    <w:rsid w:val="0D9FB6EE"/>
    <w:rsid w:val="0E06764B"/>
    <w:rsid w:val="0E079852"/>
    <w:rsid w:val="0E84F5C8"/>
    <w:rsid w:val="0E9BB26E"/>
    <w:rsid w:val="0EDA52C5"/>
    <w:rsid w:val="0F09D9E9"/>
    <w:rsid w:val="0F41A8F8"/>
    <w:rsid w:val="0F952455"/>
    <w:rsid w:val="0FA159D8"/>
    <w:rsid w:val="0FF75F46"/>
    <w:rsid w:val="1015E3FC"/>
    <w:rsid w:val="10192FDA"/>
    <w:rsid w:val="101F98A1"/>
    <w:rsid w:val="1056432E"/>
    <w:rsid w:val="107134AB"/>
    <w:rsid w:val="10811EF6"/>
    <w:rsid w:val="11A1DFB1"/>
    <w:rsid w:val="11B6A7B3"/>
    <w:rsid w:val="11C1FD6B"/>
    <w:rsid w:val="11C79595"/>
    <w:rsid w:val="129AA1E7"/>
    <w:rsid w:val="12E598B1"/>
    <w:rsid w:val="13D11678"/>
    <w:rsid w:val="14109AD6"/>
    <w:rsid w:val="14202D5C"/>
    <w:rsid w:val="1477A9ED"/>
    <w:rsid w:val="14E9C702"/>
    <w:rsid w:val="1500F207"/>
    <w:rsid w:val="154B434B"/>
    <w:rsid w:val="15B3F6BB"/>
    <w:rsid w:val="15B47D1B"/>
    <w:rsid w:val="15E3FAD1"/>
    <w:rsid w:val="15E8A838"/>
    <w:rsid w:val="15EDD50C"/>
    <w:rsid w:val="1615E1B3"/>
    <w:rsid w:val="1620FDEE"/>
    <w:rsid w:val="17C92A55"/>
    <w:rsid w:val="18428A60"/>
    <w:rsid w:val="18440534"/>
    <w:rsid w:val="185095D0"/>
    <w:rsid w:val="18B8B411"/>
    <w:rsid w:val="18D68ABB"/>
    <w:rsid w:val="190AF2F8"/>
    <w:rsid w:val="191535F5"/>
    <w:rsid w:val="192DCC5D"/>
    <w:rsid w:val="193AFB3A"/>
    <w:rsid w:val="19C4437D"/>
    <w:rsid w:val="19DCF655"/>
    <w:rsid w:val="1A27A6C6"/>
    <w:rsid w:val="1A557D8F"/>
    <w:rsid w:val="1A94A38F"/>
    <w:rsid w:val="1AA69703"/>
    <w:rsid w:val="1AEC47FC"/>
    <w:rsid w:val="1B04E374"/>
    <w:rsid w:val="1B4513E1"/>
    <w:rsid w:val="1BDC43E3"/>
    <w:rsid w:val="1BE00086"/>
    <w:rsid w:val="1BF174A2"/>
    <w:rsid w:val="1CCABC32"/>
    <w:rsid w:val="1CDD8362"/>
    <w:rsid w:val="1D1B8719"/>
    <w:rsid w:val="1D6C2F9B"/>
    <w:rsid w:val="1D6D4C29"/>
    <w:rsid w:val="1D7B5C17"/>
    <w:rsid w:val="1E4F09D4"/>
    <w:rsid w:val="1E51680C"/>
    <w:rsid w:val="1E7986E1"/>
    <w:rsid w:val="1EC22E5F"/>
    <w:rsid w:val="1EF38561"/>
    <w:rsid w:val="1F02E991"/>
    <w:rsid w:val="1FA841D6"/>
    <w:rsid w:val="20089BF7"/>
    <w:rsid w:val="202F7E2B"/>
    <w:rsid w:val="203B37C4"/>
    <w:rsid w:val="205C0D18"/>
    <w:rsid w:val="2069093F"/>
    <w:rsid w:val="20937900"/>
    <w:rsid w:val="20A5895A"/>
    <w:rsid w:val="20BAE04F"/>
    <w:rsid w:val="20C3A22F"/>
    <w:rsid w:val="20D9437E"/>
    <w:rsid w:val="21350F24"/>
    <w:rsid w:val="21412C9B"/>
    <w:rsid w:val="2168DD3B"/>
    <w:rsid w:val="21FA81C3"/>
    <w:rsid w:val="21FB13A9"/>
    <w:rsid w:val="2220087A"/>
    <w:rsid w:val="22699B59"/>
    <w:rsid w:val="226A09CC"/>
    <w:rsid w:val="22ACE128"/>
    <w:rsid w:val="22BB590C"/>
    <w:rsid w:val="234B95BD"/>
    <w:rsid w:val="2375059D"/>
    <w:rsid w:val="2388D81E"/>
    <w:rsid w:val="23B1F894"/>
    <w:rsid w:val="2445C5CE"/>
    <w:rsid w:val="24B01BA3"/>
    <w:rsid w:val="24DC3D16"/>
    <w:rsid w:val="24E844D2"/>
    <w:rsid w:val="25668B36"/>
    <w:rsid w:val="2586480F"/>
    <w:rsid w:val="25C6289D"/>
    <w:rsid w:val="25DE3D6E"/>
    <w:rsid w:val="2628B047"/>
    <w:rsid w:val="26742505"/>
    <w:rsid w:val="274D5EF9"/>
    <w:rsid w:val="27520ED8"/>
    <w:rsid w:val="2788B7E3"/>
    <w:rsid w:val="27B6A8A6"/>
    <w:rsid w:val="27C944FA"/>
    <w:rsid w:val="2800C7AB"/>
    <w:rsid w:val="280E2FA5"/>
    <w:rsid w:val="285BD457"/>
    <w:rsid w:val="287C899B"/>
    <w:rsid w:val="2891B54A"/>
    <w:rsid w:val="28B08472"/>
    <w:rsid w:val="28C28895"/>
    <w:rsid w:val="28C39EBE"/>
    <w:rsid w:val="291F91AA"/>
    <w:rsid w:val="29E8C757"/>
    <w:rsid w:val="2A0C4A24"/>
    <w:rsid w:val="2AA94F73"/>
    <w:rsid w:val="2AC2E214"/>
    <w:rsid w:val="2AC500A9"/>
    <w:rsid w:val="2AE65566"/>
    <w:rsid w:val="2B153930"/>
    <w:rsid w:val="2B885410"/>
    <w:rsid w:val="2B9B6AF9"/>
    <w:rsid w:val="2B9BE6DD"/>
    <w:rsid w:val="2BC33C06"/>
    <w:rsid w:val="2BCC6855"/>
    <w:rsid w:val="2BFC0E62"/>
    <w:rsid w:val="2C32E5BD"/>
    <w:rsid w:val="2C4C7CB3"/>
    <w:rsid w:val="2C5386D8"/>
    <w:rsid w:val="2C961D87"/>
    <w:rsid w:val="2D979C49"/>
    <w:rsid w:val="2DD6A1BD"/>
    <w:rsid w:val="2E0CF41F"/>
    <w:rsid w:val="2E10FF98"/>
    <w:rsid w:val="2E49B451"/>
    <w:rsid w:val="2E4CF0EE"/>
    <w:rsid w:val="2EE8DBD7"/>
    <w:rsid w:val="2F0251F4"/>
    <w:rsid w:val="2F0B1066"/>
    <w:rsid w:val="2F30FAC5"/>
    <w:rsid w:val="2F67D9F2"/>
    <w:rsid w:val="2F88A321"/>
    <w:rsid w:val="310EFF8F"/>
    <w:rsid w:val="310F21F2"/>
    <w:rsid w:val="310F954C"/>
    <w:rsid w:val="316EE866"/>
    <w:rsid w:val="31830D72"/>
    <w:rsid w:val="32BE16FD"/>
    <w:rsid w:val="32D13AC4"/>
    <w:rsid w:val="32DBD2E2"/>
    <w:rsid w:val="32F2A51A"/>
    <w:rsid w:val="330490DB"/>
    <w:rsid w:val="33437429"/>
    <w:rsid w:val="3397D8EE"/>
    <w:rsid w:val="343EB335"/>
    <w:rsid w:val="350763F3"/>
    <w:rsid w:val="350DE6D3"/>
    <w:rsid w:val="353C35C7"/>
    <w:rsid w:val="355A0359"/>
    <w:rsid w:val="360F1216"/>
    <w:rsid w:val="36BFACA1"/>
    <w:rsid w:val="3742E4EB"/>
    <w:rsid w:val="3745C3F6"/>
    <w:rsid w:val="374786BF"/>
    <w:rsid w:val="37BD11DD"/>
    <w:rsid w:val="384950CA"/>
    <w:rsid w:val="384BECD4"/>
    <w:rsid w:val="38F5150D"/>
    <w:rsid w:val="39020405"/>
    <w:rsid w:val="392DF75E"/>
    <w:rsid w:val="39C91B51"/>
    <w:rsid w:val="39D9F0C8"/>
    <w:rsid w:val="39FD06F2"/>
    <w:rsid w:val="3A210367"/>
    <w:rsid w:val="3A4C16A7"/>
    <w:rsid w:val="3B033C03"/>
    <w:rsid w:val="3B040B96"/>
    <w:rsid w:val="3B139BDA"/>
    <w:rsid w:val="3B345099"/>
    <w:rsid w:val="3BF013B8"/>
    <w:rsid w:val="3C13D2E2"/>
    <w:rsid w:val="3C3A0FA8"/>
    <w:rsid w:val="3C4F040A"/>
    <w:rsid w:val="3CA9B97B"/>
    <w:rsid w:val="3CB9CC11"/>
    <w:rsid w:val="3CD855C9"/>
    <w:rsid w:val="3CE999F7"/>
    <w:rsid w:val="3CF28E13"/>
    <w:rsid w:val="3D4417B7"/>
    <w:rsid w:val="3D569F87"/>
    <w:rsid w:val="3D592B45"/>
    <w:rsid w:val="3D66FE2E"/>
    <w:rsid w:val="3DECF1E9"/>
    <w:rsid w:val="3E3960B9"/>
    <w:rsid w:val="3E5DD74A"/>
    <w:rsid w:val="3EC16A4C"/>
    <w:rsid w:val="3F9F0FA1"/>
    <w:rsid w:val="3FAA2046"/>
    <w:rsid w:val="3FCFE27D"/>
    <w:rsid w:val="400D754B"/>
    <w:rsid w:val="4030E7E8"/>
    <w:rsid w:val="40C53975"/>
    <w:rsid w:val="41199A72"/>
    <w:rsid w:val="4148D425"/>
    <w:rsid w:val="414C92BF"/>
    <w:rsid w:val="4171125E"/>
    <w:rsid w:val="41C6E232"/>
    <w:rsid w:val="428B8E69"/>
    <w:rsid w:val="42D34493"/>
    <w:rsid w:val="42E950F7"/>
    <w:rsid w:val="434F3265"/>
    <w:rsid w:val="43A8920F"/>
    <w:rsid w:val="44B42F13"/>
    <w:rsid w:val="44E292FA"/>
    <w:rsid w:val="453DDB6A"/>
    <w:rsid w:val="4599A6C5"/>
    <w:rsid w:val="4609F9AF"/>
    <w:rsid w:val="461077A3"/>
    <w:rsid w:val="465305AA"/>
    <w:rsid w:val="4671D049"/>
    <w:rsid w:val="47B7930E"/>
    <w:rsid w:val="47E9BFFB"/>
    <w:rsid w:val="4832E69C"/>
    <w:rsid w:val="48540333"/>
    <w:rsid w:val="488E342E"/>
    <w:rsid w:val="48969D16"/>
    <w:rsid w:val="48E190AD"/>
    <w:rsid w:val="4913AABC"/>
    <w:rsid w:val="49668796"/>
    <w:rsid w:val="49AF43DB"/>
    <w:rsid w:val="4A25BE9F"/>
    <w:rsid w:val="4A65EA1C"/>
    <w:rsid w:val="4A6DC241"/>
    <w:rsid w:val="4AA5D145"/>
    <w:rsid w:val="4B3A8509"/>
    <w:rsid w:val="4C1202B7"/>
    <w:rsid w:val="4C6CBD9D"/>
    <w:rsid w:val="4CB100A3"/>
    <w:rsid w:val="4CBC8290"/>
    <w:rsid w:val="4CD9CF92"/>
    <w:rsid w:val="4CFD68C3"/>
    <w:rsid w:val="4D03487B"/>
    <w:rsid w:val="4D0621AE"/>
    <w:rsid w:val="4D268DA0"/>
    <w:rsid w:val="4D7D1006"/>
    <w:rsid w:val="4D92F232"/>
    <w:rsid w:val="4D99ED1C"/>
    <w:rsid w:val="4DA27335"/>
    <w:rsid w:val="4E3C5F3C"/>
    <w:rsid w:val="4E40D219"/>
    <w:rsid w:val="4E43D93B"/>
    <w:rsid w:val="4EA19292"/>
    <w:rsid w:val="4EDB2D53"/>
    <w:rsid w:val="4EEA84A4"/>
    <w:rsid w:val="4EF0C673"/>
    <w:rsid w:val="4F16610D"/>
    <w:rsid w:val="4F434A9B"/>
    <w:rsid w:val="4F62E477"/>
    <w:rsid w:val="4FE14BE7"/>
    <w:rsid w:val="5014464E"/>
    <w:rsid w:val="503ECA1A"/>
    <w:rsid w:val="507AE394"/>
    <w:rsid w:val="50B38B08"/>
    <w:rsid w:val="50ECC9DA"/>
    <w:rsid w:val="5105ADBB"/>
    <w:rsid w:val="513F5ABB"/>
    <w:rsid w:val="515692AC"/>
    <w:rsid w:val="51C0B577"/>
    <w:rsid w:val="5213BE7D"/>
    <w:rsid w:val="5221F957"/>
    <w:rsid w:val="52261E66"/>
    <w:rsid w:val="523E3FAE"/>
    <w:rsid w:val="523E80AE"/>
    <w:rsid w:val="532C790A"/>
    <w:rsid w:val="533C4E74"/>
    <w:rsid w:val="53A6DEF5"/>
    <w:rsid w:val="54184C30"/>
    <w:rsid w:val="54676DD0"/>
    <w:rsid w:val="54804120"/>
    <w:rsid w:val="54AE1988"/>
    <w:rsid w:val="55A62C98"/>
    <w:rsid w:val="55D89E6C"/>
    <w:rsid w:val="55DE196E"/>
    <w:rsid w:val="56002F2C"/>
    <w:rsid w:val="562B36A4"/>
    <w:rsid w:val="56337252"/>
    <w:rsid w:val="566F0C0E"/>
    <w:rsid w:val="56BD9485"/>
    <w:rsid w:val="56C29E16"/>
    <w:rsid w:val="56E2E168"/>
    <w:rsid w:val="56F606C9"/>
    <w:rsid w:val="5741584A"/>
    <w:rsid w:val="5747FD16"/>
    <w:rsid w:val="576788FC"/>
    <w:rsid w:val="577A1F3F"/>
    <w:rsid w:val="5787D9ED"/>
    <w:rsid w:val="57A1DE83"/>
    <w:rsid w:val="57F8E0B1"/>
    <w:rsid w:val="580C36FA"/>
    <w:rsid w:val="581CBB4E"/>
    <w:rsid w:val="582F4F4F"/>
    <w:rsid w:val="58325A48"/>
    <w:rsid w:val="584458D8"/>
    <w:rsid w:val="5865D426"/>
    <w:rsid w:val="58806E8E"/>
    <w:rsid w:val="59026A5C"/>
    <w:rsid w:val="592E53BB"/>
    <w:rsid w:val="593EF5AB"/>
    <w:rsid w:val="594A8F72"/>
    <w:rsid w:val="597A1AF3"/>
    <w:rsid w:val="597D6FC8"/>
    <w:rsid w:val="59B2A0DD"/>
    <w:rsid w:val="59D7DA0C"/>
    <w:rsid w:val="59DBDED6"/>
    <w:rsid w:val="59E51CDE"/>
    <w:rsid w:val="5A0A85D2"/>
    <w:rsid w:val="5A38A693"/>
    <w:rsid w:val="5AA135CF"/>
    <w:rsid w:val="5AFDBD24"/>
    <w:rsid w:val="5B338487"/>
    <w:rsid w:val="5B429912"/>
    <w:rsid w:val="5B4F61A5"/>
    <w:rsid w:val="5B53052F"/>
    <w:rsid w:val="5B58941A"/>
    <w:rsid w:val="5B6C15E1"/>
    <w:rsid w:val="5BE0008E"/>
    <w:rsid w:val="5C29B4D5"/>
    <w:rsid w:val="5C42618E"/>
    <w:rsid w:val="5C912D53"/>
    <w:rsid w:val="5D625FAE"/>
    <w:rsid w:val="5D680745"/>
    <w:rsid w:val="5D7F5B50"/>
    <w:rsid w:val="5E050015"/>
    <w:rsid w:val="5E1369C2"/>
    <w:rsid w:val="5E567F0B"/>
    <w:rsid w:val="5E69BCA5"/>
    <w:rsid w:val="5EC0DCE1"/>
    <w:rsid w:val="5F038B64"/>
    <w:rsid w:val="5F24AE86"/>
    <w:rsid w:val="5F47ED75"/>
    <w:rsid w:val="5FBD5363"/>
    <w:rsid w:val="60021B83"/>
    <w:rsid w:val="6024BCCC"/>
    <w:rsid w:val="611408DB"/>
    <w:rsid w:val="6177EA81"/>
    <w:rsid w:val="61AC17E1"/>
    <w:rsid w:val="61ACF6C6"/>
    <w:rsid w:val="624ECFE9"/>
    <w:rsid w:val="62FED2B9"/>
    <w:rsid w:val="634F0A2D"/>
    <w:rsid w:val="6355358C"/>
    <w:rsid w:val="63A210D7"/>
    <w:rsid w:val="63B28D4B"/>
    <w:rsid w:val="640294B2"/>
    <w:rsid w:val="6413AD34"/>
    <w:rsid w:val="648C956C"/>
    <w:rsid w:val="64CB414A"/>
    <w:rsid w:val="6567FC8C"/>
    <w:rsid w:val="659453AB"/>
    <w:rsid w:val="6669F97A"/>
    <w:rsid w:val="66C00C75"/>
    <w:rsid w:val="66FF3DDF"/>
    <w:rsid w:val="6757FA77"/>
    <w:rsid w:val="6766385C"/>
    <w:rsid w:val="6795A9F9"/>
    <w:rsid w:val="67C6699B"/>
    <w:rsid w:val="67D5706C"/>
    <w:rsid w:val="680BCCCB"/>
    <w:rsid w:val="68385C10"/>
    <w:rsid w:val="68D96AF6"/>
    <w:rsid w:val="69361208"/>
    <w:rsid w:val="698D058C"/>
    <w:rsid w:val="69932723"/>
    <w:rsid w:val="6A8DBCD8"/>
    <w:rsid w:val="6B0A7033"/>
    <w:rsid w:val="6BBA1B29"/>
    <w:rsid w:val="6BF12C68"/>
    <w:rsid w:val="6CAD77B9"/>
    <w:rsid w:val="6CC440A0"/>
    <w:rsid w:val="6CE1C593"/>
    <w:rsid w:val="6D81D0B1"/>
    <w:rsid w:val="6D838580"/>
    <w:rsid w:val="6E4F3C4A"/>
    <w:rsid w:val="6EBAC9B3"/>
    <w:rsid w:val="6EFAA343"/>
    <w:rsid w:val="6F15DA60"/>
    <w:rsid w:val="6F26869B"/>
    <w:rsid w:val="704B1A19"/>
    <w:rsid w:val="70B9A157"/>
    <w:rsid w:val="710CCF8A"/>
    <w:rsid w:val="71420D52"/>
    <w:rsid w:val="71530F8C"/>
    <w:rsid w:val="730AA9D3"/>
    <w:rsid w:val="736BB111"/>
    <w:rsid w:val="73AD8BC7"/>
    <w:rsid w:val="740109B7"/>
    <w:rsid w:val="74A8F84C"/>
    <w:rsid w:val="74B1B044"/>
    <w:rsid w:val="74B8094F"/>
    <w:rsid w:val="74EBE0FA"/>
    <w:rsid w:val="751DACFD"/>
    <w:rsid w:val="752835F3"/>
    <w:rsid w:val="75912C3C"/>
    <w:rsid w:val="76068F46"/>
    <w:rsid w:val="760778CF"/>
    <w:rsid w:val="76107A62"/>
    <w:rsid w:val="76D9E17F"/>
    <w:rsid w:val="77067CC0"/>
    <w:rsid w:val="7783DA9B"/>
    <w:rsid w:val="77C3AA63"/>
    <w:rsid w:val="77D04116"/>
    <w:rsid w:val="77EF08B0"/>
    <w:rsid w:val="77FCC2F4"/>
    <w:rsid w:val="7819B8A5"/>
    <w:rsid w:val="782037CB"/>
    <w:rsid w:val="783C3086"/>
    <w:rsid w:val="78646FA6"/>
    <w:rsid w:val="7875EE51"/>
    <w:rsid w:val="7897AADD"/>
    <w:rsid w:val="78AF3E8D"/>
    <w:rsid w:val="78E30FB4"/>
    <w:rsid w:val="79BFC411"/>
    <w:rsid w:val="79E9C57D"/>
    <w:rsid w:val="7A983DE9"/>
    <w:rsid w:val="7AADD2DB"/>
    <w:rsid w:val="7B056D16"/>
    <w:rsid w:val="7B260331"/>
    <w:rsid w:val="7B363F63"/>
    <w:rsid w:val="7B3FBEFA"/>
    <w:rsid w:val="7B41A887"/>
    <w:rsid w:val="7B42A0C5"/>
    <w:rsid w:val="7B440C73"/>
    <w:rsid w:val="7B75A435"/>
    <w:rsid w:val="7BD0FE40"/>
    <w:rsid w:val="7BFF7510"/>
    <w:rsid w:val="7C5F9B36"/>
    <w:rsid w:val="7CCC74C7"/>
    <w:rsid w:val="7CD99050"/>
    <w:rsid w:val="7CED36EC"/>
    <w:rsid w:val="7CED59B3"/>
    <w:rsid w:val="7D1AEFE4"/>
    <w:rsid w:val="7D4A713E"/>
    <w:rsid w:val="7DBDB572"/>
    <w:rsid w:val="7DD06631"/>
    <w:rsid w:val="7DDABEC9"/>
    <w:rsid w:val="7EB53A7D"/>
    <w:rsid w:val="7F4C1660"/>
    <w:rsid w:val="7F784C60"/>
    <w:rsid w:val="7F8F267A"/>
    <w:rsid w:val="7F913414"/>
    <w:rsid w:val="7FD0CA1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7CA4E"/>
  <w15:chartTrackingRefBased/>
  <w15:docId w15:val="{4EBB0100-66E6-44F6-A9B9-24DBE3B6C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35344D"/>
    <w:pPr>
      <w:spacing w:before="120" w:after="120" w:line="276" w:lineRule="auto"/>
    </w:pPr>
  </w:style>
  <w:style w:type="paragraph" w:styleId="Heading1">
    <w:name w:val="heading 1"/>
    <w:aliases w:val="Heading 1 numbered"/>
    <w:basedOn w:val="Normal"/>
    <w:next w:val="Normal"/>
    <w:link w:val="Heading1Char"/>
    <w:uiPriority w:val="9"/>
    <w:qFormat/>
    <w:rsid w:val="00AD29D4"/>
    <w:pPr>
      <w:keepNext/>
      <w:keepLines/>
      <w:spacing w:before="360"/>
      <w:ind w:left="-491" w:hanging="360"/>
      <w:outlineLvl w:val="0"/>
    </w:pPr>
    <w:rPr>
      <w:rFonts w:eastAsiaTheme="majorEastAsia"/>
      <w:b/>
      <w:color w:val="1F3864" w:themeColor="accent1" w:themeShade="80"/>
      <w:sz w:val="44"/>
      <w:szCs w:val="44"/>
    </w:rPr>
  </w:style>
  <w:style w:type="paragraph" w:styleId="Heading2">
    <w:name w:val="heading 2"/>
    <w:aliases w:val="Heading 2 numbered"/>
    <w:basedOn w:val="Normal"/>
    <w:next w:val="Normal"/>
    <w:link w:val="Heading2Char"/>
    <w:uiPriority w:val="9"/>
    <w:unhideWhenUsed/>
    <w:qFormat/>
    <w:rsid w:val="00AD29D4"/>
    <w:pPr>
      <w:keepNext/>
      <w:keepLines/>
      <w:spacing w:before="160"/>
      <w:ind w:left="-59" w:hanging="432"/>
      <w:outlineLvl w:val="1"/>
    </w:pPr>
    <w:rPr>
      <w:rFonts w:eastAsiaTheme="majorEastAsia"/>
      <w:b/>
      <w:color w:val="1F3864" w:themeColor="accent1" w:themeShade="80"/>
      <w:sz w:val="32"/>
      <w:szCs w:val="32"/>
    </w:rPr>
  </w:style>
  <w:style w:type="paragraph" w:styleId="Heading3">
    <w:name w:val="heading 3"/>
    <w:basedOn w:val="Normal"/>
    <w:next w:val="Normal"/>
    <w:link w:val="Heading3Char"/>
    <w:uiPriority w:val="9"/>
    <w:unhideWhenUsed/>
    <w:qFormat/>
    <w:rsid w:val="006F0BB5"/>
    <w:pPr>
      <w:keepNext/>
      <w:keepLines/>
      <w:spacing w:before="160"/>
      <w:outlineLvl w:val="2"/>
    </w:pPr>
    <w:rPr>
      <w:rFonts w:eastAsiaTheme="majorEastAsia"/>
      <w:b/>
      <w:color w:val="1EB8C3"/>
      <w:sz w:val="28"/>
      <w:szCs w:val="28"/>
    </w:rPr>
  </w:style>
  <w:style w:type="paragraph" w:styleId="Heading4">
    <w:name w:val="heading 4"/>
    <w:basedOn w:val="Heading5"/>
    <w:next w:val="Normal"/>
    <w:link w:val="Heading4Char"/>
    <w:uiPriority w:val="9"/>
    <w:unhideWhenUsed/>
    <w:qFormat/>
    <w:rsid w:val="006944AE"/>
    <w:pPr>
      <w:outlineLvl w:val="3"/>
    </w:pPr>
    <w:rPr>
      <w:b/>
      <w:sz w:val="24"/>
      <w:szCs w:val="24"/>
    </w:rPr>
  </w:style>
  <w:style w:type="paragraph" w:styleId="Heading5">
    <w:name w:val="heading 5"/>
    <w:basedOn w:val="Normal"/>
    <w:next w:val="Normal"/>
    <w:link w:val="Heading5Char"/>
    <w:uiPriority w:val="9"/>
    <w:unhideWhenUsed/>
    <w:qFormat/>
    <w:rsid w:val="006944AE"/>
    <w:pPr>
      <w:keepNext/>
      <w:keepLines/>
      <w:spacing w:before="40" w:after="0"/>
      <w:outlineLvl w:val="4"/>
    </w:pPr>
    <w:rPr>
      <w:rFonts w:eastAsiaTheme="majorEastAsia"/>
      <w:color w:val="2F5496" w:themeColor="accent1" w:themeShade="BF"/>
      <w:sz w:val="22"/>
      <w:szCs w:val="22"/>
    </w:rPr>
  </w:style>
  <w:style w:type="paragraph" w:styleId="Heading6">
    <w:name w:val="heading 6"/>
    <w:basedOn w:val="Normal"/>
    <w:next w:val="Normal"/>
    <w:link w:val="Heading6Char"/>
    <w:uiPriority w:val="9"/>
    <w:unhideWhenUsed/>
    <w:qFormat/>
    <w:rsid w:val="003758AA"/>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6944A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87F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87F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E7686"/>
    <w:rPr>
      <w:rFonts w:eastAsiaTheme="minorEastAsia"/>
      <w:sz w:val="22"/>
      <w:szCs w:val="22"/>
      <w:lang w:val="en-US" w:eastAsia="zh-CN"/>
    </w:rPr>
  </w:style>
  <w:style w:type="character" w:customStyle="1" w:styleId="NoSpacingChar">
    <w:name w:val="No Spacing Char"/>
    <w:basedOn w:val="DefaultParagraphFont"/>
    <w:link w:val="NoSpacing"/>
    <w:uiPriority w:val="1"/>
    <w:rsid w:val="00AE7686"/>
    <w:rPr>
      <w:rFonts w:eastAsiaTheme="minorEastAsia"/>
      <w:sz w:val="22"/>
      <w:szCs w:val="22"/>
      <w:lang w:val="en-US" w:eastAsia="zh-CN"/>
    </w:rPr>
  </w:style>
  <w:style w:type="paragraph" w:styleId="Header">
    <w:name w:val="header"/>
    <w:basedOn w:val="Normal"/>
    <w:link w:val="HeaderChar"/>
    <w:uiPriority w:val="99"/>
    <w:unhideWhenUsed/>
    <w:rsid w:val="00D50EE2"/>
    <w:pPr>
      <w:tabs>
        <w:tab w:val="center" w:pos="4513"/>
        <w:tab w:val="right" w:pos="9026"/>
      </w:tabs>
    </w:pPr>
  </w:style>
  <w:style w:type="character" w:customStyle="1" w:styleId="HeaderChar">
    <w:name w:val="Header Char"/>
    <w:basedOn w:val="DefaultParagraphFont"/>
    <w:link w:val="Header"/>
    <w:uiPriority w:val="99"/>
    <w:rsid w:val="00D50EE2"/>
    <w:rPr>
      <w:rFonts w:asciiTheme="majorHAnsi" w:hAnsiTheme="majorHAnsi" w:cs="Poppins Light"/>
      <w:color w:val="1D4A63"/>
      <w:sz w:val="20"/>
      <w:szCs w:val="20"/>
      <w:lang w:val="en-GB"/>
    </w:rPr>
  </w:style>
  <w:style w:type="paragraph" w:styleId="Footer">
    <w:name w:val="footer"/>
    <w:basedOn w:val="Normal"/>
    <w:link w:val="FooterChar"/>
    <w:uiPriority w:val="99"/>
    <w:unhideWhenUsed/>
    <w:rsid w:val="00D50EE2"/>
    <w:pPr>
      <w:tabs>
        <w:tab w:val="center" w:pos="4513"/>
        <w:tab w:val="right" w:pos="9026"/>
      </w:tabs>
    </w:pPr>
    <w:rPr>
      <w:b/>
    </w:rPr>
  </w:style>
  <w:style w:type="character" w:customStyle="1" w:styleId="FooterChar">
    <w:name w:val="Footer Char"/>
    <w:basedOn w:val="DefaultParagraphFont"/>
    <w:link w:val="Footer"/>
    <w:uiPriority w:val="99"/>
    <w:rsid w:val="00D50EE2"/>
    <w:rPr>
      <w:rFonts w:asciiTheme="majorHAnsi" w:hAnsiTheme="majorHAnsi" w:cs="Poppins Light"/>
      <w:b/>
      <w:color w:val="1D4A63"/>
      <w:sz w:val="20"/>
      <w:szCs w:val="20"/>
      <w:lang w:val="en-GB"/>
    </w:rPr>
  </w:style>
  <w:style w:type="paragraph" w:customStyle="1" w:styleId="BasicParagraph">
    <w:name w:val="[Basic Paragraph]"/>
    <w:basedOn w:val="Normal"/>
    <w:uiPriority w:val="99"/>
    <w:rsid w:val="00D50EE2"/>
    <w:pPr>
      <w:autoSpaceDE w:val="0"/>
      <w:autoSpaceDN w:val="0"/>
      <w:adjustRightInd w:val="0"/>
      <w:spacing w:line="288" w:lineRule="auto"/>
      <w:textAlignment w:val="center"/>
    </w:pPr>
    <w:rPr>
      <w:rFonts w:cs="Minion Pro"/>
      <w:color w:val="000000"/>
      <w:lang w:val="en-US"/>
    </w:rPr>
  </w:style>
  <w:style w:type="paragraph" w:styleId="Title">
    <w:name w:val="Title"/>
    <w:basedOn w:val="Normal"/>
    <w:next w:val="Normal"/>
    <w:link w:val="TitleChar"/>
    <w:uiPriority w:val="10"/>
    <w:qFormat/>
    <w:rsid w:val="006F0BB5"/>
    <w:pPr>
      <w:spacing w:before="240" w:after="240"/>
      <w:contextualSpacing/>
    </w:pPr>
    <w:rPr>
      <w:rFonts w:eastAsiaTheme="majorEastAsia"/>
      <w:b/>
      <w:color w:val="1F3864" w:themeColor="accent1" w:themeShade="80"/>
      <w:spacing w:val="-10"/>
      <w:kern w:val="28"/>
      <w:sz w:val="80"/>
      <w:szCs w:val="80"/>
    </w:rPr>
  </w:style>
  <w:style w:type="character" w:customStyle="1" w:styleId="TitleChar">
    <w:name w:val="Title Char"/>
    <w:basedOn w:val="DefaultParagraphFont"/>
    <w:link w:val="Title"/>
    <w:uiPriority w:val="10"/>
    <w:rsid w:val="006F0BB5"/>
    <w:rPr>
      <w:rFonts w:eastAsiaTheme="majorEastAsia" w:cstheme="minorHAnsi"/>
      <w:b/>
      <w:color w:val="1F3864" w:themeColor="accent1" w:themeShade="80"/>
      <w:spacing w:val="-10"/>
      <w:kern w:val="28"/>
      <w:sz w:val="80"/>
      <w:szCs w:val="80"/>
      <w:lang w:val="en-GB"/>
    </w:rPr>
  </w:style>
  <w:style w:type="character" w:customStyle="1" w:styleId="Heading1Char">
    <w:name w:val="Heading 1 Char"/>
    <w:aliases w:val="Heading 1 numbered Char"/>
    <w:basedOn w:val="DefaultParagraphFont"/>
    <w:link w:val="Heading1"/>
    <w:uiPriority w:val="9"/>
    <w:rsid w:val="00AD29D4"/>
    <w:rPr>
      <w:rFonts w:eastAsiaTheme="majorEastAsia"/>
      <w:b/>
      <w:color w:val="1F3864" w:themeColor="accent1" w:themeShade="80"/>
      <w:sz w:val="44"/>
      <w:szCs w:val="44"/>
    </w:rPr>
  </w:style>
  <w:style w:type="paragraph" w:customStyle="1" w:styleId="Intro">
    <w:name w:val="Intro"/>
    <w:basedOn w:val="BasicParagraph"/>
    <w:qFormat/>
    <w:rsid w:val="00854969"/>
    <w:pPr>
      <w:spacing w:after="200" w:line="216" w:lineRule="auto"/>
    </w:pPr>
    <w:rPr>
      <w:rFonts w:asciiTheme="majorHAnsi" w:hAnsiTheme="majorHAnsi" w:cstheme="majorHAnsi"/>
      <w:color w:val="808080" w:themeColor="background1" w:themeShade="80"/>
      <w:spacing w:val="4"/>
      <w:sz w:val="32"/>
      <w:szCs w:val="32"/>
      <w:lang w:val="en-GB"/>
    </w:rPr>
  </w:style>
  <w:style w:type="character" w:customStyle="1" w:styleId="Heading2Char">
    <w:name w:val="Heading 2 Char"/>
    <w:aliases w:val="Heading 2 numbered Char"/>
    <w:basedOn w:val="DefaultParagraphFont"/>
    <w:link w:val="Heading2"/>
    <w:uiPriority w:val="9"/>
    <w:rsid w:val="00AD29D4"/>
    <w:rPr>
      <w:rFonts w:eastAsiaTheme="majorEastAsia"/>
      <w:b/>
      <w:color w:val="1F3864" w:themeColor="accent1" w:themeShade="80"/>
      <w:sz w:val="32"/>
      <w:szCs w:val="32"/>
    </w:rPr>
  </w:style>
  <w:style w:type="character" w:customStyle="1" w:styleId="Heading3Char">
    <w:name w:val="Heading 3 Char"/>
    <w:basedOn w:val="DefaultParagraphFont"/>
    <w:link w:val="Heading3"/>
    <w:uiPriority w:val="9"/>
    <w:rsid w:val="006F0BB5"/>
    <w:rPr>
      <w:rFonts w:eastAsiaTheme="majorEastAsia" w:cstheme="minorHAnsi"/>
      <w:b/>
      <w:color w:val="1EB8C3"/>
      <w:sz w:val="28"/>
      <w:szCs w:val="28"/>
      <w:lang w:val="en-GB"/>
    </w:rPr>
  </w:style>
  <w:style w:type="character" w:customStyle="1" w:styleId="Heading4Char">
    <w:name w:val="Heading 4 Char"/>
    <w:basedOn w:val="DefaultParagraphFont"/>
    <w:link w:val="Heading4"/>
    <w:uiPriority w:val="9"/>
    <w:rsid w:val="006944AE"/>
    <w:rPr>
      <w:rFonts w:eastAsiaTheme="majorEastAsia" w:cstheme="minorHAnsi"/>
      <w:b/>
      <w:color w:val="2F5496" w:themeColor="accent1" w:themeShade="BF"/>
      <w:lang w:val="en-GB"/>
    </w:rPr>
  </w:style>
  <w:style w:type="paragraph" w:styleId="ListParagraph">
    <w:name w:val="List Paragraph"/>
    <w:aliases w:val="Rec para,List Paragraph1,Recommendation,List Paragraph11"/>
    <w:basedOn w:val="Normal"/>
    <w:link w:val="ListParagraphChar"/>
    <w:uiPriority w:val="34"/>
    <w:qFormat/>
    <w:rsid w:val="00062E3D"/>
    <w:pPr>
      <w:ind w:left="720"/>
      <w:contextualSpacing/>
    </w:pPr>
  </w:style>
  <w:style w:type="paragraph" w:customStyle="1" w:styleId="Bullets">
    <w:name w:val="Bullets"/>
    <w:basedOn w:val="ListParagraph"/>
    <w:qFormat/>
    <w:rsid w:val="00062E3D"/>
    <w:pPr>
      <w:numPr>
        <w:numId w:val="1"/>
      </w:numPr>
      <w:ind w:left="454" w:firstLine="0"/>
    </w:pPr>
  </w:style>
  <w:style w:type="paragraph" w:customStyle="1" w:styleId="BodyBoldIndented">
    <w:name w:val="Body Bold Indented"/>
    <w:basedOn w:val="Normal"/>
    <w:qFormat/>
    <w:rsid w:val="00062E3D"/>
    <w:pPr>
      <w:ind w:left="454"/>
    </w:pPr>
    <w:rPr>
      <w:b/>
      <w:bCs/>
    </w:rPr>
  </w:style>
  <w:style w:type="paragraph" w:customStyle="1" w:styleId="Highlight">
    <w:name w:val="Highlight"/>
    <w:basedOn w:val="BasicParagraph"/>
    <w:qFormat/>
    <w:rsid w:val="00D50EE2"/>
    <w:rPr>
      <w:rFonts w:cstheme="majorHAnsi"/>
      <w:color w:val="1D4A63"/>
      <w:sz w:val="40"/>
      <w:szCs w:val="40"/>
    </w:rPr>
  </w:style>
  <w:style w:type="character" w:styleId="PageNumber">
    <w:name w:val="page number"/>
    <w:basedOn w:val="DefaultParagraphFont"/>
    <w:uiPriority w:val="99"/>
    <w:semiHidden/>
    <w:unhideWhenUsed/>
    <w:rsid w:val="00A258CD"/>
  </w:style>
  <w:style w:type="paragraph" w:customStyle="1" w:styleId="FooterTitle">
    <w:name w:val="Footer Title"/>
    <w:basedOn w:val="Footer"/>
    <w:qFormat/>
    <w:rsid w:val="00D50EE2"/>
    <w:rPr>
      <w:b w:val="0"/>
    </w:rPr>
  </w:style>
  <w:style w:type="paragraph" w:customStyle="1" w:styleId="DocumentTitle">
    <w:name w:val="Document Title"/>
    <w:basedOn w:val="Normal"/>
    <w:qFormat/>
    <w:rsid w:val="00D50EE2"/>
    <w:pPr>
      <w:autoSpaceDE w:val="0"/>
      <w:autoSpaceDN w:val="0"/>
      <w:adjustRightInd w:val="0"/>
      <w:spacing w:before="0" w:after="0" w:line="240" w:lineRule="auto"/>
      <w:textAlignment w:val="center"/>
    </w:pPr>
    <w:rPr>
      <w:rFonts w:cs="Montserrat"/>
      <w:b/>
      <w:bCs/>
      <w:color w:val="FFFFFF" w:themeColor="background1"/>
      <w:sz w:val="80"/>
      <w:szCs w:val="80"/>
      <w:lang w:val="en-US"/>
      <w14:textOutline w14:w="9525" w14:cap="flat" w14:cmpd="sng" w14:algn="ctr">
        <w14:noFill/>
        <w14:prstDash w14:val="solid"/>
        <w14:round/>
      </w14:textOutline>
    </w:rPr>
  </w:style>
  <w:style w:type="paragraph" w:styleId="Subtitle">
    <w:name w:val="Subtitle"/>
    <w:basedOn w:val="Normal"/>
    <w:next w:val="Normal"/>
    <w:link w:val="SubtitleChar"/>
    <w:uiPriority w:val="11"/>
    <w:rsid w:val="00D50EE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50EE2"/>
    <w:rPr>
      <w:rFonts w:eastAsiaTheme="minorEastAsia"/>
      <w:color w:val="5A5A5A" w:themeColor="text1" w:themeTint="A5"/>
      <w:spacing w:val="15"/>
      <w:sz w:val="22"/>
      <w:szCs w:val="22"/>
    </w:rPr>
  </w:style>
  <w:style w:type="character" w:styleId="SubtleEmphasis">
    <w:name w:val="Subtle Emphasis"/>
    <w:basedOn w:val="DefaultParagraphFont"/>
    <w:uiPriority w:val="19"/>
    <w:rsid w:val="00D50EE2"/>
    <w:rPr>
      <w:rFonts w:asciiTheme="majorHAnsi" w:hAnsiTheme="majorHAnsi"/>
      <w:i/>
      <w:iCs/>
      <w:color w:val="404040" w:themeColor="text1" w:themeTint="BF"/>
    </w:rPr>
  </w:style>
  <w:style w:type="character" w:styleId="Emphasis">
    <w:name w:val="Emphasis"/>
    <w:basedOn w:val="DefaultParagraphFont"/>
    <w:uiPriority w:val="20"/>
    <w:rsid w:val="00D50EE2"/>
    <w:rPr>
      <w:rFonts w:asciiTheme="majorHAnsi" w:hAnsiTheme="majorHAnsi"/>
      <w:i/>
      <w:iCs/>
    </w:rPr>
  </w:style>
  <w:style w:type="character" w:styleId="Strong">
    <w:name w:val="Strong"/>
    <w:basedOn w:val="DefaultParagraphFont"/>
    <w:uiPriority w:val="22"/>
    <w:rsid w:val="00D50EE2"/>
    <w:rPr>
      <w:rFonts w:asciiTheme="majorHAnsi" w:hAnsiTheme="majorHAnsi"/>
      <w:b/>
      <w:bCs/>
    </w:rPr>
  </w:style>
  <w:style w:type="paragraph" w:styleId="IntenseQuote">
    <w:name w:val="Intense Quote"/>
    <w:basedOn w:val="Normal"/>
    <w:next w:val="Normal"/>
    <w:link w:val="IntenseQuoteChar"/>
    <w:uiPriority w:val="30"/>
    <w:qFormat/>
    <w:rsid w:val="00D50EE2"/>
    <w:pPr>
      <w:pBdr>
        <w:top w:val="single" w:sz="4" w:space="10" w:color="4472C4" w:themeColor="accent1"/>
        <w:bottom w:val="single" w:sz="4" w:space="10" w:color="4472C4" w:themeColor="accent1"/>
      </w:pBdr>
      <w:spacing w:before="360" w:after="360"/>
      <w:ind w:left="864" w:right="864"/>
      <w:jc w:val="center"/>
    </w:pPr>
    <w:rPr>
      <w:i/>
      <w:iCs/>
      <w:color w:val="60B9D8"/>
    </w:rPr>
  </w:style>
  <w:style w:type="character" w:customStyle="1" w:styleId="IntenseQuoteChar">
    <w:name w:val="Intense Quote Char"/>
    <w:basedOn w:val="DefaultParagraphFont"/>
    <w:link w:val="IntenseQuote"/>
    <w:uiPriority w:val="30"/>
    <w:rsid w:val="00D50EE2"/>
    <w:rPr>
      <w:rFonts w:asciiTheme="majorHAnsi" w:hAnsiTheme="majorHAnsi" w:cs="Poppins Light"/>
      <w:i/>
      <w:iCs/>
      <w:color w:val="60B9D8"/>
      <w:sz w:val="20"/>
      <w:szCs w:val="20"/>
      <w:lang w:val="en-GB"/>
    </w:rPr>
  </w:style>
  <w:style w:type="character" w:styleId="SubtleReference">
    <w:name w:val="Subtle Reference"/>
    <w:basedOn w:val="DefaultParagraphFont"/>
    <w:uiPriority w:val="31"/>
    <w:qFormat/>
    <w:rsid w:val="00D50EE2"/>
    <w:rPr>
      <w:rFonts w:asciiTheme="majorHAnsi" w:hAnsiTheme="majorHAnsi"/>
      <w:smallCaps/>
      <w:color w:val="5A5A5A" w:themeColor="text1" w:themeTint="A5"/>
    </w:rPr>
  </w:style>
  <w:style w:type="character" w:styleId="IntenseReference">
    <w:name w:val="Intense Reference"/>
    <w:basedOn w:val="DefaultParagraphFont"/>
    <w:uiPriority w:val="32"/>
    <w:rsid w:val="00D50EE2"/>
    <w:rPr>
      <w:rFonts w:asciiTheme="majorHAnsi" w:hAnsiTheme="majorHAnsi"/>
      <w:b/>
      <w:bCs/>
      <w:smallCaps/>
      <w:color w:val="60B9D8"/>
      <w:spacing w:val="5"/>
    </w:rPr>
  </w:style>
  <w:style w:type="character" w:styleId="BookTitle">
    <w:name w:val="Book Title"/>
    <w:basedOn w:val="DefaultParagraphFont"/>
    <w:uiPriority w:val="33"/>
    <w:rsid w:val="00D50EE2"/>
    <w:rPr>
      <w:rFonts w:asciiTheme="majorHAnsi" w:hAnsiTheme="majorHAnsi"/>
      <w:b/>
      <w:bCs/>
      <w:i/>
      <w:iCs/>
      <w:spacing w:val="5"/>
    </w:rPr>
  </w:style>
  <w:style w:type="character" w:styleId="IntenseEmphasis">
    <w:name w:val="Intense Emphasis"/>
    <w:basedOn w:val="DefaultParagraphFont"/>
    <w:uiPriority w:val="21"/>
    <w:qFormat/>
    <w:rsid w:val="00D50EE2"/>
    <w:rPr>
      <w:i/>
      <w:iCs/>
      <w:color w:val="60B9D8"/>
    </w:rPr>
  </w:style>
  <w:style w:type="paragraph" w:styleId="BodyText">
    <w:name w:val="Body Text"/>
    <w:basedOn w:val="Normal"/>
    <w:link w:val="BodyTextChar"/>
    <w:uiPriority w:val="1"/>
    <w:qFormat/>
    <w:rsid w:val="00A15A31"/>
    <w:pPr>
      <w:widowControl w:val="0"/>
      <w:autoSpaceDE w:val="0"/>
      <w:autoSpaceDN w:val="0"/>
      <w:spacing w:before="5" w:after="0" w:line="232" w:lineRule="auto"/>
      <w:ind w:left="20" w:right="17"/>
    </w:pPr>
    <w:rPr>
      <w:rFonts w:ascii="Calibri-Light" w:eastAsia="Calibri-Light" w:hAnsi="Calibri-Light" w:cs="Calibri-Light"/>
      <w:color w:val="231F20"/>
      <w:lang w:val="en-US"/>
    </w:rPr>
  </w:style>
  <w:style w:type="character" w:customStyle="1" w:styleId="BodyTextChar">
    <w:name w:val="Body Text Char"/>
    <w:basedOn w:val="DefaultParagraphFont"/>
    <w:link w:val="BodyText"/>
    <w:uiPriority w:val="1"/>
    <w:rsid w:val="00A15A31"/>
    <w:rPr>
      <w:rFonts w:ascii="Calibri-Light" w:eastAsia="Calibri-Light" w:hAnsi="Calibri-Light" w:cs="Calibri-Light"/>
      <w:color w:val="231F20"/>
      <w:lang w:val="en-US"/>
    </w:rPr>
  </w:style>
  <w:style w:type="character" w:customStyle="1" w:styleId="Heading5Char">
    <w:name w:val="Heading 5 Char"/>
    <w:basedOn w:val="DefaultParagraphFont"/>
    <w:link w:val="Heading5"/>
    <w:uiPriority w:val="9"/>
    <w:rsid w:val="006944AE"/>
    <w:rPr>
      <w:rFonts w:eastAsiaTheme="majorEastAsia" w:cstheme="minorHAnsi"/>
      <w:color w:val="2F5496" w:themeColor="accent1" w:themeShade="BF"/>
      <w:sz w:val="22"/>
      <w:szCs w:val="22"/>
      <w:lang w:val="en-GB"/>
    </w:rPr>
  </w:style>
  <w:style w:type="character" w:customStyle="1" w:styleId="Heading6Char">
    <w:name w:val="Heading 6 Char"/>
    <w:basedOn w:val="DefaultParagraphFont"/>
    <w:link w:val="Heading6"/>
    <w:uiPriority w:val="9"/>
    <w:rsid w:val="003758AA"/>
    <w:rPr>
      <w:rFonts w:asciiTheme="majorHAnsi" w:eastAsiaTheme="majorEastAsia" w:hAnsiTheme="majorHAnsi" w:cstheme="majorBidi"/>
      <w:color w:val="1F3763" w:themeColor="accent1" w:themeShade="7F"/>
      <w:sz w:val="20"/>
      <w:szCs w:val="20"/>
      <w:lang w:val="en-GB"/>
    </w:rPr>
  </w:style>
  <w:style w:type="paragraph" w:styleId="Quote">
    <w:name w:val="Quote"/>
    <w:basedOn w:val="Highlight"/>
    <w:next w:val="Normal"/>
    <w:link w:val="QuoteChar"/>
    <w:uiPriority w:val="29"/>
    <w:qFormat/>
    <w:rsid w:val="00F958AA"/>
    <w:pPr>
      <w:spacing w:line="216" w:lineRule="auto"/>
    </w:pPr>
    <w:rPr>
      <w:rFonts w:asciiTheme="majorHAnsi" w:hAnsiTheme="majorHAnsi"/>
      <w:i/>
      <w:color w:val="1CD0DE"/>
    </w:rPr>
  </w:style>
  <w:style w:type="character" w:customStyle="1" w:styleId="QuoteChar">
    <w:name w:val="Quote Char"/>
    <w:basedOn w:val="DefaultParagraphFont"/>
    <w:link w:val="Quote"/>
    <w:uiPriority w:val="29"/>
    <w:rsid w:val="00F958AA"/>
    <w:rPr>
      <w:rFonts w:asciiTheme="majorHAnsi" w:hAnsiTheme="majorHAnsi" w:cstheme="majorHAnsi"/>
      <w:i/>
      <w:color w:val="1CD0DE"/>
      <w:sz w:val="40"/>
      <w:szCs w:val="40"/>
      <w:lang w:val="en-US"/>
    </w:rPr>
  </w:style>
  <w:style w:type="paragraph" w:customStyle="1" w:styleId="sectionheader-chapternumber">
    <w:name w:val="section header - chapter number"/>
    <w:basedOn w:val="Normal"/>
    <w:qFormat/>
    <w:rsid w:val="003758AA"/>
    <w:rPr>
      <w:color w:val="FFFFFF" w:themeColor="background1"/>
    </w:rPr>
  </w:style>
  <w:style w:type="character" w:styleId="Hyperlink">
    <w:name w:val="Hyperlink"/>
    <w:aliases w:val="A+C Hyperlink"/>
    <w:basedOn w:val="DefaultParagraphFont"/>
    <w:uiPriority w:val="99"/>
    <w:unhideWhenUsed/>
    <w:rsid w:val="00D95F50"/>
    <w:rPr>
      <w:color w:val="0563C1" w:themeColor="hyperlink"/>
      <w:u w:val="single"/>
    </w:rPr>
  </w:style>
  <w:style w:type="paragraph" w:customStyle="1" w:styleId="ContentsPartheading">
    <w:name w:val="Contents Part heading"/>
    <w:basedOn w:val="Normal"/>
    <w:uiPriority w:val="99"/>
    <w:rsid w:val="00D95F50"/>
    <w:pPr>
      <w:pBdr>
        <w:bottom w:val="single" w:sz="8" w:space="8" w:color="0F385A"/>
      </w:pBdr>
      <w:tabs>
        <w:tab w:val="right" w:pos="7120"/>
      </w:tabs>
      <w:suppressAutoHyphens/>
      <w:autoSpaceDE w:val="0"/>
      <w:autoSpaceDN w:val="0"/>
      <w:adjustRightInd w:val="0"/>
      <w:spacing w:before="170" w:after="283" w:line="200" w:lineRule="atLeast"/>
      <w:textAlignment w:val="center"/>
    </w:pPr>
    <w:rPr>
      <w:rFonts w:ascii="Ebony" w:hAnsi="Ebony" w:cs="Ebony"/>
      <w:b/>
      <w:bCs/>
      <w:caps/>
      <w:color w:val="6AC07A"/>
      <w:lang w:val="en-US"/>
    </w:rPr>
  </w:style>
  <w:style w:type="paragraph" w:customStyle="1" w:styleId="Contentsbody">
    <w:name w:val="Contents body"/>
    <w:basedOn w:val="Normal"/>
    <w:uiPriority w:val="99"/>
    <w:rsid w:val="00D95F50"/>
    <w:pPr>
      <w:tabs>
        <w:tab w:val="decimal" w:leader="dot" w:pos="2740"/>
        <w:tab w:val="decimal" w:leader="dot" w:pos="4180"/>
        <w:tab w:val="right" w:pos="7160"/>
      </w:tabs>
      <w:suppressAutoHyphens/>
      <w:autoSpaceDE w:val="0"/>
      <w:autoSpaceDN w:val="0"/>
      <w:adjustRightInd w:val="0"/>
      <w:spacing w:before="0" w:after="28" w:line="280" w:lineRule="atLeast"/>
      <w:jc w:val="right"/>
      <w:textAlignment w:val="center"/>
    </w:pPr>
    <w:rPr>
      <w:rFonts w:ascii="Ebony Lt" w:hAnsi="Ebony Lt" w:cs="Ebony Lt"/>
      <w:color w:val="0F385A"/>
      <w:lang w:val="en-US"/>
    </w:rPr>
  </w:style>
  <w:style w:type="paragraph" w:customStyle="1" w:styleId="SIDEBAR-QUOTE">
    <w:name w:val="SIDEBAR - QUOTE"/>
    <w:basedOn w:val="Normal"/>
    <w:qFormat/>
    <w:rsid w:val="00F541FD"/>
    <w:pPr>
      <w:widowControl w:val="0"/>
      <w:autoSpaceDE w:val="0"/>
      <w:autoSpaceDN w:val="0"/>
      <w:spacing w:before="215" w:after="0" w:line="204" w:lineRule="auto"/>
      <w:ind w:left="246" w:right="350" w:firstLine="13"/>
    </w:pPr>
    <w:rPr>
      <w:rFonts w:eastAsia="Calibri-Light" w:hAnsi="Calibri-Light" w:cs="Calibri-Light"/>
      <w:i/>
      <w:color w:val="89CB92"/>
      <w:sz w:val="26"/>
      <w:szCs w:val="22"/>
      <w:lang w:val="en-US"/>
    </w:rPr>
  </w:style>
  <w:style w:type="character" w:customStyle="1" w:styleId="Heading7Char">
    <w:name w:val="Heading 7 Char"/>
    <w:basedOn w:val="DefaultParagraphFont"/>
    <w:link w:val="Heading7"/>
    <w:uiPriority w:val="9"/>
    <w:rsid w:val="006944AE"/>
    <w:rPr>
      <w:rFonts w:asciiTheme="majorHAnsi" w:eastAsiaTheme="majorEastAsia" w:hAnsiTheme="majorHAnsi" w:cstheme="majorBidi"/>
      <w:i/>
      <w:iCs/>
      <w:color w:val="1F3763" w:themeColor="accent1" w:themeShade="7F"/>
      <w:sz w:val="20"/>
      <w:szCs w:val="20"/>
      <w:lang w:val="en-GB"/>
    </w:rPr>
  </w:style>
  <w:style w:type="paragraph" w:customStyle="1" w:styleId="TableParagraph">
    <w:name w:val="Table Paragraph"/>
    <w:basedOn w:val="Normal"/>
    <w:uiPriority w:val="1"/>
    <w:qFormat/>
    <w:rsid w:val="004A06C8"/>
    <w:pPr>
      <w:widowControl w:val="0"/>
      <w:autoSpaceDE w:val="0"/>
      <w:autoSpaceDN w:val="0"/>
      <w:spacing w:before="0" w:after="0" w:line="240" w:lineRule="auto"/>
      <w:jc w:val="center"/>
    </w:pPr>
    <w:rPr>
      <w:rFonts w:ascii="Calibri-Light" w:eastAsia="Calibri-Light" w:hAnsi="Calibri-Light" w:cs="Calibri-Light"/>
      <w:color w:val="000000" w:themeColor="text1"/>
      <w:sz w:val="22"/>
      <w:szCs w:val="22"/>
      <w:lang w:val="en-US"/>
    </w:rPr>
  </w:style>
  <w:style w:type="table" w:styleId="GridTable5Dark-Accent5">
    <w:name w:val="Grid Table 5 Dark Accent 5"/>
    <w:basedOn w:val="TableNormal"/>
    <w:uiPriority w:val="50"/>
    <w:rsid w:val="006944AE"/>
    <w:pPr>
      <w:widowControl w:val="0"/>
      <w:autoSpaceDE w:val="0"/>
      <w:autoSpaceDN w:val="0"/>
    </w:pPr>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4-Accent5">
    <w:name w:val="List Table 4 Accent 5"/>
    <w:basedOn w:val="TableNormal"/>
    <w:uiPriority w:val="49"/>
    <w:rsid w:val="006944AE"/>
    <w:pPr>
      <w:widowControl w:val="0"/>
      <w:autoSpaceDE w:val="0"/>
      <w:autoSpaceDN w:val="0"/>
    </w:pPr>
    <w:rPr>
      <w:sz w:val="22"/>
      <w:szCs w:val="22"/>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BODYCOPY">
    <w:name w:val="P BODY COPY"/>
    <w:basedOn w:val="Normal"/>
    <w:uiPriority w:val="99"/>
    <w:rsid w:val="006944AE"/>
    <w:pPr>
      <w:suppressAutoHyphens/>
      <w:autoSpaceDE w:val="0"/>
      <w:autoSpaceDN w:val="0"/>
      <w:adjustRightInd w:val="0"/>
      <w:spacing w:before="0" w:after="170" w:line="280" w:lineRule="atLeast"/>
      <w:textAlignment w:val="center"/>
    </w:pPr>
    <w:rPr>
      <w:rFonts w:ascii="Ebony Lt" w:hAnsi="Ebony Lt" w:cs="Ebony Lt"/>
      <w:color w:val="000000"/>
      <w:lang w:val="en-US"/>
    </w:rPr>
  </w:style>
  <w:style w:type="paragraph" w:customStyle="1" w:styleId="BodyBullets">
    <w:name w:val="Body Bullets"/>
    <w:basedOn w:val="ListParagraph"/>
    <w:link w:val="BodyBulletsChar"/>
    <w:qFormat/>
    <w:rsid w:val="00D31BF8"/>
    <w:pPr>
      <w:numPr>
        <w:numId w:val="6"/>
      </w:numPr>
    </w:pPr>
  </w:style>
  <w:style w:type="paragraph" w:styleId="BalloonText">
    <w:name w:val="Balloon Text"/>
    <w:basedOn w:val="Normal"/>
    <w:link w:val="BalloonTextChar"/>
    <w:uiPriority w:val="99"/>
    <w:semiHidden/>
    <w:unhideWhenUsed/>
    <w:rsid w:val="00687F09"/>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7F09"/>
    <w:rPr>
      <w:rFonts w:ascii="Times New Roman" w:hAnsi="Times New Roman" w:cs="Times New Roman"/>
      <w:color w:val="000000" w:themeColor="text1"/>
      <w:sz w:val="18"/>
      <w:szCs w:val="18"/>
      <w:lang w:val="en-GB"/>
    </w:rPr>
  </w:style>
  <w:style w:type="paragraph" w:customStyle="1" w:styleId="Heading1nonumber">
    <w:name w:val="Heading 1 no number"/>
    <w:basedOn w:val="Heading1"/>
    <w:link w:val="Heading1nonumberChar"/>
    <w:qFormat/>
    <w:rsid w:val="00061B4F"/>
    <w:pPr>
      <w:ind w:left="0" w:firstLine="0"/>
    </w:pPr>
  </w:style>
  <w:style w:type="numbering" w:customStyle="1" w:styleId="CurrentList1">
    <w:name w:val="Current List1"/>
    <w:uiPriority w:val="99"/>
    <w:rsid w:val="00D06859"/>
    <w:pPr>
      <w:numPr>
        <w:numId w:val="2"/>
      </w:numPr>
    </w:pPr>
  </w:style>
  <w:style w:type="numbering" w:customStyle="1" w:styleId="CurrentList2">
    <w:name w:val="Current List2"/>
    <w:uiPriority w:val="99"/>
    <w:rsid w:val="00BF1A38"/>
    <w:pPr>
      <w:numPr>
        <w:numId w:val="3"/>
      </w:numPr>
    </w:pPr>
  </w:style>
  <w:style w:type="numbering" w:customStyle="1" w:styleId="CurrentList3">
    <w:name w:val="Current List3"/>
    <w:uiPriority w:val="99"/>
    <w:rsid w:val="00BF1A38"/>
    <w:pPr>
      <w:numPr>
        <w:numId w:val="4"/>
      </w:numPr>
    </w:pPr>
  </w:style>
  <w:style w:type="numbering" w:customStyle="1" w:styleId="CurrentList4">
    <w:name w:val="Current List4"/>
    <w:uiPriority w:val="99"/>
    <w:rsid w:val="00BF1A38"/>
    <w:pPr>
      <w:numPr>
        <w:numId w:val="5"/>
      </w:numPr>
    </w:pPr>
  </w:style>
  <w:style w:type="numbering" w:customStyle="1" w:styleId="CurrentList5">
    <w:name w:val="Current List5"/>
    <w:uiPriority w:val="99"/>
    <w:rsid w:val="00BF1A38"/>
    <w:pPr>
      <w:numPr>
        <w:numId w:val="12"/>
      </w:numPr>
    </w:pPr>
  </w:style>
  <w:style w:type="numbering" w:customStyle="1" w:styleId="CurrentList6">
    <w:name w:val="Current List6"/>
    <w:uiPriority w:val="99"/>
    <w:rsid w:val="00BF1A38"/>
    <w:pPr>
      <w:numPr>
        <w:numId w:val="13"/>
      </w:numPr>
    </w:pPr>
  </w:style>
  <w:style w:type="numbering" w:customStyle="1" w:styleId="CurrentList7">
    <w:name w:val="Current List7"/>
    <w:uiPriority w:val="99"/>
    <w:rsid w:val="00BF1A38"/>
    <w:pPr>
      <w:numPr>
        <w:numId w:val="14"/>
      </w:numPr>
    </w:pPr>
  </w:style>
  <w:style w:type="paragraph" w:customStyle="1" w:styleId="Heading2nonumber">
    <w:name w:val="Heading 2 no number"/>
    <w:basedOn w:val="Heading2"/>
    <w:qFormat/>
    <w:rsid w:val="00061B4F"/>
    <w:pPr>
      <w:ind w:left="0" w:firstLine="0"/>
    </w:pPr>
  </w:style>
  <w:style w:type="paragraph" w:customStyle="1" w:styleId="Tableheading">
    <w:name w:val="Table heading"/>
    <w:basedOn w:val="Heading4"/>
    <w:next w:val="TableParagraph"/>
    <w:qFormat/>
    <w:rsid w:val="00960641"/>
    <w:pPr>
      <w:widowControl w:val="0"/>
      <w:autoSpaceDE w:val="0"/>
      <w:autoSpaceDN w:val="0"/>
    </w:pPr>
    <w:rPr>
      <w:b w:val="0"/>
      <w:bCs/>
      <w:color w:val="FFFFFF" w:themeColor="background1"/>
      <w:sz w:val="32"/>
    </w:rPr>
  </w:style>
  <w:style w:type="character" w:customStyle="1" w:styleId="ListParagraphChar">
    <w:name w:val="List Paragraph Char"/>
    <w:aliases w:val="Rec para Char,List Paragraph1 Char,Recommendation Char,List Paragraph11 Char"/>
    <w:basedOn w:val="DefaultParagraphFont"/>
    <w:link w:val="ListParagraph"/>
    <w:uiPriority w:val="34"/>
    <w:locked/>
    <w:rsid w:val="005401AF"/>
    <w:rPr>
      <w:rFonts w:cstheme="minorHAnsi"/>
      <w:color w:val="000000" w:themeColor="text1"/>
      <w:sz w:val="20"/>
      <w:szCs w:val="20"/>
      <w:lang w:val="en-GB"/>
    </w:rPr>
  </w:style>
  <w:style w:type="table" w:styleId="TableGrid">
    <w:name w:val="Table Grid"/>
    <w:basedOn w:val="TableNormal"/>
    <w:uiPriority w:val="39"/>
    <w:rsid w:val="00694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10B6"/>
    <w:rPr>
      <w:sz w:val="16"/>
      <w:szCs w:val="16"/>
    </w:rPr>
  </w:style>
  <w:style w:type="paragraph" w:styleId="CommentText">
    <w:name w:val="annotation text"/>
    <w:basedOn w:val="Normal"/>
    <w:link w:val="CommentTextChar"/>
    <w:uiPriority w:val="99"/>
    <w:unhideWhenUsed/>
    <w:rsid w:val="00CE10B6"/>
    <w:pPr>
      <w:spacing w:before="0" w:after="160" w:line="240" w:lineRule="auto"/>
    </w:pPr>
    <w:rPr>
      <w:lang w:val="en-US"/>
    </w:rPr>
  </w:style>
  <w:style w:type="character" w:customStyle="1" w:styleId="CommentTextChar">
    <w:name w:val="Comment Text Char"/>
    <w:basedOn w:val="DefaultParagraphFont"/>
    <w:link w:val="CommentText"/>
    <w:uiPriority w:val="99"/>
    <w:rsid w:val="00CE10B6"/>
    <w:rPr>
      <w:sz w:val="20"/>
      <w:szCs w:val="20"/>
      <w:lang w:val="en-US"/>
    </w:rPr>
  </w:style>
  <w:style w:type="character" w:styleId="Mention">
    <w:name w:val="Mention"/>
    <w:basedOn w:val="DefaultParagraphFont"/>
    <w:uiPriority w:val="99"/>
    <w:unhideWhenUsed/>
    <w:rsid w:val="00CE10B6"/>
    <w:rPr>
      <w:color w:val="2B579A"/>
      <w:shd w:val="clear" w:color="auto" w:fill="E1DFDD"/>
    </w:rPr>
  </w:style>
  <w:style w:type="character" w:customStyle="1" w:styleId="cf01">
    <w:name w:val="cf01"/>
    <w:basedOn w:val="DefaultParagraphFont"/>
    <w:rsid w:val="00CE10B6"/>
    <w:rPr>
      <w:rFonts w:ascii="Segoe UI" w:hAnsi="Segoe UI" w:cs="Segoe UI" w:hint="default"/>
      <w:sz w:val="18"/>
      <w:szCs w:val="18"/>
    </w:rPr>
  </w:style>
  <w:style w:type="paragraph" w:customStyle="1" w:styleId="CCCFigurehead">
    <w:name w:val="CCC_Figurehead"/>
    <w:basedOn w:val="Caption"/>
    <w:link w:val="CCCFigureheadChar"/>
    <w:rsid w:val="0096706E"/>
    <w:pPr>
      <w:spacing w:after="120" w:line="276" w:lineRule="auto"/>
      <w:ind w:right="556"/>
    </w:pPr>
    <w:rPr>
      <w:i w:val="0"/>
      <w:iCs w:val="0"/>
      <w:color w:val="1F3864"/>
      <w:sz w:val="20"/>
    </w:rPr>
  </w:style>
  <w:style w:type="paragraph" w:styleId="Caption">
    <w:name w:val="caption"/>
    <w:basedOn w:val="Normal"/>
    <w:next w:val="Normal"/>
    <w:link w:val="CaptionChar"/>
    <w:uiPriority w:val="35"/>
    <w:unhideWhenUsed/>
    <w:qFormat/>
    <w:rsid w:val="0096706E"/>
    <w:pPr>
      <w:spacing w:before="0" w:after="200" w:line="240" w:lineRule="auto"/>
    </w:pPr>
    <w:rPr>
      <w:i/>
      <w:iCs/>
      <w:color w:val="44546A" w:themeColor="text2"/>
      <w:sz w:val="18"/>
      <w:szCs w:val="18"/>
    </w:rPr>
  </w:style>
  <w:style w:type="paragraph" w:customStyle="1" w:styleId="FigureTabletitle">
    <w:name w:val="Figure/Table title"/>
    <w:basedOn w:val="CCCFigurehead"/>
    <w:link w:val="FigureTabletitleChar"/>
    <w:qFormat/>
    <w:rsid w:val="00E01371"/>
    <w:pPr>
      <w:keepNext/>
    </w:pPr>
    <w:rPr>
      <w:b/>
      <w:bCs/>
    </w:rPr>
  </w:style>
  <w:style w:type="character" w:customStyle="1" w:styleId="CaptionChar">
    <w:name w:val="Caption Char"/>
    <w:basedOn w:val="DefaultParagraphFont"/>
    <w:link w:val="Caption"/>
    <w:uiPriority w:val="35"/>
    <w:rsid w:val="00FE422C"/>
    <w:rPr>
      <w:rFonts w:cstheme="minorHAnsi"/>
      <w:i/>
      <w:iCs/>
      <w:color w:val="44546A" w:themeColor="text2"/>
      <w:sz w:val="18"/>
      <w:szCs w:val="18"/>
      <w:lang w:val="en-GB"/>
    </w:rPr>
  </w:style>
  <w:style w:type="character" w:customStyle="1" w:styleId="CCCFigureheadChar">
    <w:name w:val="CCC_Figurehead Char"/>
    <w:basedOn w:val="CaptionChar"/>
    <w:link w:val="CCCFigurehead"/>
    <w:rsid w:val="00FE422C"/>
    <w:rPr>
      <w:rFonts w:cstheme="minorHAnsi"/>
      <w:i w:val="0"/>
      <w:iCs w:val="0"/>
      <w:color w:val="1F3864"/>
      <w:sz w:val="20"/>
      <w:szCs w:val="18"/>
      <w:lang w:val="en-GB"/>
    </w:rPr>
  </w:style>
  <w:style w:type="character" w:customStyle="1" w:styleId="FigureTabletitleChar">
    <w:name w:val="Figure/Table title Char"/>
    <w:basedOn w:val="CCCFigureheadChar"/>
    <w:link w:val="FigureTabletitle"/>
    <w:rsid w:val="00FE422C"/>
    <w:rPr>
      <w:rFonts w:cstheme="minorHAnsi"/>
      <w:b/>
      <w:bCs/>
      <w:i w:val="0"/>
      <w:iCs w:val="0"/>
      <w:color w:val="1F3864"/>
      <w:sz w:val="20"/>
      <w:szCs w:val="18"/>
      <w:lang w:val="en-GB"/>
    </w:rPr>
  </w:style>
  <w:style w:type="paragraph" w:customStyle="1" w:styleId="Numberlist">
    <w:name w:val="Number list"/>
    <w:basedOn w:val="BodyBullets"/>
    <w:link w:val="NumberlistChar"/>
    <w:qFormat/>
    <w:rsid w:val="00F91434"/>
    <w:pPr>
      <w:numPr>
        <w:numId w:val="8"/>
      </w:numPr>
      <w:spacing w:before="60" w:after="60"/>
      <w:contextualSpacing w:val="0"/>
    </w:pPr>
  </w:style>
  <w:style w:type="character" w:customStyle="1" w:styleId="NumberlistChar">
    <w:name w:val="Number list Char"/>
    <w:basedOn w:val="DefaultParagraphFont"/>
    <w:link w:val="Numberlist"/>
    <w:rsid w:val="00F91434"/>
  </w:style>
  <w:style w:type="paragraph" w:customStyle="1" w:styleId="Sourceline">
    <w:name w:val="Source line"/>
    <w:basedOn w:val="BodyText"/>
    <w:next w:val="BodyText"/>
    <w:link w:val="SourcelineChar"/>
    <w:qFormat/>
    <w:rsid w:val="00685F77"/>
    <w:pPr>
      <w:widowControl/>
      <w:autoSpaceDE/>
      <w:autoSpaceDN/>
      <w:spacing w:before="120" w:after="120" w:line="276" w:lineRule="auto"/>
      <w:ind w:left="0" w:right="0"/>
    </w:pPr>
    <w:rPr>
      <w:rFonts w:ascii="Calibri" w:eastAsiaTheme="minorHAnsi" w:hAnsi="Calibri" w:cstheme="minorBidi"/>
      <w:color w:val="000000" w:themeColor="text1"/>
      <w:sz w:val="20"/>
      <w:szCs w:val="28"/>
      <w:lang w:val="en-NZ"/>
    </w:rPr>
  </w:style>
  <w:style w:type="character" w:customStyle="1" w:styleId="SourcelineChar">
    <w:name w:val="Source line Char"/>
    <w:basedOn w:val="BodyTextChar"/>
    <w:link w:val="Sourceline"/>
    <w:rsid w:val="00685F77"/>
    <w:rPr>
      <w:rFonts w:ascii="Calibri-Light" w:eastAsia="Calibri-Light" w:hAnsi="Calibri-Light" w:cs="Calibri-Light"/>
      <w:color w:val="000000" w:themeColor="text1"/>
      <w:sz w:val="20"/>
      <w:szCs w:val="28"/>
      <w:lang w:val="en-US"/>
    </w:rPr>
  </w:style>
  <w:style w:type="paragraph" w:customStyle="1" w:styleId="Letterlistabc">
    <w:name w:val="Letter list (abc)"/>
    <w:basedOn w:val="Numberlist"/>
    <w:link w:val="LetterlistabcChar"/>
    <w:qFormat/>
    <w:rsid w:val="00FA7520"/>
    <w:pPr>
      <w:numPr>
        <w:numId w:val="7"/>
      </w:numPr>
    </w:pPr>
    <w:rPr>
      <w:w w:val="105"/>
    </w:rPr>
  </w:style>
  <w:style w:type="character" w:customStyle="1" w:styleId="LetterlistabcChar">
    <w:name w:val="Letter list (abc) Char"/>
    <w:basedOn w:val="NumberlistChar"/>
    <w:link w:val="Letterlistabc"/>
    <w:rsid w:val="00FA7520"/>
    <w:rPr>
      <w:w w:val="105"/>
    </w:rPr>
  </w:style>
  <w:style w:type="paragraph" w:customStyle="1" w:styleId="Bodybullet-sub-list">
    <w:name w:val="Body bullet - sub-list"/>
    <w:basedOn w:val="BodyBullets"/>
    <w:link w:val="Bodybullet-sub-listChar"/>
    <w:qFormat/>
    <w:rsid w:val="00ED45FD"/>
    <w:pPr>
      <w:numPr>
        <w:numId w:val="9"/>
      </w:numPr>
      <w:spacing w:before="60" w:after="60"/>
      <w:ind w:left="1077" w:hanging="357"/>
      <w:contextualSpacing w:val="0"/>
    </w:pPr>
  </w:style>
  <w:style w:type="character" w:customStyle="1" w:styleId="BodyBulletsChar">
    <w:name w:val="Body Bullets Char"/>
    <w:basedOn w:val="ListParagraphChar"/>
    <w:link w:val="BodyBullets"/>
    <w:rsid w:val="00ED45FD"/>
    <w:rPr>
      <w:rFonts w:cstheme="minorHAnsi"/>
      <w:color w:val="000000" w:themeColor="text1"/>
      <w:sz w:val="20"/>
      <w:szCs w:val="20"/>
      <w:lang w:val="en-GB"/>
    </w:rPr>
  </w:style>
  <w:style w:type="character" w:customStyle="1" w:styleId="Bodybullet-sub-listChar">
    <w:name w:val="Body bullet - sub-list Char"/>
    <w:basedOn w:val="BodyBulletsChar"/>
    <w:link w:val="Bodybullet-sub-list"/>
    <w:rsid w:val="00ED45FD"/>
    <w:rPr>
      <w:rFonts w:cstheme="minorHAnsi"/>
      <w:color w:val="000000" w:themeColor="text1"/>
      <w:sz w:val="20"/>
      <w:szCs w:val="20"/>
      <w:lang w:val="en-GB"/>
    </w:rPr>
  </w:style>
  <w:style w:type="character" w:styleId="UnresolvedMention">
    <w:name w:val="Unresolved Mention"/>
    <w:basedOn w:val="DefaultParagraphFont"/>
    <w:uiPriority w:val="99"/>
    <w:unhideWhenUsed/>
    <w:rsid w:val="00FC0385"/>
    <w:rPr>
      <w:color w:val="605E5C"/>
      <w:shd w:val="clear" w:color="auto" w:fill="E1DFDD"/>
    </w:rPr>
  </w:style>
  <w:style w:type="paragraph" w:customStyle="1" w:styleId="Notesheadingtobedeleted">
    <w:name w:val="Notes heading (to be deleted)"/>
    <w:link w:val="NotesheadingtobedeletedChar"/>
    <w:qFormat/>
    <w:rsid w:val="00802808"/>
    <w:rPr>
      <w:rFonts w:eastAsiaTheme="majorEastAsia"/>
      <w:b/>
      <w:color w:val="00B050"/>
      <w:sz w:val="44"/>
      <w:szCs w:val="44"/>
    </w:rPr>
  </w:style>
  <w:style w:type="character" w:customStyle="1" w:styleId="Heading1nonumberChar">
    <w:name w:val="Heading 1 no number Char"/>
    <w:basedOn w:val="Heading1Char"/>
    <w:link w:val="Heading1nonumber"/>
    <w:rsid w:val="004D3850"/>
    <w:rPr>
      <w:rFonts w:eastAsiaTheme="majorEastAsia"/>
      <w:b/>
      <w:color w:val="1F3864" w:themeColor="accent1" w:themeShade="80"/>
      <w:sz w:val="44"/>
      <w:szCs w:val="44"/>
    </w:rPr>
  </w:style>
  <w:style w:type="character" w:customStyle="1" w:styleId="NotesheadingtobedeletedChar">
    <w:name w:val="Notes heading (to be deleted) Char"/>
    <w:basedOn w:val="Heading1nonumberChar"/>
    <w:link w:val="Notesheadingtobedeleted"/>
    <w:rsid w:val="004D3850"/>
    <w:rPr>
      <w:rFonts w:eastAsiaTheme="majorEastAsia" w:cstheme="minorHAnsi"/>
      <w:b/>
      <w:color w:val="00B050"/>
      <w:sz w:val="44"/>
      <w:szCs w:val="44"/>
      <w:lang w:val="en-GB"/>
    </w:rPr>
  </w:style>
  <w:style w:type="paragraph" w:styleId="CommentSubject">
    <w:name w:val="annotation subject"/>
    <w:basedOn w:val="CommentText"/>
    <w:next w:val="CommentText"/>
    <w:link w:val="CommentSubjectChar"/>
    <w:uiPriority w:val="99"/>
    <w:semiHidden/>
    <w:unhideWhenUsed/>
    <w:rsid w:val="00F71906"/>
    <w:pPr>
      <w:spacing w:before="120" w:after="120"/>
    </w:pPr>
    <w:rPr>
      <w:b/>
      <w:bCs/>
      <w:sz w:val="20"/>
      <w:szCs w:val="20"/>
      <w:lang w:val="en-NZ"/>
    </w:rPr>
  </w:style>
  <w:style w:type="character" w:customStyle="1" w:styleId="CommentSubjectChar">
    <w:name w:val="Comment Subject Char"/>
    <w:basedOn w:val="CommentTextChar"/>
    <w:link w:val="CommentSubject"/>
    <w:uiPriority w:val="99"/>
    <w:semiHidden/>
    <w:rsid w:val="00F71906"/>
    <w:rPr>
      <w:b/>
      <w:bCs/>
      <w:sz w:val="20"/>
      <w:szCs w:val="20"/>
      <w:lang w:val="en-US"/>
    </w:rPr>
  </w:style>
  <w:style w:type="paragraph" w:styleId="TOC2">
    <w:name w:val="toc 2"/>
    <w:basedOn w:val="Normal"/>
    <w:next w:val="Normal"/>
    <w:autoRedefine/>
    <w:uiPriority w:val="39"/>
    <w:unhideWhenUsed/>
    <w:rsid w:val="00F81BCF"/>
    <w:pPr>
      <w:spacing w:after="100"/>
      <w:ind w:left="240"/>
    </w:pPr>
  </w:style>
  <w:style w:type="paragraph" w:styleId="TOC1">
    <w:name w:val="toc 1"/>
    <w:basedOn w:val="Normal"/>
    <w:next w:val="Normal"/>
    <w:autoRedefine/>
    <w:uiPriority w:val="39"/>
    <w:unhideWhenUsed/>
    <w:rsid w:val="00762ABE"/>
    <w:pPr>
      <w:tabs>
        <w:tab w:val="right" w:leader="dot" w:pos="9060"/>
      </w:tabs>
      <w:spacing w:after="100"/>
    </w:pPr>
    <w:rPr>
      <w:b/>
      <w:noProof/>
      <w:color w:val="222A35" w:themeColor="text2" w:themeShade="80"/>
    </w:rPr>
  </w:style>
  <w:style w:type="paragraph" w:styleId="Revision">
    <w:name w:val="Revision"/>
    <w:hidden/>
    <w:uiPriority w:val="99"/>
    <w:semiHidden/>
    <w:rsid w:val="008E5221"/>
  </w:style>
  <w:style w:type="paragraph" w:styleId="FootnoteText">
    <w:name w:val="footnote text"/>
    <w:basedOn w:val="Normal"/>
    <w:link w:val="FootnoteTextChar"/>
    <w:uiPriority w:val="99"/>
    <w:semiHidden/>
    <w:unhideWhenUsed/>
    <w:rsid w:val="008E522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E5221"/>
    <w:rPr>
      <w:sz w:val="20"/>
      <w:szCs w:val="20"/>
    </w:rPr>
  </w:style>
  <w:style w:type="character" w:styleId="FootnoteReference">
    <w:name w:val="footnote reference"/>
    <w:basedOn w:val="DefaultParagraphFont"/>
    <w:uiPriority w:val="99"/>
    <w:semiHidden/>
    <w:unhideWhenUsed/>
    <w:rsid w:val="008E5221"/>
    <w:rPr>
      <w:vertAlign w:val="superscript"/>
    </w:rPr>
  </w:style>
  <w:style w:type="paragraph" w:customStyle="1" w:styleId="Footnote">
    <w:name w:val="Footnote"/>
    <w:basedOn w:val="FootnoteText"/>
    <w:qFormat/>
    <w:rsid w:val="008E5221"/>
    <w:rPr>
      <w:rFonts w:asciiTheme="majorHAnsi" w:hAnsiTheme="majorHAnsi" w:cstheme="majorHAnsi"/>
      <w:sz w:val="18"/>
      <w:szCs w:val="18"/>
    </w:rPr>
  </w:style>
  <w:style w:type="paragraph" w:styleId="EndnoteText">
    <w:name w:val="endnote text"/>
    <w:basedOn w:val="Normal"/>
    <w:link w:val="EndnoteTextChar"/>
    <w:uiPriority w:val="99"/>
    <w:semiHidden/>
    <w:unhideWhenUsed/>
    <w:rsid w:val="00942BE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42BEF"/>
    <w:rPr>
      <w:sz w:val="20"/>
      <w:szCs w:val="20"/>
    </w:rPr>
  </w:style>
  <w:style w:type="character" w:styleId="EndnoteReference">
    <w:name w:val="endnote reference"/>
    <w:basedOn w:val="DefaultParagraphFont"/>
    <w:uiPriority w:val="99"/>
    <w:semiHidden/>
    <w:unhideWhenUsed/>
    <w:rsid w:val="00942BEF"/>
    <w:rPr>
      <w:vertAlign w:val="superscript"/>
    </w:rPr>
  </w:style>
  <w:style w:type="character" w:styleId="FollowedHyperlink">
    <w:name w:val="FollowedHyperlink"/>
    <w:basedOn w:val="DefaultParagraphFont"/>
    <w:uiPriority w:val="99"/>
    <w:semiHidden/>
    <w:unhideWhenUsed/>
    <w:rsid w:val="007726AE"/>
    <w:rPr>
      <w:color w:val="954F72" w:themeColor="followedHyperlink"/>
      <w:u w:val="single"/>
    </w:rPr>
  </w:style>
  <w:style w:type="paragraph" w:customStyle="1" w:styleId="CCCBody">
    <w:name w:val="CCC_Body"/>
    <w:basedOn w:val="Normal"/>
    <w:qFormat/>
    <w:rsid w:val="00BB5260"/>
    <w:pPr>
      <w:spacing w:line="259" w:lineRule="auto"/>
    </w:pPr>
    <w:rPr>
      <w:rFonts w:eastAsia="Calibri" w:cs="Calibri"/>
      <w:sz w:val="20"/>
      <w:szCs w:val="20"/>
      <w:lang w:val="en-GB"/>
    </w:rPr>
  </w:style>
  <w:style w:type="paragraph" w:customStyle="1" w:styleId="Bodybulletsforkeypoints">
    <w:name w:val="Body bullets for key points"/>
    <w:basedOn w:val="BodyBullets"/>
    <w:qFormat/>
    <w:rsid w:val="00D24F34"/>
    <w:pPr>
      <w:numPr>
        <w:numId w:val="11"/>
      </w:numPr>
    </w:pPr>
  </w:style>
  <w:style w:type="paragraph" w:customStyle="1" w:styleId="Default">
    <w:name w:val="Default"/>
    <w:rsid w:val="00297A24"/>
    <w:pPr>
      <w:autoSpaceDE w:val="0"/>
      <w:autoSpaceDN w:val="0"/>
      <w:adjustRightInd w:val="0"/>
    </w:pPr>
    <w:rPr>
      <w:rFonts w:cs="Calibri"/>
      <w:color w:val="000000"/>
    </w:rPr>
  </w:style>
  <w:style w:type="paragraph" w:styleId="Bibliography">
    <w:name w:val="Bibliography"/>
    <w:basedOn w:val="Normal"/>
    <w:next w:val="Normal"/>
    <w:uiPriority w:val="37"/>
    <w:semiHidden/>
    <w:unhideWhenUsed/>
    <w:rsid w:val="00987F23"/>
  </w:style>
  <w:style w:type="paragraph" w:styleId="BlockText">
    <w:name w:val="Block Text"/>
    <w:basedOn w:val="Normal"/>
    <w:uiPriority w:val="99"/>
    <w:semiHidden/>
    <w:unhideWhenUsed/>
    <w:rsid w:val="00987F2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987F23"/>
    <w:pPr>
      <w:spacing w:line="480" w:lineRule="auto"/>
    </w:pPr>
  </w:style>
  <w:style w:type="character" w:customStyle="1" w:styleId="BodyText2Char">
    <w:name w:val="Body Text 2 Char"/>
    <w:basedOn w:val="DefaultParagraphFont"/>
    <w:link w:val="BodyText2"/>
    <w:uiPriority w:val="99"/>
    <w:semiHidden/>
    <w:rsid w:val="00987F23"/>
  </w:style>
  <w:style w:type="paragraph" w:styleId="BodyText3">
    <w:name w:val="Body Text 3"/>
    <w:basedOn w:val="Normal"/>
    <w:link w:val="BodyText3Char"/>
    <w:uiPriority w:val="99"/>
    <w:semiHidden/>
    <w:unhideWhenUsed/>
    <w:rsid w:val="00987F23"/>
    <w:rPr>
      <w:sz w:val="16"/>
      <w:szCs w:val="16"/>
    </w:rPr>
  </w:style>
  <w:style w:type="character" w:customStyle="1" w:styleId="BodyText3Char">
    <w:name w:val="Body Text 3 Char"/>
    <w:basedOn w:val="DefaultParagraphFont"/>
    <w:link w:val="BodyText3"/>
    <w:uiPriority w:val="99"/>
    <w:semiHidden/>
    <w:rsid w:val="00987F23"/>
    <w:rPr>
      <w:sz w:val="16"/>
      <w:szCs w:val="16"/>
    </w:rPr>
  </w:style>
  <w:style w:type="paragraph" w:styleId="BodyTextFirstIndent">
    <w:name w:val="Body Text First Indent"/>
    <w:basedOn w:val="BodyText"/>
    <w:link w:val="BodyTextFirstIndentChar"/>
    <w:uiPriority w:val="99"/>
    <w:semiHidden/>
    <w:unhideWhenUsed/>
    <w:rsid w:val="00987F23"/>
    <w:pPr>
      <w:widowControl/>
      <w:autoSpaceDE/>
      <w:autoSpaceDN/>
      <w:spacing w:before="120" w:after="120" w:line="276" w:lineRule="auto"/>
      <w:ind w:left="0" w:right="0" w:firstLine="360"/>
    </w:pPr>
    <w:rPr>
      <w:rFonts w:ascii="Calibri" w:eastAsiaTheme="minorHAnsi" w:hAnsi="Calibri" w:cstheme="minorBidi"/>
      <w:color w:val="auto"/>
      <w:lang w:val="en-NZ"/>
    </w:rPr>
  </w:style>
  <w:style w:type="character" w:customStyle="1" w:styleId="BodyTextFirstIndentChar">
    <w:name w:val="Body Text First Indent Char"/>
    <w:basedOn w:val="BodyTextChar"/>
    <w:link w:val="BodyTextFirstIndent"/>
    <w:uiPriority w:val="99"/>
    <w:semiHidden/>
    <w:rsid w:val="00987F23"/>
    <w:rPr>
      <w:rFonts w:ascii="Calibri-Light" w:eastAsia="Calibri-Light" w:hAnsi="Calibri-Light" w:cs="Calibri-Light"/>
      <w:color w:val="231F20"/>
      <w:lang w:val="en-US"/>
    </w:rPr>
  </w:style>
  <w:style w:type="paragraph" w:styleId="BodyTextIndent">
    <w:name w:val="Body Text Indent"/>
    <w:basedOn w:val="Normal"/>
    <w:link w:val="BodyTextIndentChar"/>
    <w:uiPriority w:val="99"/>
    <w:semiHidden/>
    <w:unhideWhenUsed/>
    <w:rsid w:val="00987F23"/>
    <w:pPr>
      <w:ind w:left="283"/>
    </w:pPr>
  </w:style>
  <w:style w:type="character" w:customStyle="1" w:styleId="BodyTextIndentChar">
    <w:name w:val="Body Text Indent Char"/>
    <w:basedOn w:val="DefaultParagraphFont"/>
    <w:link w:val="BodyTextIndent"/>
    <w:uiPriority w:val="99"/>
    <w:semiHidden/>
    <w:rsid w:val="00987F23"/>
  </w:style>
  <w:style w:type="paragraph" w:styleId="BodyTextFirstIndent2">
    <w:name w:val="Body Text First Indent 2"/>
    <w:basedOn w:val="BodyTextIndent"/>
    <w:link w:val="BodyTextFirstIndent2Char"/>
    <w:uiPriority w:val="99"/>
    <w:semiHidden/>
    <w:unhideWhenUsed/>
    <w:rsid w:val="00987F23"/>
    <w:pPr>
      <w:ind w:left="360" w:firstLine="360"/>
    </w:pPr>
  </w:style>
  <w:style w:type="character" w:customStyle="1" w:styleId="BodyTextFirstIndent2Char">
    <w:name w:val="Body Text First Indent 2 Char"/>
    <w:basedOn w:val="BodyTextIndentChar"/>
    <w:link w:val="BodyTextFirstIndent2"/>
    <w:uiPriority w:val="99"/>
    <w:semiHidden/>
    <w:rsid w:val="00987F23"/>
  </w:style>
  <w:style w:type="paragraph" w:styleId="BodyTextIndent2">
    <w:name w:val="Body Text Indent 2"/>
    <w:basedOn w:val="Normal"/>
    <w:link w:val="BodyTextIndent2Char"/>
    <w:uiPriority w:val="99"/>
    <w:semiHidden/>
    <w:unhideWhenUsed/>
    <w:rsid w:val="00987F23"/>
    <w:pPr>
      <w:spacing w:line="480" w:lineRule="auto"/>
      <w:ind w:left="283"/>
    </w:pPr>
  </w:style>
  <w:style w:type="character" w:customStyle="1" w:styleId="BodyTextIndent2Char">
    <w:name w:val="Body Text Indent 2 Char"/>
    <w:basedOn w:val="DefaultParagraphFont"/>
    <w:link w:val="BodyTextIndent2"/>
    <w:uiPriority w:val="99"/>
    <w:semiHidden/>
    <w:rsid w:val="00987F23"/>
  </w:style>
  <w:style w:type="paragraph" w:styleId="BodyTextIndent3">
    <w:name w:val="Body Text Indent 3"/>
    <w:basedOn w:val="Normal"/>
    <w:link w:val="BodyTextIndent3Char"/>
    <w:uiPriority w:val="99"/>
    <w:semiHidden/>
    <w:unhideWhenUsed/>
    <w:rsid w:val="00987F23"/>
    <w:pPr>
      <w:ind w:left="283"/>
    </w:pPr>
    <w:rPr>
      <w:sz w:val="16"/>
      <w:szCs w:val="16"/>
    </w:rPr>
  </w:style>
  <w:style w:type="character" w:customStyle="1" w:styleId="BodyTextIndent3Char">
    <w:name w:val="Body Text Indent 3 Char"/>
    <w:basedOn w:val="DefaultParagraphFont"/>
    <w:link w:val="BodyTextIndent3"/>
    <w:uiPriority w:val="99"/>
    <w:semiHidden/>
    <w:rsid w:val="00987F23"/>
    <w:rPr>
      <w:sz w:val="16"/>
      <w:szCs w:val="16"/>
    </w:rPr>
  </w:style>
  <w:style w:type="paragraph" w:styleId="Closing">
    <w:name w:val="Closing"/>
    <w:basedOn w:val="Normal"/>
    <w:link w:val="ClosingChar"/>
    <w:uiPriority w:val="99"/>
    <w:semiHidden/>
    <w:unhideWhenUsed/>
    <w:rsid w:val="00987F23"/>
    <w:pPr>
      <w:spacing w:before="0" w:after="0" w:line="240" w:lineRule="auto"/>
      <w:ind w:left="4252"/>
    </w:pPr>
  </w:style>
  <w:style w:type="character" w:customStyle="1" w:styleId="ClosingChar">
    <w:name w:val="Closing Char"/>
    <w:basedOn w:val="DefaultParagraphFont"/>
    <w:link w:val="Closing"/>
    <w:uiPriority w:val="99"/>
    <w:semiHidden/>
    <w:rsid w:val="00987F23"/>
  </w:style>
  <w:style w:type="paragraph" w:styleId="Date">
    <w:name w:val="Date"/>
    <w:basedOn w:val="Normal"/>
    <w:next w:val="Normal"/>
    <w:link w:val="DateChar"/>
    <w:uiPriority w:val="99"/>
    <w:semiHidden/>
    <w:unhideWhenUsed/>
    <w:rsid w:val="00987F23"/>
  </w:style>
  <w:style w:type="character" w:customStyle="1" w:styleId="DateChar">
    <w:name w:val="Date Char"/>
    <w:basedOn w:val="DefaultParagraphFont"/>
    <w:link w:val="Date"/>
    <w:uiPriority w:val="99"/>
    <w:semiHidden/>
    <w:rsid w:val="00987F23"/>
  </w:style>
  <w:style w:type="paragraph" w:styleId="DocumentMap">
    <w:name w:val="Document Map"/>
    <w:basedOn w:val="Normal"/>
    <w:link w:val="DocumentMapChar"/>
    <w:uiPriority w:val="99"/>
    <w:semiHidden/>
    <w:unhideWhenUsed/>
    <w:rsid w:val="00987F23"/>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87F23"/>
    <w:rPr>
      <w:rFonts w:ascii="Segoe UI" w:hAnsi="Segoe UI" w:cs="Segoe UI"/>
      <w:sz w:val="16"/>
      <w:szCs w:val="16"/>
    </w:rPr>
  </w:style>
  <w:style w:type="paragraph" w:styleId="E-mailSignature">
    <w:name w:val="E-mail Signature"/>
    <w:basedOn w:val="Normal"/>
    <w:link w:val="E-mailSignatureChar"/>
    <w:uiPriority w:val="99"/>
    <w:semiHidden/>
    <w:unhideWhenUsed/>
    <w:rsid w:val="00987F23"/>
    <w:pPr>
      <w:spacing w:before="0" w:after="0" w:line="240" w:lineRule="auto"/>
    </w:pPr>
  </w:style>
  <w:style w:type="character" w:customStyle="1" w:styleId="E-mailSignatureChar">
    <w:name w:val="E-mail Signature Char"/>
    <w:basedOn w:val="DefaultParagraphFont"/>
    <w:link w:val="E-mailSignature"/>
    <w:uiPriority w:val="99"/>
    <w:semiHidden/>
    <w:rsid w:val="00987F23"/>
  </w:style>
  <w:style w:type="paragraph" w:styleId="EnvelopeAddress">
    <w:name w:val="envelope address"/>
    <w:basedOn w:val="Normal"/>
    <w:uiPriority w:val="99"/>
    <w:semiHidden/>
    <w:unhideWhenUsed/>
    <w:rsid w:val="00987F23"/>
    <w:pPr>
      <w:framePr w:w="7920" w:h="1980" w:hRule="exact" w:hSpace="180" w:wrap="auto" w:hAnchor="page" w:xAlign="center" w:yAlign="bottom"/>
      <w:spacing w:before="0"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87F23"/>
    <w:pPr>
      <w:spacing w:before="0"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987F2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87F2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87F23"/>
    <w:pPr>
      <w:spacing w:before="0" w:after="0" w:line="240" w:lineRule="auto"/>
    </w:pPr>
    <w:rPr>
      <w:i/>
      <w:iCs/>
    </w:rPr>
  </w:style>
  <w:style w:type="character" w:customStyle="1" w:styleId="HTMLAddressChar">
    <w:name w:val="HTML Address Char"/>
    <w:basedOn w:val="DefaultParagraphFont"/>
    <w:link w:val="HTMLAddress"/>
    <w:uiPriority w:val="99"/>
    <w:semiHidden/>
    <w:rsid w:val="00987F23"/>
    <w:rPr>
      <w:i/>
      <w:iCs/>
    </w:rPr>
  </w:style>
  <w:style w:type="paragraph" w:styleId="HTMLPreformatted">
    <w:name w:val="HTML Preformatted"/>
    <w:basedOn w:val="Normal"/>
    <w:link w:val="HTMLPreformattedChar"/>
    <w:uiPriority w:val="99"/>
    <w:semiHidden/>
    <w:unhideWhenUsed/>
    <w:rsid w:val="00987F23"/>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87F23"/>
    <w:rPr>
      <w:rFonts w:ascii="Consolas" w:hAnsi="Consolas"/>
      <w:sz w:val="20"/>
      <w:szCs w:val="20"/>
    </w:rPr>
  </w:style>
  <w:style w:type="paragraph" w:styleId="Index1">
    <w:name w:val="index 1"/>
    <w:basedOn w:val="Normal"/>
    <w:next w:val="Normal"/>
    <w:autoRedefine/>
    <w:uiPriority w:val="99"/>
    <w:semiHidden/>
    <w:unhideWhenUsed/>
    <w:rsid w:val="00987F23"/>
    <w:pPr>
      <w:spacing w:before="0" w:after="0" w:line="240" w:lineRule="auto"/>
      <w:ind w:left="240" w:hanging="240"/>
    </w:pPr>
  </w:style>
  <w:style w:type="paragraph" w:styleId="Index2">
    <w:name w:val="index 2"/>
    <w:basedOn w:val="Normal"/>
    <w:next w:val="Normal"/>
    <w:autoRedefine/>
    <w:uiPriority w:val="99"/>
    <w:semiHidden/>
    <w:unhideWhenUsed/>
    <w:rsid w:val="00987F23"/>
    <w:pPr>
      <w:spacing w:before="0" w:after="0" w:line="240" w:lineRule="auto"/>
      <w:ind w:left="480" w:hanging="240"/>
    </w:pPr>
  </w:style>
  <w:style w:type="paragraph" w:styleId="Index3">
    <w:name w:val="index 3"/>
    <w:basedOn w:val="Normal"/>
    <w:next w:val="Normal"/>
    <w:autoRedefine/>
    <w:uiPriority w:val="99"/>
    <w:semiHidden/>
    <w:unhideWhenUsed/>
    <w:rsid w:val="00987F23"/>
    <w:pPr>
      <w:spacing w:before="0" w:after="0" w:line="240" w:lineRule="auto"/>
      <w:ind w:left="720" w:hanging="240"/>
    </w:pPr>
  </w:style>
  <w:style w:type="paragraph" w:styleId="Index4">
    <w:name w:val="index 4"/>
    <w:basedOn w:val="Normal"/>
    <w:next w:val="Normal"/>
    <w:autoRedefine/>
    <w:uiPriority w:val="99"/>
    <w:semiHidden/>
    <w:unhideWhenUsed/>
    <w:rsid w:val="00987F23"/>
    <w:pPr>
      <w:spacing w:before="0" w:after="0" w:line="240" w:lineRule="auto"/>
      <w:ind w:left="960" w:hanging="240"/>
    </w:pPr>
  </w:style>
  <w:style w:type="paragraph" w:styleId="Index5">
    <w:name w:val="index 5"/>
    <w:basedOn w:val="Normal"/>
    <w:next w:val="Normal"/>
    <w:autoRedefine/>
    <w:uiPriority w:val="99"/>
    <w:semiHidden/>
    <w:unhideWhenUsed/>
    <w:rsid w:val="00987F23"/>
    <w:pPr>
      <w:spacing w:before="0" w:after="0" w:line="240" w:lineRule="auto"/>
      <w:ind w:left="1200" w:hanging="240"/>
    </w:pPr>
  </w:style>
  <w:style w:type="paragraph" w:styleId="Index6">
    <w:name w:val="index 6"/>
    <w:basedOn w:val="Normal"/>
    <w:next w:val="Normal"/>
    <w:autoRedefine/>
    <w:uiPriority w:val="99"/>
    <w:semiHidden/>
    <w:unhideWhenUsed/>
    <w:rsid w:val="00987F23"/>
    <w:pPr>
      <w:spacing w:before="0" w:after="0" w:line="240" w:lineRule="auto"/>
      <w:ind w:left="1440" w:hanging="240"/>
    </w:pPr>
  </w:style>
  <w:style w:type="paragraph" w:styleId="Index7">
    <w:name w:val="index 7"/>
    <w:basedOn w:val="Normal"/>
    <w:next w:val="Normal"/>
    <w:autoRedefine/>
    <w:uiPriority w:val="99"/>
    <w:semiHidden/>
    <w:unhideWhenUsed/>
    <w:rsid w:val="00987F23"/>
    <w:pPr>
      <w:spacing w:before="0" w:after="0" w:line="240" w:lineRule="auto"/>
      <w:ind w:left="1680" w:hanging="240"/>
    </w:pPr>
  </w:style>
  <w:style w:type="paragraph" w:styleId="Index8">
    <w:name w:val="index 8"/>
    <w:basedOn w:val="Normal"/>
    <w:next w:val="Normal"/>
    <w:autoRedefine/>
    <w:uiPriority w:val="99"/>
    <w:semiHidden/>
    <w:unhideWhenUsed/>
    <w:rsid w:val="00987F23"/>
    <w:pPr>
      <w:spacing w:before="0" w:after="0" w:line="240" w:lineRule="auto"/>
      <w:ind w:left="1920" w:hanging="240"/>
    </w:pPr>
  </w:style>
  <w:style w:type="paragraph" w:styleId="Index9">
    <w:name w:val="index 9"/>
    <w:basedOn w:val="Normal"/>
    <w:next w:val="Normal"/>
    <w:autoRedefine/>
    <w:uiPriority w:val="99"/>
    <w:semiHidden/>
    <w:unhideWhenUsed/>
    <w:rsid w:val="00987F23"/>
    <w:pPr>
      <w:spacing w:before="0" w:after="0" w:line="240" w:lineRule="auto"/>
      <w:ind w:left="2160" w:hanging="240"/>
    </w:pPr>
  </w:style>
  <w:style w:type="paragraph" w:styleId="IndexHeading">
    <w:name w:val="index heading"/>
    <w:basedOn w:val="Normal"/>
    <w:next w:val="Index1"/>
    <w:uiPriority w:val="99"/>
    <w:semiHidden/>
    <w:unhideWhenUsed/>
    <w:rsid w:val="00987F23"/>
    <w:rPr>
      <w:rFonts w:asciiTheme="majorHAnsi" w:eastAsiaTheme="majorEastAsia" w:hAnsiTheme="majorHAnsi" w:cstheme="majorBidi"/>
      <w:b/>
      <w:bCs/>
    </w:rPr>
  </w:style>
  <w:style w:type="paragraph" w:styleId="List">
    <w:name w:val="List"/>
    <w:basedOn w:val="Normal"/>
    <w:uiPriority w:val="99"/>
    <w:semiHidden/>
    <w:unhideWhenUsed/>
    <w:rsid w:val="00987F23"/>
    <w:pPr>
      <w:ind w:left="283" w:hanging="283"/>
      <w:contextualSpacing/>
    </w:pPr>
  </w:style>
  <w:style w:type="paragraph" w:styleId="List2">
    <w:name w:val="List 2"/>
    <w:basedOn w:val="Normal"/>
    <w:uiPriority w:val="99"/>
    <w:semiHidden/>
    <w:unhideWhenUsed/>
    <w:rsid w:val="00987F23"/>
    <w:pPr>
      <w:ind w:left="566" w:hanging="283"/>
      <w:contextualSpacing/>
    </w:pPr>
  </w:style>
  <w:style w:type="paragraph" w:styleId="List3">
    <w:name w:val="List 3"/>
    <w:basedOn w:val="Normal"/>
    <w:uiPriority w:val="99"/>
    <w:semiHidden/>
    <w:unhideWhenUsed/>
    <w:rsid w:val="00987F23"/>
    <w:pPr>
      <w:ind w:left="849" w:hanging="283"/>
      <w:contextualSpacing/>
    </w:pPr>
  </w:style>
  <w:style w:type="paragraph" w:styleId="List4">
    <w:name w:val="List 4"/>
    <w:basedOn w:val="Normal"/>
    <w:uiPriority w:val="99"/>
    <w:semiHidden/>
    <w:unhideWhenUsed/>
    <w:rsid w:val="00987F23"/>
    <w:pPr>
      <w:ind w:left="1132" w:hanging="283"/>
      <w:contextualSpacing/>
    </w:pPr>
  </w:style>
  <w:style w:type="paragraph" w:styleId="List5">
    <w:name w:val="List 5"/>
    <w:basedOn w:val="Normal"/>
    <w:uiPriority w:val="99"/>
    <w:semiHidden/>
    <w:unhideWhenUsed/>
    <w:rsid w:val="00987F23"/>
    <w:pPr>
      <w:ind w:left="1415" w:hanging="283"/>
      <w:contextualSpacing/>
    </w:pPr>
  </w:style>
  <w:style w:type="paragraph" w:styleId="ListBullet">
    <w:name w:val="List Bullet"/>
    <w:basedOn w:val="Normal"/>
    <w:uiPriority w:val="99"/>
    <w:semiHidden/>
    <w:unhideWhenUsed/>
    <w:rsid w:val="00987F23"/>
    <w:pPr>
      <w:numPr>
        <w:numId w:val="19"/>
      </w:numPr>
      <w:contextualSpacing/>
    </w:pPr>
  </w:style>
  <w:style w:type="paragraph" w:styleId="ListBullet2">
    <w:name w:val="List Bullet 2"/>
    <w:basedOn w:val="Normal"/>
    <w:uiPriority w:val="99"/>
    <w:semiHidden/>
    <w:unhideWhenUsed/>
    <w:rsid w:val="00987F23"/>
    <w:pPr>
      <w:numPr>
        <w:numId w:val="20"/>
      </w:numPr>
      <w:contextualSpacing/>
    </w:pPr>
  </w:style>
  <w:style w:type="paragraph" w:styleId="ListBullet3">
    <w:name w:val="List Bullet 3"/>
    <w:basedOn w:val="Normal"/>
    <w:uiPriority w:val="99"/>
    <w:semiHidden/>
    <w:unhideWhenUsed/>
    <w:rsid w:val="00987F23"/>
    <w:pPr>
      <w:numPr>
        <w:numId w:val="21"/>
      </w:numPr>
      <w:contextualSpacing/>
    </w:pPr>
  </w:style>
  <w:style w:type="paragraph" w:styleId="ListBullet4">
    <w:name w:val="List Bullet 4"/>
    <w:basedOn w:val="Normal"/>
    <w:uiPriority w:val="99"/>
    <w:semiHidden/>
    <w:unhideWhenUsed/>
    <w:rsid w:val="00987F23"/>
    <w:pPr>
      <w:numPr>
        <w:numId w:val="22"/>
      </w:numPr>
      <w:contextualSpacing/>
    </w:pPr>
  </w:style>
  <w:style w:type="paragraph" w:styleId="ListBullet5">
    <w:name w:val="List Bullet 5"/>
    <w:basedOn w:val="Normal"/>
    <w:uiPriority w:val="99"/>
    <w:semiHidden/>
    <w:unhideWhenUsed/>
    <w:rsid w:val="00987F23"/>
    <w:pPr>
      <w:numPr>
        <w:numId w:val="23"/>
      </w:numPr>
      <w:contextualSpacing/>
    </w:pPr>
  </w:style>
  <w:style w:type="paragraph" w:styleId="ListContinue">
    <w:name w:val="List Continue"/>
    <w:basedOn w:val="Normal"/>
    <w:uiPriority w:val="99"/>
    <w:semiHidden/>
    <w:unhideWhenUsed/>
    <w:rsid w:val="00987F23"/>
    <w:pPr>
      <w:ind w:left="283"/>
      <w:contextualSpacing/>
    </w:pPr>
  </w:style>
  <w:style w:type="paragraph" w:styleId="ListContinue2">
    <w:name w:val="List Continue 2"/>
    <w:basedOn w:val="Normal"/>
    <w:uiPriority w:val="99"/>
    <w:semiHidden/>
    <w:unhideWhenUsed/>
    <w:rsid w:val="00987F23"/>
    <w:pPr>
      <w:ind w:left="566"/>
      <w:contextualSpacing/>
    </w:pPr>
  </w:style>
  <w:style w:type="paragraph" w:styleId="ListContinue3">
    <w:name w:val="List Continue 3"/>
    <w:basedOn w:val="Normal"/>
    <w:uiPriority w:val="99"/>
    <w:semiHidden/>
    <w:unhideWhenUsed/>
    <w:rsid w:val="00987F23"/>
    <w:pPr>
      <w:ind w:left="849"/>
      <w:contextualSpacing/>
    </w:pPr>
  </w:style>
  <w:style w:type="paragraph" w:styleId="ListContinue4">
    <w:name w:val="List Continue 4"/>
    <w:basedOn w:val="Normal"/>
    <w:uiPriority w:val="99"/>
    <w:semiHidden/>
    <w:unhideWhenUsed/>
    <w:rsid w:val="00987F23"/>
    <w:pPr>
      <w:ind w:left="1132"/>
      <w:contextualSpacing/>
    </w:pPr>
  </w:style>
  <w:style w:type="paragraph" w:styleId="ListContinue5">
    <w:name w:val="List Continue 5"/>
    <w:basedOn w:val="Normal"/>
    <w:uiPriority w:val="99"/>
    <w:semiHidden/>
    <w:unhideWhenUsed/>
    <w:rsid w:val="00987F23"/>
    <w:pPr>
      <w:ind w:left="1415"/>
      <w:contextualSpacing/>
    </w:pPr>
  </w:style>
  <w:style w:type="paragraph" w:styleId="ListNumber">
    <w:name w:val="List Number"/>
    <w:basedOn w:val="Normal"/>
    <w:uiPriority w:val="99"/>
    <w:semiHidden/>
    <w:unhideWhenUsed/>
    <w:rsid w:val="00987F23"/>
    <w:pPr>
      <w:numPr>
        <w:numId w:val="24"/>
      </w:numPr>
      <w:contextualSpacing/>
    </w:pPr>
  </w:style>
  <w:style w:type="paragraph" w:styleId="ListNumber2">
    <w:name w:val="List Number 2"/>
    <w:basedOn w:val="Normal"/>
    <w:uiPriority w:val="99"/>
    <w:semiHidden/>
    <w:unhideWhenUsed/>
    <w:rsid w:val="00987F23"/>
    <w:pPr>
      <w:numPr>
        <w:numId w:val="25"/>
      </w:numPr>
      <w:contextualSpacing/>
    </w:pPr>
  </w:style>
  <w:style w:type="paragraph" w:styleId="ListNumber3">
    <w:name w:val="List Number 3"/>
    <w:basedOn w:val="Normal"/>
    <w:uiPriority w:val="99"/>
    <w:semiHidden/>
    <w:unhideWhenUsed/>
    <w:rsid w:val="00987F23"/>
    <w:pPr>
      <w:numPr>
        <w:numId w:val="26"/>
      </w:numPr>
      <w:contextualSpacing/>
    </w:pPr>
  </w:style>
  <w:style w:type="paragraph" w:styleId="ListNumber4">
    <w:name w:val="List Number 4"/>
    <w:basedOn w:val="Normal"/>
    <w:uiPriority w:val="99"/>
    <w:semiHidden/>
    <w:unhideWhenUsed/>
    <w:rsid w:val="00987F23"/>
    <w:pPr>
      <w:numPr>
        <w:numId w:val="27"/>
      </w:numPr>
      <w:contextualSpacing/>
    </w:pPr>
  </w:style>
  <w:style w:type="paragraph" w:styleId="ListNumber5">
    <w:name w:val="List Number 5"/>
    <w:basedOn w:val="Normal"/>
    <w:uiPriority w:val="99"/>
    <w:semiHidden/>
    <w:unhideWhenUsed/>
    <w:rsid w:val="00987F23"/>
    <w:pPr>
      <w:numPr>
        <w:numId w:val="28"/>
      </w:numPr>
      <w:contextualSpacing/>
    </w:pPr>
  </w:style>
  <w:style w:type="paragraph" w:styleId="MacroText">
    <w:name w:val="macro"/>
    <w:link w:val="MacroTextChar"/>
    <w:uiPriority w:val="99"/>
    <w:semiHidden/>
    <w:unhideWhenUsed/>
    <w:rsid w:val="00987F23"/>
    <w:pPr>
      <w:tabs>
        <w:tab w:val="left" w:pos="480"/>
        <w:tab w:val="left" w:pos="960"/>
        <w:tab w:val="left" w:pos="1440"/>
        <w:tab w:val="left" w:pos="1920"/>
        <w:tab w:val="left" w:pos="2400"/>
        <w:tab w:val="left" w:pos="2880"/>
        <w:tab w:val="left" w:pos="3360"/>
        <w:tab w:val="left" w:pos="3840"/>
        <w:tab w:val="left" w:pos="4320"/>
      </w:tabs>
      <w:spacing w:before="120"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987F23"/>
    <w:rPr>
      <w:rFonts w:ascii="Consolas" w:hAnsi="Consolas"/>
      <w:sz w:val="20"/>
      <w:szCs w:val="20"/>
    </w:rPr>
  </w:style>
  <w:style w:type="paragraph" w:styleId="MessageHeader">
    <w:name w:val="Message Header"/>
    <w:basedOn w:val="Normal"/>
    <w:link w:val="MessageHeaderChar"/>
    <w:uiPriority w:val="99"/>
    <w:semiHidden/>
    <w:unhideWhenUsed/>
    <w:rsid w:val="00987F2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87F23"/>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87F23"/>
    <w:rPr>
      <w:rFonts w:ascii="Times New Roman" w:hAnsi="Times New Roman" w:cs="Times New Roman"/>
    </w:rPr>
  </w:style>
  <w:style w:type="paragraph" w:styleId="NormalIndent">
    <w:name w:val="Normal Indent"/>
    <w:basedOn w:val="Normal"/>
    <w:uiPriority w:val="99"/>
    <w:semiHidden/>
    <w:unhideWhenUsed/>
    <w:rsid w:val="00987F23"/>
    <w:pPr>
      <w:ind w:left="720"/>
    </w:pPr>
  </w:style>
  <w:style w:type="paragraph" w:styleId="NoteHeading">
    <w:name w:val="Note Heading"/>
    <w:basedOn w:val="Normal"/>
    <w:next w:val="Normal"/>
    <w:link w:val="NoteHeadingChar"/>
    <w:uiPriority w:val="99"/>
    <w:semiHidden/>
    <w:unhideWhenUsed/>
    <w:rsid w:val="00987F23"/>
    <w:pPr>
      <w:spacing w:before="0" w:after="0" w:line="240" w:lineRule="auto"/>
    </w:pPr>
  </w:style>
  <w:style w:type="character" w:customStyle="1" w:styleId="NoteHeadingChar">
    <w:name w:val="Note Heading Char"/>
    <w:basedOn w:val="DefaultParagraphFont"/>
    <w:link w:val="NoteHeading"/>
    <w:uiPriority w:val="99"/>
    <w:semiHidden/>
    <w:rsid w:val="00987F23"/>
  </w:style>
  <w:style w:type="paragraph" w:styleId="PlainText">
    <w:name w:val="Plain Text"/>
    <w:basedOn w:val="Normal"/>
    <w:link w:val="PlainTextChar"/>
    <w:uiPriority w:val="99"/>
    <w:semiHidden/>
    <w:unhideWhenUsed/>
    <w:rsid w:val="00987F23"/>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87F23"/>
    <w:rPr>
      <w:rFonts w:ascii="Consolas" w:hAnsi="Consolas"/>
      <w:sz w:val="21"/>
      <w:szCs w:val="21"/>
    </w:rPr>
  </w:style>
  <w:style w:type="paragraph" w:styleId="Salutation">
    <w:name w:val="Salutation"/>
    <w:basedOn w:val="Normal"/>
    <w:next w:val="Normal"/>
    <w:link w:val="SalutationChar"/>
    <w:uiPriority w:val="99"/>
    <w:semiHidden/>
    <w:unhideWhenUsed/>
    <w:rsid w:val="00987F23"/>
  </w:style>
  <w:style w:type="character" w:customStyle="1" w:styleId="SalutationChar">
    <w:name w:val="Salutation Char"/>
    <w:basedOn w:val="DefaultParagraphFont"/>
    <w:link w:val="Salutation"/>
    <w:uiPriority w:val="99"/>
    <w:semiHidden/>
    <w:rsid w:val="00987F23"/>
  </w:style>
  <w:style w:type="paragraph" w:styleId="Signature">
    <w:name w:val="Signature"/>
    <w:basedOn w:val="Normal"/>
    <w:link w:val="SignatureChar"/>
    <w:uiPriority w:val="99"/>
    <w:semiHidden/>
    <w:unhideWhenUsed/>
    <w:rsid w:val="00987F23"/>
    <w:pPr>
      <w:spacing w:before="0" w:after="0" w:line="240" w:lineRule="auto"/>
      <w:ind w:left="4252"/>
    </w:pPr>
  </w:style>
  <w:style w:type="character" w:customStyle="1" w:styleId="SignatureChar">
    <w:name w:val="Signature Char"/>
    <w:basedOn w:val="DefaultParagraphFont"/>
    <w:link w:val="Signature"/>
    <w:uiPriority w:val="99"/>
    <w:semiHidden/>
    <w:rsid w:val="00987F23"/>
  </w:style>
  <w:style w:type="paragraph" w:styleId="TableofAuthorities">
    <w:name w:val="table of authorities"/>
    <w:basedOn w:val="Normal"/>
    <w:next w:val="Normal"/>
    <w:uiPriority w:val="99"/>
    <w:semiHidden/>
    <w:unhideWhenUsed/>
    <w:rsid w:val="00987F23"/>
    <w:pPr>
      <w:spacing w:after="0"/>
      <w:ind w:left="240" w:hanging="240"/>
    </w:pPr>
  </w:style>
  <w:style w:type="paragraph" w:styleId="TableofFigures">
    <w:name w:val="table of figures"/>
    <w:basedOn w:val="Normal"/>
    <w:next w:val="Normal"/>
    <w:uiPriority w:val="99"/>
    <w:semiHidden/>
    <w:unhideWhenUsed/>
    <w:rsid w:val="00987F23"/>
    <w:pPr>
      <w:spacing w:after="0"/>
    </w:pPr>
  </w:style>
  <w:style w:type="paragraph" w:styleId="TOAHeading">
    <w:name w:val="toa heading"/>
    <w:basedOn w:val="Normal"/>
    <w:next w:val="Normal"/>
    <w:uiPriority w:val="99"/>
    <w:semiHidden/>
    <w:unhideWhenUsed/>
    <w:rsid w:val="00987F23"/>
    <w:rPr>
      <w:rFonts w:asciiTheme="majorHAnsi" w:eastAsiaTheme="majorEastAsia" w:hAnsiTheme="majorHAnsi" w:cstheme="majorBidi"/>
      <w:b/>
      <w:bCs/>
    </w:rPr>
  </w:style>
  <w:style w:type="paragraph" w:styleId="TOC3">
    <w:name w:val="toc 3"/>
    <w:basedOn w:val="Normal"/>
    <w:next w:val="Normal"/>
    <w:autoRedefine/>
    <w:uiPriority w:val="39"/>
    <w:semiHidden/>
    <w:unhideWhenUsed/>
    <w:rsid w:val="00987F23"/>
    <w:pPr>
      <w:spacing w:after="100"/>
      <w:ind w:left="480"/>
    </w:pPr>
  </w:style>
  <w:style w:type="paragraph" w:styleId="TOC4">
    <w:name w:val="toc 4"/>
    <w:basedOn w:val="Normal"/>
    <w:next w:val="Normal"/>
    <w:autoRedefine/>
    <w:uiPriority w:val="39"/>
    <w:semiHidden/>
    <w:unhideWhenUsed/>
    <w:rsid w:val="00987F23"/>
    <w:pPr>
      <w:spacing w:after="100"/>
      <w:ind w:left="720"/>
    </w:pPr>
  </w:style>
  <w:style w:type="paragraph" w:styleId="TOC5">
    <w:name w:val="toc 5"/>
    <w:basedOn w:val="Normal"/>
    <w:next w:val="Normal"/>
    <w:autoRedefine/>
    <w:uiPriority w:val="39"/>
    <w:semiHidden/>
    <w:unhideWhenUsed/>
    <w:rsid w:val="00987F23"/>
    <w:pPr>
      <w:spacing w:after="100"/>
      <w:ind w:left="960"/>
    </w:pPr>
  </w:style>
  <w:style w:type="paragraph" w:styleId="TOC6">
    <w:name w:val="toc 6"/>
    <w:basedOn w:val="Normal"/>
    <w:next w:val="Normal"/>
    <w:autoRedefine/>
    <w:uiPriority w:val="39"/>
    <w:semiHidden/>
    <w:unhideWhenUsed/>
    <w:rsid w:val="00987F23"/>
    <w:pPr>
      <w:spacing w:after="100"/>
      <w:ind w:left="1200"/>
    </w:pPr>
  </w:style>
  <w:style w:type="paragraph" w:styleId="TOC7">
    <w:name w:val="toc 7"/>
    <w:basedOn w:val="Normal"/>
    <w:next w:val="Normal"/>
    <w:autoRedefine/>
    <w:uiPriority w:val="39"/>
    <w:semiHidden/>
    <w:unhideWhenUsed/>
    <w:rsid w:val="00987F23"/>
    <w:pPr>
      <w:spacing w:after="100"/>
      <w:ind w:left="1440"/>
    </w:pPr>
  </w:style>
  <w:style w:type="paragraph" w:styleId="TOC8">
    <w:name w:val="toc 8"/>
    <w:basedOn w:val="Normal"/>
    <w:next w:val="Normal"/>
    <w:autoRedefine/>
    <w:uiPriority w:val="39"/>
    <w:semiHidden/>
    <w:unhideWhenUsed/>
    <w:rsid w:val="00987F23"/>
    <w:pPr>
      <w:spacing w:after="100"/>
      <w:ind w:left="1680"/>
    </w:pPr>
  </w:style>
  <w:style w:type="paragraph" w:styleId="TOC9">
    <w:name w:val="toc 9"/>
    <w:basedOn w:val="Normal"/>
    <w:next w:val="Normal"/>
    <w:autoRedefine/>
    <w:uiPriority w:val="39"/>
    <w:semiHidden/>
    <w:unhideWhenUsed/>
    <w:rsid w:val="00987F23"/>
    <w:pPr>
      <w:spacing w:after="100"/>
      <w:ind w:left="1920"/>
    </w:pPr>
  </w:style>
  <w:style w:type="paragraph" w:styleId="TOCHeading">
    <w:name w:val="TOC Heading"/>
    <w:basedOn w:val="Heading1"/>
    <w:next w:val="Normal"/>
    <w:uiPriority w:val="39"/>
    <w:semiHidden/>
    <w:unhideWhenUsed/>
    <w:qFormat/>
    <w:rsid w:val="00987F23"/>
    <w:pPr>
      <w:spacing w:before="240" w:after="0"/>
      <w:ind w:left="0" w:firstLine="0"/>
      <w:outlineLvl w:val="9"/>
    </w:pPr>
    <w:rPr>
      <w:rFonts w:asciiTheme="majorHAnsi" w:hAnsiTheme="majorHAnsi" w:cstheme="majorBidi"/>
      <w:b w:val="0"/>
      <w:color w:val="2F5496" w:themeColor="accent1" w:themeShade="BF"/>
      <w:sz w:val="32"/>
      <w:szCs w:val="32"/>
    </w:rPr>
  </w:style>
  <w:style w:type="paragraph" w:customStyle="1" w:styleId="Tableparagraphwhite">
    <w:name w:val="Table paragraph white"/>
    <w:basedOn w:val="TableParagraph"/>
    <w:qFormat/>
    <w:rsid w:val="00216691"/>
    <w:rPr>
      <w:b/>
      <w:bCs/>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45057">
      <w:bodyDiv w:val="1"/>
      <w:marLeft w:val="0"/>
      <w:marRight w:val="0"/>
      <w:marTop w:val="0"/>
      <w:marBottom w:val="0"/>
      <w:divBdr>
        <w:top w:val="none" w:sz="0" w:space="0" w:color="auto"/>
        <w:left w:val="none" w:sz="0" w:space="0" w:color="auto"/>
        <w:bottom w:val="none" w:sz="0" w:space="0" w:color="auto"/>
        <w:right w:val="none" w:sz="0" w:space="0" w:color="auto"/>
      </w:divBdr>
    </w:div>
    <w:div w:id="387263176">
      <w:bodyDiv w:val="1"/>
      <w:marLeft w:val="0"/>
      <w:marRight w:val="0"/>
      <w:marTop w:val="0"/>
      <w:marBottom w:val="0"/>
      <w:divBdr>
        <w:top w:val="none" w:sz="0" w:space="0" w:color="auto"/>
        <w:left w:val="none" w:sz="0" w:space="0" w:color="auto"/>
        <w:bottom w:val="none" w:sz="0" w:space="0" w:color="auto"/>
        <w:right w:val="none" w:sz="0" w:space="0" w:color="auto"/>
      </w:divBdr>
    </w:div>
    <w:div w:id="420681247">
      <w:bodyDiv w:val="1"/>
      <w:marLeft w:val="0"/>
      <w:marRight w:val="0"/>
      <w:marTop w:val="0"/>
      <w:marBottom w:val="0"/>
      <w:divBdr>
        <w:top w:val="none" w:sz="0" w:space="0" w:color="auto"/>
        <w:left w:val="none" w:sz="0" w:space="0" w:color="auto"/>
        <w:bottom w:val="none" w:sz="0" w:space="0" w:color="auto"/>
        <w:right w:val="none" w:sz="0" w:space="0" w:color="auto"/>
      </w:divBdr>
    </w:div>
    <w:div w:id="465902932">
      <w:bodyDiv w:val="1"/>
      <w:marLeft w:val="0"/>
      <w:marRight w:val="0"/>
      <w:marTop w:val="0"/>
      <w:marBottom w:val="0"/>
      <w:divBdr>
        <w:top w:val="none" w:sz="0" w:space="0" w:color="auto"/>
        <w:left w:val="none" w:sz="0" w:space="0" w:color="auto"/>
        <w:bottom w:val="none" w:sz="0" w:space="0" w:color="auto"/>
        <w:right w:val="none" w:sz="0" w:space="0" w:color="auto"/>
      </w:divBdr>
      <w:divsChild>
        <w:div w:id="954216615">
          <w:marLeft w:val="0"/>
          <w:marRight w:val="0"/>
          <w:marTop w:val="0"/>
          <w:marBottom w:val="0"/>
          <w:divBdr>
            <w:top w:val="none" w:sz="0" w:space="0" w:color="auto"/>
            <w:left w:val="none" w:sz="0" w:space="0" w:color="auto"/>
            <w:bottom w:val="none" w:sz="0" w:space="0" w:color="auto"/>
            <w:right w:val="none" w:sz="0" w:space="0" w:color="auto"/>
          </w:divBdr>
          <w:divsChild>
            <w:div w:id="118840840">
              <w:marLeft w:val="0"/>
              <w:marRight w:val="0"/>
              <w:marTop w:val="0"/>
              <w:marBottom w:val="0"/>
              <w:divBdr>
                <w:top w:val="none" w:sz="0" w:space="0" w:color="auto"/>
                <w:left w:val="none" w:sz="0" w:space="0" w:color="auto"/>
                <w:bottom w:val="none" w:sz="0" w:space="0" w:color="auto"/>
                <w:right w:val="none" w:sz="0" w:space="0" w:color="auto"/>
              </w:divBdr>
            </w:div>
            <w:div w:id="446389117">
              <w:marLeft w:val="0"/>
              <w:marRight w:val="0"/>
              <w:marTop w:val="0"/>
              <w:marBottom w:val="0"/>
              <w:divBdr>
                <w:top w:val="none" w:sz="0" w:space="0" w:color="auto"/>
                <w:left w:val="none" w:sz="0" w:space="0" w:color="auto"/>
                <w:bottom w:val="none" w:sz="0" w:space="0" w:color="auto"/>
                <w:right w:val="none" w:sz="0" w:space="0" w:color="auto"/>
              </w:divBdr>
            </w:div>
            <w:div w:id="603805590">
              <w:marLeft w:val="0"/>
              <w:marRight w:val="0"/>
              <w:marTop w:val="0"/>
              <w:marBottom w:val="0"/>
              <w:divBdr>
                <w:top w:val="none" w:sz="0" w:space="0" w:color="auto"/>
                <w:left w:val="none" w:sz="0" w:space="0" w:color="auto"/>
                <w:bottom w:val="none" w:sz="0" w:space="0" w:color="auto"/>
                <w:right w:val="none" w:sz="0" w:space="0" w:color="auto"/>
              </w:divBdr>
            </w:div>
            <w:div w:id="1625885845">
              <w:marLeft w:val="0"/>
              <w:marRight w:val="0"/>
              <w:marTop w:val="0"/>
              <w:marBottom w:val="0"/>
              <w:divBdr>
                <w:top w:val="none" w:sz="0" w:space="0" w:color="auto"/>
                <w:left w:val="none" w:sz="0" w:space="0" w:color="auto"/>
                <w:bottom w:val="none" w:sz="0" w:space="0" w:color="auto"/>
                <w:right w:val="none" w:sz="0" w:space="0" w:color="auto"/>
              </w:divBdr>
            </w:div>
          </w:divsChild>
        </w:div>
        <w:div w:id="1605114660">
          <w:marLeft w:val="0"/>
          <w:marRight w:val="0"/>
          <w:marTop w:val="0"/>
          <w:marBottom w:val="0"/>
          <w:divBdr>
            <w:top w:val="none" w:sz="0" w:space="0" w:color="auto"/>
            <w:left w:val="none" w:sz="0" w:space="0" w:color="auto"/>
            <w:bottom w:val="none" w:sz="0" w:space="0" w:color="auto"/>
            <w:right w:val="none" w:sz="0" w:space="0" w:color="auto"/>
          </w:divBdr>
          <w:divsChild>
            <w:div w:id="54359971">
              <w:marLeft w:val="0"/>
              <w:marRight w:val="0"/>
              <w:marTop w:val="0"/>
              <w:marBottom w:val="0"/>
              <w:divBdr>
                <w:top w:val="none" w:sz="0" w:space="0" w:color="auto"/>
                <w:left w:val="none" w:sz="0" w:space="0" w:color="auto"/>
                <w:bottom w:val="none" w:sz="0" w:space="0" w:color="auto"/>
                <w:right w:val="none" w:sz="0" w:space="0" w:color="auto"/>
              </w:divBdr>
            </w:div>
            <w:div w:id="74279420">
              <w:marLeft w:val="0"/>
              <w:marRight w:val="0"/>
              <w:marTop w:val="0"/>
              <w:marBottom w:val="0"/>
              <w:divBdr>
                <w:top w:val="none" w:sz="0" w:space="0" w:color="auto"/>
                <w:left w:val="none" w:sz="0" w:space="0" w:color="auto"/>
                <w:bottom w:val="none" w:sz="0" w:space="0" w:color="auto"/>
                <w:right w:val="none" w:sz="0" w:space="0" w:color="auto"/>
              </w:divBdr>
            </w:div>
            <w:div w:id="82607735">
              <w:marLeft w:val="0"/>
              <w:marRight w:val="0"/>
              <w:marTop w:val="0"/>
              <w:marBottom w:val="0"/>
              <w:divBdr>
                <w:top w:val="none" w:sz="0" w:space="0" w:color="auto"/>
                <w:left w:val="none" w:sz="0" w:space="0" w:color="auto"/>
                <w:bottom w:val="none" w:sz="0" w:space="0" w:color="auto"/>
                <w:right w:val="none" w:sz="0" w:space="0" w:color="auto"/>
              </w:divBdr>
            </w:div>
            <w:div w:id="317155517">
              <w:marLeft w:val="0"/>
              <w:marRight w:val="0"/>
              <w:marTop w:val="0"/>
              <w:marBottom w:val="0"/>
              <w:divBdr>
                <w:top w:val="none" w:sz="0" w:space="0" w:color="auto"/>
                <w:left w:val="none" w:sz="0" w:space="0" w:color="auto"/>
                <w:bottom w:val="none" w:sz="0" w:space="0" w:color="auto"/>
                <w:right w:val="none" w:sz="0" w:space="0" w:color="auto"/>
              </w:divBdr>
            </w:div>
            <w:div w:id="420371653">
              <w:marLeft w:val="0"/>
              <w:marRight w:val="0"/>
              <w:marTop w:val="0"/>
              <w:marBottom w:val="0"/>
              <w:divBdr>
                <w:top w:val="none" w:sz="0" w:space="0" w:color="auto"/>
                <w:left w:val="none" w:sz="0" w:space="0" w:color="auto"/>
                <w:bottom w:val="none" w:sz="0" w:space="0" w:color="auto"/>
                <w:right w:val="none" w:sz="0" w:space="0" w:color="auto"/>
              </w:divBdr>
            </w:div>
            <w:div w:id="432629537">
              <w:marLeft w:val="0"/>
              <w:marRight w:val="0"/>
              <w:marTop w:val="0"/>
              <w:marBottom w:val="0"/>
              <w:divBdr>
                <w:top w:val="none" w:sz="0" w:space="0" w:color="auto"/>
                <w:left w:val="none" w:sz="0" w:space="0" w:color="auto"/>
                <w:bottom w:val="none" w:sz="0" w:space="0" w:color="auto"/>
                <w:right w:val="none" w:sz="0" w:space="0" w:color="auto"/>
              </w:divBdr>
            </w:div>
            <w:div w:id="444344903">
              <w:marLeft w:val="0"/>
              <w:marRight w:val="0"/>
              <w:marTop w:val="0"/>
              <w:marBottom w:val="0"/>
              <w:divBdr>
                <w:top w:val="none" w:sz="0" w:space="0" w:color="auto"/>
                <w:left w:val="none" w:sz="0" w:space="0" w:color="auto"/>
                <w:bottom w:val="none" w:sz="0" w:space="0" w:color="auto"/>
                <w:right w:val="none" w:sz="0" w:space="0" w:color="auto"/>
              </w:divBdr>
            </w:div>
            <w:div w:id="444693908">
              <w:marLeft w:val="0"/>
              <w:marRight w:val="0"/>
              <w:marTop w:val="0"/>
              <w:marBottom w:val="0"/>
              <w:divBdr>
                <w:top w:val="none" w:sz="0" w:space="0" w:color="auto"/>
                <w:left w:val="none" w:sz="0" w:space="0" w:color="auto"/>
                <w:bottom w:val="none" w:sz="0" w:space="0" w:color="auto"/>
                <w:right w:val="none" w:sz="0" w:space="0" w:color="auto"/>
              </w:divBdr>
            </w:div>
            <w:div w:id="660232705">
              <w:marLeft w:val="0"/>
              <w:marRight w:val="0"/>
              <w:marTop w:val="0"/>
              <w:marBottom w:val="0"/>
              <w:divBdr>
                <w:top w:val="none" w:sz="0" w:space="0" w:color="auto"/>
                <w:left w:val="none" w:sz="0" w:space="0" w:color="auto"/>
                <w:bottom w:val="none" w:sz="0" w:space="0" w:color="auto"/>
                <w:right w:val="none" w:sz="0" w:space="0" w:color="auto"/>
              </w:divBdr>
            </w:div>
            <w:div w:id="873158933">
              <w:marLeft w:val="0"/>
              <w:marRight w:val="0"/>
              <w:marTop w:val="0"/>
              <w:marBottom w:val="0"/>
              <w:divBdr>
                <w:top w:val="none" w:sz="0" w:space="0" w:color="auto"/>
                <w:left w:val="none" w:sz="0" w:space="0" w:color="auto"/>
                <w:bottom w:val="none" w:sz="0" w:space="0" w:color="auto"/>
                <w:right w:val="none" w:sz="0" w:space="0" w:color="auto"/>
              </w:divBdr>
            </w:div>
            <w:div w:id="939416467">
              <w:marLeft w:val="0"/>
              <w:marRight w:val="0"/>
              <w:marTop w:val="0"/>
              <w:marBottom w:val="0"/>
              <w:divBdr>
                <w:top w:val="none" w:sz="0" w:space="0" w:color="auto"/>
                <w:left w:val="none" w:sz="0" w:space="0" w:color="auto"/>
                <w:bottom w:val="none" w:sz="0" w:space="0" w:color="auto"/>
                <w:right w:val="none" w:sz="0" w:space="0" w:color="auto"/>
              </w:divBdr>
            </w:div>
            <w:div w:id="999581429">
              <w:marLeft w:val="0"/>
              <w:marRight w:val="0"/>
              <w:marTop w:val="0"/>
              <w:marBottom w:val="0"/>
              <w:divBdr>
                <w:top w:val="none" w:sz="0" w:space="0" w:color="auto"/>
                <w:left w:val="none" w:sz="0" w:space="0" w:color="auto"/>
                <w:bottom w:val="none" w:sz="0" w:space="0" w:color="auto"/>
                <w:right w:val="none" w:sz="0" w:space="0" w:color="auto"/>
              </w:divBdr>
            </w:div>
            <w:div w:id="1099564908">
              <w:marLeft w:val="0"/>
              <w:marRight w:val="0"/>
              <w:marTop w:val="0"/>
              <w:marBottom w:val="0"/>
              <w:divBdr>
                <w:top w:val="none" w:sz="0" w:space="0" w:color="auto"/>
                <w:left w:val="none" w:sz="0" w:space="0" w:color="auto"/>
                <w:bottom w:val="none" w:sz="0" w:space="0" w:color="auto"/>
                <w:right w:val="none" w:sz="0" w:space="0" w:color="auto"/>
              </w:divBdr>
            </w:div>
            <w:div w:id="1208178518">
              <w:marLeft w:val="0"/>
              <w:marRight w:val="0"/>
              <w:marTop w:val="0"/>
              <w:marBottom w:val="0"/>
              <w:divBdr>
                <w:top w:val="none" w:sz="0" w:space="0" w:color="auto"/>
                <w:left w:val="none" w:sz="0" w:space="0" w:color="auto"/>
                <w:bottom w:val="none" w:sz="0" w:space="0" w:color="auto"/>
                <w:right w:val="none" w:sz="0" w:space="0" w:color="auto"/>
              </w:divBdr>
            </w:div>
            <w:div w:id="1243225686">
              <w:marLeft w:val="0"/>
              <w:marRight w:val="0"/>
              <w:marTop w:val="0"/>
              <w:marBottom w:val="0"/>
              <w:divBdr>
                <w:top w:val="none" w:sz="0" w:space="0" w:color="auto"/>
                <w:left w:val="none" w:sz="0" w:space="0" w:color="auto"/>
                <w:bottom w:val="none" w:sz="0" w:space="0" w:color="auto"/>
                <w:right w:val="none" w:sz="0" w:space="0" w:color="auto"/>
              </w:divBdr>
            </w:div>
            <w:div w:id="1797915008">
              <w:marLeft w:val="0"/>
              <w:marRight w:val="0"/>
              <w:marTop w:val="0"/>
              <w:marBottom w:val="0"/>
              <w:divBdr>
                <w:top w:val="none" w:sz="0" w:space="0" w:color="auto"/>
                <w:left w:val="none" w:sz="0" w:space="0" w:color="auto"/>
                <w:bottom w:val="none" w:sz="0" w:space="0" w:color="auto"/>
                <w:right w:val="none" w:sz="0" w:space="0" w:color="auto"/>
              </w:divBdr>
            </w:div>
            <w:div w:id="21010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53178">
      <w:bodyDiv w:val="1"/>
      <w:marLeft w:val="0"/>
      <w:marRight w:val="0"/>
      <w:marTop w:val="0"/>
      <w:marBottom w:val="0"/>
      <w:divBdr>
        <w:top w:val="none" w:sz="0" w:space="0" w:color="auto"/>
        <w:left w:val="none" w:sz="0" w:space="0" w:color="auto"/>
        <w:bottom w:val="none" w:sz="0" w:space="0" w:color="auto"/>
        <w:right w:val="none" w:sz="0" w:space="0" w:color="auto"/>
      </w:divBdr>
    </w:div>
    <w:div w:id="561062049">
      <w:bodyDiv w:val="1"/>
      <w:marLeft w:val="0"/>
      <w:marRight w:val="0"/>
      <w:marTop w:val="0"/>
      <w:marBottom w:val="0"/>
      <w:divBdr>
        <w:top w:val="none" w:sz="0" w:space="0" w:color="auto"/>
        <w:left w:val="none" w:sz="0" w:space="0" w:color="auto"/>
        <w:bottom w:val="none" w:sz="0" w:space="0" w:color="auto"/>
        <w:right w:val="none" w:sz="0" w:space="0" w:color="auto"/>
      </w:divBdr>
    </w:div>
    <w:div w:id="658194426">
      <w:bodyDiv w:val="1"/>
      <w:marLeft w:val="0"/>
      <w:marRight w:val="0"/>
      <w:marTop w:val="0"/>
      <w:marBottom w:val="0"/>
      <w:divBdr>
        <w:top w:val="none" w:sz="0" w:space="0" w:color="auto"/>
        <w:left w:val="none" w:sz="0" w:space="0" w:color="auto"/>
        <w:bottom w:val="none" w:sz="0" w:space="0" w:color="auto"/>
        <w:right w:val="none" w:sz="0" w:space="0" w:color="auto"/>
      </w:divBdr>
    </w:div>
    <w:div w:id="846099676">
      <w:bodyDiv w:val="1"/>
      <w:marLeft w:val="0"/>
      <w:marRight w:val="0"/>
      <w:marTop w:val="0"/>
      <w:marBottom w:val="0"/>
      <w:divBdr>
        <w:top w:val="none" w:sz="0" w:space="0" w:color="auto"/>
        <w:left w:val="none" w:sz="0" w:space="0" w:color="auto"/>
        <w:bottom w:val="none" w:sz="0" w:space="0" w:color="auto"/>
        <w:right w:val="none" w:sz="0" w:space="0" w:color="auto"/>
      </w:divBdr>
    </w:div>
    <w:div w:id="966080725">
      <w:bodyDiv w:val="1"/>
      <w:marLeft w:val="0"/>
      <w:marRight w:val="0"/>
      <w:marTop w:val="0"/>
      <w:marBottom w:val="0"/>
      <w:divBdr>
        <w:top w:val="none" w:sz="0" w:space="0" w:color="auto"/>
        <w:left w:val="none" w:sz="0" w:space="0" w:color="auto"/>
        <w:bottom w:val="none" w:sz="0" w:space="0" w:color="auto"/>
        <w:right w:val="none" w:sz="0" w:space="0" w:color="auto"/>
      </w:divBdr>
    </w:div>
    <w:div w:id="1031106656">
      <w:bodyDiv w:val="1"/>
      <w:marLeft w:val="0"/>
      <w:marRight w:val="0"/>
      <w:marTop w:val="0"/>
      <w:marBottom w:val="0"/>
      <w:divBdr>
        <w:top w:val="none" w:sz="0" w:space="0" w:color="auto"/>
        <w:left w:val="none" w:sz="0" w:space="0" w:color="auto"/>
        <w:bottom w:val="none" w:sz="0" w:space="0" w:color="auto"/>
        <w:right w:val="none" w:sz="0" w:space="0" w:color="auto"/>
      </w:divBdr>
    </w:div>
    <w:div w:id="1131942891">
      <w:bodyDiv w:val="1"/>
      <w:marLeft w:val="0"/>
      <w:marRight w:val="0"/>
      <w:marTop w:val="0"/>
      <w:marBottom w:val="0"/>
      <w:divBdr>
        <w:top w:val="none" w:sz="0" w:space="0" w:color="auto"/>
        <w:left w:val="none" w:sz="0" w:space="0" w:color="auto"/>
        <w:bottom w:val="none" w:sz="0" w:space="0" w:color="auto"/>
        <w:right w:val="none" w:sz="0" w:space="0" w:color="auto"/>
      </w:divBdr>
    </w:div>
    <w:div w:id="1264804288">
      <w:bodyDiv w:val="1"/>
      <w:marLeft w:val="0"/>
      <w:marRight w:val="0"/>
      <w:marTop w:val="0"/>
      <w:marBottom w:val="0"/>
      <w:divBdr>
        <w:top w:val="none" w:sz="0" w:space="0" w:color="auto"/>
        <w:left w:val="none" w:sz="0" w:space="0" w:color="auto"/>
        <w:bottom w:val="none" w:sz="0" w:space="0" w:color="auto"/>
        <w:right w:val="none" w:sz="0" w:space="0" w:color="auto"/>
      </w:divBdr>
    </w:div>
    <w:div w:id="1421288818">
      <w:bodyDiv w:val="1"/>
      <w:marLeft w:val="0"/>
      <w:marRight w:val="0"/>
      <w:marTop w:val="0"/>
      <w:marBottom w:val="0"/>
      <w:divBdr>
        <w:top w:val="none" w:sz="0" w:space="0" w:color="auto"/>
        <w:left w:val="none" w:sz="0" w:space="0" w:color="auto"/>
        <w:bottom w:val="none" w:sz="0" w:space="0" w:color="auto"/>
        <w:right w:val="none" w:sz="0" w:space="0" w:color="auto"/>
      </w:divBdr>
    </w:div>
    <w:div w:id="1477795337">
      <w:bodyDiv w:val="1"/>
      <w:marLeft w:val="0"/>
      <w:marRight w:val="0"/>
      <w:marTop w:val="0"/>
      <w:marBottom w:val="0"/>
      <w:divBdr>
        <w:top w:val="none" w:sz="0" w:space="0" w:color="auto"/>
        <w:left w:val="none" w:sz="0" w:space="0" w:color="auto"/>
        <w:bottom w:val="none" w:sz="0" w:space="0" w:color="auto"/>
        <w:right w:val="none" w:sz="0" w:space="0" w:color="auto"/>
      </w:divBdr>
    </w:div>
    <w:div w:id="1611008862">
      <w:bodyDiv w:val="1"/>
      <w:marLeft w:val="0"/>
      <w:marRight w:val="0"/>
      <w:marTop w:val="0"/>
      <w:marBottom w:val="0"/>
      <w:divBdr>
        <w:top w:val="none" w:sz="0" w:space="0" w:color="auto"/>
        <w:left w:val="none" w:sz="0" w:space="0" w:color="auto"/>
        <w:bottom w:val="none" w:sz="0" w:space="0" w:color="auto"/>
        <w:right w:val="none" w:sz="0" w:space="0" w:color="auto"/>
      </w:divBdr>
    </w:div>
    <w:div w:id="1717390730">
      <w:bodyDiv w:val="1"/>
      <w:marLeft w:val="0"/>
      <w:marRight w:val="0"/>
      <w:marTop w:val="0"/>
      <w:marBottom w:val="0"/>
      <w:divBdr>
        <w:top w:val="none" w:sz="0" w:space="0" w:color="auto"/>
        <w:left w:val="none" w:sz="0" w:space="0" w:color="auto"/>
        <w:bottom w:val="none" w:sz="0" w:space="0" w:color="auto"/>
        <w:right w:val="none" w:sz="0" w:space="0" w:color="auto"/>
      </w:divBdr>
    </w:div>
    <w:div w:id="2013993128">
      <w:bodyDiv w:val="1"/>
      <w:marLeft w:val="0"/>
      <w:marRight w:val="0"/>
      <w:marTop w:val="0"/>
      <w:marBottom w:val="0"/>
      <w:divBdr>
        <w:top w:val="none" w:sz="0" w:space="0" w:color="auto"/>
        <w:left w:val="none" w:sz="0" w:space="0" w:color="auto"/>
        <w:bottom w:val="none" w:sz="0" w:space="0" w:color="auto"/>
        <w:right w:val="none" w:sz="0" w:space="0" w:color="auto"/>
      </w:divBdr>
      <w:divsChild>
        <w:div w:id="948971428">
          <w:marLeft w:val="0"/>
          <w:marRight w:val="0"/>
          <w:marTop w:val="0"/>
          <w:marBottom w:val="0"/>
          <w:divBdr>
            <w:top w:val="none" w:sz="0" w:space="0" w:color="auto"/>
            <w:left w:val="none" w:sz="0" w:space="0" w:color="auto"/>
            <w:bottom w:val="none" w:sz="0" w:space="0" w:color="auto"/>
            <w:right w:val="none" w:sz="0" w:space="0" w:color="auto"/>
          </w:divBdr>
          <w:divsChild>
            <w:div w:id="176234952">
              <w:marLeft w:val="0"/>
              <w:marRight w:val="0"/>
              <w:marTop w:val="0"/>
              <w:marBottom w:val="0"/>
              <w:divBdr>
                <w:top w:val="none" w:sz="0" w:space="0" w:color="auto"/>
                <w:left w:val="none" w:sz="0" w:space="0" w:color="auto"/>
                <w:bottom w:val="none" w:sz="0" w:space="0" w:color="auto"/>
                <w:right w:val="none" w:sz="0" w:space="0" w:color="auto"/>
              </w:divBdr>
            </w:div>
            <w:div w:id="392899634">
              <w:marLeft w:val="0"/>
              <w:marRight w:val="0"/>
              <w:marTop w:val="0"/>
              <w:marBottom w:val="0"/>
              <w:divBdr>
                <w:top w:val="none" w:sz="0" w:space="0" w:color="auto"/>
                <w:left w:val="none" w:sz="0" w:space="0" w:color="auto"/>
                <w:bottom w:val="none" w:sz="0" w:space="0" w:color="auto"/>
                <w:right w:val="none" w:sz="0" w:space="0" w:color="auto"/>
              </w:divBdr>
            </w:div>
            <w:div w:id="474957730">
              <w:marLeft w:val="0"/>
              <w:marRight w:val="0"/>
              <w:marTop w:val="0"/>
              <w:marBottom w:val="0"/>
              <w:divBdr>
                <w:top w:val="none" w:sz="0" w:space="0" w:color="auto"/>
                <w:left w:val="none" w:sz="0" w:space="0" w:color="auto"/>
                <w:bottom w:val="none" w:sz="0" w:space="0" w:color="auto"/>
                <w:right w:val="none" w:sz="0" w:space="0" w:color="auto"/>
              </w:divBdr>
            </w:div>
            <w:div w:id="682778938">
              <w:marLeft w:val="0"/>
              <w:marRight w:val="0"/>
              <w:marTop w:val="0"/>
              <w:marBottom w:val="0"/>
              <w:divBdr>
                <w:top w:val="none" w:sz="0" w:space="0" w:color="auto"/>
                <w:left w:val="none" w:sz="0" w:space="0" w:color="auto"/>
                <w:bottom w:val="none" w:sz="0" w:space="0" w:color="auto"/>
                <w:right w:val="none" w:sz="0" w:space="0" w:color="auto"/>
              </w:divBdr>
            </w:div>
            <w:div w:id="709644604">
              <w:marLeft w:val="0"/>
              <w:marRight w:val="0"/>
              <w:marTop w:val="0"/>
              <w:marBottom w:val="0"/>
              <w:divBdr>
                <w:top w:val="none" w:sz="0" w:space="0" w:color="auto"/>
                <w:left w:val="none" w:sz="0" w:space="0" w:color="auto"/>
                <w:bottom w:val="none" w:sz="0" w:space="0" w:color="auto"/>
                <w:right w:val="none" w:sz="0" w:space="0" w:color="auto"/>
              </w:divBdr>
            </w:div>
            <w:div w:id="763720577">
              <w:marLeft w:val="0"/>
              <w:marRight w:val="0"/>
              <w:marTop w:val="0"/>
              <w:marBottom w:val="0"/>
              <w:divBdr>
                <w:top w:val="none" w:sz="0" w:space="0" w:color="auto"/>
                <w:left w:val="none" w:sz="0" w:space="0" w:color="auto"/>
                <w:bottom w:val="none" w:sz="0" w:space="0" w:color="auto"/>
                <w:right w:val="none" w:sz="0" w:space="0" w:color="auto"/>
              </w:divBdr>
            </w:div>
            <w:div w:id="905146769">
              <w:marLeft w:val="0"/>
              <w:marRight w:val="0"/>
              <w:marTop w:val="0"/>
              <w:marBottom w:val="0"/>
              <w:divBdr>
                <w:top w:val="none" w:sz="0" w:space="0" w:color="auto"/>
                <w:left w:val="none" w:sz="0" w:space="0" w:color="auto"/>
                <w:bottom w:val="none" w:sz="0" w:space="0" w:color="auto"/>
                <w:right w:val="none" w:sz="0" w:space="0" w:color="auto"/>
              </w:divBdr>
            </w:div>
            <w:div w:id="1099375316">
              <w:marLeft w:val="0"/>
              <w:marRight w:val="0"/>
              <w:marTop w:val="0"/>
              <w:marBottom w:val="0"/>
              <w:divBdr>
                <w:top w:val="none" w:sz="0" w:space="0" w:color="auto"/>
                <w:left w:val="none" w:sz="0" w:space="0" w:color="auto"/>
                <w:bottom w:val="none" w:sz="0" w:space="0" w:color="auto"/>
                <w:right w:val="none" w:sz="0" w:space="0" w:color="auto"/>
              </w:divBdr>
            </w:div>
            <w:div w:id="1118140880">
              <w:marLeft w:val="0"/>
              <w:marRight w:val="0"/>
              <w:marTop w:val="0"/>
              <w:marBottom w:val="0"/>
              <w:divBdr>
                <w:top w:val="none" w:sz="0" w:space="0" w:color="auto"/>
                <w:left w:val="none" w:sz="0" w:space="0" w:color="auto"/>
                <w:bottom w:val="none" w:sz="0" w:space="0" w:color="auto"/>
                <w:right w:val="none" w:sz="0" w:space="0" w:color="auto"/>
              </w:divBdr>
            </w:div>
            <w:div w:id="1338732513">
              <w:marLeft w:val="0"/>
              <w:marRight w:val="0"/>
              <w:marTop w:val="0"/>
              <w:marBottom w:val="0"/>
              <w:divBdr>
                <w:top w:val="none" w:sz="0" w:space="0" w:color="auto"/>
                <w:left w:val="none" w:sz="0" w:space="0" w:color="auto"/>
                <w:bottom w:val="none" w:sz="0" w:space="0" w:color="auto"/>
                <w:right w:val="none" w:sz="0" w:space="0" w:color="auto"/>
              </w:divBdr>
            </w:div>
            <w:div w:id="1550335786">
              <w:marLeft w:val="0"/>
              <w:marRight w:val="0"/>
              <w:marTop w:val="0"/>
              <w:marBottom w:val="0"/>
              <w:divBdr>
                <w:top w:val="none" w:sz="0" w:space="0" w:color="auto"/>
                <w:left w:val="none" w:sz="0" w:space="0" w:color="auto"/>
                <w:bottom w:val="none" w:sz="0" w:space="0" w:color="auto"/>
                <w:right w:val="none" w:sz="0" w:space="0" w:color="auto"/>
              </w:divBdr>
            </w:div>
            <w:div w:id="1589191923">
              <w:marLeft w:val="0"/>
              <w:marRight w:val="0"/>
              <w:marTop w:val="0"/>
              <w:marBottom w:val="0"/>
              <w:divBdr>
                <w:top w:val="none" w:sz="0" w:space="0" w:color="auto"/>
                <w:left w:val="none" w:sz="0" w:space="0" w:color="auto"/>
                <w:bottom w:val="none" w:sz="0" w:space="0" w:color="auto"/>
                <w:right w:val="none" w:sz="0" w:space="0" w:color="auto"/>
              </w:divBdr>
            </w:div>
            <w:div w:id="1800806525">
              <w:marLeft w:val="0"/>
              <w:marRight w:val="0"/>
              <w:marTop w:val="0"/>
              <w:marBottom w:val="0"/>
              <w:divBdr>
                <w:top w:val="none" w:sz="0" w:space="0" w:color="auto"/>
                <w:left w:val="none" w:sz="0" w:space="0" w:color="auto"/>
                <w:bottom w:val="none" w:sz="0" w:space="0" w:color="auto"/>
                <w:right w:val="none" w:sz="0" w:space="0" w:color="auto"/>
              </w:divBdr>
            </w:div>
            <w:div w:id="1801727830">
              <w:marLeft w:val="0"/>
              <w:marRight w:val="0"/>
              <w:marTop w:val="0"/>
              <w:marBottom w:val="0"/>
              <w:divBdr>
                <w:top w:val="none" w:sz="0" w:space="0" w:color="auto"/>
                <w:left w:val="none" w:sz="0" w:space="0" w:color="auto"/>
                <w:bottom w:val="none" w:sz="0" w:space="0" w:color="auto"/>
                <w:right w:val="none" w:sz="0" w:space="0" w:color="auto"/>
              </w:divBdr>
            </w:div>
            <w:div w:id="1868057890">
              <w:marLeft w:val="0"/>
              <w:marRight w:val="0"/>
              <w:marTop w:val="0"/>
              <w:marBottom w:val="0"/>
              <w:divBdr>
                <w:top w:val="none" w:sz="0" w:space="0" w:color="auto"/>
                <w:left w:val="none" w:sz="0" w:space="0" w:color="auto"/>
                <w:bottom w:val="none" w:sz="0" w:space="0" w:color="auto"/>
                <w:right w:val="none" w:sz="0" w:space="0" w:color="auto"/>
              </w:divBdr>
            </w:div>
            <w:div w:id="1911573236">
              <w:marLeft w:val="0"/>
              <w:marRight w:val="0"/>
              <w:marTop w:val="0"/>
              <w:marBottom w:val="0"/>
              <w:divBdr>
                <w:top w:val="none" w:sz="0" w:space="0" w:color="auto"/>
                <w:left w:val="none" w:sz="0" w:space="0" w:color="auto"/>
                <w:bottom w:val="none" w:sz="0" w:space="0" w:color="auto"/>
                <w:right w:val="none" w:sz="0" w:space="0" w:color="auto"/>
              </w:divBdr>
            </w:div>
            <w:div w:id="2146923518">
              <w:marLeft w:val="0"/>
              <w:marRight w:val="0"/>
              <w:marTop w:val="0"/>
              <w:marBottom w:val="0"/>
              <w:divBdr>
                <w:top w:val="none" w:sz="0" w:space="0" w:color="auto"/>
                <w:left w:val="none" w:sz="0" w:space="0" w:color="auto"/>
                <w:bottom w:val="none" w:sz="0" w:space="0" w:color="auto"/>
                <w:right w:val="none" w:sz="0" w:space="0" w:color="auto"/>
              </w:divBdr>
            </w:div>
          </w:divsChild>
        </w:div>
        <w:div w:id="1293824787">
          <w:marLeft w:val="0"/>
          <w:marRight w:val="0"/>
          <w:marTop w:val="0"/>
          <w:marBottom w:val="0"/>
          <w:divBdr>
            <w:top w:val="none" w:sz="0" w:space="0" w:color="auto"/>
            <w:left w:val="none" w:sz="0" w:space="0" w:color="auto"/>
            <w:bottom w:val="none" w:sz="0" w:space="0" w:color="auto"/>
            <w:right w:val="none" w:sz="0" w:space="0" w:color="auto"/>
          </w:divBdr>
          <w:divsChild>
            <w:div w:id="83303585">
              <w:marLeft w:val="0"/>
              <w:marRight w:val="0"/>
              <w:marTop w:val="0"/>
              <w:marBottom w:val="0"/>
              <w:divBdr>
                <w:top w:val="none" w:sz="0" w:space="0" w:color="auto"/>
                <w:left w:val="none" w:sz="0" w:space="0" w:color="auto"/>
                <w:bottom w:val="none" w:sz="0" w:space="0" w:color="auto"/>
                <w:right w:val="none" w:sz="0" w:space="0" w:color="auto"/>
              </w:divBdr>
            </w:div>
            <w:div w:id="641084991">
              <w:marLeft w:val="0"/>
              <w:marRight w:val="0"/>
              <w:marTop w:val="0"/>
              <w:marBottom w:val="0"/>
              <w:divBdr>
                <w:top w:val="none" w:sz="0" w:space="0" w:color="auto"/>
                <w:left w:val="none" w:sz="0" w:space="0" w:color="auto"/>
                <w:bottom w:val="none" w:sz="0" w:space="0" w:color="auto"/>
                <w:right w:val="none" w:sz="0" w:space="0" w:color="auto"/>
              </w:divBdr>
            </w:div>
            <w:div w:id="805926832">
              <w:marLeft w:val="0"/>
              <w:marRight w:val="0"/>
              <w:marTop w:val="0"/>
              <w:marBottom w:val="0"/>
              <w:divBdr>
                <w:top w:val="none" w:sz="0" w:space="0" w:color="auto"/>
                <w:left w:val="none" w:sz="0" w:space="0" w:color="auto"/>
                <w:bottom w:val="none" w:sz="0" w:space="0" w:color="auto"/>
                <w:right w:val="none" w:sz="0" w:space="0" w:color="auto"/>
              </w:divBdr>
            </w:div>
            <w:div w:id="18580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5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chart" Target="charts/chart1.xml"/><Relationship Id="rId21" Type="http://schemas.openxmlformats.org/officeDocument/2006/relationships/image" Target="media/image5.jpeg"/><Relationship Id="rId34" Type="http://schemas.openxmlformats.org/officeDocument/2006/relationships/footer" Target="footer8.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footer" Target="footer7.xml"/><Relationship Id="rId33"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2.emf"/><Relationship Id="rId37"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13" Type="http://schemas.openxmlformats.org/officeDocument/2006/relationships/hyperlink" Target="https://environment.govt.nz/publications/second-emissions-reduction-plan-technical-annex/" TargetMode="External"/><Relationship Id="rId18" Type="http://schemas.openxmlformats.org/officeDocument/2006/relationships/hyperlink" Target="https://environment.govt.nz/assets/publications/climate-change/ERP2/New-Zealands-second-emissions-reduction-plan-202630.pdf" TargetMode="External"/><Relationship Id="rId26" Type="http://schemas.openxmlformats.org/officeDocument/2006/relationships/hyperlink" Target="https://a.storyblok.com/f/246794/x/d9392844cc/jahresbericht_2023_en.pdf" TargetMode="External"/><Relationship Id="rId3" Type="http://schemas.openxmlformats.org/officeDocument/2006/relationships/hyperlink" Target="https://www.iea.org/reports/world-energy-outlook-2024" TargetMode="External"/><Relationship Id="rId21" Type="http://schemas.openxmlformats.org/officeDocument/2006/relationships/hyperlink" Target="https://environment.govt.nz/assets/publications/BRF-5034-ERP2-Climate-MfE.pdf" TargetMode="External"/><Relationship Id="rId34" Type="http://schemas.openxmlformats.org/officeDocument/2006/relationships/hyperlink" Target="https://www.climatecommission.govt.nz/our-work/advice-to-government-topic/preparing-advice-on-emissions-budgets/advice-on-the-fourth-emissions-budget/final-report/" TargetMode="External"/><Relationship Id="rId7" Type="http://schemas.openxmlformats.org/officeDocument/2006/relationships/hyperlink" Target="https://github.com/theecanmole/nzu" TargetMode="External"/><Relationship Id="rId12" Type="http://schemas.openxmlformats.org/officeDocument/2006/relationships/hyperlink" Target="https://environment.govt.nz/publications/new-zealands-first-biennial-transparency-report-under-the-paris-agreement/" TargetMode="External"/><Relationship Id="rId17" Type="http://schemas.openxmlformats.org/officeDocument/2006/relationships/hyperlink" Target="https://environment.govt.nz/assets/publications/climate-change/ERP2/New-Zealands-second-emissions-reduction-plan-202630.pdf" TargetMode="External"/><Relationship Id="rId25" Type="http://schemas.openxmlformats.org/officeDocument/2006/relationships/hyperlink" Target="https://www.treasury.govt.nz/publications/climate-economic-fiscal-assessment/nga-korero-ahuarangi-me-te-ohanga-2023" TargetMode="External"/><Relationship Id="rId33" Type="http://schemas.openxmlformats.org/officeDocument/2006/relationships/hyperlink" Target="https://www.berl.co.nz/te-ohanga-maori" TargetMode="External"/><Relationship Id="rId2" Type="http://schemas.openxmlformats.org/officeDocument/2006/relationships/hyperlink" Target="https://openknowledge.worldbank.org/entities/publication/b0d66765-299c-4fb8-921f-61f6bb979087" TargetMode="External"/><Relationship Id="rId16" Type="http://schemas.openxmlformats.org/officeDocument/2006/relationships/hyperlink" Target="https://www.mpi.govt.nz/forestry/forest-science-and-research/maximising-forest-carbon/" TargetMode="External"/><Relationship Id="rId20" Type="http://schemas.openxmlformats.org/officeDocument/2006/relationships/hyperlink" Target="https://www.mpi.govt.nz/dmsdocument/66273-National-Exotic-Forest-Description-2024-report" TargetMode="External"/><Relationship Id="rId29" Type="http://schemas.openxmlformats.org/officeDocument/2006/relationships/hyperlink" Target="https://www.climatecommission.govt.nz/our-work/advice-to-government-topic/preparing-advice-on-emissions-budgets/advice-on-the-fourth-emissions-budget/final-report/" TargetMode="External"/><Relationship Id="rId1" Type="http://schemas.openxmlformats.org/officeDocument/2006/relationships/hyperlink" Target="https://wmo.int/news/media-centre/wmo-confirms-2024-warmest-year-record-about-155degc-above-pre-industrial-level" TargetMode="External"/><Relationship Id="rId6" Type="http://schemas.openxmlformats.org/officeDocument/2006/relationships/hyperlink" Target="https://github.com/theecanmole/nzu" TargetMode="External"/><Relationship Id="rId11" Type="http://schemas.openxmlformats.org/officeDocument/2006/relationships/hyperlink" Target="https://environment.govt.nz/what-government-is-doing/cabinet-papers-and-regulatory-impact-statements/nationally-determined-contribution-strategy/" TargetMode="External"/><Relationship Id="rId24" Type="http://schemas.openxmlformats.org/officeDocument/2006/relationships/hyperlink" Target="https://www.eeca.govt.nz/insights/eeca-insights/reta-south-island/" TargetMode="External"/><Relationship Id="rId32" Type="http://schemas.openxmlformats.org/officeDocument/2006/relationships/hyperlink" Target="https://www.climatecommission.govt.nz/our-work/advice-to-government-topic/advice-for-preparation-of-emissions-reduction-plans/2023-advice-to-inform-the-strategic-direction-of-the-governments-second-emissions-reduction-plan-april-2023/" TargetMode="External"/><Relationship Id="rId5" Type="http://schemas.openxmlformats.org/officeDocument/2006/relationships/hyperlink" Target="https://icapcarbonaction.com/en/ets" TargetMode="External"/><Relationship Id="rId15" Type="http://schemas.openxmlformats.org/officeDocument/2006/relationships/hyperlink" Target="https://environment.govt.nz/assets/publications/climate-change/nzets-nzu-surplus-advice.pdf" TargetMode="External"/><Relationship Id="rId23" Type="http://schemas.openxmlformats.org/officeDocument/2006/relationships/hyperlink" Target="https://www.beehive.govt.nz/release/protecting-nz-food-production-and-ets-credibility" TargetMode="External"/><Relationship Id="rId28" Type="http://schemas.openxmlformats.org/officeDocument/2006/relationships/hyperlink" Target="https://ieta.b-cdn.net/wp-content/uploads/2023/09/IETAA6_CapstoneReport_2023.pdf" TargetMode="External"/><Relationship Id="rId10" Type="http://schemas.openxmlformats.org/officeDocument/2006/relationships/hyperlink" Target="https://environment.govt.nz/publications/new-zealands-second-nationally-determined-contribution-submission-under-the-paris-agreement/" TargetMode="External"/><Relationship Id="rId19" Type="http://schemas.openxmlformats.org/officeDocument/2006/relationships/hyperlink" Target="https://environment.govt.nz/publications/second-emissions-reduction-plan-technical-annex/" TargetMode="External"/><Relationship Id="rId31" Type="http://schemas.openxmlformats.org/officeDocument/2006/relationships/hyperlink" Target="https://www.treasury.govt.nz/publications/an/an-24-02" TargetMode="External"/><Relationship Id="rId4" Type="http://schemas.openxmlformats.org/officeDocument/2006/relationships/hyperlink" Target="https://www.aph.gov.au/About_Parliament/Parliamentary_departments/Parliamentary_Library/Research/Research_Papers/2024-25/Reforming_Australia_Safeguard_Mechanism" TargetMode="External"/><Relationship Id="rId9" Type="http://schemas.openxmlformats.org/officeDocument/2006/relationships/hyperlink" Target="https://www.mpi.govt.nz/forestry/forest-science-and-research/maximising-forest-carbon/" TargetMode="External"/><Relationship Id="rId14" Type="http://schemas.openxmlformats.org/officeDocument/2006/relationships/hyperlink" Target="https://environment.govt.nz/what-government-is-doing/cabinet-papers-and-regulatory-impact-statements/industrial-allocation-2024/" TargetMode="External"/><Relationship Id="rId22" Type="http://schemas.openxmlformats.org/officeDocument/2006/relationships/hyperlink" Target="https://www.mpi.govt.nz/dmsdocument/62313-Afforestation-and-Deforestation-Intentions-Survey-2023" TargetMode="External"/><Relationship Id="rId27" Type="http://schemas.openxmlformats.org/officeDocument/2006/relationships/hyperlink" Target="https://www.spglobal.com/commodity-insights/en/news-research/latest-news/energy-transition/022525-singapore-article-6-carbon-credit-tender-attracts-19-41mtco2e-price-offers" TargetMode="External"/><Relationship Id="rId30" Type="http://schemas.openxmlformats.org/officeDocument/2006/relationships/hyperlink" Target="https://environment.govt.nz/assets/publications/climate-change/Review-of-the-New-Zealand-Emissions-Trading-Scheme-Summary-of-Modelling.pdf" TargetMode="External"/><Relationship Id="rId8" Type="http://schemas.openxmlformats.org/officeDocument/2006/relationships/hyperlink" Target="https://www.beehive.govt.nz/release/government-reduces-forestry-ets-annual-charge-50-ce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github.com/theecanmole/nzu/blob/master/spotprices.csv" TargetMode="External"/><Relationship Id="rId2" Type="http://schemas.openxmlformats.org/officeDocument/2006/relationships/hyperlink" Target="https://environment.govt.nz/assets/publications/climate-change/nzets-nzu-surplus-advice.pdf" TargetMode="External"/><Relationship Id="rId1" Type="http://schemas.openxmlformats.org/officeDocument/2006/relationships/hyperlink" Target="https://environment.govt.nz/what-government-is-doing/areas-of-work/climate-change/ets/participating-in-the-nz-ets/overview-of-industrial-allocatio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https://climatechangegovt.sharepoint.com/sites/ETSUnitPrice22/Shared%20Documents/2025%20Advice/03.%20Analysis/02.%20Modelling%20&amp;%20data%20analysis/Unit%20Supply/CURRENT%20Unit%20Supply%20Model_Version%203_March%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'Reo Graph'!$A$31</c:f>
              <c:strCache>
                <c:ptCount val="1"/>
                <c:pt idx="0">
                  <c:v>Ngā rahinga hokohoko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'Reo Graph'!$B$31:$G$31</c:f>
              <c:numCache>
                <c:formatCode>#,##0.0_ ;[Red]\-#,##0.0\ </c:formatCode>
                <c:ptCount val="6"/>
                <c:pt idx="0">
                  <c:v>6</c:v>
                </c:pt>
                <c:pt idx="1">
                  <c:v>5.2</c:v>
                </c:pt>
                <c:pt idx="2">
                  <c:v>4.3</c:v>
                </c:pt>
                <c:pt idx="3">
                  <c:v>7</c:v>
                </c:pt>
                <c:pt idx="4">
                  <c:v>7</c:v>
                </c:pt>
                <c:pt idx="5">
                  <c:v>7</c:v>
                </c:pt>
              </c:numCache>
            </c:numRef>
          </c:val>
          <c:extLst>
            <c:ext xmlns:c16="http://schemas.microsoft.com/office/drawing/2014/chart" uri="{C3380CC4-5D6E-409C-BE32-E72D297353CC}">
              <c16:uniqueId val="{00000000-FB1B-4F1E-BCD5-F2BBD3E4E1CB}"/>
            </c:ext>
          </c:extLst>
        </c:ser>
        <c:ser>
          <c:idx val="2"/>
          <c:order val="2"/>
          <c:tx>
            <c:strRef>
              <c:f>'Reo Graph'!$A$32</c:f>
              <c:strCache>
                <c:ptCount val="1"/>
                <c:pt idx="0">
                  <c:v>Te tohanga utu kore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'Reo Graph'!$B$32:$G$32</c:f>
              <c:numCache>
                <c:formatCode>#,##0.0_ ;[Red]\-#,##0.0\ </c:formatCode>
                <c:ptCount val="6"/>
                <c:pt idx="0">
                  <c:v>5.1320717393568538</c:v>
                </c:pt>
                <c:pt idx="1">
                  <c:v>5.1490185565799056</c:v>
                </c:pt>
                <c:pt idx="2">
                  <c:v>5.0828568791305733</c:v>
                </c:pt>
                <c:pt idx="3">
                  <c:v>4.5507249875472429</c:v>
                </c:pt>
                <c:pt idx="4">
                  <c:v>4.4902458736849109</c:v>
                </c:pt>
                <c:pt idx="5">
                  <c:v>3.9751616728625798</c:v>
                </c:pt>
              </c:numCache>
            </c:numRef>
          </c:val>
          <c:extLst>
            <c:ext xmlns:c16="http://schemas.microsoft.com/office/drawing/2014/chart" uri="{C3380CC4-5D6E-409C-BE32-E72D297353CC}">
              <c16:uniqueId val="{00000001-FB1B-4F1E-BCD5-F2BBD3E4E1CB}"/>
            </c:ext>
          </c:extLst>
        </c:ser>
        <c:ser>
          <c:idx val="3"/>
          <c:order val="3"/>
          <c:tx>
            <c:strRef>
              <c:f>'Reo Graph'!$A$33</c:f>
              <c:strCache>
                <c:ptCount val="1"/>
                <c:pt idx="0">
                  <c:v>Te hemihemi</c:v>
                </c:pt>
              </c:strCache>
            </c:strRef>
          </c:tx>
          <c:spPr>
            <a:pattFill prst="wdUpDiag">
              <a:fgClr>
                <a:schemeClr val="accent6"/>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'Reo Graph'!$B$33:$G$33</c:f>
              <c:numCache>
                <c:formatCode>#,##0.0_ ;[Red]\-#,##0.0\ </c:formatCode>
                <c:ptCount val="6"/>
                <c:pt idx="0">
                  <c:v>15.050938986030154</c:v>
                </c:pt>
                <c:pt idx="1">
                  <c:v>12.873611146360373</c:v>
                </c:pt>
                <c:pt idx="2">
                  <c:v>11.441148886468966</c:v>
                </c:pt>
                <c:pt idx="3">
                  <c:v>6.0444179749528377</c:v>
                </c:pt>
                <c:pt idx="4">
                  <c:v>3.6223066632785663</c:v>
                </c:pt>
                <c:pt idx="5">
                  <c:v>1.6476247310188068</c:v>
                </c:pt>
              </c:numCache>
            </c:numRef>
          </c:val>
          <c:extLst>
            <c:ext xmlns:c16="http://schemas.microsoft.com/office/drawing/2014/chart" uri="{C3380CC4-5D6E-409C-BE32-E72D297353CC}">
              <c16:uniqueId val="{00000002-FB1B-4F1E-BCD5-F2BBD3E4E1CB}"/>
            </c:ext>
          </c:extLst>
        </c:ser>
        <c:dLbls>
          <c:showLegendKey val="0"/>
          <c:showVal val="0"/>
          <c:showCatName val="0"/>
          <c:showSerName val="0"/>
          <c:showPercent val="0"/>
          <c:showBubbleSize val="0"/>
        </c:dLbls>
        <c:gapWidth val="60"/>
        <c:overlap val="100"/>
        <c:axId val="168231935"/>
        <c:axId val="1718186096"/>
      </c:barChart>
      <c:lineChart>
        <c:grouping val="standard"/>
        <c:varyColors val="0"/>
        <c:ser>
          <c:idx val="0"/>
          <c:order val="0"/>
          <c:tx>
            <c:strRef>
              <c:f>'Reo Graph'!$A$30</c:f>
              <c:strCache>
                <c:ptCount val="1"/>
                <c:pt idx="0">
                  <c:v>Te taupoki NZ ETS</c:v>
                </c:pt>
              </c:strCache>
            </c:strRef>
          </c:tx>
          <c:spPr>
            <a:ln w="25400" cap="rnd">
              <a:solidFill>
                <a:schemeClr val="tx1"/>
              </a:solidFill>
              <a:prstDash val="dash"/>
              <a:round/>
            </a:ln>
            <a:effectLst/>
          </c:spPr>
          <c:marker>
            <c:symbol val="none"/>
          </c:marker>
          <c:cat>
            <c:numRef>
              <c:f>'Reo Graph'!$B$29:$G$29</c:f>
              <c:numCache>
                <c:formatCode>General</c:formatCode>
                <c:ptCount val="6"/>
                <c:pt idx="0">
                  <c:v>2025</c:v>
                </c:pt>
                <c:pt idx="1">
                  <c:v>2026</c:v>
                </c:pt>
                <c:pt idx="2">
                  <c:v>2027</c:v>
                </c:pt>
                <c:pt idx="3">
                  <c:v>2028</c:v>
                </c:pt>
                <c:pt idx="4">
                  <c:v>2029</c:v>
                </c:pt>
                <c:pt idx="5">
                  <c:v>2030</c:v>
                </c:pt>
              </c:numCache>
            </c:numRef>
          </c:cat>
          <c:val>
            <c:numRef>
              <c:f>'Reo Graph'!$B$30:$G$30</c:f>
              <c:numCache>
                <c:formatCode>#,##0.0_ ;[Red]\-#,##0.0\ </c:formatCode>
                <c:ptCount val="6"/>
                <c:pt idx="0">
                  <c:v>26.183010725387007</c:v>
                </c:pt>
                <c:pt idx="1">
                  <c:v>23.222629702940278</c:v>
                </c:pt>
                <c:pt idx="2">
                  <c:v>20.824005765599541</c:v>
                </c:pt>
                <c:pt idx="3">
                  <c:v>17.595142962500081</c:v>
                </c:pt>
                <c:pt idx="4">
                  <c:v>15.112552536963477</c:v>
                </c:pt>
                <c:pt idx="5">
                  <c:v>12.622786403881387</c:v>
                </c:pt>
              </c:numCache>
            </c:numRef>
          </c:val>
          <c:smooth val="0"/>
          <c:extLst>
            <c:ext xmlns:c16="http://schemas.microsoft.com/office/drawing/2014/chart" uri="{C3380CC4-5D6E-409C-BE32-E72D297353CC}">
              <c16:uniqueId val="{00000003-FB1B-4F1E-BCD5-F2BBD3E4E1CB}"/>
            </c:ext>
          </c:extLst>
        </c:ser>
        <c:dLbls>
          <c:showLegendKey val="0"/>
          <c:showVal val="0"/>
          <c:showCatName val="0"/>
          <c:showSerName val="0"/>
          <c:showPercent val="0"/>
          <c:showBubbleSize val="0"/>
        </c:dLbls>
        <c:marker val="1"/>
        <c:smooth val="0"/>
        <c:axId val="168231935"/>
        <c:axId val="1718186096"/>
      </c:lineChart>
      <c:catAx>
        <c:axId val="168231935"/>
        <c:scaling>
          <c:orientation val="minMax"/>
        </c:scaling>
        <c:delete val="0"/>
        <c:axPos val="b"/>
        <c:majorTickMark val="none"/>
        <c:minorTickMark val="none"/>
        <c:tickLblPos val="nextTo"/>
        <c:spPr>
          <a:noFill/>
          <a:ln w="12700" cap="flat" cmpd="sng" algn="ctr">
            <a:solidFill>
              <a:srgbClr val="A6C0CB"/>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1718186096"/>
        <c:crosses val="autoZero"/>
        <c:auto val="1"/>
        <c:lblAlgn val="ctr"/>
        <c:lblOffset val="100"/>
        <c:noMultiLvlLbl val="0"/>
      </c:catAx>
      <c:valAx>
        <c:axId val="1718186096"/>
        <c:scaling>
          <c:orientation val="minMax"/>
        </c:scaling>
        <c:delete val="0"/>
        <c:axPos val="l"/>
        <c:majorGridlines>
          <c:spPr>
            <a:ln w="6350" cap="flat" cmpd="sng" algn="ctr">
              <a:solidFill>
                <a:srgbClr val="A6C0CB"/>
              </a:solidFill>
              <a:round/>
            </a:ln>
            <a:effectLst/>
          </c:spPr>
        </c:majorGridlines>
        <c:title>
          <c:tx>
            <c:rich>
              <a:bodyPr rot="-5400000" spcFirstLastPara="1" vertOverflow="ellipsis" vert="horz" wrap="square" anchor="ctr" anchorCtr="1"/>
              <a:lstStyle/>
              <a:p>
                <a:pPr>
                  <a:defRPr sz="900" b="1" i="0" u="none" strike="noStrike" kern="1200" baseline="0">
                    <a:solidFill>
                      <a:schemeClr val="accent1"/>
                    </a:solidFill>
                    <a:latin typeface="+mn-lt"/>
                    <a:ea typeface="+mn-ea"/>
                    <a:cs typeface="+mn-cs"/>
                  </a:defRPr>
                </a:pPr>
                <a:r>
                  <a:rPr lang="en-US" sz="900" b="1">
                    <a:solidFill>
                      <a:schemeClr val="accent1"/>
                    </a:solidFill>
                  </a:rPr>
                  <a:t>NZU (ngā miriona)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en-US"/>
            </a:p>
          </c:txPr>
        </c:title>
        <c:numFmt formatCode="#,##0_ ;[Red]\-#,##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168231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0.54163</cdr:x>
      <cdr:y>0.04082</cdr:y>
    </cdr:from>
    <cdr:to>
      <cdr:x>0.54163</cdr:x>
      <cdr:y>0.84251</cdr:y>
    </cdr:to>
    <cdr:cxnSp macro="">
      <cdr:nvCxnSpPr>
        <cdr:cNvPr id="3" name="Straight Connector 2">
          <a:extLst xmlns:a="http://schemas.openxmlformats.org/drawingml/2006/main">
            <a:ext uri="{FF2B5EF4-FFF2-40B4-BE49-F238E27FC236}">
              <a16:creationId xmlns:a16="http://schemas.microsoft.com/office/drawing/2014/main" id="{8A5524C2-BD85-4BF4-E348-BA88116EA13F}"/>
            </a:ext>
          </a:extLst>
        </cdr:cNvPr>
        <cdr:cNvCxnSpPr/>
      </cdr:nvCxnSpPr>
      <cdr:spPr>
        <a:xfrm xmlns:a="http://schemas.openxmlformats.org/drawingml/2006/main" flipV="1">
          <a:off x="3106510" y="146958"/>
          <a:ext cx="0" cy="2886075"/>
        </a:xfrm>
        <a:prstGeom xmlns:a="http://schemas.openxmlformats.org/drawingml/2006/main" prst="line">
          <a:avLst/>
        </a:prstGeom>
        <a:ln xmlns:a="http://schemas.openxmlformats.org/drawingml/2006/main" w="19050">
          <a:solidFill>
            <a:schemeClr val="accent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0.57997</cdr:x>
      <cdr:y>0.19163</cdr:y>
    </cdr:from>
    <cdr:to>
      <cdr:x>0.95247</cdr:x>
      <cdr:y>0.26733</cdr:y>
    </cdr:to>
    <cdr:sp macro="" textlink="">
      <cdr:nvSpPr>
        <cdr:cNvPr id="4" name="TextBox 3">
          <a:extLst xmlns:a="http://schemas.openxmlformats.org/drawingml/2006/main">
            <a:ext uri="{FF2B5EF4-FFF2-40B4-BE49-F238E27FC236}">
              <a16:creationId xmlns:a16="http://schemas.microsoft.com/office/drawing/2014/main" id="{2F9B1D26-770B-1C8D-2874-E65D23CF31EC}"/>
            </a:ext>
          </a:extLst>
        </cdr:cNvPr>
        <cdr:cNvSpPr txBox="1"/>
      </cdr:nvSpPr>
      <cdr:spPr>
        <a:xfrm xmlns:a="http://schemas.openxmlformats.org/drawingml/2006/main">
          <a:off x="3546929" y="645801"/>
          <a:ext cx="2278054" cy="255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b="0">
              <a:solidFill>
                <a:schemeClr val="accent1"/>
              </a:solidFill>
            </a:rPr>
            <a:t>Ngā panonitanga rahinga tauhoko</a:t>
          </a:r>
          <a:r>
            <a:rPr lang="en-NZ" sz="1000" b="1">
              <a:solidFill>
                <a:schemeClr val="accent1"/>
              </a:solidFil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CC colour template">
    <a:dk1>
      <a:sysClr val="windowText" lastClr="000000"/>
    </a:dk1>
    <a:lt1>
      <a:sysClr val="window" lastClr="FFFFFF"/>
    </a:lt1>
    <a:dk2>
      <a:srgbClr val="44546A"/>
    </a:dk2>
    <a:lt2>
      <a:srgbClr val="E7E6E6"/>
    </a:lt2>
    <a:accent1>
      <a:srgbClr val="003A5D"/>
    </a:accent1>
    <a:accent2>
      <a:srgbClr val="00ACD3"/>
    </a:accent2>
    <a:accent3>
      <a:srgbClr val="5BC4BE"/>
    </a:accent3>
    <a:accent4>
      <a:srgbClr val="6AC17B"/>
    </a:accent4>
    <a:accent5>
      <a:srgbClr val="EF4D7F"/>
    </a:accent5>
    <a:accent6>
      <a:srgbClr val="FAA74A"/>
    </a:accent6>
    <a:hlink>
      <a:srgbClr val="9E76B4"/>
    </a:hlink>
    <a:folHlink>
      <a:srgbClr val="0060A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963e69f-3f58-4e6f-b74a-87e86ca2e125">ZRPJAS3TEE2M-297491816-2408</_dlc_DocId>
    <_dlc_DocIdUrl xmlns="e963e69f-3f58-4e6f-b74a-87e86ca2e125">
      <Url>https://climatechangegovt.sharepoint.com/sites/ETSUnitPrice22/_layouts/15/DocIdRedir.aspx?ID=ZRPJAS3TEE2M-297491816-2408</Url>
      <Description>ZRPJAS3TEE2M-297491816-2408</Description>
    </_dlc_DocIdUrl>
    <TaxCatchAll xmlns="e963e69f-3f58-4e6f-b74a-87e86ca2e125" xsi:nil="true"/>
    <lcf76f155ced4ddcb4097134ff3c332f xmlns="987bcd1d-e1f1-4f53-92ab-ce8c6eb15727">
      <Terms xmlns="http://schemas.microsoft.com/office/infopath/2007/PartnerControls"/>
    </lcf76f155ced4ddcb4097134ff3c332f>
    <LegacyMetadata xmlns="b30672e7-690a-4c93-a50a-a028bc8f475d" xsi:nil="true"/>
    <Channel xmlns="b30672e7-690a-4c93-a50a-a028bc8f475d" xsi:nil="true"/>
    <OTModifiedBy xmlns="b30672e7-690a-4c93-a50a-a028bc8f475d" xsi:nil="true"/>
    <Activity xmlns="70761194-623b-4751-a0da-29ad6551f95e">Advice</Activity>
    <Function xmlns="70761194-623b-4751-a0da-29ad6551f95e">Programmes and Projects</Function>
    <PraText1 xmlns="a9df0e0e-9b5b-47bc-81c1-d190dfb54f87" xsi:nil="true"/>
    <Year xmlns="70761194-623b-4751-a0da-29ad6551f95e" xsi:nil="true"/>
    <CategoryName xmlns="70761194-623b-4751-a0da-29ad6551f95e">04. Report</CategoryName>
    <CategoryValue xmlns="70761194-623b-4751-a0da-29ad6551f95e" xsi:nil="true"/>
    <AggregationStatus xmlns="a9df0e0e-9b5b-47bc-81c1-d190dfb54f87">Normal</AggregationStatus>
    <Narrative xmlns="a9df0e0e-9b5b-47bc-81c1-d190dfb54f87" xsi:nil="true"/>
    <PraText5 xmlns="a9df0e0e-9b5b-47bc-81c1-d190dfb54f87" xsi:nil="true"/>
    <PRAType xmlns="70761194-623b-4751-a0da-29ad6551f95e" xsi:nil="true"/>
    <PraDate3 xmlns="a9df0e0e-9b5b-47bc-81c1-d190dfb54f87" xsi:nil="true"/>
    <PraDateTrigger xmlns="a9df0e0e-9b5b-47bc-81c1-d190dfb54f87" xsi:nil="true"/>
    <Project xmlns="70761194-623b-4751-a0da-29ad6551f95e" xsi:nil="true"/>
    <PraText4 xmlns="a9df0e0e-9b5b-47bc-81c1-d190dfb54f87" xsi:nil="true"/>
    <Subactivity xmlns="70761194-623b-4751-a0da-29ad6551f95e">2025 Advice</Subactivity>
    <PraDateDisposal xmlns="a9df0e0e-9b5b-47bc-81c1-d190dfb54f87" xsi:nil="true"/>
    <PraDate2 xmlns="a9df0e0e-9b5b-47bc-81c1-d190dfb54f87" xsi:nil="true"/>
    <PraText3 xmlns="a9df0e0e-9b5b-47bc-81c1-d190dfb54f87" xsi:nil="true"/>
    <DocumentType xmlns="02bffcbe-7cf8-467d-a91b-a3e0dbcae01e" xsi:nil="true"/>
    <AggregationNarrative xmlns="70761194-623b-4751-a0da-29ad6551f95e" xsi:nil="true"/>
    <Case xmlns="70761194-623b-4751-a0da-29ad6551f95e">ETS Unit and Price Settings</Case>
    <OTDocID xmlns="b30672e7-690a-4c93-a50a-a028bc8f475d" xsi:nil="true"/>
    <OTCreatedBy xmlns="b30672e7-690a-4c93-a50a-a028bc8f475d" xsi:nil="true"/>
    <PraDate1 xmlns="a9df0e0e-9b5b-47bc-81c1-d190dfb54f87" xsi:nil="true"/>
    <PraText2 xmlns="a9df0e0e-9b5b-47bc-81c1-d190dfb54f87" xsi:nil="true"/>
    <Expectation xmlns="987bcd1d-e1f1-4f53-92ab-ce8c6eb1572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ocument" ma:contentTypeID="0x010100EDD070CD8C3B1241AF2B72868218A723" ma:contentTypeVersion="164" ma:contentTypeDescription="Create a new document." ma:contentTypeScope="" ma:versionID="778a83b86ddc45f787996ec26184b5b6">
  <xsd:schema xmlns:xsd="http://www.w3.org/2001/XMLSchema" xmlns:xs="http://www.w3.org/2001/XMLSchema" xmlns:p="http://schemas.microsoft.com/office/2006/metadata/properties" xmlns:ns2="e963e69f-3f58-4e6f-b74a-87e86ca2e125" xmlns:ns3="02bffcbe-7cf8-467d-a91b-a3e0dbcae01e" xmlns:ns4="a9df0e0e-9b5b-47bc-81c1-d190dfb54f87" xmlns:ns5="b30672e7-690a-4c93-a50a-a028bc8f475d" xmlns:ns6="70761194-623b-4751-a0da-29ad6551f95e" xmlns:ns7="987bcd1d-e1f1-4f53-92ab-ce8c6eb15727" targetNamespace="http://schemas.microsoft.com/office/2006/metadata/properties" ma:root="true" ma:fieldsID="30caeeb8509e744b18fbc02212b6cac4" ns2:_="" ns3:_="" ns4:_="" ns5:_="" ns6:_="" ns7:_="">
    <xsd:import namespace="e963e69f-3f58-4e6f-b74a-87e86ca2e125"/>
    <xsd:import namespace="02bffcbe-7cf8-467d-a91b-a3e0dbcae01e"/>
    <xsd:import namespace="a9df0e0e-9b5b-47bc-81c1-d190dfb54f87"/>
    <xsd:import namespace="b30672e7-690a-4c93-a50a-a028bc8f475d"/>
    <xsd:import namespace="70761194-623b-4751-a0da-29ad6551f95e"/>
    <xsd:import namespace="987bcd1d-e1f1-4f53-92ab-ce8c6eb157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Narrative" minOccurs="0"/>
                <xsd:element ref="ns5:OTDocID" minOccurs="0"/>
                <xsd:element ref="ns5:OTModifiedBy" minOccurs="0"/>
                <xsd:element ref="ns5:LegacyMetadata" minOccurs="0"/>
                <xsd:element ref="ns5:OTCreatedBy" minOccurs="0"/>
                <xsd:element ref="ns4:PraText3" minOccurs="0"/>
                <xsd:element ref="ns4:PraText4" minOccurs="0"/>
                <xsd:element ref="ns4:PraText5" minOccurs="0"/>
                <xsd:element ref="ns4:PraDate1" minOccurs="0"/>
                <xsd:element ref="ns4:PraDate2" minOccurs="0"/>
                <xsd:element ref="ns4:PraDate3" minOccurs="0"/>
                <xsd:element ref="ns4:PraDateTrigger" minOccurs="0"/>
                <xsd:element ref="ns4:PraDateDisposal" minOccurs="0"/>
                <xsd:element ref="ns6:Activity" minOccurs="0"/>
                <xsd:element ref="ns6:Function" minOccurs="0"/>
                <xsd:element ref="ns6:Subactivity" minOccurs="0"/>
                <xsd:element ref="ns6:Year" minOccurs="0"/>
                <xsd:element ref="ns6:Project" minOccurs="0"/>
                <xsd:element ref="ns6:AggregationNarrative" minOccurs="0"/>
                <xsd:element ref="ns6:Case" minOccurs="0"/>
                <xsd:element ref="ns6:CategoryName" minOccurs="0"/>
                <xsd:element ref="ns6:CategoryValue" minOccurs="0"/>
                <xsd:element ref="ns4:PraText1" minOccurs="0"/>
                <xsd:element ref="ns4:PraText2" minOccurs="0"/>
                <xsd:element ref="ns6:PRAType" minOccurs="0"/>
                <xsd:element ref="ns4:AggregationStatus" minOccurs="0"/>
                <xsd:element ref="ns5:Channel" minOccurs="0"/>
                <xsd:element ref="ns7:MediaServiceMetadata" minOccurs="0"/>
                <xsd:element ref="ns7:MediaServiceFastMetadata" minOccurs="0"/>
                <xsd:element ref="ns7:MediaServiceAutoKeyPoints" minOccurs="0"/>
                <xsd:element ref="ns7:MediaServiceKeyPoints" minOccurs="0"/>
                <xsd:element ref="ns2:SharedWithUsers" minOccurs="0"/>
                <xsd:element ref="ns2:SharedWithDetails" minOccurs="0"/>
                <xsd:element ref="ns7:MediaServiceDateTaken" minOccurs="0"/>
                <xsd:element ref="ns7:MediaLengthInSeconds" minOccurs="0"/>
                <xsd:element ref="ns7:MediaServiceObjectDetectorVersions" minOccurs="0"/>
                <xsd:element ref="ns7:MediaServiceSearchProperties" minOccurs="0"/>
                <xsd:element ref="ns7:MediaServiceLocation" minOccurs="0"/>
                <xsd:element ref="ns7:MediaServiceGenerationTime" minOccurs="0"/>
                <xsd:element ref="ns7:MediaServiceEventHashCode" minOccurs="0"/>
                <xsd:element ref="ns7:lcf76f155ced4ddcb4097134ff3c332f" minOccurs="0"/>
                <xsd:element ref="ns2:TaxCatchAll" minOccurs="0"/>
                <xsd:element ref="ns7:MediaServiceOCR" minOccurs="0"/>
                <xsd:element ref="ns7:Expect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63e69f-3f58-4e6f-b74a-87e86ca2e12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element name="TaxCatchAll" ma:index="54" nillable="true" ma:displayName="Taxonomy Catch All Column" ma:hidden="true" ma:list="{efad8709-ae55-4347-b905-7e7cf6e9434f}" ma:internalName="TaxCatchAll" ma:showField="CatchAllData" ma:web="e963e69f-3f58-4e6f-b74a-87e86ca2e1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bffcbe-7cf8-467d-a91b-a3e0dbcae01e" elementFormDefault="qualified">
    <xsd:import namespace="http://schemas.microsoft.com/office/2006/documentManagement/types"/>
    <xsd:import namespace="http://schemas.microsoft.com/office/infopath/2007/PartnerControls"/>
    <xsd:element name="DocumentType" ma:index="11" nillable="true" ma:displayName="Document Type" ma:description="Specify the document type to help refine search and to classify the document" ma:format="Dropdown" ma:internalName="DocumentType" ma:readOnly="false">
      <xsd:simpleType>
        <xsd:restriction base="dms:Choice">
          <xsd:enumeration value="APPLICATION, certificate, consent related"/>
          <xsd:enumeration value="CONTRACT, Variation, Agreement"/>
          <xsd:enumeration value="CORRESPONDENCE, Memo, Filenote, Email"/>
          <xsd:enumeration value="DRAWING, Plan, Map"/>
          <xsd:enumeration value="EMPLOYMENT related"/>
          <xsd:enumeration value="FINANCIAL related"/>
          <xsd:enumeration value="KNOWLEDGE article"/>
          <xsd:enumeration value="MEETING related"/>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schema>
  <xsd:schema xmlns:xsd="http://www.w3.org/2001/XMLSchema" xmlns:xs="http://www.w3.org/2001/XMLSchema" xmlns:dms="http://schemas.microsoft.com/office/2006/documentManagement/types" xmlns:pc="http://schemas.microsoft.com/office/infopath/2007/PartnerControls" targetNamespace="a9df0e0e-9b5b-47bc-81c1-d190dfb54f87" elementFormDefault="qualified">
    <xsd:import namespace="http://schemas.microsoft.com/office/2006/documentManagement/types"/>
    <xsd:import namespace="http://schemas.microsoft.com/office/infopath/2007/PartnerControls"/>
    <xsd:element name="Narrative" ma:index="12" nillable="true" ma:displayName="Narrative" ma:internalName="Narrative0" ma:readOnly="false">
      <xsd:simpleType>
        <xsd:restriction base="dms:Note">
          <xsd:maxLength value="255"/>
        </xsd:restriction>
      </xsd:simpleType>
    </xsd:element>
    <xsd:element name="PraText3" ma:index="17" nillable="true" ma:displayName="PRA Text 3" ma:hidden="true" ma:internalName="PraText30" ma:readOnly="false">
      <xsd:simpleType>
        <xsd:restriction base="dms:Text">
          <xsd:maxLength value="255"/>
        </xsd:restriction>
      </xsd:simpleType>
    </xsd:element>
    <xsd:element name="PraText4" ma:index="18" nillable="true" ma:displayName="PRA Text 4" ma:hidden="true" ma:internalName="PraText40" ma:readOnly="false">
      <xsd:simpleType>
        <xsd:restriction base="dms:Text">
          <xsd:maxLength value="255"/>
        </xsd:restriction>
      </xsd:simpleType>
    </xsd:element>
    <xsd:element name="PraText5" ma:index="19" nillable="true" ma:displayName="PRA Text 5" ma:hidden="true" ma:internalName="PraText50" ma:readOnly="false">
      <xsd:simpleType>
        <xsd:restriction base="dms:Text">
          <xsd:maxLength value="255"/>
        </xsd:restriction>
      </xsd:simpleType>
    </xsd:element>
    <xsd:element name="PraDate1" ma:index="20" nillable="true" ma:displayName="PRA Date 1" ma:format="DateTime" ma:hidden="true" ma:internalName="PraDate1" ma:readOnly="false">
      <xsd:simpleType>
        <xsd:restriction base="dms:DateTime"/>
      </xsd:simpleType>
    </xsd:element>
    <xsd:element name="PraDate2" ma:index="21" nillable="true" ma:displayName="PRA Date 2" ma:format="DateTime" ma:hidden="true" ma:internalName="PraDate2" ma:readOnly="false">
      <xsd:simpleType>
        <xsd:restriction base="dms:DateTime"/>
      </xsd:simpleType>
    </xsd:element>
    <xsd:element name="PraDate3" ma:index="22" nillable="true" ma:displayName="PRA Date 3" ma:format="DateTime" ma:hidden="true" ma:internalName="PraDate3" ma:readOnly="false">
      <xsd:simpleType>
        <xsd:restriction base="dms:DateTime"/>
      </xsd:simpleType>
    </xsd:element>
    <xsd:element name="PraDateTrigger" ma:index="23" nillable="true" ma:displayName="PRA Date Trigger" ma:format="DateTime" ma:hidden="true" ma:internalName="PraDateTrigger" ma:readOnly="false">
      <xsd:simpleType>
        <xsd:restriction base="dms:DateTime"/>
      </xsd:simpleType>
    </xsd:element>
    <xsd:element name="PraDateDisposal" ma:index="24" nillable="true" ma:displayName="PRA Date Disposal" ma:format="DateTime" ma:hidden="true" ma:internalName="PraDateDisposal0" ma:readOnly="false">
      <xsd:simpleType>
        <xsd:restriction base="dms:DateTime"/>
      </xsd:simpleType>
    </xsd:element>
    <xsd:element name="PraText1" ma:index="34" nillable="true" ma:displayName="PRA Text 1" ma:hidden="true" ma:internalName="PraText10" ma:readOnly="false">
      <xsd:simpleType>
        <xsd:restriction base="dms:Text">
          <xsd:maxLength value="255"/>
        </xsd:restriction>
      </xsd:simpleType>
    </xsd:element>
    <xsd:element name="PraText2" ma:index="35" nillable="true" ma:displayName="PRA Text 2" ma:hidden="true" ma:internalName="PraText20" ma:readOnly="false">
      <xsd:simpleType>
        <xsd:restriction base="dms:Text">
          <xsd:maxLength value="255"/>
        </xsd:restriction>
      </xsd:simpleType>
    </xsd:element>
    <xsd:element name="AggregationStatus" ma:index="37" nillable="true" ma:displayName="Aggregation Status" ma:default="Normal" ma:format="Dropdown" ma:hidden="true" ma:internalName="AggregationStatus0"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schema>
  <xsd:schema xmlns:xsd="http://www.w3.org/2001/XMLSchema" xmlns:xs="http://www.w3.org/2001/XMLSchema" xmlns:dms="http://schemas.microsoft.com/office/2006/documentManagement/types" xmlns:pc="http://schemas.microsoft.com/office/infopath/2007/PartnerControls" targetNamespace="b30672e7-690a-4c93-a50a-a028bc8f475d" elementFormDefault="qualified">
    <xsd:import namespace="http://schemas.microsoft.com/office/2006/documentManagement/types"/>
    <xsd:import namespace="http://schemas.microsoft.com/office/infopath/2007/PartnerControls"/>
    <xsd:element name="OTDocID" ma:index="13" nillable="true" ma:displayName="OTDocID" ma:internalName="OTDocID" ma:readOnly="false">
      <xsd:simpleType>
        <xsd:restriction base="dms:Text">
          <xsd:maxLength value="255"/>
        </xsd:restriction>
      </xsd:simpleType>
    </xsd:element>
    <xsd:element name="OTModifiedBy" ma:index="14" nillable="true" ma:displayName="OTModifiedBy" ma:internalName="OTModifiedBy" ma:readOnly="false">
      <xsd:simpleType>
        <xsd:restriction base="dms:Text">
          <xsd:maxLength value="255"/>
        </xsd:restriction>
      </xsd:simpleType>
    </xsd:element>
    <xsd:element name="LegacyMetadata" ma:index="15" nillable="true" ma:displayName="LegacyMetadata" ma:internalName="LegacyMetadata" ma:readOnly="false">
      <xsd:simpleType>
        <xsd:restriction base="dms:Note">
          <xsd:maxLength value="255"/>
        </xsd:restriction>
      </xsd:simpleType>
    </xsd:element>
    <xsd:element name="OTCreatedBy" ma:index="16" nillable="true" ma:displayName="OTCreatedBy" ma:internalName="OTCreatedBy" ma:readOnly="false">
      <xsd:simpleType>
        <xsd:restriction base="dms:Text">
          <xsd:maxLength value="255"/>
        </xsd:restriction>
      </xsd:simpleType>
    </xsd:element>
    <xsd:element name="Channel" ma:index="38" nillable="true" ma:displayName="Channel" ma:hidden="true" ma:internalName="Chann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761194-623b-4751-a0da-29ad6551f95e" elementFormDefault="qualified">
    <xsd:import namespace="http://schemas.microsoft.com/office/2006/documentManagement/types"/>
    <xsd:import namespace="http://schemas.microsoft.com/office/infopath/2007/PartnerControls"/>
    <xsd:element name="Activity" ma:index="25" nillable="true" ma:displayName="Activity" ma:default="Advice" ma:format="Dropdown" ma:hidden="true" ma:internalName="Activity" ma:readOnly="false">
      <xsd:simpleType>
        <xsd:union memberTypes="dms:Text">
          <xsd:simpleType>
            <xsd:restriction base="dms:Choice">
              <xsd:enumeration value="Advice"/>
            </xsd:restriction>
          </xsd:simpleType>
        </xsd:union>
      </xsd:simpleType>
    </xsd:element>
    <xsd:element name="Function" ma:index="26" nillable="true" ma:displayName="Function" ma:default="Programmes and Projects" ma:format="Dropdown" ma:hidden="true" ma:internalName="Function" ma:readOnly="false">
      <xsd:simpleType>
        <xsd:union memberTypes="dms:Text">
          <xsd:simpleType>
            <xsd:restriction base="dms:Choice">
              <xsd:enumeration value="Programmes and Projects"/>
            </xsd:restriction>
          </xsd:simpleType>
        </xsd:union>
      </xsd:simpleType>
    </xsd:element>
    <xsd:element name="Subactivity" ma:index="27" nillable="true" ma:displayName="Subactivity" ma:default="NA" ma:hidden="true" ma:internalName="Subactivity" ma:readOnly="false">
      <xsd:simpleType>
        <xsd:restriction base="dms:Text">
          <xsd:maxLength value="255"/>
        </xsd:restriction>
      </xsd:simpleType>
    </xsd:element>
    <xsd:element name="Year" ma:index="28" nillable="true" ma:displayName="Year" ma:format="Dropdown" ma:hidden="true" ma:internalName="Year" ma:readOnly="false">
      <xsd:simpleType>
        <xsd:restriction base="dms:Choice">
          <xsd:enumeration value="2019"/>
          <xsd:enumeration value="2020"/>
          <xsd:enumeration value="2021"/>
          <xsd:enumeration value="2022"/>
          <xsd:enumeration value="2023"/>
        </xsd:restriction>
      </xsd:simpleType>
    </xsd:element>
    <xsd:element name="Project" ma:index="29" nillable="true" ma:displayName="Project" ma:hidden="true" ma:internalName="Project" ma:readOnly="false">
      <xsd:simpleType>
        <xsd:restriction base="dms:Text">
          <xsd:maxLength value="255"/>
        </xsd:restriction>
      </xsd:simpleType>
    </xsd:element>
    <xsd:element name="AggregationNarrative" ma:index="30" nillable="true" ma:displayName="Aggregation Narrative" ma:hidden="true" ma:internalName="AggregationNarrative" ma:readOnly="false">
      <xsd:simpleType>
        <xsd:restriction base="dms:Text">
          <xsd:maxLength value="255"/>
        </xsd:restriction>
      </xsd:simpleType>
    </xsd:element>
    <xsd:element name="Case" ma:index="31" nillable="true" ma:displayName="Case" ma:default="ETS Unit and Price Settings" ma:format="Dropdown" ma:hidden="true" ma:internalName="Case" ma:readOnly="false">
      <xsd:simpleType>
        <xsd:restriction base="dms:Choice">
          <xsd:enumeration value="ETS Unit and Price Settings"/>
        </xsd:restriction>
      </xsd:simpleType>
    </xsd:element>
    <xsd:element name="CategoryName" ma:index="32" nillable="true" ma:displayName="Category" ma:default="NA" ma:hidden="true" ma:internalName="CategoryName" ma:readOnly="false">
      <xsd:simpleType>
        <xsd:restriction base="dms:Text">
          <xsd:maxLength value="255"/>
        </xsd:restriction>
      </xsd:simpleType>
    </xsd:element>
    <xsd:element name="CategoryValue" ma:index="33" nillable="true" ma:displayName="Category Value" ma:hidden="true" ma:internalName="CategoryValue" ma:readOnly="false">
      <xsd:simpleType>
        <xsd:restriction base="dms:Text">
          <xsd:maxLength value="255"/>
        </xsd:restriction>
      </xsd:simpleType>
    </xsd:element>
    <xsd:element name="PRAType" ma:index="36" nillable="true" ma:displayName="PRA Type" ma:hidden="true" ma:internalName="PRATyp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7bcd1d-e1f1-4f53-92ab-ce8c6eb15727" elementFormDefault="qualified">
    <xsd:import namespace="http://schemas.microsoft.com/office/2006/documentManagement/types"/>
    <xsd:import namespace="http://schemas.microsoft.com/office/infopath/2007/PartnerControls"/>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DateTaken" ma:index="45" nillable="true" ma:displayName="MediaServiceDateTaken" ma:hidden="true" ma:internalName="MediaServiceDateTaken" ma:readOnly="true">
      <xsd:simpleType>
        <xsd:restriction base="dms:Text"/>
      </xsd:simpleType>
    </xsd:element>
    <xsd:element name="MediaLengthInSeconds" ma:index="46" nillable="true" ma:displayName="MediaLengthInSeconds" ma:hidden="true" ma:internalName="MediaLengthInSeconds" ma:readOnly="true">
      <xsd:simpleType>
        <xsd:restriction base="dms:Unknown"/>
      </xsd:simpleType>
    </xsd:element>
    <xsd:element name="MediaServiceObjectDetectorVersions" ma:index="47" nillable="true" ma:displayName="MediaServiceObjectDetectorVersions"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element name="MediaServiceLocation" ma:index="49" nillable="true" ma:displayName="Location" ma:indexed="true" ma:internalName="MediaServiceLocation"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c284cdd8-0240-42f9-af2b-4d59cbd29a82" ma:termSetId="09814cd3-568e-fe90-9814-8d621ff8fb84" ma:anchorId="fba54fb3-c3e1-fe81-a776-ca4b69148c4d" ma:open="true" ma:isKeyword="false">
      <xsd:complexType>
        <xsd:sequence>
          <xsd:element ref="pc:Terms" minOccurs="0" maxOccurs="1"/>
        </xsd:sequence>
      </xsd:complexType>
    </xsd:element>
    <xsd:element name="MediaServiceOCR" ma:index="55" nillable="true" ma:displayName="Extracted Text" ma:internalName="MediaServiceOCR" ma:readOnly="true">
      <xsd:simpleType>
        <xsd:restriction base="dms:Note">
          <xsd:maxLength value="255"/>
        </xsd:restriction>
      </xsd:simpleType>
    </xsd:element>
    <xsd:element name="Expectation" ma:index="56" nillable="true" ma:displayName="QA/QC Expectation" ma:format="Dropdown" ma:internalName="Expectation">
      <xsd:complexType>
        <xsd:complexContent>
          <xsd:extension base="dms:MultiChoice">
            <xsd:sequence>
              <xsd:element name="Value" maxOccurs="unbounded" minOccurs="0" nillable="true">
                <xsd:simpleType>
                  <xsd:restriction base="dms:Choice">
                    <xsd:enumeration value="1. Our outputs meet the Board's approved scope"/>
                    <xsd:enumeration value="2. Our outputs address the required matters"/>
                    <xsd:enumeration value="3. We understand the broader context"/>
                    <xsd:enumeration value="4. Our outputs reflect we follow the proper delegations process"/>
                    <xsd:enumeration value="5. Our outputs reflect the Board approval of recommendations, findings, key messages, and advice"/>
                    <xsd:enumeration value="6. Our outputs consider the Crown-Māori relationship, te ao Māori, and specific effects on iwi and Māori"/>
                    <xsd:enumeration value="7. Our outputs are well evidenced"/>
                    <xsd:enumeration value="8. We follow the relevant approved methodology"/>
                    <xsd:enumeration value="9. Our outputs are compelling, clearly written and accessible"/>
                    <xsd:enumeration value="10. We respect and utilise the expertise of staff and Commissioners"/>
                    <xsd:enumeration value="11. Our reasoning is robust, and our process and reasoning are clearly explained"/>
                    <xsd:enumeration value="12. Our approach is externally tested or reviewed where appropriate (i.e., calculations)."/>
                    <xsd:enumeration value="13. We engage and consult adequately"/>
                    <xsd:enumeration value="14. When we engage, we treat stakeholders and iwi/Māori with respect and understand and consider stakeholders' and iwi/Māori views and input. The value of our engagement with iwi/Māori and/or stakeholders is demonstrated in our advice/outputs."/>
                    <xsd:enumeration value="15. Our data is openly available"/>
                    <xsd:enumeration value="16. We manage strategic risks"/>
                    <xsd:enumeration value="17. We manage conflicts of interest"/>
                    <xsd:enumeration value="18. We follow approved QA/QC processe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0C9EAE-AD6B-407F-B572-21089C3C6A4E}">
  <ds:schemaRefs>
    <ds:schemaRef ds:uri="http://schemas.microsoft.com/office/2006/metadata/properties"/>
    <ds:schemaRef ds:uri="http://schemas.microsoft.com/office/infopath/2007/PartnerControls"/>
    <ds:schemaRef ds:uri="e963e69f-3f58-4e6f-b74a-87e86ca2e125"/>
    <ds:schemaRef ds:uri="987bcd1d-e1f1-4f53-92ab-ce8c6eb15727"/>
    <ds:schemaRef ds:uri="b30672e7-690a-4c93-a50a-a028bc8f475d"/>
    <ds:schemaRef ds:uri="70761194-623b-4751-a0da-29ad6551f95e"/>
    <ds:schemaRef ds:uri="a9df0e0e-9b5b-47bc-81c1-d190dfb54f87"/>
    <ds:schemaRef ds:uri="02bffcbe-7cf8-467d-a91b-a3e0dbcae01e"/>
  </ds:schemaRefs>
</ds:datastoreItem>
</file>

<file path=customXml/itemProps2.xml><?xml version="1.0" encoding="utf-8"?>
<ds:datastoreItem xmlns:ds="http://schemas.openxmlformats.org/officeDocument/2006/customXml" ds:itemID="{8D887776-6B1F-4E99-9B0E-166B58459E29}">
  <ds:schemaRefs>
    <ds:schemaRef ds:uri="http://schemas.openxmlformats.org/officeDocument/2006/bibliography"/>
  </ds:schemaRefs>
</ds:datastoreItem>
</file>

<file path=customXml/itemProps3.xml><?xml version="1.0" encoding="utf-8"?>
<ds:datastoreItem xmlns:ds="http://schemas.openxmlformats.org/officeDocument/2006/customXml" ds:itemID="{10C58ACD-95BF-4871-90F7-E3F54976DC64}">
  <ds:schemaRefs>
    <ds:schemaRef ds:uri="http://schemas.microsoft.com/sharepoint/v3/contenttype/forms"/>
  </ds:schemaRefs>
</ds:datastoreItem>
</file>

<file path=customXml/itemProps4.xml><?xml version="1.0" encoding="utf-8"?>
<ds:datastoreItem xmlns:ds="http://schemas.openxmlformats.org/officeDocument/2006/customXml" ds:itemID="{A1F1B0C2-2F75-4CFF-9AE6-16FB51EC3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63e69f-3f58-4e6f-b74a-87e86ca2e125"/>
    <ds:schemaRef ds:uri="02bffcbe-7cf8-467d-a91b-a3e0dbcae01e"/>
    <ds:schemaRef ds:uri="a9df0e0e-9b5b-47bc-81c1-d190dfb54f87"/>
    <ds:schemaRef ds:uri="b30672e7-690a-4c93-a50a-a028bc8f475d"/>
    <ds:schemaRef ds:uri="70761194-623b-4751-a0da-29ad6551f95e"/>
    <ds:schemaRef ds:uri="987bcd1d-e1f1-4f53-92ab-ce8c6eb15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90E1AE-6637-4865-8CAD-D9BA5B55C95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83</Pages>
  <Words>25582</Words>
  <Characters>145824</Characters>
  <Application>Microsoft Office Word</Application>
  <DocSecurity>0</DocSecurity>
  <Lines>1215</Lines>
  <Paragraphs>342</Paragraphs>
  <ScaleCrop>false</ScaleCrop>
  <Company/>
  <LinksUpToDate>false</LinksUpToDate>
  <CharactersWithSpaces>171064</CharactersWithSpaces>
  <SharedDoc>false</SharedDoc>
  <HLinks>
    <vt:vector size="498" baseType="variant">
      <vt:variant>
        <vt:i4>1572914</vt:i4>
      </vt:variant>
      <vt:variant>
        <vt:i4>272</vt:i4>
      </vt:variant>
      <vt:variant>
        <vt:i4>0</vt:i4>
      </vt:variant>
      <vt:variant>
        <vt:i4>5</vt:i4>
      </vt:variant>
      <vt:variant>
        <vt:lpwstr/>
      </vt:variant>
      <vt:variant>
        <vt:lpwstr>_Toc195447253</vt:lpwstr>
      </vt:variant>
      <vt:variant>
        <vt:i4>1572914</vt:i4>
      </vt:variant>
      <vt:variant>
        <vt:i4>266</vt:i4>
      </vt:variant>
      <vt:variant>
        <vt:i4>0</vt:i4>
      </vt:variant>
      <vt:variant>
        <vt:i4>5</vt:i4>
      </vt:variant>
      <vt:variant>
        <vt:lpwstr/>
      </vt:variant>
      <vt:variant>
        <vt:lpwstr>_Toc195447252</vt:lpwstr>
      </vt:variant>
      <vt:variant>
        <vt:i4>1572914</vt:i4>
      </vt:variant>
      <vt:variant>
        <vt:i4>260</vt:i4>
      </vt:variant>
      <vt:variant>
        <vt:i4>0</vt:i4>
      </vt:variant>
      <vt:variant>
        <vt:i4>5</vt:i4>
      </vt:variant>
      <vt:variant>
        <vt:lpwstr/>
      </vt:variant>
      <vt:variant>
        <vt:lpwstr>_Toc195447251</vt:lpwstr>
      </vt:variant>
      <vt:variant>
        <vt:i4>1572914</vt:i4>
      </vt:variant>
      <vt:variant>
        <vt:i4>254</vt:i4>
      </vt:variant>
      <vt:variant>
        <vt:i4>0</vt:i4>
      </vt:variant>
      <vt:variant>
        <vt:i4>5</vt:i4>
      </vt:variant>
      <vt:variant>
        <vt:lpwstr/>
      </vt:variant>
      <vt:variant>
        <vt:lpwstr>_Toc195447250</vt:lpwstr>
      </vt:variant>
      <vt:variant>
        <vt:i4>1638450</vt:i4>
      </vt:variant>
      <vt:variant>
        <vt:i4>248</vt:i4>
      </vt:variant>
      <vt:variant>
        <vt:i4>0</vt:i4>
      </vt:variant>
      <vt:variant>
        <vt:i4>5</vt:i4>
      </vt:variant>
      <vt:variant>
        <vt:lpwstr/>
      </vt:variant>
      <vt:variant>
        <vt:lpwstr>_Toc195447249</vt:lpwstr>
      </vt:variant>
      <vt:variant>
        <vt:i4>1638450</vt:i4>
      </vt:variant>
      <vt:variant>
        <vt:i4>242</vt:i4>
      </vt:variant>
      <vt:variant>
        <vt:i4>0</vt:i4>
      </vt:variant>
      <vt:variant>
        <vt:i4>5</vt:i4>
      </vt:variant>
      <vt:variant>
        <vt:lpwstr/>
      </vt:variant>
      <vt:variant>
        <vt:lpwstr>_Toc195447248</vt:lpwstr>
      </vt:variant>
      <vt:variant>
        <vt:i4>1638450</vt:i4>
      </vt:variant>
      <vt:variant>
        <vt:i4>236</vt:i4>
      </vt:variant>
      <vt:variant>
        <vt:i4>0</vt:i4>
      </vt:variant>
      <vt:variant>
        <vt:i4>5</vt:i4>
      </vt:variant>
      <vt:variant>
        <vt:lpwstr/>
      </vt:variant>
      <vt:variant>
        <vt:lpwstr>_Toc195447247</vt:lpwstr>
      </vt:variant>
      <vt:variant>
        <vt:i4>1638450</vt:i4>
      </vt:variant>
      <vt:variant>
        <vt:i4>230</vt:i4>
      </vt:variant>
      <vt:variant>
        <vt:i4>0</vt:i4>
      </vt:variant>
      <vt:variant>
        <vt:i4>5</vt:i4>
      </vt:variant>
      <vt:variant>
        <vt:lpwstr/>
      </vt:variant>
      <vt:variant>
        <vt:lpwstr>_Toc195447246</vt:lpwstr>
      </vt:variant>
      <vt:variant>
        <vt:i4>1638450</vt:i4>
      </vt:variant>
      <vt:variant>
        <vt:i4>224</vt:i4>
      </vt:variant>
      <vt:variant>
        <vt:i4>0</vt:i4>
      </vt:variant>
      <vt:variant>
        <vt:i4>5</vt:i4>
      </vt:variant>
      <vt:variant>
        <vt:lpwstr/>
      </vt:variant>
      <vt:variant>
        <vt:lpwstr>_Toc195447245</vt:lpwstr>
      </vt:variant>
      <vt:variant>
        <vt:i4>1638450</vt:i4>
      </vt:variant>
      <vt:variant>
        <vt:i4>218</vt:i4>
      </vt:variant>
      <vt:variant>
        <vt:i4>0</vt:i4>
      </vt:variant>
      <vt:variant>
        <vt:i4>5</vt:i4>
      </vt:variant>
      <vt:variant>
        <vt:lpwstr/>
      </vt:variant>
      <vt:variant>
        <vt:lpwstr>_Toc195447244</vt:lpwstr>
      </vt:variant>
      <vt:variant>
        <vt:i4>1638450</vt:i4>
      </vt:variant>
      <vt:variant>
        <vt:i4>212</vt:i4>
      </vt:variant>
      <vt:variant>
        <vt:i4>0</vt:i4>
      </vt:variant>
      <vt:variant>
        <vt:i4>5</vt:i4>
      </vt:variant>
      <vt:variant>
        <vt:lpwstr/>
      </vt:variant>
      <vt:variant>
        <vt:lpwstr>_Toc195447243</vt:lpwstr>
      </vt:variant>
      <vt:variant>
        <vt:i4>1638450</vt:i4>
      </vt:variant>
      <vt:variant>
        <vt:i4>206</vt:i4>
      </vt:variant>
      <vt:variant>
        <vt:i4>0</vt:i4>
      </vt:variant>
      <vt:variant>
        <vt:i4>5</vt:i4>
      </vt:variant>
      <vt:variant>
        <vt:lpwstr/>
      </vt:variant>
      <vt:variant>
        <vt:lpwstr>_Toc195447242</vt:lpwstr>
      </vt:variant>
      <vt:variant>
        <vt:i4>1638450</vt:i4>
      </vt:variant>
      <vt:variant>
        <vt:i4>200</vt:i4>
      </vt:variant>
      <vt:variant>
        <vt:i4>0</vt:i4>
      </vt:variant>
      <vt:variant>
        <vt:i4>5</vt:i4>
      </vt:variant>
      <vt:variant>
        <vt:lpwstr/>
      </vt:variant>
      <vt:variant>
        <vt:lpwstr>_Toc195447241</vt:lpwstr>
      </vt:variant>
      <vt:variant>
        <vt:i4>1638450</vt:i4>
      </vt:variant>
      <vt:variant>
        <vt:i4>194</vt:i4>
      </vt:variant>
      <vt:variant>
        <vt:i4>0</vt:i4>
      </vt:variant>
      <vt:variant>
        <vt:i4>5</vt:i4>
      </vt:variant>
      <vt:variant>
        <vt:lpwstr/>
      </vt:variant>
      <vt:variant>
        <vt:lpwstr>_Toc195447240</vt:lpwstr>
      </vt:variant>
      <vt:variant>
        <vt:i4>1966130</vt:i4>
      </vt:variant>
      <vt:variant>
        <vt:i4>188</vt:i4>
      </vt:variant>
      <vt:variant>
        <vt:i4>0</vt:i4>
      </vt:variant>
      <vt:variant>
        <vt:i4>5</vt:i4>
      </vt:variant>
      <vt:variant>
        <vt:lpwstr/>
      </vt:variant>
      <vt:variant>
        <vt:lpwstr>_Toc195447239</vt:lpwstr>
      </vt:variant>
      <vt:variant>
        <vt:i4>1966130</vt:i4>
      </vt:variant>
      <vt:variant>
        <vt:i4>182</vt:i4>
      </vt:variant>
      <vt:variant>
        <vt:i4>0</vt:i4>
      </vt:variant>
      <vt:variant>
        <vt:i4>5</vt:i4>
      </vt:variant>
      <vt:variant>
        <vt:lpwstr/>
      </vt:variant>
      <vt:variant>
        <vt:lpwstr>_Toc195447238</vt:lpwstr>
      </vt:variant>
      <vt:variant>
        <vt:i4>1966130</vt:i4>
      </vt:variant>
      <vt:variant>
        <vt:i4>176</vt:i4>
      </vt:variant>
      <vt:variant>
        <vt:i4>0</vt:i4>
      </vt:variant>
      <vt:variant>
        <vt:i4>5</vt:i4>
      </vt:variant>
      <vt:variant>
        <vt:lpwstr/>
      </vt:variant>
      <vt:variant>
        <vt:lpwstr>_Toc195447237</vt:lpwstr>
      </vt:variant>
      <vt:variant>
        <vt:i4>1966130</vt:i4>
      </vt:variant>
      <vt:variant>
        <vt:i4>170</vt:i4>
      </vt:variant>
      <vt:variant>
        <vt:i4>0</vt:i4>
      </vt:variant>
      <vt:variant>
        <vt:i4>5</vt:i4>
      </vt:variant>
      <vt:variant>
        <vt:lpwstr/>
      </vt:variant>
      <vt:variant>
        <vt:lpwstr>_Toc195447236</vt:lpwstr>
      </vt:variant>
      <vt:variant>
        <vt:i4>1966130</vt:i4>
      </vt:variant>
      <vt:variant>
        <vt:i4>164</vt:i4>
      </vt:variant>
      <vt:variant>
        <vt:i4>0</vt:i4>
      </vt:variant>
      <vt:variant>
        <vt:i4>5</vt:i4>
      </vt:variant>
      <vt:variant>
        <vt:lpwstr/>
      </vt:variant>
      <vt:variant>
        <vt:lpwstr>_Toc195447235</vt:lpwstr>
      </vt:variant>
      <vt:variant>
        <vt:i4>1966130</vt:i4>
      </vt:variant>
      <vt:variant>
        <vt:i4>158</vt:i4>
      </vt:variant>
      <vt:variant>
        <vt:i4>0</vt:i4>
      </vt:variant>
      <vt:variant>
        <vt:i4>5</vt:i4>
      </vt:variant>
      <vt:variant>
        <vt:lpwstr/>
      </vt:variant>
      <vt:variant>
        <vt:lpwstr>_Toc195447234</vt:lpwstr>
      </vt:variant>
      <vt:variant>
        <vt:i4>1966130</vt:i4>
      </vt:variant>
      <vt:variant>
        <vt:i4>152</vt:i4>
      </vt:variant>
      <vt:variant>
        <vt:i4>0</vt:i4>
      </vt:variant>
      <vt:variant>
        <vt:i4>5</vt:i4>
      </vt:variant>
      <vt:variant>
        <vt:lpwstr/>
      </vt:variant>
      <vt:variant>
        <vt:lpwstr>_Toc195447233</vt:lpwstr>
      </vt:variant>
      <vt:variant>
        <vt:i4>1966130</vt:i4>
      </vt:variant>
      <vt:variant>
        <vt:i4>146</vt:i4>
      </vt:variant>
      <vt:variant>
        <vt:i4>0</vt:i4>
      </vt:variant>
      <vt:variant>
        <vt:i4>5</vt:i4>
      </vt:variant>
      <vt:variant>
        <vt:lpwstr/>
      </vt:variant>
      <vt:variant>
        <vt:lpwstr>_Toc195447232</vt:lpwstr>
      </vt:variant>
      <vt:variant>
        <vt:i4>1966130</vt:i4>
      </vt:variant>
      <vt:variant>
        <vt:i4>140</vt:i4>
      </vt:variant>
      <vt:variant>
        <vt:i4>0</vt:i4>
      </vt:variant>
      <vt:variant>
        <vt:i4>5</vt:i4>
      </vt:variant>
      <vt:variant>
        <vt:lpwstr/>
      </vt:variant>
      <vt:variant>
        <vt:lpwstr>_Toc195447231</vt:lpwstr>
      </vt:variant>
      <vt:variant>
        <vt:i4>1966130</vt:i4>
      </vt:variant>
      <vt:variant>
        <vt:i4>134</vt:i4>
      </vt:variant>
      <vt:variant>
        <vt:i4>0</vt:i4>
      </vt:variant>
      <vt:variant>
        <vt:i4>5</vt:i4>
      </vt:variant>
      <vt:variant>
        <vt:lpwstr/>
      </vt:variant>
      <vt:variant>
        <vt:lpwstr>_Toc195447230</vt:lpwstr>
      </vt:variant>
      <vt:variant>
        <vt:i4>2031666</vt:i4>
      </vt:variant>
      <vt:variant>
        <vt:i4>128</vt:i4>
      </vt:variant>
      <vt:variant>
        <vt:i4>0</vt:i4>
      </vt:variant>
      <vt:variant>
        <vt:i4>5</vt:i4>
      </vt:variant>
      <vt:variant>
        <vt:lpwstr/>
      </vt:variant>
      <vt:variant>
        <vt:lpwstr>_Toc195447229</vt:lpwstr>
      </vt:variant>
      <vt:variant>
        <vt:i4>2031666</vt:i4>
      </vt:variant>
      <vt:variant>
        <vt:i4>122</vt:i4>
      </vt:variant>
      <vt:variant>
        <vt:i4>0</vt:i4>
      </vt:variant>
      <vt:variant>
        <vt:i4>5</vt:i4>
      </vt:variant>
      <vt:variant>
        <vt:lpwstr/>
      </vt:variant>
      <vt:variant>
        <vt:lpwstr>_Toc195447228</vt:lpwstr>
      </vt:variant>
      <vt:variant>
        <vt:i4>2031666</vt:i4>
      </vt:variant>
      <vt:variant>
        <vt:i4>116</vt:i4>
      </vt:variant>
      <vt:variant>
        <vt:i4>0</vt:i4>
      </vt:variant>
      <vt:variant>
        <vt:i4>5</vt:i4>
      </vt:variant>
      <vt:variant>
        <vt:lpwstr/>
      </vt:variant>
      <vt:variant>
        <vt:lpwstr>_Toc195447227</vt:lpwstr>
      </vt:variant>
      <vt:variant>
        <vt:i4>2031666</vt:i4>
      </vt:variant>
      <vt:variant>
        <vt:i4>110</vt:i4>
      </vt:variant>
      <vt:variant>
        <vt:i4>0</vt:i4>
      </vt:variant>
      <vt:variant>
        <vt:i4>5</vt:i4>
      </vt:variant>
      <vt:variant>
        <vt:lpwstr/>
      </vt:variant>
      <vt:variant>
        <vt:lpwstr>_Toc195447226</vt:lpwstr>
      </vt:variant>
      <vt:variant>
        <vt:i4>2031666</vt:i4>
      </vt:variant>
      <vt:variant>
        <vt:i4>104</vt:i4>
      </vt:variant>
      <vt:variant>
        <vt:i4>0</vt:i4>
      </vt:variant>
      <vt:variant>
        <vt:i4>5</vt:i4>
      </vt:variant>
      <vt:variant>
        <vt:lpwstr/>
      </vt:variant>
      <vt:variant>
        <vt:lpwstr>_Toc195447225</vt:lpwstr>
      </vt:variant>
      <vt:variant>
        <vt:i4>2031666</vt:i4>
      </vt:variant>
      <vt:variant>
        <vt:i4>98</vt:i4>
      </vt:variant>
      <vt:variant>
        <vt:i4>0</vt:i4>
      </vt:variant>
      <vt:variant>
        <vt:i4>5</vt:i4>
      </vt:variant>
      <vt:variant>
        <vt:lpwstr/>
      </vt:variant>
      <vt:variant>
        <vt:lpwstr>_Toc195447224</vt:lpwstr>
      </vt:variant>
      <vt:variant>
        <vt:i4>2031666</vt:i4>
      </vt:variant>
      <vt:variant>
        <vt:i4>92</vt:i4>
      </vt:variant>
      <vt:variant>
        <vt:i4>0</vt:i4>
      </vt:variant>
      <vt:variant>
        <vt:i4>5</vt:i4>
      </vt:variant>
      <vt:variant>
        <vt:lpwstr/>
      </vt:variant>
      <vt:variant>
        <vt:lpwstr>_Toc195447223</vt:lpwstr>
      </vt:variant>
      <vt:variant>
        <vt:i4>2031666</vt:i4>
      </vt:variant>
      <vt:variant>
        <vt:i4>86</vt:i4>
      </vt:variant>
      <vt:variant>
        <vt:i4>0</vt:i4>
      </vt:variant>
      <vt:variant>
        <vt:i4>5</vt:i4>
      </vt:variant>
      <vt:variant>
        <vt:lpwstr/>
      </vt:variant>
      <vt:variant>
        <vt:lpwstr>_Toc195447222</vt:lpwstr>
      </vt:variant>
      <vt:variant>
        <vt:i4>2031666</vt:i4>
      </vt:variant>
      <vt:variant>
        <vt:i4>80</vt:i4>
      </vt:variant>
      <vt:variant>
        <vt:i4>0</vt:i4>
      </vt:variant>
      <vt:variant>
        <vt:i4>5</vt:i4>
      </vt:variant>
      <vt:variant>
        <vt:lpwstr/>
      </vt:variant>
      <vt:variant>
        <vt:lpwstr>_Toc195447221</vt:lpwstr>
      </vt:variant>
      <vt:variant>
        <vt:i4>2031666</vt:i4>
      </vt:variant>
      <vt:variant>
        <vt:i4>74</vt:i4>
      </vt:variant>
      <vt:variant>
        <vt:i4>0</vt:i4>
      </vt:variant>
      <vt:variant>
        <vt:i4>5</vt:i4>
      </vt:variant>
      <vt:variant>
        <vt:lpwstr/>
      </vt:variant>
      <vt:variant>
        <vt:lpwstr>_Toc195447220</vt:lpwstr>
      </vt:variant>
      <vt:variant>
        <vt:i4>1835058</vt:i4>
      </vt:variant>
      <vt:variant>
        <vt:i4>68</vt:i4>
      </vt:variant>
      <vt:variant>
        <vt:i4>0</vt:i4>
      </vt:variant>
      <vt:variant>
        <vt:i4>5</vt:i4>
      </vt:variant>
      <vt:variant>
        <vt:lpwstr/>
      </vt:variant>
      <vt:variant>
        <vt:lpwstr>_Toc195447219</vt:lpwstr>
      </vt:variant>
      <vt:variant>
        <vt:i4>1835058</vt:i4>
      </vt:variant>
      <vt:variant>
        <vt:i4>62</vt:i4>
      </vt:variant>
      <vt:variant>
        <vt:i4>0</vt:i4>
      </vt:variant>
      <vt:variant>
        <vt:i4>5</vt:i4>
      </vt:variant>
      <vt:variant>
        <vt:lpwstr/>
      </vt:variant>
      <vt:variant>
        <vt:lpwstr>_Toc195447218</vt:lpwstr>
      </vt:variant>
      <vt:variant>
        <vt:i4>1835058</vt:i4>
      </vt:variant>
      <vt:variant>
        <vt:i4>56</vt:i4>
      </vt:variant>
      <vt:variant>
        <vt:i4>0</vt:i4>
      </vt:variant>
      <vt:variant>
        <vt:i4>5</vt:i4>
      </vt:variant>
      <vt:variant>
        <vt:lpwstr/>
      </vt:variant>
      <vt:variant>
        <vt:lpwstr>_Toc195447217</vt:lpwstr>
      </vt:variant>
      <vt:variant>
        <vt:i4>1835058</vt:i4>
      </vt:variant>
      <vt:variant>
        <vt:i4>50</vt:i4>
      </vt:variant>
      <vt:variant>
        <vt:i4>0</vt:i4>
      </vt:variant>
      <vt:variant>
        <vt:i4>5</vt:i4>
      </vt:variant>
      <vt:variant>
        <vt:lpwstr/>
      </vt:variant>
      <vt:variant>
        <vt:lpwstr>_Toc195447216</vt:lpwstr>
      </vt:variant>
      <vt:variant>
        <vt:i4>1835058</vt:i4>
      </vt:variant>
      <vt:variant>
        <vt:i4>44</vt:i4>
      </vt:variant>
      <vt:variant>
        <vt:i4>0</vt:i4>
      </vt:variant>
      <vt:variant>
        <vt:i4>5</vt:i4>
      </vt:variant>
      <vt:variant>
        <vt:lpwstr/>
      </vt:variant>
      <vt:variant>
        <vt:lpwstr>_Toc195447215</vt:lpwstr>
      </vt:variant>
      <vt:variant>
        <vt:i4>1835058</vt:i4>
      </vt:variant>
      <vt:variant>
        <vt:i4>38</vt:i4>
      </vt:variant>
      <vt:variant>
        <vt:i4>0</vt:i4>
      </vt:variant>
      <vt:variant>
        <vt:i4>5</vt:i4>
      </vt:variant>
      <vt:variant>
        <vt:lpwstr/>
      </vt:variant>
      <vt:variant>
        <vt:lpwstr>_Toc195447214</vt:lpwstr>
      </vt:variant>
      <vt:variant>
        <vt:i4>1835058</vt:i4>
      </vt:variant>
      <vt:variant>
        <vt:i4>32</vt:i4>
      </vt:variant>
      <vt:variant>
        <vt:i4>0</vt:i4>
      </vt:variant>
      <vt:variant>
        <vt:i4>5</vt:i4>
      </vt:variant>
      <vt:variant>
        <vt:lpwstr/>
      </vt:variant>
      <vt:variant>
        <vt:lpwstr>_Toc195447213</vt:lpwstr>
      </vt:variant>
      <vt:variant>
        <vt:i4>1835058</vt:i4>
      </vt:variant>
      <vt:variant>
        <vt:i4>26</vt:i4>
      </vt:variant>
      <vt:variant>
        <vt:i4>0</vt:i4>
      </vt:variant>
      <vt:variant>
        <vt:i4>5</vt:i4>
      </vt:variant>
      <vt:variant>
        <vt:lpwstr/>
      </vt:variant>
      <vt:variant>
        <vt:lpwstr>_Toc195447212</vt:lpwstr>
      </vt:variant>
      <vt:variant>
        <vt:i4>1835058</vt:i4>
      </vt:variant>
      <vt:variant>
        <vt:i4>20</vt:i4>
      </vt:variant>
      <vt:variant>
        <vt:i4>0</vt:i4>
      </vt:variant>
      <vt:variant>
        <vt:i4>5</vt:i4>
      </vt:variant>
      <vt:variant>
        <vt:lpwstr/>
      </vt:variant>
      <vt:variant>
        <vt:lpwstr>_Toc195447211</vt:lpwstr>
      </vt:variant>
      <vt:variant>
        <vt:i4>1835058</vt:i4>
      </vt:variant>
      <vt:variant>
        <vt:i4>14</vt:i4>
      </vt:variant>
      <vt:variant>
        <vt:i4>0</vt:i4>
      </vt:variant>
      <vt:variant>
        <vt:i4>5</vt:i4>
      </vt:variant>
      <vt:variant>
        <vt:lpwstr/>
      </vt:variant>
      <vt:variant>
        <vt:lpwstr>_Toc195447210</vt:lpwstr>
      </vt:variant>
      <vt:variant>
        <vt:i4>1900594</vt:i4>
      </vt:variant>
      <vt:variant>
        <vt:i4>8</vt:i4>
      </vt:variant>
      <vt:variant>
        <vt:i4>0</vt:i4>
      </vt:variant>
      <vt:variant>
        <vt:i4>5</vt:i4>
      </vt:variant>
      <vt:variant>
        <vt:lpwstr/>
      </vt:variant>
      <vt:variant>
        <vt:lpwstr>_Toc195447209</vt:lpwstr>
      </vt:variant>
      <vt:variant>
        <vt:i4>1900594</vt:i4>
      </vt:variant>
      <vt:variant>
        <vt:i4>2</vt:i4>
      </vt:variant>
      <vt:variant>
        <vt:i4>0</vt:i4>
      </vt:variant>
      <vt:variant>
        <vt:i4>5</vt:i4>
      </vt:variant>
      <vt:variant>
        <vt:lpwstr/>
      </vt:variant>
      <vt:variant>
        <vt:lpwstr>_Toc195447208</vt:lpwstr>
      </vt:variant>
      <vt:variant>
        <vt:i4>589824</vt:i4>
      </vt:variant>
      <vt:variant>
        <vt:i4>6</vt:i4>
      </vt:variant>
      <vt:variant>
        <vt:i4>0</vt:i4>
      </vt:variant>
      <vt:variant>
        <vt:i4>5</vt:i4>
      </vt:variant>
      <vt:variant>
        <vt:lpwstr>https://github.com/theecanmole/nzu/blob/master/spotprices.csv</vt:lpwstr>
      </vt:variant>
      <vt:variant>
        <vt:lpwstr/>
      </vt:variant>
      <vt:variant>
        <vt:i4>2162741</vt:i4>
      </vt:variant>
      <vt:variant>
        <vt:i4>3</vt:i4>
      </vt:variant>
      <vt:variant>
        <vt:i4>0</vt:i4>
      </vt:variant>
      <vt:variant>
        <vt:i4>5</vt:i4>
      </vt:variant>
      <vt:variant>
        <vt:lpwstr>https://environment.govt.nz/assets/publications/climate-change/nzets-nzu-surplus-advice.pdf</vt:lpwstr>
      </vt:variant>
      <vt:variant>
        <vt:lpwstr/>
      </vt:variant>
      <vt:variant>
        <vt:i4>5636119</vt:i4>
      </vt:variant>
      <vt:variant>
        <vt:i4>0</vt:i4>
      </vt:variant>
      <vt:variant>
        <vt:i4>0</vt:i4>
      </vt:variant>
      <vt:variant>
        <vt:i4>5</vt:i4>
      </vt:variant>
      <vt:variant>
        <vt:lpwstr>https://environment.govt.nz/what-government-is-doing/areas-of-work/climate-change/ets/participating-in-the-nz-ets/overview-of-industrial-allocation/</vt:lpwstr>
      </vt:variant>
      <vt:variant>
        <vt:lpwstr/>
      </vt:variant>
      <vt:variant>
        <vt:i4>3539069</vt:i4>
      </vt:variant>
      <vt:variant>
        <vt:i4>99</vt:i4>
      </vt:variant>
      <vt:variant>
        <vt:i4>0</vt:i4>
      </vt:variant>
      <vt:variant>
        <vt:i4>5</vt:i4>
      </vt:variant>
      <vt:variant>
        <vt:lpwstr>https://www.climatecommission.govt.nz/our-work/advice-to-government-topic/preparing-advice-on-emissions-budgets/advice-on-the-fourth-emissions-budget/final-report/</vt:lpwstr>
      </vt:variant>
      <vt:variant>
        <vt:lpwstr/>
      </vt:variant>
      <vt:variant>
        <vt:i4>2293858</vt:i4>
      </vt:variant>
      <vt:variant>
        <vt:i4>96</vt:i4>
      </vt:variant>
      <vt:variant>
        <vt:i4>0</vt:i4>
      </vt:variant>
      <vt:variant>
        <vt:i4>5</vt:i4>
      </vt:variant>
      <vt:variant>
        <vt:lpwstr>https://www.berl.co.nz/te-ohanga-maori</vt:lpwstr>
      </vt:variant>
      <vt:variant>
        <vt:lpwstr/>
      </vt:variant>
      <vt:variant>
        <vt:i4>7733352</vt:i4>
      </vt:variant>
      <vt:variant>
        <vt:i4>93</vt:i4>
      </vt:variant>
      <vt:variant>
        <vt:i4>0</vt:i4>
      </vt:variant>
      <vt:variant>
        <vt:i4>5</vt:i4>
      </vt:variant>
      <vt:variant>
        <vt:lpwstr>https://www.climatecommission.govt.nz/our-work/advice-to-government-topic/advice-for-preparation-of-emissions-reduction-plans/2023-advice-to-inform-the-strategic-direction-of-the-governments-second-emissions-reduction-plan-april-2023/</vt:lpwstr>
      </vt:variant>
      <vt:variant>
        <vt:lpwstr/>
      </vt:variant>
      <vt:variant>
        <vt:i4>393225</vt:i4>
      </vt:variant>
      <vt:variant>
        <vt:i4>90</vt:i4>
      </vt:variant>
      <vt:variant>
        <vt:i4>0</vt:i4>
      </vt:variant>
      <vt:variant>
        <vt:i4>5</vt:i4>
      </vt:variant>
      <vt:variant>
        <vt:lpwstr>https://www.treasury.govt.nz/publications/an/an-24-02</vt:lpwstr>
      </vt:variant>
      <vt:variant>
        <vt:lpwstr/>
      </vt:variant>
      <vt:variant>
        <vt:i4>2162814</vt:i4>
      </vt:variant>
      <vt:variant>
        <vt:i4>87</vt:i4>
      </vt:variant>
      <vt:variant>
        <vt:i4>0</vt:i4>
      </vt:variant>
      <vt:variant>
        <vt:i4>5</vt:i4>
      </vt:variant>
      <vt:variant>
        <vt:lpwstr>https://environment.govt.nz/assets/publications/climate-change/Review-of-the-New-Zealand-Emissions-Trading-Scheme-Summary-of-Modelling.pdf</vt:lpwstr>
      </vt:variant>
      <vt:variant>
        <vt:lpwstr/>
      </vt:variant>
      <vt:variant>
        <vt:i4>3539069</vt:i4>
      </vt:variant>
      <vt:variant>
        <vt:i4>84</vt:i4>
      </vt:variant>
      <vt:variant>
        <vt:i4>0</vt:i4>
      </vt:variant>
      <vt:variant>
        <vt:i4>5</vt:i4>
      </vt:variant>
      <vt:variant>
        <vt:lpwstr>https://www.climatecommission.govt.nz/our-work/advice-to-government-topic/preparing-advice-on-emissions-budgets/advice-on-the-fourth-emissions-budget/final-report/</vt:lpwstr>
      </vt:variant>
      <vt:variant>
        <vt:lpwstr/>
      </vt:variant>
      <vt:variant>
        <vt:i4>2687008</vt:i4>
      </vt:variant>
      <vt:variant>
        <vt:i4>81</vt:i4>
      </vt:variant>
      <vt:variant>
        <vt:i4>0</vt:i4>
      </vt:variant>
      <vt:variant>
        <vt:i4>5</vt:i4>
      </vt:variant>
      <vt:variant>
        <vt:lpwstr>https://ieta.b-cdn.net/wp-content/uploads/2023/09/IETAA6_CapstoneReport_2023.pdf</vt:lpwstr>
      </vt:variant>
      <vt:variant>
        <vt:lpwstr/>
      </vt:variant>
      <vt:variant>
        <vt:i4>4259926</vt:i4>
      </vt:variant>
      <vt:variant>
        <vt:i4>78</vt:i4>
      </vt:variant>
      <vt:variant>
        <vt:i4>0</vt:i4>
      </vt:variant>
      <vt:variant>
        <vt:i4>5</vt:i4>
      </vt:variant>
      <vt:variant>
        <vt:lpwstr>https://www.spglobal.com/commodity-insights/en/news-research/latest-news/energy-transition/022525-singapore-article-6-carbon-credit-tender-attracts-19-41mtco2e-price-offers</vt:lpwstr>
      </vt:variant>
      <vt:variant>
        <vt:lpwstr/>
      </vt:variant>
      <vt:variant>
        <vt:i4>5242968</vt:i4>
      </vt:variant>
      <vt:variant>
        <vt:i4>75</vt:i4>
      </vt:variant>
      <vt:variant>
        <vt:i4>0</vt:i4>
      </vt:variant>
      <vt:variant>
        <vt:i4>5</vt:i4>
      </vt:variant>
      <vt:variant>
        <vt:lpwstr>https://a.storyblok.com/f/246794/x/d9392844cc/jahresbericht_2023_en.pdf</vt:lpwstr>
      </vt:variant>
      <vt:variant>
        <vt:lpwstr/>
      </vt:variant>
      <vt:variant>
        <vt:i4>6684717</vt:i4>
      </vt:variant>
      <vt:variant>
        <vt:i4>72</vt:i4>
      </vt:variant>
      <vt:variant>
        <vt:i4>0</vt:i4>
      </vt:variant>
      <vt:variant>
        <vt:i4>5</vt:i4>
      </vt:variant>
      <vt:variant>
        <vt:lpwstr>https://www.treasury.govt.nz/publications/climate-economic-fiscal-assessment/nga-korero-ahuarangi-me-te-ohanga-2023</vt:lpwstr>
      </vt:variant>
      <vt:variant>
        <vt:lpwstr/>
      </vt:variant>
      <vt:variant>
        <vt:i4>2293874</vt:i4>
      </vt:variant>
      <vt:variant>
        <vt:i4>69</vt:i4>
      </vt:variant>
      <vt:variant>
        <vt:i4>0</vt:i4>
      </vt:variant>
      <vt:variant>
        <vt:i4>5</vt:i4>
      </vt:variant>
      <vt:variant>
        <vt:lpwstr>https://www.eeca.govt.nz/insights/eeca-insights/reta-south-island/</vt:lpwstr>
      </vt:variant>
      <vt:variant>
        <vt:lpwstr/>
      </vt:variant>
      <vt:variant>
        <vt:i4>1179657</vt:i4>
      </vt:variant>
      <vt:variant>
        <vt:i4>66</vt:i4>
      </vt:variant>
      <vt:variant>
        <vt:i4>0</vt:i4>
      </vt:variant>
      <vt:variant>
        <vt:i4>5</vt:i4>
      </vt:variant>
      <vt:variant>
        <vt:lpwstr>https://www.beehive.govt.nz/release/protecting-nz-food-production-and-ets-credibility</vt:lpwstr>
      </vt:variant>
      <vt:variant>
        <vt:lpwstr/>
      </vt:variant>
      <vt:variant>
        <vt:i4>5046280</vt:i4>
      </vt:variant>
      <vt:variant>
        <vt:i4>63</vt:i4>
      </vt:variant>
      <vt:variant>
        <vt:i4>0</vt:i4>
      </vt:variant>
      <vt:variant>
        <vt:i4>5</vt:i4>
      </vt:variant>
      <vt:variant>
        <vt:lpwstr>https://www.mpi.govt.nz/dmsdocument/62313-Afforestation-and-Deforestation-Intentions-Survey-2023</vt:lpwstr>
      </vt:variant>
      <vt:variant>
        <vt:lpwstr/>
      </vt:variant>
      <vt:variant>
        <vt:i4>5111897</vt:i4>
      </vt:variant>
      <vt:variant>
        <vt:i4>60</vt:i4>
      </vt:variant>
      <vt:variant>
        <vt:i4>0</vt:i4>
      </vt:variant>
      <vt:variant>
        <vt:i4>5</vt:i4>
      </vt:variant>
      <vt:variant>
        <vt:lpwstr>https://environment.govt.nz/assets/publications/BRF-5034-ERP2-Climate-MfE.pdf</vt:lpwstr>
      </vt:variant>
      <vt:variant>
        <vt:lpwstr/>
      </vt:variant>
      <vt:variant>
        <vt:i4>6094875</vt:i4>
      </vt:variant>
      <vt:variant>
        <vt:i4>57</vt:i4>
      </vt:variant>
      <vt:variant>
        <vt:i4>0</vt:i4>
      </vt:variant>
      <vt:variant>
        <vt:i4>5</vt:i4>
      </vt:variant>
      <vt:variant>
        <vt:lpwstr>https://www.mpi.govt.nz/dmsdocument/66273-National-Exotic-Forest-Description-2024-report</vt:lpwstr>
      </vt:variant>
      <vt:variant>
        <vt:lpwstr/>
      </vt:variant>
      <vt:variant>
        <vt:i4>6160457</vt:i4>
      </vt:variant>
      <vt:variant>
        <vt:i4>54</vt:i4>
      </vt:variant>
      <vt:variant>
        <vt:i4>0</vt:i4>
      </vt:variant>
      <vt:variant>
        <vt:i4>5</vt:i4>
      </vt:variant>
      <vt:variant>
        <vt:lpwstr>https://environment.govt.nz/publications/second-emissions-reduction-plan-technical-annex/</vt:lpwstr>
      </vt:variant>
      <vt:variant>
        <vt:lpwstr/>
      </vt:variant>
      <vt:variant>
        <vt:i4>4063339</vt:i4>
      </vt:variant>
      <vt:variant>
        <vt:i4>51</vt:i4>
      </vt:variant>
      <vt:variant>
        <vt:i4>0</vt:i4>
      </vt:variant>
      <vt:variant>
        <vt:i4>5</vt:i4>
      </vt:variant>
      <vt:variant>
        <vt:lpwstr>https://environment.govt.nz/assets/publications/climate-change/ERP2/New-Zealands-second-emissions-reduction-plan-202630.pdf</vt:lpwstr>
      </vt:variant>
      <vt:variant>
        <vt:lpwstr/>
      </vt:variant>
      <vt:variant>
        <vt:i4>4063339</vt:i4>
      </vt:variant>
      <vt:variant>
        <vt:i4>48</vt:i4>
      </vt:variant>
      <vt:variant>
        <vt:i4>0</vt:i4>
      </vt:variant>
      <vt:variant>
        <vt:i4>5</vt:i4>
      </vt:variant>
      <vt:variant>
        <vt:lpwstr>https://environment.govt.nz/assets/publications/climate-change/ERP2/New-Zealands-second-emissions-reduction-plan-202630.pdf</vt:lpwstr>
      </vt:variant>
      <vt:variant>
        <vt:lpwstr/>
      </vt:variant>
      <vt:variant>
        <vt:i4>7798837</vt:i4>
      </vt:variant>
      <vt:variant>
        <vt:i4>45</vt:i4>
      </vt:variant>
      <vt:variant>
        <vt:i4>0</vt:i4>
      </vt:variant>
      <vt:variant>
        <vt:i4>5</vt:i4>
      </vt:variant>
      <vt:variant>
        <vt:lpwstr>https://www.mpi.govt.nz/forestry/forest-science-and-research/maximising-forest-carbon/</vt:lpwstr>
      </vt:variant>
      <vt:variant>
        <vt:lpwstr/>
      </vt:variant>
      <vt:variant>
        <vt:i4>2162741</vt:i4>
      </vt:variant>
      <vt:variant>
        <vt:i4>42</vt:i4>
      </vt:variant>
      <vt:variant>
        <vt:i4>0</vt:i4>
      </vt:variant>
      <vt:variant>
        <vt:i4>5</vt:i4>
      </vt:variant>
      <vt:variant>
        <vt:lpwstr>https://environment.govt.nz/assets/publications/climate-change/nzets-nzu-surplus-advice.pdf</vt:lpwstr>
      </vt:variant>
      <vt:variant>
        <vt:lpwstr/>
      </vt:variant>
      <vt:variant>
        <vt:i4>720984</vt:i4>
      </vt:variant>
      <vt:variant>
        <vt:i4>39</vt:i4>
      </vt:variant>
      <vt:variant>
        <vt:i4>0</vt:i4>
      </vt:variant>
      <vt:variant>
        <vt:i4>5</vt:i4>
      </vt:variant>
      <vt:variant>
        <vt:lpwstr>https://environment.govt.nz/what-government-is-doing/cabinet-papers-and-regulatory-impact-statements/industrial-allocation-2024/</vt:lpwstr>
      </vt:variant>
      <vt:variant>
        <vt:lpwstr/>
      </vt:variant>
      <vt:variant>
        <vt:i4>6160457</vt:i4>
      </vt:variant>
      <vt:variant>
        <vt:i4>36</vt:i4>
      </vt:variant>
      <vt:variant>
        <vt:i4>0</vt:i4>
      </vt:variant>
      <vt:variant>
        <vt:i4>5</vt:i4>
      </vt:variant>
      <vt:variant>
        <vt:lpwstr>https://environment.govt.nz/publications/second-emissions-reduction-plan-technical-annex/</vt:lpwstr>
      </vt:variant>
      <vt:variant>
        <vt:lpwstr/>
      </vt:variant>
      <vt:variant>
        <vt:i4>3473443</vt:i4>
      </vt:variant>
      <vt:variant>
        <vt:i4>33</vt:i4>
      </vt:variant>
      <vt:variant>
        <vt:i4>0</vt:i4>
      </vt:variant>
      <vt:variant>
        <vt:i4>5</vt:i4>
      </vt:variant>
      <vt:variant>
        <vt:lpwstr>https://environment.govt.nz/publications/new-zealands-first-biennial-transparency-report-under-the-paris-agreement/</vt:lpwstr>
      </vt:variant>
      <vt:variant>
        <vt:lpwstr/>
      </vt:variant>
      <vt:variant>
        <vt:i4>1114188</vt:i4>
      </vt:variant>
      <vt:variant>
        <vt:i4>30</vt:i4>
      </vt:variant>
      <vt:variant>
        <vt:i4>0</vt:i4>
      </vt:variant>
      <vt:variant>
        <vt:i4>5</vt:i4>
      </vt:variant>
      <vt:variant>
        <vt:lpwstr>https://environment.govt.nz/what-government-is-doing/cabinet-papers-and-regulatory-impact-statements/nationally-determined-contribution-strategy/</vt:lpwstr>
      </vt:variant>
      <vt:variant>
        <vt:lpwstr/>
      </vt:variant>
      <vt:variant>
        <vt:i4>4784152</vt:i4>
      </vt:variant>
      <vt:variant>
        <vt:i4>27</vt:i4>
      </vt:variant>
      <vt:variant>
        <vt:i4>0</vt:i4>
      </vt:variant>
      <vt:variant>
        <vt:i4>5</vt:i4>
      </vt:variant>
      <vt:variant>
        <vt:lpwstr>https://environment.govt.nz/publications/new-zealands-second-nationally-determined-contribution-submission-under-the-paris-agreement/</vt:lpwstr>
      </vt:variant>
      <vt:variant>
        <vt:lpwstr/>
      </vt:variant>
      <vt:variant>
        <vt:i4>7798837</vt:i4>
      </vt:variant>
      <vt:variant>
        <vt:i4>24</vt:i4>
      </vt:variant>
      <vt:variant>
        <vt:i4>0</vt:i4>
      </vt:variant>
      <vt:variant>
        <vt:i4>5</vt:i4>
      </vt:variant>
      <vt:variant>
        <vt:lpwstr>https://www.mpi.govt.nz/forestry/forest-science-and-research/maximising-forest-carbon/</vt:lpwstr>
      </vt:variant>
      <vt:variant>
        <vt:lpwstr/>
      </vt:variant>
      <vt:variant>
        <vt:i4>720977</vt:i4>
      </vt:variant>
      <vt:variant>
        <vt:i4>21</vt:i4>
      </vt:variant>
      <vt:variant>
        <vt:i4>0</vt:i4>
      </vt:variant>
      <vt:variant>
        <vt:i4>5</vt:i4>
      </vt:variant>
      <vt:variant>
        <vt:lpwstr>https://www.beehive.govt.nz/release/government-reduces-forestry-ets-annual-charge-50-cent</vt:lpwstr>
      </vt:variant>
      <vt:variant>
        <vt:lpwstr/>
      </vt:variant>
      <vt:variant>
        <vt:i4>7405680</vt:i4>
      </vt:variant>
      <vt:variant>
        <vt:i4>18</vt:i4>
      </vt:variant>
      <vt:variant>
        <vt:i4>0</vt:i4>
      </vt:variant>
      <vt:variant>
        <vt:i4>5</vt:i4>
      </vt:variant>
      <vt:variant>
        <vt:lpwstr>https://github.com/theecanmole/nzu</vt:lpwstr>
      </vt:variant>
      <vt:variant>
        <vt:lpwstr/>
      </vt:variant>
      <vt:variant>
        <vt:i4>7405680</vt:i4>
      </vt:variant>
      <vt:variant>
        <vt:i4>15</vt:i4>
      </vt:variant>
      <vt:variant>
        <vt:i4>0</vt:i4>
      </vt:variant>
      <vt:variant>
        <vt:i4>5</vt:i4>
      </vt:variant>
      <vt:variant>
        <vt:lpwstr>https://github.com/theecanmole/nzu</vt:lpwstr>
      </vt:variant>
      <vt:variant>
        <vt:lpwstr/>
      </vt:variant>
      <vt:variant>
        <vt:i4>3866665</vt:i4>
      </vt:variant>
      <vt:variant>
        <vt:i4>12</vt:i4>
      </vt:variant>
      <vt:variant>
        <vt:i4>0</vt:i4>
      </vt:variant>
      <vt:variant>
        <vt:i4>5</vt:i4>
      </vt:variant>
      <vt:variant>
        <vt:lpwstr>https://icapcarbonaction.com/en/ets</vt:lpwstr>
      </vt:variant>
      <vt:variant>
        <vt:lpwstr/>
      </vt:variant>
      <vt:variant>
        <vt:i4>1310786</vt:i4>
      </vt:variant>
      <vt:variant>
        <vt:i4>9</vt:i4>
      </vt:variant>
      <vt:variant>
        <vt:i4>0</vt:i4>
      </vt:variant>
      <vt:variant>
        <vt:i4>5</vt:i4>
      </vt:variant>
      <vt:variant>
        <vt:lpwstr>https://www.aph.gov.au/About_Parliament/Parliamentary_departments/Parliamentary_Library/Research/Research_Papers/2024-25/Reforming_Australia_Safeguard_Mechanism</vt:lpwstr>
      </vt:variant>
      <vt:variant>
        <vt:lpwstr>heading_0e907565b395428e973d32abad81345e</vt:lpwstr>
      </vt:variant>
      <vt:variant>
        <vt:i4>5963779</vt:i4>
      </vt:variant>
      <vt:variant>
        <vt:i4>6</vt:i4>
      </vt:variant>
      <vt:variant>
        <vt:i4>0</vt:i4>
      </vt:variant>
      <vt:variant>
        <vt:i4>5</vt:i4>
      </vt:variant>
      <vt:variant>
        <vt:lpwstr>https://www.iea.org/reports/world-energy-outlook-2024</vt:lpwstr>
      </vt:variant>
      <vt:variant>
        <vt:lpwstr/>
      </vt:variant>
      <vt:variant>
        <vt:i4>1179674</vt:i4>
      </vt:variant>
      <vt:variant>
        <vt:i4>3</vt:i4>
      </vt:variant>
      <vt:variant>
        <vt:i4>0</vt:i4>
      </vt:variant>
      <vt:variant>
        <vt:i4>5</vt:i4>
      </vt:variant>
      <vt:variant>
        <vt:lpwstr>https://openknowledge.worldbank.org/entities/publication/b0d66765-299c-4fb8-921f-61f6bb979087</vt:lpwstr>
      </vt:variant>
      <vt:variant>
        <vt:lpwstr/>
      </vt:variant>
      <vt:variant>
        <vt:i4>524311</vt:i4>
      </vt:variant>
      <vt:variant>
        <vt:i4>0</vt:i4>
      </vt:variant>
      <vt:variant>
        <vt:i4>0</vt:i4>
      </vt:variant>
      <vt:variant>
        <vt:i4>5</vt:i4>
      </vt:variant>
      <vt:variant>
        <vt:lpwstr>https://wmo.int/news/media-centre/wmo-confirms-2024-warmest-year-record-about-155degc-above-pre-industrial-level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Naff</dc:creator>
  <cp:keywords/>
  <dc:description/>
  <cp:lastModifiedBy>Hans Landon-Lane</cp:lastModifiedBy>
  <cp:revision>3</cp:revision>
  <cp:lastPrinted>2025-04-02T19:26:00Z</cp:lastPrinted>
  <dcterms:created xsi:type="dcterms:W3CDTF">2025-04-13T02:33:00Z</dcterms:created>
  <dcterms:modified xsi:type="dcterms:W3CDTF">2025-04-16T05:15:00Z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0x010100EDD070CD8C3B1241AF2B72868218A723</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_dlc_DocIdItemGuid">
    <vt:lpwstr>6adf0827-6559-43a4-8ec7-4c7f87ad4b60</vt:lpwstr>
  </property>
</Properties>
</file>