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4920194"/>
    <w:bookmarkEnd w:id="0"/>
    <w:p w14:paraId="539956D1" w14:textId="4BDAF6A8" w:rsidR="00A54E2E" w:rsidRDefault="001C3803">
      <w:pPr>
        <w:rPr>
          <w:lang w:val="en-US"/>
        </w:rPr>
      </w:pPr>
      <w:r>
        <w:rPr>
          <w:noProof/>
        </w:rPr>
        <mc:AlternateContent>
          <mc:Choice Requires="wps">
            <w:drawing>
              <wp:anchor distT="0" distB="0" distL="114300" distR="114300" simplePos="0" relativeHeight="251658243" behindDoc="1" locked="0" layoutInCell="1" allowOverlap="1" wp14:anchorId="78DBC003" wp14:editId="2BB1F49B">
                <wp:simplePos x="0" y="0"/>
                <wp:positionH relativeFrom="page">
                  <wp:posOffset>748030</wp:posOffset>
                </wp:positionH>
                <wp:positionV relativeFrom="page">
                  <wp:posOffset>4286250</wp:posOffset>
                </wp:positionV>
                <wp:extent cx="3812540" cy="888365"/>
                <wp:effectExtent l="0" t="0" r="16510" b="69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2540" cy="88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B2BBF" w14:textId="718E93C9" w:rsidR="0045356E" w:rsidRPr="001D4D95" w:rsidRDefault="0045356E" w:rsidP="007E3D82">
                            <w:pPr>
                              <w:spacing w:after="0" w:line="276" w:lineRule="auto"/>
                              <w:rPr>
                                <w:b/>
                                <w:bCs/>
                                <w:color w:val="1F3864" w:themeColor="accent1" w:themeShade="80"/>
                                <w:sz w:val="36"/>
                                <w:szCs w:val="36"/>
                              </w:rPr>
                            </w:pPr>
                            <w:r w:rsidRPr="001D4D95">
                              <w:rPr>
                                <w:b/>
                                <w:bCs/>
                                <w:color w:val="1F3864" w:themeColor="accent1" w:themeShade="80"/>
                                <w:sz w:val="36"/>
                                <w:szCs w:val="36"/>
                              </w:rPr>
                              <w:t xml:space="preserve">Technical </w:t>
                            </w:r>
                            <w:r w:rsidR="0078373C">
                              <w:rPr>
                                <w:b/>
                                <w:bCs/>
                                <w:color w:val="1F3864" w:themeColor="accent1" w:themeShade="80"/>
                                <w:sz w:val="36"/>
                                <w:szCs w:val="36"/>
                              </w:rPr>
                              <w:t>a</w:t>
                            </w:r>
                            <w:r w:rsidRPr="001D4D95">
                              <w:rPr>
                                <w:b/>
                                <w:bCs/>
                                <w:color w:val="1F3864" w:themeColor="accent1" w:themeShade="80"/>
                                <w:sz w:val="36"/>
                                <w:szCs w:val="36"/>
                              </w:rPr>
                              <w:t>nnex 1: Unit limit settings</w:t>
                            </w:r>
                          </w:p>
                          <w:p w14:paraId="3E01F2F1" w14:textId="5F1442FF" w:rsidR="0045356E" w:rsidRPr="001D4D95" w:rsidRDefault="0045356E" w:rsidP="009F0EFB">
                            <w:pPr>
                              <w:spacing w:after="0" w:line="276" w:lineRule="auto"/>
                              <w:rPr>
                                <w:color w:val="1F3864" w:themeColor="accent1" w:themeShade="80"/>
                                <w:sz w:val="32"/>
                                <w:szCs w:val="32"/>
                              </w:rPr>
                            </w:pPr>
                            <w:r w:rsidRPr="001D4D95">
                              <w:rPr>
                                <w:color w:val="1F3864" w:themeColor="accent1" w:themeShade="80"/>
                                <w:sz w:val="32"/>
                                <w:szCs w:val="32"/>
                              </w:rPr>
                              <w:t>April</w:t>
                            </w:r>
                            <w:r w:rsidRPr="001D4D95">
                              <w:rPr>
                                <w:color w:val="1F3864" w:themeColor="accent1" w:themeShade="80"/>
                                <w:spacing w:val="-15"/>
                                <w:sz w:val="32"/>
                                <w:szCs w:val="32"/>
                              </w:rPr>
                              <w:t xml:space="preserve"> </w:t>
                            </w:r>
                            <w:r w:rsidRPr="001D4D95">
                              <w:rPr>
                                <w:color w:val="1F3864" w:themeColor="accent1" w:themeShade="80"/>
                                <w:spacing w:val="-4"/>
                                <w:sz w:val="32"/>
                                <w:szCs w:val="32"/>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78DBC003">
                <v:stroke joinstyle="miter"/>
                <v:path gradientshapeok="t" o:connecttype="rect"/>
              </v:shapetype>
              <v:shape id="Text Box 35" style="position:absolute;margin-left:58.9pt;margin-top:337.5pt;width:300.2pt;height:69.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ZixgEAAHoDAAAOAAAAZHJzL2Uyb0RvYy54bWysU9uO0zAQfUfiHyy/07RddlVFTVfAahHS&#10;AistfIDj2I1F4jEzbpPy9YydpsvlDfFiTWbGx+ecmWxvx74TR4PkwFdytVhKYbyGxvl9Jb9+uX+1&#10;kYKi8o3qwJtKngzJ293LF9shlGYNLXSNQcEgnsohVLKNMZRFQbo1vaIFBOO5aAF7FfkT90WDamD0&#10;vivWy+VNMQA2AUEbIs7eTUW5y/jWGh0/W0smiq6SzC3mE/NZp7PYbVW5RxVap8801D+w6JXz/OgF&#10;6k5FJQ7o/oLqnUYgsHGhoS/AWqdN1sBqVss/1Dy1Kpishc2hcLGJ/h+s/nR8Co8o4vgWRh5gFkHh&#10;AfQ3Ym+KIVB57kmeUkmpux4+QsPTVIcI+cZosU/yWZBgGHb6dHHXjFFoTl5tVuvr11zSXNtsNlc3&#10;18n+QpXz7YAU3xvoRQoqiTy9jK6ODxSn1rklPebh3nVdnmDnf0swZspk9onwRD2O9cjdSUUNzYl1&#10;IEwLwQvMQQv4Q4qBl6GS9P2g0EjRffDsdtqcOcA5qOdAec1XKxmlmMJ3cdqwQ0C3bxl5stXDG/bL&#10;uizlmcWZJw84m3FexrRBv37nrudfZvcTAAD//wMAUEsDBBQABgAIAAAAIQBSndvG4AAAAAsBAAAP&#10;AAAAZHJzL2Rvd25yZXYueG1sTI8xT8MwFIR3JP6D9ZDYqJOINiHEqVBRxYAYWkBidGMTR8TPke2m&#10;7r/nMZXxdKe775p1siObtQ+DQwH5IgOmsXNqwF7Ax/v2rgIWokQlR4dawFkHWLfXV42slTvhTs/7&#10;2DMqwVBLASbGqeY8dEZbGRZu0kjet/NWRpK+58rLE5XbkRdZtuJWDkgLRk56Y3T3sz9aAZ+bafua&#10;vox8m5fq5bkod2ffJSFub9LTI7CoU7yE4Q+f0KElpoM7ogpsJJ2XhB4FrMolnaJEmVcFsIOAKr9/&#10;AN42/P+H9hcAAP//AwBQSwECLQAUAAYACAAAACEAtoM4kv4AAADhAQAAEwAAAAAAAAAAAAAAAAAA&#10;AAAAW0NvbnRlbnRfVHlwZXNdLnhtbFBLAQItABQABgAIAAAAIQA4/SH/1gAAAJQBAAALAAAAAAAA&#10;AAAAAAAAAC8BAABfcmVscy8ucmVsc1BLAQItABQABgAIAAAAIQBSt0ZixgEAAHoDAAAOAAAAAAAA&#10;AAAAAAAAAC4CAABkcnMvZTJvRG9jLnhtbFBLAQItABQABgAIAAAAIQBSndvG4AAAAAsBAAAPAAAA&#10;AAAAAAAAAAAAACAEAABkcnMvZG93bnJldi54bWxQSwUGAAAAAAQABADzAAAALQUAAAAA&#10;">
                <v:path arrowok="t"/>
                <v:textbox inset="0,0,0,0">
                  <w:txbxContent>
                    <w:p w:rsidRPr="001D4D95" w:rsidR="0045356E" w:rsidP="007E3D82" w:rsidRDefault="0045356E" w14:paraId="275B2BBF" w14:textId="718E93C9">
                      <w:pPr>
                        <w:spacing w:after="0" w:line="276" w:lineRule="auto"/>
                        <w:rPr>
                          <w:b/>
                          <w:bCs/>
                          <w:color w:val="1F3864" w:themeColor="accent1" w:themeShade="80"/>
                          <w:sz w:val="36"/>
                          <w:szCs w:val="36"/>
                        </w:rPr>
                      </w:pPr>
                      <w:r w:rsidRPr="001D4D95">
                        <w:rPr>
                          <w:b/>
                          <w:bCs/>
                          <w:color w:val="1F3864" w:themeColor="accent1" w:themeShade="80"/>
                          <w:sz w:val="36"/>
                          <w:szCs w:val="36"/>
                        </w:rPr>
                        <w:t xml:space="preserve">Technical </w:t>
                      </w:r>
                      <w:r w:rsidR="0078373C">
                        <w:rPr>
                          <w:b/>
                          <w:bCs/>
                          <w:color w:val="1F3864" w:themeColor="accent1" w:themeShade="80"/>
                          <w:sz w:val="36"/>
                          <w:szCs w:val="36"/>
                        </w:rPr>
                        <w:t>a</w:t>
                      </w:r>
                      <w:r w:rsidRPr="001D4D95">
                        <w:rPr>
                          <w:b/>
                          <w:bCs/>
                          <w:color w:val="1F3864" w:themeColor="accent1" w:themeShade="80"/>
                          <w:sz w:val="36"/>
                          <w:szCs w:val="36"/>
                        </w:rPr>
                        <w:t>nnex 1: Unit limit settings</w:t>
                      </w:r>
                    </w:p>
                    <w:p w:rsidRPr="001D4D95" w:rsidR="0045356E" w:rsidP="009F0EFB" w:rsidRDefault="0045356E" w14:paraId="3E01F2F1" w14:textId="5F1442FF">
                      <w:pPr>
                        <w:spacing w:after="0" w:line="276" w:lineRule="auto"/>
                        <w:rPr>
                          <w:color w:val="1F3864" w:themeColor="accent1" w:themeShade="80"/>
                          <w:sz w:val="32"/>
                          <w:szCs w:val="32"/>
                        </w:rPr>
                      </w:pPr>
                      <w:r w:rsidRPr="001D4D95">
                        <w:rPr>
                          <w:color w:val="1F3864" w:themeColor="accent1" w:themeShade="80"/>
                          <w:sz w:val="32"/>
                          <w:szCs w:val="32"/>
                        </w:rPr>
                        <w:t>April</w:t>
                      </w:r>
                      <w:r w:rsidRPr="001D4D95">
                        <w:rPr>
                          <w:color w:val="1F3864" w:themeColor="accent1" w:themeShade="80"/>
                          <w:spacing w:val="-15"/>
                          <w:sz w:val="32"/>
                          <w:szCs w:val="32"/>
                        </w:rPr>
                        <w:t xml:space="preserve"> </w:t>
                      </w:r>
                      <w:r w:rsidRPr="001D4D95">
                        <w:rPr>
                          <w:color w:val="1F3864" w:themeColor="accent1" w:themeShade="80"/>
                          <w:spacing w:val="-4"/>
                          <w:sz w:val="32"/>
                          <w:szCs w:val="32"/>
                        </w:rPr>
                        <w:t>2025</w:t>
                      </w:r>
                    </w:p>
                  </w:txbxContent>
                </v:textbox>
                <w10:wrap anchorx="page" anchory="page"/>
              </v:shape>
            </w:pict>
          </mc:Fallback>
        </mc:AlternateContent>
      </w:r>
      <w:r w:rsidR="00FE1E44">
        <w:rPr>
          <w:noProof/>
        </w:rPr>
        <mc:AlternateContent>
          <mc:Choice Requires="wps">
            <w:drawing>
              <wp:anchor distT="0" distB="0" distL="114300" distR="114300" simplePos="0" relativeHeight="251658242" behindDoc="1" locked="0" layoutInCell="1" allowOverlap="1" wp14:anchorId="6698941C" wp14:editId="2A356343">
                <wp:simplePos x="0" y="0"/>
                <wp:positionH relativeFrom="page">
                  <wp:posOffset>718820</wp:posOffset>
                </wp:positionH>
                <wp:positionV relativeFrom="page">
                  <wp:posOffset>1698625</wp:posOffset>
                </wp:positionV>
                <wp:extent cx="5838825" cy="2360930"/>
                <wp:effectExtent l="0" t="0" r="9525" b="12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882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6CA6" w14:textId="20572800" w:rsidR="00AD2FD6" w:rsidRDefault="00AD2FD6" w:rsidP="00AD2FD6">
                            <w:pPr>
                              <w:spacing w:line="192" w:lineRule="auto"/>
                              <w:ind w:left="20"/>
                              <w:rPr>
                                <w:b/>
                                <w:sz w:val="97"/>
                              </w:rPr>
                            </w:pPr>
                            <w:r>
                              <w:rPr>
                                <w:b/>
                                <w:color w:val="0F385A"/>
                                <w:spacing w:val="-18"/>
                                <w:sz w:val="97"/>
                              </w:rPr>
                              <w:t>Advice</w:t>
                            </w:r>
                            <w:r>
                              <w:rPr>
                                <w:b/>
                                <w:color w:val="0F385A"/>
                                <w:spacing w:val="-31"/>
                                <w:sz w:val="97"/>
                              </w:rPr>
                              <w:t xml:space="preserve"> </w:t>
                            </w:r>
                            <w:r>
                              <w:rPr>
                                <w:b/>
                                <w:color w:val="0F385A"/>
                                <w:spacing w:val="-5"/>
                                <w:sz w:val="97"/>
                              </w:rPr>
                              <w:t>on</w:t>
                            </w:r>
                            <w:r>
                              <w:rPr>
                                <w:b/>
                                <w:sz w:val="97"/>
                              </w:rPr>
                              <w:br/>
                            </w:r>
                            <w:r>
                              <w:rPr>
                                <w:b/>
                                <w:color w:val="00B3A5"/>
                                <w:sz w:val="97"/>
                              </w:rPr>
                              <w:t>NZ</w:t>
                            </w:r>
                            <w:r>
                              <w:rPr>
                                <w:b/>
                                <w:color w:val="00B3A5"/>
                                <w:spacing w:val="-43"/>
                                <w:sz w:val="97"/>
                              </w:rPr>
                              <w:t xml:space="preserve"> </w:t>
                            </w:r>
                            <w:r>
                              <w:rPr>
                                <w:b/>
                                <w:color w:val="00B3A5"/>
                                <w:spacing w:val="-5"/>
                                <w:sz w:val="97"/>
                              </w:rPr>
                              <w:t>ETS unit limits and price control settings for 2026</w:t>
                            </w:r>
                            <w:r w:rsidRPr="00B46A98">
                              <w:rPr>
                                <w:color w:val="00B3A5"/>
                                <w:sz w:val="97"/>
                                <w:szCs w:val="97"/>
                              </w:rPr>
                              <w:t>–</w:t>
                            </w:r>
                            <w:r>
                              <w:rPr>
                                <w:b/>
                                <w:color w:val="00B3A5"/>
                                <w:spacing w:val="-5"/>
                                <w:sz w:val="97"/>
                              </w:rPr>
                              <w:t>2030</w:t>
                            </w:r>
                          </w:p>
                          <w:p w14:paraId="6438F83D" w14:textId="77777777" w:rsidR="00AD2FD6" w:rsidRDefault="00AD2FD6" w:rsidP="00AD2FD6">
                            <w:pPr>
                              <w:spacing w:before="315" w:line="240" w:lineRule="auto"/>
                              <w:ind w:left="23" w:right="11"/>
                              <w:rPr>
                                <w:sz w:val="28"/>
                              </w:rPr>
                            </w:pPr>
                            <w:r>
                              <w:rPr>
                                <w:b/>
                                <w:color w:val="0F385A"/>
                                <w:sz w:val="28"/>
                              </w:rPr>
                              <w:t>Recommendations</w:t>
                            </w:r>
                            <w:r>
                              <w:rPr>
                                <w:b/>
                                <w:color w:val="0F385A"/>
                                <w:spacing w:val="-2"/>
                                <w:sz w:val="28"/>
                              </w:rPr>
                              <w:t xml:space="preserve"> </w:t>
                            </w:r>
                            <w:r>
                              <w:rPr>
                                <w:b/>
                                <w:color w:val="0F385A"/>
                                <w:sz w:val="28"/>
                              </w:rPr>
                              <w:t>on</w:t>
                            </w:r>
                            <w:r>
                              <w:rPr>
                                <w:b/>
                                <w:color w:val="0F385A"/>
                                <w:spacing w:val="-2"/>
                                <w:sz w:val="28"/>
                              </w:rPr>
                              <w:t xml:space="preserve"> </w:t>
                            </w:r>
                            <w:r>
                              <w:rPr>
                                <w:b/>
                                <w:color w:val="0F385A"/>
                                <w:sz w:val="28"/>
                              </w:rPr>
                              <w:t>the</w:t>
                            </w:r>
                            <w:r>
                              <w:rPr>
                                <w:b/>
                                <w:color w:val="0F385A"/>
                                <w:spacing w:val="-2"/>
                                <w:sz w:val="28"/>
                              </w:rPr>
                              <w:t xml:space="preserve"> </w:t>
                            </w:r>
                            <w:r>
                              <w:rPr>
                                <w:b/>
                                <w:color w:val="0F385A"/>
                                <w:sz w:val="28"/>
                              </w:rPr>
                              <w:t>unit</w:t>
                            </w:r>
                            <w:r>
                              <w:rPr>
                                <w:b/>
                                <w:color w:val="0F385A"/>
                                <w:spacing w:val="-2"/>
                                <w:sz w:val="28"/>
                              </w:rPr>
                              <w:t xml:space="preserve"> </w:t>
                            </w:r>
                            <w:r>
                              <w:rPr>
                                <w:b/>
                                <w:color w:val="0F385A"/>
                                <w:sz w:val="28"/>
                              </w:rPr>
                              <w:t>limit</w:t>
                            </w:r>
                            <w:r>
                              <w:rPr>
                                <w:b/>
                                <w:color w:val="0F385A"/>
                                <w:spacing w:val="-2"/>
                                <w:sz w:val="28"/>
                              </w:rPr>
                              <w:t xml:space="preserve"> </w:t>
                            </w:r>
                            <w:r>
                              <w:rPr>
                                <w:b/>
                                <w:color w:val="0F385A"/>
                                <w:sz w:val="28"/>
                              </w:rPr>
                              <w:t>and</w:t>
                            </w:r>
                            <w:r>
                              <w:rPr>
                                <w:b/>
                                <w:color w:val="0F385A"/>
                                <w:spacing w:val="-2"/>
                                <w:sz w:val="28"/>
                              </w:rPr>
                              <w:t xml:space="preserve"> </w:t>
                            </w:r>
                            <w:r>
                              <w:rPr>
                                <w:b/>
                                <w:color w:val="0F385A"/>
                                <w:sz w:val="28"/>
                              </w:rPr>
                              <w:t>price</w:t>
                            </w:r>
                            <w:r>
                              <w:rPr>
                                <w:b/>
                                <w:color w:val="0F385A"/>
                                <w:spacing w:val="-2"/>
                                <w:sz w:val="28"/>
                              </w:rPr>
                              <w:t xml:space="preserve"> </w:t>
                            </w:r>
                            <w:r>
                              <w:rPr>
                                <w:b/>
                                <w:color w:val="0F385A"/>
                                <w:sz w:val="28"/>
                              </w:rPr>
                              <w:t xml:space="preserve">control </w:t>
                            </w:r>
                            <w:r>
                              <w:rPr>
                                <w:b/>
                                <w:color w:val="0F385A"/>
                                <w:spacing w:val="-2"/>
                                <w:sz w:val="28"/>
                              </w:rPr>
                              <w:t>settings</w:t>
                            </w:r>
                            <w:r>
                              <w:rPr>
                                <w:b/>
                                <w:color w:val="0F385A"/>
                                <w:spacing w:val="-14"/>
                                <w:sz w:val="28"/>
                              </w:rPr>
                              <w:t xml:space="preserve"> </w:t>
                            </w:r>
                            <w:r>
                              <w:rPr>
                                <w:b/>
                                <w:color w:val="0F385A"/>
                                <w:spacing w:val="-2"/>
                                <w:sz w:val="28"/>
                              </w:rPr>
                              <w:t>of</w:t>
                            </w:r>
                            <w:r>
                              <w:rPr>
                                <w:b/>
                                <w:color w:val="0F385A"/>
                                <w:spacing w:val="-14"/>
                                <w:sz w:val="28"/>
                              </w:rPr>
                              <w:t xml:space="preserve"> </w:t>
                            </w:r>
                            <w:r>
                              <w:rPr>
                                <w:b/>
                                <w:color w:val="0F385A"/>
                                <w:spacing w:val="-2"/>
                                <w:sz w:val="28"/>
                              </w:rPr>
                              <w:t>the</w:t>
                            </w:r>
                            <w:r>
                              <w:rPr>
                                <w:b/>
                                <w:color w:val="0F385A"/>
                                <w:spacing w:val="-14"/>
                                <w:sz w:val="28"/>
                              </w:rPr>
                              <w:t xml:space="preserve"> </w:t>
                            </w:r>
                            <w:r>
                              <w:rPr>
                                <w:b/>
                                <w:color w:val="0F385A"/>
                                <w:spacing w:val="-2"/>
                                <w:sz w:val="28"/>
                              </w:rPr>
                              <w:t>New</w:t>
                            </w:r>
                            <w:r>
                              <w:rPr>
                                <w:b/>
                                <w:color w:val="0F385A"/>
                                <w:spacing w:val="-14"/>
                                <w:sz w:val="28"/>
                              </w:rPr>
                              <w:t xml:space="preserve"> </w:t>
                            </w:r>
                            <w:r>
                              <w:rPr>
                                <w:b/>
                                <w:color w:val="0F385A"/>
                                <w:spacing w:val="-2"/>
                                <w:sz w:val="28"/>
                              </w:rPr>
                              <w:t>Zealand</w:t>
                            </w:r>
                            <w:r>
                              <w:rPr>
                                <w:b/>
                                <w:color w:val="0F385A"/>
                                <w:spacing w:val="-14"/>
                                <w:sz w:val="28"/>
                              </w:rPr>
                              <w:t xml:space="preserve"> </w:t>
                            </w:r>
                            <w:r>
                              <w:rPr>
                                <w:b/>
                                <w:color w:val="0F385A"/>
                                <w:spacing w:val="-2"/>
                                <w:sz w:val="28"/>
                              </w:rPr>
                              <w:t>Emissions</w:t>
                            </w:r>
                            <w:r>
                              <w:rPr>
                                <w:b/>
                                <w:color w:val="0F385A"/>
                                <w:spacing w:val="-13"/>
                                <w:sz w:val="28"/>
                              </w:rPr>
                              <w:t xml:space="preserve"> </w:t>
                            </w:r>
                            <w:r>
                              <w:rPr>
                                <w:b/>
                                <w:color w:val="0F385A"/>
                                <w:spacing w:val="-2"/>
                                <w:sz w:val="28"/>
                              </w:rPr>
                              <w:t>Trading</w:t>
                            </w:r>
                            <w:r>
                              <w:rPr>
                                <w:b/>
                                <w:color w:val="0F385A"/>
                                <w:spacing w:val="-14"/>
                                <w:sz w:val="28"/>
                              </w:rPr>
                              <w:t xml:space="preserve"> </w:t>
                            </w:r>
                            <w:r>
                              <w:rPr>
                                <w:b/>
                                <w:color w:val="0F385A"/>
                                <w:spacing w:val="-2"/>
                                <w:sz w:val="28"/>
                              </w:rPr>
                              <w:t>Scheme</w:t>
                            </w:r>
                            <w:r>
                              <w:rPr>
                                <w:b/>
                                <w:color w:val="0F385A"/>
                                <w:spacing w:val="-14"/>
                                <w:sz w:val="28"/>
                              </w:rPr>
                              <w:t xml:space="preserve"> </w:t>
                            </w:r>
                            <w:r>
                              <w:rPr>
                                <w:color w:val="0F385A"/>
                                <w:spacing w:val="-2"/>
                                <w:sz w:val="28"/>
                              </w:rPr>
                              <w:t xml:space="preserve">to </w:t>
                            </w:r>
                            <w:r>
                              <w:rPr>
                                <w:color w:val="0F385A"/>
                                <w:sz w:val="28"/>
                              </w:rPr>
                              <w:t>help</w:t>
                            </w:r>
                            <w:r>
                              <w:rPr>
                                <w:color w:val="0F385A"/>
                                <w:spacing w:val="-6"/>
                                <w:sz w:val="28"/>
                              </w:rPr>
                              <w:t xml:space="preserve"> </w:t>
                            </w:r>
                            <w:r>
                              <w:rPr>
                                <w:color w:val="0F385A"/>
                                <w:sz w:val="28"/>
                              </w:rPr>
                              <w:t>Aotearoa</w:t>
                            </w:r>
                            <w:r>
                              <w:rPr>
                                <w:color w:val="0F385A"/>
                                <w:spacing w:val="-6"/>
                                <w:sz w:val="28"/>
                              </w:rPr>
                              <w:t xml:space="preserve"> </w:t>
                            </w:r>
                            <w:r>
                              <w:rPr>
                                <w:color w:val="0F385A"/>
                                <w:sz w:val="28"/>
                              </w:rPr>
                              <w:t>transition</w:t>
                            </w:r>
                            <w:r>
                              <w:rPr>
                                <w:color w:val="0F385A"/>
                                <w:spacing w:val="-6"/>
                                <w:sz w:val="28"/>
                              </w:rPr>
                              <w:t xml:space="preserve"> </w:t>
                            </w:r>
                            <w:r>
                              <w:rPr>
                                <w:color w:val="0F385A"/>
                                <w:sz w:val="28"/>
                              </w:rPr>
                              <w:t>to</w:t>
                            </w:r>
                            <w:r>
                              <w:rPr>
                                <w:color w:val="0F385A"/>
                                <w:spacing w:val="-6"/>
                                <w:sz w:val="28"/>
                              </w:rPr>
                              <w:t xml:space="preserve"> </w:t>
                            </w:r>
                            <w:r>
                              <w:rPr>
                                <w:color w:val="0F385A"/>
                                <w:sz w:val="28"/>
                              </w:rPr>
                              <w:t>a</w:t>
                            </w:r>
                            <w:r>
                              <w:rPr>
                                <w:color w:val="0F385A"/>
                                <w:spacing w:val="-6"/>
                                <w:sz w:val="28"/>
                              </w:rPr>
                              <w:t xml:space="preserve"> </w:t>
                            </w:r>
                            <w:r>
                              <w:rPr>
                                <w:color w:val="0F385A"/>
                                <w:sz w:val="28"/>
                              </w:rPr>
                              <w:t>low</w:t>
                            </w:r>
                            <w:r>
                              <w:rPr>
                                <w:color w:val="0F385A"/>
                                <w:spacing w:val="-6"/>
                                <w:sz w:val="28"/>
                              </w:rPr>
                              <w:t xml:space="preserve"> </w:t>
                            </w:r>
                            <w:r>
                              <w:rPr>
                                <w:color w:val="0F385A"/>
                                <w:sz w:val="28"/>
                              </w:rPr>
                              <w:t>emissions</w:t>
                            </w:r>
                            <w:r>
                              <w:rPr>
                                <w:color w:val="0F385A"/>
                                <w:spacing w:val="-6"/>
                                <w:sz w:val="28"/>
                              </w:rPr>
                              <w:t xml:space="preserve"> </w:t>
                            </w:r>
                            <w:r>
                              <w:rPr>
                                <w:color w:val="0F385A"/>
                                <w:sz w:val="28"/>
                              </w:rPr>
                              <w:t>economy.</w:t>
                            </w:r>
                          </w:p>
                          <w:p w14:paraId="7898377D" w14:textId="77777777" w:rsidR="00AD2FD6" w:rsidRDefault="00AD2FD6" w:rsidP="00AD2FD6">
                            <w:pPr>
                              <w:pStyle w:val="Heading4"/>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34" style="position:absolute;margin-left:56.6pt;margin-top:133.75pt;width:459.75pt;height:185.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5hzAEAAIIDAAAOAAAAZHJzL2Uyb0RvYy54bWysU9uO0zAQfUfiHyy/02Rb7apETVfAahHS&#10;AistfIDr2I1F4jEzbpPy9YydpsvlDfFiTcYzx+ecmWxux74TR4PkwNfyalFKYbyGxvl9Lb9+uX+1&#10;loKi8o3qwJtangzJ2+3LF5shVGYJLXSNQcEgnqoh1LKNMVRFQbo1vaIFBOP50gL2KvIn7osG1cDo&#10;fVcsy/KmGACbgKANEWfvpku5zfjWGh0/W0smiq6WzC3mE/O5S2ex3ahqjyq0Tp9pqH9g0Svn+dEL&#10;1J2KShzQ/QXVO41AYONCQ1+AtU6brIHVXJV/qHlqVTBZC5tD4WIT/T9Y/en4FB5RxPEtjDzALILC&#10;A+hvxN4UQ6DqXJM8pYpS9W74CA1PUx0i5I7RYp/ksyDBMOz06eKuGaPQnLxer9br5bUUmu+Wq5vy&#10;9Sr7X6hqbg9I8b2BXqSglsjjy/Dq+EAx0VHVXJJe83Dvui6PsPO/JbgwZTL9xHjiHsfdKFyTZHJT&#10;UrOD5sR6EKbF4EXmoAX8IcXAS1FL+n5QaKToPnh2PW3QHOAc7OZAec2ttYxSTOG7OG3aIaDbt4w8&#10;2evhDftmXVb0zOJMlwedhZ6XMm3Sr9+56vnX2f4EAAD//wMAUEsDBBQABgAIAAAAIQCjqdFD4QAA&#10;AAwBAAAPAAAAZHJzL2Rvd25yZXYueG1sTI/BTsMwEETvSPyDtUjcqFNHTSDEqVBRxQFxaAGJoxsv&#10;cUS8jmI3df8e9wTH0T7NvK3X0Q5sxsn3jiQsFxkwpNbpnjoJH+/bu3tgPijSanCEEs7oYd1cX9Wq&#10;0u5EO5z3oWOphHylJJgQxopz3xq0yi/ciJRu326yKqQ4dVxP6pTK7cBFlhXcqp7SglEjbgy2P/uj&#10;lfC5Gbev8cuot3mlX55FuTtPbZTy9iY+PQILGMMfDBf9pA5Ncjq4I2nPhpSXuUioBFGUK2AXIstF&#10;CewgocgfcuBNzf8/0fwCAAD//wMAUEsBAi0AFAAGAAgAAAAhALaDOJL+AAAA4QEAABMAAAAAAAAA&#10;AAAAAAAAAAAAAFtDb250ZW50X1R5cGVzXS54bWxQSwECLQAUAAYACAAAACEAOP0h/9YAAACUAQAA&#10;CwAAAAAAAAAAAAAAAAAvAQAAX3JlbHMvLnJlbHNQSwECLQAUAAYACAAAACEARII+YcwBAACCAwAA&#10;DgAAAAAAAAAAAAAAAAAuAgAAZHJzL2Uyb0RvYy54bWxQSwECLQAUAAYACAAAACEAo6nRQ+EAAAAM&#10;AQAADwAAAAAAAAAAAAAAAAAmBAAAZHJzL2Rvd25yZXYueG1sUEsFBgAAAAAEAAQA8wAAADQFAAAA&#10;AA==&#10;" w14:anchorId="6698941C">
                <v:path arrowok="t"/>
                <v:textbox inset="0,0,0,0">
                  <w:txbxContent>
                    <w:p w:rsidR="00AD2FD6" w:rsidP="00AD2FD6" w:rsidRDefault="00AD2FD6" w14:paraId="46346CA6" w14:textId="20572800">
                      <w:pPr>
                        <w:spacing w:line="192" w:lineRule="auto"/>
                        <w:ind w:left="20"/>
                        <w:rPr>
                          <w:b/>
                          <w:sz w:val="97"/>
                        </w:rPr>
                      </w:pPr>
                      <w:r>
                        <w:rPr>
                          <w:b/>
                          <w:color w:val="0F385A"/>
                          <w:spacing w:val="-18"/>
                          <w:sz w:val="97"/>
                        </w:rPr>
                        <w:t>Advice</w:t>
                      </w:r>
                      <w:r>
                        <w:rPr>
                          <w:b/>
                          <w:color w:val="0F385A"/>
                          <w:spacing w:val="-31"/>
                          <w:sz w:val="97"/>
                        </w:rPr>
                        <w:t xml:space="preserve"> </w:t>
                      </w:r>
                      <w:r>
                        <w:rPr>
                          <w:b/>
                          <w:color w:val="0F385A"/>
                          <w:spacing w:val="-5"/>
                          <w:sz w:val="97"/>
                        </w:rPr>
                        <w:t>on</w:t>
                      </w:r>
                      <w:r>
                        <w:rPr>
                          <w:b/>
                          <w:sz w:val="97"/>
                        </w:rPr>
                        <w:br/>
                      </w:r>
                      <w:r>
                        <w:rPr>
                          <w:b/>
                          <w:color w:val="00B3A5"/>
                          <w:sz w:val="97"/>
                        </w:rPr>
                        <w:t>NZ</w:t>
                      </w:r>
                      <w:r>
                        <w:rPr>
                          <w:b/>
                          <w:color w:val="00B3A5"/>
                          <w:spacing w:val="-43"/>
                          <w:sz w:val="97"/>
                        </w:rPr>
                        <w:t xml:space="preserve"> </w:t>
                      </w:r>
                      <w:r>
                        <w:rPr>
                          <w:b/>
                          <w:color w:val="00B3A5"/>
                          <w:spacing w:val="-5"/>
                          <w:sz w:val="97"/>
                        </w:rPr>
                        <w:t>ETS unit limits and price control settings for 2026</w:t>
                      </w:r>
                      <w:r w:rsidRPr="00B46A98">
                        <w:rPr>
                          <w:color w:val="00B3A5"/>
                          <w:sz w:val="97"/>
                          <w:szCs w:val="97"/>
                        </w:rPr>
                        <w:t>–</w:t>
                      </w:r>
                      <w:r>
                        <w:rPr>
                          <w:b/>
                          <w:color w:val="00B3A5"/>
                          <w:spacing w:val="-5"/>
                          <w:sz w:val="97"/>
                        </w:rPr>
                        <w:t>2030</w:t>
                      </w:r>
                    </w:p>
                    <w:p w:rsidR="00AD2FD6" w:rsidP="00AD2FD6" w:rsidRDefault="00AD2FD6" w14:paraId="6438F83D" w14:textId="77777777">
                      <w:pPr>
                        <w:spacing w:before="315" w:line="240" w:lineRule="auto"/>
                        <w:ind w:left="23" w:right="11"/>
                        <w:rPr>
                          <w:sz w:val="28"/>
                        </w:rPr>
                      </w:pPr>
                      <w:r>
                        <w:rPr>
                          <w:b/>
                          <w:color w:val="0F385A"/>
                          <w:sz w:val="28"/>
                        </w:rPr>
                        <w:t>Recommendations</w:t>
                      </w:r>
                      <w:r>
                        <w:rPr>
                          <w:b/>
                          <w:color w:val="0F385A"/>
                          <w:spacing w:val="-2"/>
                          <w:sz w:val="28"/>
                        </w:rPr>
                        <w:t xml:space="preserve"> </w:t>
                      </w:r>
                      <w:r>
                        <w:rPr>
                          <w:b/>
                          <w:color w:val="0F385A"/>
                          <w:sz w:val="28"/>
                        </w:rPr>
                        <w:t>on</w:t>
                      </w:r>
                      <w:r>
                        <w:rPr>
                          <w:b/>
                          <w:color w:val="0F385A"/>
                          <w:spacing w:val="-2"/>
                          <w:sz w:val="28"/>
                        </w:rPr>
                        <w:t xml:space="preserve"> </w:t>
                      </w:r>
                      <w:r>
                        <w:rPr>
                          <w:b/>
                          <w:color w:val="0F385A"/>
                          <w:sz w:val="28"/>
                        </w:rPr>
                        <w:t>the</w:t>
                      </w:r>
                      <w:r>
                        <w:rPr>
                          <w:b/>
                          <w:color w:val="0F385A"/>
                          <w:spacing w:val="-2"/>
                          <w:sz w:val="28"/>
                        </w:rPr>
                        <w:t xml:space="preserve"> </w:t>
                      </w:r>
                      <w:r>
                        <w:rPr>
                          <w:b/>
                          <w:color w:val="0F385A"/>
                          <w:sz w:val="28"/>
                        </w:rPr>
                        <w:t>unit</w:t>
                      </w:r>
                      <w:r>
                        <w:rPr>
                          <w:b/>
                          <w:color w:val="0F385A"/>
                          <w:spacing w:val="-2"/>
                          <w:sz w:val="28"/>
                        </w:rPr>
                        <w:t xml:space="preserve"> </w:t>
                      </w:r>
                      <w:r>
                        <w:rPr>
                          <w:b/>
                          <w:color w:val="0F385A"/>
                          <w:sz w:val="28"/>
                        </w:rPr>
                        <w:t>limit</w:t>
                      </w:r>
                      <w:r>
                        <w:rPr>
                          <w:b/>
                          <w:color w:val="0F385A"/>
                          <w:spacing w:val="-2"/>
                          <w:sz w:val="28"/>
                        </w:rPr>
                        <w:t xml:space="preserve"> </w:t>
                      </w:r>
                      <w:r>
                        <w:rPr>
                          <w:b/>
                          <w:color w:val="0F385A"/>
                          <w:sz w:val="28"/>
                        </w:rPr>
                        <w:t>and</w:t>
                      </w:r>
                      <w:r>
                        <w:rPr>
                          <w:b/>
                          <w:color w:val="0F385A"/>
                          <w:spacing w:val="-2"/>
                          <w:sz w:val="28"/>
                        </w:rPr>
                        <w:t xml:space="preserve"> </w:t>
                      </w:r>
                      <w:r>
                        <w:rPr>
                          <w:b/>
                          <w:color w:val="0F385A"/>
                          <w:sz w:val="28"/>
                        </w:rPr>
                        <w:t>price</w:t>
                      </w:r>
                      <w:r>
                        <w:rPr>
                          <w:b/>
                          <w:color w:val="0F385A"/>
                          <w:spacing w:val="-2"/>
                          <w:sz w:val="28"/>
                        </w:rPr>
                        <w:t xml:space="preserve"> </w:t>
                      </w:r>
                      <w:r>
                        <w:rPr>
                          <w:b/>
                          <w:color w:val="0F385A"/>
                          <w:sz w:val="28"/>
                        </w:rPr>
                        <w:t xml:space="preserve">control </w:t>
                      </w:r>
                      <w:r>
                        <w:rPr>
                          <w:b/>
                          <w:color w:val="0F385A"/>
                          <w:spacing w:val="-2"/>
                          <w:sz w:val="28"/>
                        </w:rPr>
                        <w:t>settings</w:t>
                      </w:r>
                      <w:r>
                        <w:rPr>
                          <w:b/>
                          <w:color w:val="0F385A"/>
                          <w:spacing w:val="-14"/>
                          <w:sz w:val="28"/>
                        </w:rPr>
                        <w:t xml:space="preserve"> </w:t>
                      </w:r>
                      <w:r>
                        <w:rPr>
                          <w:b/>
                          <w:color w:val="0F385A"/>
                          <w:spacing w:val="-2"/>
                          <w:sz w:val="28"/>
                        </w:rPr>
                        <w:t>of</w:t>
                      </w:r>
                      <w:r>
                        <w:rPr>
                          <w:b/>
                          <w:color w:val="0F385A"/>
                          <w:spacing w:val="-14"/>
                          <w:sz w:val="28"/>
                        </w:rPr>
                        <w:t xml:space="preserve"> </w:t>
                      </w:r>
                      <w:r>
                        <w:rPr>
                          <w:b/>
                          <w:color w:val="0F385A"/>
                          <w:spacing w:val="-2"/>
                          <w:sz w:val="28"/>
                        </w:rPr>
                        <w:t>the</w:t>
                      </w:r>
                      <w:r>
                        <w:rPr>
                          <w:b/>
                          <w:color w:val="0F385A"/>
                          <w:spacing w:val="-14"/>
                          <w:sz w:val="28"/>
                        </w:rPr>
                        <w:t xml:space="preserve"> </w:t>
                      </w:r>
                      <w:r>
                        <w:rPr>
                          <w:b/>
                          <w:color w:val="0F385A"/>
                          <w:spacing w:val="-2"/>
                          <w:sz w:val="28"/>
                        </w:rPr>
                        <w:t>New</w:t>
                      </w:r>
                      <w:r>
                        <w:rPr>
                          <w:b/>
                          <w:color w:val="0F385A"/>
                          <w:spacing w:val="-14"/>
                          <w:sz w:val="28"/>
                        </w:rPr>
                        <w:t xml:space="preserve"> </w:t>
                      </w:r>
                      <w:r>
                        <w:rPr>
                          <w:b/>
                          <w:color w:val="0F385A"/>
                          <w:spacing w:val="-2"/>
                          <w:sz w:val="28"/>
                        </w:rPr>
                        <w:t>Zealand</w:t>
                      </w:r>
                      <w:r>
                        <w:rPr>
                          <w:b/>
                          <w:color w:val="0F385A"/>
                          <w:spacing w:val="-14"/>
                          <w:sz w:val="28"/>
                        </w:rPr>
                        <w:t xml:space="preserve"> </w:t>
                      </w:r>
                      <w:r>
                        <w:rPr>
                          <w:b/>
                          <w:color w:val="0F385A"/>
                          <w:spacing w:val="-2"/>
                          <w:sz w:val="28"/>
                        </w:rPr>
                        <w:t>Emissions</w:t>
                      </w:r>
                      <w:r>
                        <w:rPr>
                          <w:b/>
                          <w:color w:val="0F385A"/>
                          <w:spacing w:val="-13"/>
                          <w:sz w:val="28"/>
                        </w:rPr>
                        <w:t xml:space="preserve"> </w:t>
                      </w:r>
                      <w:r>
                        <w:rPr>
                          <w:b/>
                          <w:color w:val="0F385A"/>
                          <w:spacing w:val="-2"/>
                          <w:sz w:val="28"/>
                        </w:rPr>
                        <w:t>Trading</w:t>
                      </w:r>
                      <w:r>
                        <w:rPr>
                          <w:b/>
                          <w:color w:val="0F385A"/>
                          <w:spacing w:val="-14"/>
                          <w:sz w:val="28"/>
                        </w:rPr>
                        <w:t xml:space="preserve"> </w:t>
                      </w:r>
                      <w:r>
                        <w:rPr>
                          <w:b/>
                          <w:color w:val="0F385A"/>
                          <w:spacing w:val="-2"/>
                          <w:sz w:val="28"/>
                        </w:rPr>
                        <w:t>Scheme</w:t>
                      </w:r>
                      <w:r>
                        <w:rPr>
                          <w:b/>
                          <w:color w:val="0F385A"/>
                          <w:spacing w:val="-14"/>
                          <w:sz w:val="28"/>
                        </w:rPr>
                        <w:t xml:space="preserve"> </w:t>
                      </w:r>
                      <w:r>
                        <w:rPr>
                          <w:color w:val="0F385A"/>
                          <w:spacing w:val="-2"/>
                          <w:sz w:val="28"/>
                        </w:rPr>
                        <w:t xml:space="preserve">to </w:t>
                      </w:r>
                      <w:r>
                        <w:rPr>
                          <w:color w:val="0F385A"/>
                          <w:sz w:val="28"/>
                        </w:rPr>
                        <w:t>help</w:t>
                      </w:r>
                      <w:r>
                        <w:rPr>
                          <w:color w:val="0F385A"/>
                          <w:spacing w:val="-6"/>
                          <w:sz w:val="28"/>
                        </w:rPr>
                        <w:t xml:space="preserve"> </w:t>
                      </w:r>
                      <w:r>
                        <w:rPr>
                          <w:color w:val="0F385A"/>
                          <w:sz w:val="28"/>
                        </w:rPr>
                        <w:t>Aotearoa</w:t>
                      </w:r>
                      <w:r>
                        <w:rPr>
                          <w:color w:val="0F385A"/>
                          <w:spacing w:val="-6"/>
                          <w:sz w:val="28"/>
                        </w:rPr>
                        <w:t xml:space="preserve"> </w:t>
                      </w:r>
                      <w:r>
                        <w:rPr>
                          <w:color w:val="0F385A"/>
                          <w:sz w:val="28"/>
                        </w:rPr>
                        <w:t>transition</w:t>
                      </w:r>
                      <w:r>
                        <w:rPr>
                          <w:color w:val="0F385A"/>
                          <w:spacing w:val="-6"/>
                          <w:sz w:val="28"/>
                        </w:rPr>
                        <w:t xml:space="preserve"> </w:t>
                      </w:r>
                      <w:r>
                        <w:rPr>
                          <w:color w:val="0F385A"/>
                          <w:sz w:val="28"/>
                        </w:rPr>
                        <w:t>to</w:t>
                      </w:r>
                      <w:r>
                        <w:rPr>
                          <w:color w:val="0F385A"/>
                          <w:spacing w:val="-6"/>
                          <w:sz w:val="28"/>
                        </w:rPr>
                        <w:t xml:space="preserve"> </w:t>
                      </w:r>
                      <w:r>
                        <w:rPr>
                          <w:color w:val="0F385A"/>
                          <w:sz w:val="28"/>
                        </w:rPr>
                        <w:t>a</w:t>
                      </w:r>
                      <w:r>
                        <w:rPr>
                          <w:color w:val="0F385A"/>
                          <w:spacing w:val="-6"/>
                          <w:sz w:val="28"/>
                        </w:rPr>
                        <w:t xml:space="preserve"> </w:t>
                      </w:r>
                      <w:r>
                        <w:rPr>
                          <w:color w:val="0F385A"/>
                          <w:sz w:val="28"/>
                        </w:rPr>
                        <w:t>low</w:t>
                      </w:r>
                      <w:r>
                        <w:rPr>
                          <w:color w:val="0F385A"/>
                          <w:spacing w:val="-6"/>
                          <w:sz w:val="28"/>
                        </w:rPr>
                        <w:t xml:space="preserve"> </w:t>
                      </w:r>
                      <w:r>
                        <w:rPr>
                          <w:color w:val="0F385A"/>
                          <w:sz w:val="28"/>
                        </w:rPr>
                        <w:t>emissions</w:t>
                      </w:r>
                      <w:r>
                        <w:rPr>
                          <w:color w:val="0F385A"/>
                          <w:spacing w:val="-6"/>
                          <w:sz w:val="28"/>
                        </w:rPr>
                        <w:t xml:space="preserve"> </w:t>
                      </w:r>
                      <w:r>
                        <w:rPr>
                          <w:color w:val="0F385A"/>
                          <w:sz w:val="28"/>
                        </w:rPr>
                        <w:t>economy.</w:t>
                      </w:r>
                    </w:p>
                    <w:p w:rsidR="00AD2FD6" w:rsidP="00AD2FD6" w:rsidRDefault="00AD2FD6" w14:paraId="7898377D" w14:textId="77777777">
                      <w:pPr>
                        <w:pStyle w:val="Heading4"/>
                        <w:rPr>
                          <w:rFonts w:hint="eastAsia"/>
                        </w:rPr>
                      </w:pPr>
                    </w:p>
                  </w:txbxContent>
                </v:textbox>
                <w10:wrap anchorx="page" anchory="page"/>
              </v:shape>
            </w:pict>
          </mc:Fallback>
        </mc:AlternateContent>
      </w:r>
      <w:r w:rsidR="00EB6E44">
        <w:rPr>
          <w:noProof/>
        </w:rPr>
        <mc:AlternateContent>
          <mc:Choice Requires="wps">
            <w:drawing>
              <wp:anchor distT="0" distB="0" distL="114300" distR="114300" simplePos="0" relativeHeight="251658241" behindDoc="0" locked="0" layoutInCell="1" allowOverlap="1" wp14:anchorId="538EECFA" wp14:editId="6EC9FE06">
                <wp:simplePos x="0" y="0"/>
                <wp:positionH relativeFrom="column">
                  <wp:posOffset>4234815</wp:posOffset>
                </wp:positionH>
                <wp:positionV relativeFrom="paragraph">
                  <wp:posOffset>-309628</wp:posOffset>
                </wp:positionV>
                <wp:extent cx="1600873" cy="768227"/>
                <wp:effectExtent l="0" t="0" r="0" b="0"/>
                <wp:wrapNone/>
                <wp:docPr id="1763629" name="Text Box 1763629"/>
                <wp:cNvGraphicFramePr/>
                <a:graphic xmlns:a="http://schemas.openxmlformats.org/drawingml/2006/main">
                  <a:graphicData uri="http://schemas.microsoft.com/office/word/2010/wordprocessingShape">
                    <wps:wsp>
                      <wps:cNvSpPr txBox="1"/>
                      <wps:spPr>
                        <a:xfrm>
                          <a:off x="0" y="0"/>
                          <a:ext cx="1600873" cy="768227"/>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6350">
                          <a:noFill/>
                        </a:ln>
                      </wps:spPr>
                      <wps:txbx>
                        <w:txbxContent>
                          <w:p w14:paraId="0A6795EF" w14:textId="77777777" w:rsidR="002730E8" w:rsidRDefault="002730E8" w:rsidP="002730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1763629" style="position:absolute;margin-left:333.45pt;margin-top:-24.4pt;width:126.05pt;height: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5pt" type="#_x0000_t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bGR4AgAA/wQAAA4AAABkcnMvZTJvRG9jLnhtbKxU30/bMBB+n7T/&#10;wfL7mrRAyyJS1FExISFAg4ln13GIJcfn2VcS9tfv7CQFsUmTpr04F9/lfnz3fTk771vDnpUPGmzJ&#10;57OcM2UlVNo+lfz7w+WnU84CClsJA1aV/EUFfr7++OGsc4VaQAOmUp5REhuKzpW8QXRFlgXZqFaE&#10;GThlyVmDbwXSq3/KKi86yt6abJHny6wDXzkPUoVAt9vBydcpf10ribd1HRQyU3LqDdPp07mLZ7Y+&#10;E8WTF67RcmxD/EMXrdCWih5SbQUKtvf6t1Stlh4C1DiT0GZQ11qqNANNM8/fTXPfCKfSLAROcAeY&#10;wv9LK2+e792dZ9h/gZ4WGAHpXCgCXcZ5+tq38UmdMvIThC8H2FSPTMaPlnl+ujriTJJvtTxdLFYx&#10;Tfb6tfMBvypoWTRK7mktCS3xfB1wCJ1CYrGd0e5SG8MqRwhSTQ/4qLFJeMQmp6AREdrn33kzYL0F&#10;uW+VxYE8XhmBxNzQaBeoTKHanaqowatqTuMQcZE467y2ODAlePmNmk+sCegVyib2UlOz4z1NfXCQ&#10;PY0So4xlXcmXRyd5GsBCnHGY3ljC6xX3aGG/65mmZhbTTnZQvdCqCIwESnDyUhOe1yLgnfBEW0KK&#10;pIi3dNQGqBaMFmcN+J9/uo/xhB55OetIBiUPP/bCK87MlSWefZ4fH0fdpJfjk9UibuOtZ/fWY/ft&#10;BZDSCDzqLpkxHs1k1h7aR1LsJlYll7CSapccJ/MCB3GS4qXabFIQKcUJvLb3Tk7Lj2x56B+FdyOl&#10;kMh4A5NgRPGOWUNsXIKFzR6h1ol2EecB1RF+Ulki7vhHiDJ++56iXv9b618AAAD//wMAUEsDBAoA&#10;AAAAAAAAIQDfzZBAyn0AAMp9AAAVAAAAZHJzL21lZGlhL2ltYWdlMS5qcGVn/9j/4AAQSkZJRgAB&#10;AQAA3ADcAAD/4QCARXhpZgAATU0AKgAAAAgABAEaAAUAAAABAAAAPgEbAAUAAAABAAAARgEoAAMA&#10;AAABAAIAAIdpAAQAAAABAAAATgAAAAAAAADcAAAAAQAAANwAAAABAAOgAQADAAAAAQABAACgAgAE&#10;AAAAAQAAAYGgAwAEAAAAAQAAALkAAAAA/+0AOFBob3Rvc2hvcCAzLjAAOEJJTQQEAAAAAAAAOEJJ&#10;TQQlAAAAAAAQ1B2M2Y8AsgTpgAmY7PhCfv/AABEIALkBg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EBAQEBAQIBAQICAgICAgMCAgICAwQDAwMDAwQFBAQE&#10;BAQEBQUFBQUFBQUGBgYGBgYHBwcHBwgICAgICAgICAj/2wBDAQEBAQICAgMCAgMIBQUFCAgICAgI&#10;CAgICAgICAgICAgICAgICAgICAgICAgICAgICAgICAgICAgICAgICAgICAj/3QAEABn/2gAMAwEA&#10;AhEDEQA/AP7+KKKKACiiigAooooAKKKKACiiigAooooAKKKQnHNAC00Op715B8aPjv8ADT4BeEX8&#10;Y/EzUEsrfJS2gX57m6lAz5cEQ+Z2/IDqSBX8+f7R/wDwUc+LvxquLjw54FeXwr4akzF9mtH/ANPu&#10;oz3uLheVDDqkWFxwS3Jr7nhHw9zDOHzUI8tNbze3y6t+nzaPw/xb8f8AIOEIezxtT2ldq6pQs5eT&#10;l0hHzer6Jn7ffG79s74AfAp5LDxTrC3mqIP+QPpAF1dA+jhSEi/7aMp9Aa/Nrxn/AMFavGt1qePh&#10;t4V0u1s1JO7XJJbmdx2O2B4VT6bn+or8boyX3SOSzE7mZiSSe5J7k198fst/sMfEv9oNovEuqb9A&#10;8LsQTqtzHma6XuLOI439P9YcIO24giv2r/iHGRZPh3XzGXPbrLRX7KK39NWfxZP6R3HfF+YLAcPU&#10;/Y820aaTlbvOpLZLq/cXQ+lPDH/BU74yavfRaVd+D9E1OadvKS10w3cUshbjaoLTnnPoa+0/DP7P&#10;/gv9o3Rn1340/DK48KXMy+YjHVna4ckk58uNlMZ5z86g9iK+jfgt+zZ8IvgJpYsfh7pUUNyyBbjV&#10;LnE19P8A78zDIH+yuFHpXu4G0cV+L53xLglUf9kYd0f73NJN/JSsvnc/sXgfwvzqeHX+uOYLGX/5&#10;dOnTlBf9vShzt/4eWz7o/Iz4i/8ABLXS9r3/AMJPEc9tIPmjsdbQSJkcgC4hCsvbGUb1zXxZ418D&#10;ftZfs03QfV7nxDptqrYj1HTL2aWwfByMtGxUdPuyKp9q/ox1fXdJ0DS59a1u4htLO1jM1zc3DhI4&#10;0XkszHgCvyC/aO/4KJNq6XXgv4GwoLVw9vc69fwrJ5q9D9mgkBAU9nkBJ7KOte1wzxDmuMn7KcFV&#10;it3LS3/b1vzTZ+ZeMXhjwZkdB42liZYKs/hjTbk5NdoNrTzUoRXVnzr4J/bz/aQ8KyIL7VoNZgXr&#10;Dq9sjlgO3mReXJ+tfSmof8FOfEsugpHpPhWyh1QgiSW4unlthgcFY1VHP0LjHqa/KZXaaQyP95iW&#10;Y9OSeeBXt3wc+CHxC+OGvjQfAtpvRCDeahPlLW1Q/wAUj4OT6IAWPp1NfWZtw/lq/fVqUYpfJfO1&#10;j+dOFvFXjJyWX5djalSU9FF+/L5OSk18tj0vxd+2n+0f4rLiXxDJp0TZ/caVFHbAKegDhS/Hruz7&#10;1teAv2fv2qv2g1TUrmbVl0+b5v7T8SXk6xMrd40ctI4x/dXb7ivZLjUf2ZP2RV+xaZbx+PvHNup8&#10;y7mwdOspx2AyUUqeyhn9WSvoL9nv/goJ4a8bXsXhX4uQ2+iahM/l2+owtjT5ST8qvuJMLdgSSp9V&#10;6V8ljsTUp0nPAYW0V1atfzUd/m/uP1Lh7h/BYzMYYTi/P5Sqy/5dqblFP+WdR3gn05Y6LbmvYpeA&#10;P+CZ/gHTI47r4j6xf6tMAC9tYAWltnuN3zSt9QU+ldr430G1/Zbtf7W+D3wum1i2tk3NqUOoySsm&#10;Bkl4f3suBzkhMdyRX39HIkqCRCCDypByCD0IIo8vA4Nfn9TN69SV60uZdtl+Fj+t8N4T5Rg8P7PK&#10;aSw9RbVFGM5r51FP9PJo/FLUf+CmfxYaYjTvD3h+3AY7kuftMrDHY4li5H0rs/AP/BTm6+0fZ/ij&#10;4cj8pjzd6DIwKg+sE7Nn8JPwr7Z+OP7JXwm+NkMl9qdoNO1llIj1nTlWObPbzU4WYf7w3Y6MK/Ef&#10;47fs0/En4BaoIvFMC3OmzOVs9ZswWtpfRXzzHJj+FuvYkc16NJ4StG0YWZ/PXGuI4+4brfW54516&#10;K+0oxa/7fjb3fVadpXP31+FPx/8AhN8ZbXzvAerwXM4TdJYTZhvIh33QvhsD1XK+hr2bepOBX8ll&#10;jfX2l3kWo6ZPNb3EDh4Z4HaORGHQqynIPvmv0g+AH/BQvxX4Vmh8OfGoS6zp2RGmrRKv26AesgGB&#10;Oo7nh/dulebicv5buB9hwJ9JPC4qUcNnVNUpP7cbuHzWrj66rvZH7a0VzHhHxj4a8d6Db+JvCN5B&#10;f2F0u+C5tnDoR3B7qw6FTgg8GunrzWrH9O0a0KkI1Kcrp6prZrugooopGoUhIHWlrjvG/j3wl8Of&#10;Ddx4t8a30Gn2Fqu6SedsZPZUHV3boqqCT6Um7K7Mq9eFKEqlSSUVq29El5s6/eorwn4t/tH/AAd+&#10;CkJPjvWIY7rBaPTLX/SLx/pEmSo932r71+Uf7Qf/AAUK8b+N3l8O/B4TeH9JOY21BsDUbhfUMMiB&#10;T6Kd/wDtDpX5w3VzcXtzJe30kk00rF5ZpWLyOx6lmOST9TXzmPz9Q92irvv0P504w+kDh6EpUMnp&#10;+0a+3L4fktHL1ul2uj9W/iP/AMFQNbuXls/hR4fhto+VS+1tzLKevzCCIhV9tzt7ivjnxR+2F+0x&#10;42lNvdeKNRhErBFttIRLTJJ4C+QofPb7xqL9n79lj4l/tBX/AJ2gxCx0aGUJd63dqfIUjqsS8GWQ&#10;f3V4H8RFfuR8Df2T/hD8C7SK58PWK3urBMS61qCiS5Ld/Lz8sIPogHuTXjUsPj8dq6jjH7vuStc+&#10;W4fy/izii1evi5UqL66xT/wxjbm9Xp53PyO8Bfsb/tS/HFI9X8Vz3emWMwDG68TXUzzSKeQVgJeQ&#10;57Fwo+tfc3gL/gmX8G9ARJ/HN/qmvzgfMgcWVtn2SLMn5yEH0FfpEEwc5p9ezheFMHT1nHnfeWv4&#10;H7PknhBk2FtOtTdafebv+G33p+p5d4B+DPw2+GKhPA+lxWGBjKySyMeMcmR2r1GiivoKVGFNctOK&#10;S8j9Lw2FpUYKnRgoxXRKy+5BRRRWhuFFFFAH/9D+/iiiigAooooAKKKKACiiigAooooAKKKKAGse&#10;DjrXx7+1z+2B4E/ZW8G/bdVMeoeIb6Nhomgo+1526ebMRzHAh+83U/dXJrq/2qP2lfBv7LXwru/i&#10;F4nKTXTk2ui6WGxJfXrAlI17hFxukbGFUepGf5GviV8V/HHxt8e3/wASfiJeNeanqMm+Q9I4UAOy&#10;GFeiRRj5VUduTkkmv2zwl8Kp5zUeNxiaw8H6c77LyX2n8lrdr+M/pU/SfpcH0Vk2UyUsdVV+6pRf&#10;25LrJ/Yi9PtS0spdp8V/jT8Rvjz40n8e/EzUJL69lJWKMZW3tos5EUEfREX0HJPJJPNcPbnGMc81&#10;h2nT/PpX7N/8E3P2K08cXFt8f/ipZh9Ht5PM8OabcKCt7PGcG5lRusMbAiMH7zDP3Vwf6c4pzrBZ&#10;JgJVZpRhDSMVpd20il/Vlr0P81fDjg3OeNc9jg6M3Uq1W5TnJt2V/enN76X+baS1aOt/Ye/4J6jX&#10;be0+L3x+snW0Ypc6P4buBtM64ys94p52HqsRwSOX4OD+51ta21tBHb2saRxxoEjjjAVVUDAVQAAA&#10;BwAKkjUqMEY5qSv4c4p4pxWbYl4jEy9IraK7L9Xuz/a3ww8LMq4Ty6OAy2Gr+Ob+Kb7t/klounVs&#10;rhfiJ8RPCnwt8J3njbxteJZadZR7pZW5ZmP3Y416u7nhVHJNdB4h1vSvDOjXPiLXbiO1srGB7m6u&#10;ZjtSOKMZZmPoAK/mt/ay/ak179o3xqwtHlt/DGnTMujacSV344NzMueZX7f3F+UdyerhDhSpmddr&#10;aEfif6Lzf4bng+NPi/huE8vU7KdepdU4fnKX92P4uyXVrT/ab/a18a/tFa21krSab4atpCbDSI3/&#10;ANZt4Wa5KnDyHqB91Og5yT8wxjp9Kx4elfVv7LX7O+tftD+Pl0dfMt9FsNk+t6gvBSMn5YYz/wA9&#10;ZcEL6DLHgYr99rU8Ll2FailCEF/Xq397P8zo1s34pzePPJ1sRXlp/W0YxV/KKR2P7K/7KfiT9oTW&#10;f7SvjLp/hq0k2XuohcPM/eC3zkF8feYjag65OBX7kXHwU8Gw/Ce4+EHhZZ9D02e0a1EulSGK4Qnr&#10;IZB8zux++WJ3DIPWvQ/CfhLQPBHh+z8K+FbSGx0+xiENtbQDCoo/mSSSSeSSSetdNX898QcUVsbX&#10;50+WMX7q/V+Z/pn4Y+DGW8P5fKhOKqVqkbVJvqnvGPVR9NXu+iX8y3x1+BfjL4CeL38M+J0823m3&#10;SadqMQIhu4gfvL6MOjoeVPqCCfDzhhg9K/qB+L/wh8J/GnwbdeDfGEAaKQM9rdKB51pPjCzRHsw7&#10;jow4Iwa/nG+LHwu8T/BzxzeeBPFaYmtm3QzqCI7mBv8AVzRk/wALj8jkHkGvtsj4gWMhyVNJrfz8&#10;1+p/HPjR4OVOG8R9Zwl5Yao/de7i/wCWX/tr6rfVO/11+yf+2nrPwpuIPAfxJmmvvDTMEguWzJca&#10;bnpt6l4fVOSvVeOK/cPStVsNbsYNW0meO5tbmJZ7eeFg8ckbjKsrDggg5r+TvrX6G/sSftVz/DXX&#10;Lf4WePbknw7fTeXY3M7E/wBnXMhwoyTxBIeGHRWO7gZr57iLI4yvWoqz6rv/AME/QvAzxxqYSpTy&#10;XOKl6T0hN7wfRN/y9n9n/Dt+5RAPWsTxF4b0HxXolz4e8SWkF9Y3cRiuLW5QPHIp7EH9D1B5FbKM&#10;GGR0PIIp9fBpn9zVKcZxcJq6e6ezPwM/a0/Y41T4LXEnjbwKlxe+F5XzJu+ebTmY8LKRy0R6LIen&#10;Rj0J+EcDrX9aep6fZatYTaXqUMdxb3EbQzwSqGSSNxhlYHIIIOCK/n6/bB/Zfu/gL4pGu+G0kk8L&#10;6pK32JyS5tJiNzW0h54xkxseq8dQa9Wli3Ncstz+HvGvwajljlm2Vx/cv4o/yN9V/df/AJK/J6eV&#10;/AX9onx3+z74kGreGpDcafO6nUtImY+RcIOpHXZIBna4GR0ORxX9C3wh+L/gz42eDYPGngq48yGT&#10;5Li3kwJ7aYD5oplHRh+RHIJBzX8t5+7+Fe3fs/8Ax68V/ADxvF4n0JnmsZmSLVtMLYju4M9MdBIu&#10;SUbseDkEg8Nfc8Twi8XK+SVY4PFycsNJ7buDf2o+XePzWu/9OdFcf4E8c+GviJ4RsPGnhO4Fzp+o&#10;QCaCUcEdmVhztZSCrDsRWd8TviP4X+FXgm+8d+LpvJsrGLe2PvyyHhIox3d2wqj354Brnbtqz+85&#10;ZhQVD606i9nbm5r6ctr3v2tqc18b/jh4K+A/g+Txb4wm5bdHYWEZHn3k4XIjjHPHTcxG1RyewP8A&#10;PF8cvj749+P3ihvEHi+cpbQsw07S4WP2a0jOOFH8TkY3OeSfQYAqfHL42eLfjz47n8Z+KHKR5MWn&#10;aerEw2dvn5Y0HqRy7Y+ZsnpjHjtfM5njHP3Vsfwz4oeK1fO67w2Gbjh4vRdZf3pfounqMk6fjX6E&#10;fsf/ALFN/wDF5ofiN8So5bXwwr77O1BKTamVPOD1SDIwWHL9F45rE/Ys/ZW/4Xh4kPjLxnC3/CMa&#10;XNtdCdv2+6TDeQO/lrwZSD6KOpx+/tlaWthZxWNlHHDDDGsUMMShERFGFVVHAAAwAOKyy3KVUfta&#10;q06LufY+DvhPHHRjmmZw/dfYi/teb/u9l19N6Gh6JpHh7S4ND0K2gtLO1iENvbWyCOKNB0CqOAK2&#10;AMcUUV9X5I/r+MVFKMVZIKKKKCgooooAKKKKACiiigD/0f7+KKKKACiiigAooooAKKKKACiiigAr&#10;N1XVbHRNPn1fVZYre1tYHubm4mYIkUUSlndieAqqCSewrSr8d/8AgsB+0jJ8NvhBafBPw1c+Xqvj&#10;Hf8Ab2jbDxaTAR5o45H2iTEfbKiQetfS8H8M1s4zPD5dQ3qOzfZbt/JXZ+deLPiNhOEuHcdxBjNY&#10;0Y3S/mm9IRX+KTS8t+h+L/7b/wC1Tqf7VXxuufEdrJKnhzS3fT/DVm/AW2B+adl/56XDDex6hdq/&#10;w18x2Pb6D+VcZbf60Y9RXZWRxg9eBx+Ff6W0cnw+X4SlgsLHlhTVkvTr6vd93qf85OM4tx2fZris&#10;5zOpz1q8nKT83bRdklpFbJJJaI+2P2Kv2bb39pn4w2vhS4Dx6Jp4XUvEF0nG21VgBCp7STt8i+g3&#10;Nziv62dH0bTdA0220bRoY7a0s4EtbW2hULHFFGAqIqjoFAAFfEP/AAT3/Z2HwD/Z/sW1aAR694j2&#10;a1rLMMPH5i/uLcn0ijxkf32avvKv4C8XONHm2aThSl+6pNxj2feXze3kkf7t/RS8H4cL8N0q+Jp2&#10;xOKSnUb3inrCn5cqd2v5m+yCkY4GRS14h+0N8X7L4G/CHW/iTdhXksbYpY27HHnXk3yQJ7jeQTj+&#10;EGvzLCYWpXqwo0leUmkvV7H9IZtmtDA4WtjMVLlhTi5SfZRV2/uPy1/4KY/tLS6nqqfs9eEJyLa1&#10;Md14kmhf/WTnDRWhxwVQYdx3YqP4Tn8lY/u1Fqer6n4g1a517WpnuLy9uZLq6nk+9JLKxZ2PuSal&#10;Tp+Nf17kmQ08twcMLT6bvu+r/rof4y+IfHuK4kzjEZriftO0Y/ywXwx+S37ybfU7Dwl4c1nxh4is&#10;fCnh2Fri/wBRuo7O0hXq8sjYX8B1J7AE1/UH8APgnoHwJ+G1l4H0YI8yL5+pXgUBrq7cDzJCeuM/&#10;Kg7KAK/M3/gmL8EI9Qv9Q+OmvQEpaFtL0IyDgzMP9JmX1KgiMH1LelftAowK/DPEziB1cR9Rpv3Y&#10;b+cv+B+dz+7foo+GkcFlz4gxUf3ldWhf7NNPf1m1f/Cl3Y6iiivy0/r0QjIxXxt+2Z+zzD8avhs+&#10;paJCreIdER7nTXA+eePGZbYnvvAyno4GOpz9lUx844z17V04TFTo1I1ab1R4fEvD2GzXA1svxkbw&#10;qKz8uzXmnZp9Gj+StlZWKuCCDhgRggjqCPakr7a/bs+C0fws+LjeItFhEek+JVfUIVRdqRXQI+0x&#10;DoByRIB6PjoK+Ja/VI4qNalGrHZo/wApOKOHK+U5jXy7E/FTlb1XRryas16n7l/sD/tDSfEbwW/w&#10;z8Uz+ZrWgxL9mllbL3VhnajZ6loThGPoVPrX6GKdyg+tfy3/AAk+JWrfCP4i6V4/0gsX0+5Vpogc&#10;edbt8s0R9nQkexwa/p38Oa9pXifQLLxHokqzWd/ax3drKD96OVQyn8jyO1fnmd4NU6nNFaS/M/vb&#10;6PfiDLN8qeCxMr1cPZX6yg/hfqrcr9E3qzargfiZ8O/DnxV8Fah4E8UxiS01C3MTMAC8T9UlT0dG&#10;wwP9DXfUmBnNeMnY/esVhadelOjWjzRkmmns09GmfyufFD4da98J/HWpeAPEq4utPmMYkH3ZomG6&#10;OZf9l1II/Lsa87PNftZ/wUd+Cy+IPBlr8Y9Gi/0zRMWmp7Rky2MrfI5x/wA8ZD/3yx9K/FPIrSrK&#10;+p/mt4jcGyyLN6uC+x8UH3i9vmtU/NH6W/8ABN34reK9N+INz8IVhnu9H1K3l1L5eVsJ4QMynOMJ&#10;KMIw7ttI7583/bq/aIm+LfxCbwT4dn3eHtAmeKIxtlLu8GVlnOCQypykftk/xV2vgOZ/2Yv2R734&#10;mKFi8U/EGQ6bozEYlt9PAOZR3+7uk+rRnnAFfm+/3uvbvyfzry8VNqPKfY8QcTY3A8O4PIJ1W3Ne&#10;0kv5YS1hD5/G10vFbDa9Q+Dfws134zfEbTvh7oW5HvZc3FxtytvbJ80szeyr0HckDvXl9fuf/wAE&#10;6Pgkng34dS/FXWoh/aPiQAWm8YaHT4mOzBP/AD2Ybz6qFrxqWG9rUUXt1PF8MuD5Z1mtLCv4F703&#10;/dX+bsvnfofd/gTwR4d+HnhKx8E+FIFtrDToFt4Ix1IHJZj3ZmyzMepJNdiBgYoAA6UtfTpWVkf6&#10;KUKEKUI06cbKKsktklsgooopmoUUUUAFFFFABRRRQAUUUUAf/9L+/iiiigAooooAKKKKACiiigAo&#10;oooAY/THqa/i9/by+NMnx2/al8T+LLeYy6dZ3h0TR+cqLSwJiDKPSRw8nb73Nf1jftU/EsfB79nT&#10;xl8R0YLNpuhXLWhJwDdTL5NuM+8rqK/h5ZneQvISzE5Zickn1Jr+uvotcOKU8Zms1tanH5+9L/23&#10;72f5TftNOP5ww+U8MUZW53KtNeS9yn8r+0+aXYu23+tH1Ffb37Dfwej+OH7SvhnwbfRiTT4Ln+19&#10;VBGVNpYjzWQ+0jBU+jV8Q23+sH1r+gn/AIIq/DpXPjT4rXcWGC2fh+ylI/hObi4Cn3Iiz9K/c/Fz&#10;PnluR4rEwdpctl6yfKn8r3+R/EP0UuCY8Q8Z5XltWN6fPzzXRxprnaflLl5fmfvYgAQAcDsBT6QD&#10;AxS1/mkf9G4V+HX/AAVe+LL3niDQPgtp0pEdpC2vaogPBllzFbKf91BI2P8AaB9K/cMtggetfya/&#10;tS+PJfiT+0V4u8VtIZIn1ieztWP/AD72Z+zxAf8AAYwa/V/B/KFiMzlXktKUW/m9F+r+R/J/0weL&#10;pYDhmGApStLFTUX/AII+9L8VFPybPEo+g+tb+nWd1qd5DptghlnuJkt4Il6vJIwVFHuSQKwI+g+t&#10;fY37DvgNPiB+0x4bsLhd9vp0763cg8jbZLvQEehl2Cv3/OcYsPh6teW0U39yuf5ycI5JPM8xw2XU&#10;t6s4w9OZpX+R/Q18DvhtZfCH4VaH8OrID/iW2Ecdw6/8tLl/nnf/AIFIzGvWaaqYOc5p1fxfiK8q&#10;tSVSbu5O79Wf7fZbl9LCYelhaEbQppRS7JKyX3BRRRWJ2hRRRQB8d/tx/DJfiN8B9RubZN17oJGt&#10;2ZA+bEAInUd/miLfiBX89Yr+s29sbbULSaxu13xTxNDKh6Mjgqw/EGv5Y/iF4Um8C+O9Z8GTj5tL&#10;1O5sfqsMhVSPYgAivs+GcU3TnRfTX7z+H/pV8NRpYzB5rTX8ROEvWOqfq02vSJx3bFfuP/wTl+Js&#10;ni74SXHgPUHL3Hhm7EUJY5Js7nc8QHfCMHX6ACvw4r7k/wCCePjaTwx+0BF4fkkIt9e064sXUnjz&#10;YR58R+vyMo9mNa5zS5qMvLU/MvAjiKWXcSYZ3tGr+7l/29t/5Nys/fSiiivhz/S0wPFXh3TPF/hm&#10;/wDCusoJLTUbOWyuEPeOZSjfjg8e9fzLaV8HtbvvjlF8D5gRef8ACQHRZWx0RJSskv0EYL/Sv6hn&#10;+6a/PvUfhTYeF/209V+NN5GqadZ+DJfEDvgBRdqptZCf+2aF8+uTQfhvjLwPDNZ5dWt8NRRm/wDp&#10;3LWT+XL+LPz3/bz8c2mufGKH4eaAdukeD9Pi0a1gT/VrMFVpsD1X5Iz/ALlfED9a2fEeuXvifxFe&#10;+JNRYtcahdy3szHk75nLn+dYz9a8zFM/i3iXOpZjmGIxr+3JtLstor5KyO1+Gfgm8+JPxC0XwFY5&#10;D6rqMFoWH8Ebt+8f/gKZNf1R6Jo1h4e0m10LSY1itbK2jtLaJeiRRKERR9AK/Dn/AIJq+B11/wCN&#10;F/4wuFzHoOku0WR/y8Xh8pT+EYk/MV+7dXl1O0XLuf159HLIFRyurmEl71WVl/hjp/6U5fcFFFFe&#10;gf0QFFFFABRRRQAUUUUAFFFFABRRRQB//9P+/iiiigAooooAKKKKACiiigAoNFFAH5S/8FhPFs2g&#10;fsi/2NBIUbWvEmn2Lr/ejjElwyn8YhX8qYJLZPrX9IX/AAW91F1+EfgnSxwk3iW5uDyMZhtSo/8A&#10;Rhr+bwdc5H51/oX9HHCKnwvTmt5zm/ufL+h/gj+0IzWeI8Rq9GTuqVKlFfOLn+c2aFr/AK4Z9RX9&#10;a/8AwSl8KR+G/wBjfRtQ2lZNa1LUdWlyOuZjbofxSFTX8k1sR5g5HUd6/tB/YNsE039jz4eW6Lt3&#10;eGradgRg7psyHI+rV8z9J7FOGT0KS+1UV/lGX62Pvf2auWQq8W47Ey/5d4eVvWVSmvyT+8+uKKKK&#10;/ho/2xOL+Iuv/wDCJ+Atc8Vd9N0e8vx9beF5P5rX8dEc0lzI9xMSzyZkZmOSWbkkn1Oa/rA/a41I&#10;6T+zP46v1baU8M3oyAT9+Mr0H1r+Tq3ZQMcfdx1+lf0d4IYZLC4qr1ckvuT/AMz/ADk+m9mDlmmV&#10;4S+kac5f+BSS/wDbDXj6D61+tX/BKTw4Lv4keJ/Fcigiy0eGyjbHKtdTbj+YiNfkpEykDkV+4X/B&#10;JuyVPCnjPU1I3S6lYQH1xFFKw/8ARlfQ+JVZ08oxFt3ZffJfofk/0ZMBHEcZ5epbRc5f+A05NfjY&#10;/Xiiiiv5QP8AXMKKKKACiiigAr+eL9unQl0L9pnXmiXal9FZ6gOMAtLAqsf++lOffNf0O1+GX/BS&#10;iyS2+OOnXigA3PhyB2x32TzJz/3zXv8ADk7Yhruv+Cfzp9J7Bqpw3Gr/ACVIv71KP6n56V6b8C/E&#10;UnhT4z+FfEKttFtr1kZD/wBM3lEcn/jjGvMdy1NpdwbbVLW4RtrR3MThgehVwa+kxivFo/g3JsVK&#10;hiaVeO8JKS+Tuf1oKck0+q1rOLmFJ1xh41cEdPmGeKs1+eM/18TvqFfMX7Yesx+Gf2cvFurwhUnm&#10;0r+zlkx8xW6kWIrkc4w7cV9O18Of8FELqS3/AGZtQjTpNqmnRMfbzw3/ALLQz5Lj7EujkePqrdU5&#10;/wDpLP59m+8MegpH60SMu4HI7dKRyueo6eteXiT/ADLjsftb/wAEv/Dq2vw18R+KGHzX2tx2YJH8&#10;NpCrce2Zv0r9Qa+EP+CdVilt+zTZ3Crj7Xq+oTMeOdsvlf8Aslfd9duGjanFH+kXhVhFR4dy+C6w&#10;T/8AAve/UKKKK3P0AKKKKACiiigAooooAKKKKACiiigD/9T+/iiv86X/AIidv+Cm/wDz18A/+CI/&#10;/H6/tn/4Ji/tE/ET9rL9hT4eftC/Fc2TeIfE2kzXmpnTofs9sZI7qaEeXFubaNqDIyec19PnnCOL&#10;y+nGrXtZu2jv3fbyPmsl4rwuPqOlQvdK+q9PM+86KQ9DX8g//BaD/gtf+2r+wn+2xc/AP4Fv4VXQ&#10;YvDGlaun9r6Ybu48+8WQyZkEqfL8owMcV52TZLWx9b2FC17X1dj0M4zijgaXtq97Xtof180V/Nb/&#10;AMEE/wDgqf8AtTf8FGPFnxK0X9olvDzQ+FdP0e50r+w7A2Tb76S4WXzCZH3DES46Y5r+lKss2yur&#10;g68sPWtzK23mrmuV5nSxlCOIo3s77+TsFFFFecegFFFFAHmvxE+Dnws+LlrbWPxQ0DS9ehs5GmtI&#10;tUgS4SF3G1mQMMAkDBryn/hin9kn/onXhH/wXQ/4V+VH/Ben/go3+0Z/wTp+Gfw88V/s7Noi3fib&#10;xBqGm6n/AG5ZG9Tyba2SVPLXem07mOTzn0r+Zz/iJ2/4Kcf89fAP/giP/wAfr9F4eybO62FjUwWJ&#10;cIO9kpyXXXRabn5XxRT4ZeNm8yy+nVq6XlKlCTeitrJXdkf3ej9iz9ksHI+HfhIfTTof8K+hPD/h&#10;7RPCmi2vhzw3aw2VhZQJbWdnbKEihiQYVEUcBQOAK/zwY/8Ag54/4KbJIru/gBgCCVbQmAIHUHFw&#10;Dz7HNfZX7Pn/AAdh/GLTdbgsP2pfhroGraU7qlxqPgiefT72FDwX+zXklzFMR12iWLPbFb5nwhn1&#10;aH7+q6qWtnNv7uYjIc34ZwNRywOFhQctG404xuvNxW3qf3G0V8+fsxftR/A/9sD4Pab8cfgBrcGu&#10;eH9SBjWVAY57a4jx5ttdQv8APDPESA8bDI4IypBP0HX5vVpShJwmrNbpn6nSqxnFTg7p7MxPEXhv&#10;QvF2i3PhzxNaw31hexGC7s7lQ8U0bdVdTwQe4rxcfsn/ALNI6eBvDX/gDF/8TX0HRXRh8wxFFONK&#10;q4p9m1+R5eY8PYDGTVTF4aFRrROUYyaXa7TPn8fsp/s2r08EeG//AABi/wAK9H8FfDL4f/De2ms/&#10;AOkWGjxXMgluItPhWFZHUYDMF6kDgV3NFOtmWIqR5alWTXm2yMFwzluGqKrhsJCEl1jCKf3pXCii&#10;iuI9sKKKKACiiigArznxd8Ivhj4/1CPVvG2haZqtzDD9ninvoFldIgxbYCw4G5icepr0aiqhNxd4&#10;uxzYvBUcRD2dempx7NJr7meHf8M0fs/j/mT/AA//AOAcf+FH/DNH7PwIYeDvD+Qcg/Y48g/lXuNV&#10;L+V4LGaeP7yRO659QCRWnt6j+0/vPK/1Vytf8wdP/wAAj/kTRQxwIscQwqqFVR0AHAAqWv8AO78Q&#10;f8HNP/BTLTfEWo6XbSeAhFbahc20W7QiTsilZFyftHJwOayf+Inb/gpv/wA9fAP/AIIj/wDH6+7/&#10;AOIa5k9bx+9/5Hgf8RFy5aWl93/BP9Fqua8V+DvC3jrSToPjGwtdSsmkWVrW8jEkRdDlWKnIyD0r&#10;+ADwZ/wdM/8ABQ3QL9ZvFmh/DfX7UyAyQS6bd2chXjKpJb3gCnryyP16dBX9FX/BMn/gvv8As/8A&#10;7fnjCD4J+OtJk+HnxBu1/wCJVpV3di807WHRSzpY3eyIiYAEiGVFZgPkLEEDy8z4IzDC03VnC8Vu&#10;072+W/4Hbg+L8sxz+ruXxaWktH5dV8nufsMf2Y/2ezyfBvh7/wAA4/8ACk/4Zi/Z6/6E3w9/4Bx/&#10;4V7oOgpa+R5V2PW/1ay7/oFh/wCAR/yOc8LeEPDHgjRo/D3hCwtdNsYmd47SzjEcStIxZiFAxlmJ&#10;J966OiimketSpRpxUIKyWiS0SCiiig0CiiigAooooAKKKKACivhr/go/+2D/AMMJfsc+Mf2l7XTo&#10;tX1DQ7WCHR9MuHaOG41C9nS2txMyfMIkZ974wSqkAgkGv4ePh9/wcwf8FMfDXxOtvGHjvVPDPiTQ&#10;Ptiy6h4TbRbaygkti3zQwXMAFzEwUkI7SP8ANguHGc/T5JwjjMwpTrULWWmr3fZaHzOdcWYTAVY0&#10;q97vXRbLz1P9GyivxF/4fq/sif8APPV//HP8KP8Ah+r+yJ/zz1f/AMc/wrzf7Cxv/Ph/h/mej/be&#10;F/5+r8T/1f5f6/1Dv+CFf/KKD4Nf9i/c/wDpfc1/l41/ah/wTN/4OAf2D/2Rv2Gfh7+zp8VoPHb+&#10;IfC+lTWWptpWjJc2hkkupph5UpuELjbIOdo5r+g/EPLq+JwdOGHpuTUr6ejPwTw+zChhsVUnXmop&#10;xa19Uf2UV/nKf8HNf/KUK9/7EXQP/QZq/ow/4ikP+CZ3a1+Jn/hPx/8AyVX8jn/BZf8AbQ+Dn7ev&#10;7adz8f8A4FrrC6DL4Z0rSEGuWos7nz7NZBJ+6DyDblhg7ua+U4AyPGYbHupXouK5Wrteh9Tx3nuD&#10;xGB9nQrKT5lon5M/a3/g0h/5KF8bf+wR4b/9HXlf24E4r+I//g0h/wCShfG3/sEeG/8A0deV+4X/&#10;AAWI/wCCv/hP/gmf4B07w54U0+28RfErxTbyzeH9FupCtnY2sTBG1C/2ESeVvO2KNSGlcMNyqrGv&#10;I4xy+tis7qUKEbyfL/6Sj1+EcdSw2S061aVorm/9KZ+1gcHsRS7vX1xX+Vr8XP8AgrZ/wU1/aK8V&#10;S3+ufFfxxDJdSNJFovg66m0izjXOdkVrp3l7lXsZC7erZroPgB/wWY/4KW/szeL4NU0n4meJtegt&#10;ZsXfhvx5cTazYyoPvQvHeM00OfWGSNgefY9r8LcXyXVWPN21/O36HCvE3Cc9nSly99Pyv+p/qWUV&#10;+ef/AATK/wCCgvgT/gpB+zJY/HHwxarpOr2ty2jeLPDxk8xtO1SFFZ1Rjy8EqMskLkcq20/MrY/Q&#10;yvznFYWpQqSo1VaUXZo/QsNiYVqcatJ3T1R/It/wds/8kN+Df/Y4az/6RR1/MN/wSc/Zj+F37Y/7&#10;f3gL9nL40R38vhrxEdY/tJNMuWtLk/YdIvL2LZMoJX97CmfUZHev6ef+Dtn/AJIb8G/+xw1n/wBI&#10;o6/Ar/g3z/5S6/CX6+JP/Ue1Gv3DhmrKHDspwdmo1Gn5+8finElKM+IIQmrpygmvuP6tNa/4NgP+&#10;CZF9pktppKfEDT53U+XeQ6+ZXjJHUJPC8Z/FTX8b3/BVL/gnL4r/AOCaX7Sn/CodQ1Ntd8P61p/9&#10;u+EtdkjEU1zY+YYniuEHyrcQONsm35WBVhjdtH+qS/3T9K/hG/4Ow/iN4V139pX4X/DPSbiKfVfD&#10;vhHUL7V4o2DNbLqlzEbZHA5DOsDuAf4cHGCK+a4D4ix1bHqhVqOcWne+trLf9D6Pjnh7BUcC61Km&#10;oyTVraXu9jB/4NWP2jfE3hP9q7xf+zFcXcr6D4t8KzeJLexZiY4tV0eWJTMg6K0ltMySYwW2Jn7g&#10;r+9hjtGTX+cr/wAGyfhjVNc/4Kh2WtWSFrfRvAmv3t4+MhVmEFsn0y8or+gT/gst/wAF7Iv2JfFN&#10;1+zH+y9Z6frXxJt4Y5Ne1jU18/TPD4nQPHF5Ssv2i8KMrlGISJSN+4naM+M8kqYrOPY4WN5Sim+3&#10;a7+VjTg7OaeFyj2uJlZKTS/Oy/E/pk3jOOaPMGQMGv8AKG+KP/BVr/gov8V9Wk1vxv8AGnx9GZJD&#10;ILXSdWm0izQnoEtrBreEYBwPkJx1J5J9K+AH/BaH/gpX+zzr9trPhz4qeI/EVnE6mTRPG1zJr2nz&#10;xj/lmRds8sakdDDLGR1zRPwsxahdVY37a/nYI+J2F57OjK3fT8rn+piCDSM23sa/Lb/glP8A8FPP&#10;h5/wU0+Blx440eyXQfF3h6eHT/GXhjzfNFrPMpaG4tnOGe1uArGNmAYMroclcn+VX/gsf/wVO/4K&#10;D/s+f8FIPiR8IPgx8Utf8P8AhrR7jS003SLOKzaG3E+mW00gUy27v80jsxyx5P4V8vlfCeJxOLqY&#10;J2hOCu7/AC7X7n0+Z8U4bDYWGMV5Rk7K3z7tdj+/JXycfjSlgvWv58f+Dc39q39on9rn9lHxn45/&#10;aR8V6h4t1bTviBLpVlfaisKSRWi6faSiIeRHGNoeRm5GcnrXjP8Awco/tnftR/seeEvhDqH7MvjP&#10;U/B82v6p4hg1iTTUt3N1HaQ2TQq/nxSj5DI5GMdTWUOG60sx/s1SXNe19baK/qay4hpRwH9oOL5b&#10;Xt13t3t+J/TmHBOKfX8Ov/BA/wD4KVft1/tS/wDBQqz+E/7QXxJ1zxR4dfwVrupPpV/FaJE1zbG2&#10;8mQmGCNspvbHzY56V/cVXPn2R1Mvr+wqyTdr6f8ABNsjzunj6Ht6UWle2v8AwBCcU3zFzjmvi7/g&#10;or8dfGf7M/7DnxT+PXw6kt4de8K+D77VdHlu41lhS7RQsLNG3yvhyPlP3jxX+b58Tf8Agsb/AMFM&#10;/ibdSXfiv42+NbISnPkaBejQoVH91U05bfj6kk9ye/qcOcHV8yhKpTmopO2t/wBEebxDxdQy6cad&#10;SDk2r6WP9VQvjsaA4JA9a/yXfCH/AAUr/b98IammueE/jZ8So5o2BBbxFe3MLbeQHhmlkikH+y6k&#10;e1f2Uf8ABBL/AILPfEr9t/XdR/Za/aia0u/HGk6Q2t6H4mtIktjrNjbskdxHdQR4jW6hLo++JVWR&#10;CflUqS3dnnh/isFRliFNTit7br5HDknHmFxlZUORxb2vt95/T7VDVf8AkF3P/XCT/wBBNX6oar/y&#10;C7n/AK4Sf+gmvhFufcPY/wAbjxhj/hMdY/7C97/6Pev7Rv8Aglz/AMEF/wDgn/8AtbfsEfDj9on4&#10;v2Xi6XxJ4n0y8u9Vk07XJrS2aSG/ubdfLhVCEHlxLkA8nJ71/Fz4w/5HHWP+wve/+j3r/Tk/4IP/&#10;APKJT4L/APYD1H/07Xtf0D4iZhXw2DpToVHFuSWnazPwjgLAUcRjakK8FJKLevqj8GP+Cn//AAbd&#10;fBX4Ffs1eJv2i/2Rdd8SJd+D9Om1zVPC/iKeO/hvNPt/nuDbXAjjljmijDOA5dXC4+U81/H94U8X&#10;+Jfh/wCJ9M8feCruax1fRb6DVtKvrdikkF3aSCWGRGHIKuoI5r/Tz/4LPftd/Cj9lv8AYJ+INp46&#10;1O0TXPGHhfUfCnhbQvMH2y/vdTge2ykQO/yoVcySy42oFwTuKg/5dkdvPKFs7NHlmfEUMaDLO5+V&#10;VUepJwAO9Pw/zDFYrCTli3zK9k31VtfUz48y/DYXFQWFXK7apdHfT0P9hj9nr4nx/Gr4C+DPjBHj&#10;HifwtpevMFGAGvrWOZgB2AZjivYN1fAPhv8A4Sv9j/8A4JgWsu5U1z4c/BRZgZovNVL7R9G3gPEd&#10;u4LLHgrkZxiv87r4nf8ABaT/AIKe/FW4e98UfGjxZpayt5gtvDNxHoUEeedqfYFhfaO252PvX5bk&#10;vCFXMqlV4eaUYu2t/O1rH6bnPFlLLoUlXg3KSvpb5n+qGWA9aRXDdK/yUPDn/BR/9vTQdRXV/Dnx&#10;t+J0c8bA708T6hKp5zh0aZkcZHKsCD3Ff1m/8EHv+C4Hxm/ad+LkX7HH7X13a6xrd/p0914O8YJA&#10;ltdXc1khlns79Y9sTyGEM8UqIpOwqwYsDXfnPh3i8JRlXjNTUd7XvbucOUeIGFxVaNBwcXLRX2uf&#10;1xswXrTfMHoa/Bz/AIOGv2ofj9+yd+xPo3xI/Zz8T3/hPXLjx/p2lT6jp6wvI9pNbXTvERPHIu1m&#10;RSeM8da/lB/Zl/4OCP8AgoF8HfiBe+M/i74z1X4hWK+HtRs9N8Oa0lrHYnVZ0VbO5uDbwwymOBgX&#10;ZVcFhleM5HBlHBOKxuFeKoSW7Vne+nysd+bcY4bB4lYatF9HfSyv87/gf6UQcNggHmk8wdcGv8pb&#10;4xf8FZv+Ci3xz8W3Hinxj8YPGtpJLM00em+HdTn0bTrcHokNpZPFGqqOAWDPjqxOSfuT/gnz/wAF&#10;+v2yv2YvilpNh+0D4r1j4jfDy6u4rbX7HxPM19qVlas217qxvpSZhJCDv8qR3R1G3Ckhh7OI8MMb&#10;Ck5xqRlJdNfwZ49DxLwc6qhKnJJ9dPxR/pE00tiuTu/HXhKw8FSfEe+1G1g0GLSzrcuqzOEt47BY&#10;vPNwzngRiL5yT0FfwCf8FHf+DjL9qP4++PtT8Ffseaxd/Dv4f2dzJbWGqaaoi1/V40JX7VLdHcbV&#10;JPvRxQbXVSNzk5FfK5Bw1icxqShRVlHdvZf8HyPqM94jw2X01Os7t7Jbv/gH+hOXA7GgPu6V/k8/&#10;D/8A4Kmf8FD/AIYeLovF3hj41fEJr5JhO8Gra3c6na3DA5IntL15YZQ3Q7kJ5OCK+tvjT/wX8/4K&#10;bfFTxt/wl3hjx9deCrdtOsbSXQ/DUFsLD7TbQLHcXMa3UM0im4lDSsm8hS20HAFfW1PC3GKaUasW&#10;u+v+R8pT8TcI4typyT7af5n+h9+1x+zD8Pf2yv2evFH7N3xS+0Jo3iew+yy3NmwW5tZ4nWa3uYSc&#10;jfDMiOAcq2NrDBNfylfDv/g0w1Ox+KdrdfFX4t2eoeDLe9SW6ttI0mW21W9tkcEwFpJmit2kXKmR&#10;TJszkKTX3l+yb+2J+0346/4N+/G/7Vni7xhqV/8AEPTfD3i+7sfFMyW4uoZtPlkW2dVWIRZiCgLl&#10;Prmv5P8AQ/8Agtf/AMFU7rXbG1uPjV4oaOW9gjkUwaf8ytIoI4tO4rfhrKc2pxxNDB4iMVGTTvrq&#10;uq0dvwMuI80yqcsPWxdBycopq3bs9Uf6Iv8AwwH+x7/0Iuj/APkX/wCKo/4YD/Y9/wChF0f/AMi/&#10;/FV6V/wkGuf8/Uv5J/8AE0f8JBrn/P1L+Sf/ABNfAe2xf/P+X/gTPuPq2F/6B19yP//W/l/PPFfq&#10;D8DP+CNP/BRr9pL4UaN8bvg34BXVvDPiC3a60nUW1bT4PPiSRomby5p0kXDow+ZQeK/L6v8AUO/4&#10;IV/8ooPg1/2L9z/6X3Nf0nxln9bLsNCtRim3K2vo30aP514OyKjmGInSrNpJX09UvPufxFf8Q/H/&#10;AAVo/wCiYp/4O9L/APkmvzp/aa/ZZ+OX7HnxQf4NftD6MNB8Rx2Fvqb2AuYbvFvdAmJ/Mt3dPm2n&#10;jORjmv8AX1r/ADlP+Dmv/lKFe/8AYi6B/wCgzV8/whxriswxboVoRSs3pfpbuz6Di3gzDYHC+3pS&#10;k3dLW3n5I++v+DSH/koXxt/7BHhv/wBHXlfhl/wWV+OOvfHr/gph8WvFGsTmaDSPE03hLSVBOyGw&#10;0QCziRRyFBZGdgOC7MepNfub/wAGkP8AyUL42/8AYI8N/wDo68r+d3/gpt4G1T4cf8FDPjR4S1aO&#10;RJIviLrV3H5gxvivbhrqKQf7LpKpHtXpZbCP+sGMk91GNvuj/wAA83MZy/sHBxWzlK/3u36n7Mf8&#10;EMv+CjP/AATS/wCCe/we13Wv2gIdcX4na9rswl1PT9Ck1H7PosMcYtYILhf9WHkMkkiqclsbs4XH&#10;yb/wXR/bH/Yf/bj+NHhH40/shW+pRaoNGvNM8bT6hpLaUbp4ZY30+Ug/66Ta86O/UKqAkgDHbf8A&#10;BIb/AII9/s+f8FPfhh4h1rWvivrPhXxj4b1c22oeFtP06zuj/ZsqIbW+QzuJGWR/MjYgbVZQCeRn&#10;9f8A/iEh+Dfb42eMP/BHp/8A8crixOYZRg8zqYirWkqq0a1ttttt217HXh8BmuLy6GHpUoum9npf&#10;ffffvofMX/BpZ8QdSsvjd8X/AIWGV/sWo+GNI19YOdv2iyupLcv7HZOB+Ff3JrjHHNfhr/wSt/4I&#10;3fCf/gmj8XfGHjXwR8RtQ8baprGhWmiX+najZ2dtLp0Xnm4SQi3dnUzbcAOAGC5GcV+5YGBivy/j&#10;HMaGKx86+Hd4tLy6LufpnCOArYXAwoV1aSb8+r7H8i//AAds/wDJDfg3/wBjhrP/AKRR1/Hx+yj+&#10;1B8T/wBjP4+aF+0j8GhpZ8SeHftn9nDWbZruzP260mspfMhWSIt+6nfbhxhsHnGD/YP/AMHbP/JD&#10;fg3/ANjhrP8A6RR1/Lz/AMErP2Wvhr+2n+3j4F/Zo+L02rQeHvEn9sf2hLoc8dter9h0m7vYvLlk&#10;imVf3sCbsocrkcE5H6zwdOlHIlKsrxSndeV3f8D8r4vhUlnfLRdpNwt62VvxPv7xH/wc0/8ABUfX&#10;tGm0i01DwFpEk6FF1DS/Dx+0w543R/arq4i3DqN0bfSvw58e+P8A4m/Hb4k33jz4halqvijxV4jv&#10;/OvL67Z7u9vrqXCqABlmPRURBgKAqrgAD+/W1/4Nav8Agmrb3CzS6n8Up1U5aKXXbQK/sdmnq35M&#10;DX6Ufsrf8Emv2A/2NdWh8U/A74e6XBr9vgw+JNZaXVtUjYfxQ3F40hgJ7+SEHtXjw44yfBxcsFh/&#10;efZJfe9/62PWnwXm+LlGOMr+6u7b+5f8FH5Wf8EOv+Cenif/AIJr/soeOf2uP2h9P/s7x14i8Pz6&#10;rJo9wP32j6BpUL3cVtPt+7PcyL5syAkoFjQ4dWFfwS/Ef4ieJ/i54+1z4reNriS71fxJq13rup3E&#10;x3u9xfTNPIST/tOQPav9dj9pXwpqHjn9nPx74I0rLXereDNa021AG4mW5spY0GO+WYV/j5CCeGL7&#10;LcIY5UHlyI/BV14ZT7g8Guzw+x8sZVxeLrfG3H5LWyXkcvH2AjhKWEwtL4YqXzel2/M/0iP+CLP/&#10;AATA/Zp+C37EPgj4l+NfBnh/xB438deH7XxTret67Zw38qw6mguLW1t/PVhDDHA8eVQAs+5mJOMf&#10;z9f8HL/7A3wW/Zb+Kvgb46/AjRLPw3p/j5NTstd0bS4hDYrqem+TItzDCuEhM8c53qgCsybgASxP&#10;9df/AASh+MnhT43f8E5/g/4x8JzRyw2ngXSvDl5HGwLQXuiW6afcRSAcq4eAkg4OCD0Nfzgf8Han&#10;xe8M3t78HvgVYXMUmr2R1rxTqVohDPBbXK29ras4HK+Y0c20HGQuR0r5fhrH4ueftTk3dy5l5K/5&#10;O1j6TiTA4WORpwilZRs/N21+avc/OD/g2e+L2qfDz/gpjY+Bo53Sw8b+EtX0W7txykk1oi39uxHT&#10;KGB8H0Y+pr54/wCC+f8Aylo+LX/X1o3/AKaLOvYf+Dbj4b6p46/4KleHPEFnG7W3hTw1rmv3sqgl&#10;UV7cWMYY9BukuQBXj/8AwX0Vl/4K0fFkkHm50YjPp/ZFpX6BRjH/AFgm1v7LX/wL/Kx8JOUnkMOb&#10;b2rt/wCAv9T+l7/g1A/5Mm+IH/ZUJv8A012NeAf8Hc3/ACI3wK/7DXin/wBJ9Pr2L/g078S6Lcfs&#10;kfErwlbzo+o2XxFS/urUffjgvNNt0hkI9HaCQA+qmvnD/g7f8b+Hbn/hSPw5guYm1a1fxJrVxaK2&#10;ZI7WdbKCJ2XsHeNwueu046GvisLF/wCtT06v/wBIZ9piJr/VlO/Rf+ln5pf8GyP/AClNsP8Asnvi&#10;T/0K0r/Rtr/OS/4NkOf+Cplgf+qeeJP/AEK0r/RtryfEz/kYr/CvzZ6Phv8A8i5/4n+SPI/jn8Hf&#10;hh+0D8J9e+DfxmsU1Twtr1kbTXNOknltUmtVZZGVpoXjkRcoCSrqcDqK/FWb9qn/AIN7P2GrybwT&#10;4bn+EWm39mTDdQ+G9GGuXO5OGEl3bwXO9xjBLTFs8Hoa+KP+Dpv9sb4ofCvwD4E/ZT+HGpXek2Pj&#10;qDUtZ8WzWUhhlvNPsWhhhsmdSG8mWSVmlQHDhFDccH+Xr/gl9/wTw8Tf8FKv2k2+A+g67b+GbHTt&#10;CuPEuuazLB9qkgsbeaG3xBb7kEkry3EagF1CgljnGD28OcKxnl7xmLxEoU3d2i+2l3v27HHxDxRK&#10;GPWEwmHjOportd9bLbv3P1N/4Lrftqf8Et/2xfhn4Uvv2PoIf+E+0bxBsv8AULPw7PoqT6JNbS+b&#10;FLM0MKzFJxCUU5Zfm24BOfkL/g3pv72y/wCCuPwtitZGRbmLxJb3ABx5kf8AYN/Jtb23orfUCvov&#10;/gr7/wAES/hJ/wAEyv2cvDnxa8KePdf8U6trfi6Lw61pq1ra2kPkva3Fy0sawlm3J5SrjJGCSecV&#10;8y/8G+8qQ/8ABXP4TPIQAW8RqMnHLeH9RAHPcngCvuMM8K8krrCTcocs7OW+z8kfFV/rP9tUHi4K&#10;M+aF0tt15s/04aoar/yC7n/rhJ/6CauI+/8ACqeq/wDILuf+uEn/AKCa/nmO5+/vY/xuPGP/ACOO&#10;sZ/6C99/6Peu08P/AB7+OXhHRoPDnhTxr4t0vT7VSltYadq95bW8SsxYiOKKUIoLEk4AyST3ri/G&#10;H/I46x/2F73/ANHvX+kx/wAEO/gr8HPFH/BKn4O694l8J+GtQvrjRdQa4vb7S7WeeUjVbxQXkkiZ&#10;mIAA5J4Ff03xTn0Mvw8K06XPdpWvbo32fY/nDhzI55hiZ0oVOSybv81/mf5s/ibxd4r8b6kdd8Z6&#10;rqesXrLhrzVbqW7mx2HmTMzAe2a/qm/4IH/8EVrj4wat4X/b8/aIm02fwdZXX9reCPDNrPHdSanf&#10;WczRpcagE3LDFbTRkiBv3jyKN4VRh/hz/g4V/YZtP2Qv237nx74GsIbHwb8UIJPE2kW9nEsVvZ6l&#10;GVTU7REQBUHmss6qAAFmwB8px+hH/Brl+3kPCPj7Xf2CPiDfOLLxIZvE3gPz3ykWpW6btQskB+79&#10;ohUTqM43RP3bny+IMxrV8m+tYB2TV335ftJea6+jPQyHL6VDN1hscr2dl2v0b8n0+R/ad8T/AIde&#10;D/jD8N9e+FHxBt2u9C8S6Pd6HrNokskDTWV7E0M6CWJkkQsjEbkYMOoINfh9ffGn/g3t/wCCfeqy&#10;eBrJvhBo2sWJEFzb6Tpo8Q6ijqQCs91FFdyeYmPmEsu8d68c/wCDm79sL4k/s6/speF/g58KtUu9&#10;Fv8A4m6ze2eq6lYStDdDRtLhje6t45EIdPPkuIUcqQTHuXPzV/GB/wAE8/2JfFf/AAUE/am0T9mn&#10;wlqlroR1C2u9T1PWrqMzrZ2Fim+aRYQymWQkqiJuALMCSFBNfCcLcLKtgZYvFYiUKertF9t29/Nb&#10;XPuOJ+J3SxscJhsPGdTRXa77Jfg97H7u/wDBbf8Ab5/4JL/tg/s0Wvh/9mGC2n+I2la/ZXel6nZ+&#10;GLjSCNPbzEvIHumgiVkKlW8tifmVSK/GT/gkNqt9ov8AwU7+B99pzmOU+PrK3LDvHcpJBKp/3o3Y&#10;fjX6x/8ABUP/AIII/Bb/AIJ1/sb6j+0TpfxJ8Q+JNbt9c0vR7HT9RsrSytrh7+YLIAIyz7khWRwA&#10;38OT0r8iv+CTn/KS/wCB3/ZRdL/9DNfe5R9U/sqvHBzc4JS1l3t5pafI+EzT61/atB4uCjNuOkfX&#10;1ep/Yh/wdRf8o8PD/wD2U/Sv/SS9r+LP/gnj+z34V/as/bd+Gn7PvjmSeLRPEviaC01j7M5jmeyi&#10;Vp540cco0iRlAw+7uz1Ar+0r/g6gbd/wTv8AD5/6qfpX/pJe1/Jp/wAETP8AlKp8F/8AsaJP/SO4&#10;rzOC6koZDVnB2a52vuPX4vpRnndKE1dPkT+8/wBAD4rf8Eo/2CPGn7POr/AnTvhX4K0mxl0O5s9M&#10;vbDTYYL6xuDEwhuorxV+0CaOQh/MLlmOd24Eg/5WksWC8Lnd1Q+/av8AZn1b/kG3H/XCT/0E1/jO&#10;z/6+T/ro3864fC7F1akcSqk3Kzju7781/wAjo8TcJSpvDOnBK/Nsu1rfmf3Sf8FB/wBo3xj4E/4N&#10;s/hhc2dww1H4heDPBPhK/uFLBja3dktxdANnI8yO3MbeqsR3r+Mf9mP4L3f7Rn7R3gX4BWU5tX8Z&#10;eLNM8Om6HWFL64WOSQZ/iVCzDPfrxmv6yP8Agpn4Pv8AxD/wbX/s+eIbCJpV0HTvAV9clAT5cM+l&#10;yWpckdAHlUEkHrX8tv7DXxd8N/AH9sz4WfG7xkSukeFvHmj6zqkigkpaQXKGZ+ASdiEtgAnA4Ga9&#10;3hSPJgcVKive56n39P0PE4plzYzDRrfDyQ+7r+p/pv8Aw9/4JkfsGfDb4PRfAvRPhX4MuvD62iWl&#10;0uqaZb3t3fELhprq6lRppJnOWZy2cn5cAAV/mKftqfD3wn8JP2wPih8LvAVr9i0Pw9481rR9Is/M&#10;eXyLS2unSKPfIS7bFAGWJJ7k9a/1rNO+IPgfVfBMfxJ03V9Nm8Oy6eNVj1xLmM2Jstnm/aPP3bPL&#10;2fMWzgDkmv8AJS/bU+IPhn4sfthfFL4m+C5xdaPr3j7XNU0u6HSa1nvJGilXp8rphh7EV8z4ZVq9&#10;SviHVk3ot773/M+k8SaNCFDDqlFLV7JbW/I/ry/Yh/5VePiJ/wBir47/APR01fxGeG/+Rl03/sI2&#10;3/o1a/tz/Yh/5VePiJ/2Kvjv/wBHTV/EZ4b/AORl03/sI23/AKNWvquFf4uYf9fJHzXFX8PAf9e0&#10;f639FFFfhp+4H//X/l+ytf6h/wDwQr/5RQfBr/sX7n/0vua/Sz/hVXwx/wChb0Af9uFv/wDG67DT&#10;dM07RrKPTdJt4LW2iG2K3to1ijQZzhVUADn0FffcVcarMqEaCo8tne979GuyPhuF+DXl1aVZ1ua6&#10;ta1uqfd9i9X+cn/wc1kD/gqFfZ/6ETQP/QZq/wBGyuU1bwN4K8QXf9oa9o2lXtwVCGa8tYZpNq9B&#10;udScDsM14nC+fLLsT9YcObRq17b28me1xJkjzDDfV1Pl1Tva/f07n8XP/BpAQfiF8bcf9Ajw3/6O&#10;vK+kP+Dhf/gjx8Sf2hPEcf7bv7K+kza34ig06LT/ABz4WsFDXuoW9ooW21CzjHM00UY8qaIZd41Q&#10;oCUIP9X+i+EvC3hppH8OaXp+ntMAJTY28cBcL0DGNRnHbNdCc44ruxHF9X+03mVCPK3ZWbvdWSs9&#10;uxw4fhOl/ZscurS5rXd1pZ3butz/ABzfCXjn4t/APx2dd8Eat4i8F+JtNka3a50+e40rUbdhjfE+&#10;0xyryMMjDB7g19M+Jf8Agpt/wUO8ZaQ2g+Jfjf8AEu5tHTY0I165hyvoXhZHP/fVf6kHxR/Zc/Zt&#10;+Ntz9u+MHw/8F+KLgAAXWv6NZ304A7CWaJnH4MK5LwV+w/8Asb/DfVk17wF8Kfh1pN9GwkivbHw9&#10;p8VzGy9Ckoh3p/wEivr5+JWFqJTq4S8vk/xa/Q+Sh4c4qm3Gni7R+a/C5+GX/Brh8NvHegfsmfED&#10;4q/EW11mG/8AF3j8PDd67HcLcX9rZWFuUulkuBvmjd55AsgJDFWwTg4/p0qOKNYlEaAKoACgcAAd&#10;AB2qSvzHOMxeLxNTEuNuZ7duh+kZRlywmGp4dO/Kt+5/It/wdskD4G/BvP8A0OGs/wDpFHX4E/8A&#10;BvmR/wAPdvhL9fEn/qPajX+mFrXhnw74ljjh8R6fY6gkRLRLfQRzhGIwSokU4J9qzNN+H/gXRb1N&#10;T0bRNIs7mPPl3FrZwxSpuBU4dUBGQSDg9OK+ry7jRUMsll/sb3Ule/8ANfpbpc+YzDg118yjmHtb&#10;WcXa38tut+tjsKKB0or4I+5D3r/O8/4Le/8ABGz4v/syfG/xF+0j8BPD17rnws8TX9xrsy6JbtPJ&#10;4aurhjLc29zBECyWnmFnhmC+WqHY5BUbv9EOmSIsiFHAYEEFT0IPY19Bw7xFWy2t7Wmrp6Nd1/me&#10;DxDw/SzGj7Ko7Nap9v8AgH+RD8Av21P2sP2WbO+0z9nT4i+KfB1rqUnm39lot60dtNKF2+Y0LBo/&#10;MA43hQ2AOeBXKGT9of8AbB+MLTk+K/iR468Q3C72H2jVtVvJBhV3Y3ttUYA6Ig/ugV/qu+Mf2Ff2&#10;L/iFrMniLxv8JfhzqmoTMXnvrzw9p7zys3JaSTydznjqxJ/OvVfhf8CPgp8E7R9P+Dvg/wAMeFYJ&#10;QBLH4c0u104Pjpv+zxpuPu2TX6DPxNw65qlLC+++t1+LtdnwUPDfEO1OrivcXSz/AAWyPxy/4IUf&#10;8EptV/4J3/BnVPHPxkW1k+JnjlLZ9Yhtysq6Np0GWg01JlJDvvYyXDL8pfaoLCMMfwy/4OdP2Bvi&#10;ZoP7QsH7dHgbS73U/CniPSLPS/Fd1YxNKNI1LTk8mKS5CAlILiAIBKflEiMrEErn+7Sql9Y2epWk&#10;lhqEUU8EyNFNBOgkjkRhhlZWyCCOCCK+IwHFuIo5g8wn7zlo15dvlZW9D7THcK4ergFgIe6o7Pz7&#10;/Pqf49vwb/aG+OH7Ouvz+K/gN4x8Q+DtRuYRb3V54dvpbJ5olO4JL5bASKDyAwODyOtel/Er4eft&#10;W/FL4U3H7cHxoPiTWdA1DxJbeE4/GfieeaebUtQmgubhY7aS4LNNFDHbOHZCY42Kp1JA/wBRCb/g&#10;n3+wtcaz/wAJDN8GvhgbwyiczHw1pufMHO4jyNpOeSccnmvpuTwb4Un0SDw3caXpz6faBFtbB7aI&#10;20IjG1BHEV2KFHAwBgdK+1r+J9LmU6WG16ttXt2vb8/uPjKHhpU5HTq4nTokna/nr+R/ncf8GyBB&#10;/wCCplhj/onniT+dpX+jdXJ6P4E8FeH70ajoWjaVY3AVkE9naQwybW6jcig4OORmusr4PijPVmOJ&#10;+sKHLola99r+SPuuGsjeX4b6u582rd7W7H8n/wDwdE/sSfFL41/DTwV+1P8ACrTLzWl8ARajpfiq&#10;wsI2muIdKvmimS9WJAWaOCWIiUrkqrhiNoYj+Mn9mT9qz47/ALHPxTg+M/7OfiKbw54hgtpbFrqK&#10;OK4intpipeC4gnV4pY2ZVba6kblVhyBX+vo6q6lHAIIwQehBr5J8SfsFfsS+L9fl8U+J/hD8Nr/U&#10;Z5POuL258Oac8s0hbcXkYw/OxJyS2Se9fR8PcdwwuE+p4mjzxV7bbPo0z5zP+B54nF/XMNW5JO33&#10;rqmj/Og8feJ/+CpX/BYew1z4u+Mv7f8AH+k/DPQbnV7mSzsorLSrGNdnnx2dvaxRwSXsqAO0catK&#10;yISeAK/Nr4X/ABY+IfwQ8fab8U/hJrV74e8R6NM1xper6dII7m2kZGjYoxBHKMysCCCCQRX+wx4T&#10;8HeE/AegweF/BGl6do2mWw222naVbRWlrEvokMKqij6CvnDVf2D/ANinXfFEvjXWvhH8NrzVp5zd&#10;T6hc+HNOklkmJyZHLQnc5PJYjJPJJPNepg/EqjBSpSwiUOiVtuqfTXyX3nm4vw5rTcaqxTc+rffp&#10;bW+nm/uON/4JoeKfHXjn9gb4TeNviZq2o67r+seCdP1TVtY1Zt13d3F0hlaSVsDJO4YOORivtbVf&#10;+QXc/wDXCT/0E07TtPsdJsYtM0yGG2treJYbe3t0WOKKNBhURFACqoAAAAAHSrhGQR19jX5biayn&#10;VlUStdt2P07D0nClGm3eySuf41PjAr/wmOsf9he9/wDR71/py/8ABB//AJRKfBf/ALAeo/8Ap2va&#10;/TNvhZ8NHYs3hvQSSSSTYW5JJ7/crsNM0vTtFsY9M0m3gtbaIERW9tGsUaAnJCogCjk54HWvtuKu&#10;NVmWHhQVHls73vfo12Xc+O4Z4OeXYidd1ea6ata3VPu+x+Rn/Bbr9huL9uL9hTxDonh20Fx4w8Gr&#10;J4x8HuibppLqyjY3FmmPmxdwb4wo6yeWcEqK/wA0f4VfFDxv8EviZoPxe+HN5Jp3iDwzq1trWlXS&#10;Eq0VzayB1DeoOCrr0ZSQRgkV/sckcYrgz8LfhmxLv4c0FiTkk2Fvn/0XUcM8avAYeeGqUueLemtr&#10;X3Wz0f8An3HxJwasdXjiKdTkklrpe9tnutV/Wx/Kz/wWJ8F6v/wVx/4Ja/C79uP9mDTptcvvDEs+&#10;sat4d01TcXsFtfRLb6vbpGmXeWyureMsgBZo1LjIAz/GZ8Bvj/8AF/8AZa+LWmfGn4Ha3c+HPFOh&#10;yyfY7+BUZlEiGOaKWKVWSSORGKvHIpUjqK/1/tI0LRvD1p9g0CztbGDcZBBZxJDHubqdqADJ7nFf&#10;Nnjf9hr9jX4leIpvF/j74UfDvWNVuW8y61HUPD9hNczuf4pZGh3SN7sSfeu7IuO6WFozwtShzU7u&#10;yvsn0d1ZnDnnBFXFVoYqnX5Z2V3bdrqrbH+dh4k+LH/BWP8A4LXak3hjVLjXfiBZeDNPu9elstMs&#10;INN0aya2gdy7pZxRQPeyoDHArBpXLbEHzGvyr8IeMvGfwp8caf438GX99oPiLw/qUV9p19bkwXlj&#10;fWkgZHXPKSRuvQjgggiv9hvwP8PfAnwx8PReFPhtoej+HtLhJMOm6HZwWFrGT12wwIiDPsK8M8Yf&#10;sQ/sdfELxbL488d/Cr4eazrVxL511qmp+H9PuLmeQHO+aR4SZG9S5JNelg/EqjT5qX1RKn0St876&#10;W1/q55+L8Oa1TlqfWnKfVu/ytrfT+rH8g3/BQj4m/FL4yf8ABuD8D/ih8atcvvEniXWviF9s1LWt&#10;Tl825uQbzWVg8x8DOyBY0AxwFA7V+OH/AARMI/4eqfBf/saJP/SO4r/T+h8AeBofD1t4Qi0XSU0m&#10;zCrZ6WtnCLS3VPuiKAL5aAZONqjrTdP+HfgDSb2PUdL0PR7W4hO6Ke3soI5EPTKsqAg/Q15WF48h&#10;SwtfCxw+lRza1tbm6Wt0PXxPBMquJoYl19YKK235et79TodW/wCQbcf9cJP/AEE1/jOTsPPk5/5a&#10;N/Ov9nJ1DLtPNcH/AMKr+GJ6+G9A+v2C3/8AjdeZwlxWss9relzc9utrWv5Pud/FfCrzP2VqvLyX&#10;6Xve3mux+YH7Jf7O3gP9rP8A4In/AAz/AGdfiUrnR/FnwT0DTLiaIAy20hsIXguYs8eZBMqSpnjc&#10;ozxX8D/7Z3/BKn9tL9iT4gX/AIV+IHg3XNZ0OC5ePS/Gnh6wnvdJ1C3z+7lEkKyeQ7LgvFLtZG45&#10;4J/1R1sRpmkmx0KKCAQwGO0gRAkKFVwihV24UHHAxxX8avw9/wCDrrxB4W1i/wDCP7SHwfhu7jT9&#10;QubCe+8GamYQ7W8rRH/Q9QD7cbf+fg59q9ng7Nsx9riKmDpKcW7uLaVr32f4P8jxuLsry/2WHp4u&#10;q4SSspJN3tbdfifzAfA34J/tv/tCy2/wF+Bmi/EXXLK/uBbtoVh9vTRoy7Dc9yGK2cMYPzO0u0Dq&#10;TXh3xj+F3iD4I/FjxH8HPFr20uq+FtZutB1J7N/MgN1ZuY5hG+BuUOCA2OQM1/Y78Yf+DsD4XRfD&#10;69sv2dfhX4gi8TXNqyWV14ouLOHTrSdlwJJI7R5ZJ/LJ3BBsD4wWUHNfxm6lqXjv4w/ES41a4W71&#10;3xN4q1qW6kS2jMt1qGp6lOXYRxpyzzTSfKqjqQAO1fqeS4zG1pTniqCpRWyvdt9W2fmOc4TB0owh&#10;hq7qye7tZJdEr9T+1n9iH/lV4+In/Yq+O/8A0dNX8Rfhsr/wkum/9hG2/wDRq1/qxf8ABNT9lC5/&#10;ZI/YH+Hn7NnjOG3uNR0zQTL4jhYCWJtR1KWS9vIiGBDJHLM0YyOVUV9gf8Ks+GakMvhvQQQcgiwt&#10;+CP+2dfl2C45hg6+LUaXOpzbTvbT7mfpuN4KnjKOFcqnI4QSatfX70eO0V9JfYbf+4PyFH2G3/uD&#10;8hX599bXY+/9iz//0P79ycDNND9zX89n7Y37fX7ZH7QH7YN9/wAE3v8AgltFpFn4h8OWqXHxQ+KG&#10;uRCex8NrOF2w26MrxmZA4Dbo5GZzsRPkkYUZP+CY3/BXrw5YDxR4M/ba1288RhfNey1zw3FLo8kv&#10;ZNjTzhIxnBIgO7qFU4x78cjUYQliK8abkrpPmbs9m7J2v0ueFLPHKco0KEqii7NqyV+qV2r28j+i&#10;INmlzmv5iv8Agpz8Qf8AgoP+yt8cPgD8SrD4zXVro3jzxh4V8A+J/AGj6ZbDTxfxoraneR3syNK8&#10;d4wYCPyoyikYPav1K/ag8df8FFtA/bP+Dvhf9mnwzouqfCDUrmVfivrN75BurGLzcEoZJ45E2w/P&#10;F5Ucm+TKsAAKynkklGnNVI2mpNa2+Hdapa9FbdmkM5i5VIOnK8HFbX+LZ6N6d77H6WUU1CSPm65p&#10;1eKeyFFFFABRRXmXxj+LPhH4FfCvxH8ZfHz3Eeh+FdFu9e1Z7SIzzLa2UTTSmONeXbapwo5JqoQc&#10;moxV2yZzUU5Sdkj02ivBP2Yf2h/Bf7V3wF8MftEfDuG/t9D8Waf/AGnpsOqRrFdLD5jxjzURnCkl&#10;CcbjxXveRTq05Qk4SVmtGKnUjOKnF3T1CiisTxJ4h0bwloF94p8R3MVlp2m2c2oX95OwSKC2tkMk&#10;srseioiliewFSk27Ipu2rNktik31/LZ4B/aN/wCCof8AwWX8Z674o/Y08WWvwF+A2i6tNo+leMpd&#10;OW+8QeIZbdgHkiSTouCGKxvCseQhkdwwr7Q+CX7Cn/BVD4BfGXwx4sm/anuPiT4Mh1a2Pi3wt410&#10;JIp7nTM4uBaXayXTrPgkx8xrnAYkV79fIlRTjWxEYzX2feb9G0mk/K/qeFQzyVZqVGhKUH9rRL1S&#10;bTa+XofuJuz0p1fh58H/ANpf466//wAF4Piv+y5rHiS9uPh/oXwm0jXtI8MukItrbULhdPMk6uIx&#10;KWYzSZBcj5jx0x+4debjsBLDuCk780VL5SV0elgsdGupuK+GTj807BRRRXCdgUUUUAFFGR1ooAKK&#10;KKACiivEv2kPj98PP2WvgZ4n/aC+KtybXQfCulS6pfugzJJtwscMS/xSzSMsUa93YCrpU5TkoQV2&#10;9ERUqRhFzk7Jas9rZtooDZFfy5fBG2/4LK/8FZ9DX9o2P4nxfs2fCzWGeXwZ4f8ADunrqGuX+n5K&#10;pczzO0MgEgB2yGVA33kh2bSf0W/Y9/ZK/wCClf7OXx0t7r40/tCQ/F74bT2F5Ff6X4g0ZNP1m2u2&#10;XNrNbzx+eXVXG2QPOo2nITNe1i8lhQUozxEeeO8VzP5XS5b/ADPGwudTrOMoYeXJLaWi+dr3t8vk&#10;frzRRRXhHuBRRkHpRQAUUZFFABRRkUZFABRRX5qfshePP+CiviP9qP40+Hf2sfDGi6R8NNM18x/C&#10;PVrHyBcX2nfaJljL+VPK7hrYRPI0qRsshKgY4Xoo4ZzhOfMly66vV6207/5HPWxKhOEOVvmdtFot&#10;L69j9K6KKK5zoEYEjAOPev5nP2iP+DXn9jr4yeOdY+IXgPxl438H3utahc6pdWaG11OwW4upGlkM&#10;cc0aSqpdjhfOwBwMda/piYgLnNfmpb+PP+Ci7f8ABTi58Cz+GdGH7OC+DBcQeJgIPtp1ry1JXd9o&#10;8/f525Nhg8vy/m3Zr2slx+KoSqSwtbkaV3qle3Sz3fZHjZzgcLXjCOJpc6vZabX66bLuz8I7L/g0&#10;d+HUepebqPxw12Wz+XEEHhq3in/2/wB619IvPb93x3zX7FfsK/8ABEP9hz9gzxDb/EXwNpd/4n8a&#10;WyYt/Fvi6Zbu5tWIIZ7SBEjtrdiDjekW8Djd1z+vw6Clrox3FmY4mDp1q7afTRflYwwfCuX4eaqU&#10;qKuuru/zbEAwMUtFFfOn0AUUUUAf/9H9jv8Ag2Ji/wCE+/Z3+Lv7TniRhceKfHnxgv5NcvC2538i&#10;0t7tFJPIxLfTHGehBr+mqv5L/wDglp8WvBf/AASm/bk+Mf8AwTO/aN1CDwtoXiLxUPGfwo1vV5Bb&#10;abeW14vlxwieQiNXlt1hRWLAGWCSMndtB/qu1bxZ4b0HSJfEGuahYWWnwRefPf3dxHDbxx4zvaV2&#10;CBcdycV9RxdTk8dOql7s7OPmmla3psfNcKVYrBQpt+9C6l5NN3v67+Z/PX/wcEf8hz9lfP8A0cLp&#10;H/oAr6L/AG4v2rfj58I/+CoH7MH7Pfw+19tO8IfEObXU8X6OLS0mGoCzRDADNNC88W3J/wBTIme+&#10;a+Yv+C9+saV4hn/ZN13Qrm3vbK8+P2i3NpeWkiywTRSRhkkjkQlXRgcqwJBHINa3/BSv/lNR+xX/&#10;ANfHib/0XHXrYCjGdDCxqRv7tbfuk/yZ5WOqyjXxMoSt71Hbza/NEX7ff7Xf/BQ/wv8A8FY/Bf7E&#10;n7GOraFFbeOPhOl+LXxLYwTadpF69/qAudckkWP7VI1ra2gCW/m+U74BjJPPzx+178bv+CtH/BHv&#10;UvB37QHxY+K9h+0B4D8Q62PDGv8Ahu90Gz0CeDULmGSW3FtLbKzJ5hjfY4baCoR4zuBH1r8SR/x0&#10;p/D4+v7NV5/6c9Srlv8Ag5o4/Yc8E4/6LT4bH/kG8rbL5U/rGCwroxcakVzXiru91vuvlYxx0Kns&#10;MZilVkpQk+X3nZWt02fzuct8avhP/wAF6PC3wF1f9sCX47+GtO8TaNpMviy6+Duk+GbNtHgs7aI3&#10;EunLfTrJNNMkQYMWHzuNqyLw9fpt+y7+0r8Wf29v+Ca+iftA/Bi50fwp4+8Y+DrldOu76BrrTdM8&#10;QQtJaPK0J3s9utxE0iodxKEA5Oa+uf2kh/xjt4/P/Ula5/6QzV/Jf8EP2y/i1+xH/wAG2vw3+IPw&#10;NltLDxN4i8WXHgzT9cvkV4NIGpanfNJelXDIWjSIhS6sqltxB24PBh6csfh4uNOKmqkUrRSVmno7&#10;LVK3W733uehXnHA15XqScHTk3dtu6a1V3o3fpZH3l+0X+zf/AMFqv2ePgR4n/aP0n9rG28Tat4P0&#10;i78U3nhi48FaXZaZeW1hE089ujgOV/dI23KDcR1QncI/2pviV+1N+3//AMEXNJ/ay+GXjqz+HFre&#10;fCvX9b+JvhiLQ7fVIfEcKWphmsree5bzbFC8ExSSMl9soB5UGuO/an/4Jqad8MP2GfG3x1/as/ag&#10;+OPijUbLwLf6lJcP4pTTtA1DUJbJ/s9qtl5Uomt7iVkiWHzMyKcdTx1f7LT+f/wbHTrBiQj4HeLQ&#10;yx/Ngp9u3jjONuDkdsc16CqQ9nRxEeWUo1VG6goqzTutlfybV0edyT9pVoy5oxdNuzm5PRqz3dvN&#10;J2ZN/wAEPvgL+3Vp/wCzZ8G/jHrfx2s7r4Rv4amuIvhQ3hOwikhtZPPSGL+2g/2k+VNiYuR8wG08&#10;c0fCH44f8FFv+CtnxM8b+O/2XviXafBH4IeD/E914S8O6pY6Fbavrvia7scCe4c3oKRQjcGwpXbu&#10;CYdgzL9tf8Edlg8Sf8EgvhJpOmXMO+68C3GmJKHGEuDPcwFSQeGV+COoPFfgP/wRN/YT+EH7Rvwm&#10;8Z/Cnx78W/jZ4G+IngTx1q2meIvBHg3xd/YVvFAJQsd4unm3kcl3DpLLn/WLg44yTnCdXHYirZOE&#10;rL3E7JyldtbN7K7vuJRnClgsPSbcZxu/fau1GNlfVpbuytsfsZ+wx+1F+2L8KP2+PE//AATK/bn8&#10;R6Z481GPwhH48+HvxCsdOi0u41TTfMEc0F3bQgRiRDuAIXIMUmXcFTXuP/Bdfx5rPw7/AOCUvxg1&#10;nQJJIbm70G30fzY22lYdRvILacfRondSPQ1W/Zr/AOCUX7Mn7M37Vum/tDad8Qvid4v+IFl4dvdK&#10;0+H4geKINYlGlTnZMVhNtFOYo3lyMPsV5MkZNfT/APwUc/Zu1D9rr9h/4lfs8aJs/tPxF4Znj0fz&#10;MBW1G1Zbq0Qk/dEk8SIW7Bia8SpisL/aOHrQ+FOLlpyq6erS6J7/AHnt0sLif7Pr0p/E1Ll1u7Na&#10;K/W23fYzP+CZPw10D4T/APBPv4PeB/DSIltb+AdIundF2+bcXsC3VxKQP4pJpXdvc191np+NfgX/&#10;AMEIv2+/h/8AGP8AZS0D9lP4kahb6D8VvhbbnwVrXhTWZVtdSnt9LJht7mKCXa8mIlWOYKCySo24&#10;AMpP7j6/498E+F7mwsfEusaXp0+qXsen6ZBf3cNvJeXUpwkFusjAyyseFRAWPpXl53hatPGVYVVr&#10;dv11380z0slxdKphaU6b0SS9LLb5H8mPxdH7YOr/APBw/wDFXwJ+xXc6Bo3iXxB8K9BsNU8X+JLd&#10;ry18O6QlpYSz30dqPlnuS6xxQxuCpZ8sMAke2/Hn4v8A/BUD/gkn8Vvhr8Tv2h/jDY/Gz4S+NPGF&#10;n4L8UwahoFpo19pM94pZZrdrc5zsWWRGMhT92Y3TLK9esfAoBv8Ag5c+NuP+iH6H/wCgaXUv/BzQ&#10;p/4Yc8E4/wCi0eG//RV5X2sK8amLwmEnTi4zpwTvFX1j3tdW6WaPjqlBwwuLxcKklKM5tWbS0l22&#10;d/NM/VT9tP4VftpfFvw3oXhr9jj4m6P8LbhNQmk8S67qGixa5dS2flgRRWkE48pW35LMxBxjB61+&#10;KX7QnxL/AOCof/BKX4q/Cz4j/GT402vxr+G3jfx3p3gTxLpGreHbPSLuwfUGwtxby22XyFDspD43&#10;KFZGB3D2n/goh8cf2mfjX/wUu+HH/BMH4LfES/8AhBoOv+ELnxp4j8YaIkY1nUDE04WxsZpMbDtg&#10;P3CCSzFtwUKfzD/4LHfsZ/DH9kW2+Cpf4xfFrx14u134u6Ds0D4g+J11aD7DbTgzX0VgIUMTRuY4&#10;xLkj5yvJPHNkGCV6FCvytVE3y8ibs76uVrrbSz0t0N8+xjtXr0FJOm0ubnaV1bRRvZ763Wtz9av+&#10;C1H7aX7XX7JHxI/Z60X9kqeG4v8Axz42v9Cv/DF1Bavb664S2SztJp54nlt4jLNl3geJ9ufmGMjw&#10;/wDaf+Fn/Bc/9mz4F69+2HbftE+HPE+q+E7GbxT4g+Gtt4Rs7fRDp9qvm3dva3LAzyLbxB2y4jd0&#10;UkSK+Cer/wCC3Bz+2h+xAP8Aqtcn/oVjX68/8FBkH/DBXxux/wBEj8Yf+me6rjoYiNGhgVClF89+&#10;a8U2/fatdrt2s/PY7a2HlWr43mqyXJbltJpL3E76Pv308tT4s+I//BWnwh8O/wDgkzo//BSe/wBI&#10;ia+8Q+HbJtH8NeYxim8R3jNbCy8wDd5MdxHKWb7xiQ4+YjPzN8Lv2cv+C7/xV+Hdh+0P4j/aK8M+&#10;EvFWrW0Ov2XwvbwnaXOgWkUyCWLT7y6wbhcqQsrIJHQ5w7MAw/Kb9ojwx4h1H/g2P+A3jTR7Oa+s&#10;/CXi/TPEOtRQqW2WMer6jCXbtsEkqKSePmFf2FfDr9of4L+OvgLpn7RPh7xDox8GXegx65/bpuo0&#10;soLQRB5DLKWCx+TgrIrYKMpVgCMVWPpxwVJyw9NO9ScW3FSsotWjqna9/V9zPA1ZYyoliKjSVOEr&#10;JuN3JO8tLXtb0R+MX/BJr/goN+0H8RvgF+0N8af27tZtrqb4V+NtYgurbTLW1gttLs9LtmnuLK0N&#10;vHGZ0R0ZInmZ5GG3LknNcB+zKv8AwV1/4KdfDNv2vLD40WfwI8H+JJLmX4d+C/D/AIcstYnbTo5W&#10;jgu9RubweYxkKdFb5x84WNSAfhj/AIJ6aZd/tL/8E0/28I/hObi7bxd4x8W6noIgU+dcRXNo93Cq&#10;IMkvImAFGSScV69/wSS/4J+fs6fti/sNeCfiL4f+Onx903VrLTV0jxR4X8LeOvsNloupWzNG9vFY&#10;i2draFgBJApJzGwIJr1cdhMPQliaqSg1KMfgUlFct9norvrrt5nmYHE166w1JtzTjJ/G4uT5rbrV&#10;2XTzP1E/4JR/tm/tF/GnxP8AFf8AZJ/bNGlTfFL4MeILbStU1rRoPs1rrWm3yu1peiJQqK7eWS2x&#10;EUo8Z2qSRXzD/wAHL2uX13+x/wDD/wCD8UslvZ+OfjF4f0PVJUYqDbKJZNrH+7v2v35QHtX31+w9&#10;/wAE3f2b/wBir4veNviL8KvGPjbxZ4s8T2FjZeK5/G2u2+tXixws0ls8hjt4ZldgCFaUncq4XpXh&#10;3/BfX9l7xv8AtNf8E9dZm+FsM1z4l8A6xZ/EHSrW1QvPOmlhxdRwqMkyCCR5FABLNGFHJrw8FicM&#10;s4o1aWkLx6WSdtXboubVeR7WMw2K/sirSq6ySfW7avor9Xy6H7IeEvDmkeDvC2m+EdAgjtrHS7C3&#10;06yt4QFjigtolijRAOiqqgAeldAxAUk8cdTX5w/8E1P+CiHwW/b6/Zz0Dx74Q1fT08UwaZBbeMPC&#10;7zouoabqUKLHcboCQ5gkcF4ZQpVkI53BgPuLXPGPhCTVB8O5dZ0u31zVbK5bT9Le7iW9mREO+SK3&#10;3eayxg5ZlUhe5r5nFYSrSqypVY2ktz6XC4qlVpRqUpXT2P54vCH7Sv8AwUR/4KxfH7x9pn7EPj7S&#10;/gz8Ffh1r8nhRfGf9jQ6xrXiPVLY/vjDHdfJHEOGG3y9qMm7ezELvfCn9qb9vv8AYL/b88CfsU/t&#10;8+MNJ+KPgv4tJcW3gH4i2ulxaTqMGqxEAWl1Db7UIMjJGQd5HmxuJMbkXmP+Dabxdong34GfFT9k&#10;/wAUTJZ+PfBXxY1u41zRLxhFem3uPKhS4ELYkMfmQuhbGA2Aeoze/wCCpvizQvjt/wAFWv2Q/wBm&#10;f4YzW+q+KfCPjefx74qt7RllfSdKg8ibdc7c+WXigkkCsQcBTj50z91VpQ+u1cv9lH2cYy15VfSN&#10;1Pm31eu9tbWPiKVWf1Olj1Vl7SUlpzO2srOPLe2i8r6X7lf9pP8Aav8A+CmHij/grz4l/YB/Y/8A&#10;EmgaZpN/8PdM1hNQ8R6Zb3dt4VjKxyX2rRBYhPczszpDFDNI8W+QZUAZHin7UP7Rn/BWz/gkV8V/&#10;BN58SPiBp37Rfhb4lT3XhjS9K1HRrbQbu28RGNRZor2oJVXmlRvvlXjV02owV6+ufhMAf+Dkf4qH&#10;HI+AGkdf+vixrnv+C/uf+Es/ZQ/7OH0T/wBGRU8HOl9Zw2FdGLjKmnL3VdvlbvfdbdGhYqFX6vic&#10;Sq0lKNRpe87JcyVrbPfqjzb9qXwR/wAF0/2W/wBn3V/22dQ+P/hfX9T8K2Z8T+J/hdaeF7SHQ49P&#10;hw9zbWt2ymeUW8e4szeW7qCVkDAbvpP9u/8A4KE/FSD/AIIrW/7fX7N+oHwl4k1zSPDGrWs6QW19&#10;9hk1G9t4L2BUu4poXClpIgzITjkYNff3/BTpf+Ncvx3P/VI/Fn/pruK/nT/aBx/xCh+Fv+wJ4f4/&#10;7mJa58scMWsNUrU43VWMdIpJxetmkrP53N8yU8K8RTpVJW9lKWsm2mtLpt6b9D7Hsvhj/wAF1P2k&#10;PgHD+1hoPxs8P/DrWNT8PReIvC3wk0vw7Z3lq1qYBPbw3+p3KO32u7Xaz/u2jjZtuFGQvk37FP7T&#10;f/BWf/gsR8Kbfxv8NvHHhz4D+GvCoXw7r3iTS9Fi1vUvE3iKGNZbl4ILo+XZ2sSPEWVWzvcgFl4T&#10;+jT9ntd37N3gcn/oR9G4/wC3CKvxt/4Ntcf8O+dXAAGPiz4q/wDQ4KwjmCeGxFX2MLwlFR91aJ81&#10;+mu32r9zoll7WJw9L207TjJy956tctuum/2bGz/wTH/aw/bDsf2wvin/AME2P26NZ03xh4r8BaVa&#10;eKfDnjjTrOOxOqaRdGIETRRKibgLiIr8gZT5iMz7Qx6v9jj9tD41eKv2lP20NI+MGrTa54X+C/iG&#10;zbwjpEVra272Wnpaajc3FvHJBCkkxk+zIA07SMCODyc+LfA3/lZR+MuP+iFaN/6N0+r/APwS1u9E&#10;sP8AgoB+3ve+JpbSHToviJoT30t+yJbJbi31TzDM0hCCMLnduOMZzxWmOw9Jxr1fZrWnTlourlG9&#10;u1/LuRg69VSoUvaN2qVI6vooytfvbz7Hgf7F+q/8FY/+Cp/wZl/bJ8JftH6R8KdI1nVr608PeBfD&#10;fhax1eHTYrGdogl7LckTGRtoYqzMSpDZUNtH01/wUA/a9/bd/YR/Y3+Ffw51DxD4P1j40fEPxrb/&#10;AA9l+IlzaC10O1+0SyY1OS0dEjjfyjFvQoYoz5jYcKAfO/jz/wAEYfBnwT0jxP8AtRf8E4PjD4t+&#10;Bl7HY3fiqfTdM1L7T4OuzbxG4xJA74igcA5JaZFU4VNg216z+yndfC//AILUf8EufAtn+3zp2mXW&#10;s+JZNSEbWkyadeXGoaBdS2Z1bSwu1o5CmDKIlaIeYylfLYLWuIrYec4YqMU6MZWceRKUbp2T/mSt&#10;rq721tcww9LERhLCuTVaUbqTm3GVmrtfyt300Vr6bHffCb9j/wD4K2/DP4leFvGvib9qPTfH2iQ6&#10;tZyeMvCuu+ELLT7e90wyKbxbK6tQ8sU3l7vJOAC2NxAyKz9N/ax/aAuf+C8V/wDsdSeIGPw4g+C5&#10;8VxeHPsdpgap51uvn/ahD9q6SN8nm7Ofu9K/O34teB/2of8AgiT8cfg8vwh+M/ij4mfDX4iePbLw&#10;JcfCnx5It/qNtb3RUedp0uS2IlwN8axBJDGrKyPgfROijH/Bz5qg/wCrdT/6UWlRLCKftK0nGcXT&#10;m4tRUdmt1ZWa76+THHFOHs6UeaElUgpJyct09nd3T7fejV+JP7VX7en7f37b/jz9j/8A4J++KtG+&#10;F/gb4SyQad49+J95psWsX93q82d1lYwTAxDYyOn8B/duxkHyIeL1/wDaK/4KNf8ABLD9qT4beD/2&#10;0PiJpfxk+DvxT8Qr4Tj8WPo0GkavoGqTbVh8xbbCGMs4Y7mkDRrIV8tkw1f/AIIma7pXwc/bi/a9&#10;/Zc+IV1HZeM7r4rT+MdOs75ljudT0q6mupVuIVODIFSaKRtucCUHpzVv/g4T1/RfjHqX7PX7E3ge&#10;4W78eeKfjNpOu2+m2LiS7s9Ns4Z7aW6mRctFHm63q7DBWKRudhx0QpQWNjl/so+zcVryq+sLufNv&#10;vrvbpYxnWm8HLH+1l7TmdlzO2krKPLttptfqdh/wUU/bF/4KC/Dv/gqL8Nf2Qf2Mr7Rpk8d/Dm6n&#10;GkeI7WB9Ls9QN1cI+s3MwiN2y2VvCXEKShJGAUqxOD4r+2NrP/BYr/glv4BsP2zfFvxz0v4z+EdL&#10;1qwtfHvgzUPDFlo8aWl/cLEZLSW3y4HmOsSEOhRmVisi7lHt/wC0fz/wcffAQ+vwX13/ANGX1fRv&#10;/Bwd/wAoifi1/u+HP/Uh06ssJUpxq4DDqlFqoo814pt3k1va607G+JpVJ0sdiHVknTcuW0mkrRT2&#10;vZ69zp/+Hy/7Hv8Az93n/fUf+NH/AA+X/Y9/5+7z/vqP/Gv4U9q/3V/z+NG1f7q/5/Gvov8AUXDd&#10;n954H+vGI7/h/wAA/9L+zL9r79gj9lP9uzwpb+E/2mPCVlrwsQ39l6mjPa6nYF8bvs15AVmjDYG5&#10;NxRu4NfmDof/AAbX/wDBN3T7xP8AhIv+FjeINNhbMWh6x4lm+wKBkBQlrHBJtAOMb+nByM5/oEor&#10;1MLneMoQ9nRrSiuyf9WPMxWS4SvP2laipPu0fGfx3/YQ/Zx/aJ0L4eeGviPpV6bH4W61Y694MttO&#10;vZrRLS606NYbcPsbMsaIoGx8g45zW98Wv2NvgX8bP2gPh/8AtMePrK/n8WfDN7x/Cd1b3ksEEJvg&#10;BN50CkJLnaMbgcV9XUVzRx9ZWtN6XW/ff7+p0ywNFttwWtvw2+7ofLmr/sifBfWv2s9M/bWv7O+b&#10;x9pHhOTwTY3y3cq2q6VLLLOyNa58tn3zOd5G4DjtVX9rv9jX4G/tv/DvT/hb8f7K/vdH0zX7TxNa&#10;RafeS2Ui39ksiwuZIiGKgStlTwe/Svq2ipjjKqlCam7x2fb0Klg6TjKDgrS38/U5nxX4Z0vxr4W1&#10;TwdryvJYatp9zpl6iOY2aC6jaKQKw5UlGOCORXxTon/BND9kDSf2MV/YGn8Nzah8NESbytK1O8mu&#10;LqKSW4a6E0d2zCZJo5mLI6sCvTpkH78opUsXVgrQm1qnp3Wz9UOthKVR3nBPRrXs916M/GL4S/8A&#10;BCP9hL4Ya/Yav4ij8b+PbLRiW0Lw78QvEFxrGiaaQpVDBp5EcGUU7U3q+3qOea+iP2Sv+CYf7L/7&#10;GPhrxl4F+FUfiTUPD3jaB7LVPDvijVZdU02Cyk8/fZ2lvIAsMMguJBIOWfPzsxGa/RWiuyvnWLqp&#10;xqVm0/PscdDJcJTalTpJNbad9z8aPgJ/wQv/AGIP2bvi9o/xc+G83j9T4e1n/hINB8M33iO4n0Gw&#10;vv4ZUs9q7ypOR5rv2znAx2n7Vv8AwRh/Yf8A2t/ilJ8c/Fmla94W8a3IA1DxP4D1OTRr29IULuuN&#10;ivFI5UBTIY95HBY1+sdFN57jXUVb20ua1r36dhLJMH7N0fYx5b3tbr3Pzk/Yu/4JbfspfsK+LdV+&#10;I3wft/EeoeKdbsF0rU/E3i3V7jV9QltFcSeUGlKxopZVLbEBO0ZJwK/RogHrS0VxYrF1a83UrScn&#10;3Z24bC06MPZ0oqK8j8sv2xP+CN37Bv7bfjF/iX8VvC1xpniyQDzvFfhK7fSdSuCqhVa4aMNFO6gA&#10;K8sbsAMZxXmP7OP/AAQi/YE/Zr+K2i/HDQrDxZ4k8UeHL1NR0PU/F2uT3/2O5iOY5UhRYYS0Z+4W&#10;RsHkc81+zdFdsc9xsaXsY15KO1rvbt6HFPJMHKr7aVGLlvey37+p8n+HP2M/gZ4V/a28Q/tt6NZ3&#10;8fj/AMT+Hrbwvq99JeSvayWFqIREiWpPlow8iPLgZOD60v7XP7GvwO/bf+Hmn/Cz4/2d/faRpmv2&#10;niW0i0+9lsZFvrJZFhcyREEqBI2VPB/Cvq+iuNYyspxqKbvGyT7W0R1vB0nCVNwVpXbXe+9z8+/2&#10;1/8Agmj+y3+3rd6Jr/xrsdXs/EXhnI0Dxf4Xv5NK1qyjZt5ijuYwwMe/5grq21ssu0kmvmCb/ggr&#10;/wAE+NU+Gmt+A/F2l+K/EOqa61pJdePPEOu3Oo+KYGsH32/2XUJ9wt1U8FI4wjjhlbiv2jorqo51&#10;i6cI06daSS2Se3U5q2TYSpOVSpRTb3dvkfnSf+CYX7Lt34c+EPh7xBH4n1Y/BLWZfEPgnUdV1q6u&#10;L7+0J5lmkmvpic3ZLqOJOABgACvtf4ofDrw38YPhv4h+EvjaOaXRvFGh33h7V4oJGhkey1GB7adU&#10;kX5kYxyMAw5B5Fd/RXNVxtabi5zbtt5Xd3+Op00sHSgpRhBK+/npb8tD4G8RfDb9ln9gr9gfUvht&#10;rPh7UNU+E3gvw7c22o6BLA+vXEuk3VwzXKyRSktcKDO7uDkhAcZIAr+aK403/g148HaZc/FjRPFe&#10;u6tpkMx1qH4Ww6hrzWN5dp88cH9kzRoTub5Ak0giGcMQlf2ha3/yBrr/AK95P/QTX8Ttv/yld0//&#10;ALD8f/pStfYcLTdVV5SqTT+J8srX9dHr53PkuJqapOgo04NfCuaN7emq08j9d/8Ag3m+CXj/AMA/&#10;steNfjT4+8OzeEv+FrfEjVPGmheGZoDbGy0aVUS1AgZVaNGPmeWpHMQRhgGvVvjJ/wAEEv2Afir8&#10;SNQ+K/h2z8X/AA+1fWJmuNW/4VzrcujWt3LIxd2a2CSxIWYlmEaoCecZr9o7f/j3j/3F/lU1eBXz&#10;/EvE1MVSm4OXRPp0XnY9yhkOHWHp4erFTUe669X5HxZ+xl+wR+zd+wV4U1bwp+zxpmoWv9v3yanr&#10;2paxfz6lf6hcxJsR5p52Y/KCcKgVRknGSa+0SBjp+VOorysRiJ1ZOpUk23u2erQoQpQVOnFJLoj8&#10;YP2i/wDggr/wTq/aM+IFz8VLjw5q/gzX72Y3F9f+ANQbR1uJWOWke3CSW6u38TJGrMepzXqv7G//&#10;AAR7/Yp/Ye+IjfGP4QaVr194vaxm05fEfifVrjUrtILgBZVjUlIULgAMwjBI4ziv1Kor0J57jJUv&#10;YSrScdrXe3Y4I5Jg41fbRoxUt72W/f1Pys/av/4I5/sW/tcfFMfHbxXYeIfCvjZ41hu/FXgHVZNE&#10;v7xVAUG5MatHI+0BfMKeYQAC2AK9L/Yx/wCCYv7In7B97qPiT4HaFdzeJdZjMOr+MPEl5Jqmt3cZ&#10;YM0bXUv3EZlDMkaorEAsCQK/Qiisp5vipUvYOq+XtfQ0hlOFjV9uqS5t721v39T5d0L9kL4K6B+1&#10;hrP7aem2V8njzX/DMHhLUb1ryVrV9Nt2jeNFtSfLVw0S5cDcefWqv7Tn7GvwN/a3vfBWofGiyv7y&#10;XwB4ot/GPhs2V7LaCLU7UqY3lERHmoNoyjcGvqyiueONrKUZqbulZO+yta33G7wVFxlBwVm7td3e&#10;9/vPOPi/8LPCHxy+FHiT4M/EGKafQvFeh3vh7WYLeVoJXstQhaCdUlT5kYo5AYcg8ivlXxN/wTj/&#10;AGXvF37Fln+wFrWm6o/w2sbe1tbbT01GdLxY7O6F5EDeA+acTDJJPI4r7xooo4yrTSUJtWd16rr6&#10;hVwdKo25xTurfJ9PQ5zwr4X0nwf4S07wVoiOlhpenQaXZpI5d1t7aNYYwzHkkIoyTyeteBfsnfsj&#10;fBb9iz4YT/CH4DWd9ZaJc63e+IJYb+7lvZDe6gVM7CWUlgp2jC9B2r6goqFiKnLKPNo9Wu7W35s0&#10;dCDlGXLqtF5X/wCGPlTw5+xx8D/C37WevftraRZ3yePvEvhyDwrqt895K9q+n2zRNGqWpPlo4MKZ&#10;YDJ/GsbwF+w1+zt8OvFXxa8XaFpV3Lc/G64Wf4iQ315NPb322G4tykcbNiBGjuZVYR4zn2r7EorR&#10;46ta3O9kt+i2Xy6GSwVG91Bbt7dXu/mfhFN/wbvfsCHOiWl/8VLfwq0okk8CweML0aA6g58swNmX&#10;bn0lz6Gvs/4+/wDBLz9jT9ov4K+EPgN4x8MTaXoPw/UjwR/wjF7PpN1opKLGxtpoGBywVS+/eHYb&#10;mBPNfodRXXUzzGTlGUq0m47anLTyTBwjKMaMUpb6I/JH9nP/AIIu/sZ/s8/GDT/j4/8Awmfjvxbo&#10;qj/hH9Y+JGuza6+lMpyr2iSKkaSKfuOVJQklSDX11B+xf8Crb9r+b9uaKy1D/hYU/hb/AIQ1743s&#10;v2Q6YWR9n2XPl78xr8+M/nX1pRWVfNcTVk5zqttq2/Tt6G1HLMNTiowppJO+3Xv6n5qftm/8Eof2&#10;Ov25PFtj8TPizo+p6Z4w0+Bba18ZeEL+TSNY8lPuJLNGGWYIDhDKjFAcKQKr/sff8Elv2N/2K/Hl&#10;18XPhvpWsa541u4mgk8Z+NtRk1nWEjdSsiwzSgLDvU7XaNFZl4JI4r9M6Kf9r4r2XsPavl7X09PT&#10;y2J/snDe19v7Jc297a37+vmfKniv9jj4HeM/2rfDX7Z+uWV+/jvwl4fufDOjXsd5KlrHY3RkMqva&#10;g+W7EythiCRx6V1v7UH7Nfwr/a9+But/s8fGu2u7zwz4g+yDUraxuZLSZ/sV1FeQ7ZoiHXE0KE4P&#10;IBHQ179RXOsXVUoTU3eG3lZ3VvmdDwlLlnHlVpb+d9Hf5H42/wDDij/gnh/0APEX/g+vf/iqP+HF&#10;H/BPD/oAeIv/AAfXv/xVfslRXb/b+O/5/wAv/AmcP9g4L/nyvuX+R//ZUEsDBBQABgAIAAAAIQBj&#10;Q0zs4AAAAAoBAAAPAAAAZHJzL2Rvd25yZXYueG1sTI/LTsMwEEX3SPyDNUhsUOs0QqEJcSqE6AIW&#10;9BE+wI2nSUQ8jmInDX/PsCrL0Vzde06+mW0nJhx860jBahmBQKqcaalW8FVuF2sQPmgyunOECn7Q&#10;w6a4vcl1ZtyFDjgdQy24hHymFTQh9JmUvmrQar90PRL/zm6wOvA51NIM+sLltpNxFCXS6pZ4odE9&#10;vjZYfR9Hq+CjnLb0cKByt3/fn8fd2+eMZlTq/m5+eQYRcA7XMPzhMzoUzHRyIxkvOgVJkqQcVbB4&#10;XLMDJ9JVynYnBU9xDLLI5X+F4h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VH5sZHgCAAD/BAAADgAAAAAAAAAAAAAAAAA8AgAAZHJzL2Uyb0RvYy54bWxQSwECLQAK&#10;AAAAAAAAACEA382QQMp9AADKfQAAFQAAAAAAAAAAAAAAAADgBAAAZHJzL21lZGlhL2ltYWdlMS5q&#10;cGVnUEsBAi0AFAAGAAgAAAAhAGNDTOzgAAAACgEAAA8AAAAAAAAAAAAAAAAA3YIAAGRycy9kb3du&#10;cmV2LnhtbFBLAQItABQABgAIAAAAIQBYYLMbugAAACIBAAAZAAAAAAAAAAAAAAAAAOqDAABkcnMv&#10;X3JlbHMvZTJvRG9jLnhtbC5yZWxzUEsFBgAAAAAGAAYAfQEAANuEAAAAAA==&#10;" w14:anchorId="538EECFA">
                <v:fill type="frame" o:title="" recolor="t" rotate="t" r:id="rId13"/>
                <v:textbox>
                  <w:txbxContent>
                    <w:p w:rsidR="002730E8" w:rsidP="002730E8" w:rsidRDefault="002730E8" w14:paraId="0A6795EF" w14:textId="77777777"/>
                  </w:txbxContent>
                </v:textbox>
              </v:shape>
            </w:pict>
          </mc:Fallback>
        </mc:AlternateContent>
      </w:r>
      <w:r w:rsidR="000C3CCE">
        <w:rPr>
          <w:noProof/>
        </w:rPr>
        <w:drawing>
          <wp:anchor distT="0" distB="0" distL="0" distR="0" simplePos="0" relativeHeight="251658240" behindDoc="1" locked="0" layoutInCell="1" allowOverlap="1" wp14:anchorId="4635705C" wp14:editId="0F9CE067">
            <wp:simplePos x="0" y="0"/>
            <wp:positionH relativeFrom="page">
              <wp:posOffset>-34506</wp:posOffset>
            </wp:positionH>
            <wp:positionV relativeFrom="page">
              <wp:posOffset>4925683</wp:posOffset>
            </wp:positionV>
            <wp:extent cx="7578725" cy="575770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8725" cy="5757705"/>
                    </a:xfrm>
                    <a:prstGeom prst="rect">
                      <a:avLst/>
                    </a:prstGeom>
                  </pic:spPr>
                </pic:pic>
              </a:graphicData>
            </a:graphic>
            <wp14:sizeRelH relativeFrom="margin">
              <wp14:pctWidth>0</wp14:pctWidth>
            </wp14:sizeRelH>
            <wp14:sizeRelV relativeFrom="margin">
              <wp14:pctHeight>0</wp14:pctHeight>
            </wp14:sizeRelV>
          </wp:anchor>
        </w:drawing>
      </w:r>
      <w:r w:rsidR="00A54E2E">
        <w:rPr>
          <w:lang w:val="en-US"/>
        </w:rPr>
        <w:br w:type="page"/>
      </w:r>
    </w:p>
    <w:sdt>
      <w:sdtPr>
        <w:rPr>
          <w:rFonts w:asciiTheme="minorHAnsi" w:eastAsiaTheme="minorEastAsia" w:hAnsiTheme="minorHAnsi" w:cstheme="minorBidi"/>
          <w:color w:val="auto"/>
          <w:sz w:val="24"/>
          <w:szCs w:val="24"/>
          <w:lang w:val="en-NZ"/>
        </w:rPr>
        <w:id w:val="-1551769578"/>
        <w:docPartObj>
          <w:docPartGallery w:val="Table of Contents"/>
          <w:docPartUnique/>
        </w:docPartObj>
      </w:sdtPr>
      <w:sdtEndPr>
        <w:rPr>
          <w:b/>
          <w:bCs/>
        </w:rPr>
      </w:sdtEndPr>
      <w:sdtContent>
        <w:p w14:paraId="06165CDF" w14:textId="77777777" w:rsidR="001A71CF" w:rsidRPr="000A4694" w:rsidRDefault="001A71CF" w:rsidP="001A71CF">
          <w:pPr>
            <w:pStyle w:val="TOCHeading"/>
            <w:rPr>
              <w:rFonts w:asciiTheme="minorHAnsi" w:hAnsiTheme="minorHAnsi" w:cstheme="minorHAnsi"/>
              <w:b/>
              <w:color w:val="002060"/>
              <w:sz w:val="80"/>
              <w:szCs w:val="80"/>
            </w:rPr>
          </w:pPr>
          <w:r w:rsidRPr="000A4694">
            <w:rPr>
              <w:rFonts w:asciiTheme="minorHAnsi" w:hAnsiTheme="minorHAnsi" w:cstheme="minorHAnsi"/>
              <w:b/>
              <w:color w:val="002060"/>
              <w:sz w:val="80"/>
              <w:szCs w:val="80"/>
            </w:rPr>
            <w:t>Contents</w:t>
          </w:r>
        </w:p>
        <w:p w14:paraId="45AFD0BE" w14:textId="620748DB" w:rsidR="00C041C4" w:rsidRDefault="001A71CF">
          <w:pPr>
            <w:pStyle w:val="TOC2"/>
            <w:tabs>
              <w:tab w:val="right" w:leader="dot" w:pos="9016"/>
            </w:tabs>
            <w:rPr>
              <w:rFonts w:eastAsiaTheme="minorEastAsia"/>
              <w:noProof/>
              <w:kern w:val="2"/>
              <w:szCs w:val="24"/>
              <w:lang w:eastAsia="en-NZ"/>
              <w14:ligatures w14:val="standardContextual"/>
            </w:rPr>
          </w:pPr>
          <w:r>
            <w:fldChar w:fldCharType="begin"/>
          </w:r>
          <w:r>
            <w:instrText xml:space="preserve"> TOC \o "1-3" \h \z \u </w:instrText>
          </w:r>
          <w:r>
            <w:fldChar w:fldCharType="separate"/>
          </w:r>
          <w:hyperlink w:anchor="_Toc195533403" w:history="1">
            <w:r w:rsidR="00C041C4" w:rsidRPr="00C63792">
              <w:rPr>
                <w:rStyle w:val="Hyperlink"/>
                <w:noProof/>
                <w:lang w:val="en-US"/>
              </w:rPr>
              <w:t>I</w:t>
            </w:r>
            <w:r w:rsidR="00C041C4" w:rsidRPr="00C63792">
              <w:rPr>
                <w:rStyle w:val="Hyperlink"/>
                <w:rFonts w:ascii="Calibri" w:hAnsi="Calibri"/>
                <w:noProof/>
              </w:rPr>
              <w:t>ntroduction</w:t>
            </w:r>
            <w:r w:rsidR="00C041C4">
              <w:rPr>
                <w:noProof/>
                <w:webHidden/>
              </w:rPr>
              <w:tab/>
            </w:r>
            <w:r w:rsidR="00C041C4">
              <w:rPr>
                <w:noProof/>
                <w:webHidden/>
              </w:rPr>
              <w:fldChar w:fldCharType="begin"/>
            </w:r>
            <w:r w:rsidR="00C041C4">
              <w:rPr>
                <w:noProof/>
                <w:webHidden/>
              </w:rPr>
              <w:instrText xml:space="preserve"> PAGEREF _Toc195533403 \h </w:instrText>
            </w:r>
            <w:r w:rsidR="00C041C4">
              <w:rPr>
                <w:noProof/>
                <w:webHidden/>
              </w:rPr>
            </w:r>
            <w:r w:rsidR="00C041C4">
              <w:rPr>
                <w:noProof/>
                <w:webHidden/>
              </w:rPr>
              <w:fldChar w:fldCharType="separate"/>
            </w:r>
            <w:r w:rsidR="00C041C4">
              <w:rPr>
                <w:noProof/>
                <w:webHidden/>
              </w:rPr>
              <w:t>3</w:t>
            </w:r>
            <w:r w:rsidR="00C041C4">
              <w:rPr>
                <w:noProof/>
                <w:webHidden/>
              </w:rPr>
              <w:fldChar w:fldCharType="end"/>
            </w:r>
          </w:hyperlink>
        </w:p>
        <w:p w14:paraId="04E7E557" w14:textId="49595022" w:rsidR="00C041C4" w:rsidRDefault="00C041C4">
          <w:pPr>
            <w:pStyle w:val="TOC3"/>
            <w:tabs>
              <w:tab w:val="right" w:leader="dot" w:pos="9016"/>
            </w:tabs>
            <w:rPr>
              <w:rFonts w:eastAsiaTheme="minorEastAsia"/>
              <w:noProof/>
              <w:kern w:val="2"/>
              <w:szCs w:val="24"/>
              <w:lang w:eastAsia="en-NZ"/>
              <w14:ligatures w14:val="standardContextual"/>
            </w:rPr>
          </w:pPr>
          <w:hyperlink w:anchor="_Toc195533404" w:history="1">
            <w:r w:rsidRPr="00C63792">
              <w:rPr>
                <w:rStyle w:val="Hyperlink"/>
                <w:noProof/>
                <w:lang w:val="en-US"/>
              </w:rPr>
              <w:t>About our advice</w:t>
            </w:r>
            <w:r>
              <w:rPr>
                <w:noProof/>
                <w:webHidden/>
              </w:rPr>
              <w:tab/>
            </w:r>
            <w:r>
              <w:rPr>
                <w:noProof/>
                <w:webHidden/>
              </w:rPr>
              <w:fldChar w:fldCharType="begin"/>
            </w:r>
            <w:r>
              <w:rPr>
                <w:noProof/>
                <w:webHidden/>
              </w:rPr>
              <w:instrText xml:space="preserve"> PAGEREF _Toc195533404 \h </w:instrText>
            </w:r>
            <w:r>
              <w:rPr>
                <w:noProof/>
                <w:webHidden/>
              </w:rPr>
            </w:r>
            <w:r>
              <w:rPr>
                <w:noProof/>
                <w:webHidden/>
              </w:rPr>
              <w:fldChar w:fldCharType="separate"/>
            </w:r>
            <w:r>
              <w:rPr>
                <w:noProof/>
                <w:webHidden/>
              </w:rPr>
              <w:t>3</w:t>
            </w:r>
            <w:r>
              <w:rPr>
                <w:noProof/>
                <w:webHidden/>
              </w:rPr>
              <w:fldChar w:fldCharType="end"/>
            </w:r>
          </w:hyperlink>
        </w:p>
        <w:p w14:paraId="4F55E5B0" w14:textId="4107B82A" w:rsidR="00C041C4" w:rsidRDefault="00C041C4">
          <w:pPr>
            <w:pStyle w:val="TOC3"/>
            <w:tabs>
              <w:tab w:val="right" w:leader="dot" w:pos="9016"/>
            </w:tabs>
            <w:rPr>
              <w:rFonts w:eastAsiaTheme="minorEastAsia"/>
              <w:noProof/>
              <w:kern w:val="2"/>
              <w:szCs w:val="24"/>
              <w:lang w:eastAsia="en-NZ"/>
              <w14:ligatures w14:val="standardContextual"/>
            </w:rPr>
          </w:pPr>
          <w:hyperlink w:anchor="_Toc195533405" w:history="1">
            <w:r w:rsidRPr="00C63792">
              <w:rPr>
                <w:rStyle w:val="Hyperlink"/>
                <w:noProof/>
                <w:lang w:val="en-US"/>
              </w:rPr>
              <w:t>About this document</w:t>
            </w:r>
            <w:r>
              <w:rPr>
                <w:noProof/>
                <w:webHidden/>
              </w:rPr>
              <w:tab/>
            </w:r>
            <w:r>
              <w:rPr>
                <w:noProof/>
                <w:webHidden/>
              </w:rPr>
              <w:fldChar w:fldCharType="begin"/>
            </w:r>
            <w:r>
              <w:rPr>
                <w:noProof/>
                <w:webHidden/>
              </w:rPr>
              <w:instrText xml:space="preserve"> PAGEREF _Toc195533405 \h </w:instrText>
            </w:r>
            <w:r>
              <w:rPr>
                <w:noProof/>
                <w:webHidden/>
              </w:rPr>
            </w:r>
            <w:r>
              <w:rPr>
                <w:noProof/>
                <w:webHidden/>
              </w:rPr>
              <w:fldChar w:fldCharType="separate"/>
            </w:r>
            <w:r>
              <w:rPr>
                <w:noProof/>
                <w:webHidden/>
              </w:rPr>
              <w:t>3</w:t>
            </w:r>
            <w:r>
              <w:rPr>
                <w:noProof/>
                <w:webHidden/>
              </w:rPr>
              <w:fldChar w:fldCharType="end"/>
            </w:r>
          </w:hyperlink>
        </w:p>
        <w:p w14:paraId="2D597BC9" w14:textId="5A4A2EEE" w:rsidR="00C041C4" w:rsidRDefault="00C041C4">
          <w:pPr>
            <w:pStyle w:val="TOC2"/>
            <w:tabs>
              <w:tab w:val="right" w:leader="dot" w:pos="9016"/>
            </w:tabs>
            <w:rPr>
              <w:rFonts w:eastAsiaTheme="minorEastAsia"/>
              <w:noProof/>
              <w:kern w:val="2"/>
              <w:szCs w:val="24"/>
              <w:lang w:eastAsia="en-NZ"/>
              <w14:ligatures w14:val="standardContextual"/>
            </w:rPr>
          </w:pPr>
          <w:hyperlink w:anchor="_Toc195533406" w:history="1">
            <w:r w:rsidRPr="00C63792">
              <w:rPr>
                <w:rStyle w:val="Hyperlink"/>
                <w:noProof/>
                <w:lang w:val="en-US"/>
              </w:rPr>
              <w:t>Step 1 Align with emissions reduction targets</w:t>
            </w:r>
            <w:r>
              <w:rPr>
                <w:noProof/>
                <w:webHidden/>
              </w:rPr>
              <w:tab/>
            </w:r>
            <w:r>
              <w:rPr>
                <w:noProof/>
                <w:webHidden/>
              </w:rPr>
              <w:fldChar w:fldCharType="begin"/>
            </w:r>
            <w:r>
              <w:rPr>
                <w:noProof/>
                <w:webHidden/>
              </w:rPr>
              <w:instrText xml:space="preserve"> PAGEREF _Toc195533406 \h </w:instrText>
            </w:r>
            <w:r>
              <w:rPr>
                <w:noProof/>
                <w:webHidden/>
              </w:rPr>
            </w:r>
            <w:r>
              <w:rPr>
                <w:noProof/>
                <w:webHidden/>
              </w:rPr>
              <w:fldChar w:fldCharType="separate"/>
            </w:r>
            <w:r>
              <w:rPr>
                <w:noProof/>
                <w:webHidden/>
              </w:rPr>
              <w:t>4</w:t>
            </w:r>
            <w:r>
              <w:rPr>
                <w:noProof/>
                <w:webHidden/>
              </w:rPr>
              <w:fldChar w:fldCharType="end"/>
            </w:r>
          </w:hyperlink>
        </w:p>
        <w:p w14:paraId="5CEEA89B" w14:textId="3CB6AD8D" w:rsidR="00C041C4" w:rsidRDefault="00C041C4">
          <w:pPr>
            <w:pStyle w:val="TOC2"/>
            <w:tabs>
              <w:tab w:val="right" w:leader="dot" w:pos="9016"/>
            </w:tabs>
            <w:rPr>
              <w:rFonts w:eastAsiaTheme="minorEastAsia"/>
              <w:noProof/>
              <w:kern w:val="2"/>
              <w:szCs w:val="24"/>
              <w:lang w:eastAsia="en-NZ"/>
              <w14:ligatures w14:val="standardContextual"/>
            </w:rPr>
          </w:pPr>
          <w:hyperlink w:anchor="_Toc195533407" w:history="1">
            <w:r w:rsidRPr="00C63792">
              <w:rPr>
                <w:rStyle w:val="Hyperlink"/>
                <w:noProof/>
                <w:lang w:val="en-US"/>
              </w:rPr>
              <w:t>Step 2 Allocate volume to NZ ETS and non-NZ ETS sectors</w:t>
            </w:r>
            <w:r>
              <w:rPr>
                <w:noProof/>
                <w:webHidden/>
              </w:rPr>
              <w:tab/>
            </w:r>
            <w:r>
              <w:rPr>
                <w:noProof/>
                <w:webHidden/>
              </w:rPr>
              <w:fldChar w:fldCharType="begin"/>
            </w:r>
            <w:r>
              <w:rPr>
                <w:noProof/>
                <w:webHidden/>
              </w:rPr>
              <w:instrText xml:space="preserve"> PAGEREF _Toc195533407 \h </w:instrText>
            </w:r>
            <w:r>
              <w:rPr>
                <w:noProof/>
                <w:webHidden/>
              </w:rPr>
            </w:r>
            <w:r>
              <w:rPr>
                <w:noProof/>
                <w:webHidden/>
              </w:rPr>
              <w:fldChar w:fldCharType="separate"/>
            </w:r>
            <w:r>
              <w:rPr>
                <w:noProof/>
                <w:webHidden/>
              </w:rPr>
              <w:t>5</w:t>
            </w:r>
            <w:r>
              <w:rPr>
                <w:noProof/>
                <w:webHidden/>
              </w:rPr>
              <w:fldChar w:fldCharType="end"/>
            </w:r>
          </w:hyperlink>
        </w:p>
        <w:p w14:paraId="4AC7334D" w14:textId="0C0AF5EB" w:rsidR="00C041C4" w:rsidRDefault="00C041C4">
          <w:pPr>
            <w:pStyle w:val="TOC3"/>
            <w:tabs>
              <w:tab w:val="right" w:leader="dot" w:pos="9016"/>
            </w:tabs>
            <w:rPr>
              <w:rFonts w:eastAsiaTheme="minorEastAsia"/>
              <w:noProof/>
              <w:kern w:val="2"/>
              <w:szCs w:val="24"/>
              <w:lang w:eastAsia="en-NZ"/>
              <w14:ligatures w14:val="standardContextual"/>
            </w:rPr>
          </w:pPr>
          <w:hyperlink w:anchor="_Toc195533408" w:history="1">
            <w:r w:rsidRPr="00C63792">
              <w:rPr>
                <w:rStyle w:val="Hyperlink"/>
                <w:noProof/>
                <w:lang w:val="en-US"/>
              </w:rPr>
              <w:t>Agriculture</w:t>
            </w:r>
            <w:r>
              <w:rPr>
                <w:noProof/>
                <w:webHidden/>
              </w:rPr>
              <w:tab/>
            </w:r>
            <w:r>
              <w:rPr>
                <w:noProof/>
                <w:webHidden/>
              </w:rPr>
              <w:fldChar w:fldCharType="begin"/>
            </w:r>
            <w:r>
              <w:rPr>
                <w:noProof/>
                <w:webHidden/>
              </w:rPr>
              <w:instrText xml:space="preserve"> PAGEREF _Toc195533408 \h </w:instrText>
            </w:r>
            <w:r>
              <w:rPr>
                <w:noProof/>
                <w:webHidden/>
              </w:rPr>
            </w:r>
            <w:r>
              <w:rPr>
                <w:noProof/>
                <w:webHidden/>
              </w:rPr>
              <w:fldChar w:fldCharType="separate"/>
            </w:r>
            <w:r>
              <w:rPr>
                <w:noProof/>
                <w:webHidden/>
              </w:rPr>
              <w:t>6</w:t>
            </w:r>
            <w:r>
              <w:rPr>
                <w:noProof/>
                <w:webHidden/>
              </w:rPr>
              <w:fldChar w:fldCharType="end"/>
            </w:r>
          </w:hyperlink>
        </w:p>
        <w:p w14:paraId="5707E784" w14:textId="14F5DCA2" w:rsidR="00C041C4" w:rsidRDefault="00C041C4">
          <w:pPr>
            <w:pStyle w:val="TOC3"/>
            <w:tabs>
              <w:tab w:val="right" w:leader="dot" w:pos="9016"/>
            </w:tabs>
            <w:rPr>
              <w:rFonts w:eastAsiaTheme="minorEastAsia"/>
              <w:noProof/>
              <w:kern w:val="2"/>
              <w:szCs w:val="24"/>
              <w:lang w:eastAsia="en-NZ"/>
              <w14:ligatures w14:val="standardContextual"/>
            </w:rPr>
          </w:pPr>
          <w:hyperlink w:anchor="_Toc195533409" w:history="1">
            <w:r w:rsidRPr="00C63792">
              <w:rPr>
                <w:rStyle w:val="Hyperlink"/>
                <w:noProof/>
                <w:lang w:val="en-US"/>
              </w:rPr>
              <w:t>Non-municipal waste</w:t>
            </w:r>
            <w:r>
              <w:rPr>
                <w:noProof/>
                <w:webHidden/>
              </w:rPr>
              <w:tab/>
            </w:r>
            <w:r>
              <w:rPr>
                <w:noProof/>
                <w:webHidden/>
              </w:rPr>
              <w:fldChar w:fldCharType="begin"/>
            </w:r>
            <w:r>
              <w:rPr>
                <w:noProof/>
                <w:webHidden/>
              </w:rPr>
              <w:instrText xml:space="preserve"> PAGEREF _Toc195533409 \h </w:instrText>
            </w:r>
            <w:r>
              <w:rPr>
                <w:noProof/>
                <w:webHidden/>
              </w:rPr>
            </w:r>
            <w:r>
              <w:rPr>
                <w:noProof/>
                <w:webHidden/>
              </w:rPr>
              <w:fldChar w:fldCharType="separate"/>
            </w:r>
            <w:r>
              <w:rPr>
                <w:noProof/>
                <w:webHidden/>
              </w:rPr>
              <w:t>6</w:t>
            </w:r>
            <w:r>
              <w:rPr>
                <w:noProof/>
                <w:webHidden/>
              </w:rPr>
              <w:fldChar w:fldCharType="end"/>
            </w:r>
          </w:hyperlink>
        </w:p>
        <w:p w14:paraId="654984EC" w14:textId="06AC588C" w:rsidR="00C041C4" w:rsidRDefault="00C041C4">
          <w:pPr>
            <w:pStyle w:val="TOC3"/>
            <w:tabs>
              <w:tab w:val="right" w:leader="dot" w:pos="9016"/>
            </w:tabs>
            <w:rPr>
              <w:rFonts w:eastAsiaTheme="minorEastAsia"/>
              <w:noProof/>
              <w:kern w:val="2"/>
              <w:szCs w:val="24"/>
              <w:lang w:eastAsia="en-NZ"/>
              <w14:ligatures w14:val="standardContextual"/>
            </w:rPr>
          </w:pPr>
          <w:hyperlink w:anchor="_Toc195533410" w:history="1">
            <w:r w:rsidRPr="00C63792">
              <w:rPr>
                <w:rStyle w:val="Hyperlink"/>
                <w:noProof/>
                <w:lang w:val="en-US"/>
              </w:rPr>
              <w:t>F-gases</w:t>
            </w:r>
            <w:r>
              <w:rPr>
                <w:noProof/>
                <w:webHidden/>
              </w:rPr>
              <w:tab/>
            </w:r>
            <w:r>
              <w:rPr>
                <w:noProof/>
                <w:webHidden/>
              </w:rPr>
              <w:fldChar w:fldCharType="begin"/>
            </w:r>
            <w:r>
              <w:rPr>
                <w:noProof/>
                <w:webHidden/>
              </w:rPr>
              <w:instrText xml:space="preserve"> PAGEREF _Toc195533410 \h </w:instrText>
            </w:r>
            <w:r>
              <w:rPr>
                <w:noProof/>
                <w:webHidden/>
              </w:rPr>
            </w:r>
            <w:r>
              <w:rPr>
                <w:noProof/>
                <w:webHidden/>
              </w:rPr>
              <w:fldChar w:fldCharType="separate"/>
            </w:r>
            <w:r>
              <w:rPr>
                <w:noProof/>
                <w:webHidden/>
              </w:rPr>
              <w:t>6</w:t>
            </w:r>
            <w:r>
              <w:rPr>
                <w:noProof/>
                <w:webHidden/>
              </w:rPr>
              <w:fldChar w:fldCharType="end"/>
            </w:r>
          </w:hyperlink>
        </w:p>
        <w:p w14:paraId="507D46FF" w14:textId="1CB2FDF4" w:rsidR="00C041C4" w:rsidRDefault="00C041C4">
          <w:pPr>
            <w:pStyle w:val="TOC3"/>
            <w:tabs>
              <w:tab w:val="right" w:leader="dot" w:pos="9016"/>
            </w:tabs>
            <w:rPr>
              <w:rFonts w:eastAsiaTheme="minorEastAsia"/>
              <w:noProof/>
              <w:kern w:val="2"/>
              <w:szCs w:val="24"/>
              <w:lang w:eastAsia="en-NZ"/>
              <w14:ligatures w14:val="standardContextual"/>
            </w:rPr>
          </w:pPr>
          <w:hyperlink w:anchor="_Toc195533411" w:history="1">
            <w:r w:rsidRPr="00C63792">
              <w:rPr>
                <w:rStyle w:val="Hyperlink"/>
                <w:noProof/>
                <w:lang w:val="en-US"/>
              </w:rPr>
              <w:t>Industrial processes and product use</w:t>
            </w:r>
            <w:r>
              <w:rPr>
                <w:noProof/>
                <w:webHidden/>
              </w:rPr>
              <w:tab/>
            </w:r>
            <w:r>
              <w:rPr>
                <w:noProof/>
                <w:webHidden/>
              </w:rPr>
              <w:fldChar w:fldCharType="begin"/>
            </w:r>
            <w:r>
              <w:rPr>
                <w:noProof/>
                <w:webHidden/>
              </w:rPr>
              <w:instrText xml:space="preserve"> PAGEREF _Toc195533411 \h </w:instrText>
            </w:r>
            <w:r>
              <w:rPr>
                <w:noProof/>
                <w:webHidden/>
              </w:rPr>
            </w:r>
            <w:r>
              <w:rPr>
                <w:noProof/>
                <w:webHidden/>
              </w:rPr>
              <w:fldChar w:fldCharType="separate"/>
            </w:r>
            <w:r>
              <w:rPr>
                <w:noProof/>
                <w:webHidden/>
              </w:rPr>
              <w:t>7</w:t>
            </w:r>
            <w:r>
              <w:rPr>
                <w:noProof/>
                <w:webHidden/>
              </w:rPr>
              <w:fldChar w:fldCharType="end"/>
            </w:r>
          </w:hyperlink>
        </w:p>
        <w:p w14:paraId="711988BD" w14:textId="550CFA20" w:rsidR="00C041C4" w:rsidRDefault="00C041C4">
          <w:pPr>
            <w:pStyle w:val="TOC3"/>
            <w:tabs>
              <w:tab w:val="right" w:leader="dot" w:pos="9016"/>
            </w:tabs>
            <w:rPr>
              <w:rFonts w:eastAsiaTheme="minorEastAsia"/>
              <w:noProof/>
              <w:kern w:val="2"/>
              <w:szCs w:val="24"/>
              <w:lang w:eastAsia="en-NZ"/>
              <w14:ligatures w14:val="standardContextual"/>
            </w:rPr>
          </w:pPr>
          <w:hyperlink w:anchor="_Toc195533412" w:history="1">
            <w:r w:rsidRPr="00C63792">
              <w:rPr>
                <w:rStyle w:val="Hyperlink"/>
                <w:noProof/>
                <w:lang w:val="en-US"/>
              </w:rPr>
              <w:t>Biomass combustion</w:t>
            </w:r>
            <w:r>
              <w:rPr>
                <w:noProof/>
                <w:webHidden/>
              </w:rPr>
              <w:tab/>
            </w:r>
            <w:r>
              <w:rPr>
                <w:noProof/>
                <w:webHidden/>
              </w:rPr>
              <w:fldChar w:fldCharType="begin"/>
            </w:r>
            <w:r>
              <w:rPr>
                <w:noProof/>
                <w:webHidden/>
              </w:rPr>
              <w:instrText xml:space="preserve"> PAGEREF _Toc195533412 \h </w:instrText>
            </w:r>
            <w:r>
              <w:rPr>
                <w:noProof/>
                <w:webHidden/>
              </w:rPr>
            </w:r>
            <w:r>
              <w:rPr>
                <w:noProof/>
                <w:webHidden/>
              </w:rPr>
              <w:fldChar w:fldCharType="separate"/>
            </w:r>
            <w:r>
              <w:rPr>
                <w:noProof/>
                <w:webHidden/>
              </w:rPr>
              <w:t>7</w:t>
            </w:r>
            <w:r>
              <w:rPr>
                <w:noProof/>
                <w:webHidden/>
              </w:rPr>
              <w:fldChar w:fldCharType="end"/>
            </w:r>
          </w:hyperlink>
        </w:p>
        <w:p w14:paraId="7B9FAE45" w14:textId="197ACCC8" w:rsidR="00C041C4" w:rsidRDefault="00C041C4">
          <w:pPr>
            <w:pStyle w:val="TOC3"/>
            <w:tabs>
              <w:tab w:val="right" w:leader="dot" w:pos="9016"/>
            </w:tabs>
            <w:rPr>
              <w:rFonts w:eastAsiaTheme="minorEastAsia"/>
              <w:noProof/>
              <w:kern w:val="2"/>
              <w:szCs w:val="24"/>
              <w:lang w:eastAsia="en-NZ"/>
              <w14:ligatures w14:val="standardContextual"/>
            </w:rPr>
          </w:pPr>
          <w:hyperlink w:anchor="_Toc195533413" w:history="1">
            <w:r w:rsidRPr="00C63792">
              <w:rPr>
                <w:rStyle w:val="Hyperlink"/>
                <w:noProof/>
                <w:lang w:val="en-US"/>
              </w:rPr>
              <w:t>Forestry</w:t>
            </w:r>
            <w:r>
              <w:rPr>
                <w:noProof/>
                <w:webHidden/>
              </w:rPr>
              <w:tab/>
            </w:r>
            <w:r>
              <w:rPr>
                <w:noProof/>
                <w:webHidden/>
              </w:rPr>
              <w:fldChar w:fldCharType="begin"/>
            </w:r>
            <w:r>
              <w:rPr>
                <w:noProof/>
                <w:webHidden/>
              </w:rPr>
              <w:instrText xml:space="preserve"> PAGEREF _Toc195533413 \h </w:instrText>
            </w:r>
            <w:r>
              <w:rPr>
                <w:noProof/>
                <w:webHidden/>
              </w:rPr>
            </w:r>
            <w:r>
              <w:rPr>
                <w:noProof/>
                <w:webHidden/>
              </w:rPr>
              <w:fldChar w:fldCharType="separate"/>
            </w:r>
            <w:r>
              <w:rPr>
                <w:noProof/>
                <w:webHidden/>
              </w:rPr>
              <w:t>7</w:t>
            </w:r>
            <w:r>
              <w:rPr>
                <w:noProof/>
                <w:webHidden/>
              </w:rPr>
              <w:fldChar w:fldCharType="end"/>
            </w:r>
          </w:hyperlink>
        </w:p>
        <w:p w14:paraId="37ED97C2" w14:textId="455EC034" w:rsidR="00C041C4" w:rsidRDefault="00C041C4">
          <w:pPr>
            <w:pStyle w:val="TOC2"/>
            <w:tabs>
              <w:tab w:val="right" w:leader="dot" w:pos="9016"/>
            </w:tabs>
            <w:rPr>
              <w:rFonts w:eastAsiaTheme="minorEastAsia"/>
              <w:noProof/>
              <w:kern w:val="2"/>
              <w:szCs w:val="24"/>
              <w:lang w:eastAsia="en-NZ"/>
              <w14:ligatures w14:val="standardContextual"/>
            </w:rPr>
          </w:pPr>
          <w:hyperlink w:anchor="_Toc195533414" w:history="1">
            <w:r w:rsidRPr="00C63792">
              <w:rPr>
                <w:rStyle w:val="Hyperlink"/>
                <w:noProof/>
                <w:lang w:val="en-US"/>
              </w:rPr>
              <w:t>Step 3: Technical adjustments</w:t>
            </w:r>
            <w:r>
              <w:rPr>
                <w:noProof/>
                <w:webHidden/>
              </w:rPr>
              <w:tab/>
            </w:r>
            <w:r>
              <w:rPr>
                <w:noProof/>
                <w:webHidden/>
              </w:rPr>
              <w:fldChar w:fldCharType="begin"/>
            </w:r>
            <w:r>
              <w:rPr>
                <w:noProof/>
                <w:webHidden/>
              </w:rPr>
              <w:instrText xml:space="preserve"> PAGEREF _Toc195533414 \h </w:instrText>
            </w:r>
            <w:r>
              <w:rPr>
                <w:noProof/>
                <w:webHidden/>
              </w:rPr>
            </w:r>
            <w:r>
              <w:rPr>
                <w:noProof/>
                <w:webHidden/>
              </w:rPr>
              <w:fldChar w:fldCharType="separate"/>
            </w:r>
            <w:r>
              <w:rPr>
                <w:noProof/>
                <w:webHidden/>
              </w:rPr>
              <w:t>9</w:t>
            </w:r>
            <w:r>
              <w:rPr>
                <w:noProof/>
                <w:webHidden/>
              </w:rPr>
              <w:fldChar w:fldCharType="end"/>
            </w:r>
          </w:hyperlink>
        </w:p>
        <w:p w14:paraId="30E3CFB5" w14:textId="56CCD6C6" w:rsidR="00C041C4" w:rsidRDefault="00C041C4">
          <w:pPr>
            <w:pStyle w:val="TOC3"/>
            <w:tabs>
              <w:tab w:val="right" w:leader="dot" w:pos="9016"/>
            </w:tabs>
            <w:rPr>
              <w:rFonts w:eastAsiaTheme="minorEastAsia"/>
              <w:noProof/>
              <w:kern w:val="2"/>
              <w:szCs w:val="24"/>
              <w:lang w:eastAsia="en-NZ"/>
              <w14:ligatures w14:val="standardContextual"/>
            </w:rPr>
          </w:pPr>
          <w:hyperlink w:anchor="_Toc195533415" w:history="1">
            <w:r w:rsidRPr="00C63792">
              <w:rPr>
                <w:rStyle w:val="Hyperlink"/>
                <w:noProof/>
                <w:lang w:val="en-US"/>
              </w:rPr>
              <w:t>Liquid fossil fuel and gas</w:t>
            </w:r>
            <w:r>
              <w:rPr>
                <w:noProof/>
                <w:webHidden/>
              </w:rPr>
              <w:tab/>
            </w:r>
            <w:r>
              <w:rPr>
                <w:noProof/>
                <w:webHidden/>
              </w:rPr>
              <w:fldChar w:fldCharType="begin"/>
            </w:r>
            <w:r>
              <w:rPr>
                <w:noProof/>
                <w:webHidden/>
              </w:rPr>
              <w:instrText xml:space="preserve"> PAGEREF _Toc195533415 \h </w:instrText>
            </w:r>
            <w:r>
              <w:rPr>
                <w:noProof/>
                <w:webHidden/>
              </w:rPr>
            </w:r>
            <w:r>
              <w:rPr>
                <w:noProof/>
                <w:webHidden/>
              </w:rPr>
              <w:fldChar w:fldCharType="separate"/>
            </w:r>
            <w:r>
              <w:rPr>
                <w:noProof/>
                <w:webHidden/>
              </w:rPr>
              <w:t>10</w:t>
            </w:r>
            <w:r>
              <w:rPr>
                <w:noProof/>
                <w:webHidden/>
              </w:rPr>
              <w:fldChar w:fldCharType="end"/>
            </w:r>
          </w:hyperlink>
        </w:p>
        <w:p w14:paraId="2EA4319D" w14:textId="2D3592E8" w:rsidR="00C041C4" w:rsidRDefault="00C041C4">
          <w:pPr>
            <w:pStyle w:val="TOC3"/>
            <w:tabs>
              <w:tab w:val="right" w:leader="dot" w:pos="9016"/>
            </w:tabs>
            <w:rPr>
              <w:rFonts w:eastAsiaTheme="minorEastAsia"/>
              <w:noProof/>
              <w:kern w:val="2"/>
              <w:szCs w:val="24"/>
              <w:lang w:eastAsia="en-NZ"/>
              <w14:ligatures w14:val="standardContextual"/>
            </w:rPr>
          </w:pPr>
          <w:hyperlink w:anchor="_Toc195533416" w:history="1">
            <w:r w:rsidRPr="00C63792">
              <w:rPr>
                <w:rStyle w:val="Hyperlink"/>
                <w:noProof/>
                <w:lang w:val="en-US"/>
              </w:rPr>
              <w:t>Coal and steel production</w:t>
            </w:r>
            <w:r>
              <w:rPr>
                <w:noProof/>
                <w:webHidden/>
              </w:rPr>
              <w:tab/>
            </w:r>
            <w:r>
              <w:rPr>
                <w:noProof/>
                <w:webHidden/>
              </w:rPr>
              <w:fldChar w:fldCharType="begin"/>
            </w:r>
            <w:r>
              <w:rPr>
                <w:noProof/>
                <w:webHidden/>
              </w:rPr>
              <w:instrText xml:space="preserve"> PAGEREF _Toc195533416 \h </w:instrText>
            </w:r>
            <w:r>
              <w:rPr>
                <w:noProof/>
                <w:webHidden/>
              </w:rPr>
            </w:r>
            <w:r>
              <w:rPr>
                <w:noProof/>
                <w:webHidden/>
              </w:rPr>
              <w:fldChar w:fldCharType="separate"/>
            </w:r>
            <w:r>
              <w:rPr>
                <w:noProof/>
                <w:webHidden/>
              </w:rPr>
              <w:t>11</w:t>
            </w:r>
            <w:r>
              <w:rPr>
                <w:noProof/>
                <w:webHidden/>
              </w:rPr>
              <w:fldChar w:fldCharType="end"/>
            </w:r>
          </w:hyperlink>
        </w:p>
        <w:p w14:paraId="6C102C39" w14:textId="5D65D7F2" w:rsidR="00C041C4" w:rsidRDefault="00C041C4">
          <w:pPr>
            <w:pStyle w:val="TOC3"/>
            <w:tabs>
              <w:tab w:val="right" w:leader="dot" w:pos="9016"/>
            </w:tabs>
            <w:rPr>
              <w:rFonts w:eastAsiaTheme="minorEastAsia"/>
              <w:noProof/>
              <w:kern w:val="2"/>
              <w:szCs w:val="24"/>
              <w:lang w:eastAsia="en-NZ"/>
              <w14:ligatures w14:val="standardContextual"/>
            </w:rPr>
          </w:pPr>
          <w:hyperlink w:anchor="_Toc195533417" w:history="1">
            <w:r w:rsidRPr="00C63792">
              <w:rPr>
                <w:rStyle w:val="Hyperlink"/>
                <w:noProof/>
                <w:lang w:val="en-US"/>
              </w:rPr>
              <w:t>Waste</w:t>
            </w:r>
            <w:r>
              <w:rPr>
                <w:noProof/>
                <w:webHidden/>
              </w:rPr>
              <w:tab/>
            </w:r>
            <w:r>
              <w:rPr>
                <w:noProof/>
                <w:webHidden/>
              </w:rPr>
              <w:fldChar w:fldCharType="begin"/>
            </w:r>
            <w:r>
              <w:rPr>
                <w:noProof/>
                <w:webHidden/>
              </w:rPr>
              <w:instrText xml:space="preserve"> PAGEREF _Toc195533417 \h </w:instrText>
            </w:r>
            <w:r>
              <w:rPr>
                <w:noProof/>
                <w:webHidden/>
              </w:rPr>
            </w:r>
            <w:r>
              <w:rPr>
                <w:noProof/>
                <w:webHidden/>
              </w:rPr>
              <w:fldChar w:fldCharType="separate"/>
            </w:r>
            <w:r>
              <w:rPr>
                <w:noProof/>
                <w:webHidden/>
              </w:rPr>
              <w:t>12</w:t>
            </w:r>
            <w:r>
              <w:rPr>
                <w:noProof/>
                <w:webHidden/>
              </w:rPr>
              <w:fldChar w:fldCharType="end"/>
            </w:r>
          </w:hyperlink>
        </w:p>
        <w:p w14:paraId="437D7EE4" w14:textId="6A0A92D9" w:rsidR="00C041C4" w:rsidRDefault="00C041C4">
          <w:pPr>
            <w:pStyle w:val="TOC3"/>
            <w:tabs>
              <w:tab w:val="right" w:leader="dot" w:pos="9016"/>
            </w:tabs>
            <w:rPr>
              <w:rFonts w:eastAsiaTheme="minorEastAsia"/>
              <w:noProof/>
              <w:kern w:val="2"/>
              <w:szCs w:val="24"/>
              <w:lang w:eastAsia="en-NZ"/>
              <w14:ligatures w14:val="standardContextual"/>
            </w:rPr>
          </w:pPr>
          <w:hyperlink w:anchor="_Toc195533418" w:history="1">
            <w:r w:rsidRPr="00C63792">
              <w:rPr>
                <w:rStyle w:val="Hyperlink"/>
                <w:noProof/>
                <w:lang w:val="en-US"/>
              </w:rPr>
              <w:t>Forestry</w:t>
            </w:r>
            <w:r>
              <w:rPr>
                <w:noProof/>
                <w:webHidden/>
              </w:rPr>
              <w:tab/>
            </w:r>
            <w:r>
              <w:rPr>
                <w:noProof/>
                <w:webHidden/>
              </w:rPr>
              <w:fldChar w:fldCharType="begin"/>
            </w:r>
            <w:r>
              <w:rPr>
                <w:noProof/>
                <w:webHidden/>
              </w:rPr>
              <w:instrText xml:space="preserve"> PAGEREF _Toc195533418 \h </w:instrText>
            </w:r>
            <w:r>
              <w:rPr>
                <w:noProof/>
                <w:webHidden/>
              </w:rPr>
            </w:r>
            <w:r>
              <w:rPr>
                <w:noProof/>
                <w:webHidden/>
              </w:rPr>
              <w:fldChar w:fldCharType="separate"/>
            </w:r>
            <w:r>
              <w:rPr>
                <w:noProof/>
                <w:webHidden/>
              </w:rPr>
              <w:t>13</w:t>
            </w:r>
            <w:r>
              <w:rPr>
                <w:noProof/>
                <w:webHidden/>
              </w:rPr>
              <w:fldChar w:fldCharType="end"/>
            </w:r>
          </w:hyperlink>
        </w:p>
        <w:p w14:paraId="4079D828" w14:textId="41BBAD62" w:rsidR="00C041C4" w:rsidRDefault="00C041C4">
          <w:pPr>
            <w:pStyle w:val="TOC3"/>
            <w:tabs>
              <w:tab w:val="right" w:leader="dot" w:pos="9016"/>
            </w:tabs>
            <w:rPr>
              <w:rFonts w:eastAsiaTheme="minorEastAsia"/>
              <w:noProof/>
              <w:kern w:val="2"/>
              <w:szCs w:val="24"/>
              <w:lang w:eastAsia="en-NZ"/>
              <w14:ligatures w14:val="standardContextual"/>
            </w:rPr>
          </w:pPr>
          <w:hyperlink w:anchor="_Toc195533419" w:history="1">
            <w:r w:rsidRPr="00C63792">
              <w:rPr>
                <w:rStyle w:val="Hyperlink"/>
                <w:noProof/>
                <w:lang w:val="en-US"/>
              </w:rPr>
              <w:t>Geothermal, IPPU and F-gases</w:t>
            </w:r>
            <w:r>
              <w:rPr>
                <w:noProof/>
                <w:webHidden/>
              </w:rPr>
              <w:tab/>
            </w:r>
            <w:r>
              <w:rPr>
                <w:noProof/>
                <w:webHidden/>
              </w:rPr>
              <w:fldChar w:fldCharType="begin"/>
            </w:r>
            <w:r>
              <w:rPr>
                <w:noProof/>
                <w:webHidden/>
              </w:rPr>
              <w:instrText xml:space="preserve"> PAGEREF _Toc195533419 \h </w:instrText>
            </w:r>
            <w:r>
              <w:rPr>
                <w:noProof/>
                <w:webHidden/>
              </w:rPr>
            </w:r>
            <w:r>
              <w:rPr>
                <w:noProof/>
                <w:webHidden/>
              </w:rPr>
              <w:fldChar w:fldCharType="separate"/>
            </w:r>
            <w:r>
              <w:rPr>
                <w:noProof/>
                <w:webHidden/>
              </w:rPr>
              <w:t>14</w:t>
            </w:r>
            <w:r>
              <w:rPr>
                <w:noProof/>
                <w:webHidden/>
              </w:rPr>
              <w:fldChar w:fldCharType="end"/>
            </w:r>
          </w:hyperlink>
        </w:p>
        <w:p w14:paraId="1D663C84" w14:textId="78B562D1" w:rsidR="00C041C4" w:rsidRDefault="00C041C4">
          <w:pPr>
            <w:pStyle w:val="TOC2"/>
            <w:tabs>
              <w:tab w:val="right" w:leader="dot" w:pos="9016"/>
            </w:tabs>
            <w:rPr>
              <w:rFonts w:eastAsiaTheme="minorEastAsia"/>
              <w:noProof/>
              <w:kern w:val="2"/>
              <w:szCs w:val="24"/>
              <w:lang w:eastAsia="en-NZ"/>
              <w14:ligatures w14:val="standardContextual"/>
            </w:rPr>
          </w:pPr>
          <w:hyperlink w:anchor="_Toc195533420" w:history="1">
            <w:r w:rsidRPr="00C63792">
              <w:rPr>
                <w:rStyle w:val="Hyperlink"/>
                <w:noProof/>
                <w:lang w:val="en-US"/>
              </w:rPr>
              <w:t>Step 4: Industrial free allocation forecasts</w:t>
            </w:r>
            <w:r>
              <w:rPr>
                <w:noProof/>
                <w:webHidden/>
              </w:rPr>
              <w:tab/>
            </w:r>
            <w:r>
              <w:rPr>
                <w:noProof/>
                <w:webHidden/>
              </w:rPr>
              <w:fldChar w:fldCharType="begin"/>
            </w:r>
            <w:r>
              <w:rPr>
                <w:noProof/>
                <w:webHidden/>
              </w:rPr>
              <w:instrText xml:space="preserve"> PAGEREF _Toc195533420 \h </w:instrText>
            </w:r>
            <w:r>
              <w:rPr>
                <w:noProof/>
                <w:webHidden/>
              </w:rPr>
            </w:r>
            <w:r>
              <w:rPr>
                <w:noProof/>
                <w:webHidden/>
              </w:rPr>
              <w:fldChar w:fldCharType="separate"/>
            </w:r>
            <w:r>
              <w:rPr>
                <w:noProof/>
                <w:webHidden/>
              </w:rPr>
              <w:t>14</w:t>
            </w:r>
            <w:r>
              <w:rPr>
                <w:noProof/>
                <w:webHidden/>
              </w:rPr>
              <w:fldChar w:fldCharType="end"/>
            </w:r>
          </w:hyperlink>
        </w:p>
        <w:p w14:paraId="762C6074" w14:textId="35D5C192" w:rsidR="00C041C4" w:rsidRDefault="00C041C4">
          <w:pPr>
            <w:pStyle w:val="TOC3"/>
            <w:tabs>
              <w:tab w:val="right" w:leader="dot" w:pos="9016"/>
            </w:tabs>
            <w:rPr>
              <w:rFonts w:eastAsiaTheme="minorEastAsia"/>
              <w:noProof/>
              <w:kern w:val="2"/>
              <w:szCs w:val="24"/>
              <w:lang w:eastAsia="en-NZ"/>
              <w14:ligatures w14:val="standardContextual"/>
            </w:rPr>
          </w:pPr>
          <w:hyperlink w:anchor="_Toc195533421" w:history="1">
            <w:r w:rsidRPr="00C63792">
              <w:rPr>
                <w:rStyle w:val="Hyperlink"/>
                <w:noProof/>
                <w:lang w:val="en-US"/>
              </w:rPr>
              <w:t>Updated allocative baselines</w:t>
            </w:r>
            <w:r>
              <w:rPr>
                <w:noProof/>
                <w:webHidden/>
              </w:rPr>
              <w:tab/>
            </w:r>
            <w:r>
              <w:rPr>
                <w:noProof/>
                <w:webHidden/>
              </w:rPr>
              <w:fldChar w:fldCharType="begin"/>
            </w:r>
            <w:r>
              <w:rPr>
                <w:noProof/>
                <w:webHidden/>
              </w:rPr>
              <w:instrText xml:space="preserve"> PAGEREF _Toc195533421 \h </w:instrText>
            </w:r>
            <w:r>
              <w:rPr>
                <w:noProof/>
                <w:webHidden/>
              </w:rPr>
            </w:r>
            <w:r>
              <w:rPr>
                <w:noProof/>
                <w:webHidden/>
              </w:rPr>
              <w:fldChar w:fldCharType="separate"/>
            </w:r>
            <w:r>
              <w:rPr>
                <w:noProof/>
                <w:webHidden/>
              </w:rPr>
              <w:t>15</w:t>
            </w:r>
            <w:r>
              <w:rPr>
                <w:noProof/>
                <w:webHidden/>
              </w:rPr>
              <w:fldChar w:fldCharType="end"/>
            </w:r>
          </w:hyperlink>
        </w:p>
        <w:p w14:paraId="1F7D2D71" w14:textId="6EF2CEC1" w:rsidR="00C041C4" w:rsidRDefault="00C041C4">
          <w:pPr>
            <w:pStyle w:val="TOC3"/>
            <w:tabs>
              <w:tab w:val="right" w:leader="dot" w:pos="9016"/>
            </w:tabs>
            <w:rPr>
              <w:rFonts w:eastAsiaTheme="minorEastAsia"/>
              <w:noProof/>
              <w:kern w:val="2"/>
              <w:szCs w:val="24"/>
              <w:lang w:eastAsia="en-NZ"/>
              <w14:ligatures w14:val="standardContextual"/>
            </w:rPr>
          </w:pPr>
          <w:hyperlink w:anchor="_Toc195533422" w:history="1">
            <w:r w:rsidRPr="00C63792">
              <w:rPr>
                <w:rStyle w:val="Hyperlink"/>
                <w:noProof/>
                <w:lang w:val="en-US"/>
              </w:rPr>
              <w:t>Other updated assumptions</w:t>
            </w:r>
            <w:r>
              <w:rPr>
                <w:noProof/>
                <w:webHidden/>
              </w:rPr>
              <w:tab/>
            </w:r>
            <w:r>
              <w:rPr>
                <w:noProof/>
                <w:webHidden/>
              </w:rPr>
              <w:fldChar w:fldCharType="begin"/>
            </w:r>
            <w:r>
              <w:rPr>
                <w:noProof/>
                <w:webHidden/>
              </w:rPr>
              <w:instrText xml:space="preserve"> PAGEREF _Toc195533422 \h </w:instrText>
            </w:r>
            <w:r>
              <w:rPr>
                <w:noProof/>
                <w:webHidden/>
              </w:rPr>
            </w:r>
            <w:r>
              <w:rPr>
                <w:noProof/>
                <w:webHidden/>
              </w:rPr>
              <w:fldChar w:fldCharType="separate"/>
            </w:r>
            <w:r>
              <w:rPr>
                <w:noProof/>
                <w:webHidden/>
              </w:rPr>
              <w:t>15</w:t>
            </w:r>
            <w:r>
              <w:rPr>
                <w:noProof/>
                <w:webHidden/>
              </w:rPr>
              <w:fldChar w:fldCharType="end"/>
            </w:r>
          </w:hyperlink>
        </w:p>
        <w:p w14:paraId="2044FFBA" w14:textId="60280052" w:rsidR="00C041C4" w:rsidRDefault="00C041C4">
          <w:pPr>
            <w:pStyle w:val="TOC2"/>
            <w:tabs>
              <w:tab w:val="right" w:leader="dot" w:pos="9016"/>
            </w:tabs>
            <w:rPr>
              <w:rFonts w:eastAsiaTheme="minorEastAsia"/>
              <w:noProof/>
              <w:kern w:val="2"/>
              <w:szCs w:val="24"/>
              <w:lang w:eastAsia="en-NZ"/>
              <w14:ligatures w14:val="standardContextual"/>
            </w:rPr>
          </w:pPr>
          <w:hyperlink w:anchor="_Toc195533423" w:history="1">
            <w:r w:rsidRPr="00C63792">
              <w:rPr>
                <w:rStyle w:val="Hyperlink"/>
                <w:noProof/>
                <w:lang w:val="en-US"/>
              </w:rPr>
              <w:t>Step 5a: Unit surplus estimate</w:t>
            </w:r>
            <w:r>
              <w:rPr>
                <w:noProof/>
                <w:webHidden/>
              </w:rPr>
              <w:tab/>
            </w:r>
            <w:r>
              <w:rPr>
                <w:noProof/>
                <w:webHidden/>
              </w:rPr>
              <w:fldChar w:fldCharType="begin"/>
            </w:r>
            <w:r>
              <w:rPr>
                <w:noProof/>
                <w:webHidden/>
              </w:rPr>
              <w:instrText xml:space="preserve"> PAGEREF _Toc195533423 \h </w:instrText>
            </w:r>
            <w:r>
              <w:rPr>
                <w:noProof/>
                <w:webHidden/>
              </w:rPr>
            </w:r>
            <w:r>
              <w:rPr>
                <w:noProof/>
                <w:webHidden/>
              </w:rPr>
              <w:fldChar w:fldCharType="separate"/>
            </w:r>
            <w:r>
              <w:rPr>
                <w:noProof/>
                <w:webHidden/>
              </w:rPr>
              <w:t>16</w:t>
            </w:r>
            <w:r>
              <w:rPr>
                <w:noProof/>
                <w:webHidden/>
              </w:rPr>
              <w:fldChar w:fldCharType="end"/>
            </w:r>
          </w:hyperlink>
        </w:p>
        <w:p w14:paraId="1213347A" w14:textId="39CE0769" w:rsidR="00C041C4" w:rsidRDefault="00C041C4">
          <w:pPr>
            <w:pStyle w:val="TOC3"/>
            <w:tabs>
              <w:tab w:val="right" w:leader="dot" w:pos="9016"/>
            </w:tabs>
            <w:rPr>
              <w:rFonts w:eastAsiaTheme="minorEastAsia"/>
              <w:noProof/>
              <w:kern w:val="2"/>
              <w:szCs w:val="24"/>
              <w:lang w:eastAsia="en-NZ"/>
              <w14:ligatures w14:val="standardContextual"/>
            </w:rPr>
          </w:pPr>
          <w:hyperlink w:anchor="_Toc195533424" w:history="1">
            <w:r w:rsidRPr="00C63792">
              <w:rPr>
                <w:rStyle w:val="Hyperlink"/>
                <w:noProof/>
                <w:lang w:val="en-US"/>
              </w:rPr>
              <w:t>Total unit holdings</w:t>
            </w:r>
            <w:r>
              <w:rPr>
                <w:noProof/>
                <w:webHidden/>
              </w:rPr>
              <w:tab/>
            </w:r>
            <w:r>
              <w:rPr>
                <w:noProof/>
                <w:webHidden/>
              </w:rPr>
              <w:fldChar w:fldCharType="begin"/>
            </w:r>
            <w:r>
              <w:rPr>
                <w:noProof/>
                <w:webHidden/>
              </w:rPr>
              <w:instrText xml:space="preserve"> PAGEREF _Toc195533424 \h </w:instrText>
            </w:r>
            <w:r>
              <w:rPr>
                <w:noProof/>
                <w:webHidden/>
              </w:rPr>
            </w:r>
            <w:r>
              <w:rPr>
                <w:noProof/>
                <w:webHidden/>
              </w:rPr>
              <w:fldChar w:fldCharType="separate"/>
            </w:r>
            <w:r>
              <w:rPr>
                <w:noProof/>
                <w:webHidden/>
              </w:rPr>
              <w:t>17</w:t>
            </w:r>
            <w:r>
              <w:rPr>
                <w:noProof/>
                <w:webHidden/>
              </w:rPr>
              <w:fldChar w:fldCharType="end"/>
            </w:r>
          </w:hyperlink>
        </w:p>
        <w:p w14:paraId="05D0DEC0" w14:textId="25C845BF" w:rsidR="00C041C4" w:rsidRDefault="00C041C4">
          <w:pPr>
            <w:pStyle w:val="TOC3"/>
            <w:tabs>
              <w:tab w:val="right" w:leader="dot" w:pos="9016"/>
            </w:tabs>
            <w:rPr>
              <w:rFonts w:eastAsiaTheme="minorEastAsia"/>
              <w:noProof/>
              <w:kern w:val="2"/>
              <w:szCs w:val="24"/>
              <w:lang w:eastAsia="en-NZ"/>
              <w14:ligatures w14:val="standardContextual"/>
            </w:rPr>
          </w:pPr>
          <w:hyperlink w:anchor="_Toc195533425" w:history="1">
            <w:r w:rsidRPr="00C63792">
              <w:rPr>
                <w:rStyle w:val="Hyperlink"/>
                <w:noProof/>
              </w:rPr>
              <w:t>Pre-1990 units held long-term</w:t>
            </w:r>
            <w:r>
              <w:rPr>
                <w:noProof/>
                <w:webHidden/>
              </w:rPr>
              <w:tab/>
            </w:r>
            <w:r>
              <w:rPr>
                <w:noProof/>
                <w:webHidden/>
              </w:rPr>
              <w:fldChar w:fldCharType="begin"/>
            </w:r>
            <w:r>
              <w:rPr>
                <w:noProof/>
                <w:webHidden/>
              </w:rPr>
              <w:instrText xml:space="preserve"> PAGEREF _Toc195533425 \h </w:instrText>
            </w:r>
            <w:r>
              <w:rPr>
                <w:noProof/>
                <w:webHidden/>
              </w:rPr>
            </w:r>
            <w:r>
              <w:rPr>
                <w:noProof/>
                <w:webHidden/>
              </w:rPr>
              <w:fldChar w:fldCharType="separate"/>
            </w:r>
            <w:r>
              <w:rPr>
                <w:noProof/>
                <w:webHidden/>
              </w:rPr>
              <w:t>18</w:t>
            </w:r>
            <w:r>
              <w:rPr>
                <w:noProof/>
                <w:webHidden/>
              </w:rPr>
              <w:fldChar w:fldCharType="end"/>
            </w:r>
          </w:hyperlink>
        </w:p>
        <w:p w14:paraId="38FE2898" w14:textId="6885746F" w:rsidR="00C041C4" w:rsidRDefault="00C041C4">
          <w:pPr>
            <w:pStyle w:val="TOC3"/>
            <w:tabs>
              <w:tab w:val="right" w:leader="dot" w:pos="9016"/>
            </w:tabs>
            <w:rPr>
              <w:rFonts w:eastAsiaTheme="minorEastAsia"/>
              <w:noProof/>
              <w:kern w:val="2"/>
              <w:szCs w:val="24"/>
              <w:lang w:eastAsia="en-NZ"/>
              <w14:ligatures w14:val="standardContextual"/>
            </w:rPr>
          </w:pPr>
          <w:hyperlink w:anchor="_Toc195533426" w:history="1">
            <w:r w:rsidRPr="00C63792">
              <w:rPr>
                <w:rStyle w:val="Hyperlink"/>
                <w:noProof/>
              </w:rPr>
              <w:t>Units held for post-1989 harvest liabilities</w:t>
            </w:r>
            <w:r>
              <w:rPr>
                <w:noProof/>
                <w:webHidden/>
              </w:rPr>
              <w:tab/>
            </w:r>
            <w:r>
              <w:rPr>
                <w:noProof/>
                <w:webHidden/>
              </w:rPr>
              <w:fldChar w:fldCharType="begin"/>
            </w:r>
            <w:r>
              <w:rPr>
                <w:noProof/>
                <w:webHidden/>
              </w:rPr>
              <w:instrText xml:space="preserve"> PAGEREF _Toc195533426 \h </w:instrText>
            </w:r>
            <w:r>
              <w:rPr>
                <w:noProof/>
                <w:webHidden/>
              </w:rPr>
            </w:r>
            <w:r>
              <w:rPr>
                <w:noProof/>
                <w:webHidden/>
              </w:rPr>
              <w:fldChar w:fldCharType="separate"/>
            </w:r>
            <w:r>
              <w:rPr>
                <w:noProof/>
                <w:webHidden/>
              </w:rPr>
              <w:t>20</w:t>
            </w:r>
            <w:r>
              <w:rPr>
                <w:noProof/>
                <w:webHidden/>
              </w:rPr>
              <w:fldChar w:fldCharType="end"/>
            </w:r>
          </w:hyperlink>
        </w:p>
        <w:p w14:paraId="09681594" w14:textId="09C050F8" w:rsidR="00C041C4" w:rsidRDefault="00C041C4">
          <w:pPr>
            <w:pStyle w:val="TOC3"/>
            <w:tabs>
              <w:tab w:val="right" w:leader="dot" w:pos="9016"/>
            </w:tabs>
            <w:rPr>
              <w:rFonts w:eastAsiaTheme="minorEastAsia"/>
              <w:noProof/>
              <w:kern w:val="2"/>
              <w:szCs w:val="24"/>
              <w:lang w:eastAsia="en-NZ"/>
              <w14:ligatures w14:val="standardContextual"/>
            </w:rPr>
          </w:pPr>
          <w:hyperlink w:anchor="_Toc195533427" w:history="1">
            <w:r w:rsidRPr="00C63792">
              <w:rPr>
                <w:rStyle w:val="Hyperlink"/>
                <w:noProof/>
              </w:rPr>
              <w:t>Units held for forward hedging by emitters</w:t>
            </w:r>
            <w:r>
              <w:rPr>
                <w:noProof/>
                <w:webHidden/>
              </w:rPr>
              <w:tab/>
            </w:r>
            <w:r>
              <w:rPr>
                <w:noProof/>
                <w:webHidden/>
              </w:rPr>
              <w:fldChar w:fldCharType="begin"/>
            </w:r>
            <w:r>
              <w:rPr>
                <w:noProof/>
                <w:webHidden/>
              </w:rPr>
              <w:instrText xml:space="preserve"> PAGEREF _Toc195533427 \h </w:instrText>
            </w:r>
            <w:r>
              <w:rPr>
                <w:noProof/>
                <w:webHidden/>
              </w:rPr>
            </w:r>
            <w:r>
              <w:rPr>
                <w:noProof/>
                <w:webHidden/>
              </w:rPr>
              <w:fldChar w:fldCharType="separate"/>
            </w:r>
            <w:r>
              <w:rPr>
                <w:noProof/>
                <w:webHidden/>
              </w:rPr>
              <w:t>25</w:t>
            </w:r>
            <w:r>
              <w:rPr>
                <w:noProof/>
                <w:webHidden/>
              </w:rPr>
              <w:fldChar w:fldCharType="end"/>
            </w:r>
          </w:hyperlink>
        </w:p>
        <w:p w14:paraId="791097BE" w14:textId="18F6FF05" w:rsidR="00C041C4" w:rsidRDefault="00C041C4">
          <w:pPr>
            <w:pStyle w:val="TOC3"/>
            <w:tabs>
              <w:tab w:val="right" w:leader="dot" w:pos="9016"/>
            </w:tabs>
            <w:rPr>
              <w:rFonts w:eastAsiaTheme="minorEastAsia"/>
              <w:noProof/>
              <w:kern w:val="2"/>
              <w:szCs w:val="24"/>
              <w:lang w:eastAsia="en-NZ"/>
              <w14:ligatures w14:val="standardContextual"/>
            </w:rPr>
          </w:pPr>
          <w:hyperlink w:anchor="_Toc195533428" w:history="1">
            <w:r w:rsidRPr="00C63792">
              <w:rPr>
                <w:rStyle w:val="Hyperlink"/>
                <w:noProof/>
              </w:rPr>
              <w:t>Holding volume</w:t>
            </w:r>
            <w:r>
              <w:rPr>
                <w:noProof/>
                <w:webHidden/>
              </w:rPr>
              <w:tab/>
            </w:r>
            <w:r>
              <w:rPr>
                <w:noProof/>
                <w:webHidden/>
              </w:rPr>
              <w:fldChar w:fldCharType="begin"/>
            </w:r>
            <w:r>
              <w:rPr>
                <w:noProof/>
                <w:webHidden/>
              </w:rPr>
              <w:instrText xml:space="preserve"> PAGEREF _Toc195533428 \h </w:instrText>
            </w:r>
            <w:r>
              <w:rPr>
                <w:noProof/>
                <w:webHidden/>
              </w:rPr>
            </w:r>
            <w:r>
              <w:rPr>
                <w:noProof/>
                <w:webHidden/>
              </w:rPr>
              <w:fldChar w:fldCharType="separate"/>
            </w:r>
            <w:r>
              <w:rPr>
                <w:noProof/>
                <w:webHidden/>
              </w:rPr>
              <w:t>28</w:t>
            </w:r>
            <w:r>
              <w:rPr>
                <w:noProof/>
                <w:webHidden/>
              </w:rPr>
              <w:fldChar w:fldCharType="end"/>
            </w:r>
          </w:hyperlink>
        </w:p>
        <w:p w14:paraId="0C9A5115" w14:textId="0C4C623A" w:rsidR="00C041C4" w:rsidRDefault="00C041C4">
          <w:pPr>
            <w:pStyle w:val="TOC3"/>
            <w:tabs>
              <w:tab w:val="right" w:leader="dot" w:pos="9016"/>
            </w:tabs>
            <w:rPr>
              <w:rFonts w:eastAsiaTheme="minorEastAsia"/>
              <w:noProof/>
              <w:kern w:val="2"/>
              <w:szCs w:val="24"/>
              <w:lang w:eastAsia="en-NZ"/>
              <w14:ligatures w14:val="standardContextual"/>
            </w:rPr>
          </w:pPr>
          <w:hyperlink w:anchor="_Toc195533429" w:history="1">
            <w:r w:rsidRPr="00C63792">
              <w:rPr>
                <w:rStyle w:val="Hyperlink"/>
                <w:noProof/>
              </w:rPr>
              <w:t>Surplus units from MERP4 post-1989 forestry unit allocations</w:t>
            </w:r>
            <w:r>
              <w:rPr>
                <w:noProof/>
                <w:webHidden/>
              </w:rPr>
              <w:tab/>
            </w:r>
            <w:r>
              <w:rPr>
                <w:noProof/>
                <w:webHidden/>
              </w:rPr>
              <w:fldChar w:fldCharType="begin"/>
            </w:r>
            <w:r>
              <w:rPr>
                <w:noProof/>
                <w:webHidden/>
              </w:rPr>
              <w:instrText xml:space="preserve"> PAGEREF _Toc195533429 \h </w:instrText>
            </w:r>
            <w:r>
              <w:rPr>
                <w:noProof/>
                <w:webHidden/>
              </w:rPr>
            </w:r>
            <w:r>
              <w:rPr>
                <w:noProof/>
                <w:webHidden/>
              </w:rPr>
              <w:fldChar w:fldCharType="separate"/>
            </w:r>
            <w:r>
              <w:rPr>
                <w:noProof/>
                <w:webHidden/>
              </w:rPr>
              <w:t>28</w:t>
            </w:r>
            <w:r>
              <w:rPr>
                <w:noProof/>
                <w:webHidden/>
              </w:rPr>
              <w:fldChar w:fldCharType="end"/>
            </w:r>
          </w:hyperlink>
        </w:p>
        <w:p w14:paraId="17254C40" w14:textId="1C05E306" w:rsidR="00C041C4" w:rsidRDefault="00C041C4">
          <w:pPr>
            <w:pStyle w:val="TOC3"/>
            <w:tabs>
              <w:tab w:val="right" w:leader="dot" w:pos="9016"/>
            </w:tabs>
            <w:rPr>
              <w:rFonts w:eastAsiaTheme="minorEastAsia"/>
              <w:noProof/>
              <w:kern w:val="2"/>
              <w:szCs w:val="24"/>
              <w:lang w:eastAsia="en-NZ"/>
              <w14:ligatures w14:val="standardContextual"/>
            </w:rPr>
          </w:pPr>
          <w:hyperlink w:anchor="_Toc195533430" w:history="1">
            <w:r w:rsidRPr="00C63792">
              <w:rPr>
                <w:rStyle w:val="Hyperlink"/>
                <w:noProof/>
              </w:rPr>
              <w:t>Base surplus estimate</w:t>
            </w:r>
            <w:r>
              <w:rPr>
                <w:noProof/>
                <w:webHidden/>
              </w:rPr>
              <w:tab/>
            </w:r>
            <w:r>
              <w:rPr>
                <w:noProof/>
                <w:webHidden/>
              </w:rPr>
              <w:fldChar w:fldCharType="begin"/>
            </w:r>
            <w:r>
              <w:rPr>
                <w:noProof/>
                <w:webHidden/>
              </w:rPr>
              <w:instrText xml:space="preserve"> PAGEREF _Toc195533430 \h </w:instrText>
            </w:r>
            <w:r>
              <w:rPr>
                <w:noProof/>
                <w:webHidden/>
              </w:rPr>
            </w:r>
            <w:r>
              <w:rPr>
                <w:noProof/>
                <w:webHidden/>
              </w:rPr>
              <w:fldChar w:fldCharType="separate"/>
            </w:r>
            <w:r>
              <w:rPr>
                <w:noProof/>
                <w:webHidden/>
              </w:rPr>
              <w:t>31</w:t>
            </w:r>
            <w:r>
              <w:rPr>
                <w:noProof/>
                <w:webHidden/>
              </w:rPr>
              <w:fldChar w:fldCharType="end"/>
            </w:r>
          </w:hyperlink>
        </w:p>
        <w:p w14:paraId="0CEB00E1" w14:textId="58935AD3" w:rsidR="00C041C4" w:rsidRDefault="00C041C4">
          <w:pPr>
            <w:pStyle w:val="TOC3"/>
            <w:tabs>
              <w:tab w:val="right" w:leader="dot" w:pos="9016"/>
            </w:tabs>
            <w:rPr>
              <w:rFonts w:eastAsiaTheme="minorEastAsia"/>
              <w:noProof/>
              <w:kern w:val="2"/>
              <w:szCs w:val="24"/>
              <w:lang w:eastAsia="en-NZ"/>
              <w14:ligatures w14:val="standardContextual"/>
            </w:rPr>
          </w:pPr>
          <w:hyperlink w:anchor="_Toc195533431" w:history="1">
            <w:r w:rsidRPr="00C63792">
              <w:rPr>
                <w:rStyle w:val="Hyperlink"/>
                <w:noProof/>
              </w:rPr>
              <w:t>Annual surplus reduction volume calculations</w:t>
            </w:r>
            <w:r>
              <w:rPr>
                <w:noProof/>
                <w:webHidden/>
              </w:rPr>
              <w:tab/>
            </w:r>
            <w:r>
              <w:rPr>
                <w:noProof/>
                <w:webHidden/>
              </w:rPr>
              <w:fldChar w:fldCharType="begin"/>
            </w:r>
            <w:r>
              <w:rPr>
                <w:noProof/>
                <w:webHidden/>
              </w:rPr>
              <w:instrText xml:space="preserve"> PAGEREF _Toc195533431 \h </w:instrText>
            </w:r>
            <w:r>
              <w:rPr>
                <w:noProof/>
                <w:webHidden/>
              </w:rPr>
            </w:r>
            <w:r>
              <w:rPr>
                <w:noProof/>
                <w:webHidden/>
              </w:rPr>
              <w:fldChar w:fldCharType="separate"/>
            </w:r>
            <w:r>
              <w:rPr>
                <w:noProof/>
                <w:webHidden/>
              </w:rPr>
              <w:t>33</w:t>
            </w:r>
            <w:r>
              <w:rPr>
                <w:noProof/>
                <w:webHidden/>
              </w:rPr>
              <w:fldChar w:fldCharType="end"/>
            </w:r>
          </w:hyperlink>
        </w:p>
        <w:p w14:paraId="2E8D721C" w14:textId="7B3614FF" w:rsidR="00C041C4" w:rsidRDefault="00C041C4">
          <w:pPr>
            <w:pStyle w:val="TOC2"/>
            <w:tabs>
              <w:tab w:val="right" w:leader="dot" w:pos="9016"/>
            </w:tabs>
            <w:rPr>
              <w:rFonts w:eastAsiaTheme="minorEastAsia"/>
              <w:noProof/>
              <w:kern w:val="2"/>
              <w:szCs w:val="24"/>
              <w:lang w:eastAsia="en-NZ"/>
              <w14:ligatures w14:val="standardContextual"/>
            </w:rPr>
          </w:pPr>
          <w:hyperlink w:anchor="_Toc195533432" w:history="1">
            <w:r w:rsidRPr="00C63792">
              <w:rPr>
                <w:rStyle w:val="Hyperlink"/>
                <w:noProof/>
                <w:lang w:val="en-US"/>
              </w:rPr>
              <w:t>Step 5b: Discrepancy adjustment</w:t>
            </w:r>
            <w:r>
              <w:rPr>
                <w:noProof/>
                <w:webHidden/>
              </w:rPr>
              <w:tab/>
            </w:r>
            <w:r>
              <w:rPr>
                <w:noProof/>
                <w:webHidden/>
              </w:rPr>
              <w:fldChar w:fldCharType="begin"/>
            </w:r>
            <w:r>
              <w:rPr>
                <w:noProof/>
                <w:webHidden/>
              </w:rPr>
              <w:instrText xml:space="preserve"> PAGEREF _Toc195533432 \h </w:instrText>
            </w:r>
            <w:r>
              <w:rPr>
                <w:noProof/>
                <w:webHidden/>
              </w:rPr>
            </w:r>
            <w:r>
              <w:rPr>
                <w:noProof/>
                <w:webHidden/>
              </w:rPr>
              <w:fldChar w:fldCharType="separate"/>
            </w:r>
            <w:r>
              <w:rPr>
                <w:noProof/>
                <w:webHidden/>
              </w:rPr>
              <w:t>33</w:t>
            </w:r>
            <w:r>
              <w:rPr>
                <w:noProof/>
                <w:webHidden/>
              </w:rPr>
              <w:fldChar w:fldCharType="end"/>
            </w:r>
          </w:hyperlink>
        </w:p>
        <w:p w14:paraId="035F62C2" w14:textId="57E0C78F" w:rsidR="00C041C4" w:rsidRDefault="00C041C4">
          <w:pPr>
            <w:pStyle w:val="TOC2"/>
            <w:tabs>
              <w:tab w:val="right" w:leader="dot" w:pos="9016"/>
            </w:tabs>
            <w:rPr>
              <w:rFonts w:eastAsiaTheme="minorEastAsia"/>
              <w:noProof/>
              <w:kern w:val="2"/>
              <w:szCs w:val="24"/>
              <w:lang w:eastAsia="en-NZ"/>
              <w14:ligatures w14:val="standardContextual"/>
            </w:rPr>
          </w:pPr>
          <w:hyperlink w:anchor="_Toc195533433" w:history="1">
            <w:r w:rsidRPr="00C63792">
              <w:rPr>
                <w:rStyle w:val="Hyperlink"/>
                <w:noProof/>
                <w:lang w:val="en-US"/>
              </w:rPr>
              <w:t>Step 7: Calculate auction volumes</w:t>
            </w:r>
            <w:r>
              <w:rPr>
                <w:noProof/>
                <w:webHidden/>
              </w:rPr>
              <w:tab/>
            </w:r>
            <w:r>
              <w:rPr>
                <w:noProof/>
                <w:webHidden/>
              </w:rPr>
              <w:fldChar w:fldCharType="begin"/>
            </w:r>
            <w:r>
              <w:rPr>
                <w:noProof/>
                <w:webHidden/>
              </w:rPr>
              <w:instrText xml:space="preserve"> PAGEREF _Toc195533433 \h </w:instrText>
            </w:r>
            <w:r>
              <w:rPr>
                <w:noProof/>
                <w:webHidden/>
              </w:rPr>
            </w:r>
            <w:r>
              <w:rPr>
                <w:noProof/>
                <w:webHidden/>
              </w:rPr>
              <w:fldChar w:fldCharType="separate"/>
            </w:r>
            <w:r>
              <w:rPr>
                <w:noProof/>
                <w:webHidden/>
              </w:rPr>
              <w:t>34</w:t>
            </w:r>
            <w:r>
              <w:rPr>
                <w:noProof/>
                <w:webHidden/>
              </w:rPr>
              <w:fldChar w:fldCharType="end"/>
            </w:r>
          </w:hyperlink>
        </w:p>
        <w:p w14:paraId="7D5C63FF" w14:textId="2A4832E5" w:rsidR="00C041C4" w:rsidRDefault="00C041C4">
          <w:pPr>
            <w:pStyle w:val="TOC3"/>
            <w:tabs>
              <w:tab w:val="right" w:leader="dot" w:pos="9016"/>
            </w:tabs>
            <w:rPr>
              <w:rFonts w:eastAsiaTheme="minorEastAsia"/>
              <w:noProof/>
              <w:kern w:val="2"/>
              <w:szCs w:val="24"/>
              <w:lang w:eastAsia="en-NZ"/>
              <w14:ligatures w14:val="standardContextual"/>
            </w:rPr>
          </w:pPr>
          <w:hyperlink w:anchor="_Toc195533434" w:history="1">
            <w:r w:rsidRPr="00C63792">
              <w:rPr>
                <w:rStyle w:val="Hyperlink"/>
                <w:rFonts w:ascii="Calibri" w:hAnsi="Calibri"/>
                <w:noProof/>
              </w:rPr>
              <w:t>Comparing the updated proposed volumes to the status quo</w:t>
            </w:r>
            <w:r>
              <w:rPr>
                <w:noProof/>
                <w:webHidden/>
              </w:rPr>
              <w:tab/>
            </w:r>
            <w:r>
              <w:rPr>
                <w:noProof/>
                <w:webHidden/>
              </w:rPr>
              <w:fldChar w:fldCharType="begin"/>
            </w:r>
            <w:r>
              <w:rPr>
                <w:noProof/>
                <w:webHidden/>
              </w:rPr>
              <w:instrText xml:space="preserve"> PAGEREF _Toc195533434 \h </w:instrText>
            </w:r>
            <w:r>
              <w:rPr>
                <w:noProof/>
                <w:webHidden/>
              </w:rPr>
            </w:r>
            <w:r>
              <w:rPr>
                <w:noProof/>
                <w:webHidden/>
              </w:rPr>
              <w:fldChar w:fldCharType="separate"/>
            </w:r>
            <w:r>
              <w:rPr>
                <w:noProof/>
                <w:webHidden/>
              </w:rPr>
              <w:t>35</w:t>
            </w:r>
            <w:r>
              <w:rPr>
                <w:noProof/>
                <w:webHidden/>
              </w:rPr>
              <w:fldChar w:fldCharType="end"/>
            </w:r>
          </w:hyperlink>
        </w:p>
        <w:p w14:paraId="5C751E54" w14:textId="0D107E07" w:rsidR="00C041C4" w:rsidRDefault="00C041C4">
          <w:pPr>
            <w:pStyle w:val="TOC1"/>
            <w:tabs>
              <w:tab w:val="right" w:leader="dot" w:pos="9016"/>
            </w:tabs>
            <w:rPr>
              <w:rFonts w:eastAsiaTheme="minorEastAsia"/>
              <w:noProof/>
              <w:kern w:val="2"/>
              <w:szCs w:val="24"/>
              <w:lang w:eastAsia="en-NZ"/>
              <w14:ligatures w14:val="standardContextual"/>
            </w:rPr>
          </w:pPr>
          <w:hyperlink w:anchor="_Toc195533435" w:history="1">
            <w:r w:rsidRPr="00C63792">
              <w:rPr>
                <w:rStyle w:val="Hyperlink"/>
                <w:noProof/>
              </w:rPr>
              <w:t>References</w:t>
            </w:r>
            <w:r>
              <w:rPr>
                <w:noProof/>
                <w:webHidden/>
              </w:rPr>
              <w:tab/>
            </w:r>
            <w:r>
              <w:rPr>
                <w:noProof/>
                <w:webHidden/>
              </w:rPr>
              <w:fldChar w:fldCharType="begin"/>
            </w:r>
            <w:r>
              <w:rPr>
                <w:noProof/>
                <w:webHidden/>
              </w:rPr>
              <w:instrText xml:space="preserve"> PAGEREF _Toc195533435 \h </w:instrText>
            </w:r>
            <w:r>
              <w:rPr>
                <w:noProof/>
                <w:webHidden/>
              </w:rPr>
            </w:r>
            <w:r>
              <w:rPr>
                <w:noProof/>
                <w:webHidden/>
              </w:rPr>
              <w:fldChar w:fldCharType="separate"/>
            </w:r>
            <w:r>
              <w:rPr>
                <w:noProof/>
                <w:webHidden/>
              </w:rPr>
              <w:t>36</w:t>
            </w:r>
            <w:r>
              <w:rPr>
                <w:noProof/>
                <w:webHidden/>
              </w:rPr>
              <w:fldChar w:fldCharType="end"/>
            </w:r>
          </w:hyperlink>
        </w:p>
        <w:p w14:paraId="457439EF" w14:textId="14195D8D" w:rsidR="001A71CF" w:rsidRDefault="001A71CF" w:rsidP="00231E49">
          <w:pPr>
            <w:pStyle w:val="TOC1"/>
            <w:tabs>
              <w:tab w:val="right" w:leader="dot" w:pos="9016"/>
            </w:tabs>
          </w:pPr>
          <w:r>
            <w:rPr>
              <w:b/>
            </w:rPr>
            <w:fldChar w:fldCharType="end"/>
          </w:r>
        </w:p>
      </w:sdtContent>
    </w:sdt>
    <w:p w14:paraId="0930AF05" w14:textId="77777777" w:rsidR="001A71CF" w:rsidRDefault="001A71CF">
      <w:pPr>
        <w:rPr>
          <w:rFonts w:eastAsiaTheme="majorEastAsia" w:cstheme="majorBidi"/>
          <w:b/>
          <w:color w:val="1F3864" w:themeColor="accent1" w:themeShade="80"/>
          <w:sz w:val="32"/>
          <w:szCs w:val="26"/>
          <w:lang w:val="en-US"/>
        </w:rPr>
      </w:pPr>
      <w:r>
        <w:rPr>
          <w:lang w:val="en-US"/>
        </w:rPr>
        <w:br w:type="page"/>
      </w:r>
    </w:p>
    <w:p w14:paraId="3D42D02D" w14:textId="54D1A195" w:rsidR="005968A0" w:rsidRPr="00BE10B4" w:rsidRDefault="00395834" w:rsidP="0014498F">
      <w:pPr>
        <w:pStyle w:val="Heading2"/>
        <w:spacing w:before="120" w:after="120"/>
        <w:rPr>
          <w:rStyle w:val="eop"/>
          <w:rFonts w:cstheme="minorHAnsi"/>
          <w:b w:val="0"/>
          <w:sz w:val="44"/>
          <w:szCs w:val="44"/>
          <w:lang w:val="en-GB"/>
        </w:rPr>
      </w:pPr>
      <w:bookmarkStart w:id="1" w:name="_Toc195533403"/>
      <w:r>
        <w:rPr>
          <w:lang w:val="en-US"/>
        </w:rPr>
        <w:t>I</w:t>
      </w:r>
      <w:r w:rsidRPr="0014498F">
        <w:rPr>
          <w:rFonts w:ascii="Calibri" w:hAnsi="Calibri" w:cstheme="minorBidi"/>
          <w:szCs w:val="32"/>
        </w:rPr>
        <w:t>ntroduction</w:t>
      </w:r>
      <w:bookmarkEnd w:id="1"/>
    </w:p>
    <w:p w14:paraId="61FF6B60" w14:textId="39F0D279" w:rsidR="00E15B39" w:rsidRPr="00D76C97" w:rsidRDefault="00E15B39"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This document is published by He Pou a Rangi Climate Change Commission in support of our Advice on NZ ETS unit limit</w:t>
      </w:r>
      <w:r w:rsidR="00D62322" w:rsidRPr="54C60BB6">
        <w:rPr>
          <w:rFonts w:ascii="Calibri-Light" w:eastAsia="Calibri-Light" w:hAnsi="Calibri-Light" w:cs="Yu Mincho"/>
          <w:lang w:val="en-US"/>
        </w:rPr>
        <w:t>s</w:t>
      </w:r>
      <w:r w:rsidRPr="54C60BB6">
        <w:rPr>
          <w:rFonts w:ascii="Calibri-Light" w:eastAsia="Calibri-Light" w:hAnsi="Calibri-Light" w:cs="Yu Mincho"/>
          <w:lang w:val="en-US"/>
        </w:rPr>
        <w:t xml:space="preserve"> and price control settings for 2026-2030.</w:t>
      </w:r>
    </w:p>
    <w:p w14:paraId="1EC737D1" w14:textId="77777777" w:rsidR="00E15B39" w:rsidRPr="00D76C97" w:rsidRDefault="00E15B39"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It is a technical annex to that advice, providing further information on the data, methodology, and key assumptions we have taken to reach our final unit limit settings recommendations.</w:t>
      </w:r>
    </w:p>
    <w:p w14:paraId="5BB4FCA7" w14:textId="6A916816" w:rsidR="00E15B39" w:rsidRPr="00D76C97" w:rsidRDefault="00E15B39"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 xml:space="preserve">The document should be </w:t>
      </w:r>
      <w:r w:rsidR="00880E16" w:rsidRPr="54C60BB6">
        <w:rPr>
          <w:rFonts w:ascii="Calibri-Light" w:eastAsia="Calibri-Light" w:hAnsi="Calibri-Light" w:cs="Yu Mincho"/>
          <w:lang w:val="en-US"/>
        </w:rPr>
        <w:t xml:space="preserve">reviewed </w:t>
      </w:r>
      <w:r w:rsidRPr="54C60BB6">
        <w:rPr>
          <w:rFonts w:ascii="Calibri-Light" w:eastAsia="Calibri-Light" w:hAnsi="Calibri-Light" w:cs="Yu Mincho"/>
          <w:lang w:val="en-US"/>
        </w:rPr>
        <w:t xml:space="preserve">alongside </w:t>
      </w:r>
      <w:r w:rsidRPr="54C60BB6">
        <w:rPr>
          <w:rFonts w:ascii="Calibri-Light" w:eastAsia="Calibri-Light" w:hAnsi="Calibri-Light" w:cs="Yu Mincho"/>
          <w:i/>
          <w:iCs/>
          <w:lang w:val="en-US"/>
        </w:rPr>
        <w:t xml:space="preserve">Part 3: </w:t>
      </w:r>
      <w:r w:rsidR="00B57339" w:rsidRPr="54C60BB6">
        <w:rPr>
          <w:rFonts w:ascii="Calibri-Light" w:eastAsia="Calibri-Light" w:hAnsi="Calibri-Light" w:cs="Yu Mincho"/>
          <w:i/>
          <w:iCs/>
          <w:lang w:val="en-US"/>
        </w:rPr>
        <w:t xml:space="preserve">Te Herenga utu - </w:t>
      </w:r>
      <w:r w:rsidRPr="54C60BB6">
        <w:rPr>
          <w:rFonts w:ascii="Calibri-Light" w:eastAsia="Calibri-Light" w:hAnsi="Calibri-Light" w:cs="Yu Mincho"/>
          <w:i/>
          <w:iCs/>
          <w:lang w:val="en-US"/>
        </w:rPr>
        <w:t>Unit limits</w:t>
      </w:r>
      <w:r w:rsidRPr="54C60BB6">
        <w:rPr>
          <w:rFonts w:ascii="Calibri-Light" w:eastAsia="Calibri-Light" w:hAnsi="Calibri-Light" w:cs="Yu Mincho"/>
          <w:lang w:val="en-US"/>
        </w:rPr>
        <w:t xml:space="preserve"> of our advice</w:t>
      </w:r>
      <w:r w:rsidR="00412221" w:rsidRPr="54C60BB6">
        <w:rPr>
          <w:rFonts w:ascii="Calibri-Light" w:eastAsia="Calibri-Light" w:hAnsi="Calibri-Light" w:cs="Yu Mincho"/>
          <w:lang w:val="en-US"/>
        </w:rPr>
        <w:t xml:space="preserve"> report</w:t>
      </w:r>
      <w:r w:rsidRPr="54C60BB6">
        <w:rPr>
          <w:rFonts w:ascii="Calibri-Light" w:eastAsia="Calibri-Light" w:hAnsi="Calibri-Light" w:cs="Yu Mincho"/>
          <w:lang w:val="en-US"/>
        </w:rPr>
        <w:t>, and the accompanying spreadsheet also published on our website.</w:t>
      </w:r>
      <w:r w:rsidR="00F33F94" w:rsidRPr="54C60BB6">
        <w:rPr>
          <w:rFonts w:ascii="Calibri-Light" w:eastAsia="Calibri-Light" w:hAnsi="Calibri-Light" w:cs="Yu Mincho"/>
          <w:lang w:val="en-US"/>
        </w:rPr>
        <w:t xml:space="preserve"> A separate technical annex </w:t>
      </w:r>
      <w:r w:rsidR="00FD6A9F" w:rsidRPr="54C60BB6">
        <w:rPr>
          <w:rFonts w:ascii="Calibri-Light" w:eastAsia="Calibri-Light" w:hAnsi="Calibri-Light" w:cs="Yu Mincho"/>
          <w:lang w:val="en-US"/>
        </w:rPr>
        <w:t xml:space="preserve">is available providing further information </w:t>
      </w:r>
      <w:r w:rsidR="000F2852" w:rsidRPr="54C60BB6">
        <w:rPr>
          <w:rFonts w:ascii="Calibri-Light" w:eastAsia="Calibri-Light" w:hAnsi="Calibri-Light" w:cs="Yu Mincho"/>
          <w:lang w:val="en-US"/>
        </w:rPr>
        <w:t xml:space="preserve">on </w:t>
      </w:r>
      <w:r w:rsidR="00282104" w:rsidRPr="54C60BB6">
        <w:rPr>
          <w:rFonts w:ascii="Calibri-Light" w:eastAsia="Calibri-Light" w:hAnsi="Calibri-Light" w:cs="Yu Mincho"/>
          <w:lang w:val="en-US"/>
        </w:rPr>
        <w:t xml:space="preserve">the modelling </w:t>
      </w:r>
      <w:r w:rsidR="001233C2" w:rsidRPr="54C60BB6">
        <w:rPr>
          <w:rFonts w:ascii="Calibri-Light" w:eastAsia="Calibri-Light" w:hAnsi="Calibri-Light" w:cs="Yu Mincho"/>
          <w:lang w:val="en-US"/>
        </w:rPr>
        <w:t>used in our analysis on price control setting</w:t>
      </w:r>
      <w:r w:rsidR="00B67DE0" w:rsidRPr="54C60BB6">
        <w:rPr>
          <w:rFonts w:ascii="Calibri-Light" w:eastAsia="Calibri-Light" w:hAnsi="Calibri-Light" w:cs="Yu Mincho"/>
          <w:lang w:val="en-US"/>
        </w:rPr>
        <w:t>s.</w:t>
      </w:r>
      <w:r w:rsidR="001233C2" w:rsidRPr="54C60BB6">
        <w:rPr>
          <w:rFonts w:ascii="Calibri-Light" w:eastAsia="Calibri-Light" w:hAnsi="Calibri-Light" w:cs="Yu Mincho"/>
          <w:lang w:val="en-US"/>
        </w:rPr>
        <w:t xml:space="preserve"> </w:t>
      </w:r>
      <w:r w:rsidR="00FD6A9F" w:rsidRPr="54C60BB6">
        <w:rPr>
          <w:rFonts w:ascii="Calibri-Light" w:eastAsia="Calibri-Light" w:hAnsi="Calibri-Light" w:cs="Yu Mincho"/>
          <w:lang w:val="en-US"/>
        </w:rPr>
        <w:t xml:space="preserve"> </w:t>
      </w:r>
    </w:p>
    <w:p w14:paraId="494D878E" w14:textId="746FECE9" w:rsidR="00E15B39" w:rsidRPr="00E15B39" w:rsidRDefault="00E15B39" w:rsidP="007E64DB">
      <w:pPr>
        <w:pStyle w:val="Heading3"/>
        <w:spacing w:before="120" w:after="120"/>
        <w:rPr>
          <w:lang w:val="en-US"/>
        </w:rPr>
      </w:pPr>
      <w:bookmarkStart w:id="2" w:name="_Toc195533404"/>
      <w:r w:rsidRPr="00E15B39">
        <w:rPr>
          <w:lang w:val="en-US"/>
        </w:rPr>
        <w:t>About our advice</w:t>
      </w:r>
      <w:bookmarkEnd w:id="2"/>
    </w:p>
    <w:p w14:paraId="3E563A36" w14:textId="77777777" w:rsidR="00E15B39" w:rsidRPr="00D76C97" w:rsidRDefault="00E15B39"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He Pou a Rangi Climate Change Commission is an independent Crown entity established by the Climate Change Response Act 2002 to provide expert, evidence-based advice and monitoring to successive governments on how to reduce emissions and adapt to the effects of climate change.</w:t>
      </w:r>
    </w:p>
    <w:p w14:paraId="0D040B7A" w14:textId="77777777" w:rsidR="00E15B39" w:rsidRPr="00D76C97" w:rsidRDefault="00E15B39"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As part of our responsibilities under the Act (section 5ZOA), the Commission is required to provide the Government with annual advice on the unit limits and price control settings for the Aotearoa New Zealand Emissions Trading Scheme (NZ ETS) across a five-year window. This is to support the Minister of Climate Change, who is required to update these settings every year.</w:t>
      </w:r>
    </w:p>
    <w:p w14:paraId="6F390356" w14:textId="3101B0AF" w:rsidR="00E15B39" w:rsidRPr="00D76C97" w:rsidRDefault="00E15B39" w:rsidP="00D76C97">
      <w:pPr>
        <w:spacing w:line="279" w:lineRule="auto"/>
        <w:rPr>
          <w:rFonts w:ascii="Calibri-Light" w:eastAsia="Calibri-Light" w:hAnsi="Calibri-Light" w:cs="Yu Mincho"/>
        </w:rPr>
      </w:pPr>
      <w:r w:rsidRPr="00D76C97">
        <w:rPr>
          <w:rFonts w:ascii="Calibri-Light" w:eastAsia="Calibri-Light" w:hAnsi="Calibri-Light" w:cs="Yu Mincho"/>
        </w:rPr>
        <w:t>Annual updates to settings are intended to keep the NZ ETS aligned to emission reduction targets and give market participants information they need to make decisions.</w:t>
      </w:r>
      <w:r w:rsidR="00CC6F3A" w:rsidRPr="00D76C97">
        <w:rPr>
          <w:rFonts w:ascii="Calibri-Light" w:eastAsia="Calibri-Light" w:hAnsi="Calibri-Light" w:cs="Yu Mincho"/>
        </w:rPr>
        <w:t xml:space="preserve"> </w:t>
      </w:r>
    </w:p>
    <w:p w14:paraId="7941E709" w14:textId="77777777" w:rsidR="00E15B39" w:rsidRPr="00E15B39" w:rsidRDefault="00E15B39" w:rsidP="007E64DB">
      <w:pPr>
        <w:pStyle w:val="Heading3"/>
        <w:spacing w:before="120" w:after="120"/>
        <w:rPr>
          <w:lang w:val="en-US"/>
        </w:rPr>
      </w:pPr>
      <w:bookmarkStart w:id="3" w:name="_Toc195533405"/>
      <w:r w:rsidRPr="00E15B39">
        <w:rPr>
          <w:lang w:val="en-US"/>
        </w:rPr>
        <w:t>About this document</w:t>
      </w:r>
      <w:bookmarkEnd w:id="3"/>
    </w:p>
    <w:p w14:paraId="70493A94" w14:textId="026CE77E" w:rsidR="00E15B39" w:rsidRPr="00D76C97" w:rsidRDefault="00E15B39" w:rsidP="00D76C97">
      <w:pPr>
        <w:spacing w:line="279" w:lineRule="auto"/>
        <w:rPr>
          <w:rFonts w:ascii="Calibri-Light" w:eastAsia="Calibri-Light" w:hAnsi="Calibri-Light" w:cs="Yu Mincho"/>
        </w:rPr>
      </w:pPr>
      <w:r w:rsidRPr="00D76C97">
        <w:rPr>
          <w:rFonts w:ascii="Calibri-Light" w:eastAsia="Calibri-Light" w:hAnsi="Calibri-Light" w:cs="Yu Mincho"/>
        </w:rPr>
        <w:t xml:space="preserve">As set out in </w:t>
      </w:r>
      <w:r w:rsidR="00BA4D18" w:rsidRPr="00D76C97">
        <w:rPr>
          <w:rFonts w:ascii="Calibri-Light" w:eastAsia="Calibri-Light" w:hAnsi="Calibri-Light" w:cs="Yu Mincho"/>
        </w:rPr>
        <w:t xml:space="preserve">Part 3 of </w:t>
      </w:r>
      <w:r w:rsidRPr="00D76C97">
        <w:rPr>
          <w:rFonts w:ascii="Calibri-Light" w:eastAsia="Calibri-Light" w:hAnsi="Calibri-Light" w:cs="Yu Mincho"/>
        </w:rPr>
        <w:t>our NZ ETS settings advice</w:t>
      </w:r>
      <w:r w:rsidR="00C96146" w:rsidRPr="00D76C97">
        <w:rPr>
          <w:rFonts w:ascii="Calibri-Light" w:eastAsia="Calibri-Light" w:hAnsi="Calibri-Light" w:cs="Yu Mincho"/>
        </w:rPr>
        <w:t xml:space="preserve"> report</w:t>
      </w:r>
      <w:r w:rsidRPr="00D76C97">
        <w:rPr>
          <w:rFonts w:ascii="Calibri-Light" w:eastAsia="Calibri-Light" w:hAnsi="Calibri-Light" w:cs="Yu Mincho"/>
        </w:rPr>
        <w:t xml:space="preserve">, we use a seven-step method for calculating unit limits. We go through these steps in </w:t>
      </w:r>
      <w:r w:rsidR="00BC4DB5" w:rsidRPr="00D76C97">
        <w:rPr>
          <w:rFonts w:ascii="Calibri-Light" w:eastAsia="Calibri-Light" w:hAnsi="Calibri-Light" w:cs="Yu Mincho"/>
        </w:rPr>
        <w:t xml:space="preserve">greater detail in </w:t>
      </w:r>
      <w:r w:rsidRPr="00D76C97">
        <w:rPr>
          <w:rFonts w:ascii="Calibri-Light" w:eastAsia="Calibri-Light" w:hAnsi="Calibri-Light" w:cs="Yu Mincho"/>
        </w:rPr>
        <w:t>this document</w:t>
      </w:r>
      <w:r w:rsidR="00BC4DB5" w:rsidRPr="00D76C97">
        <w:rPr>
          <w:rFonts w:ascii="Calibri-Light" w:eastAsia="Calibri-Light" w:hAnsi="Calibri-Light" w:cs="Yu Mincho"/>
        </w:rPr>
        <w:t>.</w:t>
      </w:r>
    </w:p>
    <w:p w14:paraId="445938C6" w14:textId="77777777" w:rsidR="00E15B39" w:rsidRPr="00E15B39" w:rsidRDefault="00E15B39" w:rsidP="00E15B39">
      <w:pPr>
        <w:rPr>
          <w:lang w:val="en-US"/>
        </w:rPr>
      </w:pPr>
      <w:r w:rsidRPr="00E15B39">
        <w:rPr>
          <w:lang w:val="en-US"/>
        </w:rPr>
        <w:t>The seven steps are:</w:t>
      </w:r>
    </w:p>
    <w:p w14:paraId="070BD2E0" w14:textId="77777777" w:rsidR="00C2403A" w:rsidRDefault="00C2403A" w:rsidP="00C2403A">
      <w:pPr>
        <w:pStyle w:val="ListParagraph"/>
        <w:numPr>
          <w:ilvl w:val="0"/>
          <w:numId w:val="40"/>
        </w:numPr>
        <w:spacing w:before="120" w:after="120" w:line="276" w:lineRule="auto"/>
      </w:pPr>
      <w:r>
        <w:t xml:space="preserve">Align with emissions reduction targets  </w:t>
      </w:r>
    </w:p>
    <w:p w14:paraId="6BA5A10E" w14:textId="077049B1" w:rsidR="00C2403A" w:rsidRDefault="00C2403A" w:rsidP="00C2403A">
      <w:pPr>
        <w:pStyle w:val="ListParagraph"/>
        <w:numPr>
          <w:ilvl w:val="0"/>
          <w:numId w:val="40"/>
        </w:numPr>
        <w:spacing w:before="120" w:after="120" w:line="276" w:lineRule="auto"/>
      </w:pPr>
      <w:r>
        <w:t xml:space="preserve">Allocate volume to NZ ETS and non-NZ ETS sectors </w:t>
      </w:r>
    </w:p>
    <w:p w14:paraId="4C209371" w14:textId="77777777" w:rsidR="00C2403A" w:rsidRDefault="00C2403A" w:rsidP="00C2403A">
      <w:pPr>
        <w:pStyle w:val="ListParagraph"/>
        <w:numPr>
          <w:ilvl w:val="0"/>
          <w:numId w:val="40"/>
        </w:numPr>
        <w:spacing w:before="120" w:after="120" w:line="276" w:lineRule="auto"/>
      </w:pPr>
      <w:r>
        <w:t xml:space="preserve">Technical adjustments    </w:t>
      </w:r>
    </w:p>
    <w:p w14:paraId="18C52B8C" w14:textId="377685A5" w:rsidR="00C2403A" w:rsidRDefault="00C2403A" w:rsidP="00C2403A">
      <w:pPr>
        <w:pStyle w:val="ListParagraph"/>
        <w:numPr>
          <w:ilvl w:val="0"/>
          <w:numId w:val="40"/>
        </w:numPr>
        <w:spacing w:before="120" w:after="120" w:line="276" w:lineRule="auto"/>
      </w:pPr>
      <w:r>
        <w:t xml:space="preserve">Account for industrial free allocation </w:t>
      </w:r>
    </w:p>
    <w:p w14:paraId="5F245700" w14:textId="1385774E" w:rsidR="00C2403A" w:rsidRDefault="00C2403A" w:rsidP="00C2403A">
      <w:pPr>
        <w:pStyle w:val="ListParagraph"/>
        <w:numPr>
          <w:ilvl w:val="0"/>
          <w:numId w:val="40"/>
        </w:numPr>
        <w:spacing w:before="120" w:after="120" w:line="276" w:lineRule="auto"/>
      </w:pPr>
      <w:r>
        <w:t xml:space="preserve">Set </w:t>
      </w:r>
      <w:r w:rsidR="00F83560">
        <w:t xml:space="preserve">the unit </w:t>
      </w:r>
      <w:r w:rsidR="00D95146">
        <w:t xml:space="preserve">surplus </w:t>
      </w:r>
      <w:r>
        <w:t xml:space="preserve">reduction volume </w:t>
      </w:r>
    </w:p>
    <w:p w14:paraId="102A7D3C" w14:textId="1EC8A1A3" w:rsidR="00C2403A" w:rsidRDefault="00C2403A" w:rsidP="00C2403A">
      <w:pPr>
        <w:pStyle w:val="ListParagraph"/>
        <w:numPr>
          <w:ilvl w:val="0"/>
          <w:numId w:val="40"/>
        </w:numPr>
        <w:spacing w:before="120" w:after="120" w:line="276" w:lineRule="auto"/>
      </w:pPr>
      <w:r>
        <w:t>Set approved overseas unit limit </w:t>
      </w:r>
      <w:r w:rsidR="002F4F1A">
        <w:t>(not discussed in this annex)</w:t>
      </w:r>
      <w:r>
        <w:t xml:space="preserve">  </w:t>
      </w:r>
    </w:p>
    <w:p w14:paraId="49131F4B" w14:textId="77777777" w:rsidR="00C2403A" w:rsidRDefault="00C2403A" w:rsidP="00C2403A">
      <w:pPr>
        <w:pStyle w:val="ListParagraph"/>
        <w:numPr>
          <w:ilvl w:val="0"/>
          <w:numId w:val="40"/>
        </w:numPr>
        <w:spacing w:before="120" w:after="120" w:line="276" w:lineRule="auto"/>
      </w:pPr>
      <w:r>
        <w:t xml:space="preserve">Calculate the auction volume and assess risks  </w:t>
      </w:r>
    </w:p>
    <w:p w14:paraId="5EE0B610" w14:textId="2E8721B7" w:rsidR="00AA2E9D" w:rsidRDefault="009669C6" w:rsidP="00D76C97">
      <w:pPr>
        <w:spacing w:line="279" w:lineRule="auto"/>
        <w:rPr>
          <w:lang w:val="en-US"/>
        </w:rPr>
      </w:pPr>
      <w:r w:rsidRPr="00D76C97">
        <w:rPr>
          <w:rFonts w:ascii="Calibri-Light" w:eastAsia="Calibri-Light" w:hAnsi="Calibri-Light" w:cs="Yu Mincho"/>
        </w:rPr>
        <w:t xml:space="preserve">Tables </w:t>
      </w:r>
      <w:r w:rsidR="000F7C89" w:rsidRPr="00D76C97">
        <w:rPr>
          <w:rFonts w:ascii="Calibri-Light" w:eastAsia="Calibri-Light" w:hAnsi="Calibri-Light" w:cs="Yu Mincho"/>
        </w:rPr>
        <w:t>and f</w:t>
      </w:r>
      <w:r w:rsidR="00707ACD" w:rsidRPr="00D76C97">
        <w:rPr>
          <w:rFonts w:ascii="Calibri-Light" w:eastAsia="Calibri-Light" w:hAnsi="Calibri-Light" w:cs="Yu Mincho"/>
        </w:rPr>
        <w:t>igures</w:t>
      </w:r>
      <w:r w:rsidR="007F31E4" w:rsidRPr="00D76C97">
        <w:rPr>
          <w:rFonts w:ascii="Calibri-Light" w:eastAsia="Calibri-Light" w:hAnsi="Calibri-Light" w:cs="Yu Mincho"/>
        </w:rPr>
        <w:t xml:space="preserve"> </w:t>
      </w:r>
      <w:r w:rsidR="000F7C89" w:rsidRPr="00D76C97">
        <w:rPr>
          <w:rFonts w:ascii="Calibri-Light" w:eastAsia="Calibri-Light" w:hAnsi="Calibri-Light" w:cs="Yu Mincho"/>
        </w:rPr>
        <w:t>presented</w:t>
      </w:r>
      <w:r w:rsidR="00707ACD" w:rsidRPr="00D76C97">
        <w:rPr>
          <w:rFonts w:ascii="Calibri-Light" w:eastAsia="Calibri-Light" w:hAnsi="Calibri-Light" w:cs="Yu Mincho"/>
        </w:rPr>
        <w:t xml:space="preserve"> in</w:t>
      </w:r>
      <w:r w:rsidR="00875EF3" w:rsidRPr="00D76C97">
        <w:rPr>
          <w:rFonts w:ascii="Calibri-Light" w:eastAsia="Calibri-Light" w:hAnsi="Calibri-Light" w:cs="Yu Mincho"/>
        </w:rPr>
        <w:t xml:space="preserve"> this document </w:t>
      </w:r>
      <w:r w:rsidR="00790154" w:rsidRPr="00D76C97">
        <w:rPr>
          <w:rFonts w:ascii="Calibri-Light" w:eastAsia="Calibri-Light" w:hAnsi="Calibri-Light" w:cs="Yu Mincho"/>
        </w:rPr>
        <w:t>mostly</w:t>
      </w:r>
      <w:r w:rsidR="007F31E4" w:rsidRPr="00D76C97">
        <w:rPr>
          <w:rFonts w:ascii="Calibri-Light" w:eastAsia="Calibri-Light" w:hAnsi="Calibri-Light" w:cs="Yu Mincho"/>
        </w:rPr>
        <w:t xml:space="preserve"> show the period out to 2030 </w:t>
      </w:r>
      <w:r w:rsidR="00EB4E04" w:rsidRPr="00D76C97">
        <w:rPr>
          <w:rFonts w:ascii="Calibri-Light" w:eastAsia="Calibri-Light" w:hAnsi="Calibri-Light" w:cs="Yu Mincho"/>
        </w:rPr>
        <w:t xml:space="preserve">that aligns with this </w:t>
      </w:r>
      <w:r w:rsidR="00BC4DC3" w:rsidRPr="00D76C97">
        <w:rPr>
          <w:rFonts w:ascii="Calibri-Light" w:eastAsia="Calibri-Light" w:hAnsi="Calibri-Light" w:cs="Yu Mincho"/>
        </w:rPr>
        <w:t xml:space="preserve">annual </w:t>
      </w:r>
      <w:r w:rsidR="00855FB9" w:rsidRPr="00D76C97">
        <w:rPr>
          <w:rFonts w:ascii="Calibri-Light" w:eastAsia="Calibri-Light" w:hAnsi="Calibri-Light" w:cs="Yu Mincho"/>
        </w:rPr>
        <w:t xml:space="preserve">iteration </w:t>
      </w:r>
      <w:r w:rsidR="00EB4E04" w:rsidRPr="00D76C97">
        <w:rPr>
          <w:rFonts w:ascii="Calibri-Light" w:eastAsia="Calibri-Light" w:hAnsi="Calibri-Light" w:cs="Yu Mincho"/>
        </w:rPr>
        <w:t xml:space="preserve">of </w:t>
      </w:r>
      <w:r w:rsidR="00BC4DC3" w:rsidRPr="00D76C97">
        <w:rPr>
          <w:rFonts w:ascii="Calibri-Light" w:eastAsia="Calibri-Light" w:hAnsi="Calibri-Light" w:cs="Yu Mincho"/>
        </w:rPr>
        <w:t xml:space="preserve">the </w:t>
      </w:r>
      <w:r w:rsidR="00EB4E04" w:rsidRPr="00D76C97">
        <w:rPr>
          <w:rFonts w:ascii="Calibri-Light" w:eastAsia="Calibri-Light" w:hAnsi="Calibri-Light" w:cs="Yu Mincho"/>
        </w:rPr>
        <w:t xml:space="preserve">advice. </w:t>
      </w:r>
      <w:r w:rsidR="00AA2E9D">
        <w:rPr>
          <w:lang w:val="en-US"/>
        </w:rPr>
        <w:br w:type="page"/>
      </w:r>
    </w:p>
    <w:p w14:paraId="7E9F6375" w14:textId="7A6985E6" w:rsidR="0008501B" w:rsidRDefault="0008501B" w:rsidP="0014498F">
      <w:pPr>
        <w:pStyle w:val="Heading2"/>
        <w:spacing w:before="120" w:after="120"/>
        <w:rPr>
          <w:lang w:val="en-US"/>
        </w:rPr>
      </w:pPr>
      <w:bookmarkStart w:id="4" w:name="_Toc195533406"/>
      <w:r>
        <w:rPr>
          <w:lang w:val="en-US"/>
        </w:rPr>
        <w:t>Step 1</w:t>
      </w:r>
      <w:r w:rsidR="00C61A9B">
        <w:rPr>
          <w:lang w:val="en-US"/>
        </w:rPr>
        <w:t xml:space="preserve"> Align with emissions reduction targets</w:t>
      </w:r>
      <w:bookmarkEnd w:id="4"/>
    </w:p>
    <w:p w14:paraId="665474FD" w14:textId="4A641397" w:rsidR="00C61A9B" w:rsidRPr="00D76C97" w:rsidRDefault="002E3E42" w:rsidP="399FF34D">
      <w:pPr>
        <w:spacing w:line="279" w:lineRule="auto"/>
        <w:rPr>
          <w:rFonts w:ascii="Calibri-Light" w:eastAsia="Calibri-Light" w:hAnsi="Calibri-Light" w:cs="Yu Mincho"/>
          <w:lang w:val="en-US"/>
        </w:rPr>
      </w:pPr>
      <w:r w:rsidRPr="399FF34D">
        <w:rPr>
          <w:rFonts w:ascii="Calibri-Light" w:eastAsia="Calibri-Light" w:hAnsi="Calibri-Light" w:cs="Yu Mincho"/>
          <w:lang w:val="en-US"/>
        </w:rPr>
        <w:t xml:space="preserve">The first step </w:t>
      </w:r>
      <w:r w:rsidR="006F4332" w:rsidRPr="399FF34D">
        <w:rPr>
          <w:rFonts w:ascii="Calibri-Light" w:eastAsia="Calibri-Light" w:hAnsi="Calibri-Light" w:cs="Yu Mincho"/>
          <w:lang w:val="en-US"/>
        </w:rPr>
        <w:t xml:space="preserve">in </w:t>
      </w:r>
      <w:r w:rsidR="00314BC6" w:rsidRPr="399FF34D">
        <w:rPr>
          <w:rFonts w:ascii="Calibri-Light" w:eastAsia="Calibri-Light" w:hAnsi="Calibri-Light" w:cs="Yu Mincho"/>
          <w:lang w:val="en-US"/>
        </w:rPr>
        <w:t xml:space="preserve">the unit limits methodology </w:t>
      </w:r>
      <w:r w:rsidR="00282DC1" w:rsidRPr="399FF34D">
        <w:rPr>
          <w:rFonts w:ascii="Calibri-Light" w:eastAsia="Calibri-Light" w:hAnsi="Calibri-Light" w:cs="Yu Mincho"/>
          <w:lang w:val="en-US"/>
        </w:rPr>
        <w:t xml:space="preserve">is </w:t>
      </w:r>
      <w:r w:rsidR="00C546D6" w:rsidRPr="399FF34D">
        <w:rPr>
          <w:rFonts w:ascii="Calibri-Light" w:eastAsia="Calibri-Light" w:hAnsi="Calibri-Light" w:cs="Yu Mincho"/>
          <w:lang w:val="en-US"/>
        </w:rPr>
        <w:t>evaluating</w:t>
      </w:r>
      <w:r w:rsidR="00282DC1" w:rsidRPr="399FF34D">
        <w:rPr>
          <w:rFonts w:ascii="Calibri-Light" w:eastAsia="Calibri-Light" w:hAnsi="Calibri-Light" w:cs="Yu Mincho"/>
          <w:lang w:val="en-US"/>
        </w:rPr>
        <w:t xml:space="preserve"> the most appropriate way to align unit limits with New Zealand’s emissions </w:t>
      </w:r>
      <w:r w:rsidR="005F3D9B" w:rsidRPr="399FF34D">
        <w:rPr>
          <w:rFonts w:ascii="Calibri-Light" w:eastAsia="Calibri-Light" w:hAnsi="Calibri-Light" w:cs="Yu Mincho"/>
          <w:lang w:val="en-US"/>
        </w:rPr>
        <w:t>budgets</w:t>
      </w:r>
      <w:r w:rsidR="00EE50EE" w:rsidRPr="399FF34D">
        <w:rPr>
          <w:rFonts w:ascii="Calibri-Light" w:eastAsia="Calibri-Light" w:hAnsi="Calibri-Light" w:cs="Yu Mincho"/>
          <w:lang w:val="en-US"/>
        </w:rPr>
        <w:t>, nationally determined contribution</w:t>
      </w:r>
      <w:r w:rsidR="00683042" w:rsidRPr="399FF34D">
        <w:rPr>
          <w:rFonts w:ascii="Calibri-Light" w:eastAsia="Calibri-Light" w:hAnsi="Calibri-Light" w:cs="Yu Mincho"/>
          <w:lang w:val="en-US"/>
        </w:rPr>
        <w:t>s</w:t>
      </w:r>
      <w:r w:rsidR="00EE50EE" w:rsidRPr="399FF34D">
        <w:rPr>
          <w:rFonts w:ascii="Calibri-Light" w:eastAsia="Calibri-Light" w:hAnsi="Calibri-Light" w:cs="Yu Mincho"/>
          <w:lang w:val="en-US"/>
        </w:rPr>
        <w:t xml:space="preserve"> (NDC</w:t>
      </w:r>
      <w:r w:rsidR="00683042" w:rsidRPr="399FF34D">
        <w:rPr>
          <w:rFonts w:ascii="Calibri-Light" w:eastAsia="Calibri-Light" w:hAnsi="Calibri-Light" w:cs="Yu Mincho"/>
          <w:lang w:val="en-US"/>
        </w:rPr>
        <w:t>s</w:t>
      </w:r>
      <w:r w:rsidR="00EE50EE" w:rsidRPr="399FF34D">
        <w:rPr>
          <w:rFonts w:ascii="Calibri-Light" w:eastAsia="Calibri-Light" w:hAnsi="Calibri-Light" w:cs="Yu Mincho"/>
          <w:lang w:val="en-US"/>
        </w:rPr>
        <w:t>)</w:t>
      </w:r>
      <w:r w:rsidR="005F3D9B" w:rsidRPr="399FF34D">
        <w:rPr>
          <w:rFonts w:ascii="Calibri-Light" w:eastAsia="Calibri-Light" w:hAnsi="Calibri-Light" w:cs="Yu Mincho"/>
          <w:lang w:val="en-US"/>
        </w:rPr>
        <w:t xml:space="preserve"> and </w:t>
      </w:r>
      <w:r w:rsidR="003B4B58" w:rsidRPr="399FF34D">
        <w:rPr>
          <w:rFonts w:ascii="Calibri-Light" w:eastAsia="Calibri-Light" w:hAnsi="Calibri-Light" w:cs="Yu Mincho"/>
          <w:lang w:val="en-US"/>
        </w:rPr>
        <w:t xml:space="preserve">2050 </w:t>
      </w:r>
      <w:r w:rsidR="00282DC1" w:rsidRPr="399FF34D">
        <w:rPr>
          <w:rFonts w:ascii="Calibri-Light" w:eastAsia="Calibri-Light" w:hAnsi="Calibri-Light" w:cs="Yu Mincho"/>
          <w:lang w:val="en-US"/>
        </w:rPr>
        <w:t xml:space="preserve">target. </w:t>
      </w:r>
      <w:r w:rsidR="009904CE" w:rsidRPr="399FF34D">
        <w:rPr>
          <w:rFonts w:ascii="Calibri-Light" w:eastAsia="Calibri-Light" w:hAnsi="Calibri-Light" w:cs="Yu Mincho"/>
          <w:lang w:val="en-US"/>
        </w:rPr>
        <w:t xml:space="preserve">The </w:t>
      </w:r>
      <w:r w:rsidR="005F3D9B" w:rsidRPr="399FF34D">
        <w:rPr>
          <w:rFonts w:ascii="Calibri-Light" w:eastAsia="Calibri-Light" w:hAnsi="Calibri-Light" w:cs="Yu Mincho"/>
          <w:lang w:val="en-US"/>
        </w:rPr>
        <w:t>high-level</w:t>
      </w:r>
      <w:r w:rsidR="009904CE" w:rsidRPr="399FF34D">
        <w:rPr>
          <w:rFonts w:ascii="Calibri-Light" w:eastAsia="Calibri-Light" w:hAnsi="Calibri-Light" w:cs="Yu Mincho"/>
          <w:lang w:val="en-US"/>
        </w:rPr>
        <w:t xml:space="preserve"> </w:t>
      </w:r>
      <w:r w:rsidR="00CB6504" w:rsidRPr="399FF34D">
        <w:rPr>
          <w:rFonts w:ascii="Calibri-Light" w:eastAsia="Calibri-Light" w:hAnsi="Calibri-Light" w:cs="Yu Mincho"/>
          <w:lang w:val="en-US"/>
        </w:rPr>
        <w:t xml:space="preserve">approach to </w:t>
      </w:r>
      <w:r w:rsidR="009904CE" w:rsidRPr="399FF34D">
        <w:rPr>
          <w:rFonts w:ascii="Calibri-Light" w:eastAsia="Calibri-Light" w:hAnsi="Calibri-Light" w:cs="Yu Mincho"/>
          <w:lang w:val="en-US"/>
        </w:rPr>
        <w:t xml:space="preserve">this is discussed </w:t>
      </w:r>
      <w:r w:rsidR="00CB6504" w:rsidRPr="399FF34D">
        <w:rPr>
          <w:rFonts w:ascii="Calibri-Light" w:eastAsia="Calibri-Light" w:hAnsi="Calibri-Light" w:cs="Yu Mincho"/>
          <w:lang w:val="en-US"/>
        </w:rPr>
        <w:t xml:space="preserve">in </w:t>
      </w:r>
      <w:r w:rsidR="009904CE" w:rsidRPr="399FF34D">
        <w:rPr>
          <w:rFonts w:ascii="Calibri-Light" w:eastAsia="Calibri-Light" w:hAnsi="Calibri-Light" w:cs="Yu Mincho"/>
          <w:lang w:val="en-US"/>
        </w:rPr>
        <w:t>the main</w:t>
      </w:r>
      <w:r w:rsidR="00CB6504" w:rsidRPr="399FF34D">
        <w:rPr>
          <w:rFonts w:ascii="Calibri-Light" w:eastAsia="Calibri-Light" w:hAnsi="Calibri-Light" w:cs="Yu Mincho"/>
          <w:lang w:val="en-US"/>
        </w:rPr>
        <w:t xml:space="preserve"> advice</w:t>
      </w:r>
      <w:r w:rsidR="009904CE" w:rsidRPr="399FF34D">
        <w:rPr>
          <w:rFonts w:ascii="Calibri-Light" w:eastAsia="Calibri-Light" w:hAnsi="Calibri-Light" w:cs="Yu Mincho"/>
          <w:lang w:val="en-US"/>
        </w:rPr>
        <w:t xml:space="preserve"> report. </w:t>
      </w:r>
    </w:p>
    <w:p w14:paraId="612C4A59" w14:textId="07C4818C" w:rsidR="007600D1" w:rsidRPr="00D76C97" w:rsidRDefault="00377B6D" w:rsidP="399FF34D">
      <w:pPr>
        <w:spacing w:line="279" w:lineRule="auto"/>
        <w:rPr>
          <w:rFonts w:ascii="Calibri-Light" w:eastAsia="Calibri-Light" w:hAnsi="Calibri-Light" w:cs="Yu Mincho"/>
          <w:lang w:val="en-US"/>
        </w:rPr>
      </w:pPr>
      <w:r w:rsidRPr="399FF34D">
        <w:rPr>
          <w:rFonts w:ascii="Calibri-Light" w:eastAsia="Calibri-Light" w:hAnsi="Calibri-Light" w:cs="Yu Mincho"/>
          <w:lang w:val="en-US"/>
        </w:rPr>
        <w:t xml:space="preserve">The period covered </w:t>
      </w:r>
      <w:r w:rsidR="00CF6C83" w:rsidRPr="399FF34D">
        <w:rPr>
          <w:rFonts w:ascii="Calibri-Light" w:eastAsia="Calibri-Light" w:hAnsi="Calibri-Light" w:cs="Yu Mincho"/>
          <w:lang w:val="en-US"/>
        </w:rPr>
        <w:t>by</w:t>
      </w:r>
      <w:r w:rsidRPr="399FF34D">
        <w:rPr>
          <w:rFonts w:ascii="Calibri-Light" w:eastAsia="Calibri-Light" w:hAnsi="Calibri-Light" w:cs="Yu Mincho"/>
          <w:lang w:val="en-US"/>
        </w:rPr>
        <w:t xml:space="preserve"> this</w:t>
      </w:r>
      <w:r w:rsidR="00035922" w:rsidRPr="399FF34D">
        <w:rPr>
          <w:rFonts w:ascii="Calibri-Light" w:eastAsia="Calibri-Light" w:hAnsi="Calibri-Light" w:cs="Yu Mincho"/>
          <w:lang w:val="en-US"/>
        </w:rPr>
        <w:t xml:space="preserve"> advice is 2026-2030, </w:t>
      </w:r>
      <w:r w:rsidR="00AC49C9" w:rsidRPr="399FF34D">
        <w:rPr>
          <w:rFonts w:ascii="Calibri-Light" w:eastAsia="Calibri-Light" w:hAnsi="Calibri-Light" w:cs="Yu Mincho"/>
          <w:lang w:val="en-US"/>
        </w:rPr>
        <w:t xml:space="preserve">which </w:t>
      </w:r>
      <w:r w:rsidR="00CF6EFB" w:rsidRPr="399FF34D">
        <w:rPr>
          <w:rFonts w:ascii="Calibri-Light" w:eastAsia="Calibri-Light" w:hAnsi="Calibri-Light" w:cs="Yu Mincho"/>
          <w:lang w:val="en-US"/>
        </w:rPr>
        <w:t>aligns with</w:t>
      </w:r>
      <w:r w:rsidR="00AC49C9" w:rsidRPr="399FF34D">
        <w:rPr>
          <w:rFonts w:ascii="Calibri-Light" w:eastAsia="Calibri-Light" w:hAnsi="Calibri-Light" w:cs="Yu Mincho"/>
          <w:lang w:val="en-US"/>
        </w:rPr>
        <w:t xml:space="preserve"> </w:t>
      </w:r>
      <w:r w:rsidR="00787308" w:rsidRPr="399FF34D">
        <w:rPr>
          <w:rFonts w:ascii="Calibri-Light" w:eastAsia="Calibri-Light" w:hAnsi="Calibri-Light" w:cs="Yu Mincho"/>
          <w:lang w:val="en-US"/>
        </w:rPr>
        <w:t>the second e</w:t>
      </w:r>
      <w:r w:rsidR="00AC49C9" w:rsidRPr="399FF34D">
        <w:rPr>
          <w:rFonts w:ascii="Calibri-Light" w:eastAsia="Calibri-Light" w:hAnsi="Calibri-Light" w:cs="Yu Mincho"/>
          <w:lang w:val="en-US"/>
        </w:rPr>
        <w:t xml:space="preserve">missions </w:t>
      </w:r>
      <w:r w:rsidR="00787308" w:rsidRPr="399FF34D">
        <w:rPr>
          <w:rFonts w:ascii="Calibri-Light" w:eastAsia="Calibri-Light" w:hAnsi="Calibri-Light" w:cs="Yu Mincho"/>
          <w:lang w:val="en-US"/>
        </w:rPr>
        <w:t>b</w:t>
      </w:r>
      <w:r w:rsidR="00AC49C9" w:rsidRPr="399FF34D">
        <w:rPr>
          <w:rFonts w:ascii="Calibri-Light" w:eastAsia="Calibri-Light" w:hAnsi="Calibri-Light" w:cs="Yu Mincho"/>
          <w:lang w:val="en-US"/>
        </w:rPr>
        <w:t>udget</w:t>
      </w:r>
      <w:r w:rsidR="00FD27A8" w:rsidRPr="399FF34D">
        <w:rPr>
          <w:rFonts w:ascii="Calibri-Light" w:eastAsia="Calibri-Light" w:hAnsi="Calibri-Light" w:cs="Yu Mincho"/>
          <w:lang w:val="en-US"/>
        </w:rPr>
        <w:t xml:space="preserve"> (EB2)</w:t>
      </w:r>
      <w:r w:rsidR="00AC49C9" w:rsidRPr="399FF34D">
        <w:rPr>
          <w:rFonts w:ascii="Calibri-Light" w:eastAsia="Calibri-Light" w:hAnsi="Calibri-Light" w:cs="Yu Mincho"/>
          <w:lang w:val="en-US"/>
        </w:rPr>
        <w:t xml:space="preserve">. </w:t>
      </w:r>
      <w:r w:rsidR="00D81F53" w:rsidRPr="399FF34D">
        <w:rPr>
          <w:rFonts w:ascii="Calibri-Light" w:eastAsia="Calibri-Light" w:hAnsi="Calibri-Light" w:cs="Yu Mincho"/>
          <w:lang w:val="en-US"/>
        </w:rPr>
        <w:t>Our previous advice has align</w:t>
      </w:r>
      <w:r w:rsidR="00686653" w:rsidRPr="399FF34D">
        <w:rPr>
          <w:rFonts w:ascii="Calibri-Light" w:eastAsia="Calibri-Light" w:hAnsi="Calibri-Light" w:cs="Yu Mincho"/>
          <w:lang w:val="en-US"/>
        </w:rPr>
        <w:t>ed</w:t>
      </w:r>
      <w:r w:rsidR="00D81F53" w:rsidRPr="399FF34D">
        <w:rPr>
          <w:rFonts w:ascii="Calibri-Light" w:eastAsia="Calibri-Light" w:hAnsi="Calibri-Light" w:cs="Yu Mincho"/>
          <w:lang w:val="en-US"/>
        </w:rPr>
        <w:t xml:space="preserve"> unit limits with </w:t>
      </w:r>
      <w:r w:rsidR="00D51B9B" w:rsidRPr="399FF34D">
        <w:rPr>
          <w:rFonts w:ascii="Calibri-Light" w:eastAsia="Calibri-Light" w:hAnsi="Calibri-Light" w:cs="Yu Mincho"/>
          <w:lang w:val="en-US"/>
        </w:rPr>
        <w:t>achieving emission</w:t>
      </w:r>
      <w:r w:rsidR="00D42047" w:rsidRPr="399FF34D">
        <w:rPr>
          <w:rFonts w:ascii="Calibri-Light" w:eastAsia="Calibri-Light" w:hAnsi="Calibri-Light" w:cs="Yu Mincho"/>
          <w:lang w:val="en-US"/>
        </w:rPr>
        <w:t>s</w:t>
      </w:r>
      <w:r w:rsidR="00D51B9B" w:rsidRPr="399FF34D">
        <w:rPr>
          <w:rFonts w:ascii="Calibri-Light" w:eastAsia="Calibri-Light" w:hAnsi="Calibri-Light" w:cs="Yu Mincho"/>
          <w:lang w:val="en-US"/>
        </w:rPr>
        <w:t xml:space="preserve"> budgets as the domestic component of the first NDC and </w:t>
      </w:r>
      <w:r w:rsidR="00D81F53" w:rsidRPr="399FF34D">
        <w:rPr>
          <w:rFonts w:ascii="Calibri-Light" w:eastAsia="Calibri-Light" w:hAnsi="Calibri-Light" w:cs="Yu Mincho"/>
          <w:lang w:val="en-US"/>
        </w:rPr>
        <w:t>stepping-stones to the 2050 target</w:t>
      </w:r>
      <w:r w:rsidR="00D51B9B" w:rsidRPr="399FF34D">
        <w:rPr>
          <w:rFonts w:ascii="Calibri-Light" w:eastAsia="Calibri-Light" w:hAnsi="Calibri-Light" w:cs="Yu Mincho"/>
          <w:lang w:val="en-US"/>
        </w:rPr>
        <w:t xml:space="preserve">. </w:t>
      </w:r>
      <w:r w:rsidR="00657866" w:rsidRPr="399FF34D">
        <w:rPr>
          <w:rFonts w:ascii="Calibri-Light" w:eastAsia="Calibri-Light" w:hAnsi="Calibri-Light" w:cs="Yu Mincho"/>
          <w:lang w:val="en-US"/>
        </w:rPr>
        <w:t xml:space="preserve">This year we have concluded that this approach again remains appropriate. </w:t>
      </w:r>
      <w:r w:rsidR="001E26E8" w:rsidRPr="399FF34D">
        <w:rPr>
          <w:rFonts w:ascii="Calibri-Light" w:eastAsia="Calibri-Light" w:hAnsi="Calibri-Light" w:cs="Yu Mincho"/>
          <w:lang w:val="en-US"/>
        </w:rPr>
        <w:t>The rationale</w:t>
      </w:r>
      <w:r w:rsidR="006C0067" w:rsidRPr="399FF34D">
        <w:rPr>
          <w:rFonts w:ascii="Calibri-Light" w:eastAsia="Calibri-Light" w:hAnsi="Calibri-Light" w:cs="Yu Mincho"/>
          <w:lang w:val="en-US"/>
        </w:rPr>
        <w:t xml:space="preserve"> for this</w:t>
      </w:r>
      <w:r w:rsidR="001E26E8" w:rsidRPr="399FF34D">
        <w:rPr>
          <w:rFonts w:ascii="Calibri-Light" w:eastAsia="Calibri-Light" w:hAnsi="Calibri-Light" w:cs="Yu Mincho"/>
          <w:lang w:val="en-US"/>
        </w:rPr>
        <w:t xml:space="preserve"> is set out in </w:t>
      </w:r>
      <w:r w:rsidR="00956698" w:rsidRPr="399FF34D">
        <w:rPr>
          <w:rFonts w:ascii="Calibri-Light" w:eastAsia="Calibri-Light" w:hAnsi="Calibri-Light" w:cs="Yu Mincho"/>
          <w:i/>
          <w:iCs/>
          <w:lang w:val="en-US"/>
        </w:rPr>
        <w:t>Par</w:t>
      </w:r>
      <w:r w:rsidR="0016433B" w:rsidRPr="399FF34D">
        <w:rPr>
          <w:rFonts w:ascii="Calibri-Light" w:eastAsia="Calibri-Light" w:hAnsi="Calibri-Light" w:cs="Yu Mincho"/>
          <w:i/>
          <w:iCs/>
          <w:lang w:val="en-US"/>
        </w:rPr>
        <w:t>t 3: Te Herenga utu – Unit limits</w:t>
      </w:r>
      <w:r w:rsidR="0016433B" w:rsidRPr="399FF34D">
        <w:rPr>
          <w:rFonts w:ascii="Calibri-Light" w:eastAsia="Calibri-Light" w:hAnsi="Calibri-Light" w:cs="Yu Mincho"/>
          <w:lang w:val="en-US"/>
        </w:rPr>
        <w:t xml:space="preserve"> in the main report, and in </w:t>
      </w:r>
      <w:r w:rsidR="0016433B" w:rsidRPr="399FF34D">
        <w:rPr>
          <w:rFonts w:ascii="Calibri-Light" w:eastAsia="Calibri-Light" w:hAnsi="Calibri-Light" w:cs="Yu Mincho"/>
          <w:i/>
          <w:iCs/>
          <w:lang w:val="en-US"/>
        </w:rPr>
        <w:t>Technical Annex 3</w:t>
      </w:r>
      <w:r w:rsidR="003124BD" w:rsidRPr="399FF34D">
        <w:rPr>
          <w:rFonts w:ascii="Calibri-Light" w:eastAsia="Calibri-Light" w:hAnsi="Calibri-Light" w:cs="Yu Mincho"/>
          <w:i/>
          <w:iCs/>
          <w:lang w:val="en-US"/>
        </w:rPr>
        <w:t xml:space="preserve">: </w:t>
      </w:r>
      <w:r w:rsidR="00B52ADA" w:rsidRPr="399FF34D">
        <w:rPr>
          <w:rFonts w:ascii="Calibri-Light" w:eastAsia="Calibri-Light" w:hAnsi="Calibri-Light" w:cs="Yu Mincho"/>
          <w:i/>
          <w:iCs/>
          <w:lang w:val="en-US"/>
        </w:rPr>
        <w:t xml:space="preserve">Assessment of </w:t>
      </w:r>
      <w:r w:rsidR="003124BD" w:rsidRPr="399FF34D">
        <w:rPr>
          <w:rFonts w:ascii="Calibri-Light" w:eastAsia="Calibri-Light" w:hAnsi="Calibri-Light" w:cs="Yu Mincho"/>
          <w:i/>
          <w:iCs/>
          <w:lang w:val="en-US"/>
        </w:rPr>
        <w:t>Accordance</w:t>
      </w:r>
      <w:r w:rsidR="00EA77C1" w:rsidRPr="399FF34D">
        <w:rPr>
          <w:rFonts w:ascii="Calibri-Light" w:eastAsia="Calibri-Light" w:hAnsi="Calibri-Light" w:cs="Yu Mincho"/>
          <w:lang w:val="en-US"/>
        </w:rPr>
        <w:t xml:space="preserve">. </w:t>
      </w:r>
      <w:r w:rsidR="00E40106" w:rsidRPr="399FF34D">
        <w:rPr>
          <w:rFonts w:ascii="Calibri-Light" w:eastAsia="Calibri-Light" w:hAnsi="Calibri-Light" w:cs="Yu Mincho"/>
          <w:lang w:val="en-US"/>
        </w:rPr>
        <w:t xml:space="preserve">We have not duplicated or </w:t>
      </w:r>
      <w:r w:rsidR="00331A2E" w:rsidRPr="399FF34D">
        <w:rPr>
          <w:rFonts w:ascii="Calibri-Light" w:eastAsia="Calibri-Light" w:hAnsi="Calibri-Light" w:cs="Yu Mincho"/>
          <w:lang w:val="en-US"/>
        </w:rPr>
        <w:t>expanded on this here.</w:t>
      </w:r>
      <w:r w:rsidR="003124BD" w:rsidRPr="399FF34D">
        <w:rPr>
          <w:rFonts w:ascii="Calibri-Light" w:eastAsia="Calibri-Light" w:hAnsi="Calibri-Light" w:cs="Yu Mincho"/>
          <w:lang w:val="en-US"/>
        </w:rPr>
        <w:t xml:space="preserve"> </w:t>
      </w:r>
    </w:p>
    <w:p w14:paraId="11A9BA9D" w14:textId="7172D10F" w:rsidR="00670775" w:rsidRPr="00D76C97" w:rsidRDefault="00700076"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To briefly recap, i</w:t>
      </w:r>
      <w:r w:rsidR="00E54618" w:rsidRPr="00D76C97">
        <w:rPr>
          <w:rFonts w:ascii="Calibri-Light" w:eastAsia="Calibri-Light" w:hAnsi="Calibri-Light" w:cs="Yu Mincho"/>
          <w:szCs w:val="24"/>
        </w:rPr>
        <w:t>n this advice, w</w:t>
      </w:r>
      <w:r w:rsidR="00AC49C9" w:rsidRPr="00D76C97">
        <w:rPr>
          <w:rFonts w:ascii="Calibri-Light" w:eastAsia="Calibri-Light" w:hAnsi="Calibri-Light" w:cs="Yu Mincho"/>
          <w:szCs w:val="24"/>
        </w:rPr>
        <w:t xml:space="preserve">e have </w:t>
      </w:r>
      <w:r w:rsidR="00E60B53" w:rsidRPr="00D76C97">
        <w:rPr>
          <w:rFonts w:ascii="Calibri-Light" w:eastAsia="Calibri-Light" w:hAnsi="Calibri-Light" w:cs="Yu Mincho"/>
          <w:szCs w:val="24"/>
        </w:rPr>
        <w:t xml:space="preserve">aligned the </w:t>
      </w:r>
      <w:r w:rsidRPr="00D76C97">
        <w:rPr>
          <w:rFonts w:ascii="Calibri-Light" w:eastAsia="Calibri-Light" w:hAnsi="Calibri-Light" w:cs="Yu Mincho"/>
          <w:szCs w:val="24"/>
        </w:rPr>
        <w:t xml:space="preserve">proposed </w:t>
      </w:r>
      <w:r w:rsidR="00E60B53" w:rsidRPr="00D76C97">
        <w:rPr>
          <w:rFonts w:ascii="Calibri-Light" w:eastAsia="Calibri-Light" w:hAnsi="Calibri-Light" w:cs="Yu Mincho"/>
          <w:szCs w:val="24"/>
        </w:rPr>
        <w:t xml:space="preserve">settings with achieving the </w:t>
      </w:r>
      <w:r w:rsidR="001516D6" w:rsidRPr="00D76C97">
        <w:rPr>
          <w:rFonts w:ascii="Calibri-Light" w:eastAsia="Calibri-Light" w:hAnsi="Calibri-Light" w:cs="Yu Mincho"/>
          <w:szCs w:val="24"/>
        </w:rPr>
        <w:t xml:space="preserve">levels of emissions </w:t>
      </w:r>
      <w:r w:rsidR="00E54618" w:rsidRPr="00D76C97">
        <w:rPr>
          <w:rFonts w:ascii="Calibri-Light" w:eastAsia="Calibri-Light" w:hAnsi="Calibri-Light" w:cs="Yu Mincho"/>
          <w:szCs w:val="24"/>
        </w:rPr>
        <w:t>over 2026-2030</w:t>
      </w:r>
      <w:r w:rsidR="007F2CF4" w:rsidRPr="00D76C97">
        <w:rPr>
          <w:rFonts w:ascii="Calibri-Light" w:eastAsia="Calibri-Light" w:hAnsi="Calibri-Light" w:cs="Yu Mincho"/>
          <w:szCs w:val="24"/>
        </w:rPr>
        <w:t xml:space="preserve"> </w:t>
      </w:r>
      <w:r w:rsidR="007865B3" w:rsidRPr="00D76C97">
        <w:rPr>
          <w:rFonts w:ascii="Calibri-Light" w:eastAsia="Calibri-Light" w:hAnsi="Calibri-Light" w:cs="Yu Mincho"/>
          <w:szCs w:val="24"/>
        </w:rPr>
        <w:t xml:space="preserve">given by </w:t>
      </w:r>
      <w:r w:rsidR="00E476DE" w:rsidRPr="00D76C97">
        <w:rPr>
          <w:rFonts w:ascii="Calibri-Light" w:eastAsia="Calibri-Light" w:hAnsi="Calibri-Light" w:cs="Yu Mincho"/>
          <w:szCs w:val="24"/>
        </w:rPr>
        <w:t xml:space="preserve">the </w:t>
      </w:r>
      <w:r w:rsidR="00DA2320" w:rsidRPr="00D76C97">
        <w:rPr>
          <w:rFonts w:ascii="Calibri-Light" w:eastAsia="Calibri-Light" w:hAnsi="Calibri-Light" w:cs="Yu Mincho"/>
          <w:szCs w:val="24"/>
        </w:rPr>
        <w:t xml:space="preserve">emissions projections released alongside the </w:t>
      </w:r>
      <w:r w:rsidR="00E476DE" w:rsidRPr="00D76C97">
        <w:rPr>
          <w:rFonts w:ascii="Calibri-Light" w:eastAsia="Calibri-Light" w:hAnsi="Calibri-Light" w:cs="Yu Mincho"/>
          <w:szCs w:val="24"/>
        </w:rPr>
        <w:t xml:space="preserve">Government’s </w:t>
      </w:r>
      <w:r w:rsidR="00DA2320" w:rsidRPr="00D76C97">
        <w:rPr>
          <w:rFonts w:ascii="Calibri-Light" w:eastAsia="Calibri-Light" w:hAnsi="Calibri-Light" w:cs="Yu Mincho"/>
          <w:szCs w:val="24"/>
        </w:rPr>
        <w:t>s</w:t>
      </w:r>
      <w:r w:rsidR="00E54618" w:rsidRPr="00D76C97">
        <w:rPr>
          <w:rFonts w:ascii="Calibri-Light" w:eastAsia="Calibri-Light" w:hAnsi="Calibri-Light" w:cs="Yu Mincho"/>
          <w:szCs w:val="24"/>
        </w:rPr>
        <w:t xml:space="preserve">econd </w:t>
      </w:r>
      <w:r w:rsidR="000143C3" w:rsidRPr="00D76C97">
        <w:rPr>
          <w:rFonts w:ascii="Calibri-Light" w:eastAsia="Calibri-Light" w:hAnsi="Calibri-Light" w:cs="Yu Mincho"/>
          <w:szCs w:val="24"/>
        </w:rPr>
        <w:t>e</w:t>
      </w:r>
      <w:r w:rsidR="00A244A4" w:rsidRPr="00D76C97">
        <w:rPr>
          <w:rFonts w:ascii="Calibri-Light" w:eastAsia="Calibri-Light" w:hAnsi="Calibri-Light" w:cs="Yu Mincho"/>
          <w:szCs w:val="24"/>
        </w:rPr>
        <w:t xml:space="preserve">missions </w:t>
      </w:r>
      <w:r w:rsidR="00DA2320" w:rsidRPr="00D76C97">
        <w:rPr>
          <w:rFonts w:ascii="Calibri-Light" w:eastAsia="Calibri-Light" w:hAnsi="Calibri-Light" w:cs="Yu Mincho"/>
          <w:szCs w:val="24"/>
        </w:rPr>
        <w:t>r</w:t>
      </w:r>
      <w:r w:rsidR="00A244A4" w:rsidRPr="00D76C97">
        <w:rPr>
          <w:rFonts w:ascii="Calibri-Light" w:eastAsia="Calibri-Light" w:hAnsi="Calibri-Light" w:cs="Yu Mincho"/>
          <w:szCs w:val="24"/>
        </w:rPr>
        <w:t xml:space="preserve">eduction </w:t>
      </w:r>
      <w:r w:rsidR="00DA2320" w:rsidRPr="00D76C97">
        <w:rPr>
          <w:rFonts w:ascii="Calibri-Light" w:eastAsia="Calibri-Light" w:hAnsi="Calibri-Light" w:cs="Yu Mincho"/>
          <w:szCs w:val="24"/>
        </w:rPr>
        <w:t>p</w:t>
      </w:r>
      <w:r w:rsidR="00A244A4" w:rsidRPr="00D76C97">
        <w:rPr>
          <w:rFonts w:ascii="Calibri-Light" w:eastAsia="Calibri-Light" w:hAnsi="Calibri-Light" w:cs="Yu Mincho"/>
          <w:szCs w:val="24"/>
        </w:rPr>
        <w:t xml:space="preserve">lan </w:t>
      </w:r>
      <w:r w:rsidR="00DA2320" w:rsidRPr="00D76C97">
        <w:rPr>
          <w:rFonts w:ascii="Calibri-Light" w:eastAsia="Calibri-Light" w:hAnsi="Calibri-Light" w:cs="Yu Mincho"/>
          <w:szCs w:val="24"/>
        </w:rPr>
        <w:t>(</w:t>
      </w:r>
      <w:r w:rsidR="00F92687" w:rsidRPr="00D76C97">
        <w:rPr>
          <w:rFonts w:ascii="Calibri-Light" w:eastAsia="Calibri-Light" w:hAnsi="Calibri-Light" w:cs="Yu Mincho"/>
          <w:szCs w:val="24"/>
        </w:rPr>
        <w:t xml:space="preserve">the </w:t>
      </w:r>
      <w:r w:rsidR="00D30AFB" w:rsidRPr="00D76C97">
        <w:rPr>
          <w:rFonts w:ascii="Calibri-Light" w:eastAsia="Calibri-Light" w:hAnsi="Calibri-Light" w:cs="Yu Mincho"/>
          <w:szCs w:val="24"/>
        </w:rPr>
        <w:t>‘</w:t>
      </w:r>
      <w:r w:rsidR="00504E5C" w:rsidRPr="00D76C97">
        <w:rPr>
          <w:rFonts w:ascii="Calibri-Light" w:eastAsia="Calibri-Light" w:hAnsi="Calibri-Light" w:cs="Yu Mincho"/>
          <w:szCs w:val="24"/>
        </w:rPr>
        <w:t>n</w:t>
      </w:r>
      <w:r w:rsidR="00A244A4" w:rsidRPr="00D76C97">
        <w:rPr>
          <w:rFonts w:ascii="Calibri-Light" w:eastAsia="Calibri-Light" w:hAnsi="Calibri-Light" w:cs="Yu Mincho"/>
          <w:szCs w:val="24"/>
        </w:rPr>
        <w:t xml:space="preserve">ew </w:t>
      </w:r>
      <w:r w:rsidR="00504E5C" w:rsidRPr="00D76C97">
        <w:rPr>
          <w:rFonts w:ascii="Calibri-Light" w:eastAsia="Calibri-Light" w:hAnsi="Calibri-Light" w:cs="Yu Mincho"/>
          <w:szCs w:val="24"/>
        </w:rPr>
        <w:t>m</w:t>
      </w:r>
      <w:r w:rsidR="00A244A4" w:rsidRPr="00D76C97">
        <w:rPr>
          <w:rFonts w:ascii="Calibri-Light" w:eastAsia="Calibri-Light" w:hAnsi="Calibri-Light" w:cs="Yu Mincho"/>
          <w:szCs w:val="24"/>
        </w:rPr>
        <w:t>easures</w:t>
      </w:r>
      <w:r w:rsidR="00D30AFB" w:rsidRPr="00D76C97">
        <w:rPr>
          <w:rFonts w:ascii="Calibri-Light" w:eastAsia="Calibri-Light" w:hAnsi="Calibri-Light" w:cs="Yu Mincho"/>
          <w:szCs w:val="24"/>
        </w:rPr>
        <w:t>’</w:t>
      </w:r>
      <w:r w:rsidR="00A244A4" w:rsidRPr="00D76C97">
        <w:rPr>
          <w:rFonts w:ascii="Calibri-Light" w:eastAsia="Calibri-Light" w:hAnsi="Calibri-Light" w:cs="Yu Mincho"/>
          <w:szCs w:val="24"/>
        </w:rPr>
        <w:t xml:space="preserve"> scenario</w:t>
      </w:r>
      <w:r w:rsidR="005642A2" w:rsidRPr="00D76C97">
        <w:rPr>
          <w:rFonts w:ascii="Calibri-Light" w:eastAsia="Calibri-Light" w:hAnsi="Calibri-Light" w:cs="Yu Mincho"/>
          <w:szCs w:val="24"/>
        </w:rPr>
        <w:t xml:space="preserve"> – hereafter referred to as the government’s emissions projections</w:t>
      </w:r>
      <w:r w:rsidR="001264AF" w:rsidRPr="00D76C97">
        <w:rPr>
          <w:rFonts w:ascii="Calibri-Light" w:eastAsia="Calibri-Light" w:hAnsi="Calibri-Light" w:cs="Yu Mincho"/>
          <w:szCs w:val="24"/>
        </w:rPr>
        <w:t>)</w:t>
      </w:r>
      <w:r w:rsidR="00367ECF" w:rsidRPr="00D76C97">
        <w:rPr>
          <w:rFonts w:ascii="Calibri-Light" w:eastAsia="Calibri-Light" w:hAnsi="Calibri-Light" w:cs="Yu Mincho"/>
          <w:szCs w:val="24"/>
        </w:rPr>
        <w:t>.</w:t>
      </w:r>
      <w:r w:rsidR="0070502B" w:rsidRPr="00D76C97">
        <w:rPr>
          <w:rFonts w:ascii="Calibri-Light" w:eastAsia="Calibri-Light" w:hAnsi="Calibri-Light" w:cs="Yu Mincho"/>
          <w:szCs w:val="24"/>
          <w:vertAlign w:val="superscript"/>
        </w:rPr>
        <w:endnoteReference w:id="2"/>
      </w:r>
      <w:r w:rsidR="00CC23C4" w:rsidRPr="00D76C97" w:rsidDel="00CC23C4">
        <w:rPr>
          <w:rFonts w:ascii="Calibri-Light" w:eastAsia="Calibri-Light" w:hAnsi="Calibri-Light" w:cs="Yu Mincho"/>
          <w:szCs w:val="24"/>
        </w:rPr>
        <w:t xml:space="preserve"> </w:t>
      </w:r>
      <w:r w:rsidR="00367ECF" w:rsidRPr="00D76C97">
        <w:rPr>
          <w:rFonts w:ascii="Calibri-Light" w:eastAsia="Calibri-Light" w:hAnsi="Calibri-Light" w:cs="Yu Mincho"/>
          <w:szCs w:val="24"/>
        </w:rPr>
        <w:t xml:space="preserve"> Th</w:t>
      </w:r>
      <w:r w:rsidR="006E731F" w:rsidRPr="00D76C97">
        <w:rPr>
          <w:rFonts w:ascii="Calibri-Light" w:eastAsia="Calibri-Light" w:hAnsi="Calibri-Light" w:cs="Yu Mincho"/>
          <w:szCs w:val="24"/>
        </w:rPr>
        <w:t xml:space="preserve">ese emissions projections </w:t>
      </w:r>
      <w:r w:rsidR="00113A41" w:rsidRPr="00D76C97">
        <w:rPr>
          <w:rFonts w:ascii="Calibri-Light" w:eastAsia="Calibri-Light" w:hAnsi="Calibri-Light" w:cs="Yu Mincho"/>
          <w:szCs w:val="24"/>
        </w:rPr>
        <w:t xml:space="preserve">are </w:t>
      </w:r>
      <w:r w:rsidR="008478C0" w:rsidRPr="00D76C97">
        <w:rPr>
          <w:rFonts w:ascii="Calibri-Light" w:eastAsia="Calibri-Light" w:hAnsi="Calibri-Light" w:cs="Yu Mincho"/>
          <w:szCs w:val="24"/>
        </w:rPr>
        <w:t>1.9</w:t>
      </w:r>
      <w:r w:rsidR="00CA7288" w:rsidRPr="00D76C97">
        <w:rPr>
          <w:rFonts w:ascii="Calibri-Light" w:eastAsia="Calibri-Light" w:hAnsi="Calibri-Light" w:cs="Yu Mincho"/>
          <w:szCs w:val="24"/>
        </w:rPr>
        <w:t xml:space="preserve"> </w:t>
      </w:r>
      <w:r w:rsidR="008478C0" w:rsidRPr="00D76C97">
        <w:rPr>
          <w:rFonts w:ascii="Calibri-Light" w:eastAsia="Calibri-Light" w:hAnsi="Calibri-Light" w:cs="Yu Mincho"/>
          <w:szCs w:val="24"/>
        </w:rPr>
        <w:t>Mt</w:t>
      </w:r>
      <w:r w:rsidR="00CA7288" w:rsidRPr="00D76C97">
        <w:rPr>
          <w:rFonts w:ascii="Calibri-Light" w:eastAsia="Calibri-Light" w:hAnsi="Calibri-Light" w:cs="Yu Mincho"/>
          <w:szCs w:val="24"/>
        </w:rPr>
        <w:t xml:space="preserve">CO2e </w:t>
      </w:r>
      <w:r w:rsidR="00113A41" w:rsidRPr="00D76C97">
        <w:rPr>
          <w:rFonts w:ascii="Calibri-Light" w:eastAsia="Calibri-Light" w:hAnsi="Calibri-Light" w:cs="Yu Mincho"/>
          <w:szCs w:val="24"/>
        </w:rPr>
        <w:t>lower tha</w:t>
      </w:r>
      <w:r w:rsidR="00E37F79" w:rsidRPr="00D76C97">
        <w:rPr>
          <w:rFonts w:ascii="Calibri-Light" w:eastAsia="Calibri-Light" w:hAnsi="Calibri-Light" w:cs="Yu Mincho"/>
          <w:szCs w:val="24"/>
        </w:rPr>
        <w:t>n</w:t>
      </w:r>
      <w:r w:rsidR="00113A41" w:rsidRPr="00D76C97">
        <w:rPr>
          <w:rFonts w:ascii="Calibri-Light" w:eastAsia="Calibri-Light" w:hAnsi="Calibri-Light" w:cs="Yu Mincho"/>
          <w:szCs w:val="24"/>
        </w:rPr>
        <w:t xml:space="preserve"> </w:t>
      </w:r>
      <w:r w:rsidR="00DA3D3C" w:rsidRPr="00D76C97">
        <w:rPr>
          <w:rFonts w:ascii="Calibri-Light" w:eastAsia="Calibri-Light" w:hAnsi="Calibri-Light" w:cs="Yu Mincho"/>
          <w:szCs w:val="24"/>
        </w:rPr>
        <w:t xml:space="preserve">the </w:t>
      </w:r>
      <w:r w:rsidR="00E37F79" w:rsidRPr="00D76C97">
        <w:rPr>
          <w:rFonts w:ascii="Calibri-Light" w:eastAsia="Calibri-Light" w:hAnsi="Calibri-Light" w:cs="Yu Mincho"/>
          <w:szCs w:val="24"/>
        </w:rPr>
        <w:t xml:space="preserve">second emissions budget’s </w:t>
      </w:r>
      <w:r w:rsidR="00DA3D3C" w:rsidRPr="00D76C97">
        <w:rPr>
          <w:rFonts w:ascii="Calibri-Light" w:eastAsia="Calibri-Light" w:hAnsi="Calibri-Light" w:cs="Yu Mincho"/>
          <w:szCs w:val="24"/>
        </w:rPr>
        <w:t xml:space="preserve">notified </w:t>
      </w:r>
      <w:r w:rsidR="00E37F79" w:rsidRPr="00D76C97">
        <w:rPr>
          <w:rFonts w:ascii="Calibri-Light" w:eastAsia="Calibri-Light" w:hAnsi="Calibri-Light" w:cs="Yu Mincho"/>
          <w:szCs w:val="24"/>
        </w:rPr>
        <w:t xml:space="preserve">level </w:t>
      </w:r>
      <w:r w:rsidR="00867940" w:rsidRPr="00D76C97">
        <w:rPr>
          <w:rFonts w:ascii="Calibri-Light" w:eastAsia="Calibri-Light" w:hAnsi="Calibri-Light" w:cs="Yu Mincho"/>
          <w:szCs w:val="24"/>
        </w:rPr>
        <w:t xml:space="preserve">of </w:t>
      </w:r>
      <w:r w:rsidR="001B5997" w:rsidRPr="00D76C97">
        <w:rPr>
          <w:rFonts w:ascii="Calibri-Light" w:eastAsia="Calibri-Light" w:hAnsi="Calibri-Light" w:cs="Yu Mincho"/>
          <w:szCs w:val="24"/>
        </w:rPr>
        <w:t>305 MtCO2e</w:t>
      </w:r>
      <w:r w:rsidR="006234D1" w:rsidRPr="00D76C97">
        <w:rPr>
          <w:rFonts w:ascii="Calibri-Light" w:eastAsia="Calibri-Light" w:hAnsi="Calibri-Light" w:cs="Yu Mincho"/>
          <w:szCs w:val="24"/>
        </w:rPr>
        <w:t xml:space="preserve"> (</w:t>
      </w:r>
      <w:r w:rsidR="006234D1" w:rsidRPr="00D76C97">
        <w:rPr>
          <w:rFonts w:ascii="Calibri-Light" w:eastAsia="Calibri-Light" w:hAnsi="Calibri-Light" w:cs="Yu Mincho"/>
          <w:b/>
          <w:bCs/>
          <w:szCs w:val="24"/>
        </w:rPr>
        <w:fldChar w:fldCharType="begin"/>
      </w:r>
      <w:r w:rsidR="006234D1" w:rsidRPr="00D76C97">
        <w:rPr>
          <w:rFonts w:ascii="Calibri-Light" w:eastAsia="Calibri-Light" w:hAnsi="Calibri-Light" w:cs="Yu Mincho"/>
          <w:b/>
          <w:bCs/>
          <w:szCs w:val="24"/>
        </w:rPr>
        <w:instrText xml:space="preserve"> REF _Ref195178732 \h </w:instrText>
      </w:r>
      <w:r w:rsidR="00510B19" w:rsidRPr="00D76C97">
        <w:rPr>
          <w:rFonts w:ascii="Calibri-Light" w:eastAsia="Calibri-Light" w:hAnsi="Calibri-Light" w:cs="Yu Mincho"/>
          <w:b/>
          <w:bCs/>
          <w:szCs w:val="24"/>
        </w:rPr>
        <w:instrText xml:space="preserve"> \* MERGEFORMAT </w:instrText>
      </w:r>
      <w:r w:rsidR="006234D1" w:rsidRPr="00D76C97">
        <w:rPr>
          <w:rFonts w:ascii="Calibri-Light" w:eastAsia="Calibri-Light" w:hAnsi="Calibri-Light" w:cs="Yu Mincho"/>
          <w:b/>
          <w:bCs/>
          <w:szCs w:val="24"/>
        </w:rPr>
      </w:r>
      <w:r w:rsidR="006234D1" w:rsidRPr="00D76C97">
        <w:rPr>
          <w:rFonts w:ascii="Calibri-Light" w:eastAsia="Calibri-Light" w:hAnsi="Calibri-Light" w:cs="Yu Mincho"/>
          <w:b/>
          <w:bCs/>
          <w:szCs w:val="24"/>
        </w:rPr>
        <w:fldChar w:fldCharType="separate"/>
      </w:r>
      <w:r w:rsidR="006234D1" w:rsidRPr="00D76C97">
        <w:rPr>
          <w:rFonts w:ascii="Calibri-Light" w:eastAsia="Calibri-Light" w:hAnsi="Calibri-Light" w:cs="Yu Mincho"/>
          <w:b/>
          <w:bCs/>
          <w:szCs w:val="24"/>
        </w:rPr>
        <w:t>Figure 1</w:t>
      </w:r>
      <w:r w:rsidR="006234D1" w:rsidRPr="00D76C97">
        <w:rPr>
          <w:rFonts w:ascii="Calibri-Light" w:eastAsia="Calibri-Light" w:hAnsi="Calibri-Light" w:cs="Yu Mincho"/>
          <w:b/>
          <w:bCs/>
          <w:szCs w:val="24"/>
        </w:rPr>
        <w:fldChar w:fldCharType="end"/>
      </w:r>
      <w:r w:rsidR="006234D1" w:rsidRPr="00D76C97">
        <w:rPr>
          <w:rFonts w:ascii="Calibri-Light" w:eastAsia="Calibri-Light" w:hAnsi="Calibri-Light" w:cs="Yu Mincho"/>
          <w:szCs w:val="24"/>
        </w:rPr>
        <w:t>)</w:t>
      </w:r>
      <w:r w:rsidR="008478C0" w:rsidRPr="00D76C97">
        <w:rPr>
          <w:rFonts w:ascii="Calibri-Light" w:eastAsia="Calibri-Light" w:hAnsi="Calibri-Light" w:cs="Yu Mincho"/>
          <w:szCs w:val="24"/>
        </w:rPr>
        <w:t xml:space="preserve">. </w:t>
      </w:r>
      <w:r w:rsidR="002E1C93" w:rsidRPr="00D76C97">
        <w:rPr>
          <w:rFonts w:ascii="Calibri-Light" w:eastAsia="Calibri-Light" w:hAnsi="Calibri-Light" w:cs="Yu Mincho"/>
          <w:szCs w:val="24"/>
        </w:rPr>
        <w:t xml:space="preserve">See Part 3 in the main report for more information.  </w:t>
      </w:r>
      <w:r w:rsidR="00A244A4" w:rsidRPr="00D76C97">
        <w:rPr>
          <w:rFonts w:ascii="Calibri-Light" w:eastAsia="Calibri-Light" w:hAnsi="Calibri-Light" w:cs="Yu Mincho"/>
          <w:szCs w:val="24"/>
        </w:rPr>
        <w:t xml:space="preserve"> </w:t>
      </w:r>
    </w:p>
    <w:p w14:paraId="4CDB34AB" w14:textId="182C710C" w:rsidR="00364824" w:rsidRDefault="00670775" w:rsidP="00141B31">
      <w:pPr>
        <w:pStyle w:val="Caption"/>
      </w:pPr>
      <w:bookmarkStart w:id="5" w:name="_Ref195178732"/>
      <w:r w:rsidRPr="00141B31">
        <w:t xml:space="preserve">Figure </w:t>
      </w:r>
      <w:r w:rsidRPr="00141B31">
        <w:fldChar w:fldCharType="begin"/>
      </w:r>
      <w:r w:rsidRPr="00141B31">
        <w:instrText xml:space="preserve"> SEQ Figure \* ARABIC </w:instrText>
      </w:r>
      <w:r w:rsidRPr="00141B31">
        <w:fldChar w:fldCharType="separate"/>
      </w:r>
      <w:r w:rsidRPr="00141B31">
        <w:t>1</w:t>
      </w:r>
      <w:r w:rsidRPr="00141B31">
        <w:fldChar w:fldCharType="end"/>
      </w:r>
      <w:bookmarkEnd w:id="5"/>
      <w:r>
        <w:t xml:space="preserve">: </w:t>
      </w:r>
      <w:r w:rsidRPr="00EA3949">
        <w:rPr>
          <w:b w:val="0"/>
        </w:rPr>
        <w:t>Emissions projections from the second emissions reduction plan compared to emissions budgets 2025-2030</w:t>
      </w:r>
      <w:r w:rsidR="003D740C" w:rsidRPr="450C75C2">
        <w:t xml:space="preserve"> </w:t>
      </w:r>
    </w:p>
    <w:p w14:paraId="2F3BBA71" w14:textId="25C960C5" w:rsidR="003D364E" w:rsidRDefault="00670775" w:rsidP="00444D70">
      <w:pPr>
        <w:jc w:val="center"/>
        <w:rPr>
          <w:lang w:val="en-US"/>
        </w:rPr>
      </w:pPr>
      <w:r>
        <w:rPr>
          <w:noProof/>
        </w:rPr>
        <w:drawing>
          <wp:inline distT="0" distB="0" distL="0" distR="0" wp14:anchorId="2CF9AA4E" wp14:editId="0D7B306B">
            <wp:extent cx="5629275" cy="3689350"/>
            <wp:effectExtent l="0" t="0" r="952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3689350"/>
                    </a:xfrm>
                    <a:prstGeom prst="rect">
                      <a:avLst/>
                    </a:prstGeom>
                    <a:noFill/>
                    <a:ln>
                      <a:noFill/>
                    </a:ln>
                  </pic:spPr>
                </pic:pic>
              </a:graphicData>
            </a:graphic>
          </wp:inline>
        </w:drawing>
      </w:r>
    </w:p>
    <w:p w14:paraId="2667F548" w14:textId="4A2ABB01" w:rsidR="00701567" w:rsidRDefault="00701567" w:rsidP="00630004">
      <w:pPr>
        <w:rPr>
          <w:lang w:val="en-US"/>
        </w:rPr>
      </w:pPr>
      <w:r w:rsidRPr="00B92A9E">
        <w:rPr>
          <w:sz w:val="20"/>
          <w:szCs w:val="20"/>
        </w:rPr>
        <w:t>Source:</w:t>
      </w:r>
      <w:r w:rsidR="00BF5124">
        <w:rPr>
          <w:sz w:val="20"/>
          <w:szCs w:val="20"/>
        </w:rPr>
        <w:t xml:space="preserve"> </w:t>
      </w:r>
      <w:r w:rsidR="00AC4E2C">
        <w:rPr>
          <w:sz w:val="20"/>
          <w:szCs w:val="20"/>
        </w:rPr>
        <w:t xml:space="preserve">Ministry for the Environment, </w:t>
      </w:r>
      <w:r w:rsidR="00D23886" w:rsidRPr="00630004">
        <w:rPr>
          <w:i/>
          <w:sz w:val="20"/>
          <w:szCs w:val="20"/>
        </w:rPr>
        <w:t>New Zealand’s second emissions reduction plan 2026-2030</w:t>
      </w:r>
      <w:r w:rsidR="00F64CF8" w:rsidRPr="00630004">
        <w:rPr>
          <w:i/>
          <w:sz w:val="20"/>
          <w:szCs w:val="20"/>
        </w:rPr>
        <w:t>. Detailed results for ERP2 projection scenario</w:t>
      </w:r>
      <w:r w:rsidR="00A92612" w:rsidRPr="00630004">
        <w:rPr>
          <w:i/>
          <w:sz w:val="20"/>
          <w:szCs w:val="20"/>
        </w:rPr>
        <w:t>.</w:t>
      </w:r>
    </w:p>
    <w:p w14:paraId="58647078" w14:textId="2FF5AA9F" w:rsidR="00874D4F" w:rsidRDefault="00874D4F" w:rsidP="0014498F">
      <w:pPr>
        <w:pStyle w:val="Heading2"/>
        <w:spacing w:before="120" w:after="120"/>
        <w:rPr>
          <w:lang w:val="en-US"/>
        </w:rPr>
      </w:pPr>
      <w:bookmarkStart w:id="6" w:name="_Toc195533407"/>
      <w:r>
        <w:rPr>
          <w:lang w:val="en-US"/>
        </w:rPr>
        <w:t>Step 2</w:t>
      </w:r>
      <w:r w:rsidR="00615A86">
        <w:rPr>
          <w:lang w:val="en-US"/>
        </w:rPr>
        <w:t xml:space="preserve"> Allocate volume to NZ ETS and non-NZ ETS sectors</w:t>
      </w:r>
      <w:bookmarkEnd w:id="6"/>
    </w:p>
    <w:p w14:paraId="38B8E30D" w14:textId="06FAA48A" w:rsidR="00874D4F" w:rsidRPr="009B4D2A" w:rsidRDefault="0008501B" w:rsidP="009B4D2A">
      <w:pPr>
        <w:spacing w:line="279" w:lineRule="auto"/>
        <w:rPr>
          <w:rFonts w:ascii="Calibri-Light" w:eastAsia="Calibri-Light" w:hAnsi="Calibri-Light" w:cs="Yu Mincho"/>
        </w:rPr>
      </w:pPr>
      <w:r w:rsidRPr="009B4D2A">
        <w:rPr>
          <w:rFonts w:ascii="Calibri-Light" w:eastAsia="Calibri-Light" w:hAnsi="Calibri-Light" w:cs="Yu Mincho"/>
        </w:rPr>
        <w:t xml:space="preserve">Step 2 </w:t>
      </w:r>
      <w:r w:rsidR="00B61341" w:rsidRPr="009B4D2A">
        <w:rPr>
          <w:rFonts w:ascii="Calibri-Light" w:eastAsia="Calibri-Light" w:hAnsi="Calibri-Light" w:cs="Yu Mincho"/>
        </w:rPr>
        <w:t xml:space="preserve">involves </w:t>
      </w:r>
      <w:r w:rsidRPr="009B4D2A">
        <w:rPr>
          <w:rFonts w:ascii="Calibri-Light" w:eastAsia="Calibri-Light" w:hAnsi="Calibri-Light" w:cs="Yu Mincho"/>
        </w:rPr>
        <w:t>allocat</w:t>
      </w:r>
      <w:r w:rsidR="00B61341" w:rsidRPr="009B4D2A">
        <w:rPr>
          <w:rFonts w:ascii="Calibri-Light" w:eastAsia="Calibri-Light" w:hAnsi="Calibri-Light" w:cs="Yu Mincho"/>
        </w:rPr>
        <w:t>ing</w:t>
      </w:r>
      <w:r w:rsidRPr="009B4D2A">
        <w:rPr>
          <w:rFonts w:ascii="Calibri-Light" w:eastAsia="Calibri-Light" w:hAnsi="Calibri-Light" w:cs="Yu Mincho"/>
        </w:rPr>
        <w:t xml:space="preserve"> </w:t>
      </w:r>
      <w:r w:rsidR="005C0CCD" w:rsidRPr="009B4D2A">
        <w:rPr>
          <w:rFonts w:ascii="Calibri-Light" w:eastAsia="Calibri-Light" w:hAnsi="Calibri-Light" w:cs="Yu Mincho"/>
        </w:rPr>
        <w:t xml:space="preserve">the chosen </w:t>
      </w:r>
      <w:r w:rsidR="001340C9" w:rsidRPr="009B4D2A">
        <w:rPr>
          <w:rFonts w:ascii="Calibri-Light" w:eastAsia="Calibri-Light" w:hAnsi="Calibri-Light" w:cs="Yu Mincho"/>
        </w:rPr>
        <w:t xml:space="preserve">overall </w:t>
      </w:r>
      <w:r w:rsidR="00DF742E" w:rsidRPr="009B4D2A">
        <w:rPr>
          <w:rFonts w:ascii="Calibri-Light" w:eastAsia="Calibri-Light" w:hAnsi="Calibri-Light" w:cs="Yu Mincho"/>
        </w:rPr>
        <w:t xml:space="preserve">allowed </w:t>
      </w:r>
      <w:r w:rsidR="00832D2C" w:rsidRPr="009B4D2A">
        <w:rPr>
          <w:rFonts w:ascii="Calibri-Light" w:eastAsia="Calibri-Light" w:hAnsi="Calibri-Light" w:cs="Yu Mincho"/>
        </w:rPr>
        <w:t xml:space="preserve">emissions volume across all sectors </w:t>
      </w:r>
      <w:r w:rsidR="001340C9" w:rsidRPr="009B4D2A">
        <w:rPr>
          <w:rFonts w:ascii="Calibri-Light" w:eastAsia="Calibri-Light" w:hAnsi="Calibri-Light" w:cs="Yu Mincho"/>
        </w:rPr>
        <w:t>from step 1</w:t>
      </w:r>
      <w:r w:rsidR="005C0CCD" w:rsidRPr="009B4D2A">
        <w:rPr>
          <w:rFonts w:ascii="Calibri-Light" w:eastAsia="Calibri-Light" w:hAnsi="Calibri-Light" w:cs="Yu Mincho"/>
        </w:rPr>
        <w:t xml:space="preserve"> to NZ ETS and non-NZ ETS sectors</w:t>
      </w:r>
      <w:r w:rsidR="0057582C" w:rsidRPr="009B4D2A">
        <w:rPr>
          <w:rFonts w:ascii="Calibri-Light" w:eastAsia="Calibri-Light" w:hAnsi="Calibri-Light" w:cs="Yu Mincho"/>
        </w:rPr>
        <w:t xml:space="preserve">. </w:t>
      </w:r>
      <w:r w:rsidR="00A940B0" w:rsidRPr="009B4D2A">
        <w:rPr>
          <w:rFonts w:ascii="Calibri-Light" w:eastAsia="Calibri-Light" w:hAnsi="Calibri-Light" w:cs="Yu Mincho"/>
        </w:rPr>
        <w:t xml:space="preserve">This is sometimes referred to as setting the </w:t>
      </w:r>
      <w:r w:rsidR="00CF4838" w:rsidRPr="009B4D2A">
        <w:rPr>
          <w:rFonts w:ascii="Calibri-Light" w:eastAsia="Calibri-Light" w:hAnsi="Calibri-Light" w:cs="Yu Mincho"/>
        </w:rPr>
        <w:t xml:space="preserve">NZ ETS </w:t>
      </w:r>
      <w:r w:rsidR="001A3B49" w:rsidRPr="009B4D2A">
        <w:rPr>
          <w:rFonts w:ascii="Calibri-Light" w:eastAsia="Calibri-Light" w:hAnsi="Calibri-Light" w:cs="Yu Mincho"/>
        </w:rPr>
        <w:t xml:space="preserve">emissions </w:t>
      </w:r>
      <w:r w:rsidR="00655320" w:rsidRPr="009B4D2A">
        <w:rPr>
          <w:rFonts w:ascii="Calibri-Light" w:eastAsia="Calibri-Light" w:hAnsi="Calibri-Light" w:cs="Yu Mincho"/>
        </w:rPr>
        <w:t>‘</w:t>
      </w:r>
      <w:r w:rsidR="00A940B0" w:rsidRPr="009B4D2A">
        <w:rPr>
          <w:rFonts w:ascii="Calibri-Light" w:eastAsia="Calibri-Light" w:hAnsi="Calibri-Light" w:cs="Yu Mincho"/>
        </w:rPr>
        <w:t>cap</w:t>
      </w:r>
      <w:r w:rsidR="00655320" w:rsidRPr="009B4D2A">
        <w:rPr>
          <w:rFonts w:ascii="Calibri-Light" w:eastAsia="Calibri-Light" w:hAnsi="Calibri-Light" w:cs="Yu Mincho"/>
        </w:rPr>
        <w:t>’</w:t>
      </w:r>
      <w:r w:rsidR="00A940B0" w:rsidRPr="009B4D2A">
        <w:rPr>
          <w:rFonts w:ascii="Calibri-Light" w:eastAsia="Calibri-Light" w:hAnsi="Calibri-Light" w:cs="Yu Mincho"/>
        </w:rPr>
        <w:t xml:space="preserve">. </w:t>
      </w:r>
    </w:p>
    <w:p w14:paraId="53686DE4" w14:textId="56713DED" w:rsidR="00FA60E3" w:rsidRPr="009B4D2A" w:rsidRDefault="00A31652" w:rsidP="399FF34D">
      <w:pPr>
        <w:spacing w:line="279" w:lineRule="auto"/>
        <w:rPr>
          <w:rFonts w:ascii="Calibri-Light" w:eastAsia="Calibri-Light" w:hAnsi="Calibri-Light" w:cs="Yu Mincho"/>
          <w:lang w:val="en-US"/>
        </w:rPr>
      </w:pPr>
      <w:r w:rsidRPr="399FF34D">
        <w:rPr>
          <w:rFonts w:ascii="Calibri-Light" w:eastAsia="Calibri-Light" w:hAnsi="Calibri-Light" w:cs="Yu Mincho"/>
          <w:lang w:val="en-US"/>
        </w:rPr>
        <w:t xml:space="preserve">The Government’s </w:t>
      </w:r>
      <w:r w:rsidR="004E374F" w:rsidRPr="399FF34D">
        <w:rPr>
          <w:rFonts w:ascii="Calibri-Light" w:eastAsia="Calibri-Light" w:hAnsi="Calibri-Light" w:cs="Yu Mincho"/>
          <w:lang w:val="en-US"/>
        </w:rPr>
        <w:t>second emissions reduction plan</w:t>
      </w:r>
      <w:r w:rsidRPr="399FF34D">
        <w:rPr>
          <w:rFonts w:ascii="Calibri-Light" w:eastAsia="Calibri-Light" w:hAnsi="Calibri-Light" w:cs="Yu Mincho"/>
          <w:lang w:val="en-US"/>
        </w:rPr>
        <w:t xml:space="preserve"> included a</w:t>
      </w:r>
      <w:r w:rsidR="00596367" w:rsidRPr="399FF34D">
        <w:rPr>
          <w:rFonts w:ascii="Calibri-Light" w:eastAsia="Calibri-Light" w:hAnsi="Calibri-Light" w:cs="Yu Mincho"/>
          <w:lang w:val="en-US"/>
        </w:rPr>
        <w:t xml:space="preserve"> </w:t>
      </w:r>
      <w:r w:rsidR="004E374F" w:rsidRPr="399FF34D">
        <w:rPr>
          <w:rFonts w:ascii="Calibri-Light" w:eastAsia="Calibri-Light" w:hAnsi="Calibri-Light" w:cs="Yu Mincho"/>
          <w:lang w:val="en-US"/>
        </w:rPr>
        <w:t xml:space="preserve">decision </w:t>
      </w:r>
      <w:r w:rsidR="00A366F0" w:rsidRPr="399FF34D">
        <w:rPr>
          <w:rFonts w:ascii="Calibri-Light" w:eastAsia="Calibri-Light" w:hAnsi="Calibri-Light" w:cs="Yu Mincho"/>
          <w:lang w:val="en-US"/>
        </w:rPr>
        <w:t>on a provision</w:t>
      </w:r>
      <w:r w:rsidR="00805EF1" w:rsidRPr="399FF34D">
        <w:rPr>
          <w:rFonts w:ascii="Calibri-Light" w:eastAsia="Calibri-Light" w:hAnsi="Calibri-Light" w:cs="Yu Mincho"/>
          <w:lang w:val="en-US"/>
        </w:rPr>
        <w:t>al</w:t>
      </w:r>
      <w:r w:rsidR="00A366F0" w:rsidRPr="399FF34D">
        <w:rPr>
          <w:rFonts w:ascii="Calibri-Light" w:eastAsia="Calibri-Light" w:hAnsi="Calibri-Light" w:cs="Yu Mincho"/>
          <w:lang w:val="en-US"/>
        </w:rPr>
        <w:t xml:space="preserve"> NZ ETS emissions </w:t>
      </w:r>
      <w:r w:rsidR="004E374F" w:rsidRPr="399FF34D">
        <w:rPr>
          <w:rFonts w:ascii="Calibri-Light" w:eastAsia="Calibri-Light" w:hAnsi="Calibri-Light" w:cs="Yu Mincho"/>
          <w:lang w:val="en-US"/>
        </w:rPr>
        <w:t>cap</w:t>
      </w:r>
      <w:r w:rsidR="00805EF1" w:rsidRPr="399FF34D">
        <w:rPr>
          <w:rFonts w:ascii="Calibri-Light" w:eastAsia="Calibri-Light" w:hAnsi="Calibri-Light" w:cs="Yu Mincho"/>
          <w:lang w:val="en-US"/>
        </w:rPr>
        <w:t xml:space="preserve">, based on the </w:t>
      </w:r>
      <w:r w:rsidR="0085441A" w:rsidRPr="399FF34D">
        <w:rPr>
          <w:rFonts w:ascii="Calibri-Light" w:eastAsia="Calibri-Light" w:hAnsi="Calibri-Light" w:cs="Yu Mincho"/>
          <w:lang w:val="en-US"/>
        </w:rPr>
        <w:t>second emissions reduction plan</w:t>
      </w:r>
      <w:r w:rsidR="00340C47" w:rsidRPr="399FF34D">
        <w:rPr>
          <w:rFonts w:ascii="Calibri-Light" w:eastAsia="Calibri-Light" w:hAnsi="Calibri-Light" w:cs="Yu Mincho"/>
          <w:lang w:val="en-US"/>
        </w:rPr>
        <w:t xml:space="preserve"> (ERP2) </w:t>
      </w:r>
      <w:r w:rsidR="0044163C" w:rsidRPr="399FF34D">
        <w:rPr>
          <w:rFonts w:ascii="Calibri-Light" w:eastAsia="Calibri-Light" w:hAnsi="Calibri-Light" w:cs="Yu Mincho"/>
          <w:lang w:val="en-US"/>
        </w:rPr>
        <w:t xml:space="preserve">emissions </w:t>
      </w:r>
      <w:r w:rsidR="00832212" w:rsidRPr="399FF34D">
        <w:rPr>
          <w:rFonts w:ascii="Calibri-Light" w:eastAsia="Calibri-Light" w:hAnsi="Calibri-Light" w:cs="Yu Mincho"/>
          <w:lang w:val="en-US"/>
        </w:rPr>
        <w:t>projection</w:t>
      </w:r>
      <w:r w:rsidR="00340C47" w:rsidRPr="399FF34D">
        <w:rPr>
          <w:rFonts w:ascii="Calibri-Light" w:eastAsia="Calibri-Light" w:hAnsi="Calibri-Light" w:cs="Yu Mincho"/>
          <w:lang w:val="en-US"/>
        </w:rPr>
        <w:t>s</w:t>
      </w:r>
      <w:r w:rsidR="00832212" w:rsidRPr="399FF34D">
        <w:rPr>
          <w:rFonts w:ascii="Calibri-Light" w:eastAsia="Calibri-Light" w:hAnsi="Calibri-Light" w:cs="Yu Mincho"/>
          <w:lang w:val="en-US"/>
        </w:rPr>
        <w:t>.</w:t>
      </w:r>
      <w:r w:rsidR="00967807" w:rsidRPr="399FF34D">
        <w:rPr>
          <w:rFonts w:ascii="Calibri-Light" w:eastAsia="Calibri-Light" w:hAnsi="Calibri-Light" w:cs="Yu Mincho"/>
          <w:vertAlign w:val="superscript"/>
          <w:lang w:val="en-US"/>
        </w:rPr>
        <w:endnoteReference w:id="3"/>
      </w:r>
      <w:r w:rsidR="00340C47" w:rsidRPr="399FF34D">
        <w:rPr>
          <w:rFonts w:ascii="Calibri-Light" w:eastAsia="Calibri-Light" w:hAnsi="Calibri-Light" w:cs="Yu Mincho"/>
          <w:vertAlign w:val="superscript"/>
          <w:lang w:val="en-US"/>
        </w:rPr>
        <w:t xml:space="preserve"> </w:t>
      </w:r>
      <w:r w:rsidR="009B4D9A" w:rsidRPr="399FF34D">
        <w:rPr>
          <w:rFonts w:ascii="Calibri-Light" w:eastAsia="Calibri-Light" w:hAnsi="Calibri-Light" w:cs="Yu Mincho"/>
          <w:lang w:val="en-US"/>
        </w:rPr>
        <w:t>W</w:t>
      </w:r>
      <w:r w:rsidR="00A940B0" w:rsidRPr="399FF34D">
        <w:rPr>
          <w:rFonts w:ascii="Calibri-Light" w:eastAsia="Calibri-Light" w:hAnsi="Calibri-Light" w:cs="Yu Mincho"/>
          <w:lang w:val="en-US"/>
        </w:rPr>
        <w:t xml:space="preserve">e have chosen </w:t>
      </w:r>
      <w:r w:rsidR="009B4D9A" w:rsidRPr="399FF34D">
        <w:rPr>
          <w:rFonts w:ascii="Calibri-Light" w:eastAsia="Calibri-Light" w:hAnsi="Calibri-Light" w:cs="Yu Mincho"/>
          <w:lang w:val="en-US"/>
        </w:rPr>
        <w:t xml:space="preserve">to </w:t>
      </w:r>
      <w:r w:rsidR="00270AD5" w:rsidRPr="399FF34D">
        <w:rPr>
          <w:rFonts w:ascii="Calibri-Light" w:eastAsia="Calibri-Light" w:hAnsi="Calibri-Light" w:cs="Yu Mincho"/>
          <w:lang w:val="en-US"/>
        </w:rPr>
        <w:t>allocate volumes based on the sector pathways laid out in the</w:t>
      </w:r>
      <w:r w:rsidR="00340C47" w:rsidRPr="399FF34D">
        <w:rPr>
          <w:rFonts w:ascii="Calibri-Light" w:eastAsia="Calibri-Light" w:hAnsi="Calibri-Light" w:cs="Yu Mincho"/>
          <w:lang w:val="en-US"/>
        </w:rPr>
        <w:t>se</w:t>
      </w:r>
      <w:r w:rsidR="009B4D9A" w:rsidRPr="399FF34D">
        <w:rPr>
          <w:rFonts w:ascii="Calibri-Light" w:eastAsia="Calibri-Light" w:hAnsi="Calibri-Light" w:cs="Yu Mincho"/>
          <w:lang w:val="en-US"/>
        </w:rPr>
        <w:t xml:space="preserve"> </w:t>
      </w:r>
      <w:r w:rsidR="006D0391" w:rsidRPr="399FF34D">
        <w:rPr>
          <w:rFonts w:ascii="Calibri-Light" w:eastAsia="Calibri-Light" w:hAnsi="Calibri-Light" w:cs="Yu Mincho"/>
          <w:lang w:val="en-US"/>
        </w:rPr>
        <w:t>projection</w:t>
      </w:r>
      <w:r w:rsidR="0085441A" w:rsidRPr="399FF34D">
        <w:rPr>
          <w:rFonts w:ascii="Calibri-Light" w:eastAsia="Calibri-Light" w:hAnsi="Calibri-Light" w:cs="Yu Mincho"/>
          <w:lang w:val="en-US"/>
        </w:rPr>
        <w:t>s</w:t>
      </w:r>
      <w:r w:rsidR="00880091" w:rsidRPr="399FF34D">
        <w:rPr>
          <w:rFonts w:ascii="Calibri-Light" w:eastAsia="Calibri-Light" w:hAnsi="Calibri-Light" w:cs="Yu Mincho"/>
          <w:lang w:val="en-US"/>
        </w:rPr>
        <w:t xml:space="preserve"> in line with th</w:t>
      </w:r>
      <w:r w:rsidR="00335714" w:rsidRPr="399FF34D">
        <w:rPr>
          <w:rFonts w:ascii="Calibri-Light" w:eastAsia="Calibri-Light" w:hAnsi="Calibri-Light" w:cs="Yu Mincho"/>
          <w:lang w:val="en-US"/>
        </w:rPr>
        <w:t xml:space="preserve">e Government’s </w:t>
      </w:r>
      <w:r w:rsidR="00880091" w:rsidRPr="399FF34D">
        <w:rPr>
          <w:rFonts w:ascii="Calibri-Light" w:eastAsia="Calibri-Light" w:hAnsi="Calibri-Light" w:cs="Yu Mincho"/>
          <w:lang w:val="en-US"/>
        </w:rPr>
        <w:t>decision</w:t>
      </w:r>
      <w:r w:rsidR="00FA60E3" w:rsidRPr="399FF34D">
        <w:rPr>
          <w:rFonts w:ascii="Calibri-Light" w:eastAsia="Calibri-Light" w:hAnsi="Calibri-Light" w:cs="Yu Mincho"/>
          <w:lang w:val="en-US"/>
        </w:rPr>
        <w:t xml:space="preserve">. </w:t>
      </w:r>
      <w:r w:rsidR="00E6339D" w:rsidRPr="399FF34D">
        <w:rPr>
          <w:rFonts w:ascii="Calibri-Light" w:eastAsia="Calibri-Light" w:hAnsi="Calibri-Light" w:cs="Yu Mincho"/>
          <w:lang w:val="en-US"/>
        </w:rPr>
        <w:t xml:space="preserve">We have, however, applied a more granular </w:t>
      </w:r>
      <w:r w:rsidR="001C7977" w:rsidRPr="399FF34D">
        <w:rPr>
          <w:rFonts w:ascii="Calibri-Light" w:eastAsia="Calibri-Light" w:hAnsi="Calibri-Light" w:cs="Yu Mincho"/>
          <w:lang w:val="en-US"/>
        </w:rPr>
        <w:t>allocation of emissions between NZ ETS and non-NZ ETS sectors</w:t>
      </w:r>
      <w:r w:rsidR="00C92003" w:rsidRPr="399FF34D">
        <w:rPr>
          <w:rFonts w:ascii="Calibri-Light" w:eastAsia="Calibri-Light" w:hAnsi="Calibri-Light" w:cs="Yu Mincho"/>
          <w:lang w:val="en-US"/>
        </w:rPr>
        <w:t xml:space="preserve">, using </w:t>
      </w:r>
      <w:r w:rsidR="002762A9" w:rsidRPr="399FF34D">
        <w:rPr>
          <w:rFonts w:ascii="Calibri-Light" w:eastAsia="Calibri-Light" w:hAnsi="Calibri-Light" w:cs="Yu Mincho"/>
          <w:lang w:val="en-US"/>
        </w:rPr>
        <w:t>the same methodology as we have used in previous iterations of the NZ ETS settings advice</w:t>
      </w:r>
      <w:r w:rsidR="007A27DE" w:rsidRPr="399FF34D">
        <w:rPr>
          <w:rFonts w:ascii="Calibri-Light" w:eastAsia="Calibri-Light" w:hAnsi="Calibri-Light" w:cs="Yu Mincho"/>
          <w:lang w:val="en-US"/>
        </w:rPr>
        <w:t xml:space="preserve">. </w:t>
      </w:r>
    </w:p>
    <w:p w14:paraId="1C88A4E0" w14:textId="5B7B796F" w:rsidR="00231180" w:rsidRPr="005116FD" w:rsidRDefault="008438C2" w:rsidP="00231180">
      <w:pPr>
        <w:rPr>
          <w:lang w:val="en-US"/>
        </w:rPr>
      </w:pPr>
      <w:r w:rsidRPr="008438C2">
        <w:rPr>
          <w:b/>
          <w:bCs/>
          <w:lang w:val="en-US"/>
        </w:rPr>
        <w:fldChar w:fldCharType="begin"/>
      </w:r>
      <w:r w:rsidRPr="008438C2">
        <w:rPr>
          <w:b/>
          <w:bCs/>
          <w:lang w:val="en-US"/>
        </w:rPr>
        <w:instrText xml:space="preserve"> REF _Ref195291695 \h </w:instrText>
      </w:r>
      <w:r>
        <w:rPr>
          <w:b/>
          <w:bCs/>
          <w:lang w:val="en-US"/>
        </w:rPr>
        <w:instrText xml:space="preserve"> \* MERGEFORMAT </w:instrText>
      </w:r>
      <w:r w:rsidRPr="008438C2">
        <w:rPr>
          <w:b/>
          <w:bCs/>
          <w:lang w:val="en-US"/>
        </w:rPr>
      </w:r>
      <w:r w:rsidRPr="008438C2">
        <w:rPr>
          <w:b/>
          <w:bCs/>
          <w:lang w:val="en-US"/>
        </w:rPr>
        <w:fldChar w:fldCharType="separate"/>
      </w:r>
      <w:r w:rsidRPr="008438C2">
        <w:rPr>
          <w:b/>
          <w:bCs/>
        </w:rPr>
        <w:t xml:space="preserve">Table </w:t>
      </w:r>
      <w:r w:rsidRPr="008438C2">
        <w:rPr>
          <w:b/>
          <w:bCs/>
          <w:noProof/>
        </w:rPr>
        <w:t>1</w:t>
      </w:r>
      <w:r w:rsidRPr="008438C2">
        <w:rPr>
          <w:b/>
          <w:bCs/>
          <w:lang w:val="en-US"/>
        </w:rPr>
        <w:fldChar w:fldCharType="end"/>
      </w:r>
      <w:r w:rsidR="00231180" w:rsidRPr="005116FD">
        <w:rPr>
          <w:lang w:val="en-US"/>
        </w:rPr>
        <w:t xml:space="preserve"> shows the </w:t>
      </w:r>
      <w:r w:rsidR="00D41D4F">
        <w:rPr>
          <w:lang w:val="en-US"/>
        </w:rPr>
        <w:t xml:space="preserve">resulting </w:t>
      </w:r>
      <w:r w:rsidR="005771D4">
        <w:rPr>
          <w:lang w:val="en-US"/>
        </w:rPr>
        <w:t>allocation of emissions to non-NZ ETS and NZ ETS sectors</w:t>
      </w:r>
      <w:r w:rsidR="009B0C7E">
        <w:rPr>
          <w:lang w:val="en-US"/>
        </w:rPr>
        <w:t xml:space="preserve"> over the period of the settings (2026-2030). </w:t>
      </w:r>
      <w:r w:rsidR="00C720A3">
        <w:rPr>
          <w:lang w:val="en-US"/>
        </w:rPr>
        <w:fldChar w:fldCharType="begin"/>
      </w:r>
      <w:r w:rsidR="00C720A3">
        <w:rPr>
          <w:lang w:val="en-US"/>
        </w:rPr>
        <w:instrText xml:space="preserve"> REF _Ref195531235 \h  \* MERGEFORMAT </w:instrText>
      </w:r>
      <w:r w:rsidR="00C720A3">
        <w:rPr>
          <w:lang w:val="en-US"/>
        </w:rPr>
      </w:r>
      <w:r w:rsidR="00C720A3">
        <w:rPr>
          <w:lang w:val="en-US"/>
        </w:rPr>
        <w:fldChar w:fldCharType="separate"/>
      </w:r>
      <w:r w:rsidR="00C720A3" w:rsidRPr="00A63CF7">
        <w:rPr>
          <w:b/>
        </w:rPr>
        <w:t xml:space="preserve">Figure </w:t>
      </w:r>
      <w:r w:rsidR="00C720A3" w:rsidRPr="00C720A3">
        <w:rPr>
          <w:b/>
          <w:bCs/>
          <w:noProof/>
        </w:rPr>
        <w:t>2</w:t>
      </w:r>
      <w:r w:rsidR="00C720A3">
        <w:rPr>
          <w:lang w:val="en-US"/>
        </w:rPr>
        <w:fldChar w:fldCharType="end"/>
      </w:r>
      <w:r w:rsidR="00231180" w:rsidRPr="005116FD">
        <w:rPr>
          <w:lang w:val="en-US"/>
        </w:rPr>
        <w:t xml:space="preserve"> shows the</w:t>
      </w:r>
      <w:r w:rsidR="001524E0">
        <w:rPr>
          <w:lang w:val="en-US"/>
        </w:rPr>
        <w:t xml:space="preserve"> same information in a graph.</w:t>
      </w:r>
      <w:r w:rsidR="00231180" w:rsidRPr="005116FD">
        <w:rPr>
          <w:lang w:val="en-US"/>
        </w:rPr>
        <w:t xml:space="preserve">  </w:t>
      </w:r>
    </w:p>
    <w:p w14:paraId="5CAFE382" w14:textId="0271F780" w:rsidR="001A5368" w:rsidRPr="009B4D2A" w:rsidRDefault="004C370D" w:rsidP="399FF34D">
      <w:pPr>
        <w:spacing w:after="120" w:line="278" w:lineRule="auto"/>
        <w:rPr>
          <w:rFonts w:ascii="Calibri-Light" w:eastAsia="Calibri-Light" w:hAnsi="Calibri-Light" w:cs="Yu Mincho"/>
          <w:lang w:val="en-US"/>
        </w:rPr>
      </w:pPr>
      <w:r w:rsidRPr="399FF34D">
        <w:rPr>
          <w:rFonts w:ascii="Calibri-Light" w:eastAsia="Calibri-Light" w:hAnsi="Calibri-Light" w:cs="Yu Mincho"/>
          <w:lang w:val="en-US"/>
        </w:rPr>
        <w:t xml:space="preserve">The remainder of this section </w:t>
      </w:r>
      <w:r w:rsidR="000111E6" w:rsidRPr="399FF34D">
        <w:rPr>
          <w:rFonts w:ascii="Calibri-Light" w:eastAsia="Calibri-Light" w:hAnsi="Calibri-Light" w:cs="Yu Mincho"/>
          <w:lang w:val="en-US"/>
        </w:rPr>
        <w:t xml:space="preserve">sets out more detail </w:t>
      </w:r>
      <w:r w:rsidR="004A72A7" w:rsidRPr="399FF34D">
        <w:rPr>
          <w:rFonts w:ascii="Calibri-Light" w:eastAsia="Calibri-Light" w:hAnsi="Calibri-Light" w:cs="Yu Mincho"/>
          <w:lang w:val="en-US"/>
        </w:rPr>
        <w:t xml:space="preserve">on </w:t>
      </w:r>
      <w:r w:rsidR="006C69FB" w:rsidRPr="399FF34D">
        <w:rPr>
          <w:rFonts w:ascii="Calibri-Light" w:eastAsia="Calibri-Light" w:hAnsi="Calibri-Light" w:cs="Yu Mincho"/>
          <w:lang w:val="en-US"/>
        </w:rPr>
        <w:t xml:space="preserve">the allocation of the </w:t>
      </w:r>
      <w:r w:rsidR="00E82CB2" w:rsidRPr="399FF34D">
        <w:rPr>
          <w:rFonts w:ascii="Calibri-Light" w:eastAsia="Calibri-Light" w:hAnsi="Calibri-Light" w:cs="Yu Mincho"/>
          <w:lang w:val="en-US"/>
        </w:rPr>
        <w:t xml:space="preserve">allowed </w:t>
      </w:r>
      <w:r w:rsidR="006C69FB" w:rsidRPr="399FF34D">
        <w:rPr>
          <w:rFonts w:ascii="Calibri-Light" w:eastAsia="Calibri-Light" w:hAnsi="Calibri-Light" w:cs="Yu Mincho"/>
          <w:lang w:val="en-US"/>
        </w:rPr>
        <w:t xml:space="preserve">emissions volume to </w:t>
      </w:r>
      <w:r w:rsidR="004A776C" w:rsidRPr="399FF34D">
        <w:rPr>
          <w:rFonts w:ascii="Calibri-Light" w:eastAsia="Calibri-Light" w:hAnsi="Calibri-Light" w:cs="Yu Mincho"/>
          <w:lang w:val="en-US"/>
        </w:rPr>
        <w:t xml:space="preserve">the </w:t>
      </w:r>
      <w:r w:rsidR="001A5368" w:rsidRPr="399FF34D">
        <w:rPr>
          <w:rFonts w:ascii="Calibri-Light" w:eastAsia="Calibri-Light" w:hAnsi="Calibri-Light" w:cs="Yu Mincho"/>
          <w:lang w:val="en-US"/>
        </w:rPr>
        <w:t>six</w:t>
      </w:r>
      <w:r w:rsidR="006C69FB" w:rsidRPr="399FF34D">
        <w:rPr>
          <w:rFonts w:ascii="Calibri-Light" w:eastAsia="Calibri-Light" w:hAnsi="Calibri-Light" w:cs="Yu Mincho"/>
          <w:lang w:val="en-US"/>
        </w:rPr>
        <w:t xml:space="preserve"> sectors</w:t>
      </w:r>
      <w:r w:rsidR="005C4964" w:rsidRPr="399FF34D">
        <w:rPr>
          <w:rFonts w:ascii="Calibri-Light" w:eastAsia="Calibri-Light" w:hAnsi="Calibri-Light" w:cs="Yu Mincho"/>
          <w:lang w:val="en-US"/>
        </w:rPr>
        <w:t xml:space="preserve"> listed below</w:t>
      </w:r>
      <w:r w:rsidR="006C69FB" w:rsidRPr="399FF34D">
        <w:rPr>
          <w:rFonts w:ascii="Calibri-Light" w:eastAsia="Calibri-Light" w:hAnsi="Calibri-Light" w:cs="Yu Mincho"/>
          <w:lang w:val="en-US"/>
        </w:rPr>
        <w:t xml:space="preserve"> which </w:t>
      </w:r>
      <w:r w:rsidR="004A776C" w:rsidRPr="399FF34D">
        <w:rPr>
          <w:rFonts w:ascii="Calibri-Light" w:eastAsia="Calibri-Light" w:hAnsi="Calibri-Light" w:cs="Yu Mincho"/>
          <w:lang w:val="en-US"/>
        </w:rPr>
        <w:t>are not covered by the NZ ETS</w:t>
      </w:r>
      <w:r w:rsidR="00D1388A" w:rsidRPr="399FF34D">
        <w:rPr>
          <w:rFonts w:ascii="Calibri-Light" w:eastAsia="Calibri-Light" w:hAnsi="Calibri-Light" w:cs="Yu Mincho"/>
          <w:lang w:val="en-US"/>
        </w:rPr>
        <w:t xml:space="preserve">. We note where we have used the government’s emissions projections </w:t>
      </w:r>
      <w:r w:rsidR="00A40FED" w:rsidRPr="399FF34D">
        <w:rPr>
          <w:rFonts w:ascii="Calibri-Light" w:eastAsia="Calibri-Light" w:hAnsi="Calibri-Light" w:cs="Yu Mincho"/>
          <w:lang w:val="en-US"/>
        </w:rPr>
        <w:t xml:space="preserve">as the basis for the </w:t>
      </w:r>
      <w:r w:rsidR="0060006D" w:rsidRPr="399FF34D">
        <w:rPr>
          <w:rFonts w:ascii="Calibri-Light" w:eastAsia="Calibri-Light" w:hAnsi="Calibri-Light" w:cs="Yu Mincho"/>
          <w:lang w:val="en-US"/>
        </w:rPr>
        <w:t xml:space="preserve">allocation, or </w:t>
      </w:r>
      <w:r w:rsidR="002A172B" w:rsidRPr="399FF34D">
        <w:rPr>
          <w:rFonts w:ascii="Calibri-Light" w:eastAsia="Calibri-Light" w:hAnsi="Calibri-Light" w:cs="Yu Mincho"/>
          <w:lang w:val="en-US"/>
        </w:rPr>
        <w:t xml:space="preserve">where other data and analysis has been used to enable a more granular </w:t>
      </w:r>
      <w:r w:rsidR="00FE5A35" w:rsidRPr="399FF34D">
        <w:rPr>
          <w:rFonts w:ascii="Calibri-Light" w:eastAsia="Calibri-Light" w:hAnsi="Calibri-Light" w:cs="Yu Mincho"/>
          <w:lang w:val="en-US"/>
        </w:rPr>
        <w:t xml:space="preserve">emissions </w:t>
      </w:r>
      <w:r w:rsidR="002A172B" w:rsidRPr="399FF34D">
        <w:rPr>
          <w:rFonts w:ascii="Calibri-Light" w:eastAsia="Calibri-Light" w:hAnsi="Calibri-Light" w:cs="Yu Mincho"/>
          <w:lang w:val="en-US"/>
        </w:rPr>
        <w:t xml:space="preserve">allocation to </w:t>
      </w:r>
      <w:r w:rsidR="00FE5A35" w:rsidRPr="399FF34D">
        <w:rPr>
          <w:rFonts w:ascii="Calibri-Light" w:eastAsia="Calibri-Light" w:hAnsi="Calibri-Light" w:cs="Yu Mincho"/>
          <w:lang w:val="en-US"/>
        </w:rPr>
        <w:t>the sector</w:t>
      </w:r>
      <w:r w:rsidR="007F062F" w:rsidRPr="399FF34D">
        <w:rPr>
          <w:rFonts w:ascii="Calibri-Light" w:eastAsia="Calibri-Light" w:hAnsi="Calibri-Light" w:cs="Yu Mincho"/>
          <w:lang w:val="en-US"/>
        </w:rPr>
        <w:t>s</w:t>
      </w:r>
      <w:r w:rsidR="00FE5A35" w:rsidRPr="399FF34D">
        <w:rPr>
          <w:rFonts w:ascii="Calibri-Light" w:eastAsia="Calibri-Light" w:hAnsi="Calibri-Light" w:cs="Yu Mincho"/>
          <w:lang w:val="en-US"/>
        </w:rPr>
        <w:t xml:space="preserve"> outside the NZ ETS. </w:t>
      </w:r>
      <w:r w:rsidR="001A5368" w:rsidRPr="399FF34D">
        <w:rPr>
          <w:rFonts w:ascii="Calibri-Light" w:eastAsia="Calibri-Light" w:hAnsi="Calibri-Light" w:cs="Yu Mincho"/>
          <w:lang w:val="en-US"/>
        </w:rPr>
        <w:t xml:space="preserve"> </w:t>
      </w:r>
    </w:p>
    <w:p w14:paraId="1C2CE79B" w14:textId="77777777" w:rsidR="001A5368" w:rsidRPr="001A5368" w:rsidRDefault="001A5368" w:rsidP="00B563E9">
      <w:pPr>
        <w:pStyle w:val="ListParagraph"/>
        <w:numPr>
          <w:ilvl w:val="0"/>
          <w:numId w:val="58"/>
        </w:numPr>
        <w:rPr>
          <w:lang w:val="en-US"/>
        </w:rPr>
      </w:pPr>
      <w:r w:rsidRPr="001A5368">
        <w:rPr>
          <w:lang w:val="en-US"/>
        </w:rPr>
        <w:t>Agriculture</w:t>
      </w:r>
    </w:p>
    <w:p w14:paraId="4BC8CF5D" w14:textId="77777777" w:rsidR="001A5368" w:rsidRPr="001A5368" w:rsidRDefault="001A5368" w:rsidP="00B563E9">
      <w:pPr>
        <w:pStyle w:val="ListParagraph"/>
        <w:numPr>
          <w:ilvl w:val="0"/>
          <w:numId w:val="58"/>
        </w:numPr>
        <w:rPr>
          <w:lang w:val="en-US"/>
        </w:rPr>
      </w:pPr>
      <w:r w:rsidRPr="001A5368">
        <w:rPr>
          <w:lang w:val="en-US"/>
        </w:rPr>
        <w:t>Non-municipal waste</w:t>
      </w:r>
    </w:p>
    <w:p w14:paraId="7C86F33D" w14:textId="69309375" w:rsidR="001A5368" w:rsidRPr="001A5368" w:rsidRDefault="0047016D" w:rsidP="00B563E9">
      <w:pPr>
        <w:pStyle w:val="ListParagraph"/>
        <w:numPr>
          <w:ilvl w:val="0"/>
          <w:numId w:val="58"/>
        </w:numPr>
        <w:rPr>
          <w:lang w:val="en-US"/>
        </w:rPr>
      </w:pPr>
      <w:r>
        <w:rPr>
          <w:lang w:val="en-US"/>
        </w:rPr>
        <w:t xml:space="preserve">F-gases </w:t>
      </w:r>
    </w:p>
    <w:p w14:paraId="40E74962" w14:textId="77777777" w:rsidR="001A5368" w:rsidRPr="001A5368" w:rsidRDefault="001A5368" w:rsidP="00B563E9">
      <w:pPr>
        <w:pStyle w:val="ListParagraph"/>
        <w:numPr>
          <w:ilvl w:val="0"/>
          <w:numId w:val="58"/>
        </w:numPr>
        <w:rPr>
          <w:lang w:val="en-US"/>
        </w:rPr>
      </w:pPr>
      <w:r w:rsidRPr="001A5368">
        <w:rPr>
          <w:lang w:val="en-US"/>
        </w:rPr>
        <w:t>IPPU</w:t>
      </w:r>
    </w:p>
    <w:p w14:paraId="36C35885" w14:textId="64791AA7" w:rsidR="001A5368" w:rsidRPr="001A5368" w:rsidRDefault="001A5368" w:rsidP="00B563E9">
      <w:pPr>
        <w:pStyle w:val="ListParagraph"/>
        <w:numPr>
          <w:ilvl w:val="0"/>
          <w:numId w:val="58"/>
        </w:numPr>
        <w:rPr>
          <w:lang w:val="en-US"/>
        </w:rPr>
      </w:pPr>
      <w:r w:rsidRPr="001A5368">
        <w:rPr>
          <w:lang w:val="en-US"/>
        </w:rPr>
        <w:t>Biomass combustion</w:t>
      </w:r>
    </w:p>
    <w:p w14:paraId="1255EA81" w14:textId="070E7C87" w:rsidR="001A5368" w:rsidRDefault="001A5368" w:rsidP="00B563E9">
      <w:pPr>
        <w:pStyle w:val="ListParagraph"/>
        <w:numPr>
          <w:ilvl w:val="0"/>
          <w:numId w:val="58"/>
        </w:numPr>
        <w:rPr>
          <w:lang w:val="en-US"/>
        </w:rPr>
      </w:pPr>
      <w:r w:rsidRPr="001A5368">
        <w:rPr>
          <w:lang w:val="en-US"/>
        </w:rPr>
        <w:t>Forestry</w:t>
      </w:r>
      <w:r w:rsidR="00270AD5" w:rsidRPr="001A5368">
        <w:rPr>
          <w:lang w:val="en-US"/>
        </w:rPr>
        <w:t xml:space="preserve"> </w:t>
      </w:r>
    </w:p>
    <w:p w14:paraId="56B65C58" w14:textId="77777777" w:rsidR="00C720A3" w:rsidRPr="00C041C4" w:rsidRDefault="00C720A3" w:rsidP="00EE63BE">
      <w:pPr>
        <w:pStyle w:val="Caption"/>
        <w:rPr>
          <w:b w:val="0"/>
          <w:bCs/>
          <w:i/>
        </w:rPr>
      </w:pPr>
      <w:bookmarkStart w:id="7" w:name="_Ref195531235"/>
      <w:bookmarkStart w:id="8" w:name="_Ref195291695"/>
      <w:r w:rsidRPr="00A63CF7">
        <w:t xml:space="preserve">Figure </w:t>
      </w:r>
      <w:r>
        <w:fldChar w:fldCharType="begin"/>
      </w:r>
      <w:r>
        <w:instrText xml:space="preserve"> SEQ Figure \* ARABIC </w:instrText>
      </w:r>
      <w:r>
        <w:fldChar w:fldCharType="separate"/>
      </w:r>
      <w:r>
        <w:rPr>
          <w:noProof/>
        </w:rPr>
        <w:t>2</w:t>
      </w:r>
      <w:r>
        <w:fldChar w:fldCharType="end"/>
      </w:r>
      <w:bookmarkEnd w:id="7"/>
      <w:r>
        <w:rPr>
          <w:i/>
        </w:rPr>
        <w:t>:</w:t>
      </w:r>
      <w:r w:rsidRPr="00035DA2">
        <w:t xml:space="preserve"> </w:t>
      </w:r>
      <w:r w:rsidRPr="00C041C4">
        <w:rPr>
          <w:b w:val="0"/>
          <w:bCs/>
        </w:rPr>
        <w:t>Emissions allocated to NZ ETS and non-NZ ETS sectors</w:t>
      </w:r>
    </w:p>
    <w:p w14:paraId="2D018120" w14:textId="77777777" w:rsidR="00C720A3" w:rsidRDefault="00C720A3" w:rsidP="00C720A3">
      <w:pPr>
        <w:rPr>
          <w:lang w:val="en-US"/>
        </w:rPr>
      </w:pPr>
      <w:r>
        <w:rPr>
          <w:noProof/>
          <w:lang w:val="en-US"/>
        </w:rPr>
        <w:drawing>
          <wp:inline distT="0" distB="0" distL="0" distR="0" wp14:anchorId="3BED54E4" wp14:editId="0D76E808">
            <wp:extent cx="5362215" cy="29761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b="2743"/>
                    <a:stretch/>
                  </pic:blipFill>
                  <pic:spPr bwMode="auto">
                    <a:xfrm>
                      <a:off x="0" y="0"/>
                      <a:ext cx="5376067" cy="2983802"/>
                    </a:xfrm>
                    <a:prstGeom prst="rect">
                      <a:avLst/>
                    </a:prstGeom>
                    <a:noFill/>
                    <a:ln>
                      <a:noFill/>
                    </a:ln>
                    <a:extLst>
                      <a:ext uri="{53640926-AAD7-44D8-BBD7-CCE9431645EC}">
                        <a14:shadowObscured xmlns:a14="http://schemas.microsoft.com/office/drawing/2010/main"/>
                      </a:ext>
                    </a:extLst>
                  </pic:spPr>
                </pic:pic>
              </a:graphicData>
            </a:graphic>
          </wp:inline>
        </w:drawing>
      </w:r>
    </w:p>
    <w:p w14:paraId="2DC36458" w14:textId="77777777" w:rsidR="00C720A3" w:rsidRPr="009338AB" w:rsidRDefault="00C720A3" w:rsidP="00C720A3">
      <w:pPr>
        <w:rPr>
          <w:sz w:val="20"/>
          <w:szCs w:val="20"/>
        </w:rPr>
      </w:pPr>
      <w:r w:rsidRPr="00225DB4">
        <w:rPr>
          <w:sz w:val="20"/>
          <w:szCs w:val="20"/>
        </w:rPr>
        <w:t>Source: Commission analysis</w:t>
      </w:r>
    </w:p>
    <w:p w14:paraId="3ABB3E6B" w14:textId="5CCF4BA2" w:rsidR="00D05D64" w:rsidRDefault="00D05D64" w:rsidP="007E0BE9">
      <w:pPr>
        <w:pStyle w:val="Caption"/>
      </w:pPr>
      <w:r w:rsidRPr="00A63CF7">
        <w:t xml:space="preserve">Table </w:t>
      </w:r>
      <w:r>
        <w:fldChar w:fldCharType="begin"/>
      </w:r>
      <w:r w:rsidRPr="00A63CF7">
        <w:instrText xml:space="preserve"> SEQ Table \* ARABIC </w:instrText>
      </w:r>
      <w:r>
        <w:fldChar w:fldCharType="separate"/>
      </w:r>
      <w:r w:rsidR="00E700F6">
        <w:rPr>
          <w:noProof/>
        </w:rPr>
        <w:t>1</w:t>
      </w:r>
      <w:r>
        <w:fldChar w:fldCharType="end"/>
      </w:r>
      <w:bookmarkEnd w:id="8"/>
      <w:r w:rsidR="00391502">
        <w:t>:</w:t>
      </w:r>
      <w:r w:rsidRPr="00035DA2">
        <w:t xml:space="preserve"> </w:t>
      </w:r>
      <w:r w:rsidRPr="00E700F6">
        <w:rPr>
          <w:b w:val="0"/>
        </w:rPr>
        <w:t>Emissions volumes inside and outside the NZ ETS</w:t>
      </w:r>
    </w:p>
    <w:tbl>
      <w:tblPr>
        <w:tblW w:w="8431" w:type="dxa"/>
        <w:tblLayout w:type="fixed"/>
        <w:tblLook w:val="04A0" w:firstRow="1" w:lastRow="0" w:firstColumn="1" w:lastColumn="0" w:noHBand="0" w:noVBand="1"/>
      </w:tblPr>
      <w:tblGrid>
        <w:gridCol w:w="988"/>
        <w:gridCol w:w="2126"/>
        <w:gridCol w:w="757"/>
        <w:gridCol w:w="758"/>
        <w:gridCol w:w="758"/>
        <w:gridCol w:w="758"/>
        <w:gridCol w:w="758"/>
        <w:gridCol w:w="758"/>
        <w:gridCol w:w="770"/>
      </w:tblGrid>
      <w:tr w:rsidR="00C30823" w:rsidRPr="003B6DC0" w14:paraId="6E7D552E" w14:textId="77777777" w:rsidTr="00852166">
        <w:trPr>
          <w:trHeight w:val="300"/>
        </w:trPr>
        <w:tc>
          <w:tcPr>
            <w:tcW w:w="988" w:type="dxa"/>
            <w:tcBorders>
              <w:top w:val="single" w:sz="4" w:space="0" w:color="auto"/>
              <w:left w:val="single" w:sz="4" w:space="0" w:color="auto"/>
              <w:bottom w:val="single" w:sz="4" w:space="0" w:color="auto"/>
              <w:right w:val="single" w:sz="4" w:space="0" w:color="auto"/>
            </w:tcBorders>
            <w:shd w:val="clear" w:color="000000" w:fill="003A5D"/>
            <w:noWrap/>
            <w:tcMar>
              <w:top w:w="28" w:type="dxa"/>
              <w:left w:w="113" w:type="dxa"/>
              <w:bottom w:w="28" w:type="dxa"/>
              <w:right w:w="113" w:type="dxa"/>
            </w:tcMar>
            <w:vAlign w:val="bottom"/>
            <w:hideMark/>
          </w:tcPr>
          <w:p w14:paraId="0051B844" w14:textId="77777777" w:rsidR="00DD370B" w:rsidRPr="003B6DC0" w:rsidRDefault="00DD370B" w:rsidP="003B6DC0">
            <w:pPr>
              <w:spacing w:after="0" w:line="240" w:lineRule="auto"/>
              <w:rPr>
                <w:rFonts w:ascii="Calibri" w:eastAsia="Times New Roman" w:hAnsi="Calibri" w:cs="Calibri"/>
                <w:b/>
                <w:color w:val="FFFFFF"/>
                <w:sz w:val="22"/>
                <w:lang w:eastAsia="en-NZ"/>
              </w:rPr>
            </w:pPr>
            <w:r w:rsidRPr="003B6DC0">
              <w:rPr>
                <w:rFonts w:ascii="Calibri" w:eastAsia="Times New Roman" w:hAnsi="Calibri" w:cs="Calibri"/>
                <w:b/>
                <w:color w:val="FFFFFF"/>
                <w:sz w:val="22"/>
                <w:lang w:eastAsia="en-NZ"/>
              </w:rPr>
              <w:t>MtCO</w:t>
            </w:r>
            <w:r w:rsidRPr="00081222">
              <w:rPr>
                <w:rFonts w:ascii="Calibri" w:eastAsia="Times New Roman" w:hAnsi="Calibri" w:cs="Calibri"/>
                <w:b/>
                <w:color w:val="FFFFFF"/>
                <w:sz w:val="22"/>
                <w:vertAlign w:val="subscript"/>
                <w:lang w:eastAsia="en-NZ"/>
              </w:rPr>
              <w:t>2</w:t>
            </w:r>
            <w:r w:rsidRPr="003B6DC0">
              <w:rPr>
                <w:rFonts w:ascii="Calibri" w:eastAsia="Times New Roman" w:hAnsi="Calibri" w:cs="Calibri"/>
                <w:b/>
                <w:color w:val="FFFFFF"/>
                <w:sz w:val="22"/>
                <w:lang w:eastAsia="en-NZ"/>
              </w:rPr>
              <w:t>e</w:t>
            </w:r>
          </w:p>
        </w:tc>
        <w:tc>
          <w:tcPr>
            <w:tcW w:w="2126" w:type="dxa"/>
            <w:tcBorders>
              <w:top w:val="single" w:sz="4" w:space="0" w:color="auto"/>
              <w:left w:val="nil"/>
              <w:bottom w:val="single" w:sz="4" w:space="0" w:color="auto"/>
              <w:right w:val="single" w:sz="4" w:space="0" w:color="auto"/>
            </w:tcBorders>
            <w:shd w:val="clear" w:color="000000" w:fill="003A5D"/>
            <w:noWrap/>
            <w:tcMar>
              <w:top w:w="28" w:type="dxa"/>
              <w:left w:w="113" w:type="dxa"/>
              <w:bottom w:w="28" w:type="dxa"/>
              <w:right w:w="113" w:type="dxa"/>
            </w:tcMar>
            <w:vAlign w:val="bottom"/>
            <w:hideMark/>
          </w:tcPr>
          <w:p w14:paraId="5A16B655" w14:textId="77777777" w:rsidR="00DD370B" w:rsidRPr="003B6DC0" w:rsidRDefault="00DD370B" w:rsidP="003B6DC0">
            <w:pPr>
              <w:spacing w:after="0" w:line="240" w:lineRule="auto"/>
              <w:rPr>
                <w:rFonts w:ascii="Calibri" w:eastAsia="Times New Roman" w:hAnsi="Calibri" w:cs="Calibri"/>
                <w:b/>
                <w:color w:val="FFFFFF"/>
                <w:sz w:val="22"/>
                <w:lang w:eastAsia="en-NZ"/>
              </w:rPr>
            </w:pPr>
            <w:r w:rsidRPr="003B6DC0">
              <w:rPr>
                <w:rFonts w:ascii="Calibri" w:eastAsia="Times New Roman" w:hAnsi="Calibri" w:cs="Calibri"/>
                <w:b/>
                <w:color w:val="FFFFFF"/>
                <w:sz w:val="22"/>
                <w:lang w:eastAsia="en-NZ"/>
              </w:rPr>
              <w:t> </w:t>
            </w:r>
          </w:p>
        </w:tc>
        <w:tc>
          <w:tcPr>
            <w:tcW w:w="757" w:type="dxa"/>
            <w:tcBorders>
              <w:top w:val="single" w:sz="4" w:space="0" w:color="auto"/>
              <w:left w:val="nil"/>
              <w:bottom w:val="single" w:sz="4" w:space="0" w:color="auto"/>
              <w:right w:val="single" w:sz="4" w:space="0" w:color="auto"/>
            </w:tcBorders>
            <w:shd w:val="clear" w:color="000000" w:fill="003A5D"/>
            <w:noWrap/>
            <w:tcMar>
              <w:top w:w="28" w:type="dxa"/>
              <w:left w:w="113" w:type="dxa"/>
              <w:bottom w:w="28" w:type="dxa"/>
              <w:right w:w="113" w:type="dxa"/>
            </w:tcMar>
            <w:vAlign w:val="bottom"/>
            <w:hideMark/>
          </w:tcPr>
          <w:p w14:paraId="0D7A0DE9" w14:textId="77777777" w:rsidR="00DD370B" w:rsidRPr="003B6DC0" w:rsidRDefault="00DD370B" w:rsidP="003B6DC0">
            <w:pPr>
              <w:spacing w:after="0" w:line="240" w:lineRule="auto"/>
              <w:jc w:val="right"/>
              <w:rPr>
                <w:rFonts w:ascii="Calibri" w:eastAsia="Times New Roman" w:hAnsi="Calibri" w:cs="Calibri"/>
                <w:b/>
                <w:color w:val="FFFFFF"/>
                <w:sz w:val="22"/>
                <w:lang w:eastAsia="en-NZ"/>
              </w:rPr>
            </w:pPr>
            <w:r w:rsidRPr="003B6DC0">
              <w:rPr>
                <w:rFonts w:ascii="Calibri" w:eastAsia="Times New Roman" w:hAnsi="Calibri" w:cs="Calibri"/>
                <w:b/>
                <w:color w:val="FFFFFF"/>
                <w:sz w:val="22"/>
                <w:lang w:eastAsia="en-NZ"/>
              </w:rPr>
              <w:t>2026</w:t>
            </w:r>
          </w:p>
        </w:tc>
        <w:tc>
          <w:tcPr>
            <w:tcW w:w="758" w:type="dxa"/>
            <w:tcBorders>
              <w:top w:val="single" w:sz="4" w:space="0" w:color="auto"/>
              <w:left w:val="nil"/>
              <w:bottom w:val="single" w:sz="4" w:space="0" w:color="auto"/>
              <w:right w:val="single" w:sz="4" w:space="0" w:color="auto"/>
            </w:tcBorders>
            <w:shd w:val="clear" w:color="000000" w:fill="003A5D"/>
            <w:noWrap/>
            <w:tcMar>
              <w:top w:w="28" w:type="dxa"/>
              <w:left w:w="113" w:type="dxa"/>
              <w:bottom w:w="28" w:type="dxa"/>
              <w:right w:w="113" w:type="dxa"/>
            </w:tcMar>
            <w:vAlign w:val="bottom"/>
            <w:hideMark/>
          </w:tcPr>
          <w:p w14:paraId="1E744FDB" w14:textId="77777777" w:rsidR="00DD370B" w:rsidRPr="003B6DC0" w:rsidRDefault="00DD370B" w:rsidP="003B6DC0">
            <w:pPr>
              <w:spacing w:after="0" w:line="240" w:lineRule="auto"/>
              <w:jc w:val="right"/>
              <w:rPr>
                <w:rFonts w:ascii="Calibri" w:eastAsia="Times New Roman" w:hAnsi="Calibri" w:cs="Calibri"/>
                <w:b/>
                <w:color w:val="FFFFFF"/>
                <w:sz w:val="22"/>
                <w:lang w:eastAsia="en-NZ"/>
              </w:rPr>
            </w:pPr>
            <w:r w:rsidRPr="003B6DC0">
              <w:rPr>
                <w:rFonts w:ascii="Calibri" w:eastAsia="Times New Roman" w:hAnsi="Calibri" w:cs="Calibri"/>
                <w:b/>
                <w:color w:val="FFFFFF"/>
                <w:sz w:val="22"/>
                <w:lang w:eastAsia="en-NZ"/>
              </w:rPr>
              <w:t>2027</w:t>
            </w:r>
          </w:p>
        </w:tc>
        <w:tc>
          <w:tcPr>
            <w:tcW w:w="758" w:type="dxa"/>
            <w:tcBorders>
              <w:top w:val="single" w:sz="4" w:space="0" w:color="auto"/>
              <w:left w:val="nil"/>
              <w:bottom w:val="single" w:sz="4" w:space="0" w:color="auto"/>
              <w:right w:val="single" w:sz="4" w:space="0" w:color="auto"/>
            </w:tcBorders>
            <w:shd w:val="clear" w:color="000000" w:fill="003A5D"/>
            <w:noWrap/>
            <w:tcMar>
              <w:top w:w="28" w:type="dxa"/>
              <w:left w:w="113" w:type="dxa"/>
              <w:bottom w:w="28" w:type="dxa"/>
              <w:right w:w="113" w:type="dxa"/>
            </w:tcMar>
            <w:vAlign w:val="bottom"/>
            <w:hideMark/>
          </w:tcPr>
          <w:p w14:paraId="6F283E7A" w14:textId="77777777" w:rsidR="00DD370B" w:rsidRPr="003B6DC0" w:rsidRDefault="00DD370B" w:rsidP="003B6DC0">
            <w:pPr>
              <w:spacing w:after="0" w:line="240" w:lineRule="auto"/>
              <w:jc w:val="right"/>
              <w:rPr>
                <w:rFonts w:ascii="Calibri" w:eastAsia="Times New Roman" w:hAnsi="Calibri" w:cs="Calibri"/>
                <w:b/>
                <w:color w:val="FFFFFF"/>
                <w:sz w:val="22"/>
                <w:lang w:eastAsia="en-NZ"/>
              </w:rPr>
            </w:pPr>
            <w:r w:rsidRPr="003B6DC0">
              <w:rPr>
                <w:rFonts w:ascii="Calibri" w:eastAsia="Times New Roman" w:hAnsi="Calibri" w:cs="Calibri"/>
                <w:b/>
                <w:color w:val="FFFFFF"/>
                <w:sz w:val="22"/>
                <w:lang w:eastAsia="en-NZ"/>
              </w:rPr>
              <w:t>2028</w:t>
            </w:r>
          </w:p>
        </w:tc>
        <w:tc>
          <w:tcPr>
            <w:tcW w:w="758" w:type="dxa"/>
            <w:tcBorders>
              <w:top w:val="single" w:sz="4" w:space="0" w:color="auto"/>
              <w:left w:val="nil"/>
              <w:bottom w:val="single" w:sz="4" w:space="0" w:color="auto"/>
              <w:right w:val="single" w:sz="4" w:space="0" w:color="auto"/>
            </w:tcBorders>
            <w:shd w:val="clear" w:color="000000" w:fill="003A5D"/>
            <w:noWrap/>
            <w:tcMar>
              <w:top w:w="28" w:type="dxa"/>
              <w:left w:w="113" w:type="dxa"/>
              <w:bottom w:w="28" w:type="dxa"/>
              <w:right w:w="113" w:type="dxa"/>
            </w:tcMar>
            <w:vAlign w:val="bottom"/>
            <w:hideMark/>
          </w:tcPr>
          <w:p w14:paraId="75F1B7D1" w14:textId="77777777" w:rsidR="00DD370B" w:rsidRPr="003B6DC0" w:rsidRDefault="00DD370B" w:rsidP="003B6DC0">
            <w:pPr>
              <w:spacing w:after="0" w:line="240" w:lineRule="auto"/>
              <w:jc w:val="right"/>
              <w:rPr>
                <w:rFonts w:ascii="Calibri" w:eastAsia="Times New Roman" w:hAnsi="Calibri" w:cs="Calibri"/>
                <w:b/>
                <w:color w:val="FFFFFF"/>
                <w:sz w:val="22"/>
                <w:lang w:eastAsia="en-NZ"/>
              </w:rPr>
            </w:pPr>
            <w:r w:rsidRPr="003B6DC0">
              <w:rPr>
                <w:rFonts w:ascii="Calibri" w:eastAsia="Times New Roman" w:hAnsi="Calibri" w:cs="Calibri"/>
                <w:b/>
                <w:color w:val="FFFFFF"/>
                <w:sz w:val="22"/>
                <w:lang w:eastAsia="en-NZ"/>
              </w:rPr>
              <w:t>2029</w:t>
            </w:r>
          </w:p>
        </w:tc>
        <w:tc>
          <w:tcPr>
            <w:tcW w:w="758" w:type="dxa"/>
            <w:tcBorders>
              <w:top w:val="single" w:sz="4" w:space="0" w:color="auto"/>
              <w:left w:val="single" w:sz="4" w:space="0" w:color="auto"/>
              <w:bottom w:val="single" w:sz="4" w:space="0" w:color="auto"/>
              <w:right w:val="nil"/>
            </w:tcBorders>
            <w:shd w:val="clear" w:color="000000" w:fill="003A5D"/>
            <w:noWrap/>
            <w:tcMar>
              <w:top w:w="28" w:type="dxa"/>
              <w:left w:w="113" w:type="dxa"/>
              <w:bottom w:w="28" w:type="dxa"/>
              <w:right w:w="113" w:type="dxa"/>
            </w:tcMar>
            <w:vAlign w:val="bottom"/>
            <w:hideMark/>
          </w:tcPr>
          <w:p w14:paraId="5525C389" w14:textId="77777777" w:rsidR="00DD370B" w:rsidRPr="003B6DC0" w:rsidRDefault="00DD370B" w:rsidP="003B6DC0">
            <w:pPr>
              <w:spacing w:after="0" w:line="240" w:lineRule="auto"/>
              <w:jc w:val="right"/>
              <w:rPr>
                <w:rFonts w:ascii="Calibri" w:eastAsia="Times New Roman" w:hAnsi="Calibri" w:cs="Calibri"/>
                <w:b/>
                <w:color w:val="FFFFFF"/>
                <w:sz w:val="22"/>
                <w:lang w:eastAsia="en-NZ"/>
              </w:rPr>
            </w:pPr>
            <w:r w:rsidRPr="003B6DC0">
              <w:rPr>
                <w:rFonts w:ascii="Calibri" w:eastAsia="Times New Roman" w:hAnsi="Calibri" w:cs="Calibri"/>
                <w:b/>
                <w:color w:val="FFFFFF"/>
                <w:sz w:val="22"/>
                <w:lang w:eastAsia="en-NZ"/>
              </w:rPr>
              <w:t>2030</w:t>
            </w:r>
          </w:p>
        </w:tc>
        <w:tc>
          <w:tcPr>
            <w:tcW w:w="758" w:type="dxa"/>
            <w:tcBorders>
              <w:top w:val="single" w:sz="4" w:space="0" w:color="auto"/>
              <w:left w:val="single" w:sz="4" w:space="0" w:color="auto"/>
              <w:bottom w:val="single" w:sz="4" w:space="0" w:color="auto"/>
              <w:right w:val="nil"/>
            </w:tcBorders>
            <w:shd w:val="clear" w:color="000000" w:fill="003A5D"/>
            <w:noWrap/>
            <w:tcMar>
              <w:top w:w="28" w:type="dxa"/>
              <w:left w:w="113" w:type="dxa"/>
              <w:bottom w:w="28" w:type="dxa"/>
              <w:right w:w="113" w:type="dxa"/>
            </w:tcMar>
            <w:vAlign w:val="bottom"/>
            <w:hideMark/>
          </w:tcPr>
          <w:p w14:paraId="24CB4D4A" w14:textId="75D870A4" w:rsidR="00DD370B" w:rsidRPr="003B6DC0" w:rsidRDefault="00DD370B" w:rsidP="003B6DC0">
            <w:pPr>
              <w:spacing w:after="0" w:line="240" w:lineRule="auto"/>
              <w:rPr>
                <w:rFonts w:ascii="Calibri" w:eastAsia="Times New Roman" w:hAnsi="Calibri" w:cs="Calibri"/>
                <w:b/>
                <w:color w:val="FFFFFF"/>
                <w:sz w:val="22"/>
                <w:lang w:eastAsia="en-NZ"/>
              </w:rPr>
            </w:pPr>
            <w:r>
              <w:rPr>
                <w:rFonts w:ascii="Calibri" w:eastAsia="Times New Roman" w:hAnsi="Calibri" w:cs="Calibri"/>
                <w:b/>
                <w:color w:val="FFFFFF"/>
                <w:sz w:val="22"/>
                <w:lang w:eastAsia="en-NZ"/>
              </w:rPr>
              <w:t xml:space="preserve">Total </w:t>
            </w:r>
          </w:p>
        </w:tc>
        <w:tc>
          <w:tcPr>
            <w:tcW w:w="770" w:type="dxa"/>
            <w:tcBorders>
              <w:top w:val="single" w:sz="4" w:space="0" w:color="auto"/>
              <w:left w:val="single" w:sz="4" w:space="0" w:color="auto"/>
              <w:bottom w:val="single" w:sz="4" w:space="0" w:color="auto"/>
              <w:right w:val="nil"/>
            </w:tcBorders>
            <w:shd w:val="clear" w:color="000000" w:fill="003A5D"/>
            <w:noWrap/>
            <w:tcMar>
              <w:top w:w="28" w:type="dxa"/>
              <w:left w:w="113" w:type="dxa"/>
              <w:bottom w:w="28" w:type="dxa"/>
              <w:right w:w="113" w:type="dxa"/>
            </w:tcMar>
            <w:vAlign w:val="bottom"/>
            <w:hideMark/>
          </w:tcPr>
          <w:p w14:paraId="2660E6A7" w14:textId="59618E63" w:rsidR="00DD370B" w:rsidRPr="003B6DC0" w:rsidRDefault="00DD370B" w:rsidP="003B6DC0">
            <w:pPr>
              <w:spacing w:after="0" w:line="240" w:lineRule="auto"/>
              <w:rPr>
                <w:rFonts w:ascii="Calibri" w:eastAsia="Times New Roman" w:hAnsi="Calibri" w:cs="Calibri"/>
                <w:b/>
                <w:color w:val="FFFFFF"/>
                <w:sz w:val="22"/>
                <w:lang w:eastAsia="en-NZ"/>
              </w:rPr>
            </w:pPr>
            <w:r>
              <w:rPr>
                <w:rFonts w:ascii="Calibri" w:eastAsia="Times New Roman" w:hAnsi="Calibri" w:cs="Calibri"/>
                <w:b/>
                <w:color w:val="FFFFFF"/>
                <w:sz w:val="22"/>
                <w:lang w:eastAsia="en-NZ"/>
              </w:rPr>
              <w:t>ERP2</w:t>
            </w:r>
            <w:r w:rsidR="007E0BE9" w:rsidRPr="00081222">
              <w:rPr>
                <w:rFonts w:ascii="Calibri" w:eastAsia="Times New Roman" w:hAnsi="Calibri" w:cs="Calibri"/>
                <w:b/>
                <w:color w:val="FFFFFF"/>
                <w:sz w:val="22"/>
                <w:vertAlign w:val="superscript"/>
                <w:lang w:eastAsia="en-NZ"/>
              </w:rPr>
              <w:t>*</w:t>
            </w:r>
            <w:r w:rsidRPr="00081222">
              <w:rPr>
                <w:rFonts w:ascii="Calibri" w:eastAsia="Times New Roman" w:hAnsi="Calibri" w:cs="Calibri"/>
                <w:b/>
                <w:color w:val="FFFFFF"/>
                <w:sz w:val="22"/>
                <w:vertAlign w:val="superscript"/>
                <w:lang w:eastAsia="en-NZ"/>
              </w:rPr>
              <w:t xml:space="preserve">  </w:t>
            </w:r>
          </w:p>
        </w:tc>
      </w:tr>
      <w:tr w:rsidR="00FE0DD6" w:rsidRPr="0079688E" w14:paraId="075F8016" w14:textId="77777777" w:rsidTr="00852166">
        <w:trPr>
          <w:trHeight w:val="30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939AE9C" w14:textId="77777777" w:rsidR="00DD370B" w:rsidRPr="00081222" w:rsidRDefault="00DD370B" w:rsidP="003B6DC0">
            <w:pPr>
              <w:spacing w:after="0" w:line="240" w:lineRule="auto"/>
              <w:jc w:val="center"/>
              <w:rPr>
                <w:rFonts w:ascii="Calibri" w:eastAsia="Times New Roman" w:hAnsi="Calibri" w:cs="Calibri"/>
                <w:b/>
                <w:color w:val="000000"/>
                <w:sz w:val="21"/>
                <w:szCs w:val="21"/>
                <w:lang w:eastAsia="en-NZ"/>
              </w:rPr>
            </w:pPr>
            <w:r w:rsidRPr="00081222">
              <w:rPr>
                <w:rFonts w:ascii="Calibri" w:eastAsia="Times New Roman" w:hAnsi="Calibri" w:cs="Calibri"/>
                <w:b/>
                <w:color w:val="000000"/>
                <w:sz w:val="21"/>
                <w:szCs w:val="21"/>
                <w:lang w:eastAsia="en-NZ"/>
              </w:rPr>
              <w:t>Total net emissions</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F5A0F9B"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65.9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D157A1C"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63.7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BFA64FB"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60.4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000BEBC"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57.9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17A20C10"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55.2 </w:t>
            </w:r>
          </w:p>
        </w:tc>
        <w:tc>
          <w:tcPr>
            <w:tcW w:w="758" w:type="dxa"/>
            <w:tcBorders>
              <w:top w:val="single" w:sz="4" w:space="0" w:color="auto"/>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EB58C84"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303.1 </w:t>
            </w:r>
          </w:p>
        </w:tc>
        <w:tc>
          <w:tcPr>
            <w:tcW w:w="770" w:type="dxa"/>
            <w:tcBorders>
              <w:top w:val="single" w:sz="4" w:space="0" w:color="auto"/>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5DC8176" w14:textId="77777777" w:rsidR="00DD370B" w:rsidRPr="00081222" w:rsidRDefault="00DD370B" w:rsidP="003B6DC0">
            <w:pPr>
              <w:spacing w:after="0" w:line="240" w:lineRule="auto"/>
              <w:jc w:val="right"/>
              <w:rPr>
                <w:rFonts w:eastAsia="Times New Roman" w:cstheme="minorHAnsi"/>
                <w:b/>
                <w:color w:val="000000"/>
                <w:sz w:val="22"/>
                <w:lang w:eastAsia="en-NZ"/>
              </w:rPr>
            </w:pPr>
            <w:r w:rsidRPr="00081222">
              <w:rPr>
                <w:rFonts w:eastAsia="Times New Roman" w:cstheme="minorHAnsi"/>
                <w:b/>
                <w:color w:val="000000"/>
                <w:sz w:val="22"/>
                <w:lang w:eastAsia="en-NZ"/>
              </w:rPr>
              <w:t xml:space="preserve">303.1 </w:t>
            </w:r>
          </w:p>
        </w:tc>
      </w:tr>
      <w:tr w:rsidR="008D19E0" w:rsidRPr="0079688E" w14:paraId="4D5382C3" w14:textId="77777777" w:rsidTr="00852166">
        <w:trPr>
          <w:trHeight w:val="289"/>
        </w:trPr>
        <w:tc>
          <w:tcPr>
            <w:tcW w:w="988" w:type="dxa"/>
            <w:vMerge w:val="restart"/>
            <w:tcBorders>
              <w:top w:val="nil"/>
              <w:left w:val="single" w:sz="4" w:space="0" w:color="auto"/>
              <w:bottom w:val="single" w:sz="4" w:space="0" w:color="000000"/>
              <w:right w:val="single" w:sz="4" w:space="0" w:color="auto"/>
            </w:tcBorders>
            <w:shd w:val="clear" w:color="auto" w:fill="auto"/>
            <w:tcMar>
              <w:top w:w="28" w:type="dxa"/>
              <w:left w:w="113" w:type="dxa"/>
              <w:bottom w:w="28" w:type="dxa"/>
              <w:right w:w="113" w:type="dxa"/>
            </w:tcMar>
            <w:vAlign w:val="center"/>
            <w:hideMark/>
          </w:tcPr>
          <w:p w14:paraId="75C174E6" w14:textId="33D84D80" w:rsidR="00DD370B" w:rsidRPr="00081222" w:rsidRDefault="0079688E" w:rsidP="003B6DC0">
            <w:pPr>
              <w:spacing w:after="0" w:line="240" w:lineRule="auto"/>
              <w:jc w:val="center"/>
              <w:rPr>
                <w:rFonts w:ascii="Calibri" w:eastAsia="Times New Roman" w:hAnsi="Calibri" w:cs="Calibri"/>
                <w:color w:val="000000"/>
                <w:sz w:val="20"/>
                <w:szCs w:val="20"/>
                <w:lang w:eastAsia="en-NZ"/>
              </w:rPr>
            </w:pPr>
            <w:r>
              <w:rPr>
                <w:rFonts w:ascii="Calibri" w:eastAsia="Times New Roman" w:hAnsi="Calibri" w:cs="Calibri"/>
                <w:color w:val="000000"/>
                <w:sz w:val="20"/>
                <w:szCs w:val="20"/>
                <w:lang w:eastAsia="en-NZ"/>
              </w:rPr>
              <w:t>V</w:t>
            </w:r>
            <w:r w:rsidR="00EA27AE">
              <w:rPr>
                <w:rFonts w:ascii="Calibri" w:eastAsia="Times New Roman" w:hAnsi="Calibri" w:cs="Calibri"/>
                <w:color w:val="000000"/>
                <w:sz w:val="20"/>
                <w:szCs w:val="20"/>
                <w:lang w:eastAsia="en-NZ"/>
              </w:rPr>
              <w:t xml:space="preserve">olumes </w:t>
            </w:r>
            <w:r w:rsidR="00DD370B" w:rsidRPr="00081222">
              <w:rPr>
                <w:rFonts w:ascii="Calibri" w:eastAsia="Times New Roman" w:hAnsi="Calibri" w:cs="Calibri"/>
                <w:color w:val="000000"/>
                <w:sz w:val="20"/>
                <w:szCs w:val="20"/>
                <w:lang w:eastAsia="en-NZ"/>
              </w:rPr>
              <w:t>outside NZ ETS</w:t>
            </w:r>
          </w:p>
        </w:tc>
        <w:tc>
          <w:tcPr>
            <w:tcW w:w="2126"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9AEA281"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Agriculture</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2D6D2C3A"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39.4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0467287"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39.3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9A48D7E"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39.3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78D4FC8D"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39.2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1DE9AF00"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39.0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28EB5D8E"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196.1 </w:t>
            </w:r>
          </w:p>
        </w:tc>
        <w:tc>
          <w:tcPr>
            <w:tcW w:w="770"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870E028" w14:textId="77777777" w:rsidR="00DD370B" w:rsidRPr="00081222" w:rsidRDefault="00DD370B" w:rsidP="003B6DC0">
            <w:pPr>
              <w:spacing w:after="0" w:line="240" w:lineRule="auto"/>
              <w:jc w:val="right"/>
              <w:rPr>
                <w:rFonts w:eastAsia="Times New Roman" w:cstheme="minorHAnsi"/>
                <w:color w:val="000000"/>
                <w:sz w:val="22"/>
                <w:lang w:eastAsia="en-NZ"/>
              </w:rPr>
            </w:pPr>
            <w:r w:rsidRPr="00081222">
              <w:rPr>
                <w:rFonts w:eastAsia="Times New Roman" w:cstheme="minorHAnsi"/>
                <w:color w:val="000000"/>
                <w:sz w:val="22"/>
                <w:lang w:eastAsia="en-NZ"/>
              </w:rPr>
              <w:t xml:space="preserve">196.1 </w:t>
            </w:r>
          </w:p>
        </w:tc>
      </w:tr>
      <w:tr w:rsidR="008D19E0" w:rsidRPr="0079688E" w14:paraId="1FDF72E2" w14:textId="77777777" w:rsidTr="00852166">
        <w:trPr>
          <w:trHeight w:val="300"/>
        </w:trPr>
        <w:tc>
          <w:tcPr>
            <w:tcW w:w="988" w:type="dxa"/>
            <w:vMerge/>
            <w:tcBorders>
              <w:top w:val="nil"/>
              <w:left w:val="single" w:sz="4" w:space="0" w:color="auto"/>
              <w:bottom w:val="single" w:sz="4" w:space="0" w:color="000000"/>
              <w:right w:val="single" w:sz="4" w:space="0" w:color="auto"/>
            </w:tcBorders>
            <w:tcMar>
              <w:top w:w="28" w:type="dxa"/>
              <w:left w:w="113" w:type="dxa"/>
              <w:bottom w:w="28" w:type="dxa"/>
              <w:right w:w="113" w:type="dxa"/>
            </w:tcMar>
            <w:vAlign w:val="center"/>
            <w:hideMark/>
          </w:tcPr>
          <w:p w14:paraId="38336A70"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p>
        </w:tc>
        <w:tc>
          <w:tcPr>
            <w:tcW w:w="2126"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27870BF4"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Non-municipal waste</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E6939BC"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2.3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5D8A7BB"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2.2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3A797E3"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2.2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0F7AA8F9"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2.2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6FB11333"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2.1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773A74F3"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11.0 </w:t>
            </w:r>
          </w:p>
        </w:tc>
        <w:tc>
          <w:tcPr>
            <w:tcW w:w="770"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8A57E00" w14:textId="77777777" w:rsidR="00DD370B" w:rsidRPr="00081222" w:rsidRDefault="00DD370B" w:rsidP="003B6DC0">
            <w:pPr>
              <w:spacing w:after="0" w:line="240" w:lineRule="auto"/>
              <w:jc w:val="right"/>
              <w:rPr>
                <w:rFonts w:eastAsia="Times New Roman" w:cstheme="minorHAnsi"/>
                <w:color w:val="000000"/>
                <w:sz w:val="22"/>
                <w:lang w:eastAsia="en-NZ"/>
              </w:rPr>
            </w:pPr>
            <w:r w:rsidRPr="00081222">
              <w:rPr>
                <w:rFonts w:eastAsia="Times New Roman" w:cstheme="minorHAnsi"/>
                <w:color w:val="000000"/>
                <w:sz w:val="22"/>
                <w:lang w:eastAsia="en-NZ"/>
              </w:rPr>
              <w:t xml:space="preserve">10.2 </w:t>
            </w:r>
          </w:p>
        </w:tc>
      </w:tr>
      <w:tr w:rsidR="008D19E0" w:rsidRPr="0079688E" w14:paraId="5FDDDC10" w14:textId="77777777" w:rsidTr="00852166">
        <w:trPr>
          <w:trHeight w:val="300"/>
        </w:trPr>
        <w:tc>
          <w:tcPr>
            <w:tcW w:w="988" w:type="dxa"/>
            <w:vMerge/>
            <w:tcBorders>
              <w:top w:val="nil"/>
              <w:left w:val="single" w:sz="4" w:space="0" w:color="auto"/>
              <w:bottom w:val="single" w:sz="4" w:space="0" w:color="000000"/>
              <w:right w:val="single" w:sz="4" w:space="0" w:color="auto"/>
            </w:tcBorders>
            <w:tcMar>
              <w:top w:w="28" w:type="dxa"/>
              <w:left w:w="113" w:type="dxa"/>
              <w:bottom w:w="28" w:type="dxa"/>
              <w:right w:w="113" w:type="dxa"/>
            </w:tcMar>
            <w:vAlign w:val="center"/>
            <w:hideMark/>
          </w:tcPr>
          <w:p w14:paraId="5A471A5F"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p>
        </w:tc>
        <w:tc>
          <w:tcPr>
            <w:tcW w:w="2126"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74CB9948"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F-gases</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249C88D4"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0.6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243A032F"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0.6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098F791"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0.5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75E592E"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0.5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29901BF2"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0.5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88CCB6A"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2.7 </w:t>
            </w:r>
          </w:p>
        </w:tc>
        <w:tc>
          <w:tcPr>
            <w:tcW w:w="770"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C645355" w14:textId="77777777" w:rsidR="00DD370B" w:rsidRPr="00081222" w:rsidRDefault="00DD370B" w:rsidP="003B6DC0">
            <w:pPr>
              <w:spacing w:after="0" w:line="240" w:lineRule="auto"/>
              <w:jc w:val="right"/>
              <w:rPr>
                <w:rFonts w:eastAsia="Times New Roman" w:cstheme="minorHAnsi"/>
                <w:color w:val="000000"/>
                <w:sz w:val="22"/>
                <w:lang w:eastAsia="en-NZ"/>
              </w:rPr>
            </w:pPr>
            <w:r w:rsidRPr="00081222">
              <w:rPr>
                <w:rFonts w:eastAsia="Times New Roman" w:cstheme="minorHAnsi"/>
                <w:color w:val="000000"/>
                <w:sz w:val="22"/>
                <w:lang w:eastAsia="en-NZ"/>
              </w:rPr>
              <w:t xml:space="preserve">3.3 </w:t>
            </w:r>
          </w:p>
        </w:tc>
      </w:tr>
      <w:tr w:rsidR="008D19E0" w:rsidRPr="0079688E" w14:paraId="609D8F58" w14:textId="77777777" w:rsidTr="00852166">
        <w:trPr>
          <w:trHeight w:val="300"/>
        </w:trPr>
        <w:tc>
          <w:tcPr>
            <w:tcW w:w="988" w:type="dxa"/>
            <w:vMerge/>
            <w:tcBorders>
              <w:top w:val="nil"/>
              <w:left w:val="single" w:sz="4" w:space="0" w:color="auto"/>
              <w:bottom w:val="single" w:sz="4" w:space="0" w:color="000000"/>
              <w:right w:val="single" w:sz="4" w:space="0" w:color="auto"/>
            </w:tcBorders>
            <w:tcMar>
              <w:top w:w="28" w:type="dxa"/>
              <w:left w:w="113" w:type="dxa"/>
              <w:bottom w:w="28" w:type="dxa"/>
              <w:right w:w="113" w:type="dxa"/>
            </w:tcMar>
            <w:vAlign w:val="center"/>
            <w:hideMark/>
          </w:tcPr>
          <w:p w14:paraId="5D503923"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p>
        </w:tc>
        <w:tc>
          <w:tcPr>
            <w:tcW w:w="2126"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9ACE00F"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Industrial processes and product use (IPPU)</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B25F25C"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29CF9175"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B0C0DD9"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87BF73A"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06C84B28"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CF80443"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0.7 </w:t>
            </w:r>
          </w:p>
        </w:tc>
        <w:tc>
          <w:tcPr>
            <w:tcW w:w="770"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1C86A29" w14:textId="77777777" w:rsidR="00DD370B" w:rsidRPr="00081222" w:rsidRDefault="00DD370B" w:rsidP="003B6DC0">
            <w:pPr>
              <w:spacing w:after="0" w:line="240" w:lineRule="auto"/>
              <w:jc w:val="right"/>
              <w:rPr>
                <w:rFonts w:eastAsia="Times New Roman" w:cstheme="minorHAnsi"/>
                <w:color w:val="000000"/>
                <w:sz w:val="22"/>
                <w:lang w:eastAsia="en-NZ"/>
              </w:rPr>
            </w:pPr>
            <w:r w:rsidRPr="00081222">
              <w:rPr>
                <w:rFonts w:eastAsia="Times New Roman" w:cstheme="minorHAnsi"/>
                <w:color w:val="000000"/>
                <w:sz w:val="22"/>
                <w:lang w:eastAsia="en-NZ"/>
              </w:rPr>
              <w:t xml:space="preserve">1.3 </w:t>
            </w:r>
          </w:p>
        </w:tc>
      </w:tr>
      <w:tr w:rsidR="008D19E0" w:rsidRPr="0079688E" w14:paraId="692099AB" w14:textId="77777777" w:rsidTr="00852166">
        <w:trPr>
          <w:trHeight w:val="300"/>
        </w:trPr>
        <w:tc>
          <w:tcPr>
            <w:tcW w:w="988" w:type="dxa"/>
            <w:vMerge/>
            <w:tcBorders>
              <w:top w:val="nil"/>
              <w:left w:val="single" w:sz="4" w:space="0" w:color="auto"/>
              <w:bottom w:val="single" w:sz="4" w:space="0" w:color="000000"/>
              <w:right w:val="single" w:sz="4" w:space="0" w:color="auto"/>
            </w:tcBorders>
            <w:tcMar>
              <w:top w:w="28" w:type="dxa"/>
              <w:left w:w="113" w:type="dxa"/>
              <w:bottom w:w="28" w:type="dxa"/>
              <w:right w:w="113" w:type="dxa"/>
            </w:tcMar>
            <w:vAlign w:val="center"/>
            <w:hideMark/>
          </w:tcPr>
          <w:p w14:paraId="179104C1"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p>
        </w:tc>
        <w:tc>
          <w:tcPr>
            <w:tcW w:w="2126"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170152A"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Biomass combustion</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01BA1924"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B6329CE"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0647B8BB"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08868FD7"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2D48DD89"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0.1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F678D9C"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0.3 </w:t>
            </w:r>
          </w:p>
        </w:tc>
        <w:tc>
          <w:tcPr>
            <w:tcW w:w="770"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22B08665" w14:textId="77777777" w:rsidR="00DD370B" w:rsidRPr="00081222" w:rsidRDefault="00DD370B" w:rsidP="003B6DC0">
            <w:pPr>
              <w:spacing w:after="0" w:line="240" w:lineRule="auto"/>
              <w:jc w:val="right"/>
              <w:rPr>
                <w:rFonts w:eastAsia="Times New Roman" w:cstheme="minorHAnsi"/>
                <w:color w:val="000000"/>
                <w:sz w:val="22"/>
                <w:lang w:eastAsia="en-NZ"/>
              </w:rPr>
            </w:pPr>
            <w:r w:rsidRPr="00081222">
              <w:rPr>
                <w:rFonts w:eastAsia="Times New Roman" w:cstheme="minorHAnsi"/>
                <w:color w:val="000000"/>
                <w:sz w:val="22"/>
                <w:lang w:eastAsia="en-NZ"/>
              </w:rPr>
              <w:t xml:space="preserve">0.6 </w:t>
            </w:r>
          </w:p>
        </w:tc>
      </w:tr>
      <w:tr w:rsidR="008D19E0" w:rsidRPr="0079688E" w14:paraId="0A6F5450" w14:textId="77777777" w:rsidTr="00852166">
        <w:trPr>
          <w:trHeight w:val="300"/>
        </w:trPr>
        <w:tc>
          <w:tcPr>
            <w:tcW w:w="988" w:type="dxa"/>
            <w:vMerge/>
            <w:tcBorders>
              <w:top w:val="nil"/>
              <w:left w:val="single" w:sz="4" w:space="0" w:color="auto"/>
              <w:bottom w:val="single" w:sz="4" w:space="0" w:color="000000"/>
              <w:right w:val="single" w:sz="4" w:space="0" w:color="auto"/>
            </w:tcBorders>
            <w:tcMar>
              <w:top w:w="28" w:type="dxa"/>
              <w:left w:w="113" w:type="dxa"/>
              <w:bottom w:w="28" w:type="dxa"/>
              <w:right w:w="113" w:type="dxa"/>
            </w:tcMar>
            <w:vAlign w:val="center"/>
            <w:hideMark/>
          </w:tcPr>
          <w:p w14:paraId="22B4322E"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p>
        </w:tc>
        <w:tc>
          <w:tcPr>
            <w:tcW w:w="2126"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75F5C841"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Afforestation</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A3EF5C8"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-0.8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7C67C6E7"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-0.5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4469689"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-0.4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309E11C"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-0.4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7D0DB2C1"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-0.3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18F902D"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-2.4 </w:t>
            </w:r>
          </w:p>
        </w:tc>
        <w:tc>
          <w:tcPr>
            <w:tcW w:w="770" w:type="dxa"/>
            <w:vMerge w:val="restart"/>
            <w:tcBorders>
              <w:top w:val="nil"/>
              <w:left w:val="single" w:sz="4" w:space="0" w:color="auto"/>
              <w:bottom w:val="single" w:sz="4" w:space="0" w:color="000000"/>
              <w:right w:val="single" w:sz="4" w:space="0" w:color="auto"/>
            </w:tcBorders>
            <w:shd w:val="clear" w:color="auto" w:fill="auto"/>
            <w:noWrap/>
            <w:tcMar>
              <w:top w:w="28" w:type="dxa"/>
              <w:left w:w="113" w:type="dxa"/>
              <w:bottom w:w="28" w:type="dxa"/>
              <w:right w:w="113" w:type="dxa"/>
            </w:tcMar>
            <w:vAlign w:val="center"/>
            <w:hideMark/>
          </w:tcPr>
          <w:p w14:paraId="4B9ABDC7" w14:textId="77777777" w:rsidR="00DD370B" w:rsidRPr="00081222" w:rsidRDefault="00DD370B" w:rsidP="003B6DC0">
            <w:pPr>
              <w:spacing w:after="0" w:line="240" w:lineRule="auto"/>
              <w:jc w:val="right"/>
              <w:rPr>
                <w:rFonts w:eastAsia="Times New Roman" w:cstheme="minorHAnsi"/>
                <w:color w:val="000000"/>
                <w:sz w:val="22"/>
                <w:lang w:eastAsia="en-NZ"/>
              </w:rPr>
            </w:pPr>
            <w:r w:rsidRPr="00081222">
              <w:rPr>
                <w:rFonts w:eastAsia="Times New Roman" w:cstheme="minorHAnsi"/>
                <w:color w:val="000000"/>
                <w:sz w:val="22"/>
                <w:lang w:eastAsia="en-NZ"/>
              </w:rPr>
              <w:t xml:space="preserve">0.4 </w:t>
            </w:r>
          </w:p>
        </w:tc>
      </w:tr>
      <w:tr w:rsidR="008D19E0" w:rsidRPr="0079688E" w14:paraId="406A145F" w14:textId="77777777" w:rsidTr="00852166">
        <w:trPr>
          <w:trHeight w:val="300"/>
        </w:trPr>
        <w:tc>
          <w:tcPr>
            <w:tcW w:w="988" w:type="dxa"/>
            <w:vMerge/>
            <w:tcBorders>
              <w:top w:val="nil"/>
              <w:left w:val="single" w:sz="4" w:space="0" w:color="auto"/>
              <w:bottom w:val="single" w:sz="4" w:space="0" w:color="000000"/>
              <w:right w:val="single" w:sz="4" w:space="0" w:color="auto"/>
            </w:tcBorders>
            <w:tcMar>
              <w:top w:w="28" w:type="dxa"/>
              <w:left w:w="113" w:type="dxa"/>
              <w:bottom w:w="28" w:type="dxa"/>
              <w:right w:w="113" w:type="dxa"/>
            </w:tcMar>
            <w:vAlign w:val="center"/>
            <w:hideMark/>
          </w:tcPr>
          <w:p w14:paraId="6C022C72"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p>
        </w:tc>
        <w:tc>
          <w:tcPr>
            <w:tcW w:w="2126"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2A6FF1C6"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Deforestation</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0CD5FC24"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1.0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0836B14C"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1.1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53C5746"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1.1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6ECE7C7"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1.1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2984A4D8"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1.1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0B4CD5B"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5.3 </w:t>
            </w:r>
          </w:p>
        </w:tc>
        <w:tc>
          <w:tcPr>
            <w:tcW w:w="770" w:type="dxa"/>
            <w:vMerge/>
            <w:tcBorders>
              <w:top w:val="nil"/>
              <w:left w:val="single" w:sz="4" w:space="0" w:color="auto"/>
              <w:bottom w:val="single" w:sz="4" w:space="0" w:color="000000"/>
              <w:right w:val="single" w:sz="4" w:space="0" w:color="auto"/>
            </w:tcBorders>
            <w:tcMar>
              <w:top w:w="28" w:type="dxa"/>
              <w:left w:w="113" w:type="dxa"/>
              <w:bottom w:w="28" w:type="dxa"/>
              <w:right w:w="113" w:type="dxa"/>
            </w:tcMar>
            <w:vAlign w:val="center"/>
            <w:hideMark/>
          </w:tcPr>
          <w:p w14:paraId="13370290" w14:textId="77777777" w:rsidR="00DD370B" w:rsidRPr="00081222" w:rsidRDefault="00DD370B" w:rsidP="003B6DC0">
            <w:pPr>
              <w:spacing w:after="0" w:line="240" w:lineRule="auto"/>
              <w:rPr>
                <w:rFonts w:eastAsia="Times New Roman" w:cstheme="minorHAnsi"/>
                <w:color w:val="000000"/>
                <w:sz w:val="22"/>
                <w:lang w:eastAsia="en-NZ"/>
              </w:rPr>
            </w:pPr>
          </w:p>
        </w:tc>
      </w:tr>
      <w:tr w:rsidR="00FE0DD6" w:rsidRPr="0079688E" w14:paraId="5ACB4E6A" w14:textId="77777777" w:rsidTr="00852166">
        <w:trPr>
          <w:trHeight w:val="30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09C53FB" w14:textId="0EC581DA" w:rsidR="00DD370B" w:rsidRPr="00081222" w:rsidRDefault="00AF4DFF" w:rsidP="003B6DC0">
            <w:pPr>
              <w:spacing w:after="0" w:line="240" w:lineRule="auto"/>
              <w:rPr>
                <w:rFonts w:ascii="Calibri" w:eastAsia="Times New Roman" w:hAnsi="Calibri" w:cs="Calibri"/>
                <w:b/>
                <w:color w:val="000000"/>
                <w:sz w:val="21"/>
                <w:szCs w:val="21"/>
                <w:lang w:eastAsia="en-NZ"/>
              </w:rPr>
            </w:pPr>
            <w:r w:rsidRPr="00081222">
              <w:rPr>
                <w:rFonts w:ascii="Calibri" w:eastAsia="Times New Roman" w:hAnsi="Calibri" w:cs="Calibri"/>
                <w:b/>
                <w:color w:val="000000"/>
                <w:sz w:val="21"/>
                <w:szCs w:val="21"/>
                <w:lang w:eastAsia="en-NZ"/>
              </w:rPr>
              <w:t>Net emissions</w:t>
            </w:r>
            <w:r w:rsidR="00DD370B" w:rsidRPr="00081222">
              <w:rPr>
                <w:rFonts w:ascii="Calibri" w:eastAsia="Times New Roman" w:hAnsi="Calibri" w:cs="Calibri"/>
                <w:b/>
                <w:color w:val="000000"/>
                <w:sz w:val="21"/>
                <w:szCs w:val="21"/>
                <w:lang w:eastAsia="en-NZ"/>
              </w:rPr>
              <w:t xml:space="preserve"> outside NZ ETS</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0D10C6D6"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42.7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7A8AE1F"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42.8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7D2CC5CE"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42.8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9AD7B47"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42.7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4F5F2DFB"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42.6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173D233"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213.7 </w:t>
            </w:r>
          </w:p>
        </w:tc>
        <w:tc>
          <w:tcPr>
            <w:tcW w:w="770"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2353A41A" w14:textId="77777777" w:rsidR="00DD370B" w:rsidRPr="00081222" w:rsidRDefault="00DD370B" w:rsidP="003B6DC0">
            <w:pPr>
              <w:spacing w:after="0" w:line="240" w:lineRule="auto"/>
              <w:jc w:val="right"/>
              <w:rPr>
                <w:rFonts w:eastAsia="Times New Roman" w:cstheme="minorHAnsi"/>
                <w:b/>
                <w:color w:val="000000"/>
                <w:sz w:val="22"/>
                <w:lang w:eastAsia="en-NZ"/>
              </w:rPr>
            </w:pPr>
            <w:r w:rsidRPr="00081222">
              <w:rPr>
                <w:rFonts w:eastAsia="Times New Roman" w:cstheme="minorHAnsi"/>
                <w:b/>
                <w:color w:val="000000"/>
                <w:sz w:val="22"/>
                <w:lang w:eastAsia="en-NZ"/>
              </w:rPr>
              <w:t xml:space="preserve">211.8 </w:t>
            </w:r>
          </w:p>
        </w:tc>
      </w:tr>
      <w:tr w:rsidR="00C30823" w:rsidRPr="0079688E" w14:paraId="6EA4228E" w14:textId="77777777" w:rsidTr="00852166">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48C1199" w14:textId="77777777" w:rsidR="00DD370B" w:rsidRPr="00081222" w:rsidRDefault="00DD370B" w:rsidP="003B6DC0">
            <w:pPr>
              <w:spacing w:after="0" w:line="240" w:lineRule="auto"/>
              <w:jc w:val="center"/>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 </w:t>
            </w:r>
          </w:p>
        </w:tc>
        <w:tc>
          <w:tcPr>
            <w:tcW w:w="2126"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C8BF34C" w14:textId="4A133946" w:rsidR="00DD370B" w:rsidRPr="00081222" w:rsidRDefault="00DD370B" w:rsidP="003B6DC0">
            <w:pPr>
              <w:spacing w:after="0" w:line="240" w:lineRule="auto"/>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Gross emissions in the NZ ETS</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59EFD50"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32.2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7F68AEAA"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31.8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E01B055"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30.6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1D6A164"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29.8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31FA648D"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28.2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6DF04C49"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152.6 </w:t>
            </w:r>
          </w:p>
        </w:tc>
        <w:tc>
          <w:tcPr>
            <w:tcW w:w="770"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6AB8F45" w14:textId="77777777" w:rsidR="00DD370B" w:rsidRPr="00081222" w:rsidRDefault="00DD370B" w:rsidP="003B6DC0">
            <w:pPr>
              <w:spacing w:after="0" w:line="240" w:lineRule="auto"/>
              <w:jc w:val="right"/>
              <w:rPr>
                <w:rFonts w:eastAsia="Times New Roman" w:cstheme="minorHAnsi"/>
                <w:color w:val="000000"/>
                <w:sz w:val="22"/>
                <w:lang w:eastAsia="en-NZ"/>
              </w:rPr>
            </w:pPr>
            <w:r w:rsidRPr="00081222">
              <w:rPr>
                <w:rFonts w:eastAsia="Times New Roman" w:cstheme="minorHAnsi"/>
                <w:color w:val="000000"/>
                <w:sz w:val="22"/>
                <w:lang w:eastAsia="en-NZ"/>
              </w:rPr>
              <w:t xml:space="preserve">151.9 </w:t>
            </w:r>
          </w:p>
        </w:tc>
      </w:tr>
      <w:tr w:rsidR="00C30823" w:rsidRPr="0079688E" w14:paraId="5A927E0B" w14:textId="77777777" w:rsidTr="00852166">
        <w:trPr>
          <w:trHeight w:val="300"/>
        </w:trPr>
        <w:tc>
          <w:tcPr>
            <w:tcW w:w="988" w:type="dxa"/>
            <w:tcBorders>
              <w:top w:val="single" w:sz="4" w:space="0" w:color="auto"/>
              <w:left w:val="single" w:sz="4" w:space="0" w:color="auto"/>
              <w:bottom w:val="single" w:sz="4" w:space="0" w:color="000000"/>
              <w:right w:val="single" w:sz="4" w:space="0" w:color="auto"/>
            </w:tcBorders>
            <w:shd w:val="clear" w:color="auto" w:fill="auto"/>
            <w:tcMar>
              <w:top w:w="28" w:type="dxa"/>
              <w:left w:w="113" w:type="dxa"/>
              <w:bottom w:w="28" w:type="dxa"/>
              <w:right w:w="113" w:type="dxa"/>
            </w:tcMar>
            <w:vAlign w:val="center"/>
            <w:hideMark/>
          </w:tcPr>
          <w:p w14:paraId="29CE8F48" w14:textId="77777777" w:rsidR="00DD370B" w:rsidRPr="00081222" w:rsidRDefault="00DD370B" w:rsidP="003B6DC0">
            <w:pPr>
              <w:spacing w:after="0" w:line="240" w:lineRule="auto"/>
              <w:rPr>
                <w:rFonts w:ascii="Calibri" w:eastAsia="Times New Roman" w:hAnsi="Calibri" w:cs="Calibri"/>
                <w:color w:val="000000"/>
                <w:sz w:val="20"/>
                <w:szCs w:val="20"/>
                <w:lang w:eastAsia="en-NZ"/>
              </w:rPr>
            </w:pPr>
          </w:p>
        </w:tc>
        <w:tc>
          <w:tcPr>
            <w:tcW w:w="2126"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745B93FF" w14:textId="5E890B4B" w:rsidR="00DD370B" w:rsidRPr="00081222" w:rsidRDefault="00DD370B" w:rsidP="003B6DC0">
            <w:pPr>
              <w:spacing w:after="0" w:line="240" w:lineRule="auto"/>
              <w:rPr>
                <w:rFonts w:ascii="Calibri" w:eastAsia="Times New Roman" w:hAnsi="Calibri" w:cs="Calibri"/>
                <w:color w:val="000000"/>
                <w:sz w:val="20"/>
                <w:szCs w:val="20"/>
                <w:lang w:eastAsia="en-NZ"/>
              </w:rPr>
            </w:pPr>
            <w:r w:rsidRPr="00081222">
              <w:rPr>
                <w:rFonts w:ascii="Calibri" w:eastAsia="Times New Roman" w:hAnsi="Calibri" w:cs="Calibri"/>
                <w:color w:val="000000"/>
                <w:sz w:val="20"/>
                <w:szCs w:val="20"/>
                <w:lang w:eastAsia="en-NZ"/>
              </w:rPr>
              <w:t>Forestry in the NZ ETS</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878D29D"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-9.0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0E349E4A"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-11.0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3A93AC7"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-13.0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E40991E"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-14.7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6F3EEFE8"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-15.6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C869995"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color w:val="000000"/>
                <w:sz w:val="21"/>
                <w:szCs w:val="21"/>
                <w:lang w:eastAsia="en-NZ"/>
              </w:rPr>
              <w:t xml:space="preserve">-63.3 </w:t>
            </w:r>
          </w:p>
        </w:tc>
        <w:tc>
          <w:tcPr>
            <w:tcW w:w="770"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2BEBE2C" w14:textId="77777777" w:rsidR="00DD370B" w:rsidRPr="00081222" w:rsidRDefault="00DD370B" w:rsidP="003B6DC0">
            <w:pPr>
              <w:spacing w:after="0" w:line="240" w:lineRule="auto"/>
              <w:jc w:val="right"/>
              <w:rPr>
                <w:rFonts w:eastAsia="Times New Roman" w:cstheme="minorHAnsi"/>
                <w:color w:val="000000"/>
                <w:sz w:val="22"/>
                <w:lang w:eastAsia="en-NZ"/>
              </w:rPr>
            </w:pPr>
            <w:r w:rsidRPr="00081222">
              <w:rPr>
                <w:rFonts w:eastAsia="Times New Roman" w:cstheme="minorHAnsi"/>
                <w:color w:val="000000"/>
                <w:sz w:val="22"/>
                <w:lang w:eastAsia="en-NZ"/>
              </w:rPr>
              <w:t xml:space="preserve">-60.7 </w:t>
            </w:r>
          </w:p>
        </w:tc>
      </w:tr>
      <w:tr w:rsidR="00FE24E0" w:rsidRPr="0079688E" w14:paraId="3A6194E4" w14:textId="77777777" w:rsidTr="00852166">
        <w:trPr>
          <w:trHeight w:val="300"/>
        </w:trPr>
        <w:tc>
          <w:tcPr>
            <w:tcW w:w="3114" w:type="dxa"/>
            <w:gridSpan w:val="2"/>
            <w:tcBorders>
              <w:top w:val="single" w:sz="4" w:space="0" w:color="auto"/>
              <w:left w:val="single" w:sz="4" w:space="0" w:color="auto"/>
              <w:bottom w:val="single" w:sz="4" w:space="0" w:color="auto"/>
              <w:right w:val="single" w:sz="4" w:space="0" w:color="000000"/>
            </w:tcBorders>
            <w:shd w:val="clear" w:color="auto" w:fill="auto"/>
            <w:noWrap/>
            <w:tcMar>
              <w:top w:w="28" w:type="dxa"/>
              <w:left w:w="113" w:type="dxa"/>
              <w:bottom w:w="28" w:type="dxa"/>
              <w:right w:w="113" w:type="dxa"/>
            </w:tcMar>
            <w:vAlign w:val="bottom"/>
            <w:hideMark/>
          </w:tcPr>
          <w:p w14:paraId="4DE727C8" w14:textId="4A83266B" w:rsidR="000027E0" w:rsidRDefault="00DD370B" w:rsidP="003B6DC0">
            <w:pPr>
              <w:spacing w:after="0" w:line="240" w:lineRule="auto"/>
              <w:jc w:val="center"/>
              <w:rPr>
                <w:rFonts w:ascii="Calibri" w:eastAsia="Times New Roman" w:hAnsi="Calibri" w:cs="Calibri"/>
                <w:b/>
                <w:color w:val="000000"/>
                <w:sz w:val="21"/>
                <w:szCs w:val="21"/>
                <w:lang w:eastAsia="en-NZ"/>
              </w:rPr>
            </w:pPr>
            <w:r w:rsidRPr="00081222">
              <w:rPr>
                <w:rFonts w:ascii="Calibri" w:eastAsia="Times New Roman" w:hAnsi="Calibri" w:cs="Calibri"/>
                <w:b/>
                <w:color w:val="000000"/>
                <w:sz w:val="21"/>
                <w:szCs w:val="21"/>
                <w:lang w:eastAsia="en-NZ"/>
              </w:rPr>
              <w:t xml:space="preserve">Net emissions in the NZ ETS </w:t>
            </w:r>
          </w:p>
          <w:p w14:paraId="40FA4097" w14:textId="6E6F4E4F" w:rsidR="00DD370B" w:rsidRPr="00081222" w:rsidRDefault="00AF4DFF" w:rsidP="003B6DC0">
            <w:pPr>
              <w:spacing w:after="0" w:line="240" w:lineRule="auto"/>
              <w:jc w:val="center"/>
              <w:rPr>
                <w:rFonts w:ascii="Calibri" w:eastAsia="Times New Roman" w:hAnsi="Calibri" w:cs="Calibri"/>
                <w:b/>
                <w:color w:val="000000"/>
                <w:sz w:val="21"/>
                <w:szCs w:val="21"/>
                <w:lang w:eastAsia="en-NZ"/>
              </w:rPr>
            </w:pPr>
            <w:r w:rsidRPr="00081222">
              <w:rPr>
                <w:rFonts w:ascii="Calibri" w:eastAsia="Times New Roman" w:hAnsi="Calibri" w:cs="Calibri"/>
                <w:b/>
                <w:color w:val="000000"/>
                <w:sz w:val="21"/>
                <w:szCs w:val="21"/>
                <w:lang w:eastAsia="en-NZ"/>
              </w:rPr>
              <w:t>(the emissions</w:t>
            </w:r>
            <w:r w:rsidR="00DD370B" w:rsidRPr="00081222">
              <w:rPr>
                <w:rFonts w:ascii="Calibri" w:eastAsia="Times New Roman" w:hAnsi="Calibri" w:cs="Calibri"/>
                <w:b/>
                <w:color w:val="000000"/>
                <w:sz w:val="21"/>
                <w:szCs w:val="21"/>
                <w:lang w:eastAsia="en-NZ"/>
              </w:rPr>
              <w:t xml:space="preserve"> </w:t>
            </w:r>
            <w:r w:rsidRPr="00081222">
              <w:rPr>
                <w:rFonts w:ascii="Calibri" w:eastAsia="Times New Roman" w:hAnsi="Calibri" w:cs="Calibri"/>
                <w:b/>
                <w:color w:val="000000"/>
                <w:sz w:val="21"/>
                <w:szCs w:val="21"/>
                <w:lang w:eastAsia="en-NZ"/>
              </w:rPr>
              <w:t>c</w:t>
            </w:r>
            <w:r w:rsidR="00E30B60" w:rsidRPr="00081222">
              <w:rPr>
                <w:rFonts w:ascii="Calibri" w:eastAsia="Times New Roman" w:hAnsi="Calibri" w:cs="Calibri"/>
                <w:b/>
                <w:color w:val="000000"/>
                <w:sz w:val="21"/>
                <w:szCs w:val="21"/>
                <w:lang w:eastAsia="en-NZ"/>
              </w:rPr>
              <w:t>ap</w:t>
            </w:r>
            <w:r w:rsidRPr="00081222">
              <w:rPr>
                <w:rFonts w:ascii="Calibri" w:eastAsia="Times New Roman" w:hAnsi="Calibri" w:cs="Calibri"/>
                <w:b/>
                <w:color w:val="000000"/>
                <w:sz w:val="21"/>
                <w:szCs w:val="21"/>
                <w:lang w:eastAsia="en-NZ"/>
              </w:rPr>
              <w:t>)</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14D6B8D"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23.2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223DA96"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20.8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44858894"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17.6 </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1D578AC"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15.1 </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05832F56"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12.6 </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4BBA959" w14:textId="77777777" w:rsidR="00DD370B" w:rsidRPr="00081222" w:rsidRDefault="00DD370B" w:rsidP="003B6DC0">
            <w:pPr>
              <w:spacing w:after="0" w:line="240" w:lineRule="auto"/>
              <w:jc w:val="right"/>
              <w:rPr>
                <w:rFonts w:eastAsia="Times New Roman" w:cstheme="minorHAnsi"/>
                <w:b/>
                <w:color w:val="000000"/>
                <w:sz w:val="21"/>
                <w:szCs w:val="21"/>
                <w:lang w:eastAsia="en-NZ"/>
              </w:rPr>
            </w:pPr>
            <w:r w:rsidRPr="00081222">
              <w:rPr>
                <w:rFonts w:eastAsia="Times New Roman" w:cstheme="minorHAnsi"/>
                <w:b/>
                <w:color w:val="000000"/>
                <w:sz w:val="21"/>
                <w:szCs w:val="21"/>
                <w:lang w:eastAsia="en-NZ"/>
              </w:rPr>
              <w:t xml:space="preserve">89.4 </w:t>
            </w:r>
          </w:p>
        </w:tc>
        <w:tc>
          <w:tcPr>
            <w:tcW w:w="770" w:type="dxa"/>
            <w:vMerge w:val="restart"/>
            <w:tcBorders>
              <w:top w:val="nil"/>
              <w:left w:val="single" w:sz="4" w:space="0" w:color="auto"/>
              <w:right w:val="single" w:sz="4" w:space="0" w:color="auto"/>
            </w:tcBorders>
            <w:shd w:val="clear" w:color="auto" w:fill="auto"/>
            <w:noWrap/>
            <w:tcMar>
              <w:top w:w="28" w:type="dxa"/>
              <w:left w:w="113" w:type="dxa"/>
              <w:bottom w:w="28" w:type="dxa"/>
              <w:right w:w="113" w:type="dxa"/>
            </w:tcMar>
            <w:vAlign w:val="center"/>
            <w:hideMark/>
          </w:tcPr>
          <w:p w14:paraId="27E3F5B0" w14:textId="77777777" w:rsidR="00E30B60" w:rsidRPr="00081222" w:rsidRDefault="00DD370B" w:rsidP="003B6DC0">
            <w:pPr>
              <w:spacing w:after="0" w:line="240" w:lineRule="auto"/>
              <w:jc w:val="right"/>
              <w:rPr>
                <w:rFonts w:eastAsia="Times New Roman" w:cstheme="minorHAnsi"/>
                <w:b/>
                <w:color w:val="000000"/>
                <w:sz w:val="22"/>
                <w:lang w:eastAsia="en-NZ"/>
              </w:rPr>
            </w:pPr>
            <w:r w:rsidRPr="00081222">
              <w:rPr>
                <w:rFonts w:eastAsia="Times New Roman" w:cstheme="minorHAnsi"/>
                <w:b/>
                <w:color w:val="000000"/>
                <w:sz w:val="22"/>
                <w:lang w:eastAsia="en-NZ"/>
              </w:rPr>
              <w:t xml:space="preserve">91.3 </w:t>
            </w:r>
          </w:p>
          <w:p w14:paraId="7E5C6A29" w14:textId="6F553B39" w:rsidR="00DD370B" w:rsidRPr="00081222" w:rsidRDefault="00E30B60" w:rsidP="007E0BE9">
            <w:pPr>
              <w:spacing w:after="0" w:line="240" w:lineRule="auto"/>
              <w:rPr>
                <w:rFonts w:eastAsia="Times New Roman" w:cstheme="minorHAnsi"/>
                <w:color w:val="000000"/>
                <w:sz w:val="22"/>
                <w:lang w:eastAsia="en-NZ"/>
              </w:rPr>
            </w:pPr>
            <w:r w:rsidRPr="00081222">
              <w:rPr>
                <w:rFonts w:eastAsia="Times New Roman" w:cstheme="minorHAnsi"/>
                <w:color w:val="000000"/>
                <w:sz w:val="22"/>
                <w:lang w:eastAsia="en-NZ"/>
              </w:rPr>
              <w:t xml:space="preserve"> </w:t>
            </w:r>
          </w:p>
        </w:tc>
      </w:tr>
      <w:tr w:rsidR="00875896" w:rsidRPr="0079688E" w14:paraId="4BB72EE2" w14:textId="77777777" w:rsidTr="00852166">
        <w:trPr>
          <w:trHeight w:val="30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hideMark/>
          </w:tcPr>
          <w:p w14:paraId="40AEB112" w14:textId="1E132424" w:rsidR="00DD370B" w:rsidRPr="003B6DC0" w:rsidRDefault="00E30B60" w:rsidP="003B6DC0">
            <w:pPr>
              <w:spacing w:after="0" w:line="240" w:lineRule="auto"/>
              <w:rPr>
                <w:rFonts w:ascii="Calibri" w:eastAsia="Times New Roman" w:hAnsi="Calibri" w:cs="Calibri"/>
                <w:i/>
                <w:color w:val="808080"/>
                <w:sz w:val="22"/>
                <w:lang w:eastAsia="en-NZ"/>
              </w:rPr>
            </w:pPr>
            <w:r w:rsidRPr="00084615">
              <w:rPr>
                <w:i/>
                <w:sz w:val="22"/>
              </w:rPr>
              <w:t>NZ ETS emissions cap</w:t>
            </w:r>
            <w:r>
              <w:rPr>
                <w:i/>
                <w:sz w:val="22"/>
              </w:rPr>
              <w:t xml:space="preserve"> used in our 2024 advice</w:t>
            </w:r>
          </w:p>
        </w:tc>
        <w:tc>
          <w:tcPr>
            <w:tcW w:w="757"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13C5A72" w14:textId="77777777" w:rsidR="00DD370B" w:rsidRPr="00081222" w:rsidRDefault="00DD370B" w:rsidP="003B6DC0">
            <w:pPr>
              <w:spacing w:after="0" w:line="240" w:lineRule="auto"/>
              <w:jc w:val="right"/>
              <w:rPr>
                <w:rFonts w:eastAsia="Times New Roman" w:cstheme="minorHAnsi"/>
                <w:i/>
                <w:color w:val="808080"/>
                <w:sz w:val="21"/>
                <w:szCs w:val="21"/>
                <w:lang w:eastAsia="en-NZ"/>
              </w:rPr>
            </w:pPr>
            <w:r w:rsidRPr="00081222">
              <w:rPr>
                <w:rFonts w:eastAsia="Times New Roman" w:cstheme="minorHAnsi"/>
                <w:i/>
                <w:color w:val="808080"/>
                <w:sz w:val="21"/>
                <w:szCs w:val="21"/>
                <w:lang w:eastAsia="en-NZ"/>
              </w:rPr>
              <w:t>23.4</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536680E2" w14:textId="77777777" w:rsidR="00DD370B" w:rsidRPr="00081222" w:rsidRDefault="00DD370B" w:rsidP="003B6DC0">
            <w:pPr>
              <w:spacing w:after="0" w:line="240" w:lineRule="auto"/>
              <w:jc w:val="right"/>
              <w:rPr>
                <w:rFonts w:eastAsia="Times New Roman" w:cstheme="minorHAnsi"/>
                <w:i/>
                <w:color w:val="808080"/>
                <w:sz w:val="21"/>
                <w:szCs w:val="21"/>
                <w:lang w:eastAsia="en-NZ"/>
              </w:rPr>
            </w:pPr>
            <w:r w:rsidRPr="00081222">
              <w:rPr>
                <w:rFonts w:eastAsia="Times New Roman" w:cstheme="minorHAnsi"/>
                <w:i/>
                <w:color w:val="808080"/>
                <w:sz w:val="21"/>
                <w:szCs w:val="21"/>
                <w:lang w:eastAsia="en-NZ"/>
              </w:rPr>
              <w:t>21.4</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E6B4428" w14:textId="77777777" w:rsidR="00DD370B" w:rsidRPr="00081222" w:rsidRDefault="00DD370B" w:rsidP="003B6DC0">
            <w:pPr>
              <w:spacing w:after="0" w:line="240" w:lineRule="auto"/>
              <w:jc w:val="right"/>
              <w:rPr>
                <w:rFonts w:eastAsia="Times New Roman" w:cstheme="minorHAnsi"/>
                <w:i/>
                <w:color w:val="808080"/>
                <w:sz w:val="21"/>
                <w:szCs w:val="21"/>
                <w:lang w:eastAsia="en-NZ"/>
              </w:rPr>
            </w:pPr>
            <w:r w:rsidRPr="00081222">
              <w:rPr>
                <w:rFonts w:eastAsia="Times New Roman" w:cstheme="minorHAnsi"/>
                <w:i/>
                <w:color w:val="808080"/>
                <w:sz w:val="21"/>
                <w:szCs w:val="21"/>
                <w:lang w:eastAsia="en-NZ"/>
              </w:rPr>
              <w:t>19.4</w:t>
            </w:r>
          </w:p>
        </w:tc>
        <w:tc>
          <w:tcPr>
            <w:tcW w:w="758" w:type="dxa"/>
            <w:tcBorders>
              <w:top w:val="nil"/>
              <w:left w:val="nil"/>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14227525" w14:textId="77777777" w:rsidR="00DD370B" w:rsidRPr="00081222" w:rsidRDefault="00DD370B" w:rsidP="003B6DC0">
            <w:pPr>
              <w:spacing w:after="0" w:line="240" w:lineRule="auto"/>
              <w:jc w:val="right"/>
              <w:rPr>
                <w:rFonts w:eastAsia="Times New Roman" w:cstheme="minorHAnsi"/>
                <w:i/>
                <w:color w:val="808080"/>
                <w:sz w:val="21"/>
                <w:szCs w:val="21"/>
                <w:lang w:eastAsia="en-NZ"/>
              </w:rPr>
            </w:pPr>
            <w:r w:rsidRPr="00081222">
              <w:rPr>
                <w:rFonts w:eastAsia="Times New Roman" w:cstheme="minorHAnsi"/>
                <w:i/>
                <w:color w:val="808080"/>
                <w:sz w:val="21"/>
                <w:szCs w:val="21"/>
                <w:lang w:eastAsia="en-NZ"/>
              </w:rPr>
              <w:t>17.4</w:t>
            </w:r>
          </w:p>
        </w:tc>
        <w:tc>
          <w:tcPr>
            <w:tcW w:w="758" w:type="dxa"/>
            <w:tcBorders>
              <w:top w:val="nil"/>
              <w:left w:val="single" w:sz="4" w:space="0" w:color="auto"/>
              <w:bottom w:val="single" w:sz="4" w:space="0" w:color="auto"/>
              <w:right w:val="nil"/>
            </w:tcBorders>
            <w:shd w:val="clear" w:color="auto" w:fill="auto"/>
            <w:noWrap/>
            <w:tcMar>
              <w:top w:w="28" w:type="dxa"/>
              <w:left w:w="113" w:type="dxa"/>
              <w:bottom w:w="28" w:type="dxa"/>
              <w:right w:w="113" w:type="dxa"/>
            </w:tcMar>
            <w:vAlign w:val="bottom"/>
            <w:hideMark/>
          </w:tcPr>
          <w:p w14:paraId="08F4D247" w14:textId="4E3E8629" w:rsidR="00DD370B" w:rsidRPr="00081222" w:rsidRDefault="00DD370B" w:rsidP="003B6DC0">
            <w:pPr>
              <w:spacing w:after="0" w:line="240" w:lineRule="auto"/>
              <w:jc w:val="right"/>
              <w:rPr>
                <w:rFonts w:eastAsia="Times New Roman" w:cstheme="minorHAnsi"/>
                <w:i/>
                <w:color w:val="808080"/>
                <w:sz w:val="21"/>
                <w:szCs w:val="21"/>
                <w:lang w:eastAsia="en-NZ"/>
              </w:rPr>
            </w:pPr>
            <w:r w:rsidRPr="00081222">
              <w:rPr>
                <w:rFonts w:eastAsia="Times New Roman" w:cstheme="minorHAnsi"/>
                <w:i/>
                <w:color w:val="808080"/>
                <w:sz w:val="21"/>
                <w:szCs w:val="21"/>
                <w:lang w:eastAsia="en-NZ"/>
              </w:rPr>
              <w:t>14.5</w:t>
            </w:r>
            <w:r w:rsidR="00E30B60" w:rsidRPr="00081222">
              <w:rPr>
                <w:rFonts w:eastAsia="Times New Roman" w:cstheme="minorHAnsi"/>
                <w:i/>
                <w:color w:val="808080"/>
                <w:sz w:val="21"/>
                <w:szCs w:val="21"/>
                <w:lang w:eastAsia="en-NZ"/>
              </w:rPr>
              <w:t>**</w:t>
            </w:r>
          </w:p>
        </w:tc>
        <w:tc>
          <w:tcPr>
            <w:tcW w:w="758" w:type="dxa"/>
            <w:tcBorders>
              <w:top w:val="nil"/>
              <w:left w:val="single" w:sz="4" w:space="0" w:color="auto"/>
              <w:bottom w:val="single" w:sz="4" w:space="0" w:color="auto"/>
              <w:right w:val="single" w:sz="4" w:space="0" w:color="auto"/>
            </w:tcBorders>
            <w:shd w:val="clear" w:color="auto" w:fill="auto"/>
            <w:noWrap/>
            <w:tcMar>
              <w:top w:w="28" w:type="dxa"/>
              <w:left w:w="113" w:type="dxa"/>
              <w:bottom w:w="28" w:type="dxa"/>
              <w:right w:w="113" w:type="dxa"/>
            </w:tcMar>
            <w:vAlign w:val="bottom"/>
            <w:hideMark/>
          </w:tcPr>
          <w:p w14:paraId="3333AC5C" w14:textId="77777777" w:rsidR="00DD370B" w:rsidRPr="00081222" w:rsidRDefault="00DD370B" w:rsidP="003B6DC0">
            <w:pPr>
              <w:spacing w:after="0" w:line="240" w:lineRule="auto"/>
              <w:jc w:val="right"/>
              <w:rPr>
                <w:rFonts w:eastAsia="Times New Roman" w:cstheme="minorHAnsi"/>
                <w:color w:val="000000"/>
                <w:sz w:val="21"/>
                <w:szCs w:val="21"/>
                <w:lang w:eastAsia="en-NZ"/>
              </w:rPr>
            </w:pPr>
            <w:r w:rsidRPr="00081222">
              <w:rPr>
                <w:rFonts w:eastAsia="Times New Roman" w:cstheme="minorHAnsi"/>
                <w:i/>
                <w:color w:val="808080"/>
                <w:sz w:val="21"/>
                <w:szCs w:val="21"/>
                <w:lang w:eastAsia="en-NZ"/>
              </w:rPr>
              <w:t>96.1</w:t>
            </w:r>
            <w:r w:rsidRPr="00081222">
              <w:rPr>
                <w:rFonts w:eastAsia="Times New Roman" w:cstheme="minorHAnsi"/>
                <w:color w:val="000000"/>
                <w:sz w:val="21"/>
                <w:szCs w:val="21"/>
                <w:lang w:eastAsia="en-NZ"/>
              </w:rPr>
              <w:t xml:space="preserve"> </w:t>
            </w:r>
          </w:p>
        </w:tc>
        <w:tc>
          <w:tcPr>
            <w:tcW w:w="770" w:type="dxa"/>
            <w:vMerge/>
            <w:tcBorders>
              <w:left w:val="single" w:sz="4" w:space="0" w:color="auto"/>
              <w:bottom w:val="single" w:sz="4" w:space="0" w:color="000000"/>
              <w:right w:val="single" w:sz="4" w:space="0" w:color="auto"/>
            </w:tcBorders>
            <w:tcMar>
              <w:top w:w="28" w:type="dxa"/>
              <w:left w:w="113" w:type="dxa"/>
              <w:bottom w:w="28" w:type="dxa"/>
              <w:right w:w="113" w:type="dxa"/>
            </w:tcMar>
            <w:vAlign w:val="center"/>
            <w:hideMark/>
          </w:tcPr>
          <w:p w14:paraId="60681299" w14:textId="77777777" w:rsidR="00DD370B" w:rsidRPr="00081222" w:rsidRDefault="00DD370B" w:rsidP="003B6DC0">
            <w:pPr>
              <w:spacing w:after="0" w:line="240" w:lineRule="auto"/>
              <w:rPr>
                <w:rFonts w:eastAsia="Times New Roman" w:cstheme="minorHAnsi"/>
                <w:color w:val="000000"/>
                <w:sz w:val="22"/>
                <w:lang w:eastAsia="en-NZ"/>
              </w:rPr>
            </w:pPr>
          </w:p>
        </w:tc>
      </w:tr>
    </w:tbl>
    <w:p w14:paraId="606793FA" w14:textId="1221027F" w:rsidR="00AA116D" w:rsidRDefault="00AA116D" w:rsidP="00582F07">
      <w:pPr>
        <w:spacing w:before="40" w:after="40"/>
        <w:rPr>
          <w:sz w:val="20"/>
          <w:szCs w:val="18"/>
          <w:lang w:val="en-US"/>
        </w:rPr>
      </w:pPr>
      <w:r>
        <w:rPr>
          <w:sz w:val="20"/>
          <w:szCs w:val="18"/>
          <w:lang w:val="en-US"/>
        </w:rPr>
        <w:t>Note that figures may not sum to totals due to rounding.</w:t>
      </w:r>
    </w:p>
    <w:p w14:paraId="52773274" w14:textId="213D0906" w:rsidR="003B6DC0" w:rsidRDefault="007E0BE9" w:rsidP="00941B50">
      <w:pPr>
        <w:spacing w:after="0"/>
        <w:rPr>
          <w:sz w:val="20"/>
          <w:szCs w:val="18"/>
          <w:lang w:val="en-US"/>
        </w:rPr>
      </w:pPr>
      <w:r>
        <w:rPr>
          <w:sz w:val="20"/>
          <w:szCs w:val="18"/>
          <w:lang w:val="en-US"/>
        </w:rPr>
        <w:t xml:space="preserve">* </w:t>
      </w:r>
      <w:r w:rsidR="00E30B60">
        <w:rPr>
          <w:sz w:val="20"/>
          <w:szCs w:val="18"/>
          <w:lang w:val="en-US"/>
        </w:rPr>
        <w:t>Figures from the Government’s provisional cap presented in the second emissions reduction plan are presented here for comparison</w:t>
      </w:r>
      <w:r w:rsidR="00AA116D">
        <w:rPr>
          <w:sz w:val="20"/>
          <w:szCs w:val="18"/>
          <w:lang w:val="en-US"/>
        </w:rPr>
        <w:t>.</w:t>
      </w:r>
    </w:p>
    <w:p w14:paraId="0E6705ED" w14:textId="6CCAD74F" w:rsidR="00E30B60" w:rsidRDefault="00E30B60" w:rsidP="0042352A">
      <w:pPr>
        <w:rPr>
          <w:sz w:val="20"/>
          <w:szCs w:val="18"/>
          <w:lang w:val="en-US"/>
        </w:rPr>
      </w:pPr>
      <w:r>
        <w:rPr>
          <w:sz w:val="20"/>
          <w:szCs w:val="18"/>
          <w:lang w:val="en-US"/>
        </w:rPr>
        <w:t xml:space="preserve">** </w:t>
      </w:r>
      <w:r w:rsidRPr="00FB0FA2">
        <w:rPr>
          <w:sz w:val="20"/>
          <w:szCs w:val="18"/>
          <w:lang w:val="en-US"/>
        </w:rPr>
        <w:t>This 2030 figure was published</w:t>
      </w:r>
      <w:r>
        <w:rPr>
          <w:sz w:val="20"/>
          <w:szCs w:val="18"/>
          <w:lang w:val="en-US"/>
        </w:rPr>
        <w:t xml:space="preserve"> in our 2024 advice report </w:t>
      </w:r>
      <w:r w:rsidR="00AF4DFF">
        <w:rPr>
          <w:sz w:val="20"/>
          <w:szCs w:val="18"/>
          <w:lang w:val="en-US"/>
        </w:rPr>
        <w:t xml:space="preserve">for visibility </w:t>
      </w:r>
      <w:r>
        <w:rPr>
          <w:sz w:val="20"/>
          <w:szCs w:val="18"/>
          <w:lang w:val="en-US"/>
        </w:rPr>
        <w:t xml:space="preserve">but was not used in the development of the </w:t>
      </w:r>
      <w:r w:rsidR="00AF4DFF">
        <w:rPr>
          <w:sz w:val="20"/>
          <w:szCs w:val="18"/>
          <w:lang w:val="en-US"/>
        </w:rPr>
        <w:t>2024-2029</w:t>
      </w:r>
      <w:r>
        <w:rPr>
          <w:sz w:val="20"/>
          <w:szCs w:val="18"/>
          <w:lang w:val="en-US"/>
        </w:rPr>
        <w:t xml:space="preserve"> NZ ETS unit limit settings as they do not cover the 2030 year</w:t>
      </w:r>
      <w:r w:rsidRPr="00FB0FA2">
        <w:rPr>
          <w:sz w:val="20"/>
          <w:szCs w:val="18"/>
          <w:lang w:val="en-US"/>
        </w:rPr>
        <w:t xml:space="preserve">. </w:t>
      </w:r>
    </w:p>
    <w:p w14:paraId="1A36C7E7" w14:textId="207317FD" w:rsidR="00E36765" w:rsidRDefault="00E36765" w:rsidP="009338AB">
      <w:pPr>
        <w:pStyle w:val="Heading3"/>
        <w:spacing w:before="120" w:after="120"/>
        <w:rPr>
          <w:lang w:val="en-US"/>
        </w:rPr>
      </w:pPr>
      <w:bookmarkStart w:id="9" w:name="_Toc195533408"/>
      <w:r>
        <w:rPr>
          <w:lang w:val="en-US"/>
        </w:rPr>
        <w:t>Agriculture</w:t>
      </w:r>
      <w:bookmarkEnd w:id="9"/>
    </w:p>
    <w:p w14:paraId="63F9E4C8" w14:textId="4A4A8CAE" w:rsidR="00E36765" w:rsidRPr="009B4D2A" w:rsidRDefault="00E36765" w:rsidP="399FF34D">
      <w:pPr>
        <w:spacing w:line="279" w:lineRule="auto"/>
        <w:rPr>
          <w:rFonts w:ascii="Calibri-Light" w:eastAsia="Calibri-Light" w:hAnsi="Calibri-Light" w:cs="Yu Mincho"/>
          <w:lang w:val="en-US"/>
        </w:rPr>
      </w:pPr>
      <w:r w:rsidRPr="399FF34D">
        <w:rPr>
          <w:rFonts w:ascii="Calibri-Light" w:eastAsia="Calibri-Light" w:hAnsi="Calibri-Light" w:cs="Yu Mincho"/>
          <w:lang w:val="en-US"/>
        </w:rPr>
        <w:t xml:space="preserve">Biogenic methane and </w:t>
      </w:r>
      <w:r w:rsidR="00B74987" w:rsidRPr="399FF34D">
        <w:rPr>
          <w:rFonts w:ascii="Calibri-Light" w:eastAsia="Calibri-Light" w:hAnsi="Calibri-Light" w:cs="Yu Mincho"/>
          <w:lang w:val="en-US"/>
        </w:rPr>
        <w:t>nitrous</w:t>
      </w:r>
      <w:r w:rsidRPr="399FF34D">
        <w:rPr>
          <w:rFonts w:ascii="Calibri-Light" w:eastAsia="Calibri-Light" w:hAnsi="Calibri-Light" w:cs="Yu Mincho"/>
          <w:lang w:val="en-US"/>
        </w:rPr>
        <w:t xml:space="preserve"> oxide from </w:t>
      </w:r>
      <w:r w:rsidR="00B74987" w:rsidRPr="399FF34D">
        <w:rPr>
          <w:rFonts w:ascii="Calibri-Light" w:eastAsia="Calibri-Light" w:hAnsi="Calibri-Light" w:cs="Yu Mincho"/>
          <w:lang w:val="en-US"/>
        </w:rPr>
        <w:t>agriculture</w:t>
      </w:r>
      <w:r w:rsidRPr="399FF34D">
        <w:rPr>
          <w:rFonts w:ascii="Calibri-Light" w:eastAsia="Calibri-Light" w:hAnsi="Calibri-Light" w:cs="Yu Mincho"/>
          <w:lang w:val="en-US"/>
        </w:rPr>
        <w:t xml:space="preserve"> are not covered by the NZ ETS. </w:t>
      </w:r>
      <w:r w:rsidR="007B0EFC" w:rsidRPr="399FF34D">
        <w:rPr>
          <w:rFonts w:ascii="Calibri-Light" w:eastAsia="Calibri-Light" w:hAnsi="Calibri-Light" w:cs="Yu Mincho"/>
          <w:lang w:val="en-US"/>
        </w:rPr>
        <w:t xml:space="preserve">The emissions volume allocated to agriculture </w:t>
      </w:r>
      <w:r w:rsidR="002F7519" w:rsidRPr="399FF34D">
        <w:rPr>
          <w:rFonts w:ascii="Calibri-Light" w:eastAsia="Calibri-Light" w:hAnsi="Calibri-Light" w:cs="Yu Mincho"/>
          <w:lang w:val="en-US"/>
        </w:rPr>
        <w:t xml:space="preserve">aligns with the forecast agricultural emissions in the government’s emissions projections. </w:t>
      </w:r>
    </w:p>
    <w:p w14:paraId="15D8B28E" w14:textId="2903CD53" w:rsidR="00631C17" w:rsidRDefault="006F76AF" w:rsidP="009338AB">
      <w:pPr>
        <w:pStyle w:val="Heading3"/>
        <w:spacing w:before="120" w:after="120"/>
        <w:rPr>
          <w:lang w:val="en-US"/>
        </w:rPr>
      </w:pPr>
      <w:bookmarkStart w:id="10" w:name="_Toc195533409"/>
      <w:r>
        <w:rPr>
          <w:lang w:val="en-US"/>
        </w:rPr>
        <w:t>Non-municipal w</w:t>
      </w:r>
      <w:r w:rsidR="00631C17">
        <w:rPr>
          <w:lang w:val="en-US"/>
        </w:rPr>
        <w:t>aste</w:t>
      </w:r>
      <w:bookmarkEnd w:id="10"/>
    </w:p>
    <w:p w14:paraId="7C110587" w14:textId="5B601872" w:rsidR="00631C17" w:rsidRPr="009B4D2A" w:rsidRDefault="000151D6" w:rsidP="009B4D2A">
      <w:pPr>
        <w:spacing w:line="279" w:lineRule="auto"/>
        <w:rPr>
          <w:rFonts w:ascii="Calibri-Light" w:eastAsia="Calibri-Light" w:hAnsi="Calibri-Light" w:cs="Yu Mincho"/>
        </w:rPr>
      </w:pPr>
      <w:r w:rsidRPr="009B4D2A">
        <w:rPr>
          <w:rFonts w:ascii="Calibri-Light" w:eastAsia="Calibri-Light" w:hAnsi="Calibri-Light" w:cs="Yu Mincho"/>
        </w:rPr>
        <w:t xml:space="preserve">Non-municipal waste </w:t>
      </w:r>
      <w:r w:rsidR="00137004" w:rsidRPr="009B4D2A">
        <w:rPr>
          <w:rFonts w:ascii="Calibri-Light" w:eastAsia="Calibri-Light" w:hAnsi="Calibri-Light" w:cs="Yu Mincho"/>
        </w:rPr>
        <w:t xml:space="preserve">emissions are </w:t>
      </w:r>
      <w:r w:rsidRPr="009B4D2A">
        <w:rPr>
          <w:rFonts w:ascii="Calibri-Light" w:eastAsia="Calibri-Light" w:hAnsi="Calibri-Light" w:cs="Yu Mincho"/>
        </w:rPr>
        <w:t xml:space="preserve">outside the NZ ETS, as </w:t>
      </w:r>
      <w:r w:rsidR="00137004" w:rsidRPr="009B4D2A">
        <w:rPr>
          <w:rFonts w:ascii="Calibri-Light" w:eastAsia="Calibri-Light" w:hAnsi="Calibri-Light" w:cs="Yu Mincho"/>
        </w:rPr>
        <w:t>o</w:t>
      </w:r>
      <w:r w:rsidR="00631C17" w:rsidRPr="009B4D2A">
        <w:rPr>
          <w:rFonts w:ascii="Calibri-Light" w:eastAsia="Calibri-Light" w:hAnsi="Calibri-Light" w:cs="Yu Mincho"/>
        </w:rPr>
        <w:t xml:space="preserve">nly methane emissions from municipal landfill facilities are </w:t>
      </w:r>
      <w:r w:rsidR="002058BD" w:rsidRPr="009B4D2A">
        <w:rPr>
          <w:rFonts w:ascii="Calibri-Light" w:eastAsia="Calibri-Light" w:hAnsi="Calibri-Light" w:cs="Yu Mincho"/>
        </w:rPr>
        <w:t xml:space="preserve">subject to </w:t>
      </w:r>
      <w:r w:rsidR="00631C17" w:rsidRPr="009B4D2A">
        <w:rPr>
          <w:rFonts w:ascii="Calibri-Light" w:eastAsia="Calibri-Light" w:hAnsi="Calibri-Light" w:cs="Yu Mincho"/>
        </w:rPr>
        <w:t>NZ ETS</w:t>
      </w:r>
      <w:r w:rsidR="002058BD" w:rsidRPr="009B4D2A">
        <w:rPr>
          <w:rFonts w:ascii="Calibri-Light" w:eastAsia="Calibri-Light" w:hAnsi="Calibri-Light" w:cs="Yu Mincho"/>
        </w:rPr>
        <w:t xml:space="preserve"> obligations</w:t>
      </w:r>
      <w:r w:rsidR="0006654F" w:rsidRPr="009B4D2A">
        <w:rPr>
          <w:rFonts w:ascii="Calibri-Light" w:eastAsia="Calibri-Light" w:hAnsi="Calibri-Light" w:cs="Yu Mincho"/>
        </w:rPr>
        <w:t xml:space="preserve">. </w:t>
      </w:r>
      <w:r w:rsidR="009E6D0B" w:rsidRPr="009B4D2A">
        <w:rPr>
          <w:rFonts w:ascii="Calibri-Light" w:eastAsia="Calibri-Light" w:hAnsi="Calibri-Light" w:cs="Yu Mincho"/>
        </w:rPr>
        <w:t>The</w:t>
      </w:r>
      <w:r w:rsidR="008243B1" w:rsidRPr="009B4D2A">
        <w:rPr>
          <w:rFonts w:ascii="Calibri-Light" w:eastAsia="Calibri-Light" w:hAnsi="Calibri-Light" w:cs="Yu Mincho"/>
        </w:rPr>
        <w:t xml:space="preserve"> allocation is based on the</w:t>
      </w:r>
      <w:r w:rsidR="009E6D0B" w:rsidRPr="009B4D2A">
        <w:rPr>
          <w:rFonts w:ascii="Calibri-Light" w:eastAsia="Calibri-Light" w:hAnsi="Calibri-Light" w:cs="Yu Mincho"/>
        </w:rPr>
        <w:t xml:space="preserve"> breakdown of municipal versus non-municipal waste in the government’s emissions projections.</w:t>
      </w:r>
      <w:r w:rsidR="0098267F" w:rsidRPr="009B4D2A">
        <w:rPr>
          <w:rFonts w:ascii="Calibri-Light" w:eastAsia="Calibri-Light" w:hAnsi="Calibri-Light" w:cs="Yu Mincho"/>
        </w:rPr>
        <w:t xml:space="preserve"> </w:t>
      </w:r>
    </w:p>
    <w:p w14:paraId="75A0771F" w14:textId="6ACFE9DC" w:rsidR="006A52EF" w:rsidRDefault="008D4C03" w:rsidP="009338AB">
      <w:pPr>
        <w:pStyle w:val="Heading3"/>
        <w:spacing w:before="120" w:after="120"/>
        <w:rPr>
          <w:lang w:val="en-US"/>
        </w:rPr>
      </w:pPr>
      <w:bookmarkStart w:id="11" w:name="_Toc195533410"/>
      <w:r>
        <w:rPr>
          <w:lang w:val="en-US"/>
        </w:rPr>
        <w:t>F-gases</w:t>
      </w:r>
      <w:bookmarkEnd w:id="11"/>
    </w:p>
    <w:p w14:paraId="7FBDF30B" w14:textId="315326EA" w:rsidR="008D4C03" w:rsidRPr="009B4D2A" w:rsidRDefault="00E45C2F" w:rsidP="009B4D2A">
      <w:pPr>
        <w:spacing w:line="279" w:lineRule="auto"/>
        <w:rPr>
          <w:rFonts w:ascii="Calibri-Light" w:eastAsia="Calibri-Light" w:hAnsi="Calibri-Light" w:cs="Yu Mincho"/>
        </w:rPr>
      </w:pPr>
      <w:r w:rsidRPr="009B4D2A">
        <w:rPr>
          <w:rFonts w:ascii="Calibri-Light" w:eastAsia="Calibri-Light" w:hAnsi="Calibri-Light" w:cs="Yu Mincho"/>
        </w:rPr>
        <w:t>Some</w:t>
      </w:r>
      <w:r w:rsidR="0063395F" w:rsidRPr="009B4D2A" w:rsidDel="00E45C2F">
        <w:rPr>
          <w:rFonts w:ascii="Calibri-Light" w:eastAsia="Calibri-Light" w:hAnsi="Calibri-Light" w:cs="Yu Mincho"/>
        </w:rPr>
        <w:t xml:space="preserve"> </w:t>
      </w:r>
      <w:r w:rsidR="00D200FF" w:rsidRPr="009B4D2A">
        <w:rPr>
          <w:rFonts w:ascii="Calibri-Light" w:eastAsia="Calibri-Light" w:hAnsi="Calibri-Light" w:cs="Yu Mincho"/>
        </w:rPr>
        <w:t>fluorinated</w:t>
      </w:r>
      <w:r w:rsidR="0063395F" w:rsidRPr="009B4D2A">
        <w:rPr>
          <w:rFonts w:ascii="Calibri-Light" w:eastAsia="Calibri-Light" w:hAnsi="Calibri-Light" w:cs="Yu Mincho"/>
        </w:rPr>
        <w:t xml:space="preserve"> gas </w:t>
      </w:r>
      <w:r w:rsidR="00790AB6" w:rsidRPr="009B4D2A">
        <w:rPr>
          <w:rFonts w:ascii="Calibri-Light" w:eastAsia="Calibri-Light" w:hAnsi="Calibri-Light" w:cs="Yu Mincho"/>
        </w:rPr>
        <w:t xml:space="preserve">emissions </w:t>
      </w:r>
      <w:r w:rsidR="0063395F" w:rsidRPr="009B4D2A">
        <w:rPr>
          <w:rFonts w:ascii="Calibri-Light" w:eastAsia="Calibri-Light" w:hAnsi="Calibri-Light" w:cs="Yu Mincho"/>
        </w:rPr>
        <w:t>(F-gases) associated with certain goods and vehicles are price</w:t>
      </w:r>
      <w:r w:rsidR="003452DE" w:rsidRPr="009B4D2A">
        <w:rPr>
          <w:rFonts w:ascii="Calibri-Light" w:eastAsia="Calibri-Light" w:hAnsi="Calibri-Light" w:cs="Yu Mincho"/>
        </w:rPr>
        <w:t>d</w:t>
      </w:r>
      <w:r w:rsidR="0063395F" w:rsidRPr="009B4D2A">
        <w:rPr>
          <w:rFonts w:ascii="Calibri-Light" w:eastAsia="Calibri-Light" w:hAnsi="Calibri-Light" w:cs="Yu Mincho"/>
        </w:rPr>
        <w:t xml:space="preserve"> </w:t>
      </w:r>
      <w:r w:rsidR="0063177C" w:rsidRPr="009B4D2A">
        <w:rPr>
          <w:rFonts w:ascii="Calibri-Light" w:eastAsia="Calibri-Light" w:hAnsi="Calibri-Light" w:cs="Yu Mincho"/>
        </w:rPr>
        <w:t>vi</w:t>
      </w:r>
      <w:r w:rsidR="007A5F02" w:rsidRPr="009B4D2A">
        <w:rPr>
          <w:rFonts w:ascii="Calibri-Light" w:eastAsia="Calibri-Light" w:hAnsi="Calibri-Light" w:cs="Yu Mincho"/>
        </w:rPr>
        <w:t>a</w:t>
      </w:r>
      <w:r w:rsidR="0063177C" w:rsidRPr="009B4D2A">
        <w:rPr>
          <w:rFonts w:ascii="Calibri-Light" w:eastAsia="Calibri-Light" w:hAnsi="Calibri-Light" w:cs="Yu Mincho"/>
        </w:rPr>
        <w:t xml:space="preserve"> </w:t>
      </w:r>
      <w:r w:rsidR="0063395F" w:rsidRPr="009B4D2A">
        <w:rPr>
          <w:rFonts w:ascii="Calibri-Light" w:eastAsia="Calibri-Light" w:hAnsi="Calibri-Light" w:cs="Yu Mincho"/>
        </w:rPr>
        <w:t xml:space="preserve">the Synthetic Greenhouse Gas (SGG) levy instead of </w:t>
      </w:r>
      <w:r w:rsidR="004127BC" w:rsidRPr="009B4D2A">
        <w:rPr>
          <w:rFonts w:ascii="Calibri-Light" w:eastAsia="Calibri-Light" w:hAnsi="Calibri-Light" w:cs="Yu Mincho"/>
        </w:rPr>
        <w:t xml:space="preserve">being covered by the </w:t>
      </w:r>
      <w:r w:rsidR="0063395F" w:rsidRPr="009B4D2A">
        <w:rPr>
          <w:rFonts w:ascii="Calibri-Light" w:eastAsia="Calibri-Light" w:hAnsi="Calibri-Light" w:cs="Yu Mincho"/>
        </w:rPr>
        <w:t xml:space="preserve">NZ ETS. </w:t>
      </w:r>
    </w:p>
    <w:p w14:paraId="7994BA32" w14:textId="3015791C" w:rsidR="004779E0" w:rsidRDefault="00D200FF" w:rsidP="009B4D2A">
      <w:pPr>
        <w:spacing w:line="279" w:lineRule="auto"/>
        <w:rPr>
          <w:lang w:val="en-US"/>
        </w:rPr>
      </w:pPr>
      <w:r w:rsidRPr="009B4D2A">
        <w:rPr>
          <w:rFonts w:ascii="Calibri-Light" w:eastAsia="Calibri-Light" w:hAnsi="Calibri-Light" w:cs="Yu Mincho"/>
        </w:rPr>
        <w:t>To estimate the percentage of F-gases covered by the SGG levy we reviewed historic</w:t>
      </w:r>
      <w:r w:rsidR="002E5114" w:rsidRPr="009B4D2A">
        <w:rPr>
          <w:rFonts w:ascii="Calibri-Light" w:eastAsia="Calibri-Light" w:hAnsi="Calibri-Light" w:cs="Yu Mincho"/>
        </w:rPr>
        <w:t>al</w:t>
      </w:r>
      <w:r w:rsidRPr="009B4D2A">
        <w:rPr>
          <w:rFonts w:ascii="Calibri-Light" w:eastAsia="Calibri-Light" w:hAnsi="Calibri-Light" w:cs="Yu Mincho"/>
        </w:rPr>
        <w:t xml:space="preserve"> data on emissions reported in the NZ ETS, SGG levy and GHG inventory. </w:t>
      </w:r>
      <w:r w:rsidR="009F3FF4" w:rsidRPr="009B4D2A">
        <w:rPr>
          <w:rFonts w:ascii="Calibri-Light" w:eastAsia="Calibri-Light" w:hAnsi="Calibri-Light" w:cs="Yu Mincho"/>
        </w:rPr>
        <w:t xml:space="preserve">For this </w:t>
      </w:r>
      <w:r w:rsidR="006F4B23" w:rsidRPr="009B4D2A">
        <w:rPr>
          <w:rFonts w:ascii="Calibri-Light" w:eastAsia="Calibri-Light" w:hAnsi="Calibri-Light" w:cs="Yu Mincho"/>
        </w:rPr>
        <w:t>year’s</w:t>
      </w:r>
      <w:r w:rsidR="009F3FF4" w:rsidRPr="009B4D2A">
        <w:rPr>
          <w:rFonts w:ascii="Calibri-Light" w:eastAsia="Calibri-Light" w:hAnsi="Calibri-Light" w:cs="Yu Mincho"/>
        </w:rPr>
        <w:t xml:space="preserve"> advice we have applied the same methodology as previously used</w:t>
      </w:r>
      <w:r w:rsidR="00CA632E" w:rsidRPr="009B4D2A">
        <w:rPr>
          <w:rFonts w:ascii="Calibri-Light" w:eastAsia="Calibri-Light" w:hAnsi="Calibri-Light" w:cs="Yu Mincho"/>
        </w:rPr>
        <w:t xml:space="preserve"> and applied the average </w:t>
      </w:r>
      <w:r w:rsidR="00A951EA" w:rsidRPr="009B4D2A">
        <w:rPr>
          <w:rFonts w:ascii="Calibri-Light" w:eastAsia="Calibri-Light" w:hAnsi="Calibri-Light" w:cs="Yu Mincho"/>
        </w:rPr>
        <w:t xml:space="preserve">percentage of F-gas emissions reported in the SGG </w:t>
      </w:r>
      <w:r w:rsidR="001E4728" w:rsidRPr="009B4D2A">
        <w:rPr>
          <w:rFonts w:ascii="Calibri-Light" w:eastAsia="Calibri-Light" w:hAnsi="Calibri-Light" w:cs="Yu Mincho"/>
        </w:rPr>
        <w:t xml:space="preserve">levy </w:t>
      </w:r>
      <w:r w:rsidR="00A951EA" w:rsidRPr="009B4D2A">
        <w:rPr>
          <w:rFonts w:ascii="Calibri-Light" w:eastAsia="Calibri-Light" w:hAnsi="Calibri-Light" w:cs="Yu Mincho"/>
        </w:rPr>
        <w:t>compared to those reported in the inventory.</w:t>
      </w:r>
      <w:r w:rsidR="00A951EA">
        <w:rPr>
          <w:lang w:val="en-US"/>
        </w:rPr>
        <w:t xml:space="preserve"> </w:t>
      </w:r>
      <w:r w:rsidR="00980C34">
        <w:rPr>
          <w:lang w:val="en-US"/>
        </w:rPr>
        <w:t>Our</w:t>
      </w:r>
      <w:r w:rsidR="00183C35">
        <w:rPr>
          <w:lang w:val="en-US"/>
        </w:rPr>
        <w:t xml:space="preserve"> 2024 </w:t>
      </w:r>
      <w:r w:rsidR="00980C34">
        <w:rPr>
          <w:lang w:val="en-US"/>
        </w:rPr>
        <w:t xml:space="preserve">advice </w:t>
      </w:r>
      <w:r w:rsidR="00BD0D17">
        <w:rPr>
          <w:lang w:val="en-US"/>
        </w:rPr>
        <w:t>assumed</w:t>
      </w:r>
      <w:r w:rsidR="00980C34">
        <w:rPr>
          <w:lang w:val="en-US"/>
        </w:rPr>
        <w:t xml:space="preserve"> 49% </w:t>
      </w:r>
      <w:r w:rsidR="00BD0D17">
        <w:rPr>
          <w:lang w:val="en-US"/>
        </w:rPr>
        <w:t>of F-gas emissions are covered by the SGG levy</w:t>
      </w:r>
      <w:r w:rsidR="00980C34">
        <w:rPr>
          <w:lang w:val="en-US"/>
        </w:rPr>
        <w:t xml:space="preserve">. Based on an additional </w:t>
      </w:r>
      <w:r w:rsidR="00B307B9">
        <w:rPr>
          <w:lang w:val="en-US"/>
        </w:rPr>
        <w:t xml:space="preserve">year of </w:t>
      </w:r>
      <w:r w:rsidR="00980C34">
        <w:rPr>
          <w:lang w:val="en-US"/>
        </w:rPr>
        <w:t xml:space="preserve">data this has been updated to 52%. </w:t>
      </w:r>
    </w:p>
    <w:p w14:paraId="3DB54E7D" w14:textId="286A8C3E" w:rsidR="00D200FF" w:rsidRDefault="004A23D4" w:rsidP="00E36765">
      <w:r>
        <w:t xml:space="preserve">On this basis, </w:t>
      </w:r>
      <w:r w:rsidR="004779E0" w:rsidRPr="7D422436">
        <w:t xml:space="preserve">F-gases covered by the SGG </w:t>
      </w:r>
      <w:r w:rsidR="009744A7" w:rsidRPr="7D422436">
        <w:t xml:space="preserve">levy </w:t>
      </w:r>
      <w:r w:rsidR="004779E0" w:rsidRPr="7D422436">
        <w:t xml:space="preserve">account for approximately </w:t>
      </w:r>
      <w:r w:rsidR="009744A7" w:rsidRPr="7D422436">
        <w:t xml:space="preserve">2.7 </w:t>
      </w:r>
      <w:r w:rsidR="009744A7" w:rsidRPr="006F0998">
        <w:t>Mt</w:t>
      </w:r>
      <w:r w:rsidR="006F0998" w:rsidRPr="006F0998">
        <w:rPr>
          <w:lang w:val="en-US"/>
        </w:rPr>
        <w:t>CO</w:t>
      </w:r>
      <w:r w:rsidR="006F0998" w:rsidRPr="006F0998">
        <w:rPr>
          <w:vertAlign w:val="subscript"/>
          <w:lang w:val="en-US"/>
        </w:rPr>
        <w:t>2</w:t>
      </w:r>
      <w:r w:rsidR="006F0998" w:rsidRPr="006F0998">
        <w:rPr>
          <w:lang w:val="en-US"/>
        </w:rPr>
        <w:t>e</w:t>
      </w:r>
      <w:r w:rsidR="009744A7" w:rsidRPr="7D422436">
        <w:t xml:space="preserve">, </w:t>
      </w:r>
      <w:r w:rsidR="00F3246B" w:rsidRPr="7D422436">
        <w:t xml:space="preserve">and </w:t>
      </w:r>
      <w:r w:rsidR="000334F0" w:rsidRPr="0044273B">
        <w:t>1.3</w:t>
      </w:r>
      <w:r w:rsidR="00F3246B" w:rsidRPr="0044273B">
        <w:t>%</w:t>
      </w:r>
      <w:r w:rsidR="000334F0" w:rsidRPr="7D422436">
        <w:t xml:space="preserve"> </w:t>
      </w:r>
      <w:r w:rsidR="00F3246B" w:rsidRPr="7D422436">
        <w:t xml:space="preserve">of </w:t>
      </w:r>
      <w:r w:rsidR="001D41D8">
        <w:t xml:space="preserve">forecast </w:t>
      </w:r>
      <w:r w:rsidR="00F3246B" w:rsidRPr="7D422436">
        <w:t>non-</w:t>
      </w:r>
      <w:r w:rsidR="00A4464D">
        <w:t xml:space="preserve">NZ </w:t>
      </w:r>
      <w:r w:rsidR="00F3246B" w:rsidRPr="7D422436">
        <w:t>ETS emissions</w:t>
      </w:r>
      <w:r w:rsidR="0024193F">
        <w:t xml:space="preserve"> </w:t>
      </w:r>
      <w:r w:rsidR="0024193F" w:rsidRPr="7D422436">
        <w:t>over 2026-2030</w:t>
      </w:r>
      <w:r w:rsidR="00F3246B" w:rsidRPr="7D422436">
        <w:t xml:space="preserve">. </w:t>
      </w:r>
    </w:p>
    <w:p w14:paraId="3E5A791A" w14:textId="63761CA8" w:rsidR="00EF460E" w:rsidRDefault="00EF460E" w:rsidP="009338AB">
      <w:pPr>
        <w:pStyle w:val="Heading3"/>
        <w:spacing w:before="120" w:after="120"/>
        <w:rPr>
          <w:lang w:val="en-US"/>
        </w:rPr>
      </w:pPr>
      <w:bookmarkStart w:id="12" w:name="_Toc195533411"/>
      <w:r>
        <w:rPr>
          <w:lang w:val="en-US"/>
        </w:rPr>
        <w:t>I</w:t>
      </w:r>
      <w:r w:rsidR="00164D16">
        <w:rPr>
          <w:lang w:val="en-US"/>
        </w:rPr>
        <w:t>ndustrial processes and product use</w:t>
      </w:r>
      <w:bookmarkEnd w:id="12"/>
    </w:p>
    <w:p w14:paraId="2FE4A573" w14:textId="77777777" w:rsidR="00EF460E" w:rsidRDefault="00EF460E" w:rsidP="00EF460E">
      <w:pPr>
        <w:rPr>
          <w:lang w:val="en-US"/>
        </w:rPr>
      </w:pPr>
      <w:r>
        <w:rPr>
          <w:lang w:val="en-US"/>
        </w:rPr>
        <w:t>Several small emissions sources in the Industrial Processes and Product Use (IPPU) inventory category are outside of the NZ ETS. These include:</w:t>
      </w:r>
    </w:p>
    <w:p w14:paraId="71ABFFCC" w14:textId="45364873" w:rsidR="00EF460E" w:rsidRPr="00856A66" w:rsidRDefault="001A5F93" w:rsidP="00843C57">
      <w:pPr>
        <w:pStyle w:val="Bodybullets"/>
        <w:rPr>
          <w:rStyle w:val="cf01"/>
          <w:rFonts w:asciiTheme="minorHAnsi" w:eastAsiaTheme="minorHAnsi" w:hAnsiTheme="minorHAnsi" w:cstheme="minorHAnsi"/>
          <w:sz w:val="24"/>
          <w:szCs w:val="24"/>
          <w:lang w:eastAsia="en-US"/>
        </w:rPr>
      </w:pPr>
      <w:r>
        <w:rPr>
          <w:rStyle w:val="cf01"/>
          <w:rFonts w:asciiTheme="minorHAnsi" w:hAnsiTheme="minorHAnsi" w:cstheme="minorHAnsi"/>
          <w:sz w:val="24"/>
          <w:szCs w:val="24"/>
        </w:rPr>
        <w:t>n</w:t>
      </w:r>
      <w:r w:rsidR="00EF460E" w:rsidRPr="00856A66">
        <w:rPr>
          <w:rStyle w:val="cf01"/>
          <w:rFonts w:asciiTheme="minorHAnsi" w:hAnsiTheme="minorHAnsi" w:cstheme="minorHAnsi"/>
          <w:sz w:val="24"/>
          <w:szCs w:val="24"/>
        </w:rPr>
        <w:t>on-energy products from fuels and solvent use</w:t>
      </w:r>
    </w:p>
    <w:p w14:paraId="6E8118D6" w14:textId="4E864170" w:rsidR="00EF460E" w:rsidRPr="00856A66" w:rsidRDefault="001A5F93" w:rsidP="00843C57">
      <w:pPr>
        <w:pStyle w:val="Bodybullets"/>
        <w:rPr>
          <w:rStyle w:val="cf01"/>
          <w:rFonts w:asciiTheme="minorHAnsi" w:hAnsiTheme="minorHAnsi" w:cstheme="minorHAnsi"/>
          <w:sz w:val="24"/>
          <w:szCs w:val="24"/>
        </w:rPr>
      </w:pPr>
      <w:r>
        <w:rPr>
          <w:rStyle w:val="cf01"/>
          <w:rFonts w:asciiTheme="minorHAnsi" w:hAnsiTheme="minorHAnsi" w:cstheme="minorHAnsi"/>
          <w:sz w:val="24"/>
          <w:szCs w:val="24"/>
        </w:rPr>
        <w:t>s</w:t>
      </w:r>
      <w:r w:rsidR="00EF460E" w:rsidRPr="00856A66">
        <w:rPr>
          <w:rStyle w:val="cf01"/>
          <w:rFonts w:asciiTheme="minorHAnsi" w:hAnsiTheme="minorHAnsi" w:cstheme="minorHAnsi"/>
          <w:sz w:val="24"/>
          <w:szCs w:val="24"/>
        </w:rPr>
        <w:t>ulphur hexafluoride and perfluorocarbons from medical and other product use</w:t>
      </w:r>
    </w:p>
    <w:p w14:paraId="69A2C0F3" w14:textId="0F89417A" w:rsidR="00EF460E" w:rsidRPr="00856A66" w:rsidRDefault="001A5F93" w:rsidP="00843C57">
      <w:pPr>
        <w:pStyle w:val="Bodybullets"/>
        <w:rPr>
          <w:rStyle w:val="cf01"/>
          <w:rFonts w:asciiTheme="minorHAnsi" w:hAnsiTheme="minorHAnsi" w:cstheme="minorHAnsi"/>
          <w:sz w:val="24"/>
          <w:szCs w:val="24"/>
        </w:rPr>
      </w:pPr>
      <w:r>
        <w:rPr>
          <w:rStyle w:val="cf01"/>
          <w:rFonts w:asciiTheme="minorHAnsi" w:hAnsiTheme="minorHAnsi" w:cstheme="minorHAnsi"/>
          <w:sz w:val="24"/>
          <w:szCs w:val="24"/>
        </w:rPr>
        <w:t>n</w:t>
      </w:r>
      <w:r w:rsidR="00EF460E" w:rsidRPr="00856A66">
        <w:rPr>
          <w:rStyle w:val="cf01"/>
          <w:rFonts w:asciiTheme="minorHAnsi" w:hAnsiTheme="minorHAnsi" w:cstheme="minorHAnsi"/>
          <w:sz w:val="24"/>
          <w:szCs w:val="24"/>
        </w:rPr>
        <w:t>itrous oxide from medical applications</w:t>
      </w:r>
    </w:p>
    <w:p w14:paraId="23D12A2F" w14:textId="1FA1AC5B" w:rsidR="00EF460E" w:rsidRPr="00856A66" w:rsidRDefault="001A5F93" w:rsidP="00843C57">
      <w:pPr>
        <w:pStyle w:val="Bodybullets"/>
      </w:pPr>
      <w:r>
        <w:rPr>
          <w:rStyle w:val="cf01"/>
          <w:rFonts w:asciiTheme="minorHAnsi" w:hAnsiTheme="minorHAnsi" w:cstheme="minorHAnsi"/>
          <w:sz w:val="24"/>
          <w:szCs w:val="24"/>
        </w:rPr>
        <w:t>o</w:t>
      </w:r>
      <w:r w:rsidR="00EF460E" w:rsidRPr="00856A66">
        <w:rPr>
          <w:rStyle w:val="cf01"/>
          <w:rFonts w:asciiTheme="minorHAnsi" w:hAnsiTheme="minorHAnsi" w:cstheme="minorHAnsi"/>
          <w:sz w:val="24"/>
          <w:szCs w:val="24"/>
        </w:rPr>
        <w:t>ther uses of carbonate</w:t>
      </w:r>
      <w:r>
        <w:rPr>
          <w:rStyle w:val="cf01"/>
          <w:rFonts w:asciiTheme="minorHAnsi" w:hAnsiTheme="minorHAnsi" w:cstheme="minorHAnsi"/>
          <w:sz w:val="24"/>
          <w:szCs w:val="24"/>
        </w:rPr>
        <w:t>.</w:t>
      </w:r>
    </w:p>
    <w:p w14:paraId="2A4C02E0" w14:textId="550B0156" w:rsidR="00EF460E" w:rsidRPr="009B4D2A" w:rsidRDefault="00EF460E" w:rsidP="399FF34D">
      <w:pPr>
        <w:spacing w:line="279" w:lineRule="auto"/>
        <w:rPr>
          <w:rFonts w:ascii="Calibri-Light" w:eastAsia="Calibri-Light" w:hAnsi="Calibri-Light" w:cs="Yu Mincho"/>
          <w:lang w:val="en-US"/>
        </w:rPr>
      </w:pPr>
      <w:r w:rsidRPr="399FF34D">
        <w:rPr>
          <w:rFonts w:ascii="Calibri-Light" w:eastAsia="Calibri-Light" w:hAnsi="Calibri-Light" w:cs="Yu Mincho"/>
          <w:lang w:val="en-US"/>
        </w:rPr>
        <w:t xml:space="preserve">The </w:t>
      </w:r>
      <w:r w:rsidR="004C2FFD" w:rsidRPr="399FF34D">
        <w:rPr>
          <w:rFonts w:ascii="Calibri-Light" w:eastAsia="Calibri-Light" w:hAnsi="Calibri-Light" w:cs="Yu Mincho"/>
          <w:lang w:val="en-US"/>
        </w:rPr>
        <w:t xml:space="preserve">ERP2 </w:t>
      </w:r>
      <w:r w:rsidR="001A5F93" w:rsidRPr="399FF34D">
        <w:rPr>
          <w:rFonts w:ascii="Calibri-Light" w:eastAsia="Calibri-Light" w:hAnsi="Calibri-Light" w:cs="Yu Mincho"/>
          <w:lang w:val="en-US"/>
        </w:rPr>
        <w:t xml:space="preserve">emissions projections </w:t>
      </w:r>
      <w:r w:rsidRPr="399FF34D">
        <w:rPr>
          <w:rFonts w:ascii="Calibri-Light" w:eastAsia="Calibri-Light" w:hAnsi="Calibri-Light" w:cs="Yu Mincho"/>
          <w:lang w:val="en-US"/>
        </w:rPr>
        <w:t>do not separate IPPU emissions into this level of detail. To determine an estimate, we took historic</w:t>
      </w:r>
      <w:r w:rsidR="00BD22AD" w:rsidRPr="399FF34D">
        <w:rPr>
          <w:rFonts w:ascii="Calibri-Light" w:eastAsia="Calibri-Light" w:hAnsi="Calibri-Light" w:cs="Yu Mincho"/>
          <w:lang w:val="en-US"/>
        </w:rPr>
        <w:t>al</w:t>
      </w:r>
      <w:r w:rsidRPr="399FF34D">
        <w:rPr>
          <w:rFonts w:ascii="Calibri-Light" w:eastAsia="Calibri-Light" w:hAnsi="Calibri-Light" w:cs="Yu Mincho"/>
          <w:lang w:val="en-US"/>
        </w:rPr>
        <w:t xml:space="preserve"> data from the GHG inventory Common Reporting Format (CRF) tables that separate </w:t>
      </w:r>
      <w:r w:rsidR="00F73F0F" w:rsidRPr="399FF34D">
        <w:rPr>
          <w:rFonts w:ascii="Calibri-Light" w:eastAsia="Calibri-Light" w:hAnsi="Calibri-Light" w:cs="Yu Mincho"/>
          <w:lang w:val="en-US"/>
        </w:rPr>
        <w:t xml:space="preserve">out </w:t>
      </w:r>
      <w:r w:rsidRPr="399FF34D">
        <w:rPr>
          <w:rFonts w:ascii="Calibri-Light" w:eastAsia="Calibri-Light" w:hAnsi="Calibri-Light" w:cs="Yu Mincho"/>
          <w:lang w:val="en-US"/>
        </w:rPr>
        <w:t xml:space="preserve">these categories and </w:t>
      </w:r>
      <w:r w:rsidR="00851725" w:rsidRPr="399FF34D">
        <w:rPr>
          <w:rFonts w:ascii="Calibri-Light" w:eastAsia="Calibri-Light" w:hAnsi="Calibri-Light" w:cs="Yu Mincho"/>
          <w:lang w:val="en-US"/>
        </w:rPr>
        <w:t>determined the</w:t>
      </w:r>
      <w:r w:rsidR="002A4178" w:rsidRPr="399FF34D">
        <w:rPr>
          <w:rFonts w:ascii="Calibri-Light" w:eastAsia="Calibri-Light" w:hAnsi="Calibri-Light" w:cs="Yu Mincho"/>
          <w:lang w:val="en-US"/>
        </w:rPr>
        <w:t>ir</w:t>
      </w:r>
      <w:r w:rsidRPr="399FF34D">
        <w:rPr>
          <w:rFonts w:ascii="Calibri-Light" w:eastAsia="Calibri-Light" w:hAnsi="Calibri-Light" w:cs="Yu Mincho"/>
          <w:lang w:val="en-US"/>
        </w:rPr>
        <w:t xml:space="preserve"> average proportion of </w:t>
      </w:r>
      <w:r w:rsidR="000A1975" w:rsidRPr="399FF34D">
        <w:rPr>
          <w:rFonts w:ascii="Calibri-Light" w:eastAsia="Calibri-Light" w:hAnsi="Calibri-Light" w:cs="Yu Mincho"/>
          <w:lang w:val="en-US"/>
        </w:rPr>
        <w:t xml:space="preserve">total </w:t>
      </w:r>
      <w:r w:rsidRPr="399FF34D">
        <w:rPr>
          <w:rFonts w:ascii="Calibri-Light" w:eastAsia="Calibri-Light" w:hAnsi="Calibri-Light" w:cs="Yu Mincho"/>
          <w:lang w:val="en-US"/>
        </w:rPr>
        <w:t xml:space="preserve">IPPU </w:t>
      </w:r>
      <w:r w:rsidR="005C4B54" w:rsidRPr="399FF34D">
        <w:rPr>
          <w:rFonts w:ascii="Calibri-Light" w:eastAsia="Calibri-Light" w:hAnsi="Calibri-Light" w:cs="Yu Mincho"/>
          <w:lang w:val="en-US"/>
        </w:rPr>
        <w:t>emissions</w:t>
      </w:r>
      <w:r w:rsidRPr="399FF34D">
        <w:rPr>
          <w:rFonts w:ascii="Calibri-Light" w:eastAsia="Calibri-Light" w:hAnsi="Calibri-Light" w:cs="Yu Mincho"/>
          <w:lang w:val="en-US"/>
        </w:rPr>
        <w:t>. Over the last 5 years the average percentage was 4.2%</w:t>
      </w:r>
      <w:r w:rsidR="0044273B" w:rsidRPr="399FF34D">
        <w:rPr>
          <w:rFonts w:ascii="Calibri-Light" w:eastAsia="Calibri-Light" w:hAnsi="Calibri-Light" w:cs="Yu Mincho"/>
          <w:lang w:val="en-US"/>
        </w:rPr>
        <w:t>,</w:t>
      </w:r>
      <w:r w:rsidRPr="399FF34D">
        <w:rPr>
          <w:rFonts w:ascii="Calibri-Light" w:eastAsia="Calibri-Light" w:hAnsi="Calibri-Light" w:cs="Yu Mincho"/>
          <w:lang w:val="en-US"/>
        </w:rPr>
        <w:t xml:space="preserve"> resulting </w:t>
      </w:r>
      <w:r w:rsidR="00F41396" w:rsidRPr="399FF34D">
        <w:rPr>
          <w:rFonts w:ascii="Calibri-Light" w:eastAsia="Calibri-Light" w:hAnsi="Calibri-Light" w:cs="Yu Mincho"/>
          <w:lang w:val="en-US"/>
        </w:rPr>
        <w:t xml:space="preserve">in </w:t>
      </w:r>
      <w:r w:rsidR="00BA24F4" w:rsidRPr="399FF34D">
        <w:rPr>
          <w:rFonts w:ascii="Calibri-Light" w:eastAsia="Calibri-Light" w:hAnsi="Calibri-Light" w:cs="Yu Mincho"/>
          <w:lang w:val="en-US"/>
        </w:rPr>
        <w:t xml:space="preserve">our </w:t>
      </w:r>
      <w:r w:rsidRPr="399FF34D">
        <w:rPr>
          <w:rFonts w:ascii="Calibri-Light" w:eastAsia="Calibri-Light" w:hAnsi="Calibri-Light" w:cs="Yu Mincho"/>
          <w:lang w:val="en-US"/>
        </w:rPr>
        <w:t xml:space="preserve">estimate that over 2026-2030 these emissions will sum to </w:t>
      </w:r>
      <w:r w:rsidR="00364ED2" w:rsidRPr="399FF34D">
        <w:rPr>
          <w:rFonts w:ascii="Calibri-Light" w:eastAsia="Calibri-Light" w:hAnsi="Calibri-Light" w:cs="Yu Mincho"/>
          <w:lang w:val="en-US"/>
        </w:rPr>
        <w:t xml:space="preserve">around </w:t>
      </w:r>
      <w:r w:rsidRPr="399FF34D">
        <w:rPr>
          <w:rFonts w:ascii="Calibri-Light" w:eastAsia="Calibri-Light" w:hAnsi="Calibri-Light" w:cs="Yu Mincho"/>
          <w:lang w:val="en-US"/>
        </w:rPr>
        <w:t>0.7</w:t>
      </w:r>
      <w:r w:rsidR="00307026" w:rsidRPr="399FF34D">
        <w:rPr>
          <w:rFonts w:ascii="Calibri-Light" w:eastAsia="Calibri-Light" w:hAnsi="Calibri-Light" w:cs="Yu Mincho"/>
          <w:lang w:val="en-US"/>
        </w:rPr>
        <w:t xml:space="preserve"> </w:t>
      </w:r>
      <w:r w:rsidRPr="399FF34D">
        <w:rPr>
          <w:rFonts w:ascii="Calibri-Light" w:eastAsia="Calibri-Light" w:hAnsi="Calibri-Light" w:cs="Yu Mincho"/>
          <w:lang w:val="en-US"/>
        </w:rPr>
        <w:t>Mt</w:t>
      </w:r>
      <w:r w:rsidR="00C96B88" w:rsidRPr="399FF34D">
        <w:rPr>
          <w:rFonts w:ascii="Calibri-Light" w:eastAsia="Calibri-Light" w:hAnsi="Calibri-Light" w:cs="Yu Mincho"/>
          <w:lang w:val="en-US"/>
        </w:rPr>
        <w:t>CO</w:t>
      </w:r>
      <w:r w:rsidR="00C96B88" w:rsidRPr="399FF34D">
        <w:rPr>
          <w:rFonts w:ascii="Calibri-Light" w:eastAsia="Calibri-Light" w:hAnsi="Calibri-Light" w:cs="Yu Mincho"/>
          <w:vertAlign w:val="subscript"/>
          <w:lang w:val="en-US"/>
        </w:rPr>
        <w:t>2</w:t>
      </w:r>
      <w:r w:rsidR="00C96B88" w:rsidRPr="399FF34D">
        <w:rPr>
          <w:rFonts w:ascii="Calibri-Light" w:eastAsia="Calibri-Light" w:hAnsi="Calibri-Light" w:cs="Yu Mincho"/>
          <w:lang w:val="en-US"/>
        </w:rPr>
        <w:t>e</w:t>
      </w:r>
      <w:r w:rsidR="0044273B" w:rsidRPr="399FF34D">
        <w:rPr>
          <w:rFonts w:ascii="Calibri-Light" w:eastAsia="Calibri-Light" w:hAnsi="Calibri-Light" w:cs="Yu Mincho"/>
          <w:lang w:val="en-US"/>
        </w:rPr>
        <w:t>.</w:t>
      </w:r>
    </w:p>
    <w:p w14:paraId="14FECF54" w14:textId="7BBE90AC" w:rsidR="00942A5E" w:rsidRDefault="00942A5E" w:rsidP="009338AB">
      <w:pPr>
        <w:pStyle w:val="Heading3"/>
        <w:spacing w:before="120" w:after="120"/>
        <w:rPr>
          <w:lang w:val="en-US"/>
        </w:rPr>
      </w:pPr>
      <w:bookmarkStart w:id="13" w:name="_Toc195533412"/>
      <w:r>
        <w:rPr>
          <w:lang w:val="en-US"/>
        </w:rPr>
        <w:t>Biomass combustion</w:t>
      </w:r>
      <w:bookmarkEnd w:id="13"/>
    </w:p>
    <w:p w14:paraId="255C9376" w14:textId="4CC46A0E" w:rsidR="006815E8" w:rsidRPr="009B4D2A" w:rsidRDefault="00B64DB3" w:rsidP="009B4D2A">
      <w:pPr>
        <w:spacing w:line="279" w:lineRule="auto"/>
        <w:rPr>
          <w:rFonts w:ascii="Calibri-Light" w:eastAsia="Calibri-Light" w:hAnsi="Calibri-Light" w:cs="Yu Mincho"/>
          <w:szCs w:val="24"/>
        </w:rPr>
      </w:pPr>
      <w:r w:rsidRPr="009B4D2A">
        <w:rPr>
          <w:rFonts w:ascii="Calibri-Light" w:eastAsia="Calibri-Light" w:hAnsi="Calibri-Light" w:cs="Yu Mincho"/>
        </w:rPr>
        <w:t xml:space="preserve">When biomass is combusted, in addition to carbon dioxide emissions, a small amount of methane and nitrous oxide emissions are produced. </w:t>
      </w:r>
      <w:r w:rsidR="00986E99" w:rsidRPr="009B4D2A">
        <w:rPr>
          <w:rFonts w:ascii="Calibri-Light" w:eastAsia="Calibri-Light" w:hAnsi="Calibri-Light" w:cs="Yu Mincho"/>
        </w:rPr>
        <w:t>These m</w:t>
      </w:r>
      <w:r w:rsidR="006815E8" w:rsidRPr="009B4D2A">
        <w:rPr>
          <w:rFonts w:ascii="Calibri-Light" w:eastAsia="Calibri-Light" w:hAnsi="Calibri-Light" w:cs="Yu Mincho"/>
        </w:rPr>
        <w:t xml:space="preserve">ethane and nitrous oxide emissions from biomass combustion are </w:t>
      </w:r>
      <w:r w:rsidR="00986E99" w:rsidRPr="009B4D2A">
        <w:rPr>
          <w:rFonts w:ascii="Calibri-Light" w:eastAsia="Calibri-Light" w:hAnsi="Calibri-Light" w:cs="Yu Mincho"/>
        </w:rPr>
        <w:t>not covered by</w:t>
      </w:r>
      <w:r w:rsidR="006815E8" w:rsidRPr="009B4D2A">
        <w:rPr>
          <w:rFonts w:ascii="Calibri-Light" w:eastAsia="Calibri-Light" w:hAnsi="Calibri-Light" w:cs="Yu Mincho"/>
        </w:rPr>
        <w:t xml:space="preserve"> the NZ ETS.</w:t>
      </w:r>
      <w:r w:rsidR="00FF348E" w:rsidRPr="009B4D2A">
        <w:rPr>
          <w:rFonts w:ascii="Calibri-Light" w:eastAsia="Calibri-Light" w:hAnsi="Calibri-Light" w:cs="Yu Mincho"/>
        </w:rPr>
        <w:t xml:space="preserve"> In</w:t>
      </w:r>
      <w:r w:rsidR="000F0EC7" w:rsidRPr="009B4D2A">
        <w:rPr>
          <w:rFonts w:ascii="Calibri-Light" w:eastAsia="Calibri-Light" w:hAnsi="Calibri-Light" w:cs="Yu Mincho"/>
        </w:rPr>
        <w:t xml:space="preserve"> the accounting used for Aotearoa New Zealand’s targets, including for emissions b</w:t>
      </w:r>
      <w:r w:rsidR="00E94B09" w:rsidRPr="009B4D2A">
        <w:rPr>
          <w:rFonts w:ascii="Calibri-Light" w:eastAsia="Calibri-Light" w:hAnsi="Calibri-Light" w:cs="Yu Mincho"/>
        </w:rPr>
        <w:t>udgets</w:t>
      </w:r>
      <w:r w:rsidR="00C93E71" w:rsidRPr="009B4D2A">
        <w:rPr>
          <w:rFonts w:ascii="Calibri-Light" w:eastAsia="Calibri-Light" w:hAnsi="Calibri-Light" w:cs="Yu Mincho"/>
        </w:rPr>
        <w:t xml:space="preserve">, </w:t>
      </w:r>
      <w:r w:rsidR="009F1CB3" w:rsidRPr="009B4D2A">
        <w:rPr>
          <w:rFonts w:ascii="Calibri-Light" w:eastAsia="Calibri-Light" w:hAnsi="Calibri-Light" w:cs="Yu Mincho"/>
        </w:rPr>
        <w:t>n</w:t>
      </w:r>
      <w:r w:rsidR="006815E8" w:rsidRPr="009B4D2A">
        <w:rPr>
          <w:rFonts w:ascii="Calibri-Light" w:eastAsia="Calibri-Light" w:hAnsi="Calibri-Light" w:cs="Yu Mincho"/>
        </w:rPr>
        <w:t>et CO</w:t>
      </w:r>
      <w:r w:rsidR="006815E8" w:rsidRPr="009B4D2A">
        <w:rPr>
          <w:rFonts w:ascii="Calibri-Light" w:eastAsia="Calibri-Light" w:hAnsi="Calibri-Light" w:cs="Yu Mincho"/>
          <w:szCs w:val="24"/>
        </w:rPr>
        <w:t>2</w:t>
      </w:r>
      <w:r w:rsidR="009D7B6A" w:rsidRPr="009B4D2A">
        <w:rPr>
          <w:rFonts w:ascii="Calibri-Light" w:eastAsia="Calibri-Light" w:hAnsi="Calibri-Light" w:cs="Yu Mincho"/>
        </w:rPr>
        <w:t xml:space="preserve">e </w:t>
      </w:r>
      <w:r w:rsidR="006815E8" w:rsidRPr="009B4D2A">
        <w:rPr>
          <w:rFonts w:ascii="Calibri-Light" w:eastAsia="Calibri-Light" w:hAnsi="Calibri-Light" w:cs="Yu Mincho"/>
        </w:rPr>
        <w:t xml:space="preserve">emissions from biomass combustion are accounted for </w:t>
      </w:r>
      <w:r w:rsidR="009F1CB3" w:rsidRPr="009B4D2A">
        <w:rPr>
          <w:rFonts w:ascii="Calibri-Light" w:eastAsia="Calibri-Light" w:hAnsi="Calibri-Light" w:cs="Yu Mincho"/>
        </w:rPr>
        <w:t xml:space="preserve">as </w:t>
      </w:r>
      <w:r w:rsidR="002E2426" w:rsidRPr="009B4D2A">
        <w:rPr>
          <w:rFonts w:ascii="Calibri-Light" w:eastAsia="Calibri-Light" w:hAnsi="Calibri-Light" w:cs="Yu Mincho"/>
        </w:rPr>
        <w:t xml:space="preserve">non-transport </w:t>
      </w:r>
      <w:r w:rsidR="00D5796E" w:rsidRPr="009B4D2A">
        <w:rPr>
          <w:rFonts w:ascii="Calibri-Light" w:eastAsia="Calibri-Light" w:hAnsi="Calibri-Light" w:cs="Yu Mincho"/>
        </w:rPr>
        <w:t xml:space="preserve">energy emissions. </w:t>
      </w:r>
      <w:r w:rsidR="002D65E9" w:rsidRPr="009B4D2A">
        <w:rPr>
          <w:rFonts w:ascii="Calibri-Light" w:eastAsia="Calibri-Light" w:hAnsi="Calibri-Light" w:cs="Yu Mincho"/>
        </w:rPr>
        <w:t xml:space="preserve">The </w:t>
      </w:r>
      <w:r w:rsidR="00497923" w:rsidRPr="009B4D2A">
        <w:rPr>
          <w:rFonts w:ascii="Calibri-Light" w:eastAsia="Calibri-Light" w:hAnsi="Calibri-Light" w:cs="Yu Mincho"/>
        </w:rPr>
        <w:t>government’s</w:t>
      </w:r>
      <w:r w:rsidR="002D65E9" w:rsidRPr="009B4D2A" w:rsidDel="00741E41">
        <w:rPr>
          <w:rFonts w:ascii="Calibri-Light" w:eastAsia="Calibri-Light" w:hAnsi="Calibri-Light" w:cs="Yu Mincho"/>
        </w:rPr>
        <w:t xml:space="preserve"> </w:t>
      </w:r>
      <w:r w:rsidR="002D65E9" w:rsidRPr="009B4D2A">
        <w:rPr>
          <w:rFonts w:ascii="Calibri-Light" w:eastAsia="Calibri-Light" w:hAnsi="Calibri-Light" w:cs="Yu Mincho"/>
        </w:rPr>
        <w:t xml:space="preserve">emissions projections do not separate biomass combustion </w:t>
      </w:r>
      <w:r w:rsidR="00141CA4" w:rsidRPr="009B4D2A">
        <w:rPr>
          <w:rFonts w:ascii="Calibri-Light" w:eastAsia="Calibri-Light" w:hAnsi="Calibri-Light" w:cs="Yu Mincho"/>
        </w:rPr>
        <w:t>emissions</w:t>
      </w:r>
      <w:r w:rsidR="002D65E9" w:rsidRPr="009B4D2A">
        <w:rPr>
          <w:rFonts w:ascii="Calibri-Light" w:eastAsia="Calibri-Light" w:hAnsi="Calibri-Light" w:cs="Yu Mincho"/>
        </w:rPr>
        <w:t xml:space="preserve"> from other sources of </w:t>
      </w:r>
      <w:r w:rsidR="00141CA4" w:rsidRPr="009B4D2A">
        <w:rPr>
          <w:rFonts w:ascii="Calibri-Light" w:eastAsia="Calibri-Light" w:hAnsi="Calibri-Light" w:cs="Yu Mincho"/>
        </w:rPr>
        <w:t xml:space="preserve">non-transport energy. To make this estimate we have used a previous breakdown of non-transport energy types developed for the </w:t>
      </w:r>
      <w:r w:rsidR="00DA6C32" w:rsidRPr="009B4D2A">
        <w:rPr>
          <w:rFonts w:ascii="Calibri-Light" w:eastAsia="Calibri-Light" w:hAnsi="Calibri-Light" w:cs="Yu Mincho"/>
        </w:rPr>
        <w:t xml:space="preserve">Commission’s </w:t>
      </w:r>
      <w:r w:rsidR="007F58FF" w:rsidRPr="009B4D2A">
        <w:rPr>
          <w:rFonts w:ascii="Calibri-Light" w:eastAsia="Calibri-Light" w:hAnsi="Calibri-Light" w:cs="Yu Mincho"/>
        </w:rPr>
        <w:t>2021 advice Ināia tonu nei</w:t>
      </w:r>
      <w:r w:rsidR="00FE1B3C" w:rsidRPr="009B4D2A">
        <w:rPr>
          <w:rFonts w:ascii="Calibri-Light" w:eastAsia="Calibri-Light" w:hAnsi="Calibri-Light" w:cs="Yu Mincho"/>
        </w:rPr>
        <w:t>.</w:t>
      </w:r>
      <w:r w:rsidR="00FE1B3C" w:rsidRPr="009B4D2A">
        <w:rPr>
          <w:rFonts w:ascii="Calibri-Light" w:eastAsia="Calibri-Light" w:hAnsi="Calibri-Light" w:cs="Yu Mincho"/>
        </w:rPr>
        <w:footnoteReference w:id="2"/>
      </w:r>
      <w:r w:rsidR="004E242D" w:rsidRPr="009B4D2A">
        <w:rPr>
          <w:rFonts w:ascii="Calibri-Light" w:eastAsia="Calibri-Light" w:hAnsi="Calibri-Light" w:cs="Yu Mincho"/>
        </w:rPr>
        <w:t xml:space="preserve"> </w:t>
      </w:r>
      <w:r w:rsidR="00E934E1" w:rsidRPr="009B4D2A">
        <w:rPr>
          <w:rFonts w:ascii="Calibri-Light" w:eastAsia="Calibri-Light" w:hAnsi="Calibri-Light" w:cs="Yu Mincho"/>
        </w:rPr>
        <w:t xml:space="preserve">This results in total </w:t>
      </w:r>
      <w:r w:rsidR="00CD472B" w:rsidRPr="009B4D2A">
        <w:rPr>
          <w:rFonts w:ascii="Calibri-Light" w:eastAsia="Calibri-Light" w:hAnsi="Calibri-Light" w:cs="Yu Mincho"/>
        </w:rPr>
        <w:t>biomass</w:t>
      </w:r>
      <w:r w:rsidR="00E934E1" w:rsidRPr="009B4D2A">
        <w:rPr>
          <w:rFonts w:ascii="Calibri-Light" w:eastAsia="Calibri-Light" w:hAnsi="Calibri-Light" w:cs="Yu Mincho"/>
        </w:rPr>
        <w:t xml:space="preserve"> emissions of </w:t>
      </w:r>
      <w:r w:rsidR="00DF7324" w:rsidRPr="009B4D2A">
        <w:rPr>
          <w:rFonts w:ascii="Calibri-Light" w:eastAsia="Calibri-Light" w:hAnsi="Calibri-Light" w:cs="Yu Mincho"/>
        </w:rPr>
        <w:t>0.3 Mt</w:t>
      </w:r>
      <w:r w:rsidR="00C96B88" w:rsidRPr="009B4D2A">
        <w:rPr>
          <w:rFonts w:ascii="Calibri-Light" w:eastAsia="Calibri-Light" w:hAnsi="Calibri-Light" w:cs="Yu Mincho"/>
          <w:szCs w:val="24"/>
        </w:rPr>
        <w:t>CO2e</w:t>
      </w:r>
      <w:r w:rsidR="00C96B88" w:rsidRPr="009B4D2A">
        <w:rPr>
          <w:rFonts w:ascii="Calibri-Light" w:eastAsia="Calibri-Light" w:hAnsi="Calibri-Light" w:cs="Yu Mincho"/>
        </w:rPr>
        <w:t xml:space="preserve"> </w:t>
      </w:r>
      <w:r w:rsidR="00DF7324" w:rsidRPr="009B4D2A">
        <w:rPr>
          <w:rFonts w:ascii="Calibri-Light" w:eastAsia="Calibri-Light" w:hAnsi="Calibri-Light" w:cs="Yu Mincho"/>
        </w:rPr>
        <w:t xml:space="preserve">over 2026-2030. </w:t>
      </w:r>
      <w:r w:rsidR="00400181" w:rsidRPr="009B4D2A">
        <w:rPr>
          <w:rFonts w:ascii="Calibri-Light" w:eastAsia="Calibri-Light" w:hAnsi="Calibri-Light" w:cs="Yu Mincho"/>
        </w:rPr>
        <w:t xml:space="preserve"> </w:t>
      </w:r>
    </w:p>
    <w:p w14:paraId="397C6B29" w14:textId="5E73A145" w:rsidR="006D1574" w:rsidRDefault="00955E64" w:rsidP="009338AB">
      <w:pPr>
        <w:pStyle w:val="Heading3"/>
        <w:spacing w:before="120" w:after="120"/>
        <w:rPr>
          <w:lang w:val="en-US"/>
        </w:rPr>
      </w:pPr>
      <w:bookmarkStart w:id="14" w:name="_Toc195533413"/>
      <w:r>
        <w:rPr>
          <w:lang w:val="en-US"/>
        </w:rPr>
        <w:t>Forestry</w:t>
      </w:r>
      <w:bookmarkEnd w:id="14"/>
    </w:p>
    <w:p w14:paraId="6B505D22" w14:textId="3FAFEA09" w:rsidR="00F57990" w:rsidRPr="009B4D2A" w:rsidRDefault="00107BC8" w:rsidP="009B4D2A">
      <w:pPr>
        <w:spacing w:line="279" w:lineRule="auto"/>
        <w:rPr>
          <w:rFonts w:ascii="Calibri-Light" w:eastAsia="Calibri-Light" w:hAnsi="Calibri-Light" w:cs="Yu Mincho"/>
          <w:szCs w:val="24"/>
        </w:rPr>
      </w:pPr>
      <w:r w:rsidRPr="009B4D2A">
        <w:rPr>
          <w:rFonts w:ascii="Calibri-Light" w:eastAsia="Calibri-Light" w:hAnsi="Calibri-Light" w:cs="Yu Mincho"/>
          <w:szCs w:val="24"/>
        </w:rPr>
        <w:t>For</w:t>
      </w:r>
      <w:r w:rsidR="00D908A7" w:rsidRPr="009B4D2A">
        <w:rPr>
          <w:rFonts w:ascii="Calibri-Light" w:eastAsia="Calibri-Light" w:hAnsi="Calibri-Light" w:cs="Yu Mincho"/>
          <w:szCs w:val="24"/>
        </w:rPr>
        <w:t xml:space="preserve"> owners of</w:t>
      </w:r>
      <w:r w:rsidRPr="009B4D2A">
        <w:rPr>
          <w:rFonts w:ascii="Calibri-Light" w:eastAsia="Calibri-Light" w:hAnsi="Calibri-Light" w:cs="Yu Mincho"/>
          <w:szCs w:val="24"/>
        </w:rPr>
        <w:t xml:space="preserve"> </w:t>
      </w:r>
      <w:r w:rsidR="00D908A7" w:rsidRPr="009B4D2A">
        <w:rPr>
          <w:rFonts w:ascii="Calibri-Light" w:eastAsia="Calibri-Light" w:hAnsi="Calibri-Light" w:cs="Yu Mincho"/>
          <w:szCs w:val="24"/>
        </w:rPr>
        <w:t>post-1989 forests, participation in the NZ ETS is voluntary.</w:t>
      </w:r>
      <w:r w:rsidR="00A27342" w:rsidRPr="009B4D2A">
        <w:rPr>
          <w:rFonts w:ascii="Calibri-Light" w:eastAsia="Calibri-Light" w:hAnsi="Calibri-Light" w:cs="Yu Mincho"/>
          <w:szCs w:val="24"/>
        </w:rPr>
        <w:footnoteReference w:id="3"/>
      </w:r>
      <w:r w:rsidR="00D908A7" w:rsidRPr="009B4D2A">
        <w:rPr>
          <w:rFonts w:ascii="Calibri-Light" w:eastAsia="Calibri-Light" w:hAnsi="Calibri-Light" w:cs="Yu Mincho"/>
          <w:szCs w:val="24"/>
        </w:rPr>
        <w:t xml:space="preserve"> </w:t>
      </w:r>
      <w:r w:rsidR="007B7B6B" w:rsidRPr="009B4D2A">
        <w:rPr>
          <w:rFonts w:ascii="Calibri-Light" w:eastAsia="Calibri-Light" w:hAnsi="Calibri-Light" w:cs="Yu Mincho"/>
          <w:szCs w:val="24"/>
        </w:rPr>
        <w:t xml:space="preserve">Some </w:t>
      </w:r>
      <w:r w:rsidR="0079415C" w:rsidRPr="009B4D2A">
        <w:rPr>
          <w:rFonts w:ascii="Calibri-Light" w:eastAsia="Calibri-Light" w:hAnsi="Calibri-Light" w:cs="Yu Mincho"/>
          <w:szCs w:val="24"/>
        </w:rPr>
        <w:t xml:space="preserve">deforestation of native forests is also </w:t>
      </w:r>
      <w:r w:rsidR="00DF08EE" w:rsidRPr="009B4D2A">
        <w:rPr>
          <w:rFonts w:ascii="Calibri-Light" w:eastAsia="Calibri-Light" w:hAnsi="Calibri-Light" w:cs="Yu Mincho"/>
          <w:szCs w:val="24"/>
        </w:rPr>
        <w:t>outside the NZ ETS.</w:t>
      </w:r>
      <w:r w:rsidR="007B7B6B" w:rsidRPr="009B4D2A">
        <w:rPr>
          <w:rFonts w:ascii="Calibri-Light" w:eastAsia="Calibri-Light" w:hAnsi="Calibri-Light" w:cs="Yu Mincho"/>
          <w:szCs w:val="24"/>
        </w:rPr>
        <w:t xml:space="preserve"> </w:t>
      </w:r>
      <w:r w:rsidR="00F57990" w:rsidRPr="009B4D2A">
        <w:rPr>
          <w:rFonts w:ascii="Calibri-Light" w:eastAsia="Calibri-Light" w:hAnsi="Calibri-Light" w:cs="Yu Mincho"/>
          <w:szCs w:val="24"/>
        </w:rPr>
        <w:t xml:space="preserve">We remove the net effect of </w:t>
      </w:r>
      <w:r w:rsidR="007B7B6B" w:rsidRPr="009B4D2A">
        <w:rPr>
          <w:rFonts w:ascii="Calibri-Light" w:eastAsia="Calibri-Light" w:hAnsi="Calibri-Light" w:cs="Yu Mincho"/>
          <w:szCs w:val="24"/>
        </w:rPr>
        <w:t xml:space="preserve">these emissions and removals </w:t>
      </w:r>
      <w:r w:rsidR="001663A1" w:rsidRPr="009B4D2A">
        <w:rPr>
          <w:rFonts w:ascii="Calibri-Light" w:eastAsia="Calibri-Light" w:hAnsi="Calibri-Light" w:cs="Yu Mincho"/>
          <w:szCs w:val="24"/>
        </w:rPr>
        <w:t>that are outside the scheme</w:t>
      </w:r>
      <w:r w:rsidR="007B7B6B" w:rsidRPr="009B4D2A">
        <w:rPr>
          <w:rFonts w:ascii="Calibri-Light" w:eastAsia="Calibri-Light" w:hAnsi="Calibri-Light" w:cs="Yu Mincho"/>
          <w:szCs w:val="24"/>
        </w:rPr>
        <w:t xml:space="preserve"> </w:t>
      </w:r>
      <w:r w:rsidR="00F57990" w:rsidRPr="009B4D2A">
        <w:rPr>
          <w:rFonts w:ascii="Calibri-Light" w:eastAsia="Calibri-Light" w:hAnsi="Calibri-Light" w:cs="Yu Mincho"/>
          <w:szCs w:val="24"/>
        </w:rPr>
        <w:t>in setting the NZ ETS emissions cap</w:t>
      </w:r>
      <w:r w:rsidR="004956BF" w:rsidRPr="009B4D2A">
        <w:rPr>
          <w:rFonts w:ascii="Calibri-Light" w:eastAsia="Calibri-Light" w:hAnsi="Calibri-Light" w:cs="Yu Mincho"/>
          <w:szCs w:val="24"/>
        </w:rPr>
        <w:t>.</w:t>
      </w:r>
    </w:p>
    <w:p w14:paraId="2FC454B5" w14:textId="746CBF4B" w:rsidR="00A02BA6" w:rsidRPr="009B4D2A" w:rsidRDefault="0091184E" w:rsidP="399FF34D">
      <w:pPr>
        <w:spacing w:line="279" w:lineRule="auto"/>
        <w:rPr>
          <w:rFonts w:ascii="Calibri-Light" w:eastAsia="Calibri-Light" w:hAnsi="Calibri-Light" w:cs="Yu Mincho"/>
          <w:lang w:val="en-US"/>
        </w:rPr>
      </w:pPr>
      <w:r w:rsidRPr="399FF34D">
        <w:rPr>
          <w:rFonts w:ascii="Calibri-Light" w:eastAsia="Calibri-Light" w:hAnsi="Calibri-Light" w:cs="Yu Mincho"/>
          <w:lang w:val="en-US"/>
        </w:rPr>
        <w:t>To determine the area of post-1989 forest outside the NZ ETS we compare the areas afforest</w:t>
      </w:r>
      <w:r w:rsidR="00820679" w:rsidRPr="399FF34D">
        <w:rPr>
          <w:rFonts w:ascii="Calibri-Light" w:eastAsia="Calibri-Light" w:hAnsi="Calibri-Light" w:cs="Yu Mincho"/>
          <w:lang w:val="en-US"/>
        </w:rPr>
        <w:t xml:space="preserve">ed as reported </w:t>
      </w:r>
      <w:r w:rsidR="001B3E59" w:rsidRPr="399FF34D">
        <w:rPr>
          <w:rFonts w:ascii="Calibri-Light" w:eastAsia="Calibri-Light" w:hAnsi="Calibri-Light" w:cs="Yu Mincho"/>
          <w:lang w:val="en-US"/>
        </w:rPr>
        <w:t>in</w:t>
      </w:r>
      <w:r w:rsidR="00820679" w:rsidRPr="399FF34D">
        <w:rPr>
          <w:rFonts w:ascii="Calibri-Light" w:eastAsia="Calibri-Light" w:hAnsi="Calibri-Light" w:cs="Yu Mincho"/>
          <w:lang w:val="en-US"/>
        </w:rPr>
        <w:t xml:space="preserve"> the GHG Inventory with the area of forest registered in the NZ ETS.</w:t>
      </w:r>
      <w:r w:rsidR="004B4264" w:rsidRPr="399FF34D">
        <w:rPr>
          <w:rFonts w:ascii="Calibri-Light" w:eastAsia="Calibri-Light" w:hAnsi="Calibri-Light" w:cs="Yu Mincho"/>
          <w:lang w:val="en-US"/>
        </w:rPr>
        <w:t xml:space="preserve"> This data indicat</w:t>
      </w:r>
      <w:r w:rsidR="00D17CC9" w:rsidRPr="399FF34D">
        <w:rPr>
          <w:rFonts w:ascii="Calibri-Light" w:eastAsia="Calibri-Light" w:hAnsi="Calibri-Light" w:cs="Yu Mincho"/>
          <w:lang w:val="en-US"/>
        </w:rPr>
        <w:t xml:space="preserve">es that for </w:t>
      </w:r>
      <w:r w:rsidR="006B72E7" w:rsidRPr="399FF34D">
        <w:rPr>
          <w:rFonts w:ascii="Calibri-Light" w:eastAsia="Calibri-Light" w:hAnsi="Calibri-Light" w:cs="Yu Mincho"/>
          <w:lang w:val="en-US"/>
        </w:rPr>
        <w:t xml:space="preserve">exotic </w:t>
      </w:r>
      <w:r w:rsidR="00D17CC9" w:rsidRPr="399FF34D">
        <w:rPr>
          <w:rFonts w:ascii="Calibri-Light" w:eastAsia="Calibri-Light" w:hAnsi="Calibri-Light" w:cs="Yu Mincho"/>
          <w:lang w:val="en-US"/>
        </w:rPr>
        <w:t>forests planted between 1990 and 2007</w:t>
      </w:r>
      <w:r w:rsidR="00F922D8" w:rsidRPr="399FF34D">
        <w:rPr>
          <w:rFonts w:ascii="Calibri-Light" w:eastAsia="Calibri-Light" w:hAnsi="Calibri-Light" w:cs="Yu Mincho"/>
          <w:lang w:val="en-US"/>
        </w:rPr>
        <w:t>,</w:t>
      </w:r>
      <w:r w:rsidR="00D17CC9" w:rsidRPr="399FF34D">
        <w:rPr>
          <w:rFonts w:ascii="Calibri-Light" w:eastAsia="Calibri-Light" w:hAnsi="Calibri-Light" w:cs="Yu Mincho"/>
          <w:lang w:val="en-US"/>
        </w:rPr>
        <w:t xml:space="preserve"> approximately 59% of the area is registered in the NZ ETS. For </w:t>
      </w:r>
      <w:r w:rsidR="006B72E7" w:rsidRPr="399FF34D">
        <w:rPr>
          <w:rFonts w:ascii="Calibri-Light" w:eastAsia="Calibri-Light" w:hAnsi="Calibri-Light" w:cs="Yu Mincho"/>
          <w:lang w:val="en-US"/>
        </w:rPr>
        <w:t>land</w:t>
      </w:r>
      <w:r w:rsidR="00D17CC9" w:rsidRPr="399FF34D">
        <w:rPr>
          <w:rFonts w:ascii="Calibri-Light" w:eastAsia="Calibri-Light" w:hAnsi="Calibri-Light" w:cs="Yu Mincho"/>
          <w:lang w:val="en-US"/>
        </w:rPr>
        <w:t xml:space="preserve"> afforested between 2007 and 2020 approximately 100% of </w:t>
      </w:r>
      <w:r w:rsidR="006B72E7" w:rsidRPr="399FF34D">
        <w:rPr>
          <w:rFonts w:ascii="Calibri-Light" w:eastAsia="Calibri-Light" w:hAnsi="Calibri-Light" w:cs="Yu Mincho"/>
          <w:lang w:val="en-US"/>
        </w:rPr>
        <w:t xml:space="preserve">the exotic </w:t>
      </w:r>
      <w:r w:rsidR="00D17CC9" w:rsidRPr="399FF34D">
        <w:rPr>
          <w:rFonts w:ascii="Calibri-Light" w:eastAsia="Calibri-Light" w:hAnsi="Calibri-Light" w:cs="Yu Mincho"/>
          <w:lang w:val="en-US"/>
        </w:rPr>
        <w:t xml:space="preserve">forest area </w:t>
      </w:r>
      <w:r w:rsidR="006B72E7" w:rsidRPr="399FF34D">
        <w:rPr>
          <w:rFonts w:ascii="Calibri-Light" w:eastAsia="Calibri-Light" w:hAnsi="Calibri-Light" w:cs="Yu Mincho"/>
          <w:lang w:val="en-US"/>
        </w:rPr>
        <w:t>is registered into the NZ ETS.</w:t>
      </w:r>
      <w:r w:rsidR="00D17CC9" w:rsidRPr="399FF34D">
        <w:rPr>
          <w:rFonts w:ascii="Calibri-Light" w:eastAsia="Calibri-Light" w:hAnsi="Calibri-Light" w:cs="Yu Mincho"/>
          <w:lang w:val="en-US"/>
        </w:rPr>
        <w:t xml:space="preserve"> </w:t>
      </w:r>
    </w:p>
    <w:p w14:paraId="30ABB13A" w14:textId="2ADE325D" w:rsidR="005C64EB" w:rsidRPr="009B4D2A" w:rsidRDefault="000D45DA" w:rsidP="009B4D2A">
      <w:pPr>
        <w:spacing w:line="279" w:lineRule="auto"/>
        <w:rPr>
          <w:rFonts w:ascii="Calibri-Light" w:eastAsia="Calibri-Light" w:hAnsi="Calibri-Light" w:cs="Yu Mincho"/>
          <w:szCs w:val="24"/>
        </w:rPr>
      </w:pPr>
      <w:r w:rsidRPr="009B4D2A">
        <w:rPr>
          <w:rFonts w:ascii="Calibri-Light" w:eastAsia="Calibri-Light" w:hAnsi="Calibri-Light" w:cs="Yu Mincho"/>
          <w:szCs w:val="24"/>
        </w:rPr>
        <w:t>T</w:t>
      </w:r>
      <w:r w:rsidR="005523CA" w:rsidRPr="009B4D2A">
        <w:rPr>
          <w:rFonts w:ascii="Calibri-Light" w:eastAsia="Calibri-Light" w:hAnsi="Calibri-Light" w:cs="Yu Mincho"/>
          <w:szCs w:val="24"/>
        </w:rPr>
        <w:t xml:space="preserve">here are significant year-to-year differences between the </w:t>
      </w:r>
      <w:r w:rsidR="000E50AD" w:rsidRPr="009B4D2A">
        <w:rPr>
          <w:rFonts w:ascii="Calibri-Light" w:eastAsia="Calibri-Light" w:hAnsi="Calibri-Light" w:cs="Yu Mincho"/>
          <w:szCs w:val="24"/>
        </w:rPr>
        <w:t xml:space="preserve">areas </w:t>
      </w:r>
      <w:r w:rsidR="00CE56F5" w:rsidRPr="009B4D2A">
        <w:rPr>
          <w:rFonts w:ascii="Calibri-Light" w:eastAsia="Calibri-Light" w:hAnsi="Calibri-Light" w:cs="Yu Mincho"/>
          <w:szCs w:val="24"/>
        </w:rPr>
        <w:t xml:space="preserve">of </w:t>
      </w:r>
      <w:r w:rsidRPr="009B4D2A">
        <w:rPr>
          <w:rFonts w:ascii="Calibri-Light" w:eastAsia="Calibri-Light" w:hAnsi="Calibri-Light" w:cs="Yu Mincho"/>
          <w:szCs w:val="24"/>
        </w:rPr>
        <w:t xml:space="preserve">post-1989 </w:t>
      </w:r>
      <w:r w:rsidR="00CE56F5" w:rsidRPr="009B4D2A">
        <w:rPr>
          <w:rFonts w:ascii="Calibri-Light" w:eastAsia="Calibri-Light" w:hAnsi="Calibri-Light" w:cs="Yu Mincho"/>
          <w:szCs w:val="24"/>
        </w:rPr>
        <w:t xml:space="preserve">native forest </w:t>
      </w:r>
      <w:r w:rsidR="000E50AD" w:rsidRPr="009B4D2A">
        <w:rPr>
          <w:rFonts w:ascii="Calibri-Light" w:eastAsia="Calibri-Light" w:hAnsi="Calibri-Light" w:cs="Yu Mincho"/>
          <w:szCs w:val="24"/>
        </w:rPr>
        <w:t xml:space="preserve">reported </w:t>
      </w:r>
      <w:r w:rsidR="00CE56F5" w:rsidRPr="009B4D2A">
        <w:rPr>
          <w:rFonts w:ascii="Calibri-Light" w:eastAsia="Calibri-Light" w:hAnsi="Calibri-Light" w:cs="Yu Mincho"/>
          <w:szCs w:val="24"/>
        </w:rPr>
        <w:t xml:space="preserve">as established </w:t>
      </w:r>
      <w:r w:rsidR="000E50AD" w:rsidRPr="009B4D2A">
        <w:rPr>
          <w:rFonts w:ascii="Calibri-Light" w:eastAsia="Calibri-Light" w:hAnsi="Calibri-Light" w:cs="Yu Mincho"/>
          <w:szCs w:val="24"/>
        </w:rPr>
        <w:t>in the GHG Inventory and the areas</w:t>
      </w:r>
      <w:r w:rsidR="00266745" w:rsidRPr="009B4D2A">
        <w:rPr>
          <w:rFonts w:ascii="Calibri-Light" w:eastAsia="Calibri-Light" w:hAnsi="Calibri-Light" w:cs="Yu Mincho"/>
          <w:szCs w:val="24"/>
        </w:rPr>
        <w:t xml:space="preserve"> reported as establis</w:t>
      </w:r>
      <w:r w:rsidRPr="009B4D2A">
        <w:rPr>
          <w:rFonts w:ascii="Calibri-Light" w:eastAsia="Calibri-Light" w:hAnsi="Calibri-Light" w:cs="Yu Mincho"/>
          <w:szCs w:val="24"/>
        </w:rPr>
        <w:t>h</w:t>
      </w:r>
      <w:r w:rsidR="00266745" w:rsidRPr="009B4D2A">
        <w:rPr>
          <w:rFonts w:ascii="Calibri-Light" w:eastAsia="Calibri-Light" w:hAnsi="Calibri-Light" w:cs="Yu Mincho"/>
          <w:szCs w:val="24"/>
        </w:rPr>
        <w:t>ed</w:t>
      </w:r>
      <w:r w:rsidR="000E50AD" w:rsidRPr="009B4D2A">
        <w:rPr>
          <w:rFonts w:ascii="Calibri-Light" w:eastAsia="Calibri-Light" w:hAnsi="Calibri-Light" w:cs="Yu Mincho"/>
          <w:szCs w:val="24"/>
        </w:rPr>
        <w:t xml:space="preserve"> registered in the NZ ETS. However,</w:t>
      </w:r>
      <w:r w:rsidR="00C04B79" w:rsidRPr="009B4D2A">
        <w:rPr>
          <w:rFonts w:ascii="Calibri-Light" w:eastAsia="Calibri-Light" w:hAnsi="Calibri-Light" w:cs="Yu Mincho"/>
          <w:szCs w:val="24"/>
        </w:rPr>
        <w:t xml:space="preserve"> </w:t>
      </w:r>
      <w:r w:rsidR="007807CF" w:rsidRPr="009B4D2A">
        <w:rPr>
          <w:rFonts w:ascii="Calibri-Light" w:eastAsia="Calibri-Light" w:hAnsi="Calibri-Light" w:cs="Yu Mincho"/>
          <w:szCs w:val="24"/>
        </w:rPr>
        <w:t>look</w:t>
      </w:r>
      <w:r w:rsidR="00537B14" w:rsidRPr="009B4D2A">
        <w:rPr>
          <w:rFonts w:ascii="Calibri-Light" w:eastAsia="Calibri-Light" w:hAnsi="Calibri-Light" w:cs="Yu Mincho"/>
          <w:szCs w:val="24"/>
        </w:rPr>
        <w:t>ing</w:t>
      </w:r>
      <w:r w:rsidR="000E50AD" w:rsidRPr="009B4D2A">
        <w:rPr>
          <w:rFonts w:ascii="Calibri-Light" w:eastAsia="Calibri-Light" w:hAnsi="Calibri-Light" w:cs="Yu Mincho"/>
          <w:szCs w:val="24"/>
        </w:rPr>
        <w:t xml:space="preserve"> over</w:t>
      </w:r>
      <w:r w:rsidR="007807CF" w:rsidRPr="009B4D2A">
        <w:rPr>
          <w:rFonts w:ascii="Calibri-Light" w:eastAsia="Calibri-Light" w:hAnsi="Calibri-Light" w:cs="Yu Mincho"/>
          <w:szCs w:val="24"/>
        </w:rPr>
        <w:t xml:space="preserve"> a </w:t>
      </w:r>
      <w:r w:rsidR="007259D2" w:rsidRPr="009B4D2A">
        <w:rPr>
          <w:rFonts w:ascii="Calibri-Light" w:eastAsia="Calibri-Light" w:hAnsi="Calibri-Light" w:cs="Yu Mincho"/>
          <w:szCs w:val="24"/>
        </w:rPr>
        <w:t>longer time period (</w:t>
      </w:r>
      <w:r w:rsidR="000E50AD" w:rsidRPr="009B4D2A">
        <w:rPr>
          <w:rFonts w:ascii="Calibri-Light" w:eastAsia="Calibri-Light" w:hAnsi="Calibri-Light" w:cs="Yu Mincho"/>
          <w:szCs w:val="24"/>
        </w:rPr>
        <w:t>1990-2020</w:t>
      </w:r>
      <w:r w:rsidR="007259D2" w:rsidRPr="009B4D2A">
        <w:rPr>
          <w:rFonts w:ascii="Calibri-Light" w:eastAsia="Calibri-Light" w:hAnsi="Calibri-Light" w:cs="Yu Mincho"/>
          <w:szCs w:val="24"/>
        </w:rPr>
        <w:t>)</w:t>
      </w:r>
      <w:r w:rsidR="000E50AD" w:rsidRPr="009B4D2A">
        <w:rPr>
          <w:rFonts w:ascii="Calibri-Light" w:eastAsia="Calibri-Light" w:hAnsi="Calibri-Light" w:cs="Yu Mincho"/>
          <w:szCs w:val="24"/>
        </w:rPr>
        <w:t xml:space="preserve">, these </w:t>
      </w:r>
      <w:r w:rsidR="007259D2" w:rsidRPr="009B4D2A">
        <w:rPr>
          <w:rFonts w:ascii="Calibri-Light" w:eastAsia="Calibri-Light" w:hAnsi="Calibri-Light" w:cs="Yu Mincho"/>
          <w:szCs w:val="24"/>
        </w:rPr>
        <w:t>differences</w:t>
      </w:r>
      <w:r w:rsidR="000E50AD" w:rsidRPr="009B4D2A">
        <w:rPr>
          <w:rFonts w:ascii="Calibri-Light" w:eastAsia="Calibri-Light" w:hAnsi="Calibri-Light" w:cs="Yu Mincho"/>
          <w:szCs w:val="24"/>
        </w:rPr>
        <w:t xml:space="preserve"> even out and the aggregate figures match </w:t>
      </w:r>
      <w:r w:rsidR="007259D2" w:rsidRPr="009B4D2A">
        <w:rPr>
          <w:rFonts w:ascii="Calibri-Light" w:eastAsia="Calibri-Light" w:hAnsi="Calibri-Light" w:cs="Yu Mincho"/>
          <w:szCs w:val="24"/>
        </w:rPr>
        <w:t xml:space="preserve">very </w:t>
      </w:r>
      <w:r w:rsidR="000E50AD" w:rsidRPr="009B4D2A">
        <w:rPr>
          <w:rFonts w:ascii="Calibri-Light" w:eastAsia="Calibri-Light" w:hAnsi="Calibri-Light" w:cs="Yu Mincho"/>
          <w:szCs w:val="24"/>
        </w:rPr>
        <w:t xml:space="preserve">closely. </w:t>
      </w:r>
      <w:r w:rsidR="00055CE8" w:rsidRPr="009B4D2A">
        <w:rPr>
          <w:rFonts w:ascii="Calibri-Light" w:eastAsia="Calibri-Light" w:hAnsi="Calibri-Light" w:cs="Yu Mincho"/>
          <w:szCs w:val="24"/>
        </w:rPr>
        <w:t>Our assumption</w:t>
      </w:r>
      <w:r w:rsidR="00DF5DBC" w:rsidRPr="009B4D2A">
        <w:rPr>
          <w:rFonts w:ascii="Calibri-Light" w:eastAsia="Calibri-Light" w:hAnsi="Calibri-Light" w:cs="Yu Mincho"/>
          <w:szCs w:val="24"/>
        </w:rPr>
        <w:t xml:space="preserve"> is that the year-to-year differences </w:t>
      </w:r>
      <w:r w:rsidR="00C82D8E" w:rsidRPr="009B4D2A">
        <w:rPr>
          <w:rFonts w:ascii="Calibri-Light" w:eastAsia="Calibri-Light" w:hAnsi="Calibri-Light" w:cs="Yu Mincho"/>
          <w:szCs w:val="24"/>
        </w:rPr>
        <w:t xml:space="preserve">between the two data sets </w:t>
      </w:r>
      <w:r w:rsidR="00DF5DBC" w:rsidRPr="009B4D2A">
        <w:rPr>
          <w:rFonts w:ascii="Calibri-Light" w:eastAsia="Calibri-Light" w:hAnsi="Calibri-Light" w:cs="Yu Mincho"/>
          <w:szCs w:val="24"/>
        </w:rPr>
        <w:t xml:space="preserve">arise from differences in </w:t>
      </w:r>
      <w:r w:rsidR="00203632" w:rsidRPr="009B4D2A">
        <w:rPr>
          <w:rFonts w:ascii="Calibri-Light" w:eastAsia="Calibri-Light" w:hAnsi="Calibri-Light" w:cs="Yu Mincho"/>
          <w:szCs w:val="24"/>
        </w:rPr>
        <w:t xml:space="preserve">when forests are recorded as having been </w:t>
      </w:r>
      <w:r w:rsidR="001749DB" w:rsidRPr="009B4D2A">
        <w:rPr>
          <w:rFonts w:ascii="Calibri-Light" w:eastAsia="Calibri-Light" w:hAnsi="Calibri-Light" w:cs="Yu Mincho"/>
          <w:szCs w:val="24"/>
        </w:rPr>
        <w:t>established</w:t>
      </w:r>
      <w:r w:rsidR="009F6399" w:rsidRPr="009B4D2A">
        <w:rPr>
          <w:rFonts w:ascii="Calibri-Light" w:eastAsia="Calibri-Light" w:hAnsi="Calibri-Light" w:cs="Yu Mincho"/>
          <w:szCs w:val="24"/>
        </w:rPr>
        <w:t xml:space="preserve">. The close match </w:t>
      </w:r>
      <w:r w:rsidR="00E46BF9" w:rsidRPr="009B4D2A">
        <w:rPr>
          <w:rFonts w:ascii="Calibri-Light" w:eastAsia="Calibri-Light" w:hAnsi="Calibri-Light" w:cs="Yu Mincho"/>
          <w:szCs w:val="24"/>
        </w:rPr>
        <w:t>in areas</w:t>
      </w:r>
      <w:r w:rsidR="009F6399" w:rsidRPr="009B4D2A">
        <w:rPr>
          <w:rFonts w:ascii="Calibri-Light" w:eastAsia="Calibri-Light" w:hAnsi="Calibri-Light" w:cs="Yu Mincho"/>
          <w:szCs w:val="24"/>
        </w:rPr>
        <w:t xml:space="preserve"> </w:t>
      </w:r>
      <w:r w:rsidR="00701F72" w:rsidRPr="009B4D2A">
        <w:rPr>
          <w:rFonts w:ascii="Calibri-Light" w:eastAsia="Calibri-Light" w:hAnsi="Calibri-Light" w:cs="Yu Mincho"/>
          <w:szCs w:val="24"/>
        </w:rPr>
        <w:t xml:space="preserve">over </w:t>
      </w:r>
      <w:r w:rsidR="001E7239" w:rsidRPr="009B4D2A">
        <w:rPr>
          <w:rFonts w:ascii="Calibri-Light" w:eastAsia="Calibri-Light" w:hAnsi="Calibri-Light" w:cs="Yu Mincho"/>
          <w:szCs w:val="24"/>
        </w:rPr>
        <w:t>the</w:t>
      </w:r>
      <w:r w:rsidR="00701F72" w:rsidRPr="009B4D2A">
        <w:rPr>
          <w:rFonts w:ascii="Calibri-Light" w:eastAsia="Calibri-Light" w:hAnsi="Calibri-Light" w:cs="Yu Mincho"/>
          <w:szCs w:val="24"/>
        </w:rPr>
        <w:t xml:space="preserve"> longer time period suggests that </w:t>
      </w:r>
      <w:r w:rsidR="00C76E59" w:rsidRPr="009B4D2A">
        <w:rPr>
          <w:rFonts w:ascii="Calibri-Light" w:eastAsia="Calibri-Light" w:hAnsi="Calibri-Light" w:cs="Yu Mincho"/>
          <w:szCs w:val="24"/>
        </w:rPr>
        <w:t xml:space="preserve">close to all </w:t>
      </w:r>
      <w:r w:rsidR="00432600" w:rsidRPr="009B4D2A">
        <w:rPr>
          <w:rFonts w:ascii="Calibri-Light" w:eastAsia="Calibri-Light" w:hAnsi="Calibri-Light" w:cs="Yu Mincho"/>
          <w:szCs w:val="24"/>
        </w:rPr>
        <w:t xml:space="preserve">post-1989 </w:t>
      </w:r>
      <w:r w:rsidR="005F6230" w:rsidRPr="009B4D2A">
        <w:rPr>
          <w:rFonts w:ascii="Calibri-Light" w:eastAsia="Calibri-Light" w:hAnsi="Calibri-Light" w:cs="Yu Mincho"/>
          <w:szCs w:val="24"/>
        </w:rPr>
        <w:t xml:space="preserve">native forests </w:t>
      </w:r>
      <w:r w:rsidR="00B9258A" w:rsidRPr="009B4D2A">
        <w:rPr>
          <w:rFonts w:ascii="Calibri-Light" w:eastAsia="Calibri-Light" w:hAnsi="Calibri-Light" w:cs="Yu Mincho"/>
          <w:szCs w:val="24"/>
        </w:rPr>
        <w:t>are now registered in the NZ ETS</w:t>
      </w:r>
      <w:r w:rsidR="00E46BF9" w:rsidRPr="009B4D2A">
        <w:rPr>
          <w:rFonts w:ascii="Calibri-Light" w:eastAsia="Calibri-Light" w:hAnsi="Calibri-Light" w:cs="Yu Mincho"/>
          <w:szCs w:val="24"/>
        </w:rPr>
        <w:t>.</w:t>
      </w:r>
      <w:r w:rsidR="009F6399" w:rsidRPr="009B4D2A">
        <w:rPr>
          <w:rFonts w:ascii="Calibri-Light" w:eastAsia="Calibri-Light" w:hAnsi="Calibri-Light" w:cs="Yu Mincho"/>
          <w:szCs w:val="24"/>
        </w:rPr>
        <w:t xml:space="preserve"> </w:t>
      </w:r>
      <w:r w:rsidR="000E50AD" w:rsidRPr="009B4D2A">
        <w:rPr>
          <w:rFonts w:ascii="Calibri-Light" w:eastAsia="Calibri-Light" w:hAnsi="Calibri-Light" w:cs="Yu Mincho"/>
          <w:szCs w:val="24"/>
        </w:rPr>
        <w:t>Accordingly we assume that 100% of post-1989 native forest</w:t>
      </w:r>
      <w:r w:rsidR="00D17CC9" w:rsidRPr="009B4D2A">
        <w:rPr>
          <w:rFonts w:ascii="Calibri-Light" w:eastAsia="Calibri-Light" w:hAnsi="Calibri-Light" w:cs="Yu Mincho"/>
          <w:szCs w:val="24"/>
        </w:rPr>
        <w:t xml:space="preserve"> </w:t>
      </w:r>
      <w:r w:rsidR="000E50AD" w:rsidRPr="009B4D2A">
        <w:rPr>
          <w:rFonts w:ascii="Calibri-Light" w:eastAsia="Calibri-Light" w:hAnsi="Calibri-Light" w:cs="Yu Mincho"/>
          <w:szCs w:val="24"/>
        </w:rPr>
        <w:t>is in the NZ ETS.</w:t>
      </w:r>
    </w:p>
    <w:p w14:paraId="619D79A1" w14:textId="477C3A61" w:rsidR="001663A1" w:rsidRPr="009B4D2A" w:rsidRDefault="00C96105"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As i</w:t>
      </w:r>
      <w:r w:rsidR="00EC6E5E" w:rsidRPr="54C60BB6">
        <w:rPr>
          <w:rFonts w:ascii="Calibri-Light" w:eastAsia="Calibri-Light" w:hAnsi="Calibri-Light" w:cs="Yu Mincho"/>
          <w:lang w:val="en-US"/>
        </w:rPr>
        <w:t>n previous advice we ha</w:t>
      </w:r>
      <w:r w:rsidR="00FF10D9" w:rsidRPr="54C60BB6">
        <w:rPr>
          <w:rFonts w:ascii="Calibri-Light" w:eastAsia="Calibri-Light" w:hAnsi="Calibri-Light" w:cs="Yu Mincho"/>
          <w:lang w:val="en-US"/>
        </w:rPr>
        <w:t>ve</w:t>
      </w:r>
      <w:r w:rsidR="00EC6E5E" w:rsidRPr="54C60BB6">
        <w:rPr>
          <w:rFonts w:ascii="Calibri-Light" w:eastAsia="Calibri-Light" w:hAnsi="Calibri-Light" w:cs="Yu Mincho"/>
          <w:lang w:val="en-US"/>
        </w:rPr>
        <w:t xml:space="preserve"> </w:t>
      </w:r>
      <w:r w:rsidR="00753974" w:rsidRPr="54C60BB6">
        <w:rPr>
          <w:rFonts w:ascii="Calibri-Light" w:eastAsia="Calibri-Light" w:hAnsi="Calibri-Light" w:cs="Yu Mincho"/>
          <w:lang w:val="en-US"/>
        </w:rPr>
        <w:t>assum</w:t>
      </w:r>
      <w:r w:rsidR="0051692C" w:rsidRPr="54C60BB6">
        <w:rPr>
          <w:rFonts w:ascii="Calibri-Light" w:eastAsia="Calibri-Light" w:hAnsi="Calibri-Light" w:cs="Yu Mincho"/>
          <w:lang w:val="en-US"/>
        </w:rPr>
        <w:t>ed</w:t>
      </w:r>
      <w:r w:rsidR="00753974" w:rsidRPr="54C60BB6">
        <w:rPr>
          <w:rFonts w:ascii="Calibri-Light" w:eastAsia="Calibri-Light" w:hAnsi="Calibri-Light" w:cs="Yu Mincho"/>
          <w:lang w:val="en-US"/>
        </w:rPr>
        <w:t xml:space="preserve"> </w:t>
      </w:r>
      <w:r w:rsidR="00EC6E5E" w:rsidRPr="54C60BB6">
        <w:rPr>
          <w:rFonts w:ascii="Calibri-Light" w:eastAsia="Calibri-Light" w:hAnsi="Calibri-Light" w:cs="Yu Mincho"/>
          <w:lang w:val="en-US"/>
        </w:rPr>
        <w:t xml:space="preserve">that all </w:t>
      </w:r>
      <w:r w:rsidR="0098543C" w:rsidRPr="54C60BB6">
        <w:rPr>
          <w:rFonts w:ascii="Calibri-Light" w:eastAsia="Calibri-Light" w:hAnsi="Calibri-Light" w:cs="Yu Mincho"/>
          <w:lang w:val="en-US"/>
        </w:rPr>
        <w:t>new afforestation w</w:t>
      </w:r>
      <w:r w:rsidRPr="54C60BB6">
        <w:rPr>
          <w:rFonts w:ascii="Calibri-Light" w:eastAsia="Calibri-Light" w:hAnsi="Calibri-Light" w:cs="Yu Mincho"/>
          <w:lang w:val="en-US"/>
        </w:rPr>
        <w:t>ill</w:t>
      </w:r>
      <w:r w:rsidR="0098543C" w:rsidRPr="54C60BB6">
        <w:rPr>
          <w:rFonts w:ascii="Calibri-Light" w:eastAsia="Calibri-Light" w:hAnsi="Calibri-Light" w:cs="Yu Mincho"/>
          <w:lang w:val="en-US"/>
        </w:rPr>
        <w:t xml:space="preserve"> be registered </w:t>
      </w:r>
      <w:r w:rsidR="00EC6E5E" w:rsidRPr="54C60BB6">
        <w:rPr>
          <w:rFonts w:ascii="Calibri-Light" w:eastAsia="Calibri-Light" w:hAnsi="Calibri-Light" w:cs="Yu Mincho"/>
          <w:lang w:val="en-US"/>
        </w:rPr>
        <w:t>in the NZ ETS</w:t>
      </w:r>
      <w:r w:rsidR="00753974" w:rsidRPr="54C60BB6">
        <w:rPr>
          <w:rFonts w:ascii="Calibri-Light" w:eastAsia="Calibri-Light" w:hAnsi="Calibri-Light" w:cs="Yu Mincho"/>
          <w:lang w:val="en-US"/>
        </w:rPr>
        <w:t xml:space="preserve">. </w:t>
      </w:r>
    </w:p>
    <w:p w14:paraId="230430FA" w14:textId="112E4F25" w:rsidR="00593470" w:rsidRPr="009B4D2A" w:rsidRDefault="00C56FA9" w:rsidP="009B4D2A">
      <w:pPr>
        <w:spacing w:line="279" w:lineRule="auto"/>
        <w:rPr>
          <w:rFonts w:ascii="Calibri-Light" w:eastAsia="Calibri-Light" w:hAnsi="Calibri-Light" w:cs="Yu Mincho"/>
          <w:szCs w:val="24"/>
        </w:rPr>
      </w:pPr>
      <w:r w:rsidRPr="009B4D2A">
        <w:rPr>
          <w:rFonts w:ascii="Calibri-Light" w:eastAsia="Calibri-Light" w:hAnsi="Calibri-Light" w:cs="Yu Mincho"/>
          <w:szCs w:val="24"/>
        </w:rPr>
        <w:t>The Government has announced a policy of limiting</w:t>
      </w:r>
      <w:r w:rsidR="00F71650" w:rsidRPr="009B4D2A">
        <w:rPr>
          <w:rFonts w:ascii="Calibri-Light" w:eastAsia="Calibri-Light" w:hAnsi="Calibri-Light" w:cs="Yu Mincho"/>
          <w:szCs w:val="24"/>
        </w:rPr>
        <w:t>, based on land use class,</w:t>
      </w:r>
      <w:r w:rsidRPr="009B4D2A">
        <w:rPr>
          <w:rFonts w:ascii="Calibri-Light" w:eastAsia="Calibri-Light" w:hAnsi="Calibri-Light" w:cs="Yu Mincho"/>
          <w:szCs w:val="24"/>
        </w:rPr>
        <w:t xml:space="preserve"> </w:t>
      </w:r>
      <w:r w:rsidR="004F402F" w:rsidRPr="009B4D2A">
        <w:rPr>
          <w:rFonts w:ascii="Calibri-Light" w:eastAsia="Calibri-Light" w:hAnsi="Calibri-Light" w:cs="Yu Mincho"/>
          <w:szCs w:val="24"/>
        </w:rPr>
        <w:t xml:space="preserve">the land that can register </w:t>
      </w:r>
      <w:r w:rsidR="00CF1DE3" w:rsidRPr="009B4D2A">
        <w:rPr>
          <w:rFonts w:ascii="Calibri-Light" w:eastAsia="Calibri-Light" w:hAnsi="Calibri-Light" w:cs="Yu Mincho"/>
          <w:szCs w:val="24"/>
        </w:rPr>
        <w:t xml:space="preserve">into the NZ ETS </w:t>
      </w:r>
      <w:r w:rsidR="004F402F" w:rsidRPr="009B4D2A">
        <w:rPr>
          <w:rFonts w:ascii="Calibri-Light" w:eastAsia="Calibri-Light" w:hAnsi="Calibri-Light" w:cs="Yu Mincho"/>
          <w:szCs w:val="24"/>
        </w:rPr>
        <w:t>for</w:t>
      </w:r>
      <w:r w:rsidR="00086152" w:rsidRPr="009B4D2A">
        <w:rPr>
          <w:rFonts w:ascii="Calibri-Light" w:eastAsia="Calibri-Light" w:hAnsi="Calibri-Light" w:cs="Yu Mincho"/>
          <w:szCs w:val="24"/>
        </w:rPr>
        <w:t xml:space="preserve"> newly-planted </w:t>
      </w:r>
      <w:r w:rsidR="004F402F" w:rsidRPr="009B4D2A">
        <w:rPr>
          <w:rFonts w:ascii="Calibri-Light" w:eastAsia="Calibri-Light" w:hAnsi="Calibri-Light" w:cs="Yu Mincho"/>
          <w:szCs w:val="24"/>
        </w:rPr>
        <w:t>forest</w:t>
      </w:r>
      <w:r w:rsidR="00086152" w:rsidRPr="009B4D2A">
        <w:rPr>
          <w:rFonts w:ascii="Calibri-Light" w:eastAsia="Calibri-Light" w:hAnsi="Calibri-Light" w:cs="Yu Mincho"/>
          <w:szCs w:val="24"/>
        </w:rPr>
        <w:t>s</w:t>
      </w:r>
      <w:r w:rsidR="00F71650" w:rsidRPr="009B4D2A">
        <w:rPr>
          <w:rFonts w:ascii="Calibri-Light" w:eastAsia="Calibri-Light" w:hAnsi="Calibri-Light" w:cs="Yu Mincho"/>
          <w:szCs w:val="24"/>
        </w:rPr>
        <w:t xml:space="preserve"> </w:t>
      </w:r>
      <w:r w:rsidR="00656C87" w:rsidRPr="009B4D2A">
        <w:rPr>
          <w:rFonts w:ascii="Calibri-Light" w:eastAsia="Calibri-Light" w:hAnsi="Calibri-Light" w:cs="Yu Mincho"/>
          <w:szCs w:val="24"/>
        </w:rPr>
        <w:t>–</w:t>
      </w:r>
      <w:r w:rsidR="00F71650" w:rsidRPr="009B4D2A">
        <w:rPr>
          <w:rFonts w:ascii="Calibri-Light" w:eastAsia="Calibri-Light" w:hAnsi="Calibri-Light" w:cs="Yu Mincho"/>
          <w:szCs w:val="24"/>
        </w:rPr>
        <w:t xml:space="preserve"> </w:t>
      </w:r>
      <w:r w:rsidR="001A515B" w:rsidRPr="009B4D2A">
        <w:rPr>
          <w:rFonts w:ascii="Calibri-Light" w:eastAsia="Calibri-Light" w:hAnsi="Calibri-Light" w:cs="Yu Mincho"/>
          <w:szCs w:val="24"/>
        </w:rPr>
        <w:t xml:space="preserve">to reduce </w:t>
      </w:r>
      <w:r w:rsidR="007D416B" w:rsidRPr="009B4D2A">
        <w:rPr>
          <w:rFonts w:ascii="Calibri-Light" w:eastAsia="Calibri-Light" w:hAnsi="Calibri-Light" w:cs="Yu Mincho"/>
          <w:szCs w:val="24"/>
        </w:rPr>
        <w:t xml:space="preserve">the number of whole farms being converted to forest. </w:t>
      </w:r>
      <w:r w:rsidR="00562CB2" w:rsidRPr="009B4D2A">
        <w:rPr>
          <w:rFonts w:ascii="Calibri-Light" w:eastAsia="Calibri-Light" w:hAnsi="Calibri-Light" w:cs="Yu Mincho"/>
          <w:szCs w:val="24"/>
        </w:rPr>
        <w:t xml:space="preserve">It is also </w:t>
      </w:r>
      <w:r w:rsidR="002C53B7" w:rsidRPr="009B4D2A">
        <w:rPr>
          <w:rFonts w:ascii="Calibri-Light" w:eastAsia="Calibri-Light" w:hAnsi="Calibri-Light" w:cs="Yu Mincho"/>
          <w:szCs w:val="24"/>
        </w:rPr>
        <w:t xml:space="preserve">seeking to partner with the private sector to plant forests on Crown-owned land. </w:t>
      </w:r>
      <w:r w:rsidR="007D416B" w:rsidRPr="009B4D2A">
        <w:rPr>
          <w:rFonts w:ascii="Calibri-Light" w:eastAsia="Calibri-Light" w:hAnsi="Calibri-Light" w:cs="Yu Mincho"/>
          <w:szCs w:val="24"/>
        </w:rPr>
        <w:t xml:space="preserve">It is currently unclear </w:t>
      </w:r>
      <w:r w:rsidR="009F5FC7" w:rsidRPr="009B4D2A">
        <w:rPr>
          <w:rFonts w:ascii="Calibri-Light" w:eastAsia="Calibri-Light" w:hAnsi="Calibri-Light" w:cs="Yu Mincho"/>
          <w:szCs w:val="24"/>
        </w:rPr>
        <w:t>what impact th</w:t>
      </w:r>
      <w:r w:rsidR="002C53B7" w:rsidRPr="009B4D2A">
        <w:rPr>
          <w:rFonts w:ascii="Calibri-Light" w:eastAsia="Calibri-Light" w:hAnsi="Calibri-Light" w:cs="Yu Mincho"/>
          <w:szCs w:val="24"/>
        </w:rPr>
        <w:t xml:space="preserve">ese </w:t>
      </w:r>
      <w:r w:rsidR="009F5FC7" w:rsidRPr="009B4D2A">
        <w:rPr>
          <w:rFonts w:ascii="Calibri-Light" w:eastAsia="Calibri-Light" w:hAnsi="Calibri-Light" w:cs="Yu Mincho"/>
          <w:szCs w:val="24"/>
        </w:rPr>
        <w:t>polic</w:t>
      </w:r>
      <w:r w:rsidR="002C53B7" w:rsidRPr="009B4D2A">
        <w:rPr>
          <w:rFonts w:ascii="Calibri-Light" w:eastAsia="Calibri-Light" w:hAnsi="Calibri-Light" w:cs="Yu Mincho"/>
          <w:szCs w:val="24"/>
        </w:rPr>
        <w:t>ies</w:t>
      </w:r>
      <w:r w:rsidR="009F5FC7" w:rsidRPr="009B4D2A">
        <w:rPr>
          <w:rFonts w:ascii="Calibri-Light" w:eastAsia="Calibri-Light" w:hAnsi="Calibri-Light" w:cs="Yu Mincho"/>
          <w:szCs w:val="24"/>
        </w:rPr>
        <w:t xml:space="preserve"> will have on total afforestation</w:t>
      </w:r>
      <w:r w:rsidR="0097411D" w:rsidRPr="009B4D2A">
        <w:rPr>
          <w:rFonts w:ascii="Calibri-Light" w:eastAsia="Calibri-Light" w:hAnsi="Calibri-Light" w:cs="Yu Mincho"/>
          <w:szCs w:val="24"/>
        </w:rPr>
        <w:t>,</w:t>
      </w:r>
      <w:r w:rsidR="007D416B" w:rsidRPr="009B4D2A">
        <w:rPr>
          <w:rFonts w:ascii="Calibri-Light" w:eastAsia="Calibri-Light" w:hAnsi="Calibri-Light" w:cs="Yu Mincho"/>
          <w:szCs w:val="24"/>
        </w:rPr>
        <w:t xml:space="preserve"> </w:t>
      </w:r>
      <w:r w:rsidR="00C7642F" w:rsidRPr="009B4D2A">
        <w:rPr>
          <w:rFonts w:ascii="Calibri-Light" w:eastAsia="Calibri-Light" w:hAnsi="Calibri-Light" w:cs="Yu Mincho"/>
          <w:szCs w:val="24"/>
        </w:rPr>
        <w:t xml:space="preserve">or on the area of post-1989 </w:t>
      </w:r>
      <w:r w:rsidR="00655178" w:rsidRPr="009B4D2A">
        <w:rPr>
          <w:rFonts w:ascii="Calibri-Light" w:eastAsia="Calibri-Light" w:hAnsi="Calibri-Light" w:cs="Yu Mincho"/>
          <w:szCs w:val="24"/>
        </w:rPr>
        <w:t>forest</w:t>
      </w:r>
      <w:r w:rsidR="00C7642F" w:rsidRPr="009B4D2A" w:rsidDel="00585A83">
        <w:rPr>
          <w:rFonts w:ascii="Calibri-Light" w:eastAsia="Calibri-Light" w:hAnsi="Calibri-Light" w:cs="Yu Mincho"/>
          <w:szCs w:val="24"/>
        </w:rPr>
        <w:t xml:space="preserve"> </w:t>
      </w:r>
      <w:r w:rsidR="00C7642F" w:rsidRPr="009B4D2A">
        <w:rPr>
          <w:rFonts w:ascii="Calibri-Light" w:eastAsia="Calibri-Light" w:hAnsi="Calibri-Light" w:cs="Yu Mincho"/>
          <w:szCs w:val="24"/>
        </w:rPr>
        <w:t>outside the NZ ETS.</w:t>
      </w:r>
      <w:r w:rsidR="00655178" w:rsidRPr="009B4D2A">
        <w:rPr>
          <w:rFonts w:ascii="Calibri-Light" w:eastAsia="Calibri-Light" w:hAnsi="Calibri-Light" w:cs="Yu Mincho"/>
          <w:szCs w:val="24"/>
        </w:rPr>
        <w:t xml:space="preserve"> </w:t>
      </w:r>
      <w:r w:rsidR="00AD1A45" w:rsidRPr="009B4D2A">
        <w:rPr>
          <w:rFonts w:ascii="Calibri-Light" w:eastAsia="Calibri-Light" w:hAnsi="Calibri-Light" w:cs="Yu Mincho"/>
          <w:szCs w:val="24"/>
        </w:rPr>
        <w:t>We will monitor th</w:t>
      </w:r>
      <w:r w:rsidR="00185F73" w:rsidRPr="009B4D2A">
        <w:rPr>
          <w:rFonts w:ascii="Calibri-Light" w:eastAsia="Calibri-Light" w:hAnsi="Calibri-Light" w:cs="Yu Mincho"/>
          <w:szCs w:val="24"/>
        </w:rPr>
        <w:t xml:space="preserve">ese </w:t>
      </w:r>
      <w:r w:rsidR="00AD1A45" w:rsidRPr="009B4D2A">
        <w:rPr>
          <w:rFonts w:ascii="Calibri-Light" w:eastAsia="Calibri-Light" w:hAnsi="Calibri-Light" w:cs="Yu Mincho"/>
          <w:szCs w:val="24"/>
        </w:rPr>
        <w:t>polic</w:t>
      </w:r>
      <w:r w:rsidR="00185F73" w:rsidRPr="009B4D2A">
        <w:rPr>
          <w:rFonts w:ascii="Calibri-Light" w:eastAsia="Calibri-Light" w:hAnsi="Calibri-Light" w:cs="Yu Mincho"/>
          <w:szCs w:val="24"/>
        </w:rPr>
        <w:t>ies</w:t>
      </w:r>
      <w:r w:rsidR="00AD1A45" w:rsidRPr="009B4D2A">
        <w:rPr>
          <w:rFonts w:ascii="Calibri-Light" w:eastAsia="Calibri-Light" w:hAnsi="Calibri-Light" w:cs="Yu Mincho"/>
          <w:szCs w:val="24"/>
        </w:rPr>
        <w:t xml:space="preserve"> as </w:t>
      </w:r>
      <w:r w:rsidR="00185F73" w:rsidRPr="009B4D2A">
        <w:rPr>
          <w:rFonts w:ascii="Calibri-Light" w:eastAsia="Calibri-Light" w:hAnsi="Calibri-Light" w:cs="Yu Mincho"/>
          <w:szCs w:val="24"/>
        </w:rPr>
        <w:t xml:space="preserve">they are </w:t>
      </w:r>
      <w:r w:rsidR="00AD1A45" w:rsidRPr="009B4D2A">
        <w:rPr>
          <w:rFonts w:ascii="Calibri-Light" w:eastAsia="Calibri-Light" w:hAnsi="Calibri-Light" w:cs="Yu Mincho"/>
          <w:szCs w:val="24"/>
        </w:rPr>
        <w:t>implemented and re</w:t>
      </w:r>
      <w:r w:rsidR="000F2C2F" w:rsidRPr="009B4D2A">
        <w:rPr>
          <w:rFonts w:ascii="Calibri-Light" w:eastAsia="Calibri-Light" w:hAnsi="Calibri-Light" w:cs="Yu Mincho"/>
          <w:szCs w:val="24"/>
        </w:rPr>
        <w:t>consider</w:t>
      </w:r>
      <w:r w:rsidR="00AD1A45" w:rsidRPr="009B4D2A">
        <w:rPr>
          <w:rFonts w:ascii="Calibri-Light" w:eastAsia="Calibri-Light" w:hAnsi="Calibri-Light" w:cs="Yu Mincho"/>
          <w:szCs w:val="24"/>
        </w:rPr>
        <w:t xml:space="preserve"> </w:t>
      </w:r>
      <w:r w:rsidR="000E50AD" w:rsidRPr="009B4D2A">
        <w:rPr>
          <w:rFonts w:ascii="Calibri-Light" w:eastAsia="Calibri-Light" w:hAnsi="Calibri-Light" w:cs="Yu Mincho"/>
          <w:szCs w:val="24"/>
        </w:rPr>
        <w:t xml:space="preserve">our assumptions of </w:t>
      </w:r>
      <w:r w:rsidR="000F2C2F" w:rsidRPr="009B4D2A">
        <w:rPr>
          <w:rFonts w:ascii="Calibri-Light" w:eastAsia="Calibri-Light" w:hAnsi="Calibri-Light" w:cs="Yu Mincho"/>
          <w:szCs w:val="24"/>
        </w:rPr>
        <w:t>NZ ETS participation</w:t>
      </w:r>
      <w:r w:rsidR="00AD1A45" w:rsidRPr="009B4D2A">
        <w:rPr>
          <w:rFonts w:ascii="Calibri-Light" w:eastAsia="Calibri-Light" w:hAnsi="Calibri-Light" w:cs="Yu Mincho"/>
          <w:szCs w:val="24"/>
        </w:rPr>
        <w:t xml:space="preserve"> if </w:t>
      </w:r>
      <w:r w:rsidR="00370AD4" w:rsidRPr="009B4D2A">
        <w:rPr>
          <w:rFonts w:ascii="Calibri-Light" w:eastAsia="Calibri-Light" w:hAnsi="Calibri-Light" w:cs="Yu Mincho"/>
          <w:szCs w:val="24"/>
        </w:rPr>
        <w:t xml:space="preserve">new evidence </w:t>
      </w:r>
      <w:r w:rsidR="000F2C2F" w:rsidRPr="009B4D2A">
        <w:rPr>
          <w:rFonts w:ascii="Calibri-Light" w:eastAsia="Calibri-Light" w:hAnsi="Calibri-Light" w:cs="Yu Mincho"/>
          <w:szCs w:val="24"/>
        </w:rPr>
        <w:t>becomes available</w:t>
      </w:r>
      <w:r w:rsidR="00AD1A45" w:rsidRPr="009B4D2A">
        <w:rPr>
          <w:rFonts w:ascii="Calibri-Light" w:eastAsia="Calibri-Light" w:hAnsi="Calibri-Light" w:cs="Yu Mincho"/>
          <w:szCs w:val="24"/>
        </w:rPr>
        <w:t xml:space="preserve">. </w:t>
      </w:r>
      <w:r w:rsidR="00655178" w:rsidRPr="009B4D2A">
        <w:rPr>
          <w:rFonts w:ascii="Calibri-Light" w:eastAsia="Calibri-Light" w:hAnsi="Calibri-Light" w:cs="Yu Mincho"/>
          <w:szCs w:val="24"/>
        </w:rPr>
        <w:t xml:space="preserve"> </w:t>
      </w:r>
      <w:r w:rsidR="00C07C24" w:rsidRPr="009B4D2A">
        <w:rPr>
          <w:rFonts w:ascii="Calibri-Light" w:eastAsia="Calibri-Light" w:hAnsi="Calibri-Light" w:cs="Yu Mincho"/>
          <w:szCs w:val="24"/>
        </w:rPr>
        <w:t xml:space="preserve"> </w:t>
      </w:r>
    </w:p>
    <w:p w14:paraId="62F6E5D0" w14:textId="389F0A0B" w:rsidR="003904F7" w:rsidRPr="003D1CB1" w:rsidRDefault="00665CE4" w:rsidP="009B4D2A">
      <w:pPr>
        <w:pStyle w:val="Heading4"/>
        <w:spacing w:before="80" w:after="80"/>
        <w:rPr>
          <w:rFonts w:hint="eastAsia"/>
        </w:rPr>
      </w:pPr>
      <w:r w:rsidRPr="003D1CB1">
        <w:t>Forecast d</w:t>
      </w:r>
      <w:r w:rsidR="003904F7" w:rsidRPr="003D1CB1">
        <w:t>eforestation</w:t>
      </w:r>
      <w:r w:rsidRPr="003D1CB1">
        <w:t xml:space="preserve"> outside the NZ ETS</w:t>
      </w:r>
    </w:p>
    <w:p w14:paraId="551D11B7" w14:textId="464117DD" w:rsidR="002971C6" w:rsidRDefault="002971C6" w:rsidP="0075756B">
      <w:pPr>
        <w:spacing w:after="120"/>
        <w:rPr>
          <w:lang w:val="en-US"/>
        </w:rPr>
      </w:pPr>
      <w:r>
        <w:rPr>
          <w:lang w:val="en-US"/>
        </w:rPr>
        <w:t>Two categories of deforestation emissions are outside the NZ ETS:</w:t>
      </w:r>
    </w:p>
    <w:p w14:paraId="7B9412E2" w14:textId="48512C66" w:rsidR="002971C6" w:rsidRDefault="00183C16" w:rsidP="002971C6">
      <w:pPr>
        <w:pStyle w:val="ListParagraph"/>
        <w:numPr>
          <w:ilvl w:val="0"/>
          <w:numId w:val="72"/>
        </w:numPr>
        <w:rPr>
          <w:lang w:val="en-US"/>
        </w:rPr>
      </w:pPr>
      <w:r>
        <w:rPr>
          <w:lang w:val="en-US"/>
        </w:rPr>
        <w:t>d</w:t>
      </w:r>
      <w:r w:rsidR="002971C6" w:rsidRPr="002971C6">
        <w:rPr>
          <w:lang w:val="en-US"/>
        </w:rPr>
        <w:t>eforestation of pre-1990 native forest</w:t>
      </w:r>
      <w:r w:rsidR="00EA13C4">
        <w:rPr>
          <w:rStyle w:val="EndnoteReference"/>
          <w:lang w:val="en-US"/>
        </w:rPr>
        <w:endnoteReference w:id="4"/>
      </w:r>
    </w:p>
    <w:p w14:paraId="4797DCBD" w14:textId="6D212E2D" w:rsidR="002971C6" w:rsidRDefault="00183C16" w:rsidP="007A7149">
      <w:pPr>
        <w:pStyle w:val="ListParagraph"/>
        <w:numPr>
          <w:ilvl w:val="0"/>
          <w:numId w:val="72"/>
        </w:numPr>
        <w:rPr>
          <w:lang w:val="en-US"/>
        </w:rPr>
      </w:pPr>
      <w:r>
        <w:rPr>
          <w:lang w:val="en-US"/>
        </w:rPr>
        <w:t>d</w:t>
      </w:r>
      <w:r w:rsidR="002971C6" w:rsidRPr="002971C6">
        <w:rPr>
          <w:lang w:val="en-US"/>
        </w:rPr>
        <w:t xml:space="preserve">eforestation of post-1989 forests that </w:t>
      </w:r>
      <w:r w:rsidR="002971C6">
        <w:rPr>
          <w:lang w:val="en-US"/>
        </w:rPr>
        <w:t>have not registered into the NZ</w:t>
      </w:r>
      <w:r w:rsidR="00E61EEE">
        <w:rPr>
          <w:lang w:val="en-US"/>
        </w:rPr>
        <w:t xml:space="preserve"> </w:t>
      </w:r>
      <w:r w:rsidR="002971C6">
        <w:rPr>
          <w:lang w:val="en-US"/>
        </w:rPr>
        <w:t>ETS.</w:t>
      </w:r>
    </w:p>
    <w:p w14:paraId="78590B90" w14:textId="04892C4A" w:rsidR="00634ACD" w:rsidRPr="009B4D2A" w:rsidRDefault="002A1B2D" w:rsidP="009B4D2A">
      <w:pPr>
        <w:spacing w:line="279" w:lineRule="auto"/>
        <w:rPr>
          <w:rFonts w:ascii="Calibri-Light" w:eastAsia="Calibri-Light" w:hAnsi="Calibri-Light" w:cs="Yu Mincho"/>
          <w:szCs w:val="24"/>
        </w:rPr>
      </w:pPr>
      <w:r w:rsidRPr="009B4D2A">
        <w:rPr>
          <w:rFonts w:ascii="Calibri-Light" w:eastAsia="Calibri-Light" w:hAnsi="Calibri-Light" w:cs="Yu Mincho"/>
          <w:szCs w:val="24"/>
        </w:rPr>
        <w:t xml:space="preserve">The </w:t>
      </w:r>
      <w:r w:rsidR="008B60FE" w:rsidRPr="009B4D2A">
        <w:rPr>
          <w:rFonts w:ascii="Calibri-Light" w:eastAsia="Calibri-Light" w:hAnsi="Calibri-Light" w:cs="Yu Mincho"/>
          <w:szCs w:val="24"/>
        </w:rPr>
        <w:t xml:space="preserve">ERP2 emissions </w:t>
      </w:r>
      <w:r w:rsidR="0072442F" w:rsidRPr="009B4D2A">
        <w:rPr>
          <w:rFonts w:ascii="Calibri-Light" w:eastAsia="Calibri-Light" w:hAnsi="Calibri-Light" w:cs="Yu Mincho"/>
          <w:szCs w:val="24"/>
        </w:rPr>
        <w:t>projections</w:t>
      </w:r>
      <w:r w:rsidRPr="009B4D2A">
        <w:rPr>
          <w:rFonts w:ascii="Calibri-Light" w:eastAsia="Calibri-Light" w:hAnsi="Calibri-Light" w:cs="Yu Mincho"/>
          <w:szCs w:val="24"/>
        </w:rPr>
        <w:t xml:space="preserve"> detail</w:t>
      </w:r>
      <w:r w:rsidR="009F7C22" w:rsidRPr="009B4D2A">
        <w:rPr>
          <w:rFonts w:ascii="Calibri-Light" w:eastAsia="Calibri-Light" w:hAnsi="Calibri-Light" w:cs="Yu Mincho"/>
          <w:szCs w:val="24"/>
        </w:rPr>
        <w:t xml:space="preserve"> the</w:t>
      </w:r>
      <w:r w:rsidRPr="009B4D2A">
        <w:rPr>
          <w:rFonts w:ascii="Calibri-Light" w:eastAsia="Calibri-Light" w:hAnsi="Calibri-Light" w:cs="Yu Mincho"/>
          <w:szCs w:val="24"/>
        </w:rPr>
        <w:t xml:space="preserve"> total </w:t>
      </w:r>
      <w:r w:rsidR="0072442F" w:rsidRPr="009B4D2A">
        <w:rPr>
          <w:rFonts w:ascii="Calibri-Light" w:eastAsia="Calibri-Light" w:hAnsi="Calibri-Light" w:cs="Yu Mincho"/>
          <w:szCs w:val="24"/>
        </w:rPr>
        <w:t xml:space="preserve">area of expected </w:t>
      </w:r>
      <w:r w:rsidRPr="009B4D2A">
        <w:rPr>
          <w:rFonts w:ascii="Calibri-Light" w:eastAsia="Calibri-Light" w:hAnsi="Calibri-Light" w:cs="Yu Mincho"/>
          <w:szCs w:val="24"/>
        </w:rPr>
        <w:t>deforestation</w:t>
      </w:r>
      <w:r w:rsidR="009F7C22" w:rsidRPr="009B4D2A">
        <w:rPr>
          <w:rFonts w:ascii="Calibri-Light" w:eastAsia="Calibri-Light" w:hAnsi="Calibri-Light" w:cs="Yu Mincho"/>
          <w:szCs w:val="24"/>
        </w:rPr>
        <w:t>,</w:t>
      </w:r>
      <w:r w:rsidRPr="009B4D2A">
        <w:rPr>
          <w:rFonts w:ascii="Calibri-Light" w:eastAsia="Calibri-Light" w:hAnsi="Calibri-Light" w:cs="Yu Mincho"/>
          <w:szCs w:val="24"/>
        </w:rPr>
        <w:t xml:space="preserve"> </w:t>
      </w:r>
      <w:r w:rsidR="004A5288" w:rsidRPr="009B4D2A">
        <w:rPr>
          <w:rFonts w:ascii="Calibri-Light" w:eastAsia="Calibri-Light" w:hAnsi="Calibri-Light" w:cs="Yu Mincho"/>
          <w:szCs w:val="24"/>
        </w:rPr>
        <w:t xml:space="preserve">but </w:t>
      </w:r>
      <w:r w:rsidR="00A6407B" w:rsidRPr="009B4D2A">
        <w:rPr>
          <w:rFonts w:ascii="Calibri-Light" w:eastAsia="Calibri-Light" w:hAnsi="Calibri-Light" w:cs="Yu Mincho"/>
          <w:szCs w:val="24"/>
        </w:rPr>
        <w:t xml:space="preserve">do </w:t>
      </w:r>
      <w:r w:rsidR="004A5288" w:rsidRPr="009B4D2A">
        <w:rPr>
          <w:rFonts w:ascii="Calibri-Light" w:eastAsia="Calibri-Light" w:hAnsi="Calibri-Light" w:cs="Yu Mincho"/>
          <w:szCs w:val="24"/>
        </w:rPr>
        <w:t xml:space="preserve">not break this down </w:t>
      </w:r>
      <w:r w:rsidR="00122388" w:rsidRPr="009B4D2A">
        <w:rPr>
          <w:rFonts w:ascii="Calibri-Light" w:eastAsia="Calibri-Light" w:hAnsi="Calibri-Light" w:cs="Yu Mincho"/>
          <w:szCs w:val="24"/>
        </w:rPr>
        <w:t xml:space="preserve">by </w:t>
      </w:r>
      <w:r w:rsidR="004A5288" w:rsidRPr="009B4D2A">
        <w:rPr>
          <w:rFonts w:ascii="Calibri-Light" w:eastAsia="Calibri-Light" w:hAnsi="Calibri-Light" w:cs="Yu Mincho"/>
          <w:szCs w:val="24"/>
        </w:rPr>
        <w:t>type of forest (e.g., native v</w:t>
      </w:r>
      <w:r w:rsidR="00C108B2" w:rsidRPr="009B4D2A">
        <w:rPr>
          <w:rFonts w:ascii="Calibri-Light" w:eastAsia="Calibri-Light" w:hAnsi="Calibri-Light" w:cs="Yu Mincho"/>
          <w:szCs w:val="24"/>
        </w:rPr>
        <w:t>er</w:t>
      </w:r>
      <w:r w:rsidR="004A5288" w:rsidRPr="009B4D2A">
        <w:rPr>
          <w:rFonts w:ascii="Calibri-Light" w:eastAsia="Calibri-Light" w:hAnsi="Calibri-Light" w:cs="Yu Mincho"/>
          <w:szCs w:val="24"/>
        </w:rPr>
        <w:t>s</w:t>
      </w:r>
      <w:r w:rsidR="00C108B2" w:rsidRPr="009B4D2A">
        <w:rPr>
          <w:rFonts w:ascii="Calibri-Light" w:eastAsia="Calibri-Light" w:hAnsi="Calibri-Light" w:cs="Yu Mincho"/>
          <w:szCs w:val="24"/>
        </w:rPr>
        <w:t>us</w:t>
      </w:r>
      <w:r w:rsidR="004A5288" w:rsidRPr="009B4D2A">
        <w:rPr>
          <w:rFonts w:ascii="Calibri-Light" w:eastAsia="Calibri-Light" w:hAnsi="Calibri-Light" w:cs="Yu Mincho"/>
          <w:szCs w:val="24"/>
        </w:rPr>
        <w:t xml:space="preserve"> exotic, </w:t>
      </w:r>
      <w:r w:rsidR="008A598B" w:rsidRPr="009B4D2A">
        <w:rPr>
          <w:rFonts w:ascii="Calibri-Light" w:eastAsia="Calibri-Light" w:hAnsi="Calibri-Light" w:cs="Yu Mincho"/>
          <w:szCs w:val="24"/>
        </w:rPr>
        <w:t>post-</w:t>
      </w:r>
      <w:r w:rsidR="00FB6A14" w:rsidRPr="009B4D2A">
        <w:rPr>
          <w:rFonts w:ascii="Calibri-Light" w:eastAsia="Calibri-Light" w:hAnsi="Calibri-Light" w:cs="Yu Mincho"/>
          <w:szCs w:val="24"/>
        </w:rPr>
        <w:t>19</w:t>
      </w:r>
      <w:r w:rsidR="004A5288" w:rsidRPr="009B4D2A">
        <w:rPr>
          <w:rFonts w:ascii="Calibri-Light" w:eastAsia="Calibri-Light" w:hAnsi="Calibri-Light" w:cs="Yu Mincho"/>
          <w:szCs w:val="24"/>
        </w:rPr>
        <w:t>89 v</w:t>
      </w:r>
      <w:r w:rsidR="00C108B2" w:rsidRPr="009B4D2A">
        <w:rPr>
          <w:rFonts w:ascii="Calibri-Light" w:eastAsia="Calibri-Light" w:hAnsi="Calibri-Light" w:cs="Yu Mincho"/>
          <w:szCs w:val="24"/>
        </w:rPr>
        <w:t>ersus</w:t>
      </w:r>
      <w:r w:rsidR="004A5288" w:rsidRPr="009B4D2A">
        <w:rPr>
          <w:rFonts w:ascii="Calibri-Light" w:eastAsia="Calibri-Light" w:hAnsi="Calibri-Light" w:cs="Yu Mincho"/>
          <w:szCs w:val="24"/>
        </w:rPr>
        <w:t xml:space="preserve"> </w:t>
      </w:r>
      <w:r w:rsidR="008A598B" w:rsidRPr="009B4D2A">
        <w:rPr>
          <w:rFonts w:ascii="Calibri-Light" w:eastAsia="Calibri-Light" w:hAnsi="Calibri-Light" w:cs="Yu Mincho"/>
          <w:szCs w:val="24"/>
        </w:rPr>
        <w:t>pre-</w:t>
      </w:r>
      <w:r w:rsidR="00FB6A14" w:rsidRPr="009B4D2A">
        <w:rPr>
          <w:rFonts w:ascii="Calibri-Light" w:eastAsia="Calibri-Light" w:hAnsi="Calibri-Light" w:cs="Yu Mincho"/>
          <w:szCs w:val="24"/>
        </w:rPr>
        <w:t>19</w:t>
      </w:r>
      <w:r w:rsidR="004A5288" w:rsidRPr="009B4D2A">
        <w:rPr>
          <w:rFonts w:ascii="Calibri-Light" w:eastAsia="Calibri-Light" w:hAnsi="Calibri-Light" w:cs="Yu Mincho"/>
          <w:szCs w:val="24"/>
        </w:rPr>
        <w:t xml:space="preserve">90). </w:t>
      </w:r>
      <w:r w:rsidR="009F21D7" w:rsidRPr="009B4D2A">
        <w:rPr>
          <w:rFonts w:ascii="Calibri-Light" w:eastAsia="Calibri-Light" w:hAnsi="Calibri-Light" w:cs="Yu Mincho"/>
          <w:szCs w:val="24"/>
        </w:rPr>
        <w:t xml:space="preserve">This breakdown is needed </w:t>
      </w:r>
      <w:r w:rsidR="00D032B3" w:rsidRPr="009B4D2A">
        <w:rPr>
          <w:rFonts w:ascii="Calibri-Light" w:eastAsia="Calibri-Light" w:hAnsi="Calibri-Light" w:cs="Yu Mincho"/>
          <w:szCs w:val="24"/>
        </w:rPr>
        <w:t xml:space="preserve">to </w:t>
      </w:r>
      <w:r w:rsidR="001474A6" w:rsidRPr="009B4D2A">
        <w:rPr>
          <w:rFonts w:ascii="Calibri-Light" w:eastAsia="Calibri-Light" w:hAnsi="Calibri-Light" w:cs="Yu Mincho"/>
          <w:szCs w:val="24"/>
        </w:rPr>
        <w:t xml:space="preserve">estimate </w:t>
      </w:r>
      <w:r w:rsidR="00A10A45" w:rsidRPr="009B4D2A">
        <w:rPr>
          <w:rFonts w:ascii="Calibri-Light" w:eastAsia="Calibri-Light" w:hAnsi="Calibri-Light" w:cs="Yu Mincho"/>
          <w:szCs w:val="24"/>
        </w:rPr>
        <w:t xml:space="preserve">net </w:t>
      </w:r>
      <w:r w:rsidR="001474A6" w:rsidRPr="009B4D2A">
        <w:rPr>
          <w:rFonts w:ascii="Calibri-Light" w:eastAsia="Calibri-Light" w:hAnsi="Calibri-Light" w:cs="Yu Mincho"/>
          <w:szCs w:val="24"/>
        </w:rPr>
        <w:t>forest</w:t>
      </w:r>
      <w:r w:rsidR="00A10A45" w:rsidRPr="009B4D2A">
        <w:rPr>
          <w:rFonts w:ascii="Calibri-Light" w:eastAsia="Calibri-Light" w:hAnsi="Calibri-Light" w:cs="Yu Mincho"/>
          <w:szCs w:val="24"/>
        </w:rPr>
        <w:t>ry</w:t>
      </w:r>
      <w:r w:rsidR="001474A6" w:rsidRPr="009B4D2A">
        <w:rPr>
          <w:rFonts w:ascii="Calibri-Light" w:eastAsia="Calibri-Light" w:hAnsi="Calibri-Light" w:cs="Yu Mincho"/>
          <w:szCs w:val="24"/>
        </w:rPr>
        <w:t xml:space="preserve"> emissions inside </w:t>
      </w:r>
      <w:r w:rsidR="00A10A45" w:rsidRPr="009B4D2A">
        <w:rPr>
          <w:rFonts w:ascii="Calibri-Light" w:eastAsia="Calibri-Light" w:hAnsi="Calibri-Light" w:cs="Yu Mincho"/>
          <w:szCs w:val="24"/>
        </w:rPr>
        <w:t xml:space="preserve">and </w:t>
      </w:r>
      <w:r w:rsidR="001474A6" w:rsidRPr="009B4D2A">
        <w:rPr>
          <w:rFonts w:ascii="Calibri-Light" w:eastAsia="Calibri-Light" w:hAnsi="Calibri-Light" w:cs="Yu Mincho"/>
          <w:szCs w:val="24"/>
        </w:rPr>
        <w:t xml:space="preserve">outside the </w:t>
      </w:r>
      <w:r w:rsidR="00E6208B" w:rsidRPr="009B4D2A">
        <w:rPr>
          <w:rFonts w:ascii="Calibri-Light" w:eastAsia="Calibri-Light" w:hAnsi="Calibri-Light" w:cs="Yu Mincho"/>
          <w:szCs w:val="24"/>
        </w:rPr>
        <w:t xml:space="preserve">NZ </w:t>
      </w:r>
      <w:r w:rsidR="001474A6" w:rsidRPr="009B4D2A">
        <w:rPr>
          <w:rFonts w:ascii="Calibri-Light" w:eastAsia="Calibri-Light" w:hAnsi="Calibri-Light" w:cs="Yu Mincho"/>
          <w:szCs w:val="24"/>
        </w:rPr>
        <w:t xml:space="preserve">ETS. </w:t>
      </w:r>
    </w:p>
    <w:p w14:paraId="14A30638" w14:textId="32043293" w:rsidR="00A74F7B" w:rsidRPr="009B4D2A" w:rsidRDefault="009451C1"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 xml:space="preserve">The government’s forecasts </w:t>
      </w:r>
      <w:r w:rsidR="00BF0BEB" w:rsidRPr="54C60BB6">
        <w:rPr>
          <w:rFonts w:ascii="Calibri-Light" w:eastAsia="Calibri-Light" w:hAnsi="Calibri-Light" w:cs="Yu Mincho"/>
          <w:lang w:val="en-US"/>
        </w:rPr>
        <w:t xml:space="preserve">of area deforested match the Commission’s reference scenario from our advice on the fourth emissions budget. We </w:t>
      </w:r>
      <w:r w:rsidR="00F10B0A" w:rsidRPr="54C60BB6">
        <w:rPr>
          <w:rFonts w:ascii="Calibri-Light" w:eastAsia="Calibri-Light" w:hAnsi="Calibri-Light" w:cs="Yu Mincho"/>
          <w:lang w:val="en-US"/>
        </w:rPr>
        <w:t>assume the forecast defores</w:t>
      </w:r>
      <w:r w:rsidR="004B0437" w:rsidRPr="54C60BB6">
        <w:rPr>
          <w:rFonts w:ascii="Calibri-Light" w:eastAsia="Calibri-Light" w:hAnsi="Calibri-Light" w:cs="Yu Mincho"/>
          <w:lang w:val="en-US"/>
        </w:rPr>
        <w:t>t</w:t>
      </w:r>
      <w:r w:rsidR="00F10B0A" w:rsidRPr="54C60BB6">
        <w:rPr>
          <w:rFonts w:ascii="Calibri-Light" w:eastAsia="Calibri-Light" w:hAnsi="Calibri-Light" w:cs="Yu Mincho"/>
          <w:lang w:val="en-US"/>
        </w:rPr>
        <w:t>ation matches the breakdown by type</w:t>
      </w:r>
      <w:r w:rsidR="00BF0BEB" w:rsidRPr="54C60BB6">
        <w:rPr>
          <w:rFonts w:ascii="Calibri-Light" w:eastAsia="Calibri-Light" w:hAnsi="Calibri-Light" w:cs="Yu Mincho"/>
          <w:lang w:val="en-US"/>
        </w:rPr>
        <w:t xml:space="preserve"> </w:t>
      </w:r>
      <w:r w:rsidR="00721469" w:rsidRPr="54C60BB6">
        <w:rPr>
          <w:rFonts w:ascii="Calibri-Light" w:eastAsia="Calibri-Light" w:hAnsi="Calibri-Light" w:cs="Yu Mincho"/>
          <w:lang w:val="en-US"/>
        </w:rPr>
        <w:t xml:space="preserve">from </w:t>
      </w:r>
      <w:r w:rsidR="00BF0BEB" w:rsidRPr="54C60BB6">
        <w:rPr>
          <w:rFonts w:ascii="Calibri-Light" w:eastAsia="Calibri-Light" w:hAnsi="Calibri-Light" w:cs="Yu Mincho"/>
          <w:lang w:val="en-US"/>
        </w:rPr>
        <w:t xml:space="preserve">this </w:t>
      </w:r>
      <w:r w:rsidR="00721469" w:rsidRPr="54C60BB6">
        <w:rPr>
          <w:rFonts w:ascii="Calibri-Light" w:eastAsia="Calibri-Light" w:hAnsi="Calibri-Light" w:cs="Yu Mincho"/>
          <w:lang w:val="en-US"/>
        </w:rPr>
        <w:t>reference scenario</w:t>
      </w:r>
      <w:r w:rsidR="004B0437" w:rsidRPr="54C60BB6">
        <w:rPr>
          <w:rFonts w:ascii="Calibri-Light" w:eastAsia="Calibri-Light" w:hAnsi="Calibri-Light" w:cs="Yu Mincho"/>
          <w:lang w:val="en-US"/>
        </w:rPr>
        <w:t xml:space="preserve">. </w:t>
      </w:r>
      <w:r w:rsidR="00634ACD" w:rsidRPr="54C60BB6">
        <w:rPr>
          <w:rFonts w:ascii="Calibri-Light" w:eastAsia="Calibri-Light" w:hAnsi="Calibri-Light" w:cs="Yu Mincho"/>
          <w:lang w:val="en-US"/>
        </w:rPr>
        <w:t xml:space="preserve">We have </w:t>
      </w:r>
      <w:r w:rsidR="004B0437" w:rsidRPr="54C60BB6">
        <w:rPr>
          <w:rFonts w:ascii="Calibri-Light" w:eastAsia="Calibri-Light" w:hAnsi="Calibri-Light" w:cs="Yu Mincho"/>
          <w:lang w:val="en-US"/>
        </w:rPr>
        <w:t xml:space="preserve">also </w:t>
      </w:r>
      <w:r w:rsidR="00634ACD" w:rsidRPr="54C60BB6">
        <w:rPr>
          <w:rFonts w:ascii="Calibri-Light" w:eastAsia="Calibri-Light" w:hAnsi="Calibri-Light" w:cs="Yu Mincho"/>
          <w:lang w:val="en-US"/>
        </w:rPr>
        <w:t>assumed that a</w:t>
      </w:r>
      <w:r w:rsidR="00A74F7B" w:rsidRPr="54C60BB6">
        <w:rPr>
          <w:rFonts w:ascii="Calibri-Light" w:eastAsia="Calibri-Light" w:hAnsi="Calibri-Light" w:cs="Yu Mincho"/>
          <w:lang w:val="en-US"/>
        </w:rPr>
        <w:t xml:space="preserve">ll </w:t>
      </w:r>
      <w:r w:rsidR="006C4C3F" w:rsidRPr="54C60BB6">
        <w:rPr>
          <w:rFonts w:ascii="Calibri-Light" w:eastAsia="Calibri-Light" w:hAnsi="Calibri-Light" w:cs="Yu Mincho"/>
          <w:lang w:val="en-US"/>
        </w:rPr>
        <w:t>post-</w:t>
      </w:r>
      <w:r w:rsidR="00FB6A14" w:rsidRPr="54C60BB6">
        <w:rPr>
          <w:rFonts w:ascii="Calibri-Light" w:eastAsia="Calibri-Light" w:hAnsi="Calibri-Light" w:cs="Yu Mincho"/>
          <w:lang w:val="en-US"/>
        </w:rPr>
        <w:t>19</w:t>
      </w:r>
      <w:r w:rsidR="00A74F7B" w:rsidRPr="54C60BB6">
        <w:rPr>
          <w:rFonts w:ascii="Calibri-Light" w:eastAsia="Calibri-Light" w:hAnsi="Calibri-Light" w:cs="Yu Mincho"/>
          <w:lang w:val="en-US"/>
        </w:rPr>
        <w:t xml:space="preserve">89 native and exotic deforestation </w:t>
      </w:r>
      <w:r w:rsidR="00A106F4" w:rsidRPr="54C60BB6">
        <w:rPr>
          <w:rFonts w:ascii="Calibri-Light" w:eastAsia="Calibri-Light" w:hAnsi="Calibri-Light" w:cs="Yu Mincho"/>
          <w:lang w:val="en-US"/>
        </w:rPr>
        <w:t xml:space="preserve">occurs among </w:t>
      </w:r>
      <w:r w:rsidR="00771182" w:rsidRPr="54C60BB6">
        <w:rPr>
          <w:rFonts w:ascii="Calibri-Light" w:eastAsia="Calibri-Light" w:hAnsi="Calibri-Light" w:cs="Yu Mincho"/>
          <w:lang w:val="en-US"/>
        </w:rPr>
        <w:t xml:space="preserve">the </w:t>
      </w:r>
      <w:r w:rsidR="00A106F4" w:rsidRPr="54C60BB6">
        <w:rPr>
          <w:rFonts w:ascii="Calibri-Light" w:eastAsia="Calibri-Light" w:hAnsi="Calibri-Light" w:cs="Yu Mincho"/>
          <w:lang w:val="en-US"/>
        </w:rPr>
        <w:t xml:space="preserve">forests that </w:t>
      </w:r>
      <w:r w:rsidR="009F0C84" w:rsidRPr="54C60BB6">
        <w:rPr>
          <w:rFonts w:ascii="Calibri-Light" w:eastAsia="Calibri-Light" w:hAnsi="Calibri-Light" w:cs="Yu Mincho"/>
          <w:lang w:val="en-US"/>
        </w:rPr>
        <w:t xml:space="preserve">are not </w:t>
      </w:r>
      <w:r w:rsidR="00A106F4" w:rsidRPr="54C60BB6">
        <w:rPr>
          <w:rFonts w:ascii="Calibri-Light" w:eastAsia="Calibri-Light" w:hAnsi="Calibri-Light" w:cs="Yu Mincho"/>
          <w:lang w:val="en-US"/>
        </w:rPr>
        <w:t>registered</w:t>
      </w:r>
      <w:r w:rsidR="005A0A90" w:rsidRPr="54C60BB6">
        <w:rPr>
          <w:rFonts w:ascii="Calibri-Light" w:eastAsia="Calibri-Light" w:hAnsi="Calibri-Light" w:cs="Yu Mincho"/>
          <w:lang w:val="en-US"/>
        </w:rPr>
        <w:t xml:space="preserve"> in the NZ ETS</w:t>
      </w:r>
      <w:r w:rsidR="00CF0B63" w:rsidRPr="54C60BB6">
        <w:rPr>
          <w:rFonts w:ascii="Calibri-Light" w:eastAsia="Calibri-Light" w:hAnsi="Calibri-Light" w:cs="Yu Mincho"/>
          <w:lang w:val="en-US"/>
        </w:rPr>
        <w:t xml:space="preserve">. </w:t>
      </w:r>
    </w:p>
    <w:p w14:paraId="7B553511" w14:textId="207F8D82" w:rsidR="00217D21" w:rsidRDefault="00AF4838" w:rsidP="008438C2">
      <w:pPr>
        <w:pStyle w:val="Heading2"/>
        <w:spacing w:before="120" w:after="120"/>
        <w:rPr>
          <w:lang w:val="en-US"/>
        </w:rPr>
      </w:pPr>
      <w:bookmarkStart w:id="19" w:name="_Toc195533414"/>
      <w:r>
        <w:rPr>
          <w:lang w:val="en-US"/>
        </w:rPr>
        <w:t>Step 3: Technical adjustments</w:t>
      </w:r>
      <w:bookmarkEnd w:id="19"/>
    </w:p>
    <w:p w14:paraId="0332D5CC" w14:textId="10B37596" w:rsidR="00AF4838" w:rsidRPr="00CC0489" w:rsidRDefault="00AF4838" w:rsidP="009B4D2A">
      <w:pPr>
        <w:spacing w:line="279" w:lineRule="auto"/>
        <w:rPr>
          <w:rFonts w:cstheme="minorHAnsi"/>
        </w:rPr>
      </w:pPr>
      <w:r w:rsidRPr="009B4D2A">
        <w:rPr>
          <w:rFonts w:ascii="Calibri-Light" w:eastAsia="Calibri-Light" w:hAnsi="Calibri-Light" w:cs="Yu Mincho"/>
          <w:szCs w:val="24"/>
        </w:rPr>
        <w:t xml:space="preserve">Step 3 involves identifying any differences between historical emissions reported in in the NZ ETS compared to the emissions </w:t>
      </w:r>
      <w:r w:rsidR="00E931C1" w:rsidRPr="00CC0489">
        <w:rPr>
          <w:rFonts w:cstheme="minorHAnsi"/>
        </w:rPr>
        <w:t xml:space="preserve">reported </w:t>
      </w:r>
      <w:r w:rsidRPr="00CC0489">
        <w:rPr>
          <w:rFonts w:cstheme="minorHAnsi"/>
        </w:rPr>
        <w:t xml:space="preserve">in the GHG inventory, and assessing whether these differences justify an amendment to unit limit settings. </w:t>
      </w:r>
    </w:p>
    <w:p w14:paraId="5040B4D2" w14:textId="77777777" w:rsidR="00AF4838" w:rsidRPr="00CC0489" w:rsidRDefault="00AF4838" w:rsidP="009B4D2A">
      <w:pPr>
        <w:spacing w:line="279" w:lineRule="auto"/>
        <w:rPr>
          <w:rFonts w:cstheme="minorHAnsi"/>
        </w:rPr>
      </w:pPr>
      <w:r w:rsidRPr="009B4D2A">
        <w:rPr>
          <w:rFonts w:ascii="Calibri-Light" w:eastAsia="Calibri-Light" w:hAnsi="Calibri-Light" w:cs="Yu Mincho"/>
          <w:szCs w:val="24"/>
        </w:rPr>
        <w:t xml:space="preserve">The emissions reporting approaches used in the NZ ETS have been designed to broadly mirror the way emissions are accounted for in Aotearoa New Zealand’s emissions reduction targets. However, there can be differences for a range of reasons, including practical issues connected with the different purposes of the GHG inventory and the NZ ETS. </w:t>
      </w:r>
    </w:p>
    <w:p w14:paraId="5D65C198" w14:textId="579ED4A1" w:rsidR="00AF4838" w:rsidRPr="00CC0489" w:rsidRDefault="00AF4838" w:rsidP="009B4D2A">
      <w:pPr>
        <w:spacing w:line="279" w:lineRule="auto"/>
        <w:rPr>
          <w:rFonts w:cstheme="minorHAnsi"/>
        </w:rPr>
      </w:pPr>
      <w:r w:rsidRPr="009B4D2A">
        <w:rPr>
          <w:rFonts w:ascii="Calibri-Light" w:eastAsia="Calibri-Light" w:hAnsi="Calibri-Light" w:cs="Yu Mincho"/>
          <w:szCs w:val="24"/>
        </w:rPr>
        <w:t>Any consistent differences between the GHG inventory emissions used in target accounting</w:t>
      </w:r>
      <w:r w:rsidR="00AD5839">
        <w:rPr>
          <w:rFonts w:cstheme="minorHAnsi"/>
        </w:rPr>
        <w:t>,</w:t>
      </w:r>
      <w:r w:rsidRPr="00CC0489">
        <w:rPr>
          <w:rFonts w:cstheme="minorHAnsi"/>
        </w:rPr>
        <w:t xml:space="preserve"> and emissions reported in the NZ ETS</w:t>
      </w:r>
      <w:r w:rsidR="00AD5839">
        <w:rPr>
          <w:rFonts w:cstheme="minorHAnsi"/>
        </w:rPr>
        <w:t>,</w:t>
      </w:r>
      <w:r w:rsidRPr="00CC0489">
        <w:rPr>
          <w:rFonts w:cstheme="minorHAnsi"/>
        </w:rPr>
        <w:t xml:space="preserve"> may affect the NZ ETS settings’ ability to accord with emissions reduction targets. This makes it necessary to identify what differences exist and whether a technical adjustment is needed to keep the units in the scheme aligned with targets.</w:t>
      </w:r>
    </w:p>
    <w:p w14:paraId="751C8676" w14:textId="2703AABE" w:rsidR="00F703F1" w:rsidRPr="00CC0489" w:rsidRDefault="00DC4AB7" w:rsidP="009B4D2A">
      <w:pPr>
        <w:spacing w:line="279" w:lineRule="auto"/>
        <w:rPr>
          <w:rFonts w:cstheme="minorHAnsi"/>
        </w:rPr>
      </w:pPr>
      <w:r w:rsidRPr="009B4D2A">
        <w:rPr>
          <w:rFonts w:ascii="Calibri-Light" w:eastAsia="Calibri-Light" w:hAnsi="Calibri-Light" w:cs="Yu Mincho"/>
          <w:szCs w:val="24"/>
        </w:rPr>
        <w:t>There is a lag</w:t>
      </w:r>
      <w:r w:rsidR="00C43A2F" w:rsidRPr="00CC0489" w:rsidDel="0039179E">
        <w:rPr>
          <w:rFonts w:cstheme="minorHAnsi"/>
        </w:rPr>
        <w:t xml:space="preserve"> </w:t>
      </w:r>
      <w:r w:rsidRPr="00CC0489">
        <w:rPr>
          <w:rFonts w:cstheme="minorHAnsi"/>
        </w:rPr>
        <w:t xml:space="preserve">between </w:t>
      </w:r>
      <w:r w:rsidR="0039179E">
        <w:rPr>
          <w:rFonts w:cstheme="minorHAnsi"/>
        </w:rPr>
        <w:t xml:space="preserve">when emissions occur and when they are </w:t>
      </w:r>
      <w:r w:rsidR="009307E1" w:rsidRPr="00CC0489">
        <w:rPr>
          <w:rFonts w:cstheme="minorHAnsi"/>
        </w:rPr>
        <w:t>reported</w:t>
      </w:r>
      <w:r w:rsidR="00D03447" w:rsidRPr="00CC0489">
        <w:rPr>
          <w:rFonts w:cstheme="minorHAnsi"/>
        </w:rPr>
        <w:t xml:space="preserve"> in the N</w:t>
      </w:r>
      <w:r w:rsidR="0039179E">
        <w:rPr>
          <w:rFonts w:cstheme="minorHAnsi"/>
        </w:rPr>
        <w:t xml:space="preserve">ew </w:t>
      </w:r>
      <w:r w:rsidR="00D03447" w:rsidRPr="00CC0489">
        <w:rPr>
          <w:rFonts w:cstheme="minorHAnsi"/>
        </w:rPr>
        <w:t>Z</w:t>
      </w:r>
      <w:r w:rsidR="0039179E">
        <w:rPr>
          <w:rFonts w:cstheme="minorHAnsi"/>
        </w:rPr>
        <w:t>ealand</w:t>
      </w:r>
      <w:r w:rsidR="00D03447" w:rsidRPr="00CC0489">
        <w:rPr>
          <w:rFonts w:cstheme="minorHAnsi"/>
        </w:rPr>
        <w:t xml:space="preserve"> </w:t>
      </w:r>
      <w:r w:rsidR="00DB7E28">
        <w:rPr>
          <w:rFonts w:cstheme="minorHAnsi"/>
        </w:rPr>
        <w:t xml:space="preserve">greenhouse gas </w:t>
      </w:r>
      <w:r w:rsidR="00D03447" w:rsidRPr="00CC0489">
        <w:rPr>
          <w:rFonts w:cstheme="minorHAnsi"/>
        </w:rPr>
        <w:t>inventory</w:t>
      </w:r>
      <w:r w:rsidR="00DB7E28">
        <w:rPr>
          <w:rFonts w:cstheme="minorHAnsi"/>
        </w:rPr>
        <w:t xml:space="preserve"> (GHG Inventory)</w:t>
      </w:r>
      <w:r w:rsidR="00EF3030" w:rsidRPr="00CC0489">
        <w:rPr>
          <w:rFonts w:cstheme="minorHAnsi"/>
        </w:rPr>
        <w:t>.</w:t>
      </w:r>
      <w:r w:rsidR="00B46AA4">
        <w:rPr>
          <w:rFonts w:cstheme="minorHAnsi"/>
        </w:rPr>
        <w:t xml:space="preserve"> </w:t>
      </w:r>
      <w:r w:rsidR="00D63DEA">
        <w:rPr>
          <w:rFonts w:cstheme="minorHAnsi"/>
        </w:rPr>
        <w:t xml:space="preserve">There is an approximate 16 month gap between the end of a calendar year and the publication of the GHG inventory </w:t>
      </w:r>
      <w:r w:rsidR="00B72046">
        <w:rPr>
          <w:rFonts w:cstheme="minorHAnsi"/>
        </w:rPr>
        <w:t>reporting emissions for that year.</w:t>
      </w:r>
      <w:r w:rsidR="00EF3030" w:rsidRPr="00CC0489">
        <w:rPr>
          <w:rFonts w:cstheme="minorHAnsi"/>
        </w:rPr>
        <w:t xml:space="preserve"> </w:t>
      </w:r>
      <w:r w:rsidR="009307E1" w:rsidRPr="00CC0489">
        <w:rPr>
          <w:rFonts w:cstheme="minorHAnsi"/>
        </w:rPr>
        <w:t xml:space="preserve">The reporting delay is approximately </w:t>
      </w:r>
      <w:r w:rsidR="00DE0D51" w:rsidRPr="00CC0489">
        <w:rPr>
          <w:rFonts w:cstheme="minorHAnsi"/>
        </w:rPr>
        <w:t xml:space="preserve">8 months </w:t>
      </w:r>
      <w:r w:rsidR="00B75675" w:rsidRPr="00CC0489">
        <w:rPr>
          <w:rFonts w:cstheme="minorHAnsi"/>
        </w:rPr>
        <w:t xml:space="preserve">for emissions reported </w:t>
      </w:r>
      <w:r w:rsidR="00920BB9">
        <w:rPr>
          <w:rFonts w:cstheme="minorHAnsi"/>
        </w:rPr>
        <w:t xml:space="preserve">in </w:t>
      </w:r>
      <w:r w:rsidR="00B75675" w:rsidRPr="00CC0489">
        <w:rPr>
          <w:rFonts w:cstheme="minorHAnsi"/>
        </w:rPr>
        <w:t xml:space="preserve">the NZ ETS. </w:t>
      </w:r>
      <w:r w:rsidR="00BF3381" w:rsidRPr="00CC0489">
        <w:rPr>
          <w:rFonts w:cstheme="minorHAnsi"/>
        </w:rPr>
        <w:t xml:space="preserve">Due to </w:t>
      </w:r>
      <w:r w:rsidR="00A076A2">
        <w:rPr>
          <w:rFonts w:cstheme="minorHAnsi"/>
        </w:rPr>
        <w:t>these timings</w:t>
      </w:r>
      <w:r w:rsidR="00024DDA" w:rsidRPr="00CC0489">
        <w:rPr>
          <w:rFonts w:cstheme="minorHAnsi"/>
        </w:rPr>
        <w:t xml:space="preserve">, </w:t>
      </w:r>
      <w:r w:rsidR="00602064" w:rsidRPr="00CC0489">
        <w:rPr>
          <w:rFonts w:cstheme="minorHAnsi"/>
        </w:rPr>
        <w:t>our NZ ETS settings advice</w:t>
      </w:r>
      <w:r w:rsidR="00062938" w:rsidRPr="00CC0489">
        <w:rPr>
          <w:rFonts w:cstheme="minorHAnsi"/>
        </w:rPr>
        <w:t xml:space="preserve"> </w:t>
      </w:r>
      <w:r w:rsidR="00D324DB" w:rsidRPr="00CC0489">
        <w:rPr>
          <w:rFonts w:cstheme="minorHAnsi"/>
        </w:rPr>
        <w:t xml:space="preserve">is only able to compare </w:t>
      </w:r>
      <w:r w:rsidR="00C3789D" w:rsidRPr="00CC0489">
        <w:rPr>
          <w:rFonts w:cstheme="minorHAnsi"/>
        </w:rPr>
        <w:t xml:space="preserve">inventory and NZ ETS </w:t>
      </w:r>
      <w:r w:rsidR="00D324DB" w:rsidRPr="00CC0489">
        <w:rPr>
          <w:rFonts w:cstheme="minorHAnsi"/>
        </w:rPr>
        <w:t xml:space="preserve">emissions data </w:t>
      </w:r>
      <w:r w:rsidR="003A77FD" w:rsidRPr="00CC0489">
        <w:rPr>
          <w:rFonts w:cstheme="minorHAnsi"/>
        </w:rPr>
        <w:t xml:space="preserve">up to </w:t>
      </w:r>
      <w:r w:rsidR="000969D3" w:rsidRPr="00CC0489">
        <w:rPr>
          <w:rFonts w:cstheme="minorHAnsi"/>
        </w:rPr>
        <w:t>2022</w:t>
      </w:r>
      <w:r w:rsidR="00366850">
        <w:rPr>
          <w:rFonts w:cstheme="minorHAnsi"/>
        </w:rPr>
        <w:t>, as this is the last year covered by the most recent GHG inventory</w:t>
      </w:r>
      <w:r w:rsidR="00F3565A">
        <w:rPr>
          <w:rFonts w:cstheme="minorHAnsi"/>
        </w:rPr>
        <w:t>,</w:t>
      </w:r>
      <w:r w:rsidR="009525C8">
        <w:rPr>
          <w:rFonts w:cstheme="minorHAnsi"/>
        </w:rPr>
        <w:t xml:space="preserve"> </w:t>
      </w:r>
      <w:r w:rsidR="00366850">
        <w:rPr>
          <w:rFonts w:cstheme="minorHAnsi"/>
        </w:rPr>
        <w:t>published in April 2024</w:t>
      </w:r>
      <w:r w:rsidR="000969D3" w:rsidRPr="00CC0489">
        <w:rPr>
          <w:rFonts w:cstheme="minorHAnsi"/>
        </w:rPr>
        <w:t xml:space="preserve">. </w:t>
      </w:r>
    </w:p>
    <w:p w14:paraId="24837FA9" w14:textId="2BC998F6" w:rsidR="00AF4838" w:rsidRPr="00CC0489" w:rsidRDefault="00382914" w:rsidP="00AF4838">
      <w:pPr>
        <w:rPr>
          <w:rFonts w:cstheme="minorHAnsi"/>
          <w:color w:val="000000"/>
          <w:szCs w:val="24"/>
        </w:rPr>
      </w:pPr>
      <w:r w:rsidRPr="00CC0489">
        <w:rPr>
          <w:rFonts w:cstheme="minorHAnsi"/>
          <w:b/>
          <w:color w:val="000000"/>
          <w:szCs w:val="24"/>
        </w:rPr>
        <w:fldChar w:fldCharType="begin"/>
      </w:r>
      <w:r w:rsidRPr="00CC0489">
        <w:rPr>
          <w:rFonts w:cstheme="minorHAnsi"/>
          <w:b/>
          <w:color w:val="000000"/>
          <w:szCs w:val="24"/>
        </w:rPr>
        <w:instrText xml:space="preserve"> REF _Ref194404688 \h  \* MERGEFORMAT </w:instrText>
      </w:r>
      <w:r w:rsidRPr="00CC0489">
        <w:rPr>
          <w:rFonts w:cstheme="minorHAnsi"/>
          <w:b/>
          <w:color w:val="000000"/>
          <w:szCs w:val="24"/>
        </w:rPr>
      </w:r>
      <w:r w:rsidRPr="00CC0489">
        <w:rPr>
          <w:rFonts w:cstheme="minorHAnsi"/>
          <w:b/>
          <w:color w:val="000000"/>
          <w:szCs w:val="24"/>
        </w:rPr>
        <w:fldChar w:fldCharType="separate"/>
      </w:r>
      <w:r w:rsidRPr="00CC0489">
        <w:rPr>
          <w:rFonts w:cstheme="minorHAnsi"/>
          <w:b/>
          <w:szCs w:val="24"/>
        </w:rPr>
        <w:t xml:space="preserve">Table </w:t>
      </w:r>
      <w:r w:rsidR="00E700F6" w:rsidRPr="00E700F6">
        <w:rPr>
          <w:rFonts w:cstheme="minorHAnsi"/>
          <w:b/>
          <w:szCs w:val="24"/>
        </w:rPr>
        <w:t>2</w:t>
      </w:r>
      <w:r w:rsidRPr="00CC0489">
        <w:rPr>
          <w:rFonts w:cstheme="minorHAnsi"/>
          <w:b/>
          <w:color w:val="000000"/>
          <w:szCs w:val="24"/>
        </w:rPr>
        <w:fldChar w:fldCharType="end"/>
      </w:r>
      <w:r w:rsidRPr="00CC0489">
        <w:rPr>
          <w:rFonts w:cstheme="minorHAnsi"/>
          <w:color w:val="000000"/>
          <w:szCs w:val="24"/>
        </w:rPr>
        <w:t xml:space="preserve"> </w:t>
      </w:r>
      <w:r w:rsidR="00AF4838" w:rsidRPr="00CC0489">
        <w:rPr>
          <w:rFonts w:cstheme="minorHAnsi"/>
          <w:color w:val="000000"/>
          <w:szCs w:val="24"/>
        </w:rPr>
        <w:t xml:space="preserve">shows the groupings of emissions by </w:t>
      </w:r>
      <w:r w:rsidR="00540644">
        <w:rPr>
          <w:rFonts w:cstheme="minorHAnsi"/>
          <w:color w:val="000000"/>
          <w:szCs w:val="24"/>
        </w:rPr>
        <w:t>NZ ETS</w:t>
      </w:r>
      <w:r w:rsidR="00AF4838" w:rsidRPr="00CC0489">
        <w:rPr>
          <w:rFonts w:cstheme="minorHAnsi"/>
          <w:color w:val="000000"/>
          <w:szCs w:val="24"/>
        </w:rPr>
        <w:t xml:space="preserve"> activities</w:t>
      </w:r>
      <w:r w:rsidR="00F87D36">
        <w:rPr>
          <w:rFonts w:cstheme="minorHAnsi"/>
          <w:color w:val="000000"/>
          <w:szCs w:val="24"/>
        </w:rPr>
        <w:t>,</w:t>
      </w:r>
      <w:r w:rsidR="00AF4838" w:rsidRPr="00CC0489">
        <w:rPr>
          <w:rFonts w:cstheme="minorHAnsi"/>
          <w:color w:val="000000"/>
          <w:szCs w:val="24"/>
        </w:rPr>
        <w:t xml:space="preserve"> </w:t>
      </w:r>
      <w:r w:rsidR="00691E4C">
        <w:rPr>
          <w:rFonts w:cstheme="minorHAnsi"/>
          <w:color w:val="000000"/>
          <w:szCs w:val="24"/>
        </w:rPr>
        <w:t xml:space="preserve">which </w:t>
      </w:r>
      <w:r w:rsidR="00851AD8" w:rsidRPr="00CC0489">
        <w:rPr>
          <w:rFonts w:cstheme="minorHAnsi"/>
          <w:color w:val="000000"/>
          <w:szCs w:val="24"/>
        </w:rPr>
        <w:t xml:space="preserve">we have compared </w:t>
      </w:r>
      <w:r w:rsidR="00AF4838" w:rsidRPr="00CC0489">
        <w:rPr>
          <w:rFonts w:cstheme="minorHAnsi"/>
          <w:color w:val="000000"/>
          <w:szCs w:val="24"/>
        </w:rPr>
        <w:t xml:space="preserve">to the corresponding emissions </w:t>
      </w:r>
      <w:r w:rsidR="00522220">
        <w:rPr>
          <w:rFonts w:cstheme="minorHAnsi"/>
          <w:color w:val="000000"/>
          <w:szCs w:val="24"/>
        </w:rPr>
        <w:t xml:space="preserve">by </w:t>
      </w:r>
      <w:r w:rsidR="00AF4838" w:rsidRPr="00CC0489">
        <w:rPr>
          <w:rFonts w:cstheme="minorHAnsi"/>
          <w:color w:val="000000"/>
          <w:szCs w:val="24"/>
        </w:rPr>
        <w:t>GHG inventory</w:t>
      </w:r>
      <w:r w:rsidR="00522220">
        <w:rPr>
          <w:rFonts w:cstheme="minorHAnsi"/>
          <w:color w:val="000000"/>
          <w:szCs w:val="24"/>
        </w:rPr>
        <w:t xml:space="preserve"> category</w:t>
      </w:r>
      <w:r w:rsidR="00AF4838" w:rsidRPr="00CC0489" w:rsidDel="00C418F1">
        <w:rPr>
          <w:rFonts w:cstheme="minorHAnsi"/>
          <w:color w:val="000000"/>
          <w:szCs w:val="24"/>
        </w:rPr>
        <w:t>.</w:t>
      </w:r>
      <w:r w:rsidR="00AF4838" w:rsidRPr="00CC0489">
        <w:rPr>
          <w:rFonts w:cstheme="minorHAnsi"/>
          <w:color w:val="000000"/>
          <w:szCs w:val="24"/>
        </w:rPr>
        <w:t xml:space="preserve"> The analysis used remains generally the same as our previous advice, with minor refinements. </w:t>
      </w:r>
    </w:p>
    <w:p w14:paraId="6FB6462A" w14:textId="627FDA6F" w:rsidR="00AF4838" w:rsidRDefault="00AF4838" w:rsidP="00250B53">
      <w:pPr>
        <w:pStyle w:val="Caption"/>
      </w:pPr>
      <w:bookmarkStart w:id="20" w:name="_Ref194404688"/>
      <w:r w:rsidRPr="00A63CF7">
        <w:t xml:space="preserve">Table </w:t>
      </w:r>
      <w:r w:rsidR="007F3035" w:rsidRPr="00A63CF7">
        <w:fldChar w:fldCharType="begin"/>
      </w:r>
      <w:r w:rsidR="007F3035" w:rsidRPr="00A63CF7">
        <w:instrText xml:space="preserve"> SEQ Table \* ARABIC </w:instrText>
      </w:r>
      <w:r w:rsidR="007F3035" w:rsidRPr="00A63CF7">
        <w:fldChar w:fldCharType="separate"/>
      </w:r>
      <w:r w:rsidR="00E700F6">
        <w:rPr>
          <w:noProof/>
        </w:rPr>
        <w:t>2</w:t>
      </w:r>
      <w:r w:rsidR="007F3035" w:rsidRPr="00A63CF7">
        <w:fldChar w:fldCharType="end"/>
      </w:r>
      <w:bookmarkEnd w:id="20"/>
      <w:r w:rsidR="00EA3949">
        <w:t>:</w:t>
      </w:r>
      <w:r>
        <w:t xml:space="preserve"> </w:t>
      </w:r>
      <w:r w:rsidRPr="00EA3949">
        <w:rPr>
          <w:b w:val="0"/>
        </w:rPr>
        <w:t>NZ ETS activities and corresponding GHG inventory emissions</w:t>
      </w:r>
    </w:p>
    <w:tbl>
      <w:tblPr>
        <w:tblStyle w:val="TableGrid"/>
        <w:tblW w:w="0" w:type="auto"/>
        <w:tblLayout w:type="fixed"/>
        <w:tblLook w:val="04A0" w:firstRow="1" w:lastRow="0" w:firstColumn="1" w:lastColumn="0" w:noHBand="0" w:noVBand="1"/>
      </w:tblPr>
      <w:tblGrid>
        <w:gridCol w:w="1810"/>
        <w:gridCol w:w="3603"/>
        <w:gridCol w:w="3603"/>
      </w:tblGrid>
      <w:tr w:rsidR="00AF4838" w:rsidRPr="00C24584" w14:paraId="563A3E1F" w14:textId="77777777" w:rsidTr="0075756B">
        <w:tc>
          <w:tcPr>
            <w:tcW w:w="1810" w:type="dxa"/>
            <w:shd w:val="clear" w:color="auto" w:fill="1F3864" w:themeFill="accent1" w:themeFillShade="80"/>
            <w:tcMar>
              <w:left w:w="85" w:type="dxa"/>
              <w:right w:w="85" w:type="dxa"/>
            </w:tcMar>
            <w:vAlign w:val="center"/>
          </w:tcPr>
          <w:p w14:paraId="1BAECE0A" w14:textId="77777777" w:rsidR="00AF4838" w:rsidRPr="00C24584" w:rsidRDefault="00AF4838" w:rsidP="00C24584">
            <w:pPr>
              <w:rPr>
                <w:rFonts w:cstheme="minorHAnsi"/>
                <w:b/>
                <w:sz w:val="20"/>
                <w:szCs w:val="20"/>
              </w:rPr>
            </w:pPr>
            <w:r w:rsidRPr="00C24584">
              <w:rPr>
                <w:rFonts w:cstheme="minorHAnsi"/>
                <w:b/>
                <w:sz w:val="20"/>
                <w:szCs w:val="20"/>
              </w:rPr>
              <w:t>Grouping</w:t>
            </w:r>
          </w:p>
        </w:tc>
        <w:tc>
          <w:tcPr>
            <w:tcW w:w="3603" w:type="dxa"/>
            <w:shd w:val="clear" w:color="auto" w:fill="1F3864" w:themeFill="accent1" w:themeFillShade="80"/>
            <w:tcMar>
              <w:left w:w="85" w:type="dxa"/>
              <w:right w:w="85" w:type="dxa"/>
            </w:tcMar>
            <w:vAlign w:val="center"/>
          </w:tcPr>
          <w:p w14:paraId="1C230630" w14:textId="77777777" w:rsidR="00AF4838" w:rsidRPr="00C24584" w:rsidRDefault="00AF4838" w:rsidP="00C24584">
            <w:pPr>
              <w:rPr>
                <w:rFonts w:cstheme="minorHAnsi"/>
                <w:b/>
                <w:sz w:val="20"/>
                <w:szCs w:val="20"/>
              </w:rPr>
            </w:pPr>
            <w:r w:rsidRPr="00C24584">
              <w:rPr>
                <w:rFonts w:cstheme="minorHAnsi"/>
                <w:b/>
                <w:sz w:val="20"/>
                <w:szCs w:val="20"/>
              </w:rPr>
              <w:t>NZ ETS activities</w:t>
            </w:r>
          </w:p>
        </w:tc>
        <w:tc>
          <w:tcPr>
            <w:tcW w:w="3603" w:type="dxa"/>
            <w:shd w:val="clear" w:color="auto" w:fill="1F3864" w:themeFill="accent1" w:themeFillShade="80"/>
            <w:tcMar>
              <w:left w:w="85" w:type="dxa"/>
              <w:right w:w="85" w:type="dxa"/>
            </w:tcMar>
            <w:vAlign w:val="center"/>
          </w:tcPr>
          <w:p w14:paraId="06B12DE4" w14:textId="77777777" w:rsidR="00AF4838" w:rsidRPr="00C24584" w:rsidRDefault="00AF4838" w:rsidP="00C24584">
            <w:pPr>
              <w:rPr>
                <w:rFonts w:cstheme="minorHAnsi"/>
                <w:b/>
                <w:sz w:val="20"/>
                <w:szCs w:val="20"/>
              </w:rPr>
            </w:pPr>
            <w:r w:rsidRPr="00C24584">
              <w:rPr>
                <w:rFonts w:cstheme="minorHAnsi"/>
                <w:b/>
                <w:sz w:val="20"/>
                <w:szCs w:val="20"/>
              </w:rPr>
              <w:t>GHG inventory categories</w:t>
            </w:r>
          </w:p>
        </w:tc>
      </w:tr>
      <w:tr w:rsidR="00AF4838" w:rsidRPr="00C24584" w14:paraId="32521B9F" w14:textId="77777777" w:rsidTr="0075756B">
        <w:tc>
          <w:tcPr>
            <w:tcW w:w="1810" w:type="dxa"/>
            <w:tcMar>
              <w:left w:w="85" w:type="dxa"/>
              <w:right w:w="85" w:type="dxa"/>
            </w:tcMar>
          </w:tcPr>
          <w:p w14:paraId="136E113E" w14:textId="77777777" w:rsidR="00AF4838" w:rsidRPr="00C24584" w:rsidRDefault="00AF4838" w:rsidP="00C24584">
            <w:pPr>
              <w:rPr>
                <w:rFonts w:cstheme="minorHAnsi"/>
                <w:sz w:val="20"/>
                <w:szCs w:val="20"/>
              </w:rPr>
            </w:pPr>
            <w:r w:rsidRPr="00C24584">
              <w:rPr>
                <w:rFonts w:cstheme="minorHAnsi"/>
                <w:sz w:val="20"/>
                <w:szCs w:val="20"/>
              </w:rPr>
              <w:t>Liquid fossil fuels and gas</w:t>
            </w:r>
          </w:p>
        </w:tc>
        <w:tc>
          <w:tcPr>
            <w:tcW w:w="3603" w:type="dxa"/>
            <w:tcMar>
              <w:left w:w="85" w:type="dxa"/>
              <w:right w:w="85" w:type="dxa"/>
            </w:tcMar>
          </w:tcPr>
          <w:p w14:paraId="0098332C" w14:textId="77777777" w:rsidR="00AF4838" w:rsidRPr="00C24584" w:rsidRDefault="00AF4838" w:rsidP="0075756B">
            <w:pPr>
              <w:pStyle w:val="ListParagraph"/>
              <w:numPr>
                <w:ilvl w:val="0"/>
                <w:numId w:val="1"/>
              </w:numPr>
              <w:ind w:left="400"/>
              <w:contextualSpacing w:val="0"/>
              <w:rPr>
                <w:rFonts w:cstheme="minorHAnsi"/>
                <w:sz w:val="20"/>
                <w:szCs w:val="20"/>
              </w:rPr>
            </w:pPr>
            <w:r w:rsidRPr="00C24584">
              <w:rPr>
                <w:rFonts w:cstheme="minorHAnsi"/>
                <w:sz w:val="20"/>
                <w:szCs w:val="20"/>
              </w:rPr>
              <w:t>owning obligation fuels</w:t>
            </w:r>
          </w:p>
          <w:p w14:paraId="69EFC293" w14:textId="77777777" w:rsidR="00AF4838" w:rsidRPr="00C24584" w:rsidRDefault="00AF4838" w:rsidP="0075756B">
            <w:pPr>
              <w:pStyle w:val="ListParagraph"/>
              <w:numPr>
                <w:ilvl w:val="0"/>
                <w:numId w:val="1"/>
              </w:numPr>
              <w:ind w:left="400"/>
              <w:contextualSpacing w:val="0"/>
              <w:rPr>
                <w:rFonts w:cstheme="minorHAnsi"/>
                <w:sz w:val="20"/>
                <w:szCs w:val="20"/>
              </w:rPr>
            </w:pPr>
            <w:r w:rsidRPr="00C24584">
              <w:rPr>
                <w:rFonts w:cstheme="minorHAnsi"/>
                <w:sz w:val="20"/>
                <w:szCs w:val="20"/>
              </w:rPr>
              <w:t>purchasing obligation fuel</w:t>
            </w:r>
          </w:p>
          <w:p w14:paraId="2E0865F5" w14:textId="77777777" w:rsidR="00AF4838" w:rsidRPr="00C24584" w:rsidRDefault="00AF4838" w:rsidP="0075756B">
            <w:pPr>
              <w:pStyle w:val="ListParagraph"/>
              <w:numPr>
                <w:ilvl w:val="0"/>
                <w:numId w:val="1"/>
              </w:numPr>
              <w:ind w:left="400"/>
              <w:contextualSpacing w:val="0"/>
              <w:rPr>
                <w:rFonts w:cstheme="minorHAnsi"/>
                <w:sz w:val="20"/>
                <w:szCs w:val="20"/>
              </w:rPr>
            </w:pPr>
            <w:r w:rsidRPr="00C24584">
              <w:rPr>
                <w:rFonts w:cstheme="minorHAnsi"/>
                <w:sz w:val="20"/>
                <w:szCs w:val="20"/>
              </w:rPr>
              <w:t xml:space="preserve">combusting used or waste oil </w:t>
            </w:r>
          </w:p>
          <w:p w14:paraId="133C442B" w14:textId="77777777" w:rsidR="00AF4838" w:rsidRPr="00C24584" w:rsidRDefault="00AF4838" w:rsidP="0075756B">
            <w:pPr>
              <w:pStyle w:val="ListParagraph"/>
              <w:numPr>
                <w:ilvl w:val="0"/>
                <w:numId w:val="1"/>
              </w:numPr>
              <w:ind w:left="400"/>
              <w:contextualSpacing w:val="0"/>
              <w:rPr>
                <w:rFonts w:cstheme="minorHAnsi"/>
                <w:sz w:val="20"/>
                <w:szCs w:val="20"/>
              </w:rPr>
            </w:pPr>
            <w:r w:rsidRPr="00C24584">
              <w:rPr>
                <w:rFonts w:cstheme="minorHAnsi"/>
                <w:sz w:val="20"/>
                <w:szCs w:val="20"/>
              </w:rPr>
              <w:t xml:space="preserve">using crude oil or other liquid hydrocarbons </w:t>
            </w:r>
          </w:p>
          <w:p w14:paraId="0A0FE923" w14:textId="77777777" w:rsidR="00AF4838" w:rsidRPr="00C24584" w:rsidRDefault="00AF4838" w:rsidP="0075756B">
            <w:pPr>
              <w:pStyle w:val="ListParagraph"/>
              <w:numPr>
                <w:ilvl w:val="0"/>
                <w:numId w:val="1"/>
              </w:numPr>
              <w:ind w:left="400"/>
              <w:contextualSpacing w:val="0"/>
              <w:rPr>
                <w:rFonts w:cstheme="minorHAnsi"/>
                <w:sz w:val="20"/>
                <w:szCs w:val="20"/>
              </w:rPr>
            </w:pPr>
            <w:r w:rsidRPr="00C24584">
              <w:rPr>
                <w:rFonts w:cstheme="minorHAnsi"/>
                <w:sz w:val="20"/>
                <w:szCs w:val="20"/>
              </w:rPr>
              <w:t>mining natural gas</w:t>
            </w:r>
          </w:p>
          <w:p w14:paraId="1F6F8A15" w14:textId="77777777" w:rsidR="00AF4838" w:rsidRPr="00C24584" w:rsidRDefault="00AF4838" w:rsidP="0075756B">
            <w:pPr>
              <w:pStyle w:val="ListParagraph"/>
              <w:numPr>
                <w:ilvl w:val="0"/>
                <w:numId w:val="1"/>
              </w:numPr>
              <w:ind w:left="400"/>
              <w:contextualSpacing w:val="0"/>
              <w:rPr>
                <w:rFonts w:cstheme="minorHAnsi"/>
                <w:sz w:val="20"/>
                <w:szCs w:val="20"/>
              </w:rPr>
            </w:pPr>
            <w:r w:rsidRPr="00C24584">
              <w:rPr>
                <w:rFonts w:cstheme="minorHAnsi"/>
                <w:sz w:val="20"/>
                <w:szCs w:val="20"/>
              </w:rPr>
              <w:t xml:space="preserve">importing natural gas </w:t>
            </w:r>
          </w:p>
          <w:p w14:paraId="1510FB1C" w14:textId="77777777" w:rsidR="00AF4838" w:rsidRPr="00C24584" w:rsidRDefault="00AF4838" w:rsidP="0075756B">
            <w:pPr>
              <w:pStyle w:val="ListParagraph"/>
              <w:numPr>
                <w:ilvl w:val="0"/>
                <w:numId w:val="1"/>
              </w:numPr>
              <w:ind w:left="400"/>
              <w:contextualSpacing w:val="0"/>
              <w:rPr>
                <w:rFonts w:cstheme="minorHAnsi"/>
                <w:sz w:val="20"/>
                <w:szCs w:val="20"/>
              </w:rPr>
            </w:pPr>
            <w:r w:rsidRPr="00C24584">
              <w:rPr>
                <w:rFonts w:cstheme="minorHAnsi"/>
                <w:sz w:val="20"/>
                <w:szCs w:val="20"/>
              </w:rPr>
              <w:t xml:space="preserve">purchasing natural gas </w:t>
            </w:r>
          </w:p>
          <w:p w14:paraId="477E0C7B" w14:textId="77777777" w:rsidR="00AF4838" w:rsidRPr="00C24584" w:rsidRDefault="00AF4838" w:rsidP="0075756B">
            <w:pPr>
              <w:pStyle w:val="ListParagraph"/>
              <w:numPr>
                <w:ilvl w:val="0"/>
                <w:numId w:val="1"/>
              </w:numPr>
              <w:ind w:left="400"/>
              <w:contextualSpacing w:val="0"/>
              <w:rPr>
                <w:rFonts w:cstheme="minorHAnsi"/>
                <w:sz w:val="20"/>
                <w:szCs w:val="20"/>
              </w:rPr>
            </w:pPr>
            <w:r w:rsidRPr="00C24584">
              <w:rPr>
                <w:rFonts w:cstheme="minorHAnsi"/>
                <w:sz w:val="20"/>
                <w:szCs w:val="20"/>
              </w:rPr>
              <w:t xml:space="preserve">embedded substances </w:t>
            </w:r>
          </w:p>
        </w:tc>
        <w:tc>
          <w:tcPr>
            <w:tcW w:w="3603" w:type="dxa"/>
            <w:tcMar>
              <w:left w:w="85" w:type="dxa"/>
              <w:right w:w="85" w:type="dxa"/>
            </w:tcMar>
          </w:tcPr>
          <w:p w14:paraId="49B1A413" w14:textId="221D140F"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LFF combustion minus oil refinery</w:t>
            </w:r>
            <w:r w:rsidR="0002256E" w:rsidRPr="00C24584">
              <w:rPr>
                <w:rFonts w:cstheme="minorHAnsi"/>
                <w:sz w:val="20"/>
                <w:szCs w:val="20"/>
              </w:rPr>
              <w:t>*</w:t>
            </w:r>
          </w:p>
          <w:p w14:paraId="3EF03B21"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gaseous fuels combustion</w:t>
            </w:r>
          </w:p>
          <w:p w14:paraId="21192CBE"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 xml:space="preserve">fugitive emissions, natural gas venting and flaring </w:t>
            </w:r>
          </w:p>
          <w:p w14:paraId="5DD64100" w14:textId="5B39A085"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 xml:space="preserve">IPPU chemical industry, excluding H2 production </w:t>
            </w:r>
          </w:p>
          <w:p w14:paraId="7F887DE1"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Liquefied petroleum gas (LPG)</w:t>
            </w:r>
          </w:p>
        </w:tc>
      </w:tr>
      <w:tr w:rsidR="00AF4838" w:rsidRPr="00C24584" w14:paraId="59ECCC99" w14:textId="77777777" w:rsidTr="0075756B">
        <w:tc>
          <w:tcPr>
            <w:tcW w:w="1810" w:type="dxa"/>
            <w:tcMar>
              <w:left w:w="85" w:type="dxa"/>
              <w:right w:w="85" w:type="dxa"/>
            </w:tcMar>
          </w:tcPr>
          <w:p w14:paraId="12FA7868" w14:textId="77777777" w:rsidR="00AF4838" w:rsidRPr="00C24584" w:rsidRDefault="00AF4838" w:rsidP="00C24584">
            <w:pPr>
              <w:rPr>
                <w:rFonts w:cstheme="minorHAnsi"/>
                <w:sz w:val="20"/>
                <w:szCs w:val="20"/>
              </w:rPr>
            </w:pPr>
            <w:r w:rsidRPr="00C24584">
              <w:rPr>
                <w:rFonts w:cstheme="minorHAnsi"/>
                <w:sz w:val="20"/>
                <w:szCs w:val="20"/>
              </w:rPr>
              <w:t>Coal and steel production**</w:t>
            </w:r>
          </w:p>
        </w:tc>
        <w:tc>
          <w:tcPr>
            <w:tcW w:w="3603" w:type="dxa"/>
            <w:tcMar>
              <w:left w:w="85" w:type="dxa"/>
              <w:right w:w="85" w:type="dxa"/>
            </w:tcMar>
          </w:tcPr>
          <w:p w14:paraId="2DE9F8DC" w14:textId="77777777" w:rsidR="00AF4838" w:rsidRPr="00C24584" w:rsidRDefault="00AF4838" w:rsidP="0075756B">
            <w:pPr>
              <w:pStyle w:val="ListParagraph"/>
              <w:numPr>
                <w:ilvl w:val="0"/>
                <w:numId w:val="1"/>
              </w:numPr>
              <w:ind w:left="324" w:hanging="284"/>
              <w:contextualSpacing w:val="0"/>
              <w:rPr>
                <w:rFonts w:cstheme="minorHAnsi"/>
                <w:sz w:val="20"/>
                <w:szCs w:val="20"/>
              </w:rPr>
            </w:pPr>
            <w:r w:rsidRPr="00C24584">
              <w:rPr>
                <w:rFonts w:cstheme="minorHAnsi"/>
                <w:sz w:val="20"/>
                <w:szCs w:val="20"/>
              </w:rPr>
              <w:t>importing coal</w:t>
            </w:r>
          </w:p>
          <w:p w14:paraId="03FCE9EA" w14:textId="77777777" w:rsidR="00AF4838" w:rsidRPr="00C24584" w:rsidRDefault="00AF4838" w:rsidP="0075756B">
            <w:pPr>
              <w:pStyle w:val="ListParagraph"/>
              <w:numPr>
                <w:ilvl w:val="0"/>
                <w:numId w:val="1"/>
              </w:numPr>
              <w:ind w:left="321" w:hanging="283"/>
              <w:contextualSpacing w:val="0"/>
              <w:rPr>
                <w:rFonts w:cstheme="minorHAnsi"/>
                <w:sz w:val="20"/>
                <w:szCs w:val="20"/>
              </w:rPr>
            </w:pPr>
            <w:r w:rsidRPr="00C24584">
              <w:rPr>
                <w:rFonts w:cstheme="minorHAnsi"/>
                <w:sz w:val="20"/>
                <w:szCs w:val="20"/>
              </w:rPr>
              <w:t>mining coal</w:t>
            </w:r>
          </w:p>
          <w:p w14:paraId="18A66F41" w14:textId="77777777" w:rsidR="00AF4838" w:rsidRPr="00C24584" w:rsidRDefault="00AF4838" w:rsidP="0075756B">
            <w:pPr>
              <w:pStyle w:val="ListParagraph"/>
              <w:numPr>
                <w:ilvl w:val="0"/>
                <w:numId w:val="1"/>
              </w:numPr>
              <w:ind w:left="321" w:hanging="283"/>
              <w:contextualSpacing w:val="0"/>
              <w:rPr>
                <w:rFonts w:cstheme="minorHAnsi"/>
                <w:sz w:val="20"/>
                <w:szCs w:val="20"/>
              </w:rPr>
            </w:pPr>
            <w:r w:rsidRPr="00C24584">
              <w:rPr>
                <w:rFonts w:cstheme="minorHAnsi"/>
                <w:sz w:val="20"/>
                <w:szCs w:val="20"/>
              </w:rPr>
              <w:t xml:space="preserve">purchasing coal </w:t>
            </w:r>
          </w:p>
          <w:p w14:paraId="4406E1C3" w14:textId="77777777" w:rsidR="00AF4838" w:rsidRPr="00C24584" w:rsidRDefault="00AF4838" w:rsidP="0075756B">
            <w:pPr>
              <w:pStyle w:val="ListParagraph"/>
              <w:numPr>
                <w:ilvl w:val="0"/>
                <w:numId w:val="1"/>
              </w:numPr>
              <w:ind w:left="321" w:hanging="283"/>
              <w:contextualSpacing w:val="0"/>
              <w:rPr>
                <w:rFonts w:cstheme="minorHAnsi"/>
                <w:sz w:val="20"/>
                <w:szCs w:val="20"/>
              </w:rPr>
            </w:pPr>
            <w:r w:rsidRPr="00C24584">
              <w:rPr>
                <w:rFonts w:cstheme="minorHAnsi"/>
                <w:sz w:val="20"/>
                <w:szCs w:val="20"/>
              </w:rPr>
              <w:t>producing iron or steel</w:t>
            </w:r>
          </w:p>
        </w:tc>
        <w:tc>
          <w:tcPr>
            <w:tcW w:w="3603" w:type="dxa"/>
            <w:tcMar>
              <w:left w:w="85" w:type="dxa"/>
              <w:right w:w="85" w:type="dxa"/>
            </w:tcMar>
          </w:tcPr>
          <w:p w14:paraId="570FC4D0"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 xml:space="preserve">solid fuels combustion emissions </w:t>
            </w:r>
          </w:p>
          <w:p w14:paraId="12FE4AA3"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fugitive emissions, coal mining</w:t>
            </w:r>
          </w:p>
          <w:p w14:paraId="40821858"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iron and steel production</w:t>
            </w:r>
          </w:p>
        </w:tc>
      </w:tr>
      <w:tr w:rsidR="00AF4838" w:rsidRPr="00C24584" w14:paraId="1074D6B4" w14:textId="77777777" w:rsidTr="0075756B">
        <w:tc>
          <w:tcPr>
            <w:tcW w:w="1810" w:type="dxa"/>
            <w:tcMar>
              <w:left w:w="85" w:type="dxa"/>
              <w:right w:w="85" w:type="dxa"/>
            </w:tcMar>
          </w:tcPr>
          <w:p w14:paraId="6C71E13F" w14:textId="77777777" w:rsidR="00AF4838" w:rsidRPr="00C24584" w:rsidRDefault="00AF4838" w:rsidP="00C24584">
            <w:pPr>
              <w:rPr>
                <w:rFonts w:cstheme="minorHAnsi"/>
                <w:sz w:val="20"/>
                <w:szCs w:val="20"/>
              </w:rPr>
            </w:pPr>
            <w:r w:rsidRPr="00C24584">
              <w:rPr>
                <w:rFonts w:cstheme="minorHAnsi"/>
                <w:sz w:val="20"/>
                <w:szCs w:val="20"/>
              </w:rPr>
              <w:t>Geothermal</w:t>
            </w:r>
          </w:p>
        </w:tc>
        <w:tc>
          <w:tcPr>
            <w:tcW w:w="3603" w:type="dxa"/>
            <w:tcMar>
              <w:left w:w="85" w:type="dxa"/>
              <w:right w:w="85" w:type="dxa"/>
            </w:tcMar>
          </w:tcPr>
          <w:p w14:paraId="67DB1BA8" w14:textId="77777777" w:rsidR="00AF4838" w:rsidRPr="00C24584" w:rsidRDefault="00AF4838" w:rsidP="0075756B">
            <w:pPr>
              <w:pStyle w:val="ListParagraph"/>
              <w:numPr>
                <w:ilvl w:val="0"/>
                <w:numId w:val="1"/>
              </w:numPr>
              <w:ind w:left="324" w:hanging="284"/>
              <w:contextualSpacing w:val="0"/>
              <w:rPr>
                <w:rFonts w:cstheme="minorHAnsi"/>
                <w:sz w:val="20"/>
                <w:szCs w:val="20"/>
              </w:rPr>
            </w:pPr>
            <w:r w:rsidRPr="00C24584">
              <w:rPr>
                <w:rFonts w:cstheme="minorHAnsi"/>
                <w:sz w:val="20"/>
                <w:szCs w:val="20"/>
              </w:rPr>
              <w:t>using geothermal fluid</w:t>
            </w:r>
          </w:p>
        </w:tc>
        <w:tc>
          <w:tcPr>
            <w:tcW w:w="3603" w:type="dxa"/>
            <w:tcMar>
              <w:left w:w="85" w:type="dxa"/>
              <w:right w:w="85" w:type="dxa"/>
            </w:tcMar>
          </w:tcPr>
          <w:p w14:paraId="5BC0D9EA"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fugitive emissions, geothermal</w:t>
            </w:r>
          </w:p>
        </w:tc>
      </w:tr>
      <w:tr w:rsidR="00AF4838" w:rsidRPr="00C24584" w14:paraId="40C55A8F" w14:textId="77777777" w:rsidTr="0075756B">
        <w:tc>
          <w:tcPr>
            <w:tcW w:w="1810" w:type="dxa"/>
            <w:tcMar>
              <w:left w:w="85" w:type="dxa"/>
              <w:right w:w="85" w:type="dxa"/>
            </w:tcMar>
          </w:tcPr>
          <w:p w14:paraId="6D5D720F" w14:textId="77777777" w:rsidR="00AF4838" w:rsidRPr="00C24584" w:rsidRDefault="00AF4838" w:rsidP="00C24584">
            <w:pPr>
              <w:rPr>
                <w:rFonts w:cstheme="minorHAnsi"/>
                <w:sz w:val="20"/>
                <w:szCs w:val="20"/>
              </w:rPr>
            </w:pPr>
            <w:r w:rsidRPr="00C24584">
              <w:rPr>
                <w:rFonts w:cstheme="minorHAnsi"/>
                <w:sz w:val="20"/>
                <w:szCs w:val="20"/>
              </w:rPr>
              <w:t>IPPU</w:t>
            </w:r>
          </w:p>
        </w:tc>
        <w:tc>
          <w:tcPr>
            <w:tcW w:w="3603" w:type="dxa"/>
            <w:tcMar>
              <w:left w:w="85" w:type="dxa"/>
              <w:right w:w="85" w:type="dxa"/>
            </w:tcMar>
          </w:tcPr>
          <w:p w14:paraId="34ED8BE8" w14:textId="77777777" w:rsidR="00AF4838" w:rsidRPr="00C24584" w:rsidRDefault="00AF4838" w:rsidP="0075756B">
            <w:pPr>
              <w:pStyle w:val="ListParagraph"/>
              <w:numPr>
                <w:ilvl w:val="0"/>
                <w:numId w:val="1"/>
              </w:numPr>
              <w:ind w:left="324" w:hanging="284"/>
              <w:contextualSpacing w:val="0"/>
              <w:rPr>
                <w:rFonts w:cstheme="minorHAnsi"/>
                <w:sz w:val="20"/>
                <w:szCs w:val="20"/>
              </w:rPr>
            </w:pPr>
            <w:r w:rsidRPr="00C24584">
              <w:rPr>
                <w:rFonts w:cstheme="minorHAnsi"/>
                <w:sz w:val="20"/>
                <w:szCs w:val="20"/>
              </w:rPr>
              <w:t>producing aluminium</w:t>
            </w:r>
          </w:p>
          <w:p w14:paraId="181D10D6" w14:textId="77777777" w:rsidR="00AF4838" w:rsidRPr="00C24584" w:rsidRDefault="00AF4838" w:rsidP="0075756B">
            <w:pPr>
              <w:pStyle w:val="ListParagraph"/>
              <w:numPr>
                <w:ilvl w:val="0"/>
                <w:numId w:val="1"/>
              </w:numPr>
              <w:ind w:left="324" w:hanging="284"/>
              <w:contextualSpacing w:val="0"/>
              <w:rPr>
                <w:rFonts w:cstheme="minorHAnsi"/>
                <w:sz w:val="20"/>
                <w:szCs w:val="20"/>
              </w:rPr>
            </w:pPr>
            <w:r w:rsidRPr="00C24584">
              <w:rPr>
                <w:rFonts w:cstheme="minorHAnsi"/>
                <w:sz w:val="20"/>
                <w:szCs w:val="20"/>
              </w:rPr>
              <w:t>producing clinker or burnt lime</w:t>
            </w:r>
          </w:p>
          <w:p w14:paraId="2E1B9525" w14:textId="77777777" w:rsidR="00AF4838" w:rsidRPr="00C24584" w:rsidRDefault="00AF4838" w:rsidP="0075756B">
            <w:pPr>
              <w:pStyle w:val="ListParagraph"/>
              <w:numPr>
                <w:ilvl w:val="0"/>
                <w:numId w:val="1"/>
              </w:numPr>
              <w:ind w:left="324" w:hanging="284"/>
              <w:contextualSpacing w:val="0"/>
              <w:rPr>
                <w:rFonts w:cstheme="minorHAnsi"/>
                <w:sz w:val="20"/>
                <w:szCs w:val="20"/>
              </w:rPr>
            </w:pPr>
            <w:r w:rsidRPr="00C24584">
              <w:rPr>
                <w:rFonts w:cstheme="minorHAnsi"/>
                <w:sz w:val="20"/>
                <w:szCs w:val="20"/>
              </w:rPr>
              <w:t>producing glass using soda ash</w:t>
            </w:r>
          </w:p>
          <w:p w14:paraId="73357724" w14:textId="77777777" w:rsidR="00AF4838" w:rsidRPr="00C24584" w:rsidRDefault="00AF4838" w:rsidP="0075756B">
            <w:pPr>
              <w:pStyle w:val="ListParagraph"/>
              <w:numPr>
                <w:ilvl w:val="0"/>
                <w:numId w:val="1"/>
              </w:numPr>
              <w:ind w:left="324" w:hanging="284"/>
              <w:contextualSpacing w:val="0"/>
              <w:rPr>
                <w:rFonts w:cstheme="minorHAnsi"/>
                <w:sz w:val="20"/>
                <w:szCs w:val="20"/>
              </w:rPr>
            </w:pPr>
            <w:r w:rsidRPr="00C24584">
              <w:rPr>
                <w:rFonts w:cstheme="minorHAnsi"/>
                <w:sz w:val="20"/>
                <w:szCs w:val="20"/>
              </w:rPr>
              <w:t>operating electrical switchgear using sulphur hexafluoride (SF</w:t>
            </w:r>
            <w:r w:rsidRPr="00C24584">
              <w:rPr>
                <w:rFonts w:cstheme="minorHAnsi"/>
                <w:sz w:val="20"/>
                <w:szCs w:val="20"/>
                <w:vertAlign w:val="subscript"/>
              </w:rPr>
              <w:t>6</w:t>
            </w:r>
            <w:r w:rsidRPr="00C24584">
              <w:rPr>
                <w:rFonts w:cstheme="minorHAnsi"/>
                <w:sz w:val="20"/>
                <w:szCs w:val="20"/>
              </w:rPr>
              <w:t>)</w:t>
            </w:r>
          </w:p>
        </w:tc>
        <w:tc>
          <w:tcPr>
            <w:tcW w:w="3603" w:type="dxa"/>
            <w:tcMar>
              <w:left w:w="85" w:type="dxa"/>
              <w:right w:w="85" w:type="dxa"/>
            </w:tcMar>
          </w:tcPr>
          <w:p w14:paraId="6528A3F3"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 xml:space="preserve">aluminium production </w:t>
            </w:r>
          </w:p>
          <w:p w14:paraId="6326957D"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 xml:space="preserve">cement production and lime production </w:t>
            </w:r>
          </w:p>
          <w:p w14:paraId="5A41D20C"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 xml:space="preserve">other uses of soda ash </w:t>
            </w:r>
          </w:p>
          <w:p w14:paraId="2A23F6F2"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electrical equipment (SF</w:t>
            </w:r>
            <w:r w:rsidRPr="00C24584">
              <w:rPr>
                <w:rFonts w:cstheme="minorHAnsi"/>
                <w:sz w:val="20"/>
                <w:szCs w:val="20"/>
                <w:vertAlign w:val="subscript"/>
              </w:rPr>
              <w:t>6</w:t>
            </w:r>
            <w:r w:rsidRPr="00C24584">
              <w:rPr>
                <w:rFonts w:cstheme="minorHAnsi"/>
                <w:sz w:val="20"/>
                <w:szCs w:val="20"/>
              </w:rPr>
              <w:t>)</w:t>
            </w:r>
          </w:p>
        </w:tc>
      </w:tr>
      <w:tr w:rsidR="00AF4838" w:rsidRPr="00C24584" w14:paraId="0CD64EE9" w14:textId="77777777" w:rsidTr="0075756B">
        <w:tc>
          <w:tcPr>
            <w:tcW w:w="1810" w:type="dxa"/>
            <w:tcMar>
              <w:left w:w="85" w:type="dxa"/>
              <w:right w:w="85" w:type="dxa"/>
            </w:tcMar>
          </w:tcPr>
          <w:p w14:paraId="6E300613" w14:textId="77777777" w:rsidR="00AF4838" w:rsidRPr="00C24584" w:rsidRDefault="00AF4838" w:rsidP="00C24584">
            <w:pPr>
              <w:rPr>
                <w:rFonts w:cstheme="minorHAnsi"/>
                <w:sz w:val="20"/>
                <w:szCs w:val="20"/>
              </w:rPr>
            </w:pPr>
            <w:r w:rsidRPr="00C24584">
              <w:rPr>
                <w:rFonts w:cstheme="minorHAnsi"/>
                <w:sz w:val="20"/>
                <w:szCs w:val="20"/>
              </w:rPr>
              <w:t>F-gases</w:t>
            </w:r>
          </w:p>
        </w:tc>
        <w:tc>
          <w:tcPr>
            <w:tcW w:w="3603" w:type="dxa"/>
            <w:tcMar>
              <w:left w:w="85" w:type="dxa"/>
              <w:right w:w="85" w:type="dxa"/>
            </w:tcMar>
          </w:tcPr>
          <w:p w14:paraId="4365F6D8" w14:textId="77777777" w:rsidR="00AF4838" w:rsidRPr="00C24584" w:rsidRDefault="00AF4838" w:rsidP="0075756B">
            <w:pPr>
              <w:pStyle w:val="ListParagraph"/>
              <w:numPr>
                <w:ilvl w:val="0"/>
                <w:numId w:val="1"/>
              </w:numPr>
              <w:ind w:left="324" w:hanging="284"/>
              <w:contextualSpacing w:val="0"/>
              <w:rPr>
                <w:rFonts w:cstheme="minorHAnsi"/>
                <w:sz w:val="20"/>
                <w:szCs w:val="20"/>
              </w:rPr>
            </w:pPr>
            <w:r w:rsidRPr="00C24584">
              <w:rPr>
                <w:rFonts w:cstheme="minorHAnsi"/>
                <w:sz w:val="20"/>
                <w:szCs w:val="20"/>
              </w:rPr>
              <w:t>importing hydrofluorocarbons (HFCs)</w:t>
            </w:r>
          </w:p>
          <w:p w14:paraId="39BBA4B2" w14:textId="77777777" w:rsidR="00AF4838" w:rsidRPr="00C24584" w:rsidRDefault="00AF4838" w:rsidP="0075756B">
            <w:pPr>
              <w:pStyle w:val="ListParagraph"/>
              <w:numPr>
                <w:ilvl w:val="0"/>
                <w:numId w:val="1"/>
              </w:numPr>
              <w:ind w:left="324" w:hanging="284"/>
              <w:contextualSpacing w:val="0"/>
              <w:rPr>
                <w:rFonts w:cstheme="minorHAnsi"/>
                <w:sz w:val="20"/>
                <w:szCs w:val="20"/>
              </w:rPr>
            </w:pPr>
            <w:r w:rsidRPr="00C24584">
              <w:rPr>
                <w:rFonts w:cstheme="minorHAnsi"/>
                <w:sz w:val="20"/>
                <w:szCs w:val="20"/>
              </w:rPr>
              <w:t>exporting HFCs</w:t>
            </w:r>
          </w:p>
        </w:tc>
        <w:tc>
          <w:tcPr>
            <w:tcW w:w="3603" w:type="dxa"/>
            <w:tcMar>
              <w:left w:w="85" w:type="dxa"/>
              <w:right w:w="85" w:type="dxa"/>
            </w:tcMar>
          </w:tcPr>
          <w:p w14:paraId="6EAA0D8A"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product used as substitutes for ozone depleting substances</w:t>
            </w:r>
          </w:p>
        </w:tc>
      </w:tr>
      <w:tr w:rsidR="00AF4838" w:rsidRPr="00C24584" w14:paraId="172C53D2" w14:textId="77777777" w:rsidTr="0075756B">
        <w:tc>
          <w:tcPr>
            <w:tcW w:w="1810" w:type="dxa"/>
            <w:tcMar>
              <w:left w:w="85" w:type="dxa"/>
              <w:right w:w="85" w:type="dxa"/>
            </w:tcMar>
          </w:tcPr>
          <w:p w14:paraId="149E0A27" w14:textId="77777777" w:rsidR="00AF4838" w:rsidRPr="00C24584" w:rsidRDefault="00AF4838" w:rsidP="00C24584">
            <w:pPr>
              <w:rPr>
                <w:rFonts w:cstheme="minorHAnsi"/>
                <w:sz w:val="20"/>
                <w:szCs w:val="20"/>
              </w:rPr>
            </w:pPr>
            <w:r w:rsidRPr="00C24584">
              <w:rPr>
                <w:rFonts w:cstheme="minorHAnsi"/>
                <w:sz w:val="20"/>
                <w:szCs w:val="20"/>
              </w:rPr>
              <w:t>Waste</w:t>
            </w:r>
          </w:p>
        </w:tc>
        <w:tc>
          <w:tcPr>
            <w:tcW w:w="3603" w:type="dxa"/>
            <w:tcMar>
              <w:left w:w="85" w:type="dxa"/>
              <w:right w:w="85" w:type="dxa"/>
            </w:tcMar>
          </w:tcPr>
          <w:p w14:paraId="0DF834EA" w14:textId="77777777" w:rsidR="00AF4838" w:rsidRPr="00C24584" w:rsidRDefault="00AF4838" w:rsidP="0075756B">
            <w:pPr>
              <w:pStyle w:val="ListParagraph"/>
              <w:numPr>
                <w:ilvl w:val="0"/>
                <w:numId w:val="1"/>
              </w:numPr>
              <w:ind w:left="324" w:hanging="284"/>
              <w:contextualSpacing w:val="0"/>
              <w:rPr>
                <w:rFonts w:cstheme="minorHAnsi"/>
                <w:sz w:val="20"/>
                <w:szCs w:val="20"/>
              </w:rPr>
            </w:pPr>
            <w:r w:rsidRPr="00C24584">
              <w:rPr>
                <w:rFonts w:cstheme="minorHAnsi"/>
                <w:sz w:val="20"/>
                <w:szCs w:val="20"/>
              </w:rPr>
              <w:t>operating a disposal facility</w:t>
            </w:r>
          </w:p>
        </w:tc>
        <w:tc>
          <w:tcPr>
            <w:tcW w:w="3603" w:type="dxa"/>
            <w:tcMar>
              <w:left w:w="85" w:type="dxa"/>
              <w:right w:w="85" w:type="dxa"/>
            </w:tcMar>
          </w:tcPr>
          <w:p w14:paraId="0612B813" w14:textId="77777777" w:rsidR="00AF4838" w:rsidRPr="00C24584" w:rsidRDefault="00AF4838" w:rsidP="0075756B">
            <w:pPr>
              <w:pStyle w:val="ListParagraph"/>
              <w:numPr>
                <w:ilvl w:val="0"/>
                <w:numId w:val="1"/>
              </w:numPr>
              <w:ind w:left="251" w:hanging="218"/>
              <w:contextualSpacing w:val="0"/>
              <w:rPr>
                <w:rFonts w:cstheme="minorHAnsi"/>
                <w:sz w:val="20"/>
                <w:szCs w:val="20"/>
              </w:rPr>
            </w:pPr>
            <w:r w:rsidRPr="00C24584">
              <w:rPr>
                <w:rFonts w:cstheme="minorHAnsi"/>
                <w:sz w:val="20"/>
                <w:szCs w:val="20"/>
              </w:rPr>
              <w:t xml:space="preserve">managed waste disposal sites </w:t>
            </w:r>
          </w:p>
        </w:tc>
      </w:tr>
      <w:tr w:rsidR="00AF4838" w:rsidRPr="00C24584" w14:paraId="65C5CA22" w14:textId="77777777" w:rsidTr="0075756B">
        <w:tc>
          <w:tcPr>
            <w:tcW w:w="1810" w:type="dxa"/>
            <w:tcMar>
              <w:left w:w="85" w:type="dxa"/>
              <w:right w:w="85" w:type="dxa"/>
            </w:tcMar>
          </w:tcPr>
          <w:p w14:paraId="1A986B7E" w14:textId="4318C9D4" w:rsidR="00AF4838" w:rsidRPr="00C24584" w:rsidRDefault="00AF4838" w:rsidP="00C24584">
            <w:pPr>
              <w:rPr>
                <w:rFonts w:cstheme="minorHAnsi"/>
                <w:sz w:val="20"/>
                <w:szCs w:val="20"/>
              </w:rPr>
            </w:pPr>
            <w:r w:rsidRPr="00C24584">
              <w:rPr>
                <w:rFonts w:cstheme="minorHAnsi"/>
                <w:sz w:val="20"/>
                <w:szCs w:val="20"/>
              </w:rPr>
              <w:t>Forestry</w:t>
            </w:r>
          </w:p>
        </w:tc>
        <w:tc>
          <w:tcPr>
            <w:tcW w:w="3603" w:type="dxa"/>
            <w:tcMar>
              <w:left w:w="85" w:type="dxa"/>
              <w:right w:w="85" w:type="dxa"/>
            </w:tcMar>
          </w:tcPr>
          <w:p w14:paraId="64609032" w14:textId="5243CD6B" w:rsidR="00AF4838" w:rsidRPr="00C24584" w:rsidRDefault="00AF4838" w:rsidP="0075756B">
            <w:pPr>
              <w:pStyle w:val="ListParagraph"/>
              <w:numPr>
                <w:ilvl w:val="0"/>
                <w:numId w:val="1"/>
              </w:numPr>
              <w:ind w:left="269" w:hanging="218"/>
              <w:contextualSpacing w:val="0"/>
              <w:rPr>
                <w:rFonts w:cstheme="minorHAnsi"/>
                <w:sz w:val="20"/>
                <w:szCs w:val="20"/>
              </w:rPr>
            </w:pPr>
            <w:r w:rsidRPr="00C24584">
              <w:rPr>
                <w:rFonts w:cstheme="minorHAnsi"/>
                <w:sz w:val="20"/>
                <w:szCs w:val="20"/>
              </w:rPr>
              <w:t xml:space="preserve">deforestation of pre-1990 </w:t>
            </w:r>
            <w:r w:rsidR="00F40400" w:rsidRPr="00C24584">
              <w:rPr>
                <w:rFonts w:cstheme="minorHAnsi"/>
                <w:sz w:val="20"/>
                <w:szCs w:val="20"/>
              </w:rPr>
              <w:t>forests</w:t>
            </w:r>
          </w:p>
          <w:p w14:paraId="6788BCAE" w14:textId="7B3B22FD" w:rsidR="00AF4838" w:rsidRPr="00C24584" w:rsidRDefault="00AF4838" w:rsidP="0075756B">
            <w:pPr>
              <w:pStyle w:val="ListParagraph"/>
              <w:numPr>
                <w:ilvl w:val="0"/>
                <w:numId w:val="1"/>
              </w:numPr>
              <w:ind w:left="269" w:hanging="218"/>
              <w:contextualSpacing w:val="0"/>
              <w:rPr>
                <w:rFonts w:cstheme="minorHAnsi"/>
                <w:sz w:val="20"/>
                <w:szCs w:val="20"/>
              </w:rPr>
            </w:pPr>
            <w:r w:rsidRPr="00C24584">
              <w:rPr>
                <w:rFonts w:cstheme="minorHAnsi"/>
                <w:sz w:val="20"/>
                <w:szCs w:val="20"/>
              </w:rPr>
              <w:t xml:space="preserve">harvest / deforestation of post-1989 </w:t>
            </w:r>
            <w:r w:rsidR="00F40400" w:rsidRPr="00C24584">
              <w:rPr>
                <w:rFonts w:cstheme="minorHAnsi"/>
                <w:sz w:val="20"/>
                <w:szCs w:val="20"/>
              </w:rPr>
              <w:t xml:space="preserve">forests </w:t>
            </w:r>
          </w:p>
          <w:p w14:paraId="03BB5C58" w14:textId="39B69339" w:rsidR="00AF4838" w:rsidRPr="00C24584" w:rsidRDefault="00AF4838" w:rsidP="0075756B">
            <w:pPr>
              <w:pStyle w:val="ListParagraph"/>
              <w:numPr>
                <w:ilvl w:val="0"/>
                <w:numId w:val="1"/>
              </w:numPr>
              <w:ind w:left="269" w:hanging="218"/>
              <w:contextualSpacing w:val="0"/>
              <w:rPr>
                <w:rFonts w:cstheme="minorHAnsi"/>
                <w:sz w:val="20"/>
                <w:szCs w:val="20"/>
              </w:rPr>
            </w:pPr>
            <w:r w:rsidRPr="00C24584">
              <w:rPr>
                <w:rFonts w:cstheme="minorHAnsi"/>
                <w:sz w:val="20"/>
                <w:szCs w:val="20"/>
              </w:rPr>
              <w:t>post-1989 forest removals</w:t>
            </w:r>
          </w:p>
        </w:tc>
        <w:tc>
          <w:tcPr>
            <w:tcW w:w="3603" w:type="dxa"/>
            <w:tcMar>
              <w:left w:w="85" w:type="dxa"/>
              <w:right w:w="85" w:type="dxa"/>
            </w:tcMar>
          </w:tcPr>
          <w:tbl>
            <w:tblPr>
              <w:tblW w:w="4376" w:type="dxa"/>
              <w:tblLayout w:type="fixed"/>
              <w:tblLook w:val="04A0" w:firstRow="1" w:lastRow="0" w:firstColumn="1" w:lastColumn="0" w:noHBand="0" w:noVBand="1"/>
            </w:tblPr>
            <w:tblGrid>
              <w:gridCol w:w="4376"/>
            </w:tblGrid>
            <w:tr w:rsidR="00AF4838" w:rsidRPr="00C24584" w14:paraId="3232C396" w14:textId="77777777" w:rsidTr="00A2295F">
              <w:trPr>
                <w:trHeight w:val="300"/>
              </w:trPr>
              <w:tc>
                <w:tcPr>
                  <w:tcW w:w="4376" w:type="dxa"/>
                  <w:tcBorders>
                    <w:top w:val="nil"/>
                    <w:left w:val="nil"/>
                    <w:bottom w:val="nil"/>
                    <w:right w:val="nil"/>
                  </w:tcBorders>
                  <w:shd w:val="clear" w:color="auto" w:fill="auto"/>
                  <w:noWrap/>
                  <w:vAlign w:val="bottom"/>
                  <w:hideMark/>
                </w:tcPr>
                <w:p w14:paraId="45D25C7B" w14:textId="77777777" w:rsidR="00AF4838" w:rsidRPr="00C24584" w:rsidRDefault="00AF4838" w:rsidP="0075756B">
                  <w:pPr>
                    <w:pStyle w:val="ListParagraph"/>
                    <w:numPr>
                      <w:ilvl w:val="0"/>
                      <w:numId w:val="1"/>
                    </w:numPr>
                    <w:spacing w:after="0" w:line="240" w:lineRule="auto"/>
                    <w:ind w:left="126" w:hanging="218"/>
                    <w:contextualSpacing w:val="0"/>
                    <w:rPr>
                      <w:rFonts w:eastAsia="Times New Roman" w:cstheme="minorHAnsi"/>
                      <w:color w:val="000000"/>
                      <w:sz w:val="20"/>
                      <w:szCs w:val="20"/>
                      <w:lang w:eastAsia="en-NZ"/>
                    </w:rPr>
                  </w:pPr>
                  <w:r w:rsidRPr="00C24584">
                    <w:rPr>
                      <w:rFonts w:eastAsia="Times New Roman" w:cstheme="minorHAnsi"/>
                      <w:color w:val="000000"/>
                      <w:sz w:val="20"/>
                      <w:szCs w:val="20"/>
                      <w:lang w:eastAsia="en-NZ"/>
                    </w:rPr>
                    <w:t>afforestation exotic</w:t>
                  </w:r>
                </w:p>
              </w:tc>
            </w:tr>
            <w:tr w:rsidR="00AF4838" w:rsidRPr="00C24584" w14:paraId="122E5C1C" w14:textId="77777777" w:rsidTr="00A2295F">
              <w:trPr>
                <w:trHeight w:val="300"/>
              </w:trPr>
              <w:tc>
                <w:tcPr>
                  <w:tcW w:w="4376" w:type="dxa"/>
                  <w:tcBorders>
                    <w:top w:val="nil"/>
                    <w:left w:val="nil"/>
                    <w:bottom w:val="nil"/>
                    <w:right w:val="nil"/>
                  </w:tcBorders>
                  <w:shd w:val="clear" w:color="auto" w:fill="auto"/>
                  <w:noWrap/>
                  <w:vAlign w:val="bottom"/>
                  <w:hideMark/>
                </w:tcPr>
                <w:p w14:paraId="6086105B" w14:textId="77777777" w:rsidR="00AF4838" w:rsidRPr="00C24584" w:rsidRDefault="00AF4838" w:rsidP="0075756B">
                  <w:pPr>
                    <w:pStyle w:val="ListParagraph"/>
                    <w:numPr>
                      <w:ilvl w:val="0"/>
                      <w:numId w:val="1"/>
                    </w:numPr>
                    <w:spacing w:after="0" w:line="240" w:lineRule="auto"/>
                    <w:ind w:left="126" w:hanging="218"/>
                    <w:contextualSpacing w:val="0"/>
                    <w:rPr>
                      <w:rFonts w:eastAsia="Times New Roman" w:cstheme="minorHAnsi"/>
                      <w:color w:val="000000"/>
                      <w:sz w:val="20"/>
                      <w:szCs w:val="20"/>
                      <w:lang w:eastAsia="en-NZ"/>
                    </w:rPr>
                  </w:pPr>
                  <w:r w:rsidRPr="00C24584">
                    <w:rPr>
                      <w:rFonts w:eastAsia="Times New Roman" w:cstheme="minorHAnsi"/>
                      <w:color w:val="000000"/>
                      <w:sz w:val="20"/>
                      <w:szCs w:val="20"/>
                      <w:lang w:eastAsia="en-NZ"/>
                    </w:rPr>
                    <w:t>afforestation native</w:t>
                  </w:r>
                </w:p>
              </w:tc>
            </w:tr>
            <w:tr w:rsidR="00AF4838" w:rsidRPr="00C24584" w14:paraId="1A64B344" w14:textId="77777777" w:rsidTr="00A2295F">
              <w:trPr>
                <w:trHeight w:val="300"/>
              </w:trPr>
              <w:tc>
                <w:tcPr>
                  <w:tcW w:w="4376" w:type="dxa"/>
                  <w:tcBorders>
                    <w:top w:val="nil"/>
                    <w:left w:val="nil"/>
                    <w:bottom w:val="nil"/>
                    <w:right w:val="nil"/>
                  </w:tcBorders>
                  <w:shd w:val="clear" w:color="auto" w:fill="auto"/>
                  <w:noWrap/>
                  <w:vAlign w:val="bottom"/>
                  <w:hideMark/>
                </w:tcPr>
                <w:p w14:paraId="17906AFA" w14:textId="77777777" w:rsidR="00AF4838" w:rsidRPr="00C24584" w:rsidRDefault="00AF4838" w:rsidP="0075756B">
                  <w:pPr>
                    <w:pStyle w:val="ListParagraph"/>
                    <w:numPr>
                      <w:ilvl w:val="0"/>
                      <w:numId w:val="1"/>
                    </w:numPr>
                    <w:spacing w:after="0" w:line="240" w:lineRule="auto"/>
                    <w:ind w:left="126" w:hanging="218"/>
                    <w:contextualSpacing w:val="0"/>
                    <w:rPr>
                      <w:rFonts w:eastAsia="Times New Roman" w:cstheme="minorHAnsi"/>
                      <w:color w:val="000000"/>
                      <w:sz w:val="20"/>
                      <w:szCs w:val="20"/>
                      <w:lang w:eastAsia="en-NZ"/>
                    </w:rPr>
                  </w:pPr>
                  <w:r w:rsidRPr="00C24584">
                    <w:rPr>
                      <w:rFonts w:eastAsia="Times New Roman" w:cstheme="minorHAnsi"/>
                      <w:color w:val="000000"/>
                      <w:sz w:val="20"/>
                      <w:szCs w:val="20"/>
                      <w:lang w:eastAsia="en-NZ"/>
                    </w:rPr>
                    <w:t>deforestation exotic</w:t>
                  </w:r>
                </w:p>
              </w:tc>
            </w:tr>
            <w:tr w:rsidR="00AF4838" w:rsidRPr="00C24584" w14:paraId="7A5C6860" w14:textId="77777777" w:rsidTr="00A2295F">
              <w:trPr>
                <w:trHeight w:val="300"/>
              </w:trPr>
              <w:tc>
                <w:tcPr>
                  <w:tcW w:w="4376" w:type="dxa"/>
                  <w:tcBorders>
                    <w:top w:val="nil"/>
                    <w:left w:val="nil"/>
                    <w:bottom w:val="nil"/>
                    <w:right w:val="nil"/>
                  </w:tcBorders>
                  <w:shd w:val="clear" w:color="auto" w:fill="auto"/>
                  <w:noWrap/>
                  <w:vAlign w:val="bottom"/>
                  <w:hideMark/>
                </w:tcPr>
                <w:p w14:paraId="243E0542" w14:textId="77777777" w:rsidR="00AF4838" w:rsidRPr="00C24584" w:rsidRDefault="00AF4838" w:rsidP="0075756B">
                  <w:pPr>
                    <w:pStyle w:val="ListParagraph"/>
                    <w:numPr>
                      <w:ilvl w:val="0"/>
                      <w:numId w:val="1"/>
                    </w:numPr>
                    <w:spacing w:after="0" w:line="240" w:lineRule="auto"/>
                    <w:ind w:left="126" w:hanging="218"/>
                    <w:contextualSpacing w:val="0"/>
                    <w:rPr>
                      <w:rFonts w:eastAsia="Times New Roman" w:cstheme="minorHAnsi"/>
                      <w:color w:val="000000"/>
                      <w:sz w:val="20"/>
                      <w:szCs w:val="20"/>
                      <w:lang w:eastAsia="en-NZ"/>
                    </w:rPr>
                  </w:pPr>
                  <w:r w:rsidRPr="00C24584">
                    <w:rPr>
                      <w:rFonts w:eastAsia="Times New Roman" w:cstheme="minorHAnsi"/>
                      <w:color w:val="000000"/>
                      <w:sz w:val="20"/>
                      <w:szCs w:val="20"/>
                      <w:lang w:eastAsia="en-NZ"/>
                    </w:rPr>
                    <w:t>deforestation native</w:t>
                  </w:r>
                </w:p>
              </w:tc>
            </w:tr>
          </w:tbl>
          <w:p w14:paraId="461D1BF1" w14:textId="77777777" w:rsidR="00AF4838" w:rsidRPr="00C24584" w:rsidRDefault="00AF4838" w:rsidP="0075756B">
            <w:pPr>
              <w:pStyle w:val="ListParagraph"/>
              <w:ind w:left="0"/>
              <w:contextualSpacing w:val="0"/>
              <w:rPr>
                <w:rFonts w:cstheme="minorHAnsi"/>
                <w:sz w:val="20"/>
                <w:szCs w:val="20"/>
              </w:rPr>
            </w:pPr>
          </w:p>
        </w:tc>
      </w:tr>
    </w:tbl>
    <w:p w14:paraId="7F408E26" w14:textId="701CF109" w:rsidR="0061452E" w:rsidRPr="00023E01" w:rsidRDefault="0061452E" w:rsidP="005D2D15">
      <w:pPr>
        <w:spacing w:before="40" w:after="0"/>
        <w:ind w:left="142"/>
        <w:rPr>
          <w:sz w:val="20"/>
          <w:szCs w:val="20"/>
        </w:rPr>
      </w:pPr>
      <w:r w:rsidRPr="00023E01">
        <w:rPr>
          <w:sz w:val="20"/>
          <w:szCs w:val="20"/>
        </w:rPr>
        <w:t>* Refining NZ was exempt from the NZ ETS under a Negotiated Greenhouse Agreement.</w:t>
      </w:r>
      <w:r w:rsidRPr="00023E01">
        <w:rPr>
          <w:sz w:val="20"/>
          <w:szCs w:val="20"/>
        </w:rPr>
        <w:br/>
      </w:r>
      <w:r w:rsidRPr="00023E01">
        <w:rPr>
          <w:rFonts w:ascii="Segoe UI" w:hAnsi="Segoe UI" w:cs="Segoe UI"/>
          <w:sz w:val="20"/>
          <w:szCs w:val="20"/>
        </w:rPr>
        <w:t>**E</w:t>
      </w:r>
      <w:r w:rsidRPr="00023E01">
        <w:rPr>
          <w:sz w:val="20"/>
          <w:szCs w:val="20"/>
        </w:rPr>
        <w:t xml:space="preserve">missions from use of coal as a reduction agent in steel production are classified differently </w:t>
      </w:r>
      <w:r w:rsidR="00A8562A">
        <w:rPr>
          <w:sz w:val="20"/>
          <w:szCs w:val="20"/>
        </w:rPr>
        <w:t xml:space="preserve">in </w:t>
      </w:r>
      <w:r w:rsidRPr="00023E01">
        <w:rPr>
          <w:sz w:val="20"/>
          <w:szCs w:val="20"/>
        </w:rPr>
        <w:t xml:space="preserve">the NZ ETS </w:t>
      </w:r>
      <w:r w:rsidR="001B5999">
        <w:rPr>
          <w:sz w:val="20"/>
          <w:szCs w:val="20"/>
        </w:rPr>
        <w:t xml:space="preserve">versus </w:t>
      </w:r>
      <w:r w:rsidRPr="00023E01">
        <w:rPr>
          <w:sz w:val="20"/>
          <w:szCs w:val="20"/>
        </w:rPr>
        <w:t xml:space="preserve">the GHG inventory, </w:t>
      </w:r>
      <w:r w:rsidR="001B5999">
        <w:rPr>
          <w:sz w:val="20"/>
          <w:szCs w:val="20"/>
        </w:rPr>
        <w:t xml:space="preserve">so </w:t>
      </w:r>
      <w:r w:rsidRPr="00023E01">
        <w:rPr>
          <w:sz w:val="20"/>
          <w:szCs w:val="20"/>
        </w:rPr>
        <w:t>it is necessary to combine total coal and steel emissions in the comparison.</w:t>
      </w:r>
    </w:p>
    <w:p w14:paraId="58E18A98" w14:textId="26AD6EED" w:rsidR="00AF4838" w:rsidRDefault="00B97D06" w:rsidP="008438C2">
      <w:pPr>
        <w:pStyle w:val="Heading3"/>
        <w:spacing w:before="120" w:after="120"/>
        <w:rPr>
          <w:lang w:val="en-US"/>
        </w:rPr>
      </w:pPr>
      <w:bookmarkStart w:id="21" w:name="_Toc195533415"/>
      <w:r>
        <w:rPr>
          <w:lang w:val="en-US"/>
        </w:rPr>
        <w:t>Liquid fossil fuel and gas</w:t>
      </w:r>
      <w:bookmarkEnd w:id="21"/>
    </w:p>
    <w:p w14:paraId="22AA3E9B" w14:textId="6025E2C1" w:rsidR="00B97D06" w:rsidRPr="00D76C97" w:rsidRDefault="00B21883"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 xml:space="preserve">Over the previous two years officials have been investigating the possible cause of a discrepancy between </w:t>
      </w:r>
      <w:r w:rsidR="001F4D17" w:rsidRPr="54C60BB6">
        <w:rPr>
          <w:rFonts w:ascii="Calibri-Light" w:eastAsia="Calibri-Light" w:hAnsi="Calibri-Light" w:cs="Yu Mincho"/>
          <w:lang w:val="en-US"/>
        </w:rPr>
        <w:t>liquid fossil fuel (</w:t>
      </w:r>
      <w:r w:rsidRPr="54C60BB6">
        <w:rPr>
          <w:rFonts w:ascii="Calibri-Light" w:eastAsia="Calibri-Light" w:hAnsi="Calibri-Light" w:cs="Yu Mincho"/>
          <w:lang w:val="en-US"/>
        </w:rPr>
        <w:t>LFF</w:t>
      </w:r>
      <w:r w:rsidR="001F4D17" w:rsidRPr="54C60BB6">
        <w:rPr>
          <w:rFonts w:ascii="Calibri-Light" w:eastAsia="Calibri-Light" w:hAnsi="Calibri-Light" w:cs="Yu Mincho"/>
          <w:lang w:val="en-US"/>
        </w:rPr>
        <w:t>)</w:t>
      </w:r>
      <w:r w:rsidRPr="54C60BB6">
        <w:rPr>
          <w:rFonts w:ascii="Calibri-Light" w:eastAsia="Calibri-Light" w:hAnsi="Calibri-Light" w:cs="Yu Mincho"/>
          <w:lang w:val="en-US"/>
        </w:rPr>
        <w:t xml:space="preserve"> and gas emissions reported in the inventory</w:t>
      </w:r>
      <w:r w:rsidR="00A46492" w:rsidRPr="54C60BB6">
        <w:rPr>
          <w:rFonts w:ascii="Calibri-Light" w:eastAsia="Calibri-Light" w:hAnsi="Calibri-Light" w:cs="Yu Mincho"/>
          <w:lang w:val="en-US"/>
        </w:rPr>
        <w:t xml:space="preserve"> and the NZ ETS. </w:t>
      </w:r>
      <w:r w:rsidRPr="54C60BB6">
        <w:rPr>
          <w:rFonts w:ascii="Calibri-Light" w:eastAsia="Calibri-Light" w:hAnsi="Calibri-Light" w:cs="Yu Mincho"/>
          <w:lang w:val="en-US"/>
        </w:rPr>
        <w:t xml:space="preserve"> </w:t>
      </w:r>
      <w:r w:rsidR="006A62BD" w:rsidRPr="54C60BB6">
        <w:rPr>
          <w:rFonts w:ascii="Calibri-Light" w:eastAsia="Calibri-Light" w:hAnsi="Calibri-Light" w:cs="Yu Mincho"/>
          <w:lang w:val="en-US"/>
        </w:rPr>
        <w:t>In our 2024 advice we combined the LFF and gas sectors</w:t>
      </w:r>
      <w:r w:rsidR="008D1146" w:rsidRPr="54C60BB6">
        <w:rPr>
          <w:rFonts w:ascii="Calibri-Light" w:eastAsia="Calibri-Light" w:hAnsi="Calibri-Light" w:cs="Yu Mincho"/>
          <w:lang w:val="en-US"/>
        </w:rPr>
        <w:t>,</w:t>
      </w:r>
      <w:r w:rsidR="006A62BD" w:rsidRPr="54C60BB6">
        <w:rPr>
          <w:rFonts w:ascii="Calibri-Light" w:eastAsia="Calibri-Light" w:hAnsi="Calibri-Light" w:cs="Yu Mincho"/>
          <w:lang w:val="en-US"/>
        </w:rPr>
        <w:t xml:space="preserve"> to </w:t>
      </w:r>
      <w:r w:rsidR="004677C6" w:rsidRPr="54C60BB6">
        <w:rPr>
          <w:rFonts w:ascii="Calibri-Light" w:eastAsia="Calibri-Light" w:hAnsi="Calibri-Light" w:cs="Yu Mincho"/>
          <w:lang w:val="en-US"/>
        </w:rPr>
        <w:t xml:space="preserve">address </w:t>
      </w:r>
      <w:r w:rsidR="00DA7DA4" w:rsidRPr="54C60BB6">
        <w:rPr>
          <w:rFonts w:ascii="Calibri-Light" w:eastAsia="Calibri-Light" w:hAnsi="Calibri-Light" w:cs="Yu Mincho"/>
          <w:lang w:val="en-US"/>
        </w:rPr>
        <w:t xml:space="preserve">that </w:t>
      </w:r>
      <w:r w:rsidR="00D815E0" w:rsidRPr="54C60BB6">
        <w:rPr>
          <w:rFonts w:ascii="Calibri-Light" w:eastAsia="Calibri-Light" w:hAnsi="Calibri-Light" w:cs="Yu Mincho"/>
          <w:lang w:val="en-US"/>
        </w:rPr>
        <w:t>liquefied petroleum gas (</w:t>
      </w:r>
      <w:r w:rsidR="00DA7DA4" w:rsidRPr="54C60BB6">
        <w:rPr>
          <w:rFonts w:ascii="Calibri-Light" w:eastAsia="Calibri-Light" w:hAnsi="Calibri-Light" w:cs="Yu Mincho"/>
          <w:lang w:val="en-US"/>
        </w:rPr>
        <w:t>LPG</w:t>
      </w:r>
      <w:r w:rsidR="00D815E0" w:rsidRPr="54C60BB6">
        <w:rPr>
          <w:rFonts w:ascii="Calibri-Light" w:eastAsia="Calibri-Light" w:hAnsi="Calibri-Light" w:cs="Yu Mincho"/>
          <w:lang w:val="en-US"/>
        </w:rPr>
        <w:t>)</w:t>
      </w:r>
      <w:r w:rsidR="00DA7DA4" w:rsidRPr="54C60BB6">
        <w:rPr>
          <w:rFonts w:ascii="Calibri-Light" w:eastAsia="Calibri-Light" w:hAnsi="Calibri-Light" w:cs="Yu Mincho"/>
          <w:lang w:val="en-US"/>
        </w:rPr>
        <w:t xml:space="preserve"> in the NZ ETS was </w:t>
      </w:r>
      <w:r w:rsidR="000B4641" w:rsidRPr="54C60BB6">
        <w:rPr>
          <w:rFonts w:ascii="Calibri-Light" w:eastAsia="Calibri-Light" w:hAnsi="Calibri-Light" w:cs="Yu Mincho"/>
          <w:lang w:val="en-US"/>
        </w:rPr>
        <w:t>classified</w:t>
      </w:r>
      <w:r w:rsidR="0006554B" w:rsidRPr="54C60BB6">
        <w:rPr>
          <w:rFonts w:ascii="Calibri-Light" w:eastAsia="Calibri-Light" w:hAnsi="Calibri-Light" w:cs="Yu Mincho"/>
          <w:lang w:val="en-US"/>
        </w:rPr>
        <w:t xml:space="preserve"> as stationary energy, but in the inventory </w:t>
      </w:r>
      <w:r w:rsidR="00EC534D" w:rsidRPr="54C60BB6">
        <w:rPr>
          <w:rFonts w:ascii="Calibri-Light" w:eastAsia="Calibri-Light" w:hAnsi="Calibri-Light" w:cs="Yu Mincho"/>
          <w:lang w:val="en-US"/>
        </w:rPr>
        <w:t xml:space="preserve">it </w:t>
      </w:r>
      <w:r w:rsidR="0006554B" w:rsidRPr="54C60BB6">
        <w:rPr>
          <w:rFonts w:ascii="Calibri-Light" w:eastAsia="Calibri-Light" w:hAnsi="Calibri-Light" w:cs="Yu Mincho"/>
          <w:lang w:val="en-US"/>
        </w:rPr>
        <w:t>was reported und</w:t>
      </w:r>
      <w:r w:rsidR="00A46492" w:rsidRPr="54C60BB6">
        <w:rPr>
          <w:rFonts w:ascii="Calibri-Light" w:eastAsia="Calibri-Light" w:hAnsi="Calibri-Light" w:cs="Yu Mincho"/>
          <w:lang w:val="en-US"/>
        </w:rPr>
        <w:t>er</w:t>
      </w:r>
      <w:r w:rsidR="0006554B" w:rsidRPr="54C60BB6">
        <w:rPr>
          <w:rFonts w:ascii="Calibri-Light" w:eastAsia="Calibri-Light" w:hAnsi="Calibri-Light" w:cs="Yu Mincho"/>
          <w:lang w:val="en-US"/>
        </w:rPr>
        <w:t xml:space="preserve"> LFFs. Despite </w:t>
      </w:r>
      <w:r w:rsidR="007323C3" w:rsidRPr="54C60BB6">
        <w:rPr>
          <w:rFonts w:ascii="Calibri-Light" w:eastAsia="Calibri-Light" w:hAnsi="Calibri-Light" w:cs="Yu Mincho"/>
          <w:lang w:val="en-US"/>
        </w:rPr>
        <w:t xml:space="preserve">this, </w:t>
      </w:r>
      <w:r w:rsidR="0006554B" w:rsidRPr="54C60BB6">
        <w:rPr>
          <w:rFonts w:ascii="Calibri-Light" w:eastAsia="Calibri-Light" w:hAnsi="Calibri-Light" w:cs="Yu Mincho"/>
          <w:lang w:val="en-US"/>
        </w:rPr>
        <w:t>we found</w:t>
      </w:r>
      <w:r w:rsidR="00D419C4" w:rsidRPr="54C60BB6">
        <w:rPr>
          <w:rFonts w:ascii="Calibri-Light" w:eastAsia="Calibri-Light" w:hAnsi="Calibri-Light" w:cs="Yu Mincho"/>
          <w:lang w:val="en-US"/>
        </w:rPr>
        <w:t xml:space="preserve"> that LFF and gas emissions reported in the NZ ETS had been consistently lower than in the inventory. </w:t>
      </w:r>
      <w:r w:rsidR="003F3445" w:rsidRPr="54C60BB6">
        <w:rPr>
          <w:rFonts w:ascii="Calibri-Light" w:eastAsia="Calibri-Light" w:hAnsi="Calibri-Light" w:cs="Yu Mincho"/>
          <w:lang w:val="en-US"/>
        </w:rPr>
        <w:t>W</w:t>
      </w:r>
      <w:r w:rsidR="002256DD" w:rsidRPr="54C60BB6">
        <w:rPr>
          <w:rFonts w:ascii="Calibri-Light" w:eastAsia="Calibri-Light" w:hAnsi="Calibri-Light" w:cs="Yu Mincho"/>
          <w:lang w:val="en-US"/>
        </w:rPr>
        <w:t>e</w:t>
      </w:r>
      <w:r w:rsidR="003F3445" w:rsidRPr="54C60BB6">
        <w:rPr>
          <w:rFonts w:ascii="Calibri-Light" w:eastAsia="Calibri-Light" w:hAnsi="Calibri-Light" w:cs="Yu Mincho"/>
          <w:lang w:val="en-US"/>
        </w:rPr>
        <w:t xml:space="preserve"> therefore applied a technical </w:t>
      </w:r>
      <w:r w:rsidR="002256DD" w:rsidRPr="54C60BB6">
        <w:rPr>
          <w:rFonts w:ascii="Calibri-Light" w:eastAsia="Calibri-Light" w:hAnsi="Calibri-Light" w:cs="Yu Mincho"/>
          <w:lang w:val="en-US"/>
        </w:rPr>
        <w:t>adjustment</w:t>
      </w:r>
      <w:r w:rsidR="001F188B" w:rsidRPr="54C60BB6">
        <w:rPr>
          <w:rFonts w:ascii="Calibri-Light" w:eastAsia="Calibri-Light" w:hAnsi="Calibri-Light" w:cs="Yu Mincho"/>
          <w:lang w:val="en-US"/>
        </w:rPr>
        <w:t>,</w:t>
      </w:r>
      <w:r w:rsidR="002256DD" w:rsidRPr="54C60BB6">
        <w:rPr>
          <w:rFonts w:ascii="Calibri-Light" w:eastAsia="Calibri-Light" w:hAnsi="Calibri-Light" w:cs="Yu Mincho"/>
          <w:lang w:val="en-US"/>
        </w:rPr>
        <w:t xml:space="preserve"> </w:t>
      </w:r>
      <w:r w:rsidR="003F3445" w:rsidRPr="54C60BB6">
        <w:rPr>
          <w:rFonts w:ascii="Calibri-Light" w:eastAsia="Calibri-Light" w:hAnsi="Calibri-Light" w:cs="Yu Mincho"/>
          <w:lang w:val="en-US"/>
        </w:rPr>
        <w:t xml:space="preserve">equal </w:t>
      </w:r>
      <w:r w:rsidR="002256DD" w:rsidRPr="54C60BB6">
        <w:rPr>
          <w:rFonts w:ascii="Calibri-Light" w:eastAsia="Calibri-Light" w:hAnsi="Calibri-Light" w:cs="Yu Mincho"/>
          <w:lang w:val="en-US"/>
        </w:rPr>
        <w:t>to 3% of total LFF and gas volumes</w:t>
      </w:r>
      <w:r w:rsidR="001F188B" w:rsidRPr="54C60BB6">
        <w:rPr>
          <w:rFonts w:ascii="Calibri-Light" w:eastAsia="Calibri-Light" w:hAnsi="Calibri-Light" w:cs="Yu Mincho"/>
          <w:lang w:val="en-US"/>
        </w:rPr>
        <w:t>,</w:t>
      </w:r>
      <w:r w:rsidR="002256DD" w:rsidRPr="54C60BB6">
        <w:rPr>
          <w:rFonts w:ascii="Calibri-Light" w:eastAsia="Calibri-Light" w:hAnsi="Calibri-Light" w:cs="Yu Mincho"/>
          <w:lang w:val="en-US"/>
        </w:rPr>
        <w:t xml:space="preserve"> </w:t>
      </w:r>
      <w:r w:rsidR="003A3A70" w:rsidRPr="54C60BB6">
        <w:rPr>
          <w:rFonts w:ascii="Calibri-Light" w:eastAsia="Calibri-Light" w:hAnsi="Calibri-Light" w:cs="Yu Mincho"/>
          <w:lang w:val="en-US"/>
        </w:rPr>
        <w:t xml:space="preserve">into the calculation of our 2024 recommended unit limit settings, which reduced auction volumes. </w:t>
      </w:r>
    </w:p>
    <w:p w14:paraId="55526045" w14:textId="3B9DD4E3" w:rsidR="00206CB0" w:rsidRPr="00D76C97" w:rsidRDefault="00B03AED"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 xml:space="preserve">Further </w:t>
      </w:r>
      <w:r w:rsidR="007D230A" w:rsidRPr="54C60BB6">
        <w:rPr>
          <w:rFonts w:ascii="Calibri-Light" w:eastAsia="Calibri-Light" w:hAnsi="Calibri-Light" w:cs="Yu Mincho"/>
          <w:lang w:val="en-US"/>
        </w:rPr>
        <w:t xml:space="preserve">investigation this year has uncovered </w:t>
      </w:r>
      <w:r w:rsidR="005A7FA1" w:rsidRPr="54C60BB6">
        <w:rPr>
          <w:rFonts w:ascii="Calibri-Light" w:eastAsia="Calibri-Light" w:hAnsi="Calibri-Light" w:cs="Yu Mincho"/>
          <w:lang w:val="en-US"/>
        </w:rPr>
        <w:t>there was an error in the assignment of LPG</w:t>
      </w:r>
      <w:r w:rsidR="002D79B3" w:rsidRPr="54C60BB6">
        <w:rPr>
          <w:rFonts w:ascii="Calibri-Light" w:eastAsia="Calibri-Light" w:hAnsi="Calibri-Light" w:cs="Yu Mincho"/>
          <w:lang w:val="en-US"/>
        </w:rPr>
        <w:t>, which resulted in double counting of LPG emissions</w:t>
      </w:r>
      <w:r w:rsidR="00AF2F6B" w:rsidRPr="54C60BB6">
        <w:rPr>
          <w:rFonts w:ascii="Calibri-Light" w:eastAsia="Calibri-Light" w:hAnsi="Calibri-Light" w:cs="Yu Mincho"/>
          <w:lang w:val="en-US"/>
        </w:rPr>
        <w:t xml:space="preserve">. </w:t>
      </w:r>
      <w:r w:rsidR="00011ADC" w:rsidRPr="54C60BB6">
        <w:rPr>
          <w:rFonts w:ascii="Calibri-Light" w:eastAsia="Calibri-Light" w:hAnsi="Calibri-Light" w:cs="Yu Mincho"/>
          <w:lang w:val="en-US"/>
        </w:rPr>
        <w:t xml:space="preserve">We have corrected this, and the historical </w:t>
      </w:r>
      <w:r w:rsidR="005565B8" w:rsidRPr="54C60BB6">
        <w:rPr>
          <w:rFonts w:ascii="Calibri-Light" w:eastAsia="Calibri-Light" w:hAnsi="Calibri-Light" w:cs="Yu Mincho"/>
          <w:lang w:val="en-US"/>
        </w:rPr>
        <w:t xml:space="preserve">emissions </w:t>
      </w:r>
      <w:r w:rsidR="00011ADC" w:rsidRPr="54C60BB6">
        <w:rPr>
          <w:rFonts w:ascii="Calibri-Light" w:eastAsia="Calibri-Light" w:hAnsi="Calibri-Light" w:cs="Yu Mincho"/>
          <w:lang w:val="en-US"/>
        </w:rPr>
        <w:t xml:space="preserve">data now appears </w:t>
      </w:r>
      <w:r w:rsidR="00F85F62" w:rsidRPr="54C60BB6">
        <w:rPr>
          <w:rFonts w:ascii="Calibri-Light" w:eastAsia="Calibri-Light" w:hAnsi="Calibri-Light" w:cs="Yu Mincho"/>
          <w:lang w:val="en-US"/>
        </w:rPr>
        <w:t>close</w:t>
      </w:r>
      <w:r w:rsidR="005565B8" w:rsidRPr="54C60BB6">
        <w:rPr>
          <w:rFonts w:ascii="Calibri-Light" w:eastAsia="Calibri-Light" w:hAnsi="Calibri-Light" w:cs="Yu Mincho"/>
          <w:lang w:val="en-US"/>
        </w:rPr>
        <w:t>ly aligned</w:t>
      </w:r>
      <w:r w:rsidR="00F85F62" w:rsidRPr="54C60BB6">
        <w:rPr>
          <w:rFonts w:ascii="Calibri-Light" w:eastAsia="Calibri-Light" w:hAnsi="Calibri-Light" w:cs="Yu Mincho"/>
          <w:lang w:val="en-US"/>
        </w:rPr>
        <w:t xml:space="preserve"> </w:t>
      </w:r>
      <w:r w:rsidR="00E32978" w:rsidRPr="54C60BB6">
        <w:rPr>
          <w:rFonts w:ascii="Calibri-Light" w:eastAsia="Calibri-Light" w:hAnsi="Calibri-Light" w:cs="Yu Mincho"/>
          <w:lang w:val="en-US"/>
        </w:rPr>
        <w:t>between the NZ ETS and GHG inventory</w:t>
      </w:r>
      <w:r w:rsidR="0089579E" w:rsidRPr="54C60BB6">
        <w:rPr>
          <w:rFonts w:ascii="Calibri-Light" w:eastAsia="Calibri-Light" w:hAnsi="Calibri-Light" w:cs="Yu Mincho"/>
          <w:lang w:val="en-US"/>
        </w:rPr>
        <w:t xml:space="preserve">, as shown in </w:t>
      </w:r>
      <w:r w:rsidR="0089579E" w:rsidRPr="54C60BB6">
        <w:rPr>
          <w:rFonts w:ascii="Calibri-Light" w:eastAsia="Calibri-Light" w:hAnsi="Calibri-Light" w:cs="Yu Mincho"/>
          <w:b/>
          <w:bCs/>
        </w:rPr>
        <w:fldChar w:fldCharType="begin"/>
      </w:r>
      <w:r w:rsidR="0089579E" w:rsidRPr="54C60BB6">
        <w:rPr>
          <w:rFonts w:ascii="Calibri-Light" w:eastAsia="Calibri-Light" w:hAnsi="Calibri-Light" w:cs="Yu Mincho"/>
          <w:b/>
          <w:bCs/>
        </w:rPr>
        <w:instrText xml:space="preserve"> REF _Ref195078600 \h </w:instrText>
      </w:r>
      <w:r w:rsidR="005D2D15" w:rsidRPr="54C60BB6">
        <w:rPr>
          <w:rFonts w:ascii="Calibri-Light" w:eastAsia="Calibri-Light" w:hAnsi="Calibri-Light" w:cs="Yu Mincho"/>
          <w:b/>
          <w:bCs/>
        </w:rPr>
        <w:instrText xml:space="preserve"> \* MERGEFORMAT </w:instrText>
      </w:r>
      <w:r w:rsidR="0089579E" w:rsidRPr="54C60BB6">
        <w:rPr>
          <w:rFonts w:ascii="Calibri-Light" w:eastAsia="Calibri-Light" w:hAnsi="Calibri-Light" w:cs="Yu Mincho"/>
          <w:b/>
          <w:bCs/>
        </w:rPr>
      </w:r>
      <w:r w:rsidR="0089579E" w:rsidRPr="54C60BB6">
        <w:rPr>
          <w:rFonts w:ascii="Calibri-Light" w:eastAsia="Calibri-Light" w:hAnsi="Calibri-Light" w:cs="Yu Mincho"/>
          <w:b/>
          <w:bCs/>
        </w:rPr>
        <w:fldChar w:fldCharType="separate"/>
      </w:r>
      <w:r w:rsidR="005D2D15" w:rsidRPr="54C60BB6">
        <w:rPr>
          <w:rFonts w:ascii="Calibri-Light" w:eastAsia="Calibri-Light" w:hAnsi="Calibri-Light" w:cs="Yu Mincho"/>
          <w:b/>
          <w:bCs/>
          <w:lang w:val="en-US"/>
        </w:rPr>
        <w:t>Figure 3</w:t>
      </w:r>
      <w:r w:rsidR="0089579E" w:rsidRPr="54C60BB6">
        <w:rPr>
          <w:rFonts w:ascii="Calibri-Light" w:eastAsia="Calibri-Light" w:hAnsi="Calibri-Light" w:cs="Yu Mincho"/>
          <w:b/>
          <w:bCs/>
        </w:rPr>
        <w:fldChar w:fldCharType="end"/>
      </w:r>
      <w:r w:rsidR="000D5E28" w:rsidRPr="54C60BB6">
        <w:rPr>
          <w:rFonts w:ascii="Calibri-Light" w:eastAsia="Calibri-Light" w:hAnsi="Calibri-Light" w:cs="Yu Mincho"/>
          <w:lang w:val="en-US"/>
        </w:rPr>
        <w:t xml:space="preserve">. </w:t>
      </w:r>
      <w:r w:rsidR="003170CC" w:rsidRPr="54C60BB6">
        <w:rPr>
          <w:rFonts w:ascii="Calibri-Light" w:eastAsia="Calibri-Light" w:hAnsi="Calibri-Light" w:cs="Yu Mincho"/>
          <w:lang w:val="en-US"/>
        </w:rPr>
        <w:t>As a result, we no longer consider it appropriate to apply a technical adjustment related to LFF and gas</w:t>
      </w:r>
      <w:r w:rsidR="006C6320" w:rsidRPr="54C60BB6">
        <w:rPr>
          <w:rFonts w:ascii="Calibri-Light" w:eastAsia="Calibri-Light" w:hAnsi="Calibri-Light" w:cs="Yu Mincho"/>
          <w:lang w:val="en-US"/>
        </w:rPr>
        <w:t xml:space="preserve"> emissions. </w:t>
      </w:r>
    </w:p>
    <w:p w14:paraId="73F56655" w14:textId="017CEE46" w:rsidR="00975FE4" w:rsidRDefault="00975FE4" w:rsidP="00250B53">
      <w:pPr>
        <w:pStyle w:val="Caption"/>
      </w:pPr>
      <w:bookmarkStart w:id="22" w:name="_Ref195078600"/>
      <w:r w:rsidRPr="00AD1FEF">
        <w:t xml:space="preserve">Figure </w:t>
      </w:r>
      <w:r w:rsidR="007F3035" w:rsidRPr="00AD1FEF">
        <w:fldChar w:fldCharType="begin"/>
      </w:r>
      <w:r w:rsidR="007F3035" w:rsidRPr="0024589E">
        <w:instrText xml:space="preserve"> SEQ Figure \* ARABIC </w:instrText>
      </w:r>
      <w:r w:rsidR="007F3035" w:rsidRPr="00AD1FEF">
        <w:fldChar w:fldCharType="separate"/>
      </w:r>
      <w:r w:rsidR="00EA3949">
        <w:rPr>
          <w:noProof/>
        </w:rPr>
        <w:t>3</w:t>
      </w:r>
      <w:r w:rsidR="007F3035" w:rsidRPr="00AD1FEF">
        <w:fldChar w:fldCharType="end"/>
      </w:r>
      <w:bookmarkEnd w:id="22"/>
      <w:r w:rsidR="00EA3949">
        <w:t>:</w:t>
      </w:r>
      <w:r>
        <w:t xml:space="preserve"> </w:t>
      </w:r>
      <w:r w:rsidRPr="00EA3949">
        <w:t>L</w:t>
      </w:r>
      <w:r w:rsidR="0024589E" w:rsidRPr="00EA3949">
        <w:t>iquid fossil fuel</w:t>
      </w:r>
      <w:r w:rsidRPr="00EA3949">
        <w:t xml:space="preserve"> and gas emissions report</w:t>
      </w:r>
      <w:r w:rsidR="00F4662F" w:rsidRPr="00EA3949">
        <w:t xml:space="preserve">ed </w:t>
      </w:r>
      <w:r w:rsidRPr="00EA3949">
        <w:t>in the NZ ETS and 2024 GHG inventory</w:t>
      </w:r>
    </w:p>
    <w:p w14:paraId="322D1F73" w14:textId="33E51536" w:rsidR="004B2B6A" w:rsidRDefault="00267F6F" w:rsidP="00B97D06">
      <w:pPr>
        <w:rPr>
          <w:lang w:val="en-US"/>
        </w:rPr>
      </w:pPr>
      <w:r>
        <w:rPr>
          <w:noProof/>
          <w:lang w:val="en-US"/>
        </w:rPr>
        <w:drawing>
          <wp:inline distT="0" distB="0" distL="0" distR="0" wp14:anchorId="6F39D82A" wp14:editId="0BB92190">
            <wp:extent cx="5719313" cy="3360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568" cy="3365592"/>
                    </a:xfrm>
                    <a:prstGeom prst="rect">
                      <a:avLst/>
                    </a:prstGeom>
                    <a:noFill/>
                  </pic:spPr>
                </pic:pic>
              </a:graphicData>
            </a:graphic>
          </wp:inline>
        </w:drawing>
      </w:r>
    </w:p>
    <w:p w14:paraId="154FC7A7" w14:textId="3E683CCA" w:rsidR="00BB245D" w:rsidRPr="00E71B8B" w:rsidRDefault="00BB245D" w:rsidP="00B97D06">
      <w:pPr>
        <w:rPr>
          <w:sz w:val="20"/>
          <w:szCs w:val="20"/>
        </w:rPr>
      </w:pPr>
      <w:r w:rsidRPr="00225DB4">
        <w:rPr>
          <w:sz w:val="20"/>
          <w:szCs w:val="20"/>
        </w:rPr>
        <w:t>Source: Commission analysis</w:t>
      </w:r>
    </w:p>
    <w:p w14:paraId="3D5495D7" w14:textId="342D6D7E" w:rsidR="00E11F87" w:rsidRDefault="00646D74" w:rsidP="00D76C97">
      <w:pPr>
        <w:pStyle w:val="Heading3"/>
        <w:spacing w:before="240" w:after="120"/>
        <w:rPr>
          <w:lang w:val="en-US"/>
        </w:rPr>
      </w:pPr>
      <w:bookmarkStart w:id="23" w:name="_Toc195533416"/>
      <w:r>
        <w:rPr>
          <w:lang w:val="en-US"/>
        </w:rPr>
        <w:t>Coal and steel production</w:t>
      </w:r>
      <w:bookmarkEnd w:id="23"/>
    </w:p>
    <w:p w14:paraId="18FFEF94" w14:textId="0ED5DBA2" w:rsidR="00665A00" w:rsidRPr="00D76C97" w:rsidRDefault="006A06BD" w:rsidP="54C60BB6">
      <w:pPr>
        <w:spacing w:line="279" w:lineRule="auto"/>
        <w:rPr>
          <w:rFonts w:ascii="Calibri-Light" w:eastAsia="Calibri-Light" w:hAnsi="Calibri-Light" w:cs="Yu Mincho"/>
          <w:lang w:val="en-US"/>
        </w:rPr>
      </w:pPr>
      <w:r w:rsidRPr="54C60BB6">
        <w:rPr>
          <w:rFonts w:ascii="Calibri-Light" w:eastAsia="Calibri-Light" w:hAnsi="Calibri-Light" w:cs="Yu Mincho"/>
          <w:lang w:val="en-US"/>
        </w:rPr>
        <w:t>In our 2024 advice</w:t>
      </w:r>
      <w:r w:rsidR="001B5F81" w:rsidRPr="54C60BB6">
        <w:rPr>
          <w:rFonts w:ascii="Calibri-Light" w:eastAsia="Calibri-Light" w:hAnsi="Calibri-Light" w:cs="Yu Mincho"/>
          <w:lang w:val="en-US"/>
        </w:rPr>
        <w:t xml:space="preserve">, </w:t>
      </w:r>
      <w:r w:rsidR="00DE4EF1" w:rsidRPr="54C60BB6">
        <w:rPr>
          <w:rFonts w:ascii="Calibri-Light" w:eastAsia="Calibri-Light" w:hAnsi="Calibri-Light" w:cs="Yu Mincho"/>
          <w:lang w:val="en-US"/>
        </w:rPr>
        <w:t xml:space="preserve">we observed that </w:t>
      </w:r>
      <w:r w:rsidR="00761F40" w:rsidRPr="54C60BB6">
        <w:rPr>
          <w:rFonts w:ascii="Calibri-Light" w:eastAsia="Calibri-Light" w:hAnsi="Calibri-Light" w:cs="Yu Mincho"/>
          <w:lang w:val="en-US"/>
        </w:rPr>
        <w:t>a historical</w:t>
      </w:r>
      <w:r w:rsidR="001B5F81" w:rsidRPr="54C60BB6">
        <w:rPr>
          <w:rFonts w:ascii="Calibri-Light" w:eastAsia="Calibri-Light" w:hAnsi="Calibri-Light" w:cs="Yu Mincho"/>
          <w:lang w:val="en-US"/>
        </w:rPr>
        <w:t xml:space="preserve"> discrepancy between </w:t>
      </w:r>
      <w:r w:rsidR="000A5D2A" w:rsidRPr="54C60BB6">
        <w:rPr>
          <w:rFonts w:ascii="Calibri-Light" w:eastAsia="Calibri-Light" w:hAnsi="Calibri-Light" w:cs="Yu Mincho"/>
          <w:lang w:val="en-US"/>
        </w:rPr>
        <w:t xml:space="preserve">NZ </w:t>
      </w:r>
      <w:r w:rsidR="001B5F81" w:rsidRPr="54C60BB6">
        <w:rPr>
          <w:rFonts w:ascii="Calibri-Light" w:eastAsia="Calibri-Light" w:hAnsi="Calibri-Light" w:cs="Yu Mincho"/>
          <w:lang w:val="en-US"/>
        </w:rPr>
        <w:t xml:space="preserve">ETS and inventory coal and steel emissions </w:t>
      </w:r>
      <w:r w:rsidR="00F81E05" w:rsidRPr="54C60BB6">
        <w:rPr>
          <w:rFonts w:ascii="Calibri-Light" w:eastAsia="Calibri-Light" w:hAnsi="Calibri-Light" w:cs="Yu Mincho"/>
          <w:lang w:val="en-US"/>
        </w:rPr>
        <w:t>had reduced to less than 2%</w:t>
      </w:r>
      <w:r w:rsidR="00761F40" w:rsidRPr="54C60BB6">
        <w:rPr>
          <w:rFonts w:ascii="Calibri-Light" w:eastAsia="Calibri-Light" w:hAnsi="Calibri-Light" w:cs="Yu Mincho"/>
          <w:lang w:val="en-US"/>
        </w:rPr>
        <w:t xml:space="preserve"> in </w:t>
      </w:r>
      <w:r w:rsidR="007311C3" w:rsidRPr="54C60BB6">
        <w:rPr>
          <w:rFonts w:ascii="Calibri-Light" w:eastAsia="Calibri-Light" w:hAnsi="Calibri-Light" w:cs="Yu Mincho"/>
          <w:lang w:val="en-US"/>
        </w:rPr>
        <w:t xml:space="preserve">emissions reported </w:t>
      </w:r>
      <w:r w:rsidR="000F2C20" w:rsidRPr="54C60BB6">
        <w:rPr>
          <w:rFonts w:ascii="Calibri-Light" w:eastAsia="Calibri-Light" w:hAnsi="Calibri-Light" w:cs="Yu Mincho"/>
          <w:lang w:val="en-US"/>
        </w:rPr>
        <w:t>for</w:t>
      </w:r>
      <w:r w:rsidR="007311C3" w:rsidRPr="54C60BB6">
        <w:rPr>
          <w:rFonts w:ascii="Calibri-Light" w:eastAsia="Calibri-Light" w:hAnsi="Calibri-Light" w:cs="Yu Mincho"/>
          <w:lang w:val="en-US"/>
        </w:rPr>
        <w:t xml:space="preserve"> </w:t>
      </w:r>
      <w:r w:rsidR="00761F40" w:rsidRPr="54C60BB6">
        <w:rPr>
          <w:rFonts w:ascii="Calibri-Light" w:eastAsia="Calibri-Light" w:hAnsi="Calibri-Light" w:cs="Yu Mincho"/>
          <w:lang w:val="en-US"/>
        </w:rPr>
        <w:t>2021</w:t>
      </w:r>
      <w:r w:rsidR="00CC6541" w:rsidRPr="54C60BB6">
        <w:rPr>
          <w:rFonts w:ascii="Calibri-Light" w:eastAsia="Calibri-Light" w:hAnsi="Calibri-Light" w:cs="Yu Mincho"/>
          <w:lang w:val="en-US"/>
        </w:rPr>
        <w:t xml:space="preserve">. </w:t>
      </w:r>
      <w:r w:rsidRPr="54C60BB6">
        <w:rPr>
          <w:rFonts w:ascii="Calibri-Light" w:eastAsia="Calibri-Light" w:hAnsi="Calibri-Light" w:cs="Yu Mincho"/>
          <w:lang w:val="en-US"/>
        </w:rPr>
        <w:t>We learnt that a</w:t>
      </w:r>
      <w:r w:rsidR="00CC6541" w:rsidRPr="54C60BB6">
        <w:rPr>
          <w:rFonts w:ascii="Calibri-Light" w:eastAsia="Calibri-Light" w:hAnsi="Calibri-Light" w:cs="Yu Mincho"/>
          <w:lang w:val="en-US"/>
        </w:rPr>
        <w:t xml:space="preserve"> technical error</w:t>
      </w:r>
      <w:r w:rsidR="00F774BD" w:rsidRPr="54C60BB6">
        <w:rPr>
          <w:rFonts w:ascii="Calibri-Light" w:eastAsia="Calibri-Light" w:hAnsi="Calibri-Light" w:cs="Yu Mincho"/>
          <w:lang w:val="en-US"/>
        </w:rPr>
        <w:t xml:space="preserve"> in emissions reporting by an emitter </w:t>
      </w:r>
      <w:r w:rsidRPr="54C60BB6">
        <w:rPr>
          <w:rFonts w:ascii="Calibri-Light" w:eastAsia="Calibri-Light" w:hAnsi="Calibri-Light" w:cs="Yu Mincho"/>
          <w:lang w:val="en-US"/>
        </w:rPr>
        <w:t>had been</w:t>
      </w:r>
      <w:r w:rsidR="00F774BD" w:rsidRPr="54C60BB6">
        <w:rPr>
          <w:rFonts w:ascii="Calibri-Light" w:eastAsia="Calibri-Light" w:hAnsi="Calibri-Light" w:cs="Yu Mincho"/>
          <w:lang w:val="en-US"/>
        </w:rPr>
        <w:t xml:space="preserve"> identified a</w:t>
      </w:r>
      <w:r w:rsidRPr="54C60BB6">
        <w:rPr>
          <w:rFonts w:ascii="Calibri-Light" w:eastAsia="Calibri-Light" w:hAnsi="Calibri-Light" w:cs="Yu Mincho"/>
          <w:lang w:val="en-US"/>
        </w:rPr>
        <w:t>nd</w:t>
      </w:r>
      <w:r w:rsidR="00F774BD" w:rsidRPr="54C60BB6">
        <w:rPr>
          <w:rFonts w:ascii="Calibri-Light" w:eastAsia="Calibri-Light" w:hAnsi="Calibri-Light" w:cs="Yu Mincho"/>
          <w:lang w:val="en-US"/>
        </w:rPr>
        <w:t xml:space="preserve"> resolved</w:t>
      </w:r>
      <w:r w:rsidR="00CB6545" w:rsidRPr="54C60BB6">
        <w:rPr>
          <w:rFonts w:ascii="Calibri-Light" w:eastAsia="Calibri-Light" w:hAnsi="Calibri-Light" w:cs="Yu Mincho"/>
          <w:lang w:val="en-US"/>
        </w:rPr>
        <w:t xml:space="preserve">. </w:t>
      </w:r>
      <w:r w:rsidR="00542CBC" w:rsidRPr="54C60BB6">
        <w:rPr>
          <w:rFonts w:ascii="Calibri-Light" w:eastAsia="Calibri-Light" w:hAnsi="Calibri-Light" w:cs="Yu Mincho"/>
          <w:lang w:val="en-US"/>
        </w:rPr>
        <w:t xml:space="preserve">As a result, we stopped applying a technical </w:t>
      </w:r>
      <w:r w:rsidR="00F81E05" w:rsidRPr="54C60BB6">
        <w:rPr>
          <w:rFonts w:ascii="Calibri-Light" w:eastAsia="Calibri-Light" w:hAnsi="Calibri-Light" w:cs="Yu Mincho"/>
          <w:lang w:val="en-US"/>
        </w:rPr>
        <w:t xml:space="preserve">adjustment </w:t>
      </w:r>
      <w:r w:rsidR="00542CBC" w:rsidRPr="54C60BB6">
        <w:rPr>
          <w:rFonts w:ascii="Calibri-Light" w:eastAsia="Calibri-Light" w:hAnsi="Calibri-Light" w:cs="Yu Mincho"/>
          <w:lang w:val="en-US"/>
        </w:rPr>
        <w:t>related to</w:t>
      </w:r>
      <w:r w:rsidR="00A069A7" w:rsidRPr="54C60BB6">
        <w:rPr>
          <w:rFonts w:ascii="Calibri-Light" w:eastAsia="Calibri-Light" w:hAnsi="Calibri-Light" w:cs="Yu Mincho"/>
          <w:lang w:val="en-US"/>
        </w:rPr>
        <w:t xml:space="preserve"> these </w:t>
      </w:r>
      <w:r w:rsidR="00F81E05" w:rsidRPr="54C60BB6">
        <w:rPr>
          <w:rFonts w:ascii="Calibri-Light" w:eastAsia="Calibri-Light" w:hAnsi="Calibri-Light" w:cs="Yu Mincho"/>
          <w:lang w:val="en-US"/>
        </w:rPr>
        <w:t xml:space="preserve">sectors. </w:t>
      </w:r>
    </w:p>
    <w:p w14:paraId="2F08AD4B" w14:textId="680E7004" w:rsidR="00A63415" w:rsidRPr="00D76C97" w:rsidRDefault="00080A08"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As shown in </w:t>
      </w:r>
      <w:r w:rsidR="00550F87" w:rsidRPr="00D76C97">
        <w:rPr>
          <w:rFonts w:ascii="Calibri-Light" w:eastAsia="Calibri-Light" w:hAnsi="Calibri-Light" w:cs="Yu Mincho"/>
          <w:b/>
          <w:szCs w:val="24"/>
        </w:rPr>
        <w:fldChar w:fldCharType="begin"/>
      </w:r>
      <w:r w:rsidR="00550F87" w:rsidRPr="00E42633">
        <w:rPr>
          <w:b/>
        </w:rPr>
        <w:instrText xml:space="preserve"> REF _Ref195078740 \h </w:instrText>
      </w:r>
      <w:r w:rsidR="00550F87">
        <w:rPr>
          <w:b/>
          <w:bCs/>
        </w:rPr>
        <w:instrText xml:space="preserve"> \* MERGEFORMAT </w:instrText>
      </w:r>
      <w:r w:rsidR="00550F87" w:rsidRPr="00D76C97">
        <w:rPr>
          <w:rFonts w:ascii="Calibri-Light" w:eastAsia="Calibri-Light" w:hAnsi="Calibri-Light" w:cs="Yu Mincho"/>
          <w:b/>
          <w:szCs w:val="24"/>
        </w:rPr>
      </w:r>
      <w:r w:rsidR="00550F87" w:rsidRPr="00D76C97">
        <w:rPr>
          <w:rFonts w:ascii="Calibri-Light" w:eastAsia="Calibri-Light" w:hAnsi="Calibri-Light" w:cs="Yu Mincho"/>
          <w:b/>
          <w:szCs w:val="24"/>
        </w:rPr>
        <w:fldChar w:fldCharType="separate"/>
      </w:r>
      <w:r w:rsidR="00550F87" w:rsidRPr="00D76C97">
        <w:rPr>
          <w:rFonts w:ascii="Calibri-Light" w:eastAsia="Calibri-Light" w:hAnsi="Calibri-Light" w:cs="Yu Mincho"/>
          <w:b/>
          <w:szCs w:val="24"/>
        </w:rPr>
        <w:t xml:space="preserve">Figure </w:t>
      </w:r>
      <w:r w:rsidR="005D2D15" w:rsidRPr="00D76C97">
        <w:rPr>
          <w:rFonts w:ascii="Calibri-Light" w:eastAsia="Calibri-Light" w:hAnsi="Calibri-Light" w:cs="Yu Mincho"/>
          <w:b/>
          <w:bCs/>
          <w:szCs w:val="24"/>
        </w:rPr>
        <w:t>4</w:t>
      </w:r>
      <w:r w:rsidR="00550F87" w:rsidRPr="00D76C97">
        <w:rPr>
          <w:rFonts w:ascii="Calibri-Light" w:eastAsia="Calibri-Light" w:hAnsi="Calibri-Light" w:cs="Yu Mincho"/>
          <w:b/>
          <w:szCs w:val="24"/>
        </w:rPr>
        <w:fldChar w:fldCharType="end"/>
      </w:r>
      <w:r w:rsidR="00550F87" w:rsidRPr="00D76C97">
        <w:rPr>
          <w:rFonts w:ascii="Calibri-Light" w:eastAsia="Calibri-Light" w:hAnsi="Calibri-Light" w:cs="Yu Mincho"/>
          <w:szCs w:val="24"/>
        </w:rPr>
        <w:t xml:space="preserve">, in </w:t>
      </w:r>
      <w:r w:rsidR="000A1F7F" w:rsidRPr="00D76C97">
        <w:rPr>
          <w:rFonts w:ascii="Calibri-Light" w:eastAsia="Calibri-Light" w:hAnsi="Calibri-Light" w:cs="Yu Mincho"/>
          <w:szCs w:val="24"/>
        </w:rPr>
        <w:t xml:space="preserve">emissions reported </w:t>
      </w:r>
      <w:r w:rsidR="0099535C" w:rsidRPr="00D76C97">
        <w:rPr>
          <w:rFonts w:ascii="Calibri-Light" w:eastAsia="Calibri-Light" w:hAnsi="Calibri-Light" w:cs="Yu Mincho"/>
          <w:szCs w:val="24"/>
        </w:rPr>
        <w:t xml:space="preserve">for </w:t>
      </w:r>
      <w:r w:rsidR="00611CA0" w:rsidRPr="00D76C97">
        <w:rPr>
          <w:rFonts w:ascii="Calibri-Light" w:eastAsia="Calibri-Light" w:hAnsi="Calibri-Light" w:cs="Yu Mincho"/>
          <w:szCs w:val="24"/>
        </w:rPr>
        <w:t xml:space="preserve">2022 </w:t>
      </w:r>
      <w:r w:rsidR="00031010" w:rsidRPr="00D76C97">
        <w:rPr>
          <w:rFonts w:ascii="Calibri-Light" w:eastAsia="Calibri-Light" w:hAnsi="Calibri-Light" w:cs="Yu Mincho"/>
          <w:szCs w:val="24"/>
        </w:rPr>
        <w:t xml:space="preserve">the discrepancy </w:t>
      </w:r>
      <w:r w:rsidR="00F774BD" w:rsidRPr="00D76C97">
        <w:rPr>
          <w:rFonts w:ascii="Calibri-Light" w:eastAsia="Calibri-Light" w:hAnsi="Calibri-Light" w:cs="Yu Mincho"/>
          <w:szCs w:val="24"/>
        </w:rPr>
        <w:t>increased</w:t>
      </w:r>
      <w:r w:rsidR="009818FE" w:rsidRPr="00D76C97">
        <w:rPr>
          <w:rFonts w:ascii="Calibri-Light" w:eastAsia="Calibri-Light" w:hAnsi="Calibri-Light" w:cs="Yu Mincho"/>
          <w:szCs w:val="24"/>
        </w:rPr>
        <w:t>,</w:t>
      </w:r>
      <w:r w:rsidR="00F774BD" w:rsidRPr="00D76C97">
        <w:rPr>
          <w:rFonts w:ascii="Calibri-Light" w:eastAsia="Calibri-Light" w:hAnsi="Calibri-Light" w:cs="Yu Mincho"/>
          <w:szCs w:val="24"/>
        </w:rPr>
        <w:t xml:space="preserve"> </w:t>
      </w:r>
      <w:r w:rsidR="00E3161D" w:rsidRPr="00D76C97">
        <w:rPr>
          <w:rFonts w:ascii="Calibri-Light" w:eastAsia="Calibri-Light" w:hAnsi="Calibri-Light" w:cs="Yu Mincho"/>
          <w:szCs w:val="24"/>
        </w:rPr>
        <w:t xml:space="preserve">with the inventory reporting </w:t>
      </w:r>
      <w:r w:rsidR="00F774BD" w:rsidRPr="00D76C97">
        <w:rPr>
          <w:rFonts w:ascii="Calibri-Light" w:eastAsia="Calibri-Light" w:hAnsi="Calibri-Light" w:cs="Yu Mincho"/>
          <w:szCs w:val="24"/>
        </w:rPr>
        <w:t>approximately</w:t>
      </w:r>
      <w:r w:rsidR="00031010" w:rsidRPr="00D76C97">
        <w:rPr>
          <w:rFonts w:ascii="Calibri-Light" w:eastAsia="Calibri-Light" w:hAnsi="Calibri-Light" w:cs="Yu Mincho"/>
          <w:szCs w:val="24"/>
        </w:rPr>
        <w:t xml:space="preserve"> </w:t>
      </w:r>
      <w:r w:rsidR="00B110F4" w:rsidRPr="00D76C97">
        <w:rPr>
          <w:rFonts w:ascii="Calibri-Light" w:eastAsia="Calibri-Light" w:hAnsi="Calibri-Light" w:cs="Yu Mincho"/>
          <w:szCs w:val="24"/>
        </w:rPr>
        <w:t>0.</w:t>
      </w:r>
      <w:r w:rsidR="00031010" w:rsidRPr="00D76C97">
        <w:rPr>
          <w:rFonts w:ascii="Calibri-Light" w:eastAsia="Calibri-Light" w:hAnsi="Calibri-Light" w:cs="Yu Mincho"/>
          <w:szCs w:val="24"/>
        </w:rPr>
        <w:t>31 MtCO2e</w:t>
      </w:r>
      <w:r w:rsidR="00E3161D" w:rsidRPr="00D76C97">
        <w:rPr>
          <w:rFonts w:ascii="Calibri-Light" w:eastAsia="Calibri-Light" w:hAnsi="Calibri-Light" w:cs="Yu Mincho"/>
          <w:szCs w:val="24"/>
        </w:rPr>
        <w:t xml:space="preserve"> </w:t>
      </w:r>
      <w:r w:rsidR="005B79A0" w:rsidRPr="00D76C97">
        <w:rPr>
          <w:rFonts w:ascii="Calibri-Light" w:eastAsia="Calibri-Light" w:hAnsi="Calibri-Light" w:cs="Yu Mincho"/>
          <w:szCs w:val="24"/>
        </w:rPr>
        <w:t xml:space="preserve">more emissions than the NZ ETS, </w:t>
      </w:r>
      <w:r w:rsidR="00ED059A" w:rsidRPr="00D76C97">
        <w:rPr>
          <w:rFonts w:ascii="Calibri-Light" w:eastAsia="Calibri-Light" w:hAnsi="Calibri-Light" w:cs="Yu Mincho"/>
          <w:szCs w:val="24"/>
        </w:rPr>
        <w:t xml:space="preserve">a difference </w:t>
      </w:r>
      <w:r w:rsidR="00103C35" w:rsidRPr="00D76C97">
        <w:rPr>
          <w:rFonts w:ascii="Calibri-Light" w:eastAsia="Calibri-Light" w:hAnsi="Calibri-Light" w:cs="Yu Mincho"/>
          <w:szCs w:val="24"/>
        </w:rPr>
        <w:t>of 7</w:t>
      </w:r>
      <w:r w:rsidR="00F774BD" w:rsidRPr="00D76C97">
        <w:rPr>
          <w:rFonts w:ascii="Calibri-Light" w:eastAsia="Calibri-Light" w:hAnsi="Calibri-Light" w:cs="Yu Mincho"/>
          <w:szCs w:val="24"/>
        </w:rPr>
        <w:t>.3</w:t>
      </w:r>
      <w:r w:rsidR="00103C35" w:rsidRPr="00D76C97">
        <w:rPr>
          <w:rFonts w:ascii="Calibri-Light" w:eastAsia="Calibri-Light" w:hAnsi="Calibri-Light" w:cs="Yu Mincho"/>
          <w:szCs w:val="24"/>
        </w:rPr>
        <w:t xml:space="preserve">%. </w:t>
      </w:r>
      <w:r w:rsidR="00675245" w:rsidRPr="00D76C97">
        <w:rPr>
          <w:rFonts w:ascii="Calibri-Light" w:eastAsia="Calibri-Light" w:hAnsi="Calibri-Light" w:cs="Yu Mincho"/>
          <w:szCs w:val="24"/>
        </w:rPr>
        <w:t>The primary source of the discrepancy was</w:t>
      </w:r>
      <w:r w:rsidR="009C23DF" w:rsidRPr="00D76C97">
        <w:rPr>
          <w:rFonts w:ascii="Calibri-Light" w:eastAsia="Calibri-Light" w:hAnsi="Calibri-Light" w:cs="Yu Mincho"/>
          <w:szCs w:val="24"/>
        </w:rPr>
        <w:t xml:space="preserve"> between </w:t>
      </w:r>
      <w:r w:rsidR="00143B0F" w:rsidRPr="00D76C97">
        <w:rPr>
          <w:rFonts w:ascii="Calibri-Light" w:eastAsia="Calibri-Light" w:hAnsi="Calibri-Light" w:cs="Yu Mincho"/>
          <w:szCs w:val="24"/>
        </w:rPr>
        <w:t xml:space="preserve">emissions related to the </w:t>
      </w:r>
      <w:r w:rsidR="009C23DF" w:rsidRPr="00D76C97">
        <w:rPr>
          <w:rFonts w:ascii="Calibri-Light" w:eastAsia="Calibri-Light" w:hAnsi="Calibri-Light" w:cs="Yu Mincho"/>
          <w:szCs w:val="24"/>
        </w:rPr>
        <w:t xml:space="preserve">importing and mining </w:t>
      </w:r>
      <w:r w:rsidR="00572943" w:rsidRPr="00D76C97">
        <w:rPr>
          <w:rFonts w:ascii="Calibri-Light" w:eastAsia="Calibri-Light" w:hAnsi="Calibri-Light" w:cs="Yu Mincho"/>
          <w:szCs w:val="24"/>
        </w:rPr>
        <w:t xml:space="preserve">of </w:t>
      </w:r>
      <w:r w:rsidR="009C23DF" w:rsidRPr="00D76C97">
        <w:rPr>
          <w:rFonts w:ascii="Calibri-Light" w:eastAsia="Calibri-Light" w:hAnsi="Calibri-Light" w:cs="Yu Mincho"/>
          <w:szCs w:val="24"/>
        </w:rPr>
        <w:t>coal reported in the NZ ETS</w:t>
      </w:r>
      <w:r w:rsidR="002C5F0E" w:rsidRPr="00D76C97">
        <w:rPr>
          <w:rFonts w:ascii="Calibri-Light" w:eastAsia="Calibri-Light" w:hAnsi="Calibri-Light" w:cs="Yu Mincho"/>
          <w:szCs w:val="24"/>
        </w:rPr>
        <w:t>,</w:t>
      </w:r>
      <w:r w:rsidR="009C23DF" w:rsidRPr="00D76C97">
        <w:rPr>
          <w:rFonts w:ascii="Calibri-Light" w:eastAsia="Calibri-Light" w:hAnsi="Calibri-Light" w:cs="Yu Mincho"/>
          <w:szCs w:val="24"/>
        </w:rPr>
        <w:t xml:space="preserve"> and solid fuel combustion report</w:t>
      </w:r>
      <w:r w:rsidR="00572943" w:rsidRPr="00D76C97">
        <w:rPr>
          <w:rFonts w:ascii="Calibri-Light" w:eastAsia="Calibri-Light" w:hAnsi="Calibri-Light" w:cs="Yu Mincho"/>
          <w:szCs w:val="24"/>
        </w:rPr>
        <w:t>ed</w:t>
      </w:r>
      <w:r w:rsidR="009C23DF" w:rsidRPr="00D76C97">
        <w:rPr>
          <w:rFonts w:ascii="Calibri-Light" w:eastAsia="Calibri-Light" w:hAnsi="Calibri-Light" w:cs="Yu Mincho"/>
          <w:szCs w:val="24"/>
        </w:rPr>
        <w:t xml:space="preserve"> in the inventory. Production of iron and steel </w:t>
      </w:r>
      <w:r w:rsidR="004A6990" w:rsidRPr="00D76C97">
        <w:rPr>
          <w:rFonts w:ascii="Calibri-Light" w:eastAsia="Calibri-Light" w:hAnsi="Calibri-Light" w:cs="Yu Mincho"/>
          <w:szCs w:val="24"/>
        </w:rPr>
        <w:t>remained very closely aligned.</w:t>
      </w:r>
    </w:p>
    <w:p w14:paraId="54F59683" w14:textId="05450CB8" w:rsidR="00084BB6" w:rsidRPr="00D76C97" w:rsidRDefault="00084BB6"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As this discrepancy </w:t>
      </w:r>
      <w:r w:rsidR="00D826D6" w:rsidRPr="00D76C97">
        <w:rPr>
          <w:rFonts w:ascii="Calibri-Light" w:eastAsia="Calibri-Light" w:hAnsi="Calibri-Light" w:cs="Yu Mincho"/>
          <w:szCs w:val="24"/>
        </w:rPr>
        <w:t xml:space="preserve">is </w:t>
      </w:r>
      <w:r w:rsidRPr="00D76C97">
        <w:rPr>
          <w:rFonts w:ascii="Calibri-Light" w:eastAsia="Calibri-Light" w:hAnsi="Calibri-Light" w:cs="Yu Mincho"/>
          <w:szCs w:val="24"/>
        </w:rPr>
        <w:t xml:space="preserve">relatively </w:t>
      </w:r>
      <w:r w:rsidR="000A74AA" w:rsidRPr="00D76C97">
        <w:rPr>
          <w:rFonts w:ascii="Calibri-Light" w:eastAsia="Calibri-Light" w:hAnsi="Calibri-Light" w:cs="Yu Mincho"/>
          <w:szCs w:val="24"/>
        </w:rPr>
        <w:t xml:space="preserve">small, </w:t>
      </w:r>
      <w:r w:rsidR="00AB23E0" w:rsidRPr="00D76C97">
        <w:rPr>
          <w:rFonts w:ascii="Calibri-Light" w:eastAsia="Calibri-Light" w:hAnsi="Calibri-Light" w:cs="Yu Mincho"/>
          <w:szCs w:val="24"/>
        </w:rPr>
        <w:t xml:space="preserve">we have decided </w:t>
      </w:r>
      <w:r w:rsidR="002E4131" w:rsidRPr="00D76C97">
        <w:rPr>
          <w:rFonts w:ascii="Calibri-Light" w:eastAsia="Calibri-Light" w:hAnsi="Calibri-Light" w:cs="Yu Mincho"/>
          <w:szCs w:val="24"/>
        </w:rPr>
        <w:t xml:space="preserve">not to </w:t>
      </w:r>
      <w:r w:rsidR="003474C5" w:rsidRPr="00D76C97">
        <w:rPr>
          <w:rFonts w:ascii="Calibri-Light" w:eastAsia="Calibri-Light" w:hAnsi="Calibri-Light" w:cs="Yu Mincho"/>
          <w:szCs w:val="24"/>
        </w:rPr>
        <w:t xml:space="preserve">apply </w:t>
      </w:r>
      <w:r w:rsidR="00173330" w:rsidRPr="00D76C97">
        <w:rPr>
          <w:rFonts w:ascii="Calibri-Light" w:eastAsia="Calibri-Light" w:hAnsi="Calibri-Light" w:cs="Yu Mincho"/>
          <w:szCs w:val="24"/>
        </w:rPr>
        <w:t>an ongoing technical adjustment related to coal and steel in this year’s advice</w:t>
      </w:r>
      <w:r w:rsidR="005140D6" w:rsidRPr="00D76C97">
        <w:rPr>
          <w:rFonts w:ascii="Calibri-Light" w:eastAsia="Calibri-Light" w:hAnsi="Calibri-Light" w:cs="Yu Mincho"/>
          <w:szCs w:val="24"/>
        </w:rPr>
        <w:t xml:space="preserve">. We will </w:t>
      </w:r>
      <w:r w:rsidR="00173330" w:rsidRPr="00D76C97">
        <w:rPr>
          <w:rFonts w:ascii="Calibri-Light" w:eastAsia="Calibri-Light" w:hAnsi="Calibri-Light" w:cs="Yu Mincho"/>
          <w:szCs w:val="24"/>
        </w:rPr>
        <w:t xml:space="preserve">monitor </w:t>
      </w:r>
      <w:r w:rsidR="004D2114" w:rsidRPr="00D76C97">
        <w:rPr>
          <w:rFonts w:ascii="Calibri-Light" w:eastAsia="Calibri-Light" w:hAnsi="Calibri-Light" w:cs="Yu Mincho"/>
          <w:szCs w:val="24"/>
        </w:rPr>
        <w:t>t</w:t>
      </w:r>
      <w:r w:rsidR="005140D6" w:rsidRPr="00D76C97">
        <w:rPr>
          <w:rFonts w:ascii="Calibri-Light" w:eastAsia="Calibri-Light" w:hAnsi="Calibri-Light" w:cs="Yu Mincho"/>
          <w:szCs w:val="24"/>
        </w:rPr>
        <w:t xml:space="preserve">his issue to </w:t>
      </w:r>
      <w:r w:rsidR="004C17EE" w:rsidRPr="00D76C97">
        <w:rPr>
          <w:rFonts w:ascii="Calibri-Light" w:eastAsia="Calibri-Light" w:hAnsi="Calibri-Light" w:cs="Yu Mincho"/>
          <w:szCs w:val="24"/>
        </w:rPr>
        <w:t xml:space="preserve">evaluate </w:t>
      </w:r>
      <w:r w:rsidR="00603D05" w:rsidRPr="00D76C97">
        <w:rPr>
          <w:rFonts w:ascii="Calibri-Light" w:eastAsia="Calibri-Light" w:hAnsi="Calibri-Light" w:cs="Yu Mincho"/>
          <w:szCs w:val="24"/>
        </w:rPr>
        <w:t>how the discrepancy</w:t>
      </w:r>
      <w:r w:rsidR="001F039A" w:rsidRPr="00D76C97">
        <w:rPr>
          <w:rFonts w:ascii="Calibri-Light" w:eastAsia="Calibri-Light" w:hAnsi="Calibri-Light" w:cs="Yu Mincho"/>
          <w:szCs w:val="24"/>
        </w:rPr>
        <w:t xml:space="preserve"> develops over time</w:t>
      </w:r>
      <w:r w:rsidR="00CF7C1D" w:rsidRPr="00D76C97">
        <w:rPr>
          <w:rFonts w:ascii="Calibri-Light" w:eastAsia="Calibri-Light" w:hAnsi="Calibri-Light" w:cs="Yu Mincho"/>
          <w:szCs w:val="24"/>
        </w:rPr>
        <w:t xml:space="preserve">, and </w:t>
      </w:r>
      <w:r w:rsidR="00902750" w:rsidRPr="00D76C97">
        <w:rPr>
          <w:rFonts w:ascii="Calibri-Light" w:eastAsia="Calibri-Light" w:hAnsi="Calibri-Light" w:cs="Yu Mincho"/>
          <w:szCs w:val="24"/>
        </w:rPr>
        <w:t xml:space="preserve">whether it is necessary to </w:t>
      </w:r>
      <w:r w:rsidR="003474C5" w:rsidRPr="00D76C97">
        <w:rPr>
          <w:rFonts w:ascii="Calibri-Light" w:eastAsia="Calibri-Light" w:hAnsi="Calibri-Light" w:cs="Yu Mincho"/>
          <w:szCs w:val="24"/>
        </w:rPr>
        <w:t>re-</w:t>
      </w:r>
      <w:r w:rsidR="00D56D0B" w:rsidRPr="00D76C97">
        <w:rPr>
          <w:rFonts w:ascii="Calibri-Light" w:eastAsia="Calibri-Light" w:hAnsi="Calibri-Light" w:cs="Yu Mincho"/>
          <w:szCs w:val="24"/>
        </w:rPr>
        <w:t>apply</w:t>
      </w:r>
      <w:r w:rsidR="003474C5" w:rsidRPr="00D76C97">
        <w:rPr>
          <w:rFonts w:ascii="Calibri-Light" w:eastAsia="Calibri-Light" w:hAnsi="Calibri-Light" w:cs="Yu Mincho"/>
          <w:szCs w:val="24"/>
        </w:rPr>
        <w:t xml:space="preserve"> </w:t>
      </w:r>
      <w:r w:rsidR="00902750" w:rsidRPr="00D76C97">
        <w:rPr>
          <w:rFonts w:ascii="Calibri-Light" w:eastAsia="Calibri-Light" w:hAnsi="Calibri-Light" w:cs="Yu Mincho"/>
          <w:szCs w:val="24"/>
        </w:rPr>
        <w:t>a technical adjustment.</w:t>
      </w:r>
      <w:r w:rsidR="00CF7C1D" w:rsidRPr="00D76C97">
        <w:rPr>
          <w:rFonts w:ascii="Calibri-Light" w:eastAsia="Calibri-Light" w:hAnsi="Calibri-Light" w:cs="Yu Mincho"/>
          <w:szCs w:val="24"/>
        </w:rPr>
        <w:t xml:space="preserve"> </w:t>
      </w:r>
      <w:r w:rsidR="004C17EE" w:rsidRPr="00D76C97">
        <w:rPr>
          <w:rFonts w:ascii="Calibri-Light" w:eastAsia="Calibri-Light" w:hAnsi="Calibri-Light" w:cs="Yu Mincho"/>
          <w:szCs w:val="24"/>
        </w:rPr>
        <w:t xml:space="preserve"> </w:t>
      </w:r>
      <w:r w:rsidR="005140D6" w:rsidRPr="00D76C97">
        <w:rPr>
          <w:rFonts w:ascii="Calibri-Light" w:eastAsia="Calibri-Light" w:hAnsi="Calibri-Light" w:cs="Yu Mincho"/>
          <w:szCs w:val="24"/>
        </w:rPr>
        <w:t xml:space="preserve"> </w:t>
      </w:r>
      <w:r w:rsidR="00173330" w:rsidRPr="00D76C97">
        <w:rPr>
          <w:rFonts w:ascii="Calibri-Light" w:eastAsia="Calibri-Light" w:hAnsi="Calibri-Light" w:cs="Yu Mincho"/>
          <w:szCs w:val="24"/>
        </w:rPr>
        <w:t xml:space="preserve"> </w:t>
      </w:r>
    </w:p>
    <w:p w14:paraId="10D1B965" w14:textId="0E4E0E63" w:rsidR="00975FE4" w:rsidRDefault="00975FE4" w:rsidP="00250B53">
      <w:pPr>
        <w:pStyle w:val="Caption"/>
      </w:pPr>
      <w:bookmarkStart w:id="24" w:name="_Ref195078740"/>
      <w:r w:rsidRPr="00AD1FEF">
        <w:t xml:space="preserve">Figure </w:t>
      </w:r>
      <w:r w:rsidR="005A2D42" w:rsidRPr="00AD1FEF">
        <w:fldChar w:fldCharType="begin"/>
      </w:r>
      <w:r w:rsidR="005A2D42">
        <w:instrText xml:space="preserve"> SEQ Figure \* ARABIC </w:instrText>
      </w:r>
      <w:r w:rsidR="005A2D42" w:rsidRPr="00AD1FEF">
        <w:fldChar w:fldCharType="separate"/>
      </w:r>
      <w:r w:rsidR="00EA3949">
        <w:rPr>
          <w:noProof/>
        </w:rPr>
        <w:t>4</w:t>
      </w:r>
      <w:r w:rsidR="005A2D42" w:rsidRPr="00AD1FEF">
        <w:fldChar w:fldCharType="end"/>
      </w:r>
      <w:bookmarkEnd w:id="24"/>
      <w:r w:rsidR="00391502">
        <w:t>:</w:t>
      </w:r>
      <w:r>
        <w:t xml:space="preserve"> </w:t>
      </w:r>
      <w:r w:rsidRPr="00EA3949">
        <w:rPr>
          <w:b w:val="0"/>
        </w:rPr>
        <w:t>Coal and steel production emissions report</w:t>
      </w:r>
      <w:r w:rsidR="00A0256D" w:rsidRPr="00EA3949">
        <w:rPr>
          <w:b w:val="0"/>
        </w:rPr>
        <w:t>ed</w:t>
      </w:r>
      <w:r w:rsidRPr="00EA3949">
        <w:rPr>
          <w:b w:val="0"/>
        </w:rPr>
        <w:t xml:space="preserve"> in the NZ ETS and 2024 GHG inventory</w:t>
      </w:r>
    </w:p>
    <w:p w14:paraId="50F2E97D" w14:textId="206B0760" w:rsidR="00975FE4" w:rsidRDefault="001C33B4" w:rsidP="00646D74">
      <w:pPr>
        <w:rPr>
          <w:lang w:val="en-US"/>
        </w:rPr>
      </w:pPr>
      <w:r>
        <w:rPr>
          <w:noProof/>
          <w:lang w:val="en-US"/>
        </w:rPr>
        <w:drawing>
          <wp:inline distT="0" distB="0" distL="0" distR="0" wp14:anchorId="026BDD84" wp14:editId="6BC8B4F3">
            <wp:extent cx="5555411" cy="3264431"/>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5300" cy="3270242"/>
                    </a:xfrm>
                    <a:prstGeom prst="rect">
                      <a:avLst/>
                    </a:prstGeom>
                    <a:noFill/>
                  </pic:spPr>
                </pic:pic>
              </a:graphicData>
            </a:graphic>
          </wp:inline>
        </w:drawing>
      </w:r>
    </w:p>
    <w:p w14:paraId="09DA3C07" w14:textId="2F8E0638" w:rsidR="00BB245D" w:rsidRDefault="00BB245D" w:rsidP="00646D74">
      <w:pPr>
        <w:rPr>
          <w:lang w:val="en-US"/>
        </w:rPr>
      </w:pPr>
      <w:r w:rsidRPr="00225DB4">
        <w:rPr>
          <w:sz w:val="20"/>
          <w:szCs w:val="20"/>
        </w:rPr>
        <w:t>Source: Commission analysis</w:t>
      </w:r>
    </w:p>
    <w:p w14:paraId="323CDFAC" w14:textId="5CF9837D" w:rsidR="00975FE4" w:rsidRDefault="00A27434" w:rsidP="008438C2">
      <w:pPr>
        <w:pStyle w:val="Heading3"/>
        <w:spacing w:before="120" w:after="120"/>
        <w:rPr>
          <w:lang w:val="en-US"/>
        </w:rPr>
      </w:pPr>
      <w:bookmarkStart w:id="25" w:name="_Toc195533417"/>
      <w:r>
        <w:rPr>
          <w:lang w:val="en-US"/>
        </w:rPr>
        <w:t>Waste</w:t>
      </w:r>
      <w:bookmarkEnd w:id="25"/>
    </w:p>
    <w:p w14:paraId="1D13910E" w14:textId="4818AC79" w:rsidR="009B3E1D" w:rsidRPr="00D76C97" w:rsidRDefault="00E2066F"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In our previous advice we have not </w:t>
      </w:r>
      <w:r w:rsidR="00936B60" w:rsidRPr="00D76C97">
        <w:rPr>
          <w:rFonts w:ascii="Calibri-Light" w:eastAsia="Calibri-Light" w:hAnsi="Calibri-Light" w:cs="Yu Mincho"/>
          <w:szCs w:val="24"/>
        </w:rPr>
        <w:t xml:space="preserve">proposed </w:t>
      </w:r>
      <w:r w:rsidR="00005DFE" w:rsidRPr="00D76C97">
        <w:rPr>
          <w:rFonts w:ascii="Calibri-Light" w:eastAsia="Calibri-Light" w:hAnsi="Calibri-Light" w:cs="Yu Mincho"/>
          <w:szCs w:val="24"/>
        </w:rPr>
        <w:t>technical adjustments to account for differences in reported waste emissions</w:t>
      </w:r>
      <w:r w:rsidR="00F14BFB" w:rsidRPr="00D76C97">
        <w:rPr>
          <w:rFonts w:ascii="Calibri-Light" w:eastAsia="Calibri-Light" w:hAnsi="Calibri-Light" w:cs="Yu Mincho"/>
          <w:szCs w:val="24"/>
        </w:rPr>
        <w:t xml:space="preserve">. </w:t>
      </w:r>
      <w:r w:rsidR="00820AB8" w:rsidRPr="00D76C97">
        <w:rPr>
          <w:rFonts w:ascii="Calibri-Light" w:eastAsia="Calibri-Light" w:hAnsi="Calibri-Light" w:cs="Yu Mincho"/>
          <w:szCs w:val="24"/>
        </w:rPr>
        <w:t>T</w:t>
      </w:r>
      <w:r w:rsidR="00A61599" w:rsidRPr="00D76C97">
        <w:rPr>
          <w:rFonts w:ascii="Calibri-Light" w:eastAsia="Calibri-Light" w:hAnsi="Calibri-Light" w:cs="Yu Mincho"/>
          <w:szCs w:val="24"/>
        </w:rPr>
        <w:t xml:space="preserve">here </w:t>
      </w:r>
      <w:r w:rsidR="00820AB8" w:rsidRPr="00D76C97">
        <w:rPr>
          <w:rFonts w:ascii="Calibri-Light" w:eastAsia="Calibri-Light" w:hAnsi="Calibri-Light" w:cs="Yu Mincho"/>
          <w:szCs w:val="24"/>
        </w:rPr>
        <w:t>have been</w:t>
      </w:r>
      <w:r w:rsidR="009B3E1D" w:rsidRPr="00D76C97" w:rsidDel="00820AB8">
        <w:rPr>
          <w:rFonts w:ascii="Calibri-Light" w:eastAsia="Calibri-Light" w:hAnsi="Calibri-Light" w:cs="Yu Mincho"/>
          <w:szCs w:val="24"/>
        </w:rPr>
        <w:t xml:space="preserve"> </w:t>
      </w:r>
      <w:r w:rsidR="009B3E1D" w:rsidRPr="00D76C97">
        <w:rPr>
          <w:rFonts w:ascii="Calibri-Light" w:eastAsia="Calibri-Light" w:hAnsi="Calibri-Light" w:cs="Yu Mincho"/>
          <w:szCs w:val="24"/>
        </w:rPr>
        <w:t xml:space="preserve">historical inconsistencies between the NZ ETS and </w:t>
      </w:r>
      <w:r w:rsidR="0032658B" w:rsidRPr="00D76C97">
        <w:rPr>
          <w:rFonts w:ascii="Calibri-Light" w:eastAsia="Calibri-Light" w:hAnsi="Calibri-Light" w:cs="Yu Mincho"/>
          <w:szCs w:val="24"/>
        </w:rPr>
        <w:t xml:space="preserve">solid waste disposal emissions reported in the </w:t>
      </w:r>
      <w:r w:rsidR="009B3E1D" w:rsidRPr="00D76C97">
        <w:rPr>
          <w:rFonts w:ascii="Calibri-Light" w:eastAsia="Calibri-Light" w:hAnsi="Calibri-Light" w:cs="Yu Mincho"/>
          <w:szCs w:val="24"/>
        </w:rPr>
        <w:t>GHG inventory</w:t>
      </w:r>
      <w:r w:rsidR="00820AB8" w:rsidRPr="00D76C97">
        <w:rPr>
          <w:rFonts w:ascii="Calibri-Light" w:eastAsia="Calibri-Light" w:hAnsi="Calibri-Light" w:cs="Yu Mincho"/>
          <w:szCs w:val="24"/>
        </w:rPr>
        <w:t xml:space="preserve"> bu</w:t>
      </w:r>
      <w:r w:rsidR="00AF64DF" w:rsidRPr="00D76C97">
        <w:rPr>
          <w:rFonts w:ascii="Calibri-Light" w:eastAsia="Calibri-Light" w:hAnsi="Calibri-Light" w:cs="Yu Mincho"/>
          <w:szCs w:val="24"/>
        </w:rPr>
        <w:t>t</w:t>
      </w:r>
      <w:r w:rsidR="00820AB8" w:rsidRPr="00D76C97">
        <w:rPr>
          <w:rFonts w:ascii="Calibri-Light" w:eastAsia="Calibri-Light" w:hAnsi="Calibri-Light" w:cs="Yu Mincho"/>
          <w:szCs w:val="24"/>
        </w:rPr>
        <w:t xml:space="preserve"> they have </w:t>
      </w:r>
      <w:r w:rsidR="00816FB5" w:rsidRPr="00D76C97">
        <w:rPr>
          <w:rFonts w:ascii="Calibri-Light" w:eastAsia="Calibri-Light" w:hAnsi="Calibri-Light" w:cs="Yu Mincho"/>
          <w:szCs w:val="24"/>
        </w:rPr>
        <w:t xml:space="preserve">either </w:t>
      </w:r>
      <w:r w:rsidR="00820AB8" w:rsidRPr="00D76C97">
        <w:rPr>
          <w:rFonts w:ascii="Calibri-Light" w:eastAsia="Calibri-Light" w:hAnsi="Calibri-Light" w:cs="Yu Mincho"/>
          <w:szCs w:val="24"/>
        </w:rPr>
        <w:t>been minor</w:t>
      </w:r>
      <w:r w:rsidR="00816FB5" w:rsidRPr="00D76C97">
        <w:rPr>
          <w:rFonts w:ascii="Calibri-Light" w:eastAsia="Calibri-Light" w:hAnsi="Calibri-Light" w:cs="Yu Mincho"/>
          <w:szCs w:val="24"/>
        </w:rPr>
        <w:t>,</w:t>
      </w:r>
      <w:r w:rsidR="00820AB8" w:rsidRPr="00D76C97">
        <w:rPr>
          <w:rFonts w:ascii="Calibri-Light" w:eastAsia="Calibri-Light" w:hAnsi="Calibri-Light" w:cs="Yu Mincho"/>
          <w:szCs w:val="24"/>
        </w:rPr>
        <w:t xml:space="preserve"> or </w:t>
      </w:r>
      <w:r w:rsidR="009E6138" w:rsidRPr="00D76C97">
        <w:rPr>
          <w:rFonts w:ascii="Calibri-Light" w:eastAsia="Calibri-Light" w:hAnsi="Calibri-Light" w:cs="Yu Mincho"/>
          <w:szCs w:val="24"/>
        </w:rPr>
        <w:t xml:space="preserve">understood </w:t>
      </w:r>
      <w:r w:rsidR="009E6138" w:rsidRPr="00D76C97" w:rsidDel="00D8259B">
        <w:rPr>
          <w:rFonts w:ascii="Calibri-Light" w:eastAsia="Calibri-Light" w:hAnsi="Calibri-Light" w:cs="Yu Mincho"/>
          <w:szCs w:val="24"/>
        </w:rPr>
        <w:t xml:space="preserve">to </w:t>
      </w:r>
      <w:r w:rsidR="009E6138" w:rsidRPr="00D76C97">
        <w:rPr>
          <w:rFonts w:ascii="Calibri-Light" w:eastAsia="Calibri-Light" w:hAnsi="Calibri-Light" w:cs="Yu Mincho"/>
          <w:szCs w:val="24"/>
        </w:rPr>
        <w:t xml:space="preserve">be </w:t>
      </w:r>
      <w:r w:rsidR="00F35906" w:rsidRPr="00D76C97">
        <w:rPr>
          <w:rFonts w:ascii="Calibri-Light" w:eastAsia="Calibri-Light" w:hAnsi="Calibri-Light" w:cs="Yu Mincho"/>
          <w:szCs w:val="24"/>
        </w:rPr>
        <w:t xml:space="preserve">in the process of </w:t>
      </w:r>
      <w:r w:rsidR="004B36C6" w:rsidRPr="00D76C97">
        <w:rPr>
          <w:rFonts w:ascii="Calibri-Light" w:eastAsia="Calibri-Light" w:hAnsi="Calibri-Light" w:cs="Yu Mincho"/>
          <w:szCs w:val="24"/>
        </w:rPr>
        <w:t>being resolved.</w:t>
      </w:r>
      <w:r w:rsidR="009B3E1D" w:rsidRPr="00D76C97">
        <w:rPr>
          <w:rFonts w:ascii="Calibri-Light" w:eastAsia="Calibri-Light" w:hAnsi="Calibri-Light" w:cs="Yu Mincho"/>
          <w:szCs w:val="24"/>
        </w:rPr>
        <w:t xml:space="preserve"> </w:t>
      </w:r>
    </w:p>
    <w:p w14:paraId="46B4030B" w14:textId="1CCBDCD9" w:rsidR="00082A2B" w:rsidRPr="00D76C97" w:rsidRDefault="00E14C61"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As shown in </w:t>
      </w:r>
      <w:r w:rsidR="0061305B" w:rsidRPr="00D76C97">
        <w:rPr>
          <w:rFonts w:ascii="Calibri-Light" w:eastAsia="Calibri-Light" w:hAnsi="Calibri-Light" w:cs="Yu Mincho"/>
          <w:b/>
          <w:szCs w:val="24"/>
        </w:rPr>
        <w:fldChar w:fldCharType="begin"/>
      </w:r>
      <w:r w:rsidR="0061305B" w:rsidRPr="00D76C97">
        <w:rPr>
          <w:rFonts w:ascii="Calibri-Light" w:eastAsia="Calibri-Light" w:hAnsi="Calibri-Light" w:cs="Yu Mincho"/>
          <w:b/>
          <w:szCs w:val="24"/>
        </w:rPr>
        <w:instrText xml:space="preserve"> REF _Ref195078838 \h </w:instrText>
      </w:r>
      <w:r w:rsidR="00EA3949" w:rsidRPr="00D76C97">
        <w:rPr>
          <w:rFonts w:ascii="Calibri-Light" w:eastAsia="Calibri-Light" w:hAnsi="Calibri-Light" w:cs="Yu Mincho"/>
          <w:b/>
          <w:szCs w:val="24"/>
        </w:rPr>
        <w:instrText xml:space="preserve"> \* MERGEFORMAT </w:instrText>
      </w:r>
      <w:r w:rsidR="0061305B" w:rsidRPr="00D76C97">
        <w:rPr>
          <w:rFonts w:ascii="Calibri-Light" w:eastAsia="Calibri-Light" w:hAnsi="Calibri-Light" w:cs="Yu Mincho"/>
          <w:b/>
          <w:szCs w:val="24"/>
        </w:rPr>
      </w:r>
      <w:r w:rsidR="0061305B" w:rsidRPr="00D76C97">
        <w:rPr>
          <w:rFonts w:ascii="Calibri-Light" w:eastAsia="Calibri-Light" w:hAnsi="Calibri-Light" w:cs="Yu Mincho"/>
          <w:b/>
          <w:szCs w:val="24"/>
        </w:rPr>
        <w:fldChar w:fldCharType="separate"/>
      </w:r>
      <w:r w:rsidR="00EA3949" w:rsidRPr="00D76C97">
        <w:rPr>
          <w:rFonts w:ascii="Calibri-Light" w:eastAsia="Calibri-Light" w:hAnsi="Calibri-Light" w:cs="Yu Mincho"/>
          <w:b/>
          <w:szCs w:val="24"/>
        </w:rPr>
        <w:t>Figure 5</w:t>
      </w:r>
      <w:r w:rsidR="0061305B" w:rsidRPr="00D76C97">
        <w:rPr>
          <w:rFonts w:ascii="Calibri-Light" w:eastAsia="Calibri-Light" w:hAnsi="Calibri-Light" w:cs="Yu Mincho"/>
          <w:b/>
          <w:szCs w:val="24"/>
        </w:rPr>
        <w:fldChar w:fldCharType="end"/>
      </w:r>
      <w:r w:rsidR="0061305B" w:rsidRPr="00D76C97">
        <w:rPr>
          <w:rFonts w:ascii="Calibri-Light" w:eastAsia="Calibri-Light" w:hAnsi="Calibri-Light" w:cs="Yu Mincho"/>
          <w:szCs w:val="24"/>
        </w:rPr>
        <w:t xml:space="preserve">, </w:t>
      </w:r>
      <w:r w:rsidR="00953082" w:rsidRPr="00D76C97">
        <w:rPr>
          <w:rFonts w:ascii="Calibri-Light" w:eastAsia="Calibri-Light" w:hAnsi="Calibri-Light" w:cs="Yu Mincho"/>
          <w:szCs w:val="24"/>
        </w:rPr>
        <w:t xml:space="preserve">there was a marked increase in the difference between NZ ETS and GHG Inventory </w:t>
      </w:r>
      <w:r w:rsidR="0061305B" w:rsidRPr="00D76C97">
        <w:rPr>
          <w:rFonts w:ascii="Calibri-Light" w:eastAsia="Calibri-Light" w:hAnsi="Calibri-Light" w:cs="Yu Mincho"/>
          <w:szCs w:val="24"/>
        </w:rPr>
        <w:t>e</w:t>
      </w:r>
      <w:r w:rsidR="00277187" w:rsidRPr="00D76C97">
        <w:rPr>
          <w:rFonts w:ascii="Calibri-Light" w:eastAsia="Calibri-Light" w:hAnsi="Calibri-Light" w:cs="Yu Mincho"/>
          <w:szCs w:val="24"/>
        </w:rPr>
        <w:t>missions</w:t>
      </w:r>
      <w:r w:rsidR="00B51C3B" w:rsidRPr="00D76C97">
        <w:rPr>
          <w:rFonts w:ascii="Calibri-Light" w:eastAsia="Calibri-Light" w:hAnsi="Calibri-Light" w:cs="Yu Mincho"/>
          <w:szCs w:val="24"/>
        </w:rPr>
        <w:t xml:space="preserve"> reported </w:t>
      </w:r>
      <w:r w:rsidR="004665D2" w:rsidRPr="00D76C97">
        <w:rPr>
          <w:rFonts w:ascii="Calibri-Light" w:eastAsia="Calibri-Light" w:hAnsi="Calibri-Light" w:cs="Yu Mincho"/>
          <w:szCs w:val="24"/>
        </w:rPr>
        <w:t>for 2022</w:t>
      </w:r>
      <w:r w:rsidR="00BD4548" w:rsidRPr="00D76C97">
        <w:rPr>
          <w:rFonts w:ascii="Calibri-Light" w:eastAsia="Calibri-Light" w:hAnsi="Calibri-Light" w:cs="Yu Mincho"/>
          <w:szCs w:val="24"/>
        </w:rPr>
        <w:t xml:space="preserve">. </w:t>
      </w:r>
      <w:r w:rsidR="00231830" w:rsidRPr="00D76C97">
        <w:rPr>
          <w:rFonts w:ascii="Calibri-Light" w:eastAsia="Calibri-Light" w:hAnsi="Calibri-Light" w:cs="Yu Mincho"/>
          <w:szCs w:val="24"/>
        </w:rPr>
        <w:t>The</w:t>
      </w:r>
      <w:r w:rsidR="00BD4548" w:rsidRPr="00D76C97">
        <w:rPr>
          <w:rFonts w:ascii="Calibri-Light" w:eastAsia="Calibri-Light" w:hAnsi="Calibri-Light" w:cs="Yu Mincho"/>
          <w:szCs w:val="24"/>
        </w:rPr>
        <w:t xml:space="preserve"> 2022 </w:t>
      </w:r>
      <w:r w:rsidR="00891FE5" w:rsidRPr="00D76C97">
        <w:rPr>
          <w:rFonts w:ascii="Calibri-Light" w:eastAsia="Calibri-Light" w:hAnsi="Calibri-Light" w:cs="Yu Mincho"/>
          <w:szCs w:val="24"/>
        </w:rPr>
        <w:t xml:space="preserve">NZ ETS </w:t>
      </w:r>
      <w:r w:rsidR="00BD4548" w:rsidRPr="00D76C97">
        <w:rPr>
          <w:rFonts w:ascii="Calibri-Light" w:eastAsia="Calibri-Light" w:hAnsi="Calibri-Light" w:cs="Yu Mincho"/>
          <w:szCs w:val="24"/>
        </w:rPr>
        <w:t xml:space="preserve">emissions declined </w:t>
      </w:r>
      <w:r w:rsidR="004978FF" w:rsidRPr="00D76C97">
        <w:rPr>
          <w:rFonts w:ascii="Calibri-Light" w:eastAsia="Calibri-Light" w:hAnsi="Calibri-Light" w:cs="Yu Mincho"/>
          <w:szCs w:val="24"/>
        </w:rPr>
        <w:t>from approximately 1</w:t>
      </w:r>
      <w:r w:rsidR="00485A28" w:rsidRPr="00D76C97">
        <w:rPr>
          <w:rFonts w:ascii="Calibri-Light" w:eastAsia="Calibri-Light" w:hAnsi="Calibri-Light" w:cs="Yu Mincho"/>
          <w:szCs w:val="24"/>
        </w:rPr>
        <w:t xml:space="preserve"> </w:t>
      </w:r>
      <w:r w:rsidR="004978FF" w:rsidRPr="00D76C97">
        <w:rPr>
          <w:rFonts w:ascii="Calibri-Light" w:eastAsia="Calibri-Light" w:hAnsi="Calibri-Light" w:cs="Yu Mincho"/>
          <w:szCs w:val="24"/>
        </w:rPr>
        <w:t>Mt</w:t>
      </w:r>
      <w:r w:rsidR="00052FB9" w:rsidRPr="00D76C97">
        <w:rPr>
          <w:rFonts w:ascii="Calibri-Light" w:eastAsia="Calibri-Light" w:hAnsi="Calibri-Light" w:cs="Yu Mincho"/>
          <w:szCs w:val="24"/>
        </w:rPr>
        <w:t xml:space="preserve">CO2e </w:t>
      </w:r>
      <w:r w:rsidR="004978FF" w:rsidRPr="00D76C97">
        <w:rPr>
          <w:rFonts w:ascii="Calibri-Light" w:eastAsia="Calibri-Light" w:hAnsi="Calibri-Light" w:cs="Yu Mincho"/>
          <w:szCs w:val="24"/>
        </w:rPr>
        <w:t>to 0.6</w:t>
      </w:r>
      <w:r w:rsidR="005621F5" w:rsidRPr="00D76C97">
        <w:rPr>
          <w:rFonts w:ascii="Calibri-Light" w:eastAsia="Calibri-Light" w:hAnsi="Calibri-Light" w:cs="Yu Mincho"/>
          <w:szCs w:val="24"/>
        </w:rPr>
        <w:t xml:space="preserve"> </w:t>
      </w:r>
      <w:r w:rsidR="004978FF" w:rsidRPr="00D76C97">
        <w:rPr>
          <w:rFonts w:ascii="Calibri-Light" w:eastAsia="Calibri-Light" w:hAnsi="Calibri-Light" w:cs="Yu Mincho"/>
          <w:szCs w:val="24"/>
        </w:rPr>
        <w:t>Mt</w:t>
      </w:r>
      <w:r w:rsidR="00C96B88" w:rsidRPr="00D76C97">
        <w:rPr>
          <w:rFonts w:ascii="Calibri-Light" w:eastAsia="Calibri-Light" w:hAnsi="Calibri-Light" w:cs="Yu Mincho"/>
          <w:szCs w:val="24"/>
        </w:rPr>
        <w:t>CO2e</w:t>
      </w:r>
      <w:r w:rsidR="00052FB9" w:rsidRPr="00D76C97">
        <w:rPr>
          <w:rFonts w:ascii="Calibri-Light" w:eastAsia="Calibri-Light" w:hAnsi="Calibri-Light" w:cs="Yu Mincho"/>
          <w:szCs w:val="24"/>
        </w:rPr>
        <w:t xml:space="preserve"> </w:t>
      </w:r>
      <w:r w:rsidR="002E6681" w:rsidRPr="00D76C97">
        <w:rPr>
          <w:rFonts w:ascii="Calibri-Light" w:eastAsia="Calibri-Light" w:hAnsi="Calibri-Light" w:cs="Yu Mincho"/>
          <w:szCs w:val="24"/>
        </w:rPr>
        <w:t>(</w:t>
      </w:r>
      <w:r w:rsidR="00A11EB1" w:rsidRPr="00D76C97">
        <w:rPr>
          <w:rFonts w:ascii="Calibri-Light" w:eastAsia="Calibri-Light" w:hAnsi="Calibri-Light" w:cs="Yu Mincho"/>
          <w:szCs w:val="24"/>
        </w:rPr>
        <w:t>-</w:t>
      </w:r>
      <w:r w:rsidR="002E6681" w:rsidRPr="00D76C97">
        <w:rPr>
          <w:rFonts w:ascii="Calibri-Light" w:eastAsia="Calibri-Light" w:hAnsi="Calibri-Light" w:cs="Yu Mincho"/>
          <w:szCs w:val="24"/>
        </w:rPr>
        <w:t>42%)</w:t>
      </w:r>
      <w:r w:rsidR="00303F79" w:rsidRPr="00D76C97">
        <w:rPr>
          <w:rFonts w:ascii="Calibri-Light" w:eastAsia="Calibri-Light" w:hAnsi="Calibri-Light" w:cs="Yu Mincho"/>
          <w:szCs w:val="24"/>
        </w:rPr>
        <w:t xml:space="preserve">, with GHG Inventory </w:t>
      </w:r>
      <w:r w:rsidR="000E05EA" w:rsidRPr="00D76C97">
        <w:rPr>
          <w:rFonts w:ascii="Calibri-Light" w:eastAsia="Calibri-Light" w:hAnsi="Calibri-Light" w:cs="Yu Mincho"/>
          <w:szCs w:val="24"/>
        </w:rPr>
        <w:t>emissions</w:t>
      </w:r>
      <w:r w:rsidR="00180B65" w:rsidRPr="00D76C97" w:rsidDel="00303F79">
        <w:rPr>
          <w:rFonts w:ascii="Calibri-Light" w:eastAsia="Calibri-Light" w:hAnsi="Calibri-Light" w:cs="Yu Mincho"/>
          <w:szCs w:val="24"/>
        </w:rPr>
        <w:t xml:space="preserve"> </w:t>
      </w:r>
      <w:r w:rsidR="00A11EB1" w:rsidRPr="00D76C97">
        <w:rPr>
          <w:rFonts w:ascii="Calibri-Light" w:eastAsia="Calibri-Light" w:hAnsi="Calibri-Light" w:cs="Yu Mincho"/>
          <w:szCs w:val="24"/>
        </w:rPr>
        <w:t>dropp</w:t>
      </w:r>
      <w:r w:rsidR="00303F79" w:rsidRPr="00D76C97">
        <w:rPr>
          <w:rFonts w:ascii="Calibri-Light" w:eastAsia="Calibri-Light" w:hAnsi="Calibri-Light" w:cs="Yu Mincho"/>
          <w:szCs w:val="24"/>
        </w:rPr>
        <w:t xml:space="preserve">ing </w:t>
      </w:r>
      <w:r w:rsidR="00C85879" w:rsidRPr="00D76C97">
        <w:rPr>
          <w:rFonts w:ascii="Calibri-Light" w:eastAsia="Calibri-Light" w:hAnsi="Calibri-Light" w:cs="Yu Mincho"/>
          <w:szCs w:val="24"/>
        </w:rPr>
        <w:t xml:space="preserve">much less, </w:t>
      </w:r>
      <w:r w:rsidR="003F0B93" w:rsidRPr="00D76C97">
        <w:rPr>
          <w:rFonts w:ascii="Calibri-Light" w:eastAsia="Calibri-Light" w:hAnsi="Calibri-Light" w:cs="Yu Mincho"/>
          <w:szCs w:val="24"/>
        </w:rPr>
        <w:t xml:space="preserve">resulting in a discrepancy of </w:t>
      </w:r>
      <w:r w:rsidR="005F6844" w:rsidRPr="00D76C97">
        <w:rPr>
          <w:rFonts w:ascii="Calibri-Light" w:eastAsia="Calibri-Light" w:hAnsi="Calibri-Light" w:cs="Yu Mincho"/>
          <w:szCs w:val="24"/>
        </w:rPr>
        <w:t>0.5</w:t>
      </w:r>
      <w:r w:rsidR="00C96B88" w:rsidRPr="00D76C97">
        <w:rPr>
          <w:rFonts w:ascii="Calibri-Light" w:eastAsia="Calibri-Light" w:hAnsi="Calibri-Light" w:cs="Yu Mincho"/>
          <w:szCs w:val="24"/>
        </w:rPr>
        <w:t xml:space="preserve"> </w:t>
      </w:r>
      <w:r w:rsidR="005F6844" w:rsidRPr="00D76C97">
        <w:rPr>
          <w:rFonts w:ascii="Calibri-Light" w:eastAsia="Calibri-Light" w:hAnsi="Calibri-Light" w:cs="Yu Mincho"/>
          <w:szCs w:val="24"/>
        </w:rPr>
        <w:t>Mt</w:t>
      </w:r>
      <w:r w:rsidR="00C96B88" w:rsidRPr="00D76C97">
        <w:rPr>
          <w:rFonts w:ascii="Calibri-Light" w:eastAsia="Calibri-Light" w:hAnsi="Calibri-Light" w:cs="Yu Mincho"/>
          <w:szCs w:val="24"/>
        </w:rPr>
        <w:t>CO2e</w:t>
      </w:r>
      <w:r w:rsidR="005F6844" w:rsidRPr="00D76C97">
        <w:rPr>
          <w:rFonts w:ascii="Calibri-Light" w:eastAsia="Calibri-Light" w:hAnsi="Calibri-Light" w:cs="Yu Mincho"/>
          <w:szCs w:val="24"/>
        </w:rPr>
        <w:t xml:space="preserve">. </w:t>
      </w:r>
    </w:p>
    <w:p w14:paraId="1BB07DDE" w14:textId="20E0C06A" w:rsidR="00A27434" w:rsidRPr="00D76C97" w:rsidRDefault="001976FE"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We understand </w:t>
      </w:r>
      <w:r w:rsidR="00C938EC" w:rsidRPr="00D76C97">
        <w:rPr>
          <w:rFonts w:ascii="Calibri-Light" w:eastAsia="Calibri-Light" w:hAnsi="Calibri-Light" w:cs="Yu Mincho"/>
          <w:szCs w:val="24"/>
        </w:rPr>
        <w:t xml:space="preserve">that </w:t>
      </w:r>
      <w:r w:rsidRPr="00D76C97">
        <w:rPr>
          <w:rFonts w:ascii="Calibri-Light" w:eastAsia="Calibri-Light" w:hAnsi="Calibri-Light" w:cs="Yu Mincho"/>
          <w:szCs w:val="24"/>
        </w:rPr>
        <w:t>t</w:t>
      </w:r>
      <w:r w:rsidR="006021CC" w:rsidRPr="00D76C97">
        <w:rPr>
          <w:rFonts w:ascii="Calibri-Light" w:eastAsia="Calibri-Light" w:hAnsi="Calibri-Light" w:cs="Yu Mincho"/>
          <w:szCs w:val="24"/>
        </w:rPr>
        <w:t xml:space="preserve">he likely cause of the discrepancy is </w:t>
      </w:r>
      <w:r w:rsidR="00042F34" w:rsidRPr="00D76C97">
        <w:rPr>
          <w:rFonts w:ascii="Calibri-Light" w:eastAsia="Calibri-Light" w:hAnsi="Calibri-Light" w:cs="Yu Mincho"/>
          <w:szCs w:val="24"/>
        </w:rPr>
        <w:t xml:space="preserve">a significant drop </w:t>
      </w:r>
      <w:r w:rsidR="00042F34" w:rsidRPr="00D76C97" w:rsidDel="001976FE">
        <w:rPr>
          <w:rFonts w:ascii="Calibri-Light" w:eastAsia="Calibri-Light" w:hAnsi="Calibri-Light" w:cs="Yu Mincho"/>
          <w:szCs w:val="24"/>
        </w:rPr>
        <w:t xml:space="preserve">in </w:t>
      </w:r>
      <w:r w:rsidR="00042F34" w:rsidRPr="00D76C97">
        <w:rPr>
          <w:rFonts w:ascii="Calibri-Light" w:eastAsia="Calibri-Light" w:hAnsi="Calibri-Light" w:cs="Yu Mincho"/>
          <w:szCs w:val="24"/>
        </w:rPr>
        <w:t xml:space="preserve">the Unique Emissions Factors (UEFs) </w:t>
      </w:r>
      <w:r w:rsidR="00F95C05" w:rsidRPr="00D76C97">
        <w:rPr>
          <w:rFonts w:ascii="Calibri-Light" w:eastAsia="Calibri-Light" w:hAnsi="Calibri-Light" w:cs="Yu Mincho"/>
          <w:szCs w:val="24"/>
        </w:rPr>
        <w:t>used to calculate NZ ETS emissions for</w:t>
      </w:r>
      <w:r w:rsidR="00042F34" w:rsidRPr="00D76C97">
        <w:rPr>
          <w:rFonts w:ascii="Calibri-Light" w:eastAsia="Calibri-Light" w:hAnsi="Calibri-Light" w:cs="Yu Mincho"/>
          <w:szCs w:val="24"/>
        </w:rPr>
        <w:t xml:space="preserve"> many </w:t>
      </w:r>
      <w:r w:rsidR="00F95C05" w:rsidRPr="00D76C97">
        <w:rPr>
          <w:rFonts w:ascii="Calibri-Light" w:eastAsia="Calibri-Light" w:hAnsi="Calibri-Light" w:cs="Yu Mincho"/>
          <w:szCs w:val="24"/>
        </w:rPr>
        <w:t xml:space="preserve">waste </w:t>
      </w:r>
      <w:r w:rsidR="00042F34" w:rsidRPr="00D76C97">
        <w:rPr>
          <w:rFonts w:ascii="Calibri-Light" w:eastAsia="Calibri-Light" w:hAnsi="Calibri-Light" w:cs="Yu Mincho"/>
          <w:szCs w:val="24"/>
        </w:rPr>
        <w:t>disposal facilities</w:t>
      </w:r>
      <w:r w:rsidR="000A6C86" w:rsidRPr="00D76C97">
        <w:rPr>
          <w:rFonts w:ascii="Calibri-Light" w:eastAsia="Calibri-Light" w:hAnsi="Calibri-Light" w:cs="Yu Mincho"/>
          <w:szCs w:val="24"/>
        </w:rPr>
        <w:t>.</w:t>
      </w:r>
      <w:r w:rsidR="00042F34" w:rsidRPr="00D76C97">
        <w:rPr>
          <w:rFonts w:ascii="Calibri-Light" w:eastAsia="Calibri-Light" w:hAnsi="Calibri-Light" w:cs="Yu Mincho"/>
          <w:szCs w:val="24"/>
        </w:rPr>
        <w:t xml:space="preserve"> </w:t>
      </w:r>
      <w:r w:rsidR="00D56D0B" w:rsidRPr="00D76C97">
        <w:rPr>
          <w:rFonts w:ascii="Calibri-Light" w:eastAsia="Calibri-Light" w:hAnsi="Calibri-Light" w:cs="Yu Mincho"/>
          <w:szCs w:val="24"/>
        </w:rPr>
        <w:t>The Ministry for the Environment</w:t>
      </w:r>
      <w:r w:rsidR="00772211" w:rsidRPr="00D76C97">
        <w:rPr>
          <w:rFonts w:ascii="Calibri-Light" w:eastAsia="Calibri-Light" w:hAnsi="Calibri-Light" w:cs="Yu Mincho"/>
          <w:szCs w:val="24"/>
        </w:rPr>
        <w:t xml:space="preserve"> has confirmed with the Commission that an error </w:t>
      </w:r>
      <w:r w:rsidR="00F23FE8" w:rsidRPr="00D76C97">
        <w:rPr>
          <w:rFonts w:ascii="Calibri-Light" w:eastAsia="Calibri-Light" w:hAnsi="Calibri-Light" w:cs="Yu Mincho"/>
          <w:szCs w:val="24"/>
        </w:rPr>
        <w:t xml:space="preserve">has been identified </w:t>
      </w:r>
      <w:r w:rsidR="00772211" w:rsidRPr="00D76C97">
        <w:rPr>
          <w:rFonts w:ascii="Calibri-Light" w:eastAsia="Calibri-Light" w:hAnsi="Calibri-Light" w:cs="Yu Mincho"/>
          <w:szCs w:val="24"/>
        </w:rPr>
        <w:t xml:space="preserve">in </w:t>
      </w:r>
      <w:r w:rsidR="00990374" w:rsidRPr="00D76C97">
        <w:rPr>
          <w:rFonts w:ascii="Calibri-Light" w:eastAsia="Calibri-Light" w:hAnsi="Calibri-Light" w:cs="Yu Mincho"/>
          <w:szCs w:val="24"/>
        </w:rPr>
        <w:t xml:space="preserve">the </w:t>
      </w:r>
      <w:r w:rsidR="00F95C05" w:rsidRPr="00D76C97">
        <w:rPr>
          <w:rFonts w:ascii="Calibri-Light" w:eastAsia="Calibri-Light" w:hAnsi="Calibri-Light" w:cs="Yu Mincho"/>
          <w:szCs w:val="24"/>
        </w:rPr>
        <w:t xml:space="preserve">calculation of </w:t>
      </w:r>
      <w:r w:rsidR="00F23FE8" w:rsidRPr="00D76C97">
        <w:rPr>
          <w:rFonts w:ascii="Calibri-Light" w:eastAsia="Calibri-Light" w:hAnsi="Calibri-Light" w:cs="Yu Mincho"/>
          <w:szCs w:val="24"/>
        </w:rPr>
        <w:t>several waste facilit</w:t>
      </w:r>
      <w:r w:rsidR="00635C17" w:rsidRPr="00D76C97">
        <w:rPr>
          <w:rFonts w:ascii="Calibri-Light" w:eastAsia="Calibri-Light" w:hAnsi="Calibri-Light" w:cs="Yu Mincho"/>
          <w:szCs w:val="24"/>
        </w:rPr>
        <w:t>y</w:t>
      </w:r>
      <w:r w:rsidR="00F23FE8" w:rsidRPr="00D76C97">
        <w:rPr>
          <w:rFonts w:ascii="Calibri-Light" w:eastAsia="Calibri-Light" w:hAnsi="Calibri-Light" w:cs="Yu Mincho"/>
          <w:szCs w:val="24"/>
        </w:rPr>
        <w:t xml:space="preserve"> </w:t>
      </w:r>
      <w:r w:rsidR="00990374" w:rsidRPr="00D76C97">
        <w:rPr>
          <w:rFonts w:ascii="Calibri-Light" w:eastAsia="Calibri-Light" w:hAnsi="Calibri-Light" w:cs="Yu Mincho"/>
          <w:szCs w:val="24"/>
        </w:rPr>
        <w:t>UEFs</w:t>
      </w:r>
      <w:r w:rsidR="00F90BAD" w:rsidRPr="00D76C97">
        <w:rPr>
          <w:rFonts w:ascii="Calibri-Light" w:eastAsia="Calibri-Light" w:hAnsi="Calibri-Light" w:cs="Yu Mincho"/>
          <w:szCs w:val="24"/>
        </w:rPr>
        <w:t xml:space="preserve">, and that the </w:t>
      </w:r>
      <w:r w:rsidR="000A6C86" w:rsidRPr="00D76C97">
        <w:rPr>
          <w:rFonts w:ascii="Calibri-Light" w:eastAsia="Calibri-Light" w:hAnsi="Calibri-Light" w:cs="Yu Mincho"/>
          <w:szCs w:val="24"/>
        </w:rPr>
        <w:t xml:space="preserve">error is expected to be fixed for 2025. </w:t>
      </w:r>
      <w:r w:rsidR="00B80AEF" w:rsidRPr="00D76C97">
        <w:rPr>
          <w:rFonts w:ascii="Calibri-Light" w:eastAsia="Calibri-Light" w:hAnsi="Calibri-Light" w:cs="Yu Mincho"/>
          <w:szCs w:val="24"/>
        </w:rPr>
        <w:t xml:space="preserve">Based on this, we </w:t>
      </w:r>
      <w:r w:rsidR="00784E6B" w:rsidRPr="00D76C97">
        <w:rPr>
          <w:rFonts w:ascii="Calibri-Light" w:eastAsia="Calibri-Light" w:hAnsi="Calibri-Light" w:cs="Yu Mincho"/>
          <w:szCs w:val="24"/>
        </w:rPr>
        <w:t xml:space="preserve">have decided not to </w:t>
      </w:r>
      <w:r w:rsidR="00A0256D" w:rsidRPr="00D76C97">
        <w:rPr>
          <w:rFonts w:ascii="Calibri-Light" w:eastAsia="Calibri-Light" w:hAnsi="Calibri-Light" w:cs="Yu Mincho"/>
          <w:szCs w:val="24"/>
        </w:rPr>
        <w:t xml:space="preserve">implement a technical adjustment to correct for the observed discrepancy in waste emissions. </w:t>
      </w:r>
    </w:p>
    <w:p w14:paraId="75E8E107" w14:textId="6DB3D632" w:rsidR="00D629CA" w:rsidRDefault="00D629CA" w:rsidP="00250B53">
      <w:pPr>
        <w:pStyle w:val="Caption"/>
      </w:pPr>
      <w:bookmarkStart w:id="26" w:name="_Ref195078838"/>
      <w:r w:rsidRPr="00137933">
        <w:t xml:space="preserve">Figure </w:t>
      </w:r>
      <w:r w:rsidR="007F3035" w:rsidRPr="00137933">
        <w:fldChar w:fldCharType="begin"/>
      </w:r>
      <w:r w:rsidR="007F3035" w:rsidRPr="00137933">
        <w:instrText xml:space="preserve"> SEQ Figure \* ARABIC </w:instrText>
      </w:r>
      <w:r w:rsidR="007F3035" w:rsidRPr="00137933">
        <w:fldChar w:fldCharType="separate"/>
      </w:r>
      <w:r w:rsidR="00EA3949">
        <w:rPr>
          <w:noProof/>
        </w:rPr>
        <w:t>5</w:t>
      </w:r>
      <w:r w:rsidR="007F3035" w:rsidRPr="00137933">
        <w:fldChar w:fldCharType="end"/>
      </w:r>
      <w:bookmarkEnd w:id="26"/>
      <w:r w:rsidR="00391502">
        <w:t>:</w:t>
      </w:r>
      <w:r>
        <w:t xml:space="preserve"> </w:t>
      </w:r>
      <w:r w:rsidRPr="00EA3949">
        <w:rPr>
          <w:b w:val="0"/>
        </w:rPr>
        <w:t>Waste emissions report</w:t>
      </w:r>
      <w:r w:rsidR="00A0256D" w:rsidRPr="00EA3949">
        <w:rPr>
          <w:b w:val="0"/>
        </w:rPr>
        <w:t xml:space="preserve">ed </w:t>
      </w:r>
      <w:r w:rsidRPr="00EA3949">
        <w:rPr>
          <w:b w:val="0"/>
        </w:rPr>
        <w:t>in the NZ ETS and 2024 GHG inventory</w:t>
      </w:r>
    </w:p>
    <w:p w14:paraId="79A887E0" w14:textId="3A3E2419" w:rsidR="00AC1BFE" w:rsidRDefault="00AC1BFE" w:rsidP="007F7B15">
      <w:r>
        <w:rPr>
          <w:noProof/>
        </w:rPr>
        <w:drawing>
          <wp:inline distT="0" distB="0" distL="0" distR="0" wp14:anchorId="0C640CC0" wp14:editId="67955F24">
            <wp:extent cx="5760466" cy="3390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7324" cy="3394937"/>
                    </a:xfrm>
                    <a:prstGeom prst="rect">
                      <a:avLst/>
                    </a:prstGeom>
                    <a:noFill/>
                  </pic:spPr>
                </pic:pic>
              </a:graphicData>
            </a:graphic>
          </wp:inline>
        </w:drawing>
      </w:r>
    </w:p>
    <w:p w14:paraId="5837A770" w14:textId="360C6674" w:rsidR="00BB245D" w:rsidRPr="00AC1BFE" w:rsidRDefault="00BB245D" w:rsidP="007F7B15">
      <w:r w:rsidRPr="00225DB4">
        <w:rPr>
          <w:sz w:val="20"/>
          <w:szCs w:val="20"/>
        </w:rPr>
        <w:t>Source: Commission analysis</w:t>
      </w:r>
    </w:p>
    <w:p w14:paraId="523360B4" w14:textId="77777777" w:rsidR="007311C3" w:rsidRDefault="007311C3" w:rsidP="008438C2">
      <w:pPr>
        <w:pStyle w:val="Heading3"/>
        <w:spacing w:before="120" w:after="120"/>
        <w:rPr>
          <w:lang w:val="en-US"/>
        </w:rPr>
      </w:pPr>
      <w:bookmarkStart w:id="27" w:name="_Toc195533418"/>
      <w:r>
        <w:rPr>
          <w:lang w:val="en-US"/>
        </w:rPr>
        <w:t>Forestry</w:t>
      </w:r>
      <w:bookmarkEnd w:id="27"/>
    </w:p>
    <w:p w14:paraId="1811A8E4" w14:textId="6DA29234" w:rsidR="007311C3" w:rsidRPr="00D76C97" w:rsidRDefault="007311C3"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Comparing forest</w:t>
      </w:r>
      <w:r w:rsidR="00E5381D" w:rsidRPr="00D76C97">
        <w:rPr>
          <w:rFonts w:ascii="Calibri-Light" w:eastAsia="Calibri-Light" w:hAnsi="Calibri-Light" w:cs="Yu Mincho"/>
          <w:szCs w:val="24"/>
        </w:rPr>
        <w:t>ry</w:t>
      </w:r>
      <w:r w:rsidR="00C54DA1" w:rsidRPr="00D76C97">
        <w:rPr>
          <w:rFonts w:ascii="Calibri-Light" w:eastAsia="Calibri-Light" w:hAnsi="Calibri-Light" w:cs="Yu Mincho"/>
          <w:szCs w:val="24"/>
        </w:rPr>
        <w:t xml:space="preserve"> </w:t>
      </w:r>
      <w:r w:rsidRPr="00D76C97">
        <w:rPr>
          <w:rFonts w:ascii="Calibri-Light" w:eastAsia="Calibri-Light" w:hAnsi="Calibri-Light" w:cs="Yu Mincho"/>
          <w:szCs w:val="24"/>
        </w:rPr>
        <w:t>emissions and removals reported in</w:t>
      </w:r>
      <w:r w:rsidR="00894EC3" w:rsidRPr="00D76C97">
        <w:rPr>
          <w:rFonts w:ascii="Calibri-Light" w:eastAsia="Calibri-Light" w:hAnsi="Calibri-Light" w:cs="Yu Mincho"/>
          <w:szCs w:val="24"/>
        </w:rPr>
        <w:t xml:space="preserve"> the NZ ETS with </w:t>
      </w:r>
      <w:r w:rsidR="00C141E7" w:rsidRPr="00D76C97">
        <w:rPr>
          <w:rFonts w:ascii="Calibri-Light" w:eastAsia="Calibri-Light" w:hAnsi="Calibri-Light" w:cs="Yu Mincho"/>
          <w:szCs w:val="24"/>
        </w:rPr>
        <w:t>those used for target accounting reported in</w:t>
      </w:r>
      <w:r w:rsidRPr="00D76C97">
        <w:rPr>
          <w:rFonts w:ascii="Calibri-Light" w:eastAsia="Calibri-Light" w:hAnsi="Calibri-Light" w:cs="Yu Mincho"/>
          <w:szCs w:val="24"/>
        </w:rPr>
        <w:t xml:space="preserve"> the GHG inventory</w:t>
      </w:r>
      <w:r w:rsidR="003C3E76" w:rsidRPr="00D76C97">
        <w:rPr>
          <w:rFonts w:ascii="Calibri-Light" w:eastAsia="Calibri-Light" w:hAnsi="Calibri-Light" w:cs="Yu Mincho"/>
          <w:szCs w:val="24"/>
        </w:rPr>
        <w:t xml:space="preserve"> is </w:t>
      </w:r>
      <w:r w:rsidRPr="00D76C97">
        <w:rPr>
          <w:rFonts w:ascii="Calibri-Light" w:eastAsia="Calibri-Light" w:hAnsi="Calibri-Light" w:cs="Yu Mincho"/>
          <w:szCs w:val="24"/>
        </w:rPr>
        <w:t>challeng</w:t>
      </w:r>
      <w:r w:rsidR="003C3E76" w:rsidRPr="00D76C97">
        <w:rPr>
          <w:rFonts w:ascii="Calibri-Light" w:eastAsia="Calibri-Light" w:hAnsi="Calibri-Light" w:cs="Yu Mincho"/>
          <w:szCs w:val="24"/>
        </w:rPr>
        <w:t>ing</w:t>
      </w:r>
      <w:r w:rsidRPr="00D76C97">
        <w:rPr>
          <w:rFonts w:ascii="Calibri-Light" w:eastAsia="Calibri-Light" w:hAnsi="Calibri-Light" w:cs="Yu Mincho"/>
          <w:szCs w:val="24"/>
        </w:rPr>
        <w:t xml:space="preserve"> for </w:t>
      </w:r>
      <w:r w:rsidR="00BF4F5B" w:rsidRPr="00D76C97">
        <w:rPr>
          <w:rFonts w:ascii="Calibri-Light" w:eastAsia="Calibri-Light" w:hAnsi="Calibri-Light" w:cs="Yu Mincho"/>
          <w:szCs w:val="24"/>
        </w:rPr>
        <w:t xml:space="preserve">several </w:t>
      </w:r>
      <w:r w:rsidRPr="00D76C97">
        <w:rPr>
          <w:rFonts w:ascii="Calibri-Light" w:eastAsia="Calibri-Light" w:hAnsi="Calibri-Light" w:cs="Yu Mincho"/>
          <w:szCs w:val="24"/>
        </w:rPr>
        <w:t>reasons:</w:t>
      </w:r>
    </w:p>
    <w:p w14:paraId="4D23D872" w14:textId="53D889DA" w:rsidR="00446370" w:rsidRPr="003A310C" w:rsidRDefault="00AC6DA9" w:rsidP="007F7B15">
      <w:pPr>
        <w:pStyle w:val="ListParagraph"/>
        <w:numPr>
          <w:ilvl w:val="0"/>
          <w:numId w:val="47"/>
        </w:numPr>
      </w:pPr>
      <w:r w:rsidRPr="3AF927C3">
        <w:t xml:space="preserve">There are two accounting approaches in the NZ ETS for </w:t>
      </w:r>
      <w:r w:rsidR="003B6B72" w:rsidRPr="3AF927C3">
        <w:t xml:space="preserve">post-1989 </w:t>
      </w:r>
      <w:r w:rsidRPr="3AF927C3">
        <w:t>forest</w:t>
      </w:r>
      <w:r w:rsidR="003B6B72" w:rsidRPr="3AF927C3">
        <w:t>s</w:t>
      </w:r>
      <w:r w:rsidRPr="3AF927C3">
        <w:t xml:space="preserve"> (stock change and averaging</w:t>
      </w:r>
      <w:r w:rsidR="00230C21" w:rsidRPr="3AF927C3">
        <w:t>, with most forests using stock change</w:t>
      </w:r>
      <w:r w:rsidRPr="3AF927C3">
        <w:t>)</w:t>
      </w:r>
      <w:r w:rsidR="00790B38" w:rsidRPr="3AF927C3">
        <w:t>, while in target accounting</w:t>
      </w:r>
      <w:r w:rsidR="0012343D" w:rsidRPr="3AF927C3">
        <w:t>, most</w:t>
      </w:r>
      <w:r w:rsidR="003B6B72" w:rsidRPr="3AF927C3">
        <w:t xml:space="preserve"> post-1989 forests are subject to accounting </w:t>
      </w:r>
      <w:r w:rsidR="00BA07B4" w:rsidRPr="3AF927C3">
        <w:t xml:space="preserve">that is </w:t>
      </w:r>
      <w:r w:rsidR="00817BA4" w:rsidRPr="3AF927C3">
        <w:t>similar to averaging</w:t>
      </w:r>
      <w:r w:rsidR="00952CED" w:rsidRPr="3AF927C3">
        <w:t xml:space="preserve">. </w:t>
      </w:r>
      <w:r w:rsidR="00F061AF" w:rsidRPr="3AF927C3">
        <w:t xml:space="preserve"> </w:t>
      </w:r>
    </w:p>
    <w:p w14:paraId="3B1CC04A" w14:textId="7E3BB5B8" w:rsidR="007311C3" w:rsidRPr="003A310C" w:rsidRDefault="00905A07" w:rsidP="007F7B15">
      <w:pPr>
        <w:pStyle w:val="ListParagraph"/>
        <w:numPr>
          <w:ilvl w:val="0"/>
          <w:numId w:val="47"/>
        </w:numPr>
      </w:pPr>
      <w:r w:rsidRPr="21C2A04A">
        <w:t>T</w:t>
      </w:r>
      <w:r w:rsidR="007311C3" w:rsidRPr="21C2A04A">
        <w:t>he NZ ETS does not require annual</w:t>
      </w:r>
      <w:r w:rsidR="001C5423">
        <w:t xml:space="preserve"> emissions</w:t>
      </w:r>
      <w:r w:rsidR="007311C3" w:rsidRPr="21C2A04A">
        <w:t xml:space="preserve"> reporting </w:t>
      </w:r>
      <w:r w:rsidR="001C5423">
        <w:t xml:space="preserve">by </w:t>
      </w:r>
      <w:r w:rsidR="007311C3" w:rsidRPr="21C2A04A">
        <w:t>forestry participants</w:t>
      </w:r>
      <w:r w:rsidR="00F70B55">
        <w:t xml:space="preserve">. </w:t>
      </w:r>
      <w:r w:rsidR="00A63BC1">
        <w:t>E</w:t>
      </w:r>
      <w:r w:rsidR="004D1D97">
        <w:t xml:space="preserve">missions returns are only required </w:t>
      </w:r>
      <w:r w:rsidR="007311C3" w:rsidRPr="21C2A04A">
        <w:t>at the end of a Mandatory Emissions Reporting Period (MERP)</w:t>
      </w:r>
      <w:r w:rsidR="00A6788D">
        <w:t>,</w:t>
      </w:r>
      <w:r w:rsidR="00F061AF" w:rsidRPr="21C2A04A">
        <w:rPr>
          <w:vertAlign w:val="superscript"/>
        </w:rPr>
        <w:footnoteReference w:id="4"/>
      </w:r>
      <w:r w:rsidR="00A63BC1">
        <w:t xml:space="preserve"> although forestry participants can choose to submit returns more frequently</w:t>
      </w:r>
      <w:r w:rsidR="00F061AF" w:rsidRPr="21C2A04A">
        <w:t xml:space="preserve">. </w:t>
      </w:r>
      <w:r w:rsidR="007311C3" w:rsidRPr="21C2A04A">
        <w:t xml:space="preserve">  </w:t>
      </w:r>
    </w:p>
    <w:p w14:paraId="7F3B2524" w14:textId="08F14E05" w:rsidR="00027C14" w:rsidRPr="003A310C" w:rsidRDefault="002148DE" w:rsidP="001D73D9">
      <w:pPr>
        <w:pStyle w:val="ListParagraph"/>
        <w:numPr>
          <w:ilvl w:val="0"/>
          <w:numId w:val="47"/>
        </w:numPr>
        <w:rPr>
          <w:lang w:val="en-US"/>
        </w:rPr>
      </w:pPr>
      <w:r>
        <w:rPr>
          <w:lang w:val="en-US"/>
        </w:rPr>
        <w:t>D</w:t>
      </w:r>
      <w:r w:rsidR="00F061AF" w:rsidRPr="003A310C">
        <w:rPr>
          <w:lang w:val="en-US"/>
        </w:rPr>
        <w:t xml:space="preserve">ifferent carbon yield tables </w:t>
      </w:r>
      <w:r>
        <w:rPr>
          <w:lang w:val="en-US"/>
        </w:rPr>
        <w:t xml:space="preserve">are used </w:t>
      </w:r>
      <w:r w:rsidR="00501FD3">
        <w:rPr>
          <w:lang w:val="en-US"/>
        </w:rPr>
        <w:t xml:space="preserve">in </w:t>
      </w:r>
      <w:r w:rsidR="00501FD3" w:rsidRPr="003A310C">
        <w:rPr>
          <w:lang w:val="en-US"/>
        </w:rPr>
        <w:t xml:space="preserve">target accounting and the NZ ETS </w:t>
      </w:r>
      <w:r w:rsidR="00766FB7" w:rsidRPr="003A310C">
        <w:rPr>
          <w:lang w:val="en-US"/>
        </w:rPr>
        <w:t>to estimate carbon sequestration</w:t>
      </w:r>
      <w:r w:rsidR="00501FD3">
        <w:rPr>
          <w:lang w:val="en-US"/>
        </w:rPr>
        <w:t>.</w:t>
      </w:r>
      <w:r w:rsidR="00766FB7" w:rsidRPr="003A310C">
        <w:rPr>
          <w:lang w:val="en-US"/>
        </w:rPr>
        <w:t xml:space="preserve"> </w:t>
      </w:r>
    </w:p>
    <w:p w14:paraId="29298E93" w14:textId="12DD2BE9" w:rsidR="004B79CE" w:rsidRDefault="004A075D" w:rsidP="003A310C">
      <w:pPr>
        <w:pStyle w:val="ListParagraph"/>
        <w:numPr>
          <w:ilvl w:val="0"/>
          <w:numId w:val="47"/>
        </w:numPr>
        <w:rPr>
          <w:lang w:val="en-US"/>
        </w:rPr>
      </w:pPr>
      <w:r>
        <w:rPr>
          <w:lang w:val="en-US"/>
        </w:rPr>
        <w:t>There is m</w:t>
      </w:r>
      <w:r w:rsidR="00027C14" w:rsidRPr="003A310C">
        <w:rPr>
          <w:lang w:val="en-US"/>
        </w:rPr>
        <w:t xml:space="preserve">isalignment </w:t>
      </w:r>
      <w:r w:rsidR="00146A4D" w:rsidRPr="003A310C">
        <w:rPr>
          <w:lang w:val="en-US"/>
        </w:rPr>
        <w:t xml:space="preserve">in forest </w:t>
      </w:r>
      <w:r w:rsidR="008542BA">
        <w:rPr>
          <w:lang w:val="en-US"/>
        </w:rPr>
        <w:t>area</w:t>
      </w:r>
      <w:r w:rsidR="00146A4D" w:rsidRPr="003A310C">
        <w:rPr>
          <w:lang w:val="en-US"/>
        </w:rPr>
        <w:t xml:space="preserve"> and age classes reported </w:t>
      </w:r>
      <w:r w:rsidR="00B73D81">
        <w:rPr>
          <w:lang w:val="en-US"/>
        </w:rPr>
        <w:t>under</w:t>
      </w:r>
      <w:r w:rsidR="00C47D59" w:rsidRPr="003A310C">
        <w:rPr>
          <w:lang w:val="en-US"/>
        </w:rPr>
        <w:t xml:space="preserve"> target </w:t>
      </w:r>
      <w:r w:rsidR="00146A4D" w:rsidRPr="002A55BC">
        <w:rPr>
          <w:lang w:val="en-US"/>
        </w:rPr>
        <w:t xml:space="preserve">accounting </w:t>
      </w:r>
      <w:r w:rsidR="004151F7" w:rsidRPr="002A55BC" w:rsidDel="00D20090">
        <w:rPr>
          <w:lang w:val="en-US"/>
        </w:rPr>
        <w:t xml:space="preserve">and </w:t>
      </w:r>
      <w:r w:rsidR="00C47D59" w:rsidRPr="002A55BC">
        <w:rPr>
          <w:lang w:val="en-US"/>
        </w:rPr>
        <w:t xml:space="preserve">registered in the </w:t>
      </w:r>
      <w:r w:rsidR="00146A4D" w:rsidRPr="002A55BC">
        <w:rPr>
          <w:lang w:val="en-US"/>
        </w:rPr>
        <w:t>NZ ETS</w:t>
      </w:r>
      <w:r w:rsidR="004B79CE">
        <w:rPr>
          <w:lang w:val="en-US"/>
        </w:rPr>
        <w:t>.</w:t>
      </w:r>
    </w:p>
    <w:p w14:paraId="29268CE1" w14:textId="19209303" w:rsidR="00EA4C94" w:rsidRPr="00D76C97" w:rsidRDefault="00F20F4C"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We understand that </w:t>
      </w:r>
      <w:r w:rsidR="00A109C8" w:rsidRPr="00D76C97">
        <w:rPr>
          <w:rFonts w:ascii="Calibri-Light" w:eastAsia="Calibri-Light" w:hAnsi="Calibri-Light" w:cs="Yu Mincho"/>
          <w:szCs w:val="24"/>
        </w:rPr>
        <w:t xml:space="preserve">the </w:t>
      </w:r>
      <w:r w:rsidR="005930B2" w:rsidRPr="00D76C97">
        <w:rPr>
          <w:rFonts w:ascii="Calibri-Light" w:eastAsia="Calibri-Light" w:hAnsi="Calibri-Light" w:cs="Yu Mincho"/>
          <w:szCs w:val="24"/>
        </w:rPr>
        <w:t>g</w:t>
      </w:r>
      <w:r w:rsidR="00A109C8" w:rsidRPr="00D76C97">
        <w:rPr>
          <w:rFonts w:ascii="Calibri-Light" w:eastAsia="Calibri-Light" w:hAnsi="Calibri-Light" w:cs="Yu Mincho"/>
          <w:szCs w:val="24"/>
        </w:rPr>
        <w:t>overnment has w</w:t>
      </w:r>
      <w:r w:rsidR="00677E44" w:rsidRPr="00D76C97">
        <w:rPr>
          <w:rFonts w:ascii="Calibri-Light" w:eastAsia="Calibri-Light" w:hAnsi="Calibri-Light" w:cs="Yu Mincho"/>
          <w:szCs w:val="24"/>
        </w:rPr>
        <w:t xml:space="preserve">ork underway </w:t>
      </w:r>
      <w:r w:rsidRPr="00D76C97">
        <w:rPr>
          <w:rFonts w:ascii="Calibri-Light" w:eastAsia="Calibri-Light" w:hAnsi="Calibri-Light" w:cs="Yu Mincho"/>
          <w:szCs w:val="24"/>
        </w:rPr>
        <w:t xml:space="preserve">to update </w:t>
      </w:r>
      <w:r w:rsidR="00C24B5C" w:rsidRPr="00D76C97">
        <w:rPr>
          <w:rFonts w:ascii="Calibri-Light" w:eastAsia="Calibri-Light" w:hAnsi="Calibri-Light" w:cs="Yu Mincho"/>
          <w:szCs w:val="24"/>
        </w:rPr>
        <w:t xml:space="preserve">NZ ETS </w:t>
      </w:r>
      <w:r w:rsidRPr="00D76C97">
        <w:rPr>
          <w:rFonts w:ascii="Calibri-Light" w:eastAsia="Calibri-Light" w:hAnsi="Calibri-Light" w:cs="Yu Mincho"/>
          <w:szCs w:val="24"/>
        </w:rPr>
        <w:t>forestry yield tables</w:t>
      </w:r>
      <w:r w:rsidR="00A109C8" w:rsidRPr="00D76C97">
        <w:rPr>
          <w:rFonts w:ascii="Calibri-Light" w:eastAsia="Calibri-Light" w:hAnsi="Calibri-Light" w:cs="Yu Mincho"/>
          <w:szCs w:val="24"/>
        </w:rPr>
        <w:t>.</w:t>
      </w:r>
      <w:r w:rsidR="00F44979" w:rsidRPr="00D76C97">
        <w:rPr>
          <w:rFonts w:ascii="Calibri-Light" w:eastAsia="Calibri-Light" w:hAnsi="Calibri-Light" w:cs="Yu Mincho"/>
          <w:szCs w:val="24"/>
        </w:rPr>
        <w:t xml:space="preserve"> </w:t>
      </w:r>
      <w:r w:rsidR="002E6B96" w:rsidRPr="00D76C97">
        <w:rPr>
          <w:rFonts w:ascii="Calibri-Light" w:eastAsia="Calibri-Light" w:hAnsi="Calibri-Light" w:cs="Yu Mincho"/>
          <w:szCs w:val="24"/>
        </w:rPr>
        <w:t xml:space="preserve">This could </w:t>
      </w:r>
      <w:r w:rsidR="007C16E0" w:rsidRPr="00D76C97">
        <w:rPr>
          <w:rFonts w:ascii="Calibri-Light" w:eastAsia="Calibri-Light" w:hAnsi="Calibri-Light" w:cs="Yu Mincho"/>
          <w:szCs w:val="24"/>
        </w:rPr>
        <w:t xml:space="preserve">affect </w:t>
      </w:r>
      <w:r w:rsidR="00C149A2" w:rsidRPr="00D76C97">
        <w:rPr>
          <w:rFonts w:ascii="Calibri-Light" w:eastAsia="Calibri-Light" w:hAnsi="Calibri-Light" w:cs="Yu Mincho"/>
          <w:szCs w:val="24"/>
        </w:rPr>
        <w:t>how</w:t>
      </w:r>
      <w:r w:rsidR="00C149A2" w:rsidRPr="00D76C97" w:rsidDel="007C16E0">
        <w:rPr>
          <w:rFonts w:ascii="Calibri-Light" w:eastAsia="Calibri-Light" w:hAnsi="Calibri-Light" w:cs="Yu Mincho"/>
          <w:szCs w:val="24"/>
        </w:rPr>
        <w:t xml:space="preserve"> </w:t>
      </w:r>
      <w:r w:rsidR="007C16E0" w:rsidRPr="00D76C97">
        <w:rPr>
          <w:rFonts w:ascii="Calibri-Light" w:eastAsia="Calibri-Light" w:hAnsi="Calibri-Light" w:cs="Yu Mincho"/>
          <w:szCs w:val="24"/>
        </w:rPr>
        <w:t xml:space="preserve">net forestry emissions reported in </w:t>
      </w:r>
      <w:r w:rsidR="00C149A2" w:rsidRPr="00D76C97">
        <w:rPr>
          <w:rFonts w:ascii="Calibri-Light" w:eastAsia="Calibri-Light" w:hAnsi="Calibri-Light" w:cs="Yu Mincho"/>
          <w:szCs w:val="24"/>
        </w:rPr>
        <w:t>the NZ ETS</w:t>
      </w:r>
      <w:r w:rsidR="00BC15D2" w:rsidRPr="00D76C97">
        <w:rPr>
          <w:rFonts w:ascii="Calibri-Light" w:eastAsia="Calibri-Light" w:hAnsi="Calibri-Light" w:cs="Yu Mincho"/>
          <w:szCs w:val="24"/>
        </w:rPr>
        <w:t xml:space="preserve"> align with target accounting </w:t>
      </w:r>
      <w:r w:rsidR="003C2A01" w:rsidRPr="00D76C97">
        <w:rPr>
          <w:rFonts w:ascii="Calibri-Light" w:eastAsia="Calibri-Light" w:hAnsi="Calibri-Light" w:cs="Yu Mincho"/>
          <w:szCs w:val="24"/>
        </w:rPr>
        <w:t>estimates</w:t>
      </w:r>
      <w:r w:rsidR="003717DE" w:rsidRPr="00D76C97">
        <w:rPr>
          <w:rFonts w:ascii="Calibri-Light" w:eastAsia="Calibri-Light" w:hAnsi="Calibri-Light" w:cs="Yu Mincho"/>
          <w:szCs w:val="24"/>
        </w:rPr>
        <w:t xml:space="preserve">. </w:t>
      </w:r>
      <w:r w:rsidR="00F44979" w:rsidRPr="00D76C97">
        <w:rPr>
          <w:rFonts w:ascii="Calibri-Light" w:eastAsia="Calibri-Light" w:hAnsi="Calibri-Light" w:cs="Yu Mincho"/>
          <w:szCs w:val="24"/>
        </w:rPr>
        <w:t xml:space="preserve">In December </w:t>
      </w:r>
      <w:r w:rsidR="00D225F9" w:rsidRPr="00D76C97">
        <w:rPr>
          <w:rFonts w:ascii="Calibri-Light" w:eastAsia="Calibri-Light" w:hAnsi="Calibri-Light" w:cs="Yu Mincho"/>
          <w:szCs w:val="24"/>
        </w:rPr>
        <w:t>2024</w:t>
      </w:r>
      <w:r w:rsidR="00F44979" w:rsidRPr="00D76C97">
        <w:rPr>
          <w:rFonts w:ascii="Calibri-Light" w:eastAsia="Calibri-Light" w:hAnsi="Calibri-Light" w:cs="Yu Mincho"/>
          <w:szCs w:val="24"/>
        </w:rPr>
        <w:t xml:space="preserve"> the Government published </w:t>
      </w:r>
      <w:r w:rsidR="007D61CE" w:rsidRPr="00D76C97">
        <w:rPr>
          <w:rFonts w:ascii="Calibri-Light" w:eastAsia="Calibri-Light" w:hAnsi="Calibri-Light" w:cs="Yu Mincho"/>
          <w:szCs w:val="24"/>
        </w:rPr>
        <w:t xml:space="preserve">additional information on how it expects to account for </w:t>
      </w:r>
      <w:r w:rsidR="00C21075" w:rsidRPr="00D76C97">
        <w:rPr>
          <w:rFonts w:ascii="Calibri-Light" w:eastAsia="Calibri-Light" w:hAnsi="Calibri-Light" w:cs="Yu Mincho"/>
          <w:szCs w:val="24"/>
        </w:rPr>
        <w:t xml:space="preserve">net emissions by forests </w:t>
      </w:r>
      <w:r w:rsidR="007D61CE" w:rsidRPr="00D76C97">
        <w:rPr>
          <w:rFonts w:ascii="Calibri-Light" w:eastAsia="Calibri-Light" w:hAnsi="Calibri-Light" w:cs="Yu Mincho"/>
          <w:szCs w:val="24"/>
        </w:rPr>
        <w:t>under target accounting</w:t>
      </w:r>
      <w:r w:rsidR="00402692" w:rsidRPr="00D76C97">
        <w:rPr>
          <w:rFonts w:ascii="Calibri-Light" w:eastAsia="Calibri-Light" w:hAnsi="Calibri-Light" w:cs="Yu Mincho"/>
          <w:szCs w:val="24"/>
        </w:rPr>
        <w:t xml:space="preserve">, including releasing </w:t>
      </w:r>
      <w:r w:rsidR="0041123B" w:rsidRPr="00D76C97">
        <w:rPr>
          <w:rFonts w:ascii="Calibri-Light" w:eastAsia="Calibri-Light" w:hAnsi="Calibri-Light" w:cs="Yu Mincho"/>
          <w:szCs w:val="24"/>
        </w:rPr>
        <w:t xml:space="preserve">two reports </w:t>
      </w:r>
      <w:r w:rsidR="00402692" w:rsidRPr="00D76C97">
        <w:rPr>
          <w:rFonts w:ascii="Calibri-Light" w:eastAsia="Calibri-Light" w:hAnsi="Calibri-Light" w:cs="Yu Mincho"/>
          <w:szCs w:val="24"/>
        </w:rPr>
        <w:t xml:space="preserve">on </w:t>
      </w:r>
      <w:r w:rsidR="0041123B" w:rsidRPr="00D76C97">
        <w:rPr>
          <w:rFonts w:ascii="Calibri-Light" w:eastAsia="Calibri-Light" w:hAnsi="Calibri-Light" w:cs="Yu Mincho"/>
          <w:szCs w:val="24"/>
        </w:rPr>
        <w:t>the forest management reference</w:t>
      </w:r>
      <w:r w:rsidR="001F1C8A" w:rsidRPr="00D76C97">
        <w:rPr>
          <w:rFonts w:ascii="Calibri-Light" w:eastAsia="Calibri-Light" w:hAnsi="Calibri-Light" w:cs="Yu Mincho"/>
          <w:szCs w:val="24"/>
        </w:rPr>
        <w:t xml:space="preserve"> </w:t>
      </w:r>
      <w:r w:rsidR="00476AFA" w:rsidRPr="00D76C97">
        <w:rPr>
          <w:rFonts w:ascii="Calibri-Light" w:eastAsia="Calibri-Light" w:hAnsi="Calibri-Light" w:cs="Yu Mincho"/>
          <w:szCs w:val="24"/>
        </w:rPr>
        <w:t>level</w:t>
      </w:r>
      <w:r w:rsidR="0041123B" w:rsidRPr="00D76C97">
        <w:rPr>
          <w:rFonts w:ascii="Calibri-Light" w:eastAsia="Calibri-Light" w:hAnsi="Calibri-Light" w:cs="Yu Mincho"/>
          <w:szCs w:val="24"/>
        </w:rPr>
        <w:t xml:space="preserve">. </w:t>
      </w:r>
      <w:r w:rsidR="00CC6FEF" w:rsidRPr="00D76C97">
        <w:rPr>
          <w:rFonts w:ascii="Calibri-Light" w:eastAsia="Calibri-Light" w:hAnsi="Calibri-Light" w:cs="Yu Mincho"/>
          <w:szCs w:val="24"/>
        </w:rPr>
        <w:t xml:space="preserve">Due to the recent and evolving nature of these developments, we have not undertaken a full analysis comparing </w:t>
      </w:r>
      <w:r w:rsidR="008E56D6" w:rsidRPr="00D76C97">
        <w:rPr>
          <w:rFonts w:ascii="Calibri-Light" w:eastAsia="Calibri-Light" w:hAnsi="Calibri-Light" w:cs="Yu Mincho"/>
          <w:szCs w:val="24"/>
        </w:rPr>
        <w:t xml:space="preserve">NZ ETS and target accounting </w:t>
      </w:r>
      <w:r w:rsidR="00E8588E" w:rsidRPr="00D76C97">
        <w:rPr>
          <w:rFonts w:ascii="Calibri-Light" w:eastAsia="Calibri-Light" w:hAnsi="Calibri-Light" w:cs="Yu Mincho"/>
          <w:szCs w:val="24"/>
        </w:rPr>
        <w:t>net</w:t>
      </w:r>
      <w:r w:rsidR="00EB4ED9" w:rsidRPr="00D76C97">
        <w:rPr>
          <w:rFonts w:ascii="Calibri-Light" w:eastAsia="Calibri-Light" w:hAnsi="Calibri-Light" w:cs="Yu Mincho"/>
          <w:szCs w:val="24"/>
        </w:rPr>
        <w:t xml:space="preserve"> forestry</w:t>
      </w:r>
      <w:r w:rsidR="00E8588E" w:rsidRPr="00D76C97">
        <w:rPr>
          <w:rFonts w:ascii="Calibri-Light" w:eastAsia="Calibri-Light" w:hAnsi="Calibri-Light" w:cs="Yu Mincho"/>
          <w:szCs w:val="24"/>
        </w:rPr>
        <w:t xml:space="preserve"> emissions</w:t>
      </w:r>
      <w:r w:rsidR="00EB4ED9" w:rsidRPr="00D76C97">
        <w:rPr>
          <w:rFonts w:ascii="Calibri-Light" w:eastAsia="Calibri-Light" w:hAnsi="Calibri-Light" w:cs="Yu Mincho"/>
          <w:szCs w:val="24"/>
        </w:rPr>
        <w:t xml:space="preserve">. </w:t>
      </w:r>
      <w:r w:rsidR="00E8588E" w:rsidRPr="00D76C97">
        <w:rPr>
          <w:rFonts w:ascii="Calibri-Light" w:eastAsia="Calibri-Light" w:hAnsi="Calibri-Light" w:cs="Yu Mincho"/>
          <w:szCs w:val="24"/>
        </w:rPr>
        <w:t xml:space="preserve"> </w:t>
      </w:r>
    </w:p>
    <w:p w14:paraId="601325D0" w14:textId="24A43023" w:rsidR="007311C3" w:rsidRPr="00AF757F" w:rsidRDefault="00EA4C94" w:rsidP="007311C3">
      <w:pPr>
        <w:rPr>
          <w:b/>
          <w:lang w:val="en-US"/>
        </w:rPr>
      </w:pPr>
      <w:r>
        <w:rPr>
          <w:lang w:val="en-US"/>
        </w:rPr>
        <w:t xml:space="preserve">We have not applied any technical adjustments related to forestry in this advice, </w:t>
      </w:r>
      <w:r w:rsidR="00970BDE">
        <w:rPr>
          <w:lang w:val="en-US"/>
        </w:rPr>
        <w:t>but this is an area on which w</w:t>
      </w:r>
      <w:r w:rsidR="00842083">
        <w:rPr>
          <w:lang w:val="en-US"/>
        </w:rPr>
        <w:t xml:space="preserve">e plan to undertake further analysis </w:t>
      </w:r>
      <w:r w:rsidR="00640560">
        <w:rPr>
          <w:lang w:val="en-US"/>
        </w:rPr>
        <w:t>as time allows.</w:t>
      </w:r>
      <w:r w:rsidR="00677E44">
        <w:rPr>
          <w:lang w:val="en-US"/>
        </w:rPr>
        <w:t xml:space="preserve"> </w:t>
      </w:r>
      <w:r w:rsidR="00D60FC2">
        <w:rPr>
          <w:lang w:val="en-US"/>
        </w:rPr>
        <w:t xml:space="preserve"> </w:t>
      </w:r>
      <w:r w:rsidR="00027C14" w:rsidRPr="004B79CE">
        <w:rPr>
          <w:lang w:val="en-US"/>
        </w:rPr>
        <w:t xml:space="preserve"> </w:t>
      </w:r>
    </w:p>
    <w:p w14:paraId="5A69A62B" w14:textId="223DF40E" w:rsidR="007376D0" w:rsidRDefault="00856FB3" w:rsidP="008438C2">
      <w:pPr>
        <w:pStyle w:val="Heading3"/>
        <w:spacing w:before="120" w:after="120"/>
        <w:rPr>
          <w:lang w:val="en-US"/>
        </w:rPr>
      </w:pPr>
      <w:bookmarkStart w:id="28" w:name="_Toc195533419"/>
      <w:r>
        <w:rPr>
          <w:lang w:val="en-US"/>
        </w:rPr>
        <w:t>Geothermal, IPPU and F-gases</w:t>
      </w:r>
      <w:bookmarkEnd w:id="28"/>
    </w:p>
    <w:p w14:paraId="1EF7E63F" w14:textId="54747378" w:rsidR="00C3084D" w:rsidRPr="00D76C97" w:rsidRDefault="00C3084D"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We provide a summary </w:t>
      </w:r>
      <w:r w:rsidR="00A27B4D" w:rsidRPr="00D76C97">
        <w:rPr>
          <w:rFonts w:ascii="Calibri-Light" w:eastAsia="Calibri-Light" w:hAnsi="Calibri-Light" w:cs="Yu Mincho"/>
          <w:szCs w:val="24"/>
        </w:rPr>
        <w:t xml:space="preserve">of our updated comparisons of </w:t>
      </w:r>
      <w:r w:rsidR="0087172A" w:rsidRPr="00D76C97">
        <w:rPr>
          <w:rFonts w:ascii="Calibri-Light" w:eastAsia="Calibri-Light" w:hAnsi="Calibri-Light" w:cs="Yu Mincho"/>
          <w:szCs w:val="24"/>
        </w:rPr>
        <w:t xml:space="preserve">reported emissions in the GHG inventory and the NZ ETS for additional sectors in </w:t>
      </w:r>
      <w:r w:rsidR="00584C2F" w:rsidRPr="00D76C97">
        <w:rPr>
          <w:rFonts w:ascii="Calibri-Light" w:eastAsia="Calibri-Light" w:hAnsi="Calibri-Light" w:cs="Yu Mincho"/>
          <w:b/>
          <w:szCs w:val="24"/>
        </w:rPr>
        <w:fldChar w:fldCharType="begin"/>
      </w:r>
      <w:r w:rsidR="00584C2F" w:rsidRPr="00D76C97">
        <w:rPr>
          <w:rFonts w:ascii="Calibri-Light" w:eastAsia="Calibri-Light" w:hAnsi="Calibri-Light" w:cs="Yu Mincho"/>
          <w:b/>
          <w:szCs w:val="24"/>
        </w:rPr>
        <w:instrText xml:space="preserve"> REF _Ref195079045 \h </w:instrText>
      </w:r>
      <w:r w:rsidR="006C15E5" w:rsidRPr="00D76C97">
        <w:rPr>
          <w:rFonts w:ascii="Calibri-Light" w:eastAsia="Calibri-Light" w:hAnsi="Calibri-Light" w:cs="Yu Mincho"/>
          <w:b/>
          <w:szCs w:val="24"/>
        </w:rPr>
        <w:instrText xml:space="preserve"> \* MERGEFORMAT </w:instrText>
      </w:r>
      <w:r w:rsidR="00584C2F" w:rsidRPr="00D76C97">
        <w:rPr>
          <w:rFonts w:ascii="Calibri-Light" w:eastAsia="Calibri-Light" w:hAnsi="Calibri-Light" w:cs="Yu Mincho"/>
          <w:b/>
          <w:szCs w:val="24"/>
        </w:rPr>
      </w:r>
      <w:r w:rsidR="00584C2F" w:rsidRPr="00D76C97">
        <w:rPr>
          <w:rFonts w:ascii="Calibri-Light" w:eastAsia="Calibri-Light" w:hAnsi="Calibri-Light" w:cs="Yu Mincho"/>
          <w:b/>
          <w:szCs w:val="24"/>
        </w:rPr>
        <w:fldChar w:fldCharType="separate"/>
      </w:r>
      <w:r w:rsidR="00584C2F" w:rsidRPr="00D76C97">
        <w:rPr>
          <w:rFonts w:ascii="Calibri-Light" w:eastAsia="Calibri-Light" w:hAnsi="Calibri-Light" w:cs="Yu Mincho"/>
          <w:b/>
          <w:szCs w:val="24"/>
        </w:rPr>
        <w:t xml:space="preserve">Table </w:t>
      </w:r>
      <w:r w:rsidR="00E700F6" w:rsidRPr="00D76C97">
        <w:rPr>
          <w:rFonts w:ascii="Calibri-Light" w:eastAsia="Calibri-Light" w:hAnsi="Calibri-Light" w:cs="Yu Mincho"/>
          <w:b/>
          <w:szCs w:val="24"/>
        </w:rPr>
        <w:t>3</w:t>
      </w:r>
      <w:r w:rsidR="00584C2F" w:rsidRPr="00D76C97">
        <w:rPr>
          <w:rFonts w:ascii="Calibri-Light" w:eastAsia="Calibri-Light" w:hAnsi="Calibri-Light" w:cs="Yu Mincho"/>
          <w:b/>
          <w:szCs w:val="24"/>
        </w:rPr>
        <w:fldChar w:fldCharType="end"/>
      </w:r>
      <w:r w:rsidR="006C15E5" w:rsidRPr="00D76C97">
        <w:rPr>
          <w:rFonts w:ascii="Calibri-Light" w:eastAsia="Calibri-Light" w:hAnsi="Calibri-Light" w:cs="Yu Mincho"/>
          <w:szCs w:val="24"/>
        </w:rPr>
        <w:t xml:space="preserve">. For these sectors, we continue to observe no need to make technical adjustments. </w:t>
      </w:r>
    </w:p>
    <w:p w14:paraId="71336AB9" w14:textId="205F9514" w:rsidR="0087172A" w:rsidRDefault="0087172A" w:rsidP="005B02D2">
      <w:pPr>
        <w:pStyle w:val="Caption"/>
      </w:pPr>
      <w:bookmarkStart w:id="29" w:name="_Ref195079045"/>
      <w:r w:rsidRPr="005B02D2">
        <w:t xml:space="preserve">Table </w:t>
      </w:r>
      <w:r w:rsidRPr="005B02D2">
        <w:fldChar w:fldCharType="begin"/>
      </w:r>
      <w:r w:rsidRPr="005B02D2">
        <w:instrText xml:space="preserve"> SEQ Table \* ARABIC </w:instrText>
      </w:r>
      <w:r w:rsidRPr="005B02D2">
        <w:fldChar w:fldCharType="separate"/>
      </w:r>
      <w:r w:rsidR="00E700F6">
        <w:rPr>
          <w:noProof/>
        </w:rPr>
        <w:t>3</w:t>
      </w:r>
      <w:r w:rsidRPr="005B02D2">
        <w:fldChar w:fldCharType="end"/>
      </w:r>
      <w:bookmarkEnd w:id="29"/>
      <w:r w:rsidR="00391502">
        <w:t>:</w:t>
      </w:r>
      <w:r w:rsidR="006C15E5">
        <w:t xml:space="preserve"> </w:t>
      </w:r>
      <w:r w:rsidR="006C15E5" w:rsidRPr="00EA3949">
        <w:rPr>
          <w:b w:val="0"/>
        </w:rPr>
        <w:t xml:space="preserve">Summary of </w:t>
      </w:r>
      <w:r w:rsidR="00980AE0" w:rsidRPr="00EA3949">
        <w:rPr>
          <w:b w:val="0"/>
        </w:rPr>
        <w:t xml:space="preserve">comparisons relating to </w:t>
      </w:r>
      <w:r w:rsidR="004E54F8" w:rsidRPr="00EA3949">
        <w:rPr>
          <w:b w:val="0"/>
        </w:rPr>
        <w:t>geothermal, IPPU and F-gas emissions</w:t>
      </w:r>
      <w:r w:rsidR="004E54F8">
        <w:t xml:space="preserve"> </w:t>
      </w:r>
    </w:p>
    <w:tbl>
      <w:tblPr>
        <w:tblStyle w:val="TableGrid"/>
        <w:tblW w:w="0" w:type="auto"/>
        <w:tblLook w:val="04A0" w:firstRow="1" w:lastRow="0" w:firstColumn="1" w:lastColumn="0" w:noHBand="0" w:noVBand="1"/>
      </w:tblPr>
      <w:tblGrid>
        <w:gridCol w:w="1413"/>
        <w:gridCol w:w="7603"/>
      </w:tblGrid>
      <w:tr w:rsidR="00856FB3" w:rsidRPr="002831A3" w14:paraId="51A1B10C" w14:textId="77777777" w:rsidTr="00700A07">
        <w:tc>
          <w:tcPr>
            <w:tcW w:w="1413" w:type="dxa"/>
            <w:shd w:val="clear" w:color="auto" w:fill="002060"/>
          </w:tcPr>
          <w:p w14:paraId="2845F008" w14:textId="542C8BE0" w:rsidR="00856FB3" w:rsidRPr="002831A3" w:rsidRDefault="00856FB3" w:rsidP="005B02D2">
            <w:pPr>
              <w:pStyle w:val="Tableheading"/>
              <w:rPr>
                <w:sz w:val="20"/>
                <w:szCs w:val="20"/>
                <w:lang w:val="en-US"/>
              </w:rPr>
            </w:pPr>
            <w:r w:rsidRPr="002831A3">
              <w:rPr>
                <w:sz w:val="20"/>
                <w:szCs w:val="20"/>
                <w:lang w:val="en-US"/>
              </w:rPr>
              <w:t>Grouping</w:t>
            </w:r>
          </w:p>
        </w:tc>
        <w:tc>
          <w:tcPr>
            <w:tcW w:w="7603" w:type="dxa"/>
            <w:shd w:val="clear" w:color="auto" w:fill="002060"/>
          </w:tcPr>
          <w:p w14:paraId="1E161EA0" w14:textId="7B7CF113" w:rsidR="00856FB3" w:rsidRPr="002831A3" w:rsidRDefault="00856FB3" w:rsidP="005B02D2">
            <w:pPr>
              <w:pStyle w:val="Tableheading"/>
              <w:rPr>
                <w:sz w:val="20"/>
                <w:szCs w:val="20"/>
                <w:lang w:val="en-US"/>
              </w:rPr>
            </w:pPr>
            <w:r w:rsidRPr="002831A3">
              <w:rPr>
                <w:sz w:val="20"/>
                <w:szCs w:val="20"/>
                <w:lang w:val="en-US"/>
              </w:rPr>
              <w:t>Summary of the comparisons</w:t>
            </w:r>
          </w:p>
        </w:tc>
      </w:tr>
      <w:tr w:rsidR="00856FB3" w:rsidRPr="002831A3" w14:paraId="19BA8D4C" w14:textId="77777777" w:rsidTr="00856FB3">
        <w:tc>
          <w:tcPr>
            <w:tcW w:w="1413" w:type="dxa"/>
          </w:tcPr>
          <w:p w14:paraId="4311F9CB" w14:textId="50EBF4A2" w:rsidR="00856FB3" w:rsidRPr="002831A3" w:rsidRDefault="00856FB3" w:rsidP="00831A62">
            <w:pPr>
              <w:spacing w:after="120" w:line="22" w:lineRule="atLeast"/>
              <w:rPr>
                <w:sz w:val="20"/>
                <w:szCs w:val="20"/>
                <w:lang w:val="en-US"/>
              </w:rPr>
            </w:pPr>
            <w:r w:rsidRPr="002831A3">
              <w:rPr>
                <w:sz w:val="20"/>
                <w:szCs w:val="20"/>
                <w:lang w:val="en-US"/>
              </w:rPr>
              <w:t>Geothermal</w:t>
            </w:r>
          </w:p>
        </w:tc>
        <w:tc>
          <w:tcPr>
            <w:tcW w:w="7603" w:type="dxa"/>
          </w:tcPr>
          <w:p w14:paraId="23A8B1D2" w14:textId="57A54616" w:rsidR="00856FB3" w:rsidRPr="002831A3" w:rsidRDefault="00667D4C" w:rsidP="00831A62">
            <w:pPr>
              <w:spacing w:after="120" w:line="22" w:lineRule="atLeast"/>
              <w:rPr>
                <w:sz w:val="20"/>
                <w:szCs w:val="20"/>
                <w:lang w:val="en-US"/>
              </w:rPr>
            </w:pPr>
            <w:r w:rsidRPr="002831A3">
              <w:rPr>
                <w:sz w:val="20"/>
                <w:szCs w:val="20"/>
                <w:lang w:val="en-US"/>
              </w:rPr>
              <w:t xml:space="preserve">There are no significant discrepancies between emissions reported in the NZ ETS and GHG inventory. </w:t>
            </w:r>
            <w:r w:rsidR="00832643" w:rsidRPr="002831A3">
              <w:rPr>
                <w:sz w:val="20"/>
                <w:szCs w:val="20"/>
                <w:lang w:val="en-US"/>
              </w:rPr>
              <w:t xml:space="preserve">No </w:t>
            </w:r>
            <w:r w:rsidR="00500B66" w:rsidRPr="002831A3">
              <w:rPr>
                <w:sz w:val="20"/>
                <w:szCs w:val="20"/>
                <w:lang w:val="en-US"/>
              </w:rPr>
              <w:t xml:space="preserve">technical </w:t>
            </w:r>
            <w:r w:rsidR="00832643" w:rsidRPr="002831A3">
              <w:rPr>
                <w:sz w:val="20"/>
                <w:szCs w:val="20"/>
                <w:lang w:val="en-US"/>
              </w:rPr>
              <w:t xml:space="preserve">adjustment is </w:t>
            </w:r>
            <w:r w:rsidR="0060596B" w:rsidRPr="002831A3">
              <w:rPr>
                <w:sz w:val="20"/>
                <w:szCs w:val="20"/>
                <w:lang w:val="en-US"/>
              </w:rPr>
              <w:t>proposed</w:t>
            </w:r>
            <w:r w:rsidR="00832643" w:rsidRPr="002831A3">
              <w:rPr>
                <w:sz w:val="20"/>
                <w:szCs w:val="20"/>
                <w:lang w:val="en-US"/>
              </w:rPr>
              <w:t xml:space="preserve">. </w:t>
            </w:r>
          </w:p>
        </w:tc>
      </w:tr>
      <w:tr w:rsidR="00667D4C" w:rsidRPr="002831A3" w14:paraId="46648EFC" w14:textId="77777777" w:rsidTr="00856FB3">
        <w:tc>
          <w:tcPr>
            <w:tcW w:w="1413" w:type="dxa"/>
          </w:tcPr>
          <w:p w14:paraId="24CB6571" w14:textId="102295A5" w:rsidR="00667D4C" w:rsidRPr="002831A3" w:rsidRDefault="00667D4C" w:rsidP="00831A62">
            <w:pPr>
              <w:spacing w:after="120" w:line="22" w:lineRule="atLeast"/>
              <w:rPr>
                <w:sz w:val="20"/>
                <w:szCs w:val="20"/>
                <w:lang w:val="en-US"/>
              </w:rPr>
            </w:pPr>
            <w:r w:rsidRPr="002831A3">
              <w:rPr>
                <w:sz w:val="20"/>
                <w:szCs w:val="20"/>
                <w:lang w:val="en-US"/>
              </w:rPr>
              <w:t>IPPU</w:t>
            </w:r>
          </w:p>
        </w:tc>
        <w:tc>
          <w:tcPr>
            <w:tcW w:w="7603" w:type="dxa"/>
          </w:tcPr>
          <w:p w14:paraId="29FF68CF" w14:textId="7A7EA80F" w:rsidR="00667D4C" w:rsidRPr="002831A3" w:rsidRDefault="00667D4C" w:rsidP="00831A62">
            <w:pPr>
              <w:spacing w:after="120" w:line="22" w:lineRule="atLeast"/>
              <w:rPr>
                <w:b/>
                <w:sz w:val="20"/>
                <w:szCs w:val="20"/>
                <w:lang w:val="en-US"/>
              </w:rPr>
            </w:pPr>
            <w:r w:rsidRPr="002831A3">
              <w:rPr>
                <w:sz w:val="20"/>
                <w:szCs w:val="20"/>
                <w:lang w:val="en-US"/>
              </w:rPr>
              <w:t xml:space="preserve">There are no significant discrepancies between emissions reported in the NZ ETS and GHG inventory. </w:t>
            </w:r>
            <w:r w:rsidR="00500B66" w:rsidRPr="002831A3">
              <w:rPr>
                <w:sz w:val="20"/>
                <w:szCs w:val="20"/>
                <w:lang w:val="en-US"/>
              </w:rPr>
              <w:t xml:space="preserve">No technical adjustment is </w:t>
            </w:r>
            <w:r w:rsidR="0060596B" w:rsidRPr="002831A3">
              <w:rPr>
                <w:sz w:val="20"/>
                <w:szCs w:val="20"/>
                <w:lang w:val="en-US"/>
              </w:rPr>
              <w:t>proposed</w:t>
            </w:r>
            <w:r w:rsidR="00500B66" w:rsidRPr="002831A3">
              <w:rPr>
                <w:sz w:val="20"/>
                <w:szCs w:val="20"/>
                <w:lang w:val="en-US"/>
              </w:rPr>
              <w:t>.</w:t>
            </w:r>
          </w:p>
        </w:tc>
      </w:tr>
      <w:tr w:rsidR="00667D4C" w:rsidRPr="002831A3" w14:paraId="5B31BDB5" w14:textId="77777777" w:rsidTr="00856FB3">
        <w:tc>
          <w:tcPr>
            <w:tcW w:w="1413" w:type="dxa"/>
          </w:tcPr>
          <w:p w14:paraId="1ACE45D2" w14:textId="19CEFFC7" w:rsidR="00667D4C" w:rsidRPr="002831A3" w:rsidRDefault="00667D4C" w:rsidP="00831A62">
            <w:pPr>
              <w:spacing w:after="120" w:line="22" w:lineRule="atLeast"/>
              <w:rPr>
                <w:sz w:val="20"/>
                <w:szCs w:val="20"/>
                <w:lang w:val="en-US"/>
              </w:rPr>
            </w:pPr>
            <w:r w:rsidRPr="002831A3">
              <w:rPr>
                <w:sz w:val="20"/>
                <w:szCs w:val="20"/>
                <w:lang w:val="en-US"/>
              </w:rPr>
              <w:t>F-gases</w:t>
            </w:r>
          </w:p>
        </w:tc>
        <w:tc>
          <w:tcPr>
            <w:tcW w:w="7603" w:type="dxa"/>
          </w:tcPr>
          <w:p w14:paraId="3109258D" w14:textId="26876DE3" w:rsidR="00C132F4" w:rsidRPr="002831A3" w:rsidRDefault="00C45906" w:rsidP="00831A62">
            <w:pPr>
              <w:spacing w:after="120" w:line="22" w:lineRule="atLeast"/>
              <w:rPr>
                <w:sz w:val="20"/>
                <w:szCs w:val="20"/>
                <w:lang w:val="en-US"/>
              </w:rPr>
            </w:pPr>
            <w:r w:rsidRPr="002831A3">
              <w:rPr>
                <w:sz w:val="20"/>
                <w:szCs w:val="20"/>
                <w:lang w:val="en-US"/>
              </w:rPr>
              <w:t xml:space="preserve">Assessing </w:t>
            </w:r>
            <w:r w:rsidR="00667D4C" w:rsidRPr="002831A3">
              <w:rPr>
                <w:sz w:val="20"/>
                <w:szCs w:val="20"/>
                <w:lang w:val="en-US"/>
              </w:rPr>
              <w:t>the alignment of F-gases reported in the NZ ETS and the</w:t>
            </w:r>
            <w:r w:rsidR="000D1965" w:rsidRPr="002831A3">
              <w:rPr>
                <w:sz w:val="20"/>
                <w:szCs w:val="20"/>
                <w:lang w:val="en-US"/>
              </w:rPr>
              <w:t xml:space="preserve"> GHG</w:t>
            </w:r>
            <w:r w:rsidR="00667D4C" w:rsidRPr="002831A3">
              <w:rPr>
                <w:sz w:val="20"/>
                <w:szCs w:val="20"/>
                <w:lang w:val="en-US"/>
              </w:rPr>
              <w:t xml:space="preserve"> inventory </w:t>
            </w:r>
            <w:r w:rsidR="00A71385" w:rsidRPr="002831A3">
              <w:rPr>
                <w:sz w:val="20"/>
                <w:szCs w:val="20"/>
                <w:lang w:val="en-US"/>
              </w:rPr>
              <w:t xml:space="preserve">is </w:t>
            </w:r>
            <w:r w:rsidR="00667D4C" w:rsidRPr="002831A3">
              <w:rPr>
                <w:sz w:val="20"/>
                <w:szCs w:val="20"/>
                <w:lang w:val="en-US"/>
              </w:rPr>
              <w:t>challeng</w:t>
            </w:r>
            <w:r w:rsidR="00A71385" w:rsidRPr="002831A3">
              <w:rPr>
                <w:sz w:val="20"/>
                <w:szCs w:val="20"/>
                <w:lang w:val="en-US"/>
              </w:rPr>
              <w:t xml:space="preserve">ing </w:t>
            </w:r>
            <w:r w:rsidR="00667D4C" w:rsidRPr="002831A3">
              <w:rPr>
                <w:sz w:val="20"/>
                <w:szCs w:val="20"/>
                <w:lang w:val="en-US"/>
              </w:rPr>
              <w:t xml:space="preserve">due to different accounting methodologies, and the fact that F-gases are </w:t>
            </w:r>
            <w:r w:rsidR="00796232" w:rsidRPr="002831A3">
              <w:rPr>
                <w:sz w:val="20"/>
                <w:szCs w:val="20"/>
                <w:lang w:val="en-US"/>
              </w:rPr>
              <w:t>price</w:t>
            </w:r>
            <w:r w:rsidR="00015EF7" w:rsidRPr="002831A3">
              <w:rPr>
                <w:sz w:val="20"/>
                <w:szCs w:val="20"/>
                <w:lang w:val="en-US"/>
              </w:rPr>
              <w:t>d</w:t>
            </w:r>
            <w:r w:rsidR="00796232" w:rsidRPr="002831A3">
              <w:rPr>
                <w:sz w:val="20"/>
                <w:szCs w:val="20"/>
                <w:lang w:val="en-US"/>
              </w:rPr>
              <w:t xml:space="preserve"> </w:t>
            </w:r>
            <w:r w:rsidR="008D4C62" w:rsidRPr="002831A3">
              <w:rPr>
                <w:sz w:val="20"/>
                <w:szCs w:val="20"/>
                <w:lang w:val="en-US"/>
              </w:rPr>
              <w:t xml:space="preserve">not only by </w:t>
            </w:r>
            <w:r w:rsidR="00667D4C" w:rsidRPr="002831A3">
              <w:rPr>
                <w:sz w:val="20"/>
                <w:szCs w:val="20"/>
                <w:lang w:val="en-US"/>
              </w:rPr>
              <w:t xml:space="preserve">the NZ ETS </w:t>
            </w:r>
            <w:r w:rsidR="008D4C62" w:rsidRPr="002831A3">
              <w:rPr>
                <w:sz w:val="20"/>
                <w:szCs w:val="20"/>
                <w:lang w:val="en-US"/>
              </w:rPr>
              <w:t xml:space="preserve">but also via </w:t>
            </w:r>
            <w:r w:rsidR="00667D4C" w:rsidRPr="002831A3">
              <w:rPr>
                <w:sz w:val="20"/>
                <w:szCs w:val="20"/>
                <w:lang w:val="en-US"/>
              </w:rPr>
              <w:t xml:space="preserve">the SGG Levy. An estimate of </w:t>
            </w:r>
            <w:r w:rsidR="00015EF7" w:rsidRPr="002831A3">
              <w:rPr>
                <w:sz w:val="20"/>
                <w:szCs w:val="20"/>
                <w:lang w:val="en-US"/>
              </w:rPr>
              <w:t xml:space="preserve">the split of F-gas emissions between these two policies </w:t>
            </w:r>
            <w:r w:rsidR="00667D4C" w:rsidRPr="002831A3">
              <w:rPr>
                <w:sz w:val="20"/>
                <w:szCs w:val="20"/>
                <w:lang w:val="en-US"/>
              </w:rPr>
              <w:t xml:space="preserve">is calculated </w:t>
            </w:r>
            <w:r w:rsidR="006C709C" w:rsidRPr="002831A3">
              <w:rPr>
                <w:sz w:val="20"/>
                <w:szCs w:val="20"/>
                <w:lang w:val="en-US"/>
              </w:rPr>
              <w:t xml:space="preserve">in </w:t>
            </w:r>
            <w:r w:rsidR="00667D4C" w:rsidRPr="002831A3">
              <w:rPr>
                <w:sz w:val="20"/>
                <w:szCs w:val="20"/>
                <w:lang w:val="en-US"/>
              </w:rPr>
              <w:t xml:space="preserve">Step 2. </w:t>
            </w:r>
          </w:p>
          <w:p w14:paraId="76594ED2" w14:textId="2CA10530" w:rsidR="00667D4C" w:rsidRPr="002831A3" w:rsidRDefault="00667D4C" w:rsidP="00831A62">
            <w:pPr>
              <w:spacing w:after="120" w:line="22" w:lineRule="atLeast"/>
              <w:rPr>
                <w:sz w:val="20"/>
                <w:szCs w:val="20"/>
                <w:lang w:val="en-US"/>
              </w:rPr>
            </w:pPr>
            <w:r w:rsidRPr="002831A3">
              <w:rPr>
                <w:sz w:val="20"/>
                <w:szCs w:val="20"/>
                <w:lang w:val="en-US"/>
              </w:rPr>
              <w:t>F-gas emissions reported in the</w:t>
            </w:r>
            <w:r w:rsidR="000D1965" w:rsidRPr="002831A3">
              <w:rPr>
                <w:sz w:val="20"/>
                <w:szCs w:val="20"/>
                <w:lang w:val="en-US"/>
              </w:rPr>
              <w:t xml:space="preserve"> GHG</w:t>
            </w:r>
            <w:r w:rsidRPr="002831A3">
              <w:rPr>
                <w:sz w:val="20"/>
                <w:szCs w:val="20"/>
                <w:lang w:val="en-US"/>
              </w:rPr>
              <w:t xml:space="preserve"> inventory show a relatively consistent path, whereas F-gas</w:t>
            </w:r>
            <w:r w:rsidR="00C8115A" w:rsidRPr="002831A3">
              <w:rPr>
                <w:sz w:val="20"/>
                <w:szCs w:val="20"/>
                <w:lang w:val="en-US"/>
              </w:rPr>
              <w:t xml:space="preserve"> emissions </w:t>
            </w:r>
            <w:r w:rsidRPr="002831A3">
              <w:rPr>
                <w:sz w:val="20"/>
                <w:szCs w:val="20"/>
                <w:lang w:val="en-US"/>
              </w:rPr>
              <w:t xml:space="preserve">in the </w:t>
            </w:r>
            <w:r w:rsidR="00055CAC" w:rsidRPr="002831A3">
              <w:rPr>
                <w:sz w:val="20"/>
                <w:szCs w:val="20"/>
                <w:lang w:val="en-US"/>
              </w:rPr>
              <w:t xml:space="preserve">NZ </w:t>
            </w:r>
            <w:r w:rsidRPr="002831A3">
              <w:rPr>
                <w:sz w:val="20"/>
                <w:szCs w:val="20"/>
                <w:lang w:val="en-US"/>
              </w:rPr>
              <w:t xml:space="preserve">ETS and SGG levy </w:t>
            </w:r>
            <w:r w:rsidR="00C8115A" w:rsidRPr="002831A3">
              <w:rPr>
                <w:sz w:val="20"/>
                <w:szCs w:val="20"/>
                <w:lang w:val="en-US"/>
              </w:rPr>
              <w:t xml:space="preserve">vary </w:t>
            </w:r>
            <w:r w:rsidRPr="002831A3">
              <w:rPr>
                <w:sz w:val="20"/>
                <w:szCs w:val="20"/>
                <w:lang w:val="en-US"/>
              </w:rPr>
              <w:t xml:space="preserve">significantly across years. However, when looking long-term (i.e., over 2014-2022), the total F-gas emissions </w:t>
            </w:r>
            <w:r w:rsidR="00EC7684" w:rsidRPr="002831A3">
              <w:rPr>
                <w:sz w:val="20"/>
                <w:szCs w:val="20"/>
                <w:lang w:val="en-US"/>
              </w:rPr>
              <w:t xml:space="preserve">reported in </w:t>
            </w:r>
            <w:r w:rsidRPr="002831A3">
              <w:rPr>
                <w:sz w:val="20"/>
                <w:szCs w:val="20"/>
                <w:lang w:val="en-US"/>
              </w:rPr>
              <w:t>the</w:t>
            </w:r>
            <w:r w:rsidR="00C375F1" w:rsidRPr="002831A3">
              <w:rPr>
                <w:sz w:val="20"/>
                <w:szCs w:val="20"/>
                <w:lang w:val="en-US"/>
              </w:rPr>
              <w:t xml:space="preserve"> NZ ETS and the</w:t>
            </w:r>
            <w:r w:rsidRPr="002831A3">
              <w:rPr>
                <w:sz w:val="20"/>
                <w:szCs w:val="20"/>
                <w:lang w:val="en-US"/>
              </w:rPr>
              <w:t xml:space="preserve"> inventory are reasonably aligned. </w:t>
            </w:r>
            <w:r w:rsidR="00500B66" w:rsidRPr="002831A3">
              <w:rPr>
                <w:sz w:val="20"/>
                <w:szCs w:val="20"/>
                <w:lang w:val="en-US"/>
              </w:rPr>
              <w:t xml:space="preserve">No technical adjustment is </w:t>
            </w:r>
            <w:r w:rsidR="0060596B" w:rsidRPr="002831A3">
              <w:rPr>
                <w:sz w:val="20"/>
                <w:szCs w:val="20"/>
                <w:lang w:val="en-US"/>
              </w:rPr>
              <w:t>proposed</w:t>
            </w:r>
            <w:r w:rsidR="00500B66" w:rsidRPr="002831A3">
              <w:rPr>
                <w:sz w:val="20"/>
                <w:szCs w:val="20"/>
                <w:lang w:val="en-US"/>
              </w:rPr>
              <w:t>.</w:t>
            </w:r>
          </w:p>
        </w:tc>
      </w:tr>
    </w:tbl>
    <w:p w14:paraId="2A83DF61" w14:textId="77777777" w:rsidR="00856FB3" w:rsidRDefault="00856FB3" w:rsidP="00685536">
      <w:pPr>
        <w:rPr>
          <w:lang w:val="en-US"/>
        </w:rPr>
      </w:pPr>
    </w:p>
    <w:p w14:paraId="1B13A961" w14:textId="10AFEF91" w:rsidR="00F15019" w:rsidRPr="0014498F" w:rsidRDefault="00F15019" w:rsidP="0014498F">
      <w:pPr>
        <w:pStyle w:val="Heading2"/>
        <w:spacing w:before="120" w:after="120"/>
        <w:rPr>
          <w:lang w:val="en-US"/>
        </w:rPr>
      </w:pPr>
      <w:bookmarkStart w:id="30" w:name="_Toc195533420"/>
      <w:r w:rsidRPr="0014498F">
        <w:rPr>
          <w:lang w:val="en-US"/>
        </w:rPr>
        <w:t>Step 4: Industrial free allocation forecast</w:t>
      </w:r>
      <w:r w:rsidR="000B4E42" w:rsidRPr="0014498F">
        <w:rPr>
          <w:lang w:val="en-US"/>
        </w:rPr>
        <w:t>s</w:t>
      </w:r>
      <w:bookmarkEnd w:id="30"/>
    </w:p>
    <w:p w14:paraId="2A5A5B82" w14:textId="121EAA61" w:rsidR="00AA5DAE" w:rsidRPr="00D76C97" w:rsidRDefault="00727B8D"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Step </w:t>
      </w:r>
      <w:r w:rsidR="007B71CF" w:rsidRPr="00D76C97">
        <w:rPr>
          <w:rFonts w:ascii="Calibri-Light" w:eastAsia="Calibri-Light" w:hAnsi="Calibri-Light" w:cs="Yu Mincho"/>
          <w:szCs w:val="24"/>
        </w:rPr>
        <w:t xml:space="preserve">4 </w:t>
      </w:r>
      <w:r w:rsidR="00686D59" w:rsidRPr="00D76C97">
        <w:rPr>
          <w:rFonts w:ascii="Calibri-Light" w:eastAsia="Calibri-Light" w:hAnsi="Calibri-Light" w:cs="Yu Mincho"/>
          <w:szCs w:val="24"/>
        </w:rPr>
        <w:t xml:space="preserve">involves </w:t>
      </w:r>
      <w:r w:rsidR="00AD30D6" w:rsidRPr="00D76C97">
        <w:rPr>
          <w:rFonts w:ascii="Calibri-Light" w:eastAsia="Calibri-Light" w:hAnsi="Calibri-Light" w:cs="Yu Mincho"/>
          <w:szCs w:val="24"/>
        </w:rPr>
        <w:t>forecast</w:t>
      </w:r>
      <w:r w:rsidR="00686D59" w:rsidRPr="00D76C97">
        <w:rPr>
          <w:rFonts w:ascii="Calibri-Light" w:eastAsia="Calibri-Light" w:hAnsi="Calibri-Light" w:cs="Yu Mincho"/>
          <w:szCs w:val="24"/>
        </w:rPr>
        <w:t>ing</w:t>
      </w:r>
      <w:r w:rsidR="00681827" w:rsidRPr="00D76C97">
        <w:rPr>
          <w:rFonts w:ascii="Calibri-Light" w:eastAsia="Calibri-Light" w:hAnsi="Calibri-Light" w:cs="Yu Mincho"/>
          <w:szCs w:val="24"/>
        </w:rPr>
        <w:t xml:space="preserve"> industrial free allocation volumes</w:t>
      </w:r>
      <w:r w:rsidR="00584FD3" w:rsidRPr="00D76C97">
        <w:rPr>
          <w:rFonts w:ascii="Calibri-Light" w:eastAsia="Calibri-Light" w:hAnsi="Calibri-Light" w:cs="Yu Mincho"/>
          <w:szCs w:val="24"/>
        </w:rPr>
        <w:t xml:space="preserve"> </w:t>
      </w:r>
      <w:r w:rsidR="00DE461E" w:rsidRPr="00D76C97">
        <w:rPr>
          <w:rFonts w:ascii="Calibri-Light" w:eastAsia="Calibri-Light" w:hAnsi="Calibri-Light" w:cs="Yu Mincho"/>
          <w:szCs w:val="24"/>
        </w:rPr>
        <w:t xml:space="preserve">provided by </w:t>
      </w:r>
      <w:r w:rsidR="00686D59" w:rsidRPr="00D76C97">
        <w:rPr>
          <w:rFonts w:ascii="Calibri-Light" w:eastAsia="Calibri-Light" w:hAnsi="Calibri-Light" w:cs="Yu Mincho"/>
          <w:szCs w:val="24"/>
        </w:rPr>
        <w:t xml:space="preserve">the </w:t>
      </w:r>
      <w:r w:rsidR="003C273E" w:rsidRPr="00D76C97">
        <w:rPr>
          <w:rFonts w:ascii="Calibri-Light" w:eastAsia="Calibri-Light" w:hAnsi="Calibri-Light" w:cs="Yu Mincho"/>
          <w:szCs w:val="24"/>
        </w:rPr>
        <w:t>G</w:t>
      </w:r>
      <w:r w:rsidR="00DE461E" w:rsidRPr="00D76C97">
        <w:rPr>
          <w:rFonts w:ascii="Calibri-Light" w:eastAsia="Calibri-Light" w:hAnsi="Calibri-Light" w:cs="Yu Mincho"/>
          <w:szCs w:val="24"/>
        </w:rPr>
        <w:t>overnment to</w:t>
      </w:r>
      <w:r w:rsidR="00DE461E" w:rsidRPr="00D76C97" w:rsidDel="00686D59">
        <w:rPr>
          <w:rFonts w:ascii="Calibri-Light" w:eastAsia="Calibri-Light" w:hAnsi="Calibri-Light" w:cs="Yu Mincho"/>
          <w:szCs w:val="24"/>
        </w:rPr>
        <w:t xml:space="preserve"> </w:t>
      </w:r>
      <w:r w:rsidR="00686D59" w:rsidRPr="00D76C97">
        <w:rPr>
          <w:rFonts w:ascii="Calibri-Light" w:eastAsia="Calibri-Light" w:hAnsi="Calibri-Light" w:cs="Yu Mincho"/>
          <w:szCs w:val="24"/>
        </w:rPr>
        <w:t xml:space="preserve">firms </w:t>
      </w:r>
      <w:r w:rsidR="00584C72" w:rsidRPr="00D76C97">
        <w:rPr>
          <w:rFonts w:ascii="Calibri-Light" w:eastAsia="Calibri-Light" w:hAnsi="Calibri-Light" w:cs="Yu Mincho"/>
          <w:szCs w:val="24"/>
        </w:rPr>
        <w:t xml:space="preserve">considered emissions-intensive and trade-exposed (EITE). Industrial free allocation </w:t>
      </w:r>
      <w:r w:rsidR="00062206" w:rsidRPr="00D76C97">
        <w:rPr>
          <w:rFonts w:ascii="Calibri-Light" w:eastAsia="Calibri-Light" w:hAnsi="Calibri-Light" w:cs="Yu Mincho"/>
          <w:szCs w:val="24"/>
        </w:rPr>
        <w:t xml:space="preserve">uses up a portion of the </w:t>
      </w:r>
      <w:r w:rsidR="00DA2844" w:rsidRPr="00D76C97">
        <w:rPr>
          <w:rFonts w:ascii="Calibri-Light" w:eastAsia="Calibri-Light" w:hAnsi="Calibri-Light" w:cs="Yu Mincho"/>
          <w:szCs w:val="24"/>
        </w:rPr>
        <w:t>units that would otherwise be available</w:t>
      </w:r>
      <w:r w:rsidR="000B5081" w:rsidRPr="00D76C97">
        <w:rPr>
          <w:rFonts w:ascii="Calibri-Light" w:eastAsia="Calibri-Light" w:hAnsi="Calibri-Light" w:cs="Yu Mincho"/>
          <w:szCs w:val="24"/>
        </w:rPr>
        <w:t xml:space="preserve"> </w:t>
      </w:r>
      <w:r w:rsidR="00DA2844" w:rsidRPr="00D76C97">
        <w:rPr>
          <w:rFonts w:ascii="Calibri-Light" w:eastAsia="Calibri-Light" w:hAnsi="Calibri-Light" w:cs="Yu Mincho"/>
          <w:szCs w:val="24"/>
        </w:rPr>
        <w:t>with</w:t>
      </w:r>
      <w:r w:rsidR="00DA2844" w:rsidRPr="00D76C97" w:rsidDel="00636D36">
        <w:rPr>
          <w:rFonts w:ascii="Calibri-Light" w:eastAsia="Calibri-Light" w:hAnsi="Calibri-Light" w:cs="Yu Mincho"/>
          <w:szCs w:val="24"/>
        </w:rPr>
        <w:t>in the</w:t>
      </w:r>
      <w:r w:rsidR="00DA2844" w:rsidRPr="00D76C97">
        <w:rPr>
          <w:rFonts w:ascii="Calibri-Light" w:eastAsia="Calibri-Light" w:hAnsi="Calibri-Light" w:cs="Yu Mincho"/>
          <w:szCs w:val="24"/>
        </w:rPr>
        <w:t xml:space="preserve"> NZ ETS </w:t>
      </w:r>
      <w:r w:rsidR="00636D36" w:rsidRPr="00D76C97">
        <w:rPr>
          <w:rFonts w:ascii="Calibri-Light" w:eastAsia="Calibri-Light" w:hAnsi="Calibri-Light" w:cs="Yu Mincho"/>
          <w:szCs w:val="24"/>
        </w:rPr>
        <w:t xml:space="preserve">emission </w:t>
      </w:r>
      <w:r w:rsidR="00DA2844" w:rsidRPr="00D76C97">
        <w:rPr>
          <w:rFonts w:ascii="Calibri-Light" w:eastAsia="Calibri-Light" w:hAnsi="Calibri-Light" w:cs="Yu Mincho"/>
          <w:szCs w:val="24"/>
        </w:rPr>
        <w:t>cap</w:t>
      </w:r>
      <w:r w:rsidR="00A67CD5" w:rsidRPr="00D76C97">
        <w:rPr>
          <w:rFonts w:ascii="Calibri-Light" w:eastAsia="Calibri-Light" w:hAnsi="Calibri-Light" w:cs="Yu Mincho"/>
          <w:szCs w:val="24"/>
        </w:rPr>
        <w:t>. It</w:t>
      </w:r>
      <w:r w:rsidR="00DA2844" w:rsidRPr="00D76C97" w:rsidDel="00A67CD5">
        <w:rPr>
          <w:rFonts w:ascii="Calibri-Light" w:eastAsia="Calibri-Light" w:hAnsi="Calibri-Light" w:cs="Yu Mincho"/>
          <w:szCs w:val="24"/>
        </w:rPr>
        <w:t xml:space="preserve"> </w:t>
      </w:r>
      <w:r w:rsidR="00DA2844" w:rsidRPr="00D76C97">
        <w:rPr>
          <w:rFonts w:ascii="Calibri-Light" w:eastAsia="Calibri-Light" w:hAnsi="Calibri-Light" w:cs="Yu Mincho"/>
          <w:szCs w:val="24"/>
        </w:rPr>
        <w:t xml:space="preserve">must therefore be </w:t>
      </w:r>
      <w:r w:rsidR="00A67CD5" w:rsidRPr="00D76C97">
        <w:rPr>
          <w:rFonts w:ascii="Calibri-Light" w:eastAsia="Calibri-Light" w:hAnsi="Calibri-Light" w:cs="Yu Mincho"/>
          <w:szCs w:val="24"/>
        </w:rPr>
        <w:t xml:space="preserve">subtracted from the cap </w:t>
      </w:r>
      <w:r w:rsidR="00461386" w:rsidRPr="00D76C97">
        <w:rPr>
          <w:rFonts w:ascii="Calibri-Light" w:eastAsia="Calibri-Light" w:hAnsi="Calibri-Light" w:cs="Yu Mincho"/>
          <w:szCs w:val="24"/>
        </w:rPr>
        <w:t xml:space="preserve">when determining </w:t>
      </w:r>
      <w:r w:rsidR="00A54BFA" w:rsidRPr="00D76C97">
        <w:rPr>
          <w:rFonts w:ascii="Calibri-Light" w:eastAsia="Calibri-Light" w:hAnsi="Calibri-Light" w:cs="Yu Mincho"/>
          <w:szCs w:val="24"/>
        </w:rPr>
        <w:t xml:space="preserve">auction volumes. </w:t>
      </w:r>
    </w:p>
    <w:p w14:paraId="323431DD" w14:textId="3D7B0263" w:rsidR="00584C72" w:rsidRPr="00D76C97" w:rsidRDefault="00A93FEE"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Our forecast of industrial allocation volumes has reduced </w:t>
      </w:r>
      <w:r w:rsidR="00572879" w:rsidRPr="00D76C97">
        <w:rPr>
          <w:rFonts w:ascii="Calibri-Light" w:eastAsia="Calibri-Light" w:hAnsi="Calibri-Light" w:cs="Yu Mincho"/>
          <w:szCs w:val="24"/>
        </w:rPr>
        <w:t>compared to last year</w:t>
      </w:r>
      <w:r w:rsidR="00F44B03" w:rsidRPr="00D76C97">
        <w:rPr>
          <w:rFonts w:ascii="Calibri-Light" w:eastAsia="Calibri-Light" w:hAnsi="Calibri-Light" w:cs="Yu Mincho"/>
          <w:szCs w:val="24"/>
        </w:rPr>
        <w:t>,</w:t>
      </w:r>
      <w:r w:rsidR="00B22B0A" w:rsidRPr="00D76C97">
        <w:rPr>
          <w:rFonts w:ascii="Calibri-Light" w:eastAsia="Calibri-Light" w:hAnsi="Calibri-Light" w:cs="Yu Mincho"/>
          <w:szCs w:val="24"/>
        </w:rPr>
        <w:t xml:space="preserve"> from approximately 27.6 million units over 2026-2030</w:t>
      </w:r>
      <w:r w:rsidR="009F6CE6" w:rsidRPr="00D76C97">
        <w:rPr>
          <w:rFonts w:ascii="Calibri-Light" w:eastAsia="Calibri-Light" w:hAnsi="Calibri-Light" w:cs="Yu Mincho"/>
          <w:szCs w:val="24"/>
        </w:rPr>
        <w:t>,</w:t>
      </w:r>
      <w:r w:rsidR="00B22B0A" w:rsidRPr="00D76C97">
        <w:rPr>
          <w:rFonts w:ascii="Calibri-Light" w:eastAsia="Calibri-Light" w:hAnsi="Calibri-Light" w:cs="Yu Mincho"/>
          <w:szCs w:val="24"/>
        </w:rPr>
        <w:t xml:space="preserve"> to </w:t>
      </w:r>
      <w:r w:rsidR="00821B47" w:rsidRPr="00D76C97">
        <w:rPr>
          <w:rFonts w:ascii="Calibri-Light" w:eastAsia="Calibri-Light" w:hAnsi="Calibri-Light" w:cs="Yu Mincho"/>
          <w:szCs w:val="24"/>
        </w:rPr>
        <w:t xml:space="preserve">23.2 million. </w:t>
      </w:r>
      <w:r w:rsidR="00AA5DAE" w:rsidRPr="00D76C97">
        <w:rPr>
          <w:rFonts w:ascii="Calibri-Light" w:eastAsia="Calibri-Light" w:hAnsi="Calibri-Light" w:cs="Yu Mincho"/>
          <w:szCs w:val="24"/>
        </w:rPr>
        <w:t xml:space="preserve">This </w:t>
      </w:r>
      <w:r w:rsidR="00FA4728" w:rsidRPr="00D76C97">
        <w:rPr>
          <w:rFonts w:ascii="Calibri-Light" w:eastAsia="Calibri-Light" w:hAnsi="Calibri-Light" w:cs="Yu Mincho"/>
          <w:szCs w:val="24"/>
        </w:rPr>
        <w:t xml:space="preserve">is </w:t>
      </w:r>
      <w:r w:rsidR="00731259" w:rsidRPr="00D76C97">
        <w:rPr>
          <w:rFonts w:ascii="Calibri-Light" w:eastAsia="Calibri-Light" w:hAnsi="Calibri-Light" w:cs="Yu Mincho"/>
          <w:szCs w:val="24"/>
        </w:rPr>
        <w:t>due to a combination of</w:t>
      </w:r>
      <w:r w:rsidR="00FA4728" w:rsidRPr="00D76C97">
        <w:rPr>
          <w:rFonts w:ascii="Calibri-Light" w:eastAsia="Calibri-Light" w:hAnsi="Calibri-Light" w:cs="Yu Mincho"/>
          <w:szCs w:val="24"/>
        </w:rPr>
        <w:t>:</w:t>
      </w:r>
    </w:p>
    <w:p w14:paraId="100F07E9" w14:textId="4C554C70" w:rsidR="004B3B5D" w:rsidRDefault="00675AB2" w:rsidP="00FA4728">
      <w:pPr>
        <w:pStyle w:val="ListParagraph"/>
        <w:numPr>
          <w:ilvl w:val="0"/>
          <w:numId w:val="48"/>
        </w:numPr>
      </w:pPr>
      <w:r>
        <w:t>an update to allocative baselines for industrial allocation</w:t>
      </w:r>
    </w:p>
    <w:p w14:paraId="6FC4295A" w14:textId="5E7CB662" w:rsidR="00FA4728" w:rsidRDefault="004B3B5D" w:rsidP="00831A62">
      <w:pPr>
        <w:pStyle w:val="ListParagraph"/>
        <w:numPr>
          <w:ilvl w:val="0"/>
          <w:numId w:val="48"/>
        </w:numPr>
      </w:pPr>
      <w:r>
        <w:t>reductions in forecast production</w:t>
      </w:r>
      <w:r w:rsidR="00612BE5">
        <w:t xml:space="preserve"> and plant closure</w:t>
      </w:r>
      <w:r w:rsidR="00D05A9D">
        <w:t>s</w:t>
      </w:r>
      <w:r w:rsidR="00E37F42">
        <w:t>.</w:t>
      </w:r>
      <w:r w:rsidR="00675AB2">
        <w:t xml:space="preserve"> </w:t>
      </w:r>
    </w:p>
    <w:p w14:paraId="72CFA2FC" w14:textId="33175DD1" w:rsidR="003669DC" w:rsidRDefault="00136164" w:rsidP="002E400D">
      <w:r>
        <w:t>T</w:t>
      </w:r>
      <w:r w:rsidR="002411B4">
        <w:t xml:space="preserve">he method for </w:t>
      </w:r>
      <w:r w:rsidR="003669DC">
        <w:t>f</w:t>
      </w:r>
      <w:r w:rsidR="002411B4">
        <w:t xml:space="preserve">orecasting industrial free allocation has remained </w:t>
      </w:r>
      <w:r w:rsidR="003669DC">
        <w:t xml:space="preserve">largely the same </w:t>
      </w:r>
      <w:r w:rsidR="000B0E7F">
        <w:t xml:space="preserve">as </w:t>
      </w:r>
      <w:r w:rsidR="003669DC">
        <w:t xml:space="preserve">in our previous advice and follows three </w:t>
      </w:r>
      <w:r w:rsidR="00613C00">
        <w:t xml:space="preserve">general </w:t>
      </w:r>
      <w:r w:rsidR="003669DC">
        <w:t xml:space="preserve">steps: </w:t>
      </w:r>
    </w:p>
    <w:p w14:paraId="621CB62B" w14:textId="110BCFA5" w:rsidR="000E6E51" w:rsidRDefault="003669DC" w:rsidP="000E6E51">
      <w:pPr>
        <w:pStyle w:val="ListParagraph"/>
        <w:numPr>
          <w:ilvl w:val="0"/>
          <w:numId w:val="12"/>
        </w:numPr>
      </w:pPr>
      <w:r>
        <w:t xml:space="preserve">Update </w:t>
      </w:r>
      <w:r w:rsidR="009E4AB3">
        <w:t xml:space="preserve">for </w:t>
      </w:r>
      <w:r>
        <w:t>the most recent allocation data</w:t>
      </w:r>
      <w:r w:rsidR="009E4AB3">
        <w:t>,</w:t>
      </w:r>
      <w:r w:rsidR="000E6E51">
        <w:t xml:space="preserve"> broken down by activity</w:t>
      </w:r>
      <w:r w:rsidR="009E4AB3">
        <w:t>,</w:t>
      </w:r>
      <w:r w:rsidR="000E6E51">
        <w:t xml:space="preserve"> a</w:t>
      </w:r>
      <w:r w:rsidR="0037544D">
        <w:t>nd apply estimate</w:t>
      </w:r>
      <w:r w:rsidR="0035551E">
        <w:t>d</w:t>
      </w:r>
      <w:r w:rsidR="0037544D">
        <w:t xml:space="preserve"> growth of production volumes</w:t>
      </w:r>
      <w:r w:rsidR="00FF00DE">
        <w:t>.</w:t>
      </w:r>
    </w:p>
    <w:p w14:paraId="7172A3D3" w14:textId="3DBB012D" w:rsidR="0037544D" w:rsidRDefault="0037544D" w:rsidP="000E6E51">
      <w:pPr>
        <w:pStyle w:val="ListParagraph"/>
        <w:numPr>
          <w:ilvl w:val="0"/>
          <w:numId w:val="12"/>
        </w:numPr>
      </w:pPr>
      <w:r>
        <w:t xml:space="preserve">Calculate the impact of the industrial free allocation phase-down rate </w:t>
      </w:r>
      <w:r w:rsidR="00FF00DE" w:rsidRPr="00FF00DE">
        <w:t>(1 percentage point reduction per annum 2021–2030, 2 percentage point reduction per annum 2031–2040)</w:t>
      </w:r>
      <w:r w:rsidR="00FF00DE">
        <w:t>.</w:t>
      </w:r>
    </w:p>
    <w:p w14:paraId="1B477218" w14:textId="6B73F1AB" w:rsidR="00B95194" w:rsidRDefault="00B95194" w:rsidP="000E6E51">
      <w:pPr>
        <w:pStyle w:val="ListParagraph"/>
        <w:numPr>
          <w:ilvl w:val="0"/>
          <w:numId w:val="12"/>
        </w:numPr>
      </w:pPr>
      <w:r>
        <w:t>Apply any new information regarding significant changes that may affect</w:t>
      </w:r>
      <w:r w:rsidR="007F4E50">
        <w:t xml:space="preserve"> allocations for eligible activities, such as plant closures or changes to less intensive production method</w:t>
      </w:r>
      <w:r w:rsidR="0025208D">
        <w:t>s</w:t>
      </w:r>
      <w:r w:rsidR="00D2575B">
        <w:t xml:space="preserve">. </w:t>
      </w:r>
    </w:p>
    <w:p w14:paraId="2A9A7C05" w14:textId="090BD02D" w:rsidR="00A26173" w:rsidRDefault="00382FB9" w:rsidP="002E400D">
      <w:r>
        <w:t>F</w:t>
      </w:r>
      <w:r w:rsidR="00A26173">
        <w:t xml:space="preserve">or this </w:t>
      </w:r>
      <w:r w:rsidR="0004066D">
        <w:t xml:space="preserve">year’s </w:t>
      </w:r>
      <w:r w:rsidR="00A26173">
        <w:t>advice</w:t>
      </w:r>
      <w:r w:rsidR="007902A0">
        <w:t xml:space="preserve">, </w:t>
      </w:r>
      <w:r w:rsidR="00A26173">
        <w:t xml:space="preserve">we </w:t>
      </w:r>
      <w:r w:rsidR="009C170E">
        <w:t>ha</w:t>
      </w:r>
      <w:r w:rsidR="007902A0">
        <w:t>ve</w:t>
      </w:r>
      <w:r w:rsidR="009C170E">
        <w:t xml:space="preserve"> </w:t>
      </w:r>
      <w:r w:rsidR="007902A0">
        <w:t xml:space="preserve">also </w:t>
      </w:r>
      <w:r w:rsidR="003666E6">
        <w:t>appl</w:t>
      </w:r>
      <w:r>
        <w:t>ied</w:t>
      </w:r>
      <w:r w:rsidR="003666E6">
        <w:t xml:space="preserve"> an additional preliminary </w:t>
      </w:r>
      <w:r w:rsidR="009C170E">
        <w:t xml:space="preserve">step to </w:t>
      </w:r>
      <w:r w:rsidR="00CD0D3D">
        <w:t>account for the</w:t>
      </w:r>
      <w:r w:rsidR="007902A0">
        <w:t xml:space="preserve"> recent update to </w:t>
      </w:r>
      <w:r w:rsidR="00D81A79">
        <w:t>activit</w:t>
      </w:r>
      <w:r w:rsidR="00574A79">
        <w:t xml:space="preserve">ies’ </w:t>
      </w:r>
      <w:r w:rsidR="009C170E">
        <w:t xml:space="preserve">allocative baselines. </w:t>
      </w:r>
    </w:p>
    <w:p w14:paraId="4E42D249" w14:textId="77777777" w:rsidR="007D48D2" w:rsidRPr="00E37CF3" w:rsidRDefault="007D48D2" w:rsidP="008438C2">
      <w:pPr>
        <w:pStyle w:val="Heading3"/>
        <w:spacing w:before="120" w:after="120"/>
        <w:rPr>
          <w:lang w:val="en-US"/>
        </w:rPr>
      </w:pPr>
      <w:bookmarkStart w:id="31" w:name="_Toc195533421"/>
      <w:r w:rsidRPr="00E37CF3">
        <w:rPr>
          <w:lang w:val="en-US"/>
        </w:rPr>
        <w:t>Updated allocative baselines</w:t>
      </w:r>
      <w:bookmarkEnd w:id="31"/>
    </w:p>
    <w:p w14:paraId="5832EDF0" w14:textId="56D5ED74" w:rsidR="0097408E" w:rsidRPr="00D76C97" w:rsidRDefault="0097408E"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In October 2024</w:t>
      </w:r>
      <w:r w:rsidR="008057C3" w:rsidRPr="00D76C97">
        <w:rPr>
          <w:rFonts w:ascii="Calibri-Light" w:eastAsia="Calibri-Light" w:hAnsi="Calibri-Light" w:cs="Yu Mincho"/>
          <w:szCs w:val="24"/>
        </w:rPr>
        <w:t>,</w:t>
      </w:r>
      <w:r w:rsidRPr="00D76C97">
        <w:rPr>
          <w:rFonts w:ascii="Calibri-Light" w:eastAsia="Calibri-Light" w:hAnsi="Calibri-Light" w:cs="Yu Mincho"/>
          <w:szCs w:val="24"/>
        </w:rPr>
        <w:t xml:space="preserve"> </w:t>
      </w:r>
      <w:r w:rsidR="00603D20" w:rsidRPr="00D76C97">
        <w:rPr>
          <w:rFonts w:ascii="Calibri-Light" w:eastAsia="Calibri-Light" w:hAnsi="Calibri-Light" w:cs="Yu Mincho"/>
          <w:szCs w:val="24"/>
        </w:rPr>
        <w:t>the Ministry for the Environment</w:t>
      </w:r>
      <w:r w:rsidRPr="00D76C97">
        <w:rPr>
          <w:rFonts w:ascii="Calibri-Light" w:eastAsia="Calibri-Light" w:hAnsi="Calibri-Light" w:cs="Yu Mincho"/>
          <w:szCs w:val="24"/>
        </w:rPr>
        <w:t xml:space="preserve"> announced the results of a review </w:t>
      </w:r>
      <w:r w:rsidR="00603D20" w:rsidRPr="00D76C97">
        <w:rPr>
          <w:rFonts w:ascii="Calibri-Light" w:eastAsia="Calibri-Light" w:hAnsi="Calibri-Light" w:cs="Yu Mincho"/>
          <w:szCs w:val="24"/>
        </w:rPr>
        <w:t>in</w:t>
      </w:r>
      <w:r w:rsidRPr="00D76C97">
        <w:rPr>
          <w:rFonts w:ascii="Calibri-Light" w:eastAsia="Calibri-Light" w:hAnsi="Calibri-Light" w:cs="Yu Mincho"/>
          <w:szCs w:val="24"/>
        </w:rPr>
        <w:t>to the allocative baselines used to calculate industrial allocation entitlements. Allocative baselines represent the emissions associated with production volumes of various product categories.</w:t>
      </w:r>
      <w:r w:rsidR="0007605C" w:rsidRPr="00D76C97">
        <w:rPr>
          <w:rFonts w:ascii="Calibri-Light" w:eastAsia="Calibri-Light" w:hAnsi="Calibri-Light" w:cs="Yu Mincho"/>
          <w:szCs w:val="24"/>
          <w:vertAlign w:val="superscript"/>
        </w:rPr>
        <w:endnoteReference w:id="5"/>
      </w:r>
      <w:r w:rsidR="0007605C" w:rsidRPr="00D76C97">
        <w:rPr>
          <w:rFonts w:ascii="Calibri-Light" w:eastAsia="Calibri-Light" w:hAnsi="Calibri-Light" w:cs="Yu Mincho"/>
          <w:szCs w:val="24"/>
          <w:vertAlign w:val="superscript"/>
        </w:rPr>
        <w:t xml:space="preserve"> </w:t>
      </w:r>
      <w:r w:rsidRPr="00D76C97">
        <w:rPr>
          <w:rFonts w:ascii="Calibri-Light" w:eastAsia="Calibri-Light" w:hAnsi="Calibri-Light" w:cs="Yu Mincho"/>
          <w:szCs w:val="24"/>
        </w:rPr>
        <w:t xml:space="preserve"> </w:t>
      </w:r>
      <w:r w:rsidR="007D48D2" w:rsidRPr="00D76C97">
        <w:rPr>
          <w:rFonts w:ascii="Calibri-Light" w:eastAsia="Calibri-Light" w:hAnsi="Calibri-Light" w:cs="Yu Mincho"/>
          <w:szCs w:val="24"/>
        </w:rPr>
        <w:t xml:space="preserve">This was the first time they have been updated </w:t>
      </w:r>
      <w:r w:rsidR="00F0718C" w:rsidRPr="00D76C97">
        <w:rPr>
          <w:rFonts w:ascii="Calibri-Light" w:eastAsia="Calibri-Light" w:hAnsi="Calibri-Light" w:cs="Yu Mincho"/>
          <w:szCs w:val="24"/>
        </w:rPr>
        <w:t xml:space="preserve">since they were established over </w:t>
      </w:r>
      <w:r w:rsidR="007D48D2" w:rsidRPr="00D76C97">
        <w:rPr>
          <w:rFonts w:ascii="Calibri-Light" w:eastAsia="Calibri-Light" w:hAnsi="Calibri-Light" w:cs="Yu Mincho"/>
          <w:szCs w:val="24"/>
        </w:rPr>
        <w:t>ten years</w:t>
      </w:r>
      <w:r w:rsidR="00F0718C" w:rsidRPr="00D76C97">
        <w:rPr>
          <w:rFonts w:ascii="Calibri-Light" w:eastAsia="Calibri-Light" w:hAnsi="Calibri-Light" w:cs="Yu Mincho"/>
          <w:szCs w:val="24"/>
        </w:rPr>
        <w:t xml:space="preserve"> ago</w:t>
      </w:r>
      <w:r w:rsidR="007D48D2" w:rsidRPr="00D76C97">
        <w:rPr>
          <w:rFonts w:ascii="Calibri-Light" w:eastAsia="Calibri-Light" w:hAnsi="Calibri-Light" w:cs="Yu Mincho"/>
          <w:szCs w:val="24"/>
        </w:rPr>
        <w:t xml:space="preserve">. </w:t>
      </w:r>
      <w:r w:rsidR="00427580" w:rsidRPr="00D76C97">
        <w:rPr>
          <w:rFonts w:ascii="Calibri-Light" w:eastAsia="Calibri-Light" w:hAnsi="Calibri-Light" w:cs="Yu Mincho"/>
          <w:szCs w:val="24"/>
        </w:rPr>
        <w:t xml:space="preserve">The majority of allocative </w:t>
      </w:r>
      <w:r w:rsidR="002D734F" w:rsidRPr="00D76C97">
        <w:rPr>
          <w:rFonts w:ascii="Calibri-Light" w:eastAsia="Calibri-Light" w:hAnsi="Calibri-Light" w:cs="Yu Mincho"/>
          <w:szCs w:val="24"/>
        </w:rPr>
        <w:t>baselines decreased</w:t>
      </w:r>
      <w:r w:rsidR="00CB2C3D" w:rsidRPr="00D76C97">
        <w:rPr>
          <w:rFonts w:ascii="Calibri-Light" w:eastAsia="Calibri-Light" w:hAnsi="Calibri-Light" w:cs="Yu Mincho"/>
          <w:szCs w:val="24"/>
        </w:rPr>
        <w:t xml:space="preserve">. </w:t>
      </w:r>
      <w:r w:rsidR="00C53ADE" w:rsidRPr="00D76C97">
        <w:rPr>
          <w:rFonts w:ascii="Calibri-Light" w:eastAsia="Calibri-Light" w:hAnsi="Calibri-Light" w:cs="Yu Mincho"/>
          <w:szCs w:val="24"/>
        </w:rPr>
        <w:t xml:space="preserve"> </w:t>
      </w:r>
    </w:p>
    <w:p w14:paraId="7FB75F8C" w14:textId="06E934B5" w:rsidR="00A661CD" w:rsidRPr="00D76C97" w:rsidRDefault="002B1CD1"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Total </w:t>
      </w:r>
      <w:r w:rsidR="00713A4F" w:rsidRPr="00D76C97">
        <w:rPr>
          <w:rFonts w:ascii="Calibri-Light" w:eastAsia="Calibri-Light" w:hAnsi="Calibri-Light" w:cs="Yu Mincho"/>
          <w:szCs w:val="24"/>
        </w:rPr>
        <w:t xml:space="preserve">industrial </w:t>
      </w:r>
      <w:r w:rsidRPr="00D76C97">
        <w:rPr>
          <w:rFonts w:ascii="Calibri-Light" w:eastAsia="Calibri-Light" w:hAnsi="Calibri-Light" w:cs="Yu Mincho"/>
          <w:szCs w:val="24"/>
        </w:rPr>
        <w:t xml:space="preserve">allocation volumes </w:t>
      </w:r>
      <w:r w:rsidR="006344AE" w:rsidRPr="00D76C97">
        <w:rPr>
          <w:rFonts w:ascii="Calibri-Light" w:eastAsia="Calibri-Light" w:hAnsi="Calibri-Light" w:cs="Yu Mincho"/>
          <w:szCs w:val="24"/>
        </w:rPr>
        <w:t xml:space="preserve">by entity </w:t>
      </w:r>
      <w:r w:rsidR="004A3591" w:rsidRPr="00D76C97">
        <w:rPr>
          <w:rFonts w:ascii="Calibri-Light" w:eastAsia="Calibri-Light" w:hAnsi="Calibri-Light" w:cs="Yu Mincho"/>
          <w:szCs w:val="24"/>
        </w:rPr>
        <w:t xml:space="preserve">and </w:t>
      </w:r>
      <w:r w:rsidR="00A53E93" w:rsidRPr="00D76C97">
        <w:rPr>
          <w:rFonts w:ascii="Calibri-Light" w:eastAsia="Calibri-Light" w:hAnsi="Calibri-Light" w:cs="Yu Mincho"/>
          <w:szCs w:val="24"/>
        </w:rPr>
        <w:t xml:space="preserve">activity </w:t>
      </w:r>
      <w:r w:rsidRPr="00D76C97">
        <w:rPr>
          <w:rFonts w:ascii="Calibri-Light" w:eastAsia="Calibri-Light" w:hAnsi="Calibri-Light" w:cs="Yu Mincho"/>
          <w:szCs w:val="24"/>
        </w:rPr>
        <w:t>are publicly available</w:t>
      </w:r>
      <w:r w:rsidR="00713A4F" w:rsidRPr="00D76C97">
        <w:rPr>
          <w:rFonts w:ascii="Calibri-Light" w:eastAsia="Calibri-Light" w:hAnsi="Calibri-Light" w:cs="Yu Mincho"/>
          <w:szCs w:val="24"/>
        </w:rPr>
        <w:t xml:space="preserve"> </w:t>
      </w:r>
      <w:r w:rsidR="00F97144" w:rsidRPr="00D76C97">
        <w:rPr>
          <w:rFonts w:ascii="Calibri-Light" w:eastAsia="Calibri-Light" w:hAnsi="Calibri-Light" w:cs="Yu Mincho"/>
          <w:szCs w:val="24"/>
        </w:rPr>
        <w:t xml:space="preserve">from the </w:t>
      </w:r>
      <w:r w:rsidR="00FE79A5" w:rsidRPr="00D76C97">
        <w:rPr>
          <w:rFonts w:ascii="Calibri-Light" w:eastAsia="Calibri-Light" w:hAnsi="Calibri-Light" w:cs="Yu Mincho"/>
          <w:szCs w:val="24"/>
        </w:rPr>
        <w:t>Environmental Protection Authority</w:t>
      </w:r>
      <w:r w:rsidR="00D24501" w:rsidRPr="00D76C97">
        <w:rPr>
          <w:rFonts w:ascii="Calibri-Light" w:eastAsia="Calibri-Light" w:hAnsi="Calibri-Light" w:cs="Yu Mincho"/>
          <w:szCs w:val="24"/>
        </w:rPr>
        <w:t>.</w:t>
      </w:r>
      <w:r w:rsidRPr="00D76C97">
        <w:rPr>
          <w:rFonts w:ascii="Calibri-Light" w:eastAsia="Calibri-Light" w:hAnsi="Calibri-Light" w:cs="Yu Mincho"/>
          <w:szCs w:val="24"/>
        </w:rPr>
        <w:t xml:space="preserve"> </w:t>
      </w:r>
      <w:r w:rsidR="00D24501" w:rsidRPr="00D76C97">
        <w:rPr>
          <w:rFonts w:ascii="Calibri-Light" w:eastAsia="Calibri-Light" w:hAnsi="Calibri-Light" w:cs="Yu Mincho"/>
          <w:szCs w:val="24"/>
        </w:rPr>
        <w:t>H</w:t>
      </w:r>
      <w:r w:rsidRPr="00D76C97">
        <w:rPr>
          <w:rFonts w:ascii="Calibri-Light" w:eastAsia="Calibri-Light" w:hAnsi="Calibri-Light" w:cs="Yu Mincho"/>
          <w:szCs w:val="24"/>
        </w:rPr>
        <w:t>owever</w:t>
      </w:r>
      <w:r w:rsidR="00D24501" w:rsidRPr="00D76C97">
        <w:rPr>
          <w:rFonts w:ascii="Calibri-Light" w:eastAsia="Calibri-Light" w:hAnsi="Calibri-Light" w:cs="Yu Mincho"/>
          <w:szCs w:val="24"/>
        </w:rPr>
        <w:t>,</w:t>
      </w:r>
      <w:r w:rsidRPr="00D76C97">
        <w:rPr>
          <w:rFonts w:ascii="Calibri-Light" w:eastAsia="Calibri-Light" w:hAnsi="Calibri-Light" w:cs="Yu Mincho"/>
          <w:szCs w:val="24"/>
        </w:rPr>
        <w:t xml:space="preserve"> the</w:t>
      </w:r>
      <w:r w:rsidR="00E31AC1" w:rsidRPr="00D76C97">
        <w:rPr>
          <w:rFonts w:ascii="Calibri-Light" w:eastAsia="Calibri-Light" w:hAnsi="Calibri-Light" w:cs="Yu Mincho"/>
          <w:szCs w:val="24"/>
        </w:rPr>
        <w:t xml:space="preserve"> data does not break</w:t>
      </w:r>
      <w:r w:rsidR="00461726" w:rsidRPr="00D76C97">
        <w:rPr>
          <w:rFonts w:ascii="Calibri-Light" w:eastAsia="Calibri-Light" w:hAnsi="Calibri-Light" w:cs="Yu Mincho"/>
          <w:szCs w:val="24"/>
        </w:rPr>
        <w:t xml:space="preserve"> </w:t>
      </w:r>
      <w:r w:rsidR="00E31AC1" w:rsidRPr="00D76C97">
        <w:rPr>
          <w:rFonts w:ascii="Calibri-Light" w:eastAsia="Calibri-Light" w:hAnsi="Calibri-Light" w:cs="Yu Mincho"/>
          <w:szCs w:val="24"/>
        </w:rPr>
        <w:t xml:space="preserve">down </w:t>
      </w:r>
      <w:r w:rsidR="002D715F" w:rsidRPr="00D76C97">
        <w:rPr>
          <w:rFonts w:ascii="Calibri-Light" w:eastAsia="Calibri-Light" w:hAnsi="Calibri-Light" w:cs="Yu Mincho"/>
          <w:szCs w:val="24"/>
        </w:rPr>
        <w:t xml:space="preserve">allocation volumes </w:t>
      </w:r>
      <w:r w:rsidR="00E31AC1" w:rsidRPr="00D76C97">
        <w:rPr>
          <w:rFonts w:ascii="Calibri-Light" w:eastAsia="Calibri-Light" w:hAnsi="Calibri-Light" w:cs="Yu Mincho"/>
          <w:szCs w:val="24"/>
        </w:rPr>
        <w:t xml:space="preserve">for </w:t>
      </w:r>
      <w:r w:rsidR="00D17DE5" w:rsidRPr="00D76C97">
        <w:rPr>
          <w:rFonts w:ascii="Calibri-Light" w:eastAsia="Calibri-Light" w:hAnsi="Calibri-Light" w:cs="Yu Mincho"/>
          <w:szCs w:val="24"/>
        </w:rPr>
        <w:t>specific product</w:t>
      </w:r>
      <w:r w:rsidR="00696093" w:rsidRPr="00D76C97">
        <w:rPr>
          <w:rFonts w:ascii="Calibri-Light" w:eastAsia="Calibri-Light" w:hAnsi="Calibri-Light" w:cs="Yu Mincho"/>
          <w:szCs w:val="24"/>
        </w:rPr>
        <w:t>s</w:t>
      </w:r>
      <w:r w:rsidR="00D17DE5" w:rsidRPr="00D76C97" w:rsidDel="00465CD6">
        <w:rPr>
          <w:rFonts w:ascii="Calibri-Light" w:eastAsia="Calibri-Light" w:hAnsi="Calibri-Light" w:cs="Yu Mincho"/>
          <w:szCs w:val="24"/>
        </w:rPr>
        <w:t xml:space="preserve"> </w:t>
      </w:r>
      <w:r w:rsidR="002D715F" w:rsidRPr="00D76C97">
        <w:rPr>
          <w:rFonts w:ascii="Calibri-Light" w:eastAsia="Calibri-Light" w:hAnsi="Calibri-Light" w:cs="Yu Mincho"/>
          <w:szCs w:val="24"/>
        </w:rPr>
        <w:t>within each activity</w:t>
      </w:r>
      <w:r w:rsidR="00D17DE5" w:rsidRPr="00D76C97">
        <w:rPr>
          <w:rFonts w:ascii="Calibri-Light" w:eastAsia="Calibri-Light" w:hAnsi="Calibri-Light" w:cs="Yu Mincho"/>
          <w:szCs w:val="24"/>
        </w:rPr>
        <w:t>.</w:t>
      </w:r>
      <w:r w:rsidR="00A661CD" w:rsidRPr="00D76C97">
        <w:rPr>
          <w:rFonts w:ascii="Calibri-Light" w:eastAsia="Calibri-Light" w:hAnsi="Calibri-Light" w:cs="Yu Mincho"/>
          <w:szCs w:val="24"/>
        </w:rPr>
        <w:t xml:space="preserve"> </w:t>
      </w:r>
    </w:p>
    <w:p w14:paraId="2A5CA756" w14:textId="6B43AE03" w:rsidR="00860BE0" w:rsidRPr="00D76C97" w:rsidRDefault="00590421"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We have </w:t>
      </w:r>
      <w:r w:rsidR="009C4820" w:rsidRPr="00D76C97">
        <w:rPr>
          <w:rFonts w:ascii="Calibri-Light" w:eastAsia="Calibri-Light" w:hAnsi="Calibri-Light" w:cs="Yu Mincho"/>
          <w:szCs w:val="24"/>
        </w:rPr>
        <w:t xml:space="preserve">taken the final 2023 allocation levels </w:t>
      </w:r>
      <w:r w:rsidR="001D0F1F" w:rsidRPr="00D76C97">
        <w:rPr>
          <w:rFonts w:ascii="Calibri-Light" w:eastAsia="Calibri-Light" w:hAnsi="Calibri-Light" w:cs="Yu Mincho"/>
          <w:szCs w:val="24"/>
        </w:rPr>
        <w:t xml:space="preserve">published by </w:t>
      </w:r>
      <w:r w:rsidR="009C4820" w:rsidRPr="00D76C97">
        <w:rPr>
          <w:rFonts w:ascii="Calibri-Light" w:eastAsia="Calibri-Light" w:hAnsi="Calibri-Light" w:cs="Yu Mincho"/>
          <w:szCs w:val="24"/>
        </w:rPr>
        <w:t xml:space="preserve">the Environmental </w:t>
      </w:r>
      <w:r w:rsidR="0060114D" w:rsidRPr="00D76C97">
        <w:rPr>
          <w:rFonts w:ascii="Calibri-Light" w:eastAsia="Calibri-Light" w:hAnsi="Calibri-Light" w:cs="Yu Mincho"/>
          <w:szCs w:val="24"/>
        </w:rPr>
        <w:t>Protection</w:t>
      </w:r>
      <w:r w:rsidR="009C4820" w:rsidRPr="00D76C97">
        <w:rPr>
          <w:rFonts w:ascii="Calibri-Light" w:eastAsia="Calibri-Light" w:hAnsi="Calibri-Light" w:cs="Yu Mincho"/>
          <w:szCs w:val="24"/>
        </w:rPr>
        <w:t xml:space="preserve"> Authority, and </w:t>
      </w:r>
      <w:r w:rsidR="00CA07E7" w:rsidRPr="00D76C97">
        <w:rPr>
          <w:rFonts w:ascii="Calibri-Light" w:eastAsia="Calibri-Light" w:hAnsi="Calibri-Light" w:cs="Yu Mincho"/>
          <w:szCs w:val="24"/>
        </w:rPr>
        <w:t xml:space="preserve">adjusted them </w:t>
      </w:r>
      <w:r w:rsidR="007E2F30" w:rsidRPr="00D76C97">
        <w:rPr>
          <w:rFonts w:ascii="Calibri-Light" w:eastAsia="Calibri-Light" w:hAnsi="Calibri-Light" w:cs="Yu Mincho"/>
          <w:szCs w:val="24"/>
        </w:rPr>
        <w:t xml:space="preserve">to determine </w:t>
      </w:r>
      <w:r w:rsidR="00631B1B" w:rsidRPr="00D76C97" w:rsidDel="0060114D">
        <w:rPr>
          <w:rFonts w:ascii="Calibri-Light" w:eastAsia="Calibri-Light" w:hAnsi="Calibri-Light" w:cs="Yu Mincho"/>
          <w:szCs w:val="24"/>
        </w:rPr>
        <w:t>w</w:t>
      </w:r>
      <w:r w:rsidR="00631B1B" w:rsidRPr="00D76C97">
        <w:rPr>
          <w:rFonts w:ascii="Calibri-Light" w:eastAsia="Calibri-Light" w:hAnsi="Calibri-Light" w:cs="Yu Mincho"/>
          <w:szCs w:val="24"/>
        </w:rPr>
        <w:t xml:space="preserve">hat the allocated volumes would be </w:t>
      </w:r>
      <w:r w:rsidR="00A03FE5" w:rsidRPr="00D76C97">
        <w:rPr>
          <w:rFonts w:ascii="Calibri-Light" w:eastAsia="Calibri-Light" w:hAnsi="Calibri-Light" w:cs="Yu Mincho"/>
          <w:szCs w:val="24"/>
        </w:rPr>
        <w:t xml:space="preserve">if the new </w:t>
      </w:r>
      <w:r w:rsidR="00E94FD9" w:rsidRPr="00D76C97">
        <w:rPr>
          <w:rFonts w:ascii="Calibri-Light" w:eastAsia="Calibri-Light" w:hAnsi="Calibri-Light" w:cs="Yu Mincho"/>
          <w:szCs w:val="24"/>
        </w:rPr>
        <w:t xml:space="preserve">allocative baselines applied, </w:t>
      </w:r>
      <w:r w:rsidR="00631B1B" w:rsidRPr="00D76C97">
        <w:rPr>
          <w:rFonts w:ascii="Calibri-Light" w:eastAsia="Calibri-Light" w:hAnsi="Calibri-Light" w:cs="Yu Mincho"/>
          <w:szCs w:val="24"/>
        </w:rPr>
        <w:t xml:space="preserve">based on the same production volumes. </w:t>
      </w:r>
    </w:p>
    <w:p w14:paraId="59868EE7" w14:textId="31C858F6" w:rsidR="00894B76" w:rsidRPr="00D76C97" w:rsidRDefault="00894B76"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In March 2025, </w:t>
      </w:r>
      <w:r w:rsidR="001F1228" w:rsidRPr="00D76C97">
        <w:rPr>
          <w:rFonts w:ascii="Calibri-Light" w:eastAsia="Calibri-Light" w:hAnsi="Calibri-Light" w:cs="Yu Mincho"/>
          <w:szCs w:val="24"/>
        </w:rPr>
        <w:t xml:space="preserve">the </w:t>
      </w:r>
      <w:r w:rsidRPr="00D76C97">
        <w:rPr>
          <w:rFonts w:ascii="Calibri-Light" w:eastAsia="Calibri-Light" w:hAnsi="Calibri-Light" w:cs="Yu Mincho"/>
          <w:szCs w:val="24"/>
        </w:rPr>
        <w:t>Government released the regulations updating the</w:t>
      </w:r>
      <w:r w:rsidRPr="00D76C97" w:rsidDel="00817FA5">
        <w:rPr>
          <w:rFonts w:ascii="Calibri-Light" w:eastAsia="Calibri-Light" w:hAnsi="Calibri-Light" w:cs="Yu Mincho"/>
          <w:szCs w:val="24"/>
        </w:rPr>
        <w:t xml:space="preserve"> </w:t>
      </w:r>
      <w:r w:rsidRPr="00D76C97">
        <w:rPr>
          <w:rFonts w:ascii="Calibri-Light" w:eastAsia="Calibri-Light" w:hAnsi="Calibri-Light" w:cs="Yu Mincho"/>
          <w:szCs w:val="24"/>
        </w:rPr>
        <w:t xml:space="preserve">allocative baselines for the New Zealand Aluminium Smelter (NZAS). </w:t>
      </w:r>
      <w:r w:rsidR="001D2555" w:rsidRPr="00D76C97">
        <w:rPr>
          <w:rFonts w:ascii="Calibri-Light" w:eastAsia="Calibri-Light" w:hAnsi="Calibri-Light" w:cs="Yu Mincho"/>
          <w:szCs w:val="24"/>
        </w:rPr>
        <w:t xml:space="preserve">This </w:t>
      </w:r>
      <w:r w:rsidR="00C65EB7" w:rsidRPr="00D76C97">
        <w:rPr>
          <w:rFonts w:ascii="Calibri-Light" w:eastAsia="Calibri-Light" w:hAnsi="Calibri-Light" w:cs="Yu Mincho"/>
          <w:szCs w:val="24"/>
        </w:rPr>
        <w:t>updat</w:t>
      </w:r>
      <w:r w:rsidR="00973E6E" w:rsidRPr="00D76C97">
        <w:rPr>
          <w:rFonts w:ascii="Calibri-Light" w:eastAsia="Calibri-Light" w:hAnsi="Calibri-Light" w:cs="Yu Mincho"/>
          <w:szCs w:val="24"/>
        </w:rPr>
        <w:t xml:space="preserve">e </w:t>
      </w:r>
      <w:r w:rsidR="003C4393" w:rsidRPr="00D76C97">
        <w:rPr>
          <w:rFonts w:ascii="Calibri-Light" w:eastAsia="Calibri-Light" w:hAnsi="Calibri-Light" w:cs="Yu Mincho"/>
          <w:szCs w:val="24"/>
        </w:rPr>
        <w:t xml:space="preserve">has also been </w:t>
      </w:r>
      <w:r w:rsidR="00967536" w:rsidRPr="00D76C97">
        <w:rPr>
          <w:rFonts w:ascii="Calibri-Light" w:eastAsia="Calibri-Light" w:hAnsi="Calibri-Light" w:cs="Yu Mincho"/>
          <w:szCs w:val="24"/>
        </w:rPr>
        <w:t xml:space="preserve">applied. </w:t>
      </w:r>
      <w:r w:rsidR="00973E6E" w:rsidRPr="00D76C97">
        <w:rPr>
          <w:rFonts w:ascii="Calibri-Light" w:eastAsia="Calibri-Light" w:hAnsi="Calibri-Light" w:cs="Yu Mincho"/>
          <w:szCs w:val="24"/>
        </w:rPr>
        <w:t xml:space="preserve">  </w:t>
      </w:r>
    </w:p>
    <w:p w14:paraId="115C02FB" w14:textId="40D66776" w:rsidR="00613989" w:rsidRPr="00613989" w:rsidRDefault="00613989" w:rsidP="008438C2">
      <w:pPr>
        <w:pStyle w:val="Heading3"/>
        <w:spacing w:before="120" w:after="120"/>
        <w:rPr>
          <w:lang w:val="en-US"/>
        </w:rPr>
      </w:pPr>
      <w:bookmarkStart w:id="34" w:name="_Toc195533422"/>
      <w:r w:rsidRPr="00613989">
        <w:rPr>
          <w:lang w:val="en-US"/>
        </w:rPr>
        <w:t>Other</w:t>
      </w:r>
      <w:r w:rsidR="00F9324F">
        <w:rPr>
          <w:lang w:val="en-US"/>
        </w:rPr>
        <w:t xml:space="preserve"> updated assumptions</w:t>
      </w:r>
      <w:bookmarkEnd w:id="34"/>
    </w:p>
    <w:p w14:paraId="7FDA383E" w14:textId="59E29104" w:rsidR="006950A8" w:rsidRPr="00D76C97" w:rsidRDefault="000209BD"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We have </w:t>
      </w:r>
      <w:r w:rsidR="0086154A" w:rsidRPr="00D76C97">
        <w:rPr>
          <w:rFonts w:ascii="Calibri-Light" w:eastAsia="Calibri-Light" w:hAnsi="Calibri-Light" w:cs="Yu Mincho"/>
          <w:szCs w:val="24"/>
        </w:rPr>
        <w:t>incorporated</w:t>
      </w:r>
      <w:r w:rsidR="00487765" w:rsidRPr="00D76C97">
        <w:rPr>
          <w:rFonts w:ascii="Calibri-Light" w:eastAsia="Calibri-Light" w:hAnsi="Calibri-Light" w:cs="Yu Mincho"/>
          <w:szCs w:val="24"/>
        </w:rPr>
        <w:t xml:space="preserve"> </w:t>
      </w:r>
      <w:r w:rsidR="006950A8" w:rsidRPr="00D76C97">
        <w:rPr>
          <w:rFonts w:ascii="Calibri-Light" w:eastAsia="Calibri-Light" w:hAnsi="Calibri-Light" w:cs="Yu Mincho"/>
          <w:szCs w:val="24"/>
        </w:rPr>
        <w:t xml:space="preserve">an approximate </w:t>
      </w:r>
      <w:r w:rsidR="00706131" w:rsidRPr="00D76C97">
        <w:rPr>
          <w:rFonts w:ascii="Calibri-Light" w:eastAsia="Calibri-Light" w:hAnsi="Calibri-Light" w:cs="Yu Mincho"/>
          <w:szCs w:val="24"/>
        </w:rPr>
        <w:t>2</w:t>
      </w:r>
      <w:r w:rsidR="00584D31" w:rsidRPr="00D76C97">
        <w:rPr>
          <w:rFonts w:ascii="Calibri-Light" w:eastAsia="Calibri-Light" w:hAnsi="Calibri-Light" w:cs="Yu Mincho"/>
          <w:szCs w:val="24"/>
        </w:rPr>
        <w:t>5</w:t>
      </w:r>
      <w:r w:rsidR="006950A8" w:rsidRPr="00D76C97">
        <w:rPr>
          <w:rFonts w:ascii="Calibri-Light" w:eastAsia="Calibri-Light" w:hAnsi="Calibri-Light" w:cs="Yu Mincho"/>
          <w:szCs w:val="24"/>
        </w:rPr>
        <w:t>% decrease in production of pulp and paper products</w:t>
      </w:r>
      <w:r w:rsidR="00503D5C" w:rsidRPr="00D76C97">
        <w:rPr>
          <w:rFonts w:ascii="Calibri-Light" w:eastAsia="Calibri-Light" w:hAnsi="Calibri-Light" w:cs="Yu Mincho"/>
          <w:szCs w:val="24"/>
        </w:rPr>
        <w:t xml:space="preserve"> in 2025 and </w:t>
      </w:r>
      <w:r w:rsidR="00584D31" w:rsidRPr="00D76C97">
        <w:rPr>
          <w:rFonts w:ascii="Calibri-Light" w:eastAsia="Calibri-Light" w:hAnsi="Calibri-Light" w:cs="Yu Mincho"/>
          <w:szCs w:val="24"/>
        </w:rPr>
        <w:t>50</w:t>
      </w:r>
      <w:r w:rsidR="00503D5C" w:rsidRPr="00D76C97">
        <w:rPr>
          <w:rFonts w:ascii="Calibri-Light" w:eastAsia="Calibri-Light" w:hAnsi="Calibri-Light" w:cs="Yu Mincho"/>
          <w:szCs w:val="24"/>
        </w:rPr>
        <w:t>% from 2026 on</w:t>
      </w:r>
      <w:r w:rsidR="009B7B02" w:rsidRPr="00D76C97">
        <w:rPr>
          <w:rFonts w:ascii="Calibri-Light" w:eastAsia="Calibri-Light" w:hAnsi="Calibri-Light" w:cs="Yu Mincho"/>
          <w:szCs w:val="24"/>
        </w:rPr>
        <w:t>wards</w:t>
      </w:r>
      <w:r w:rsidR="006950A8" w:rsidRPr="00D76C97">
        <w:rPr>
          <w:rFonts w:ascii="Calibri-Light" w:eastAsia="Calibri-Light" w:hAnsi="Calibri-Light" w:cs="Yu Mincho"/>
          <w:szCs w:val="24"/>
        </w:rPr>
        <w:t xml:space="preserve">. This is based on public announcements regarding </w:t>
      </w:r>
      <w:r w:rsidR="00387476" w:rsidRPr="00D76C97">
        <w:rPr>
          <w:rFonts w:ascii="Calibri-Light" w:eastAsia="Calibri-Light" w:hAnsi="Calibri-Light" w:cs="Yu Mincho"/>
          <w:szCs w:val="24"/>
        </w:rPr>
        <w:t>the closure of Winstone Pulp</w:t>
      </w:r>
      <w:r w:rsidR="0003257E" w:rsidRPr="00D76C97">
        <w:rPr>
          <w:rFonts w:ascii="Calibri-Light" w:eastAsia="Calibri-Light" w:hAnsi="Calibri-Light" w:cs="Yu Mincho"/>
          <w:szCs w:val="24"/>
        </w:rPr>
        <w:t xml:space="preserve"> International in New Zealand</w:t>
      </w:r>
      <w:r w:rsidR="00387476" w:rsidRPr="00D76C97">
        <w:rPr>
          <w:rFonts w:ascii="Calibri-Light" w:eastAsia="Calibri-Light" w:hAnsi="Calibri-Light" w:cs="Yu Mincho"/>
          <w:szCs w:val="24"/>
        </w:rPr>
        <w:t xml:space="preserve">, </w:t>
      </w:r>
      <w:r w:rsidR="0083525E" w:rsidRPr="00D76C97">
        <w:rPr>
          <w:rFonts w:ascii="Calibri-Light" w:eastAsia="Calibri-Light" w:hAnsi="Calibri-Light" w:cs="Yu Mincho"/>
          <w:szCs w:val="24"/>
        </w:rPr>
        <w:t>and Oji Fibre</w:t>
      </w:r>
      <w:r w:rsidR="00CD5F9C" w:rsidRPr="00D76C97">
        <w:rPr>
          <w:rFonts w:ascii="Calibri-Light" w:eastAsia="Calibri-Light" w:hAnsi="Calibri-Light" w:cs="Yu Mincho"/>
          <w:szCs w:val="24"/>
        </w:rPr>
        <w:t xml:space="preserve"> </w:t>
      </w:r>
      <w:r w:rsidR="00455ABC" w:rsidRPr="00D76C97">
        <w:rPr>
          <w:rFonts w:ascii="Calibri-Light" w:eastAsia="Calibri-Light" w:hAnsi="Calibri-Light" w:cs="Yu Mincho"/>
          <w:szCs w:val="24"/>
        </w:rPr>
        <w:t xml:space="preserve">Solutions </w:t>
      </w:r>
      <w:r w:rsidR="00CD5F9C" w:rsidRPr="00D76C97">
        <w:rPr>
          <w:rFonts w:ascii="Calibri-Light" w:eastAsia="Calibri-Light" w:hAnsi="Calibri-Light" w:cs="Yu Mincho"/>
          <w:szCs w:val="24"/>
        </w:rPr>
        <w:t xml:space="preserve">confirming closures at its Penrose </w:t>
      </w:r>
      <w:r w:rsidR="003E6107" w:rsidRPr="00D76C97">
        <w:rPr>
          <w:rFonts w:ascii="Calibri-Light" w:eastAsia="Calibri-Light" w:hAnsi="Calibri-Light" w:cs="Yu Mincho"/>
          <w:szCs w:val="24"/>
        </w:rPr>
        <w:t>and Kinleith Mill</w:t>
      </w:r>
      <w:r w:rsidR="00186CAC" w:rsidRPr="00D76C97">
        <w:rPr>
          <w:rFonts w:ascii="Calibri-Light" w:eastAsia="Calibri-Light" w:hAnsi="Calibri-Light" w:cs="Yu Mincho"/>
          <w:szCs w:val="24"/>
        </w:rPr>
        <w:t>s</w:t>
      </w:r>
      <w:r w:rsidR="00706131" w:rsidRPr="00D76C97">
        <w:rPr>
          <w:rFonts w:ascii="Calibri-Light" w:eastAsia="Calibri-Light" w:hAnsi="Calibri-Light" w:cs="Yu Mincho"/>
          <w:szCs w:val="24"/>
        </w:rPr>
        <w:t xml:space="preserve"> from the end of June 2025</w:t>
      </w:r>
      <w:r w:rsidR="003E6107" w:rsidRPr="00D76C97">
        <w:rPr>
          <w:rFonts w:ascii="Calibri-Light" w:eastAsia="Calibri-Light" w:hAnsi="Calibri-Light" w:cs="Yu Mincho"/>
          <w:szCs w:val="24"/>
        </w:rPr>
        <w:t xml:space="preserve">. </w:t>
      </w:r>
      <w:r w:rsidR="00885C57" w:rsidRPr="00D76C97">
        <w:rPr>
          <w:rFonts w:ascii="Calibri-Light" w:eastAsia="Calibri-Light" w:hAnsi="Calibri-Light" w:cs="Yu Mincho"/>
          <w:szCs w:val="24"/>
        </w:rPr>
        <w:t>We have</w:t>
      </w:r>
      <w:r w:rsidR="007C019F" w:rsidRPr="00D76C97">
        <w:rPr>
          <w:rFonts w:ascii="Calibri-Light" w:eastAsia="Calibri-Light" w:hAnsi="Calibri-Light" w:cs="Yu Mincho"/>
          <w:szCs w:val="24"/>
        </w:rPr>
        <w:t xml:space="preserve"> reviewed production data related to these mills </w:t>
      </w:r>
      <w:r w:rsidR="00887069" w:rsidRPr="00D76C97">
        <w:rPr>
          <w:rFonts w:ascii="Calibri-Light" w:eastAsia="Calibri-Light" w:hAnsi="Calibri-Light" w:cs="Yu Mincho"/>
          <w:szCs w:val="24"/>
        </w:rPr>
        <w:t>to estimate the</w:t>
      </w:r>
      <w:r w:rsidR="00E50E98" w:rsidRPr="00D76C97">
        <w:rPr>
          <w:rFonts w:ascii="Calibri-Light" w:eastAsia="Calibri-Light" w:hAnsi="Calibri-Light" w:cs="Yu Mincho"/>
          <w:szCs w:val="24"/>
        </w:rPr>
        <w:t>ir</w:t>
      </w:r>
      <w:r w:rsidR="00887069" w:rsidRPr="00D76C97">
        <w:rPr>
          <w:rFonts w:ascii="Calibri-Light" w:eastAsia="Calibri-Light" w:hAnsi="Calibri-Light" w:cs="Yu Mincho"/>
          <w:szCs w:val="24"/>
        </w:rPr>
        <w:t xml:space="preserve"> approximate production volumes and the impact</w:t>
      </w:r>
      <w:r w:rsidR="00395A9A" w:rsidRPr="00D76C97">
        <w:rPr>
          <w:rFonts w:ascii="Calibri-Light" w:eastAsia="Calibri-Light" w:hAnsi="Calibri-Light" w:cs="Yu Mincho"/>
          <w:szCs w:val="24"/>
        </w:rPr>
        <w:t xml:space="preserve"> the</w:t>
      </w:r>
      <w:r w:rsidR="003B5984" w:rsidRPr="00D76C97">
        <w:rPr>
          <w:rFonts w:ascii="Calibri-Light" w:eastAsia="Calibri-Light" w:hAnsi="Calibri-Light" w:cs="Yu Mincho"/>
          <w:szCs w:val="24"/>
        </w:rPr>
        <w:t>ir closure</w:t>
      </w:r>
      <w:r w:rsidR="00395A9A" w:rsidRPr="00D76C97">
        <w:rPr>
          <w:rFonts w:ascii="Calibri-Light" w:eastAsia="Calibri-Light" w:hAnsi="Calibri-Light" w:cs="Yu Mincho"/>
          <w:szCs w:val="24"/>
        </w:rPr>
        <w:t xml:space="preserve"> would have </w:t>
      </w:r>
      <w:r w:rsidR="00887069" w:rsidRPr="00D76C97">
        <w:rPr>
          <w:rFonts w:ascii="Calibri-Light" w:eastAsia="Calibri-Light" w:hAnsi="Calibri-Light" w:cs="Yu Mincho"/>
          <w:szCs w:val="24"/>
        </w:rPr>
        <w:t xml:space="preserve">on overall allocations. </w:t>
      </w:r>
      <w:r w:rsidR="007C019F" w:rsidRPr="00D76C97">
        <w:rPr>
          <w:rFonts w:ascii="Calibri-Light" w:eastAsia="Calibri-Light" w:hAnsi="Calibri-Light" w:cs="Yu Mincho"/>
          <w:szCs w:val="24"/>
        </w:rPr>
        <w:t xml:space="preserve"> </w:t>
      </w:r>
    </w:p>
    <w:p w14:paraId="7D33BCBE" w14:textId="01EC8873" w:rsidR="001C3778" w:rsidRPr="00D76C97" w:rsidRDefault="00186CAC"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We have </w:t>
      </w:r>
      <w:r w:rsidR="00400F1A" w:rsidRPr="00D76C97">
        <w:rPr>
          <w:rFonts w:ascii="Calibri-Light" w:eastAsia="Calibri-Light" w:hAnsi="Calibri-Light" w:cs="Yu Mincho"/>
          <w:szCs w:val="24"/>
        </w:rPr>
        <w:t xml:space="preserve">also </w:t>
      </w:r>
      <w:r w:rsidRPr="00D76C97">
        <w:rPr>
          <w:rFonts w:ascii="Calibri-Light" w:eastAsia="Calibri-Light" w:hAnsi="Calibri-Light" w:cs="Yu Mincho"/>
          <w:szCs w:val="24"/>
        </w:rPr>
        <w:t xml:space="preserve">updated our estimates of </w:t>
      </w:r>
      <w:r w:rsidR="00B20E84" w:rsidRPr="00D76C97">
        <w:rPr>
          <w:rFonts w:ascii="Calibri-Light" w:eastAsia="Calibri-Light" w:hAnsi="Calibri-Light" w:cs="Yu Mincho"/>
          <w:szCs w:val="24"/>
        </w:rPr>
        <w:t>methanol production</w:t>
      </w:r>
      <w:r w:rsidR="00400F1A" w:rsidRPr="00D76C97">
        <w:rPr>
          <w:rFonts w:ascii="Calibri-Light" w:eastAsia="Calibri-Light" w:hAnsi="Calibri-Light" w:cs="Yu Mincho"/>
          <w:szCs w:val="24"/>
        </w:rPr>
        <w:t>.</w:t>
      </w:r>
      <w:r w:rsidR="00B20E84" w:rsidRPr="00D76C97">
        <w:rPr>
          <w:rFonts w:ascii="Calibri-Light" w:eastAsia="Calibri-Light" w:hAnsi="Calibri-Light" w:cs="Yu Mincho"/>
          <w:szCs w:val="24"/>
        </w:rPr>
        <w:t xml:space="preserve"> </w:t>
      </w:r>
      <w:r w:rsidR="00436242" w:rsidRPr="00D76C97">
        <w:rPr>
          <w:rFonts w:ascii="Calibri-Light" w:eastAsia="Calibri-Light" w:hAnsi="Calibri-Light" w:cs="Yu Mincho"/>
          <w:szCs w:val="24"/>
        </w:rPr>
        <w:t xml:space="preserve">Methanex </w:t>
      </w:r>
      <w:r w:rsidR="007708CA" w:rsidRPr="00D76C97">
        <w:rPr>
          <w:rFonts w:ascii="Calibri-Light" w:eastAsia="Calibri-Light" w:hAnsi="Calibri-Light" w:cs="Yu Mincho"/>
          <w:szCs w:val="24"/>
        </w:rPr>
        <w:t xml:space="preserve">released </w:t>
      </w:r>
      <w:r w:rsidR="007F512D" w:rsidRPr="00D76C97">
        <w:rPr>
          <w:rFonts w:ascii="Calibri-Light" w:eastAsia="Calibri-Light" w:hAnsi="Calibri-Light" w:cs="Yu Mincho"/>
          <w:szCs w:val="24"/>
        </w:rPr>
        <w:t xml:space="preserve">a report at the end of </w:t>
      </w:r>
      <w:r w:rsidR="00F76211" w:rsidRPr="00D76C97">
        <w:rPr>
          <w:rFonts w:ascii="Calibri-Light" w:eastAsia="Calibri-Light" w:hAnsi="Calibri-Light" w:cs="Yu Mincho"/>
          <w:szCs w:val="24"/>
        </w:rPr>
        <w:t>2024</w:t>
      </w:r>
      <w:r w:rsidR="004138C5" w:rsidRPr="00D76C97">
        <w:rPr>
          <w:rFonts w:ascii="Calibri-Light" w:eastAsia="Calibri-Light" w:hAnsi="Calibri-Light" w:cs="Yu Mincho"/>
          <w:szCs w:val="24"/>
        </w:rPr>
        <w:t xml:space="preserve"> showing that total </w:t>
      </w:r>
      <w:r w:rsidR="00743D00" w:rsidRPr="00D76C97">
        <w:rPr>
          <w:rFonts w:ascii="Calibri-Light" w:eastAsia="Calibri-Light" w:hAnsi="Calibri-Light" w:cs="Yu Mincho"/>
          <w:szCs w:val="24"/>
        </w:rPr>
        <w:t xml:space="preserve">production of </w:t>
      </w:r>
      <w:r w:rsidR="000D7B83" w:rsidRPr="00D76C97">
        <w:rPr>
          <w:rFonts w:ascii="Calibri-Light" w:eastAsia="Calibri-Light" w:hAnsi="Calibri-Light" w:cs="Yu Mincho"/>
          <w:szCs w:val="24"/>
        </w:rPr>
        <w:t>m</w:t>
      </w:r>
      <w:r w:rsidR="00743D00" w:rsidRPr="00D76C97">
        <w:rPr>
          <w:rFonts w:ascii="Calibri-Light" w:eastAsia="Calibri-Light" w:hAnsi="Calibri-Light" w:cs="Yu Mincho"/>
          <w:szCs w:val="24"/>
        </w:rPr>
        <w:t>ethanol</w:t>
      </w:r>
      <w:r w:rsidR="00032247" w:rsidRPr="00D76C97">
        <w:rPr>
          <w:rFonts w:ascii="Calibri-Light" w:eastAsia="Calibri-Light" w:hAnsi="Calibri-Light" w:cs="Yu Mincho"/>
          <w:szCs w:val="24"/>
        </w:rPr>
        <w:t xml:space="preserve"> in 202</w:t>
      </w:r>
      <w:r w:rsidR="007F512D" w:rsidRPr="00D76C97">
        <w:rPr>
          <w:rFonts w:ascii="Calibri-Light" w:eastAsia="Calibri-Light" w:hAnsi="Calibri-Light" w:cs="Yu Mincho"/>
          <w:szCs w:val="24"/>
        </w:rPr>
        <w:t>5 was projected to be between 500-700kt</w:t>
      </w:r>
      <w:r w:rsidR="007266F6" w:rsidRPr="00D76C97">
        <w:rPr>
          <w:rFonts w:ascii="Calibri-Light" w:eastAsia="Calibri-Light" w:hAnsi="Calibri-Light" w:cs="Yu Mincho"/>
          <w:szCs w:val="24"/>
        </w:rPr>
        <w:t xml:space="preserve"> –</w:t>
      </w:r>
      <w:r w:rsidR="007F512D" w:rsidRPr="00D76C97">
        <w:rPr>
          <w:rFonts w:ascii="Calibri-Light" w:eastAsia="Calibri-Light" w:hAnsi="Calibri-Light" w:cs="Yu Mincho"/>
          <w:szCs w:val="24"/>
        </w:rPr>
        <w:t xml:space="preserve"> approximately 50% of </w:t>
      </w:r>
      <w:r w:rsidR="00E1155A" w:rsidRPr="00D76C97">
        <w:rPr>
          <w:rFonts w:ascii="Calibri-Light" w:eastAsia="Calibri-Light" w:hAnsi="Calibri-Light" w:cs="Yu Mincho"/>
          <w:szCs w:val="24"/>
        </w:rPr>
        <w:t>2023 levels.</w:t>
      </w:r>
      <w:r w:rsidR="00AD47EA" w:rsidRPr="00D76C97">
        <w:rPr>
          <w:rFonts w:ascii="Calibri-Light" w:eastAsia="Calibri-Light" w:hAnsi="Calibri-Light" w:cs="Yu Mincho"/>
          <w:szCs w:val="24"/>
          <w:vertAlign w:val="superscript"/>
        </w:rPr>
        <w:endnoteReference w:id="6"/>
      </w:r>
      <w:r w:rsidR="00AD47EA" w:rsidRPr="00D76C97">
        <w:rPr>
          <w:rFonts w:ascii="Calibri-Light" w:eastAsia="Calibri-Light" w:hAnsi="Calibri-Light" w:cs="Yu Mincho"/>
          <w:szCs w:val="24"/>
        </w:rPr>
        <w:t xml:space="preserve"> </w:t>
      </w:r>
      <w:r w:rsidR="00E1155A" w:rsidRPr="00D76C97">
        <w:rPr>
          <w:rFonts w:ascii="Calibri-Light" w:eastAsia="Calibri-Light" w:hAnsi="Calibri-Light" w:cs="Yu Mincho"/>
          <w:szCs w:val="24"/>
        </w:rPr>
        <w:t xml:space="preserve">We have applied this </w:t>
      </w:r>
      <w:r w:rsidR="000F7673" w:rsidRPr="00D76C97">
        <w:rPr>
          <w:rFonts w:ascii="Calibri-Light" w:eastAsia="Calibri-Light" w:hAnsi="Calibri-Light" w:cs="Yu Mincho"/>
          <w:szCs w:val="24"/>
        </w:rPr>
        <w:t xml:space="preserve">adjustment </w:t>
      </w:r>
      <w:r w:rsidR="00E1155A" w:rsidRPr="00D76C97">
        <w:rPr>
          <w:rFonts w:ascii="Calibri-Light" w:eastAsia="Calibri-Light" w:hAnsi="Calibri-Light" w:cs="Yu Mincho"/>
          <w:szCs w:val="24"/>
        </w:rPr>
        <w:t xml:space="preserve">to 2025, but then increased production forecasts back to 100% </w:t>
      </w:r>
      <w:r w:rsidR="00A9673B" w:rsidRPr="00D76C97">
        <w:rPr>
          <w:rFonts w:ascii="Calibri-Light" w:eastAsia="Calibri-Light" w:hAnsi="Calibri-Light" w:cs="Yu Mincho"/>
          <w:szCs w:val="24"/>
        </w:rPr>
        <w:t xml:space="preserve">of 2023 levels </w:t>
      </w:r>
      <w:r w:rsidR="00E1155A" w:rsidRPr="00D76C97">
        <w:rPr>
          <w:rFonts w:ascii="Calibri-Light" w:eastAsia="Calibri-Light" w:hAnsi="Calibri-Light" w:cs="Yu Mincho"/>
          <w:szCs w:val="24"/>
        </w:rPr>
        <w:t xml:space="preserve">for 2026 </w:t>
      </w:r>
      <w:r w:rsidR="00340B82" w:rsidRPr="00D76C97">
        <w:rPr>
          <w:rFonts w:ascii="Calibri-Light" w:eastAsia="Calibri-Light" w:hAnsi="Calibri-Light" w:cs="Yu Mincho"/>
          <w:szCs w:val="24"/>
        </w:rPr>
        <w:t xml:space="preserve">and </w:t>
      </w:r>
      <w:r w:rsidR="00E1155A" w:rsidRPr="00D76C97">
        <w:rPr>
          <w:rFonts w:ascii="Calibri-Light" w:eastAsia="Calibri-Light" w:hAnsi="Calibri-Light" w:cs="Yu Mincho"/>
          <w:szCs w:val="24"/>
        </w:rPr>
        <w:t>2027</w:t>
      </w:r>
      <w:r w:rsidR="00E63596" w:rsidRPr="00D76C97">
        <w:rPr>
          <w:rFonts w:ascii="Calibri-Light" w:eastAsia="Calibri-Light" w:hAnsi="Calibri-Light" w:cs="Yu Mincho"/>
          <w:szCs w:val="24"/>
        </w:rPr>
        <w:t xml:space="preserve">. Production levels then drop </w:t>
      </w:r>
      <w:r w:rsidR="0069306F" w:rsidRPr="00D76C97">
        <w:rPr>
          <w:rFonts w:ascii="Calibri-Light" w:eastAsia="Calibri-Light" w:hAnsi="Calibri-Light" w:cs="Yu Mincho"/>
          <w:szCs w:val="24"/>
        </w:rPr>
        <w:t xml:space="preserve">by </w:t>
      </w:r>
      <w:r w:rsidR="00E63596" w:rsidRPr="00D76C97">
        <w:rPr>
          <w:rFonts w:ascii="Calibri-Light" w:eastAsia="Calibri-Light" w:hAnsi="Calibri-Light" w:cs="Yu Mincho"/>
          <w:szCs w:val="24"/>
        </w:rPr>
        <w:t xml:space="preserve">50% in 2028 and </w:t>
      </w:r>
      <w:r w:rsidR="0069306F" w:rsidRPr="00D76C97">
        <w:rPr>
          <w:rFonts w:ascii="Calibri-Light" w:eastAsia="Calibri-Light" w:hAnsi="Calibri-Light" w:cs="Yu Mincho"/>
          <w:szCs w:val="24"/>
        </w:rPr>
        <w:t xml:space="preserve">to </w:t>
      </w:r>
      <w:r w:rsidR="00E63596" w:rsidRPr="00D76C97">
        <w:rPr>
          <w:rFonts w:ascii="Calibri-Light" w:eastAsia="Calibri-Light" w:hAnsi="Calibri-Light" w:cs="Yu Mincho"/>
          <w:szCs w:val="24"/>
        </w:rPr>
        <w:t>0 in 2030</w:t>
      </w:r>
      <w:r w:rsidR="00483A61" w:rsidRPr="00D76C97">
        <w:rPr>
          <w:rFonts w:ascii="Calibri-Light" w:eastAsia="Calibri-Light" w:hAnsi="Calibri-Light" w:cs="Yu Mincho"/>
          <w:szCs w:val="24"/>
        </w:rPr>
        <w:t>,</w:t>
      </w:r>
      <w:r w:rsidR="00E63596" w:rsidRPr="00D76C97">
        <w:rPr>
          <w:rFonts w:ascii="Calibri-Light" w:eastAsia="Calibri-Light" w:hAnsi="Calibri-Light" w:cs="Yu Mincho"/>
          <w:szCs w:val="24"/>
        </w:rPr>
        <w:t xml:space="preserve"> based on the </w:t>
      </w:r>
      <w:r w:rsidR="008E5C6B" w:rsidRPr="00D76C97">
        <w:rPr>
          <w:rFonts w:ascii="Calibri-Light" w:eastAsia="Calibri-Light" w:hAnsi="Calibri-Light" w:cs="Yu Mincho"/>
          <w:szCs w:val="24"/>
        </w:rPr>
        <w:t xml:space="preserve">assumptions in the </w:t>
      </w:r>
      <w:r w:rsidR="00F21C60" w:rsidRPr="00D76C97">
        <w:rPr>
          <w:rFonts w:ascii="Calibri-Light" w:eastAsia="Calibri-Light" w:hAnsi="Calibri-Light" w:cs="Yu Mincho"/>
          <w:szCs w:val="24"/>
        </w:rPr>
        <w:t xml:space="preserve">government’s </w:t>
      </w:r>
      <w:r w:rsidR="00483A61" w:rsidRPr="00D76C97">
        <w:rPr>
          <w:rFonts w:ascii="Calibri-Light" w:eastAsia="Calibri-Light" w:hAnsi="Calibri-Light" w:cs="Yu Mincho"/>
          <w:szCs w:val="24"/>
        </w:rPr>
        <w:t xml:space="preserve">emissions projections about </w:t>
      </w:r>
      <w:r w:rsidR="00EF199C" w:rsidRPr="00D76C97">
        <w:rPr>
          <w:rFonts w:ascii="Calibri-Light" w:eastAsia="Calibri-Light" w:hAnsi="Calibri-Light" w:cs="Yu Mincho"/>
          <w:szCs w:val="24"/>
        </w:rPr>
        <w:t xml:space="preserve">the </w:t>
      </w:r>
      <w:r w:rsidR="00DD5DD7" w:rsidRPr="00D76C97">
        <w:rPr>
          <w:rFonts w:ascii="Calibri-Light" w:eastAsia="Calibri-Light" w:hAnsi="Calibri-Light" w:cs="Yu Mincho"/>
          <w:szCs w:val="24"/>
        </w:rPr>
        <w:t>closure of</w:t>
      </w:r>
      <w:r w:rsidR="00EB64E8" w:rsidRPr="00D76C97">
        <w:rPr>
          <w:rFonts w:ascii="Calibri-Light" w:eastAsia="Calibri-Light" w:hAnsi="Calibri-Light" w:cs="Yu Mincho"/>
          <w:szCs w:val="24"/>
        </w:rPr>
        <w:t xml:space="preserve"> Methanex</w:t>
      </w:r>
      <w:r w:rsidR="00A33E74" w:rsidRPr="00D76C97">
        <w:rPr>
          <w:rFonts w:ascii="Calibri-Light" w:eastAsia="Calibri-Light" w:hAnsi="Calibri-Light" w:cs="Yu Mincho"/>
          <w:szCs w:val="24"/>
        </w:rPr>
        <w:t>’s</w:t>
      </w:r>
      <w:r w:rsidR="00EB64E8" w:rsidRPr="00D76C97">
        <w:rPr>
          <w:rFonts w:ascii="Calibri-Light" w:eastAsia="Calibri-Light" w:hAnsi="Calibri-Light" w:cs="Yu Mincho"/>
          <w:szCs w:val="24"/>
        </w:rPr>
        <w:t xml:space="preserve"> </w:t>
      </w:r>
      <w:r w:rsidR="000E78CB" w:rsidRPr="00D76C97">
        <w:rPr>
          <w:rFonts w:ascii="Calibri-Light" w:eastAsia="Calibri-Light" w:hAnsi="Calibri-Light" w:cs="Yu Mincho"/>
          <w:szCs w:val="24"/>
        </w:rPr>
        <w:t xml:space="preserve">Motunui </w:t>
      </w:r>
      <w:r w:rsidR="00EB64E8" w:rsidRPr="00D76C97">
        <w:rPr>
          <w:rFonts w:ascii="Calibri-Light" w:eastAsia="Calibri-Light" w:hAnsi="Calibri-Light" w:cs="Yu Mincho"/>
          <w:szCs w:val="24"/>
        </w:rPr>
        <w:t>trains</w:t>
      </w:r>
      <w:r w:rsidR="00E63596" w:rsidRPr="00D76C97">
        <w:rPr>
          <w:rFonts w:ascii="Calibri-Light" w:eastAsia="Calibri-Light" w:hAnsi="Calibri-Light" w:cs="Yu Mincho"/>
          <w:szCs w:val="24"/>
        </w:rPr>
        <w:t>.</w:t>
      </w:r>
      <w:r w:rsidR="000643C5" w:rsidRPr="00D76C97">
        <w:rPr>
          <w:rFonts w:ascii="Calibri-Light" w:eastAsia="Calibri-Light" w:hAnsi="Calibri-Light" w:cs="Yu Mincho"/>
          <w:szCs w:val="24"/>
        </w:rPr>
        <w:t xml:space="preserve"> </w:t>
      </w:r>
      <w:r w:rsidR="008727AA" w:rsidRPr="00D76C97">
        <w:rPr>
          <w:rFonts w:ascii="Calibri-Light" w:eastAsia="Calibri-Light" w:hAnsi="Calibri-Light" w:cs="Yu Mincho"/>
          <w:szCs w:val="24"/>
        </w:rPr>
        <w:t xml:space="preserve"> </w:t>
      </w:r>
    </w:p>
    <w:p w14:paraId="17B75D67" w14:textId="6F0826A9" w:rsidR="00793964" w:rsidRDefault="00793964" w:rsidP="00250B53">
      <w:pPr>
        <w:pStyle w:val="Caption"/>
      </w:pPr>
      <w:r w:rsidRPr="00AD1FEF">
        <w:t xml:space="preserve">Table </w:t>
      </w:r>
      <w:r w:rsidRPr="00AD1FEF">
        <w:fldChar w:fldCharType="begin"/>
      </w:r>
      <w:r w:rsidRPr="009F1EAD">
        <w:instrText xml:space="preserve"> SEQ Table \* ARABIC </w:instrText>
      </w:r>
      <w:r w:rsidRPr="00AD1FEF">
        <w:fldChar w:fldCharType="separate"/>
      </w:r>
      <w:r w:rsidR="00E700F6">
        <w:rPr>
          <w:noProof/>
        </w:rPr>
        <w:t>4</w:t>
      </w:r>
      <w:r w:rsidRPr="00AD1FEF">
        <w:fldChar w:fldCharType="end"/>
      </w:r>
      <w:r w:rsidR="00391502">
        <w:t>:</w:t>
      </w:r>
      <w:r>
        <w:t xml:space="preserve"> </w:t>
      </w:r>
      <w:r w:rsidRPr="00EA3949">
        <w:rPr>
          <w:b w:val="0"/>
        </w:rPr>
        <w:t>Industrial free allocation forecasts</w:t>
      </w:r>
    </w:p>
    <w:tbl>
      <w:tblPr>
        <w:tblW w:w="0" w:type="auto"/>
        <w:tblLayout w:type="fixed"/>
        <w:tblLook w:val="04A0" w:firstRow="1" w:lastRow="0" w:firstColumn="1" w:lastColumn="0" w:noHBand="0" w:noVBand="1"/>
      </w:tblPr>
      <w:tblGrid>
        <w:gridCol w:w="2122"/>
        <w:gridCol w:w="2268"/>
        <w:gridCol w:w="771"/>
        <w:gridCol w:w="771"/>
        <w:gridCol w:w="771"/>
        <w:gridCol w:w="771"/>
        <w:gridCol w:w="771"/>
        <w:gridCol w:w="771"/>
      </w:tblGrid>
      <w:tr w:rsidR="00EA54FF" w:rsidRPr="00FA58EC" w14:paraId="376DCEC7" w14:textId="77777777" w:rsidTr="008438C2">
        <w:trPr>
          <w:trHeight w:val="300"/>
        </w:trPr>
        <w:tc>
          <w:tcPr>
            <w:tcW w:w="2122" w:type="dxa"/>
            <w:tcBorders>
              <w:top w:val="single" w:sz="4" w:space="0" w:color="auto"/>
              <w:left w:val="single" w:sz="4" w:space="0" w:color="auto"/>
              <w:bottom w:val="single" w:sz="4" w:space="0" w:color="auto"/>
              <w:right w:val="single" w:sz="4" w:space="0" w:color="auto"/>
            </w:tcBorders>
            <w:shd w:val="clear" w:color="000000" w:fill="003A5D"/>
            <w:noWrap/>
            <w:tcMar>
              <w:top w:w="28" w:type="dxa"/>
              <w:bottom w:w="28" w:type="dxa"/>
            </w:tcMar>
            <w:vAlign w:val="bottom"/>
            <w:hideMark/>
          </w:tcPr>
          <w:p w14:paraId="0D502182" w14:textId="1496E75A" w:rsidR="00860D7B" w:rsidRPr="005D2D15" w:rsidRDefault="00860D7B" w:rsidP="00203D48">
            <w:pPr>
              <w:keepNext/>
              <w:spacing w:after="0" w:line="240" w:lineRule="auto"/>
              <w:rPr>
                <w:rFonts w:eastAsia="Times New Roman" w:cstheme="minorHAnsi"/>
                <w:b/>
                <w:color w:val="FFFFFF"/>
                <w:sz w:val="20"/>
                <w:szCs w:val="20"/>
                <w:lang w:eastAsia="en-NZ"/>
              </w:rPr>
            </w:pPr>
            <w:r w:rsidRPr="005D2D15">
              <w:rPr>
                <w:rFonts w:eastAsia="Times New Roman" w:cstheme="minorHAnsi"/>
                <w:b/>
                <w:color w:val="FFFFFF"/>
                <w:sz w:val="20"/>
                <w:szCs w:val="20"/>
                <w:lang w:eastAsia="en-NZ"/>
              </w:rPr>
              <w:t>Forecast allocations (millions)</w:t>
            </w:r>
          </w:p>
        </w:tc>
        <w:tc>
          <w:tcPr>
            <w:tcW w:w="2268" w:type="dxa"/>
            <w:tcBorders>
              <w:top w:val="single" w:sz="4" w:space="0" w:color="auto"/>
              <w:left w:val="nil"/>
              <w:bottom w:val="single" w:sz="4" w:space="0" w:color="auto"/>
              <w:right w:val="single" w:sz="4" w:space="0" w:color="auto"/>
            </w:tcBorders>
            <w:shd w:val="clear" w:color="000000" w:fill="003A5D"/>
            <w:noWrap/>
            <w:tcMar>
              <w:top w:w="28" w:type="dxa"/>
              <w:bottom w:w="28" w:type="dxa"/>
            </w:tcMar>
            <w:vAlign w:val="bottom"/>
            <w:hideMark/>
          </w:tcPr>
          <w:p w14:paraId="56223631" w14:textId="77777777" w:rsidR="00860D7B" w:rsidRPr="005D2D15" w:rsidRDefault="00860D7B" w:rsidP="00203D48">
            <w:pPr>
              <w:keepNext/>
              <w:spacing w:after="0" w:line="240" w:lineRule="auto"/>
              <w:rPr>
                <w:rFonts w:eastAsia="Times New Roman" w:cstheme="minorHAnsi"/>
                <w:b/>
                <w:color w:val="FFFFFF"/>
                <w:sz w:val="20"/>
                <w:szCs w:val="20"/>
                <w:lang w:eastAsia="en-NZ"/>
              </w:rPr>
            </w:pPr>
            <w:r w:rsidRPr="005D2D15">
              <w:rPr>
                <w:rFonts w:eastAsia="Times New Roman" w:cstheme="minorHAnsi"/>
                <w:b/>
                <w:color w:val="FFFFFF"/>
                <w:sz w:val="20"/>
                <w:szCs w:val="20"/>
                <w:lang w:eastAsia="en-NZ"/>
              </w:rPr>
              <w:t>Activity</w:t>
            </w:r>
          </w:p>
        </w:tc>
        <w:tc>
          <w:tcPr>
            <w:tcW w:w="771" w:type="dxa"/>
            <w:tcBorders>
              <w:top w:val="single" w:sz="4" w:space="0" w:color="auto"/>
              <w:left w:val="nil"/>
              <w:bottom w:val="single" w:sz="4" w:space="0" w:color="auto"/>
              <w:right w:val="single" w:sz="4" w:space="0" w:color="auto"/>
            </w:tcBorders>
            <w:shd w:val="clear" w:color="000000" w:fill="003A5D"/>
            <w:noWrap/>
            <w:tcMar>
              <w:top w:w="28" w:type="dxa"/>
              <w:bottom w:w="28" w:type="dxa"/>
            </w:tcMar>
            <w:vAlign w:val="bottom"/>
            <w:hideMark/>
          </w:tcPr>
          <w:p w14:paraId="7985D7F4" w14:textId="77777777" w:rsidR="00860D7B" w:rsidRPr="005D2D15" w:rsidRDefault="00860D7B" w:rsidP="00203D48">
            <w:pPr>
              <w:keepNext/>
              <w:spacing w:after="0" w:line="240" w:lineRule="auto"/>
              <w:jc w:val="right"/>
              <w:rPr>
                <w:rFonts w:eastAsia="Times New Roman" w:cstheme="minorHAnsi"/>
                <w:b/>
                <w:color w:val="FFFFFF"/>
                <w:sz w:val="20"/>
                <w:szCs w:val="20"/>
                <w:lang w:eastAsia="en-NZ"/>
              </w:rPr>
            </w:pPr>
            <w:r w:rsidRPr="005D2D15">
              <w:rPr>
                <w:rFonts w:eastAsia="Times New Roman" w:cstheme="minorHAnsi"/>
                <w:b/>
                <w:color w:val="FFFFFF"/>
                <w:sz w:val="20"/>
                <w:szCs w:val="20"/>
                <w:lang w:eastAsia="en-NZ"/>
              </w:rPr>
              <w:t>2025</w:t>
            </w:r>
          </w:p>
        </w:tc>
        <w:tc>
          <w:tcPr>
            <w:tcW w:w="771" w:type="dxa"/>
            <w:tcBorders>
              <w:top w:val="single" w:sz="4" w:space="0" w:color="auto"/>
              <w:left w:val="nil"/>
              <w:bottom w:val="single" w:sz="4" w:space="0" w:color="auto"/>
              <w:right w:val="single" w:sz="4" w:space="0" w:color="auto"/>
            </w:tcBorders>
            <w:shd w:val="clear" w:color="000000" w:fill="003A5D"/>
            <w:noWrap/>
            <w:tcMar>
              <w:top w:w="28" w:type="dxa"/>
              <w:bottom w:w="28" w:type="dxa"/>
            </w:tcMar>
            <w:vAlign w:val="bottom"/>
            <w:hideMark/>
          </w:tcPr>
          <w:p w14:paraId="1EBAA9E6" w14:textId="77777777" w:rsidR="00860D7B" w:rsidRPr="005D2D15" w:rsidRDefault="00860D7B" w:rsidP="00203D48">
            <w:pPr>
              <w:keepNext/>
              <w:spacing w:after="0" w:line="240" w:lineRule="auto"/>
              <w:jc w:val="right"/>
              <w:rPr>
                <w:rFonts w:eastAsia="Times New Roman" w:cstheme="minorHAnsi"/>
                <w:b/>
                <w:color w:val="FFFFFF"/>
                <w:sz w:val="20"/>
                <w:szCs w:val="20"/>
                <w:lang w:eastAsia="en-NZ"/>
              </w:rPr>
            </w:pPr>
            <w:r w:rsidRPr="005D2D15">
              <w:rPr>
                <w:rFonts w:eastAsia="Times New Roman" w:cstheme="minorHAnsi"/>
                <w:b/>
                <w:color w:val="FFFFFF"/>
                <w:sz w:val="20"/>
                <w:szCs w:val="20"/>
                <w:lang w:eastAsia="en-NZ"/>
              </w:rPr>
              <w:t>2026</w:t>
            </w:r>
          </w:p>
        </w:tc>
        <w:tc>
          <w:tcPr>
            <w:tcW w:w="771" w:type="dxa"/>
            <w:tcBorders>
              <w:top w:val="single" w:sz="4" w:space="0" w:color="auto"/>
              <w:left w:val="nil"/>
              <w:bottom w:val="single" w:sz="4" w:space="0" w:color="auto"/>
              <w:right w:val="single" w:sz="4" w:space="0" w:color="auto"/>
            </w:tcBorders>
            <w:shd w:val="clear" w:color="000000" w:fill="003A5D"/>
            <w:noWrap/>
            <w:tcMar>
              <w:top w:w="28" w:type="dxa"/>
              <w:bottom w:w="28" w:type="dxa"/>
            </w:tcMar>
            <w:vAlign w:val="bottom"/>
            <w:hideMark/>
          </w:tcPr>
          <w:p w14:paraId="7A149293" w14:textId="77777777" w:rsidR="00860D7B" w:rsidRPr="005D2D15" w:rsidRDefault="00860D7B" w:rsidP="00203D48">
            <w:pPr>
              <w:keepNext/>
              <w:spacing w:after="0" w:line="240" w:lineRule="auto"/>
              <w:jc w:val="right"/>
              <w:rPr>
                <w:rFonts w:eastAsia="Times New Roman" w:cstheme="minorHAnsi"/>
                <w:b/>
                <w:color w:val="FFFFFF"/>
                <w:sz w:val="20"/>
                <w:szCs w:val="20"/>
                <w:lang w:eastAsia="en-NZ"/>
              </w:rPr>
            </w:pPr>
            <w:r w:rsidRPr="005D2D15">
              <w:rPr>
                <w:rFonts w:eastAsia="Times New Roman" w:cstheme="minorHAnsi"/>
                <w:b/>
                <w:color w:val="FFFFFF"/>
                <w:sz w:val="20"/>
                <w:szCs w:val="20"/>
                <w:lang w:eastAsia="en-NZ"/>
              </w:rPr>
              <w:t>2027</w:t>
            </w:r>
          </w:p>
        </w:tc>
        <w:tc>
          <w:tcPr>
            <w:tcW w:w="771" w:type="dxa"/>
            <w:tcBorders>
              <w:top w:val="single" w:sz="4" w:space="0" w:color="auto"/>
              <w:left w:val="nil"/>
              <w:bottom w:val="single" w:sz="4" w:space="0" w:color="auto"/>
              <w:right w:val="single" w:sz="4" w:space="0" w:color="auto"/>
            </w:tcBorders>
            <w:shd w:val="clear" w:color="000000" w:fill="003A5D"/>
            <w:noWrap/>
            <w:tcMar>
              <w:top w:w="28" w:type="dxa"/>
              <w:bottom w:w="28" w:type="dxa"/>
            </w:tcMar>
            <w:vAlign w:val="bottom"/>
            <w:hideMark/>
          </w:tcPr>
          <w:p w14:paraId="0248102F" w14:textId="77777777" w:rsidR="00860D7B" w:rsidRPr="005D2D15" w:rsidRDefault="00860D7B" w:rsidP="00203D48">
            <w:pPr>
              <w:keepNext/>
              <w:spacing w:after="0" w:line="240" w:lineRule="auto"/>
              <w:jc w:val="right"/>
              <w:rPr>
                <w:rFonts w:eastAsia="Times New Roman" w:cstheme="minorHAnsi"/>
                <w:b/>
                <w:color w:val="FFFFFF"/>
                <w:sz w:val="20"/>
                <w:szCs w:val="20"/>
                <w:lang w:eastAsia="en-NZ"/>
              </w:rPr>
            </w:pPr>
            <w:r w:rsidRPr="005D2D15">
              <w:rPr>
                <w:rFonts w:eastAsia="Times New Roman" w:cstheme="minorHAnsi"/>
                <w:b/>
                <w:color w:val="FFFFFF"/>
                <w:sz w:val="20"/>
                <w:szCs w:val="20"/>
                <w:lang w:eastAsia="en-NZ"/>
              </w:rPr>
              <w:t>2028</w:t>
            </w:r>
          </w:p>
        </w:tc>
        <w:tc>
          <w:tcPr>
            <w:tcW w:w="771" w:type="dxa"/>
            <w:tcBorders>
              <w:top w:val="single" w:sz="4" w:space="0" w:color="auto"/>
              <w:left w:val="nil"/>
              <w:bottom w:val="single" w:sz="4" w:space="0" w:color="auto"/>
              <w:right w:val="single" w:sz="4" w:space="0" w:color="auto"/>
            </w:tcBorders>
            <w:shd w:val="clear" w:color="000000" w:fill="003A5D"/>
            <w:noWrap/>
            <w:tcMar>
              <w:top w:w="28" w:type="dxa"/>
              <w:bottom w:w="28" w:type="dxa"/>
            </w:tcMar>
            <w:vAlign w:val="bottom"/>
            <w:hideMark/>
          </w:tcPr>
          <w:p w14:paraId="21A19B71" w14:textId="77777777" w:rsidR="00860D7B" w:rsidRPr="005D2D15" w:rsidRDefault="00860D7B" w:rsidP="00203D48">
            <w:pPr>
              <w:keepNext/>
              <w:spacing w:after="0" w:line="240" w:lineRule="auto"/>
              <w:jc w:val="right"/>
              <w:rPr>
                <w:rFonts w:eastAsia="Times New Roman" w:cstheme="minorHAnsi"/>
                <w:b/>
                <w:color w:val="FFFFFF"/>
                <w:sz w:val="20"/>
                <w:szCs w:val="20"/>
                <w:lang w:eastAsia="en-NZ"/>
              </w:rPr>
            </w:pPr>
            <w:r w:rsidRPr="005D2D15">
              <w:rPr>
                <w:rFonts w:eastAsia="Times New Roman" w:cstheme="minorHAnsi"/>
                <w:b/>
                <w:color w:val="FFFFFF"/>
                <w:sz w:val="20"/>
                <w:szCs w:val="20"/>
                <w:lang w:eastAsia="en-NZ"/>
              </w:rPr>
              <w:t>2029</w:t>
            </w:r>
          </w:p>
        </w:tc>
        <w:tc>
          <w:tcPr>
            <w:tcW w:w="771" w:type="dxa"/>
            <w:tcBorders>
              <w:top w:val="single" w:sz="4" w:space="0" w:color="auto"/>
              <w:left w:val="nil"/>
              <w:bottom w:val="single" w:sz="4" w:space="0" w:color="auto"/>
              <w:right w:val="single" w:sz="4" w:space="0" w:color="auto"/>
            </w:tcBorders>
            <w:shd w:val="clear" w:color="000000" w:fill="003A5D"/>
            <w:noWrap/>
            <w:tcMar>
              <w:top w:w="28" w:type="dxa"/>
              <w:bottom w:w="28" w:type="dxa"/>
            </w:tcMar>
            <w:vAlign w:val="bottom"/>
            <w:hideMark/>
          </w:tcPr>
          <w:p w14:paraId="4FD4F2A7" w14:textId="77777777" w:rsidR="00860D7B" w:rsidRPr="005D2D15" w:rsidRDefault="00860D7B" w:rsidP="00203D48">
            <w:pPr>
              <w:keepNext/>
              <w:spacing w:after="0" w:line="240" w:lineRule="auto"/>
              <w:jc w:val="right"/>
              <w:rPr>
                <w:rFonts w:eastAsia="Times New Roman" w:cstheme="minorHAnsi"/>
                <w:b/>
                <w:color w:val="FFFFFF"/>
                <w:sz w:val="20"/>
                <w:szCs w:val="20"/>
                <w:lang w:eastAsia="en-NZ"/>
              </w:rPr>
            </w:pPr>
            <w:r w:rsidRPr="005D2D15">
              <w:rPr>
                <w:rFonts w:eastAsia="Times New Roman" w:cstheme="minorHAnsi"/>
                <w:b/>
                <w:color w:val="FFFFFF"/>
                <w:sz w:val="20"/>
                <w:szCs w:val="20"/>
                <w:lang w:eastAsia="en-NZ"/>
              </w:rPr>
              <w:t>2030</w:t>
            </w:r>
          </w:p>
        </w:tc>
      </w:tr>
      <w:tr w:rsidR="007153F4" w:rsidRPr="00FA58EC" w14:paraId="7200CD1E" w14:textId="77777777" w:rsidTr="008438C2">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0AA28788" w14:textId="77777777" w:rsidR="00860D7B" w:rsidRPr="005D2D15" w:rsidRDefault="00860D7B" w:rsidP="00203D48">
            <w:pPr>
              <w:keepNext/>
              <w:spacing w:after="0" w:line="240" w:lineRule="auto"/>
              <w:jc w:val="center"/>
              <w:rPr>
                <w:rFonts w:eastAsia="Times New Roman" w:cstheme="minorHAnsi"/>
                <w:color w:val="000000"/>
                <w:sz w:val="20"/>
                <w:szCs w:val="20"/>
                <w:lang w:eastAsia="en-NZ"/>
              </w:rPr>
            </w:pPr>
            <w:r w:rsidRPr="005D2D15">
              <w:rPr>
                <w:rFonts w:eastAsia="Times New Roman" w:cstheme="minorHAnsi"/>
                <w:color w:val="000000"/>
                <w:sz w:val="20"/>
                <w:szCs w:val="20"/>
                <w:lang w:eastAsia="en-NZ"/>
              </w:rPr>
              <w:t>High allocation</w:t>
            </w: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8361AB7"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Aluminium</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EAB9BB2"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1.2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880E4DD"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3D8CD07"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F3E37BE"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0ED68B1"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ED5FABB"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1.1 </w:t>
            </w:r>
          </w:p>
        </w:tc>
      </w:tr>
      <w:tr w:rsidR="007153F4" w:rsidRPr="00FA58EC" w14:paraId="3B76E8CE" w14:textId="77777777" w:rsidTr="008438C2">
        <w:trPr>
          <w:trHeight w:val="300"/>
        </w:trPr>
        <w:tc>
          <w:tcPr>
            <w:tcW w:w="2122" w:type="dxa"/>
            <w:vMerge/>
            <w:tcBorders>
              <w:top w:val="nil"/>
              <w:left w:val="single" w:sz="4" w:space="0" w:color="auto"/>
              <w:bottom w:val="single" w:sz="4" w:space="0" w:color="auto"/>
              <w:right w:val="single" w:sz="4" w:space="0" w:color="auto"/>
            </w:tcBorders>
            <w:tcMar>
              <w:top w:w="28" w:type="dxa"/>
              <w:bottom w:w="28" w:type="dxa"/>
            </w:tcMar>
            <w:vAlign w:val="center"/>
            <w:hideMark/>
          </w:tcPr>
          <w:p w14:paraId="23C9FB66" w14:textId="77777777" w:rsidR="00860D7B" w:rsidRPr="005D2D15" w:rsidRDefault="00860D7B" w:rsidP="00203D48">
            <w:pPr>
              <w:keepNext/>
              <w:spacing w:after="0" w:line="240" w:lineRule="auto"/>
              <w:jc w:val="center"/>
              <w:rPr>
                <w:rFonts w:eastAsia="Times New Roman" w:cstheme="minorHAnsi"/>
                <w:color w:val="000000"/>
                <w:sz w:val="20"/>
                <w:szCs w:val="20"/>
                <w:lang w:eastAsia="en-NZ"/>
              </w:rPr>
            </w:pP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6BE4981"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Cement and lime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D169E5A"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0.6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7C596ED"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0.6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23BA65D"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0.6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56A1455"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0.6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19AAC7D"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0.6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5D80650"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0.6 </w:t>
            </w:r>
          </w:p>
        </w:tc>
      </w:tr>
      <w:tr w:rsidR="007153F4" w:rsidRPr="00FA58EC" w14:paraId="2D597245" w14:textId="77777777" w:rsidTr="008438C2">
        <w:trPr>
          <w:trHeight w:val="300"/>
        </w:trPr>
        <w:tc>
          <w:tcPr>
            <w:tcW w:w="2122" w:type="dxa"/>
            <w:vMerge/>
            <w:tcBorders>
              <w:top w:val="nil"/>
              <w:left w:val="single" w:sz="4" w:space="0" w:color="auto"/>
              <w:bottom w:val="single" w:sz="4" w:space="0" w:color="auto"/>
              <w:right w:val="single" w:sz="4" w:space="0" w:color="auto"/>
            </w:tcBorders>
            <w:tcMar>
              <w:top w:w="28" w:type="dxa"/>
              <w:bottom w:w="28" w:type="dxa"/>
            </w:tcMar>
            <w:vAlign w:val="center"/>
            <w:hideMark/>
          </w:tcPr>
          <w:p w14:paraId="5BCDF416" w14:textId="77777777" w:rsidR="00860D7B" w:rsidRPr="005D2D15" w:rsidRDefault="00860D7B" w:rsidP="00203D48">
            <w:pPr>
              <w:keepNext/>
              <w:spacing w:after="0" w:line="240" w:lineRule="auto"/>
              <w:jc w:val="center"/>
              <w:rPr>
                <w:rFonts w:eastAsia="Times New Roman" w:cstheme="minorHAnsi"/>
                <w:color w:val="000000"/>
                <w:sz w:val="20"/>
                <w:szCs w:val="20"/>
                <w:lang w:eastAsia="en-NZ"/>
              </w:rPr>
            </w:pP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719D440"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Iron and steel</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4F05014"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1.6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23CC4EB"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05B20F2"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30BB8E3"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3C08F30"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D422385"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1.3 </w:t>
            </w:r>
          </w:p>
        </w:tc>
      </w:tr>
      <w:tr w:rsidR="007153F4" w:rsidRPr="00FA58EC" w14:paraId="2566E224" w14:textId="77777777" w:rsidTr="008438C2">
        <w:trPr>
          <w:trHeight w:val="300"/>
        </w:trPr>
        <w:tc>
          <w:tcPr>
            <w:tcW w:w="2122" w:type="dxa"/>
            <w:vMerge/>
            <w:tcBorders>
              <w:top w:val="nil"/>
              <w:left w:val="single" w:sz="4" w:space="0" w:color="auto"/>
              <w:bottom w:val="single" w:sz="4" w:space="0" w:color="auto"/>
              <w:right w:val="single" w:sz="4" w:space="0" w:color="auto"/>
            </w:tcBorders>
            <w:tcMar>
              <w:top w:w="28" w:type="dxa"/>
              <w:bottom w:w="28" w:type="dxa"/>
            </w:tcMar>
            <w:vAlign w:val="center"/>
            <w:hideMark/>
          </w:tcPr>
          <w:p w14:paraId="5B818972" w14:textId="77777777" w:rsidR="00860D7B" w:rsidRPr="005D2D15" w:rsidRDefault="00860D7B" w:rsidP="00203D48">
            <w:pPr>
              <w:keepNext/>
              <w:spacing w:after="0" w:line="240" w:lineRule="auto"/>
              <w:jc w:val="center"/>
              <w:rPr>
                <w:rFonts w:eastAsia="Times New Roman" w:cstheme="minorHAnsi"/>
                <w:color w:val="000000"/>
                <w:sz w:val="20"/>
                <w:szCs w:val="20"/>
                <w:lang w:eastAsia="en-NZ"/>
              </w:rPr>
            </w:pP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382C617"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Methanol</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AF61482"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0.5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D7D82E2"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1.0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3131922"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0.9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EB7D8BD"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0.5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E0284A8"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0.5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1A80224"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r>
      <w:tr w:rsidR="007153F4" w:rsidRPr="00FA58EC" w14:paraId="33593707" w14:textId="77777777" w:rsidTr="008438C2">
        <w:trPr>
          <w:trHeight w:val="300"/>
        </w:trPr>
        <w:tc>
          <w:tcPr>
            <w:tcW w:w="2122" w:type="dxa"/>
            <w:vMerge/>
            <w:tcBorders>
              <w:top w:val="nil"/>
              <w:left w:val="single" w:sz="4" w:space="0" w:color="auto"/>
              <w:bottom w:val="single" w:sz="4" w:space="0" w:color="auto"/>
              <w:right w:val="single" w:sz="4" w:space="0" w:color="auto"/>
            </w:tcBorders>
            <w:tcMar>
              <w:top w:w="28" w:type="dxa"/>
              <w:bottom w:w="28" w:type="dxa"/>
            </w:tcMar>
            <w:vAlign w:val="center"/>
            <w:hideMark/>
          </w:tcPr>
          <w:p w14:paraId="76FE485B" w14:textId="77777777" w:rsidR="00860D7B" w:rsidRPr="005D2D15" w:rsidRDefault="00860D7B" w:rsidP="00203D48">
            <w:pPr>
              <w:keepNext/>
              <w:spacing w:after="0" w:line="240" w:lineRule="auto"/>
              <w:jc w:val="center"/>
              <w:rPr>
                <w:rFonts w:eastAsia="Times New Roman" w:cstheme="minorHAnsi"/>
                <w:color w:val="000000"/>
                <w:sz w:val="20"/>
                <w:szCs w:val="20"/>
                <w:lang w:eastAsia="en-NZ"/>
              </w:rPr>
            </w:pP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42AC921"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Other - High</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872AECF"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2A92166"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D733CF7"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8F6B3C3"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B5B0620"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E06BBA4"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r>
      <w:tr w:rsidR="007153F4" w:rsidRPr="00FA58EC" w14:paraId="4B276861" w14:textId="77777777" w:rsidTr="008438C2">
        <w:trPr>
          <w:trHeight w:val="300"/>
        </w:trPr>
        <w:tc>
          <w:tcPr>
            <w:tcW w:w="2122" w:type="dxa"/>
            <w:vMerge/>
            <w:tcBorders>
              <w:top w:val="nil"/>
              <w:left w:val="single" w:sz="4" w:space="0" w:color="auto"/>
              <w:bottom w:val="single" w:sz="4" w:space="0" w:color="auto"/>
              <w:right w:val="single" w:sz="4" w:space="0" w:color="auto"/>
            </w:tcBorders>
            <w:tcMar>
              <w:top w:w="28" w:type="dxa"/>
              <w:bottom w:w="28" w:type="dxa"/>
            </w:tcMar>
            <w:vAlign w:val="center"/>
            <w:hideMark/>
          </w:tcPr>
          <w:p w14:paraId="00A0E715" w14:textId="77777777" w:rsidR="00860D7B" w:rsidRPr="005D2D15" w:rsidRDefault="00860D7B" w:rsidP="00203D48">
            <w:pPr>
              <w:keepNext/>
              <w:spacing w:after="0" w:line="240" w:lineRule="auto"/>
              <w:jc w:val="center"/>
              <w:rPr>
                <w:rFonts w:eastAsia="Times New Roman" w:cstheme="minorHAnsi"/>
                <w:color w:val="000000"/>
                <w:sz w:val="20"/>
                <w:szCs w:val="20"/>
                <w:lang w:eastAsia="en-NZ"/>
              </w:rPr>
            </w:pP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7CDB472"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Urea</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9904C82"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FD40D63"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51279F6"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0DDBAE5"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557A594"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E77F60F"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0.3 </w:t>
            </w:r>
          </w:p>
        </w:tc>
      </w:tr>
      <w:tr w:rsidR="007153F4" w:rsidRPr="00FA58EC" w14:paraId="047C0981" w14:textId="77777777" w:rsidTr="008438C2">
        <w:trPr>
          <w:trHeight w:val="300"/>
        </w:trPr>
        <w:tc>
          <w:tcPr>
            <w:tcW w:w="2122" w:type="dxa"/>
            <w:vMerge w:val="restart"/>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41DC1D4A" w14:textId="77777777" w:rsidR="00860D7B" w:rsidRPr="005D2D15" w:rsidRDefault="00860D7B" w:rsidP="00203D48">
            <w:pPr>
              <w:keepNext/>
              <w:spacing w:after="0" w:line="240" w:lineRule="auto"/>
              <w:jc w:val="center"/>
              <w:rPr>
                <w:rFonts w:eastAsia="Times New Roman" w:cstheme="minorHAnsi"/>
                <w:color w:val="000000"/>
                <w:sz w:val="20"/>
                <w:szCs w:val="20"/>
                <w:lang w:eastAsia="en-NZ"/>
              </w:rPr>
            </w:pPr>
            <w:r w:rsidRPr="005D2D15">
              <w:rPr>
                <w:rFonts w:eastAsia="Times New Roman" w:cstheme="minorHAnsi"/>
                <w:color w:val="000000"/>
                <w:sz w:val="20"/>
                <w:szCs w:val="20"/>
                <w:lang w:eastAsia="en-NZ"/>
              </w:rPr>
              <w:t>Moderate allocation</w:t>
            </w: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45C87BC"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Dairy products</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CD007B2"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3C40DAF"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34DBA23"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7EA6FBC"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7CD60C8"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D06AF32"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r>
      <w:tr w:rsidR="007153F4" w:rsidRPr="00FA58EC" w14:paraId="38226D33" w14:textId="77777777" w:rsidTr="008438C2">
        <w:trPr>
          <w:trHeight w:val="300"/>
        </w:trPr>
        <w:tc>
          <w:tcPr>
            <w:tcW w:w="2122" w:type="dxa"/>
            <w:vMerge/>
            <w:tcBorders>
              <w:top w:val="nil"/>
              <w:left w:val="single" w:sz="4" w:space="0" w:color="auto"/>
              <w:bottom w:val="single" w:sz="4" w:space="0" w:color="auto"/>
              <w:right w:val="single" w:sz="4" w:space="0" w:color="auto"/>
            </w:tcBorders>
            <w:tcMar>
              <w:top w:w="28" w:type="dxa"/>
              <w:bottom w:w="28" w:type="dxa"/>
            </w:tcMar>
            <w:vAlign w:val="center"/>
            <w:hideMark/>
          </w:tcPr>
          <w:p w14:paraId="2585428D" w14:textId="77777777" w:rsidR="00860D7B" w:rsidRPr="005D2D15" w:rsidRDefault="00860D7B" w:rsidP="00203D48">
            <w:pPr>
              <w:keepNext/>
              <w:spacing w:after="0" w:line="240" w:lineRule="auto"/>
              <w:rPr>
                <w:rFonts w:eastAsia="Times New Roman" w:cstheme="minorHAnsi"/>
                <w:color w:val="000000"/>
                <w:sz w:val="20"/>
                <w:szCs w:val="20"/>
                <w:lang w:eastAsia="en-NZ"/>
              </w:rPr>
            </w:pP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456E6E7"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Horticulture</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4E4F0EE"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DFB991A"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82D4E97"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D2CD005"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B352F7F"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26C19B0"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0.0 </w:t>
            </w:r>
          </w:p>
        </w:tc>
      </w:tr>
      <w:tr w:rsidR="007153F4" w:rsidRPr="00FA58EC" w14:paraId="336522A9" w14:textId="77777777" w:rsidTr="008438C2">
        <w:trPr>
          <w:trHeight w:val="300"/>
        </w:trPr>
        <w:tc>
          <w:tcPr>
            <w:tcW w:w="2122" w:type="dxa"/>
            <w:vMerge/>
            <w:tcBorders>
              <w:top w:val="nil"/>
              <w:left w:val="single" w:sz="4" w:space="0" w:color="auto"/>
              <w:bottom w:val="single" w:sz="4" w:space="0" w:color="auto"/>
              <w:right w:val="single" w:sz="4" w:space="0" w:color="auto"/>
            </w:tcBorders>
            <w:tcMar>
              <w:top w:w="28" w:type="dxa"/>
              <w:bottom w:w="28" w:type="dxa"/>
            </w:tcMar>
            <w:vAlign w:val="center"/>
            <w:hideMark/>
          </w:tcPr>
          <w:p w14:paraId="1BC40589" w14:textId="77777777" w:rsidR="00860D7B" w:rsidRPr="005D2D15" w:rsidRDefault="00860D7B" w:rsidP="00203D48">
            <w:pPr>
              <w:keepNext/>
              <w:spacing w:after="0" w:line="240" w:lineRule="auto"/>
              <w:rPr>
                <w:rFonts w:eastAsia="Times New Roman" w:cstheme="minorHAnsi"/>
                <w:color w:val="000000"/>
                <w:sz w:val="20"/>
                <w:szCs w:val="20"/>
                <w:lang w:eastAsia="en-NZ"/>
              </w:rPr>
            </w:pP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A152199"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Meat products</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7B6D9B4"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CCA902E"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209FA9E"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3E06B4D"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3810BAA"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8A9566C"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r>
      <w:tr w:rsidR="007153F4" w:rsidRPr="00FA58EC" w14:paraId="663130AF" w14:textId="77777777" w:rsidTr="008438C2">
        <w:trPr>
          <w:trHeight w:val="300"/>
        </w:trPr>
        <w:tc>
          <w:tcPr>
            <w:tcW w:w="2122" w:type="dxa"/>
            <w:vMerge/>
            <w:tcBorders>
              <w:top w:val="nil"/>
              <w:left w:val="single" w:sz="4" w:space="0" w:color="auto"/>
              <w:bottom w:val="single" w:sz="4" w:space="0" w:color="auto"/>
              <w:right w:val="single" w:sz="4" w:space="0" w:color="auto"/>
            </w:tcBorders>
            <w:tcMar>
              <w:top w:w="28" w:type="dxa"/>
              <w:bottom w:w="28" w:type="dxa"/>
            </w:tcMar>
            <w:vAlign w:val="center"/>
            <w:hideMark/>
          </w:tcPr>
          <w:p w14:paraId="49EF746D" w14:textId="77777777" w:rsidR="00860D7B" w:rsidRPr="005D2D15" w:rsidRDefault="00860D7B" w:rsidP="00203D48">
            <w:pPr>
              <w:keepNext/>
              <w:spacing w:after="0" w:line="240" w:lineRule="auto"/>
              <w:rPr>
                <w:rFonts w:eastAsia="Times New Roman" w:cstheme="minorHAnsi"/>
                <w:color w:val="000000"/>
                <w:sz w:val="20"/>
                <w:szCs w:val="20"/>
                <w:lang w:eastAsia="en-NZ"/>
              </w:rPr>
            </w:pP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2525AEF"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Other - Low</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C77346E"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0.2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4231CE1"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0.2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217C812"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5631668"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55F72A5"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9BDECC5"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0.1 </w:t>
            </w:r>
          </w:p>
        </w:tc>
      </w:tr>
      <w:tr w:rsidR="007153F4" w:rsidRPr="00FA58EC" w14:paraId="67AD4D79" w14:textId="77777777" w:rsidTr="008438C2">
        <w:trPr>
          <w:trHeight w:val="300"/>
        </w:trPr>
        <w:tc>
          <w:tcPr>
            <w:tcW w:w="2122" w:type="dxa"/>
            <w:vMerge/>
            <w:tcBorders>
              <w:top w:val="nil"/>
              <w:left w:val="single" w:sz="4" w:space="0" w:color="auto"/>
              <w:bottom w:val="single" w:sz="4" w:space="0" w:color="auto"/>
              <w:right w:val="single" w:sz="4" w:space="0" w:color="auto"/>
            </w:tcBorders>
            <w:tcMar>
              <w:top w:w="28" w:type="dxa"/>
              <w:bottom w:w="28" w:type="dxa"/>
            </w:tcMar>
            <w:vAlign w:val="center"/>
            <w:hideMark/>
          </w:tcPr>
          <w:p w14:paraId="082591BA" w14:textId="77777777" w:rsidR="00860D7B" w:rsidRPr="005D2D15" w:rsidRDefault="00860D7B" w:rsidP="00203D48">
            <w:pPr>
              <w:keepNext/>
              <w:spacing w:after="0" w:line="240" w:lineRule="auto"/>
              <w:rPr>
                <w:rFonts w:eastAsia="Times New Roman" w:cstheme="minorHAnsi"/>
                <w:color w:val="000000"/>
                <w:sz w:val="20"/>
                <w:szCs w:val="20"/>
                <w:lang w:eastAsia="en-NZ"/>
              </w:rPr>
            </w:pP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454527B"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Pulp and paper products</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1ECFE37"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0.6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BE17367"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0.4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314EDB7"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0.4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4F06145"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0.4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4D05B1A"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0.3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843AF6A"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0.3 </w:t>
            </w:r>
          </w:p>
        </w:tc>
      </w:tr>
      <w:tr w:rsidR="00860D7B" w:rsidRPr="00FA58EC" w14:paraId="174C4EE3" w14:textId="77777777" w:rsidTr="008438C2">
        <w:trPr>
          <w:trHeight w:val="300"/>
        </w:trPr>
        <w:tc>
          <w:tcPr>
            <w:tcW w:w="4390" w:type="dxa"/>
            <w:gridSpan w:val="2"/>
            <w:tcBorders>
              <w:top w:val="single" w:sz="4" w:space="0" w:color="auto"/>
              <w:left w:val="single" w:sz="4" w:space="0" w:color="auto"/>
              <w:bottom w:val="single" w:sz="4" w:space="0" w:color="auto"/>
              <w:right w:val="single" w:sz="4" w:space="0" w:color="000000"/>
            </w:tcBorders>
            <w:shd w:val="clear" w:color="auto" w:fill="auto"/>
            <w:noWrap/>
            <w:tcMar>
              <w:top w:w="28" w:type="dxa"/>
              <w:bottom w:w="28" w:type="dxa"/>
            </w:tcMar>
            <w:vAlign w:val="bottom"/>
            <w:hideMark/>
          </w:tcPr>
          <w:p w14:paraId="7E81FE3C" w14:textId="77777777" w:rsidR="00860D7B" w:rsidRPr="005D2D15" w:rsidRDefault="00860D7B" w:rsidP="00203D48">
            <w:pPr>
              <w:keepNext/>
              <w:spacing w:after="0" w:line="240" w:lineRule="auto"/>
              <w:jc w:val="center"/>
              <w:rPr>
                <w:rFonts w:eastAsia="Times New Roman" w:cstheme="minorHAnsi"/>
                <w:b/>
                <w:color w:val="000000"/>
                <w:sz w:val="20"/>
                <w:szCs w:val="20"/>
                <w:lang w:eastAsia="en-NZ"/>
              </w:rPr>
            </w:pPr>
            <w:r w:rsidRPr="005D2D15">
              <w:rPr>
                <w:rFonts w:eastAsia="Times New Roman" w:cstheme="minorHAnsi"/>
                <w:b/>
                <w:color w:val="000000"/>
                <w:sz w:val="20"/>
                <w:szCs w:val="20"/>
                <w:lang w:eastAsia="en-NZ"/>
              </w:rPr>
              <w:t>Total updated forecasts</w:t>
            </w:r>
          </w:p>
        </w:tc>
        <w:tc>
          <w:tcPr>
            <w:tcW w:w="771"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5C03377C" w14:textId="77777777" w:rsidR="00860D7B" w:rsidRPr="005D2D15" w:rsidRDefault="00860D7B" w:rsidP="00203D48">
            <w:pPr>
              <w:keepNext/>
              <w:spacing w:after="0" w:line="240" w:lineRule="auto"/>
              <w:jc w:val="right"/>
              <w:rPr>
                <w:rFonts w:eastAsia="Times New Roman" w:cstheme="minorHAnsi"/>
                <w:b/>
                <w:color w:val="000000"/>
                <w:sz w:val="20"/>
                <w:szCs w:val="20"/>
                <w:lang w:eastAsia="en-NZ"/>
              </w:rPr>
            </w:pPr>
            <w:r w:rsidRPr="005D2D15">
              <w:rPr>
                <w:rFonts w:eastAsia="Times New Roman" w:cstheme="minorHAnsi"/>
                <w:b/>
                <w:color w:val="000000"/>
                <w:sz w:val="20"/>
                <w:szCs w:val="20"/>
                <w:lang w:eastAsia="en-NZ"/>
              </w:rPr>
              <w:t xml:space="preserve">5.1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2747B46" w14:textId="77777777" w:rsidR="00860D7B" w:rsidRPr="005D2D15" w:rsidRDefault="00860D7B" w:rsidP="00203D48">
            <w:pPr>
              <w:keepNext/>
              <w:spacing w:after="0" w:line="240" w:lineRule="auto"/>
              <w:jc w:val="right"/>
              <w:rPr>
                <w:rFonts w:eastAsia="Times New Roman" w:cstheme="minorHAnsi"/>
                <w:b/>
                <w:color w:val="000000"/>
                <w:sz w:val="20"/>
                <w:szCs w:val="20"/>
                <w:lang w:eastAsia="en-NZ"/>
              </w:rPr>
            </w:pPr>
            <w:r w:rsidRPr="005D2D15">
              <w:rPr>
                <w:rFonts w:eastAsia="Times New Roman" w:cstheme="minorHAnsi"/>
                <w:b/>
                <w:color w:val="000000"/>
                <w:sz w:val="20"/>
                <w:szCs w:val="20"/>
                <w:lang w:eastAsia="en-NZ"/>
              </w:rPr>
              <w:t xml:space="preserve">5.1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9A9DD22" w14:textId="77777777" w:rsidR="00860D7B" w:rsidRPr="005D2D15" w:rsidRDefault="00860D7B" w:rsidP="00203D48">
            <w:pPr>
              <w:keepNext/>
              <w:spacing w:after="0" w:line="240" w:lineRule="auto"/>
              <w:jc w:val="right"/>
              <w:rPr>
                <w:rFonts w:eastAsia="Times New Roman" w:cstheme="minorHAnsi"/>
                <w:b/>
                <w:color w:val="000000"/>
                <w:sz w:val="20"/>
                <w:szCs w:val="20"/>
                <w:lang w:eastAsia="en-NZ"/>
              </w:rPr>
            </w:pPr>
            <w:r w:rsidRPr="005D2D15">
              <w:rPr>
                <w:rFonts w:eastAsia="Times New Roman" w:cstheme="minorHAnsi"/>
                <w:b/>
                <w:color w:val="000000"/>
                <w:sz w:val="20"/>
                <w:szCs w:val="20"/>
                <w:lang w:eastAsia="en-NZ"/>
              </w:rPr>
              <w:t xml:space="preserve">5.1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4953DBE" w14:textId="77777777" w:rsidR="00860D7B" w:rsidRPr="005D2D15" w:rsidRDefault="00860D7B" w:rsidP="00203D48">
            <w:pPr>
              <w:keepNext/>
              <w:spacing w:after="0" w:line="240" w:lineRule="auto"/>
              <w:jc w:val="right"/>
              <w:rPr>
                <w:rFonts w:eastAsia="Times New Roman" w:cstheme="minorHAnsi"/>
                <w:b/>
                <w:color w:val="000000"/>
                <w:sz w:val="20"/>
                <w:szCs w:val="20"/>
                <w:lang w:eastAsia="en-NZ"/>
              </w:rPr>
            </w:pPr>
            <w:r w:rsidRPr="005D2D15">
              <w:rPr>
                <w:rFonts w:eastAsia="Times New Roman" w:cstheme="minorHAnsi"/>
                <w:b/>
                <w:color w:val="000000"/>
                <w:sz w:val="20"/>
                <w:szCs w:val="20"/>
                <w:lang w:eastAsia="en-NZ"/>
              </w:rPr>
              <w:t xml:space="preserve">4.5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C6E6B14" w14:textId="77777777" w:rsidR="00860D7B" w:rsidRPr="005D2D15" w:rsidRDefault="00860D7B" w:rsidP="00203D48">
            <w:pPr>
              <w:keepNext/>
              <w:spacing w:after="0" w:line="240" w:lineRule="auto"/>
              <w:jc w:val="right"/>
              <w:rPr>
                <w:rFonts w:eastAsia="Times New Roman" w:cstheme="minorHAnsi"/>
                <w:b/>
                <w:color w:val="000000"/>
                <w:sz w:val="20"/>
                <w:szCs w:val="20"/>
                <w:lang w:eastAsia="en-NZ"/>
              </w:rPr>
            </w:pPr>
            <w:r w:rsidRPr="005D2D15">
              <w:rPr>
                <w:rFonts w:eastAsia="Times New Roman" w:cstheme="minorHAnsi"/>
                <w:b/>
                <w:color w:val="000000"/>
                <w:sz w:val="20"/>
                <w:szCs w:val="20"/>
                <w:lang w:eastAsia="en-NZ"/>
              </w:rPr>
              <w:t xml:space="preserve">4.5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30EBBEC" w14:textId="77777777" w:rsidR="00860D7B" w:rsidRPr="005D2D15" w:rsidRDefault="00860D7B" w:rsidP="00203D48">
            <w:pPr>
              <w:keepNext/>
              <w:spacing w:after="0" w:line="240" w:lineRule="auto"/>
              <w:jc w:val="right"/>
              <w:rPr>
                <w:rFonts w:eastAsia="Times New Roman" w:cstheme="minorHAnsi"/>
                <w:b/>
                <w:color w:val="000000"/>
                <w:sz w:val="20"/>
                <w:szCs w:val="20"/>
                <w:lang w:eastAsia="en-NZ"/>
              </w:rPr>
            </w:pPr>
            <w:r w:rsidRPr="005D2D15">
              <w:rPr>
                <w:rFonts w:eastAsia="Times New Roman" w:cstheme="minorHAnsi"/>
                <w:b/>
                <w:color w:val="000000"/>
                <w:sz w:val="20"/>
                <w:szCs w:val="20"/>
                <w:lang w:eastAsia="en-NZ"/>
              </w:rPr>
              <w:t xml:space="preserve">4.0 </w:t>
            </w:r>
          </w:p>
        </w:tc>
      </w:tr>
      <w:tr w:rsidR="00EA54FF" w:rsidRPr="00FA58EC" w14:paraId="0B10EFE5" w14:textId="77777777" w:rsidTr="008438C2">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657B2192" w14:textId="77777777"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 </w:t>
            </w:r>
          </w:p>
        </w:tc>
        <w:tc>
          <w:tcPr>
            <w:tcW w:w="22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3FC3C657" w14:textId="7C3620A3" w:rsidR="00860D7B" w:rsidRPr="005D2D15" w:rsidRDefault="00860D7B" w:rsidP="00203D48">
            <w:pPr>
              <w:keepNext/>
              <w:spacing w:after="0" w:line="240" w:lineRule="auto"/>
              <w:rPr>
                <w:rFonts w:eastAsia="Times New Roman" w:cstheme="minorHAnsi"/>
                <w:color w:val="000000"/>
                <w:sz w:val="20"/>
                <w:szCs w:val="20"/>
                <w:lang w:eastAsia="en-NZ"/>
              </w:rPr>
            </w:pPr>
            <w:r w:rsidRPr="005D2D15">
              <w:rPr>
                <w:rFonts w:eastAsia="Times New Roman" w:cstheme="minorHAnsi"/>
                <w:color w:val="000000"/>
                <w:sz w:val="20"/>
                <w:szCs w:val="20"/>
                <w:lang w:eastAsia="en-NZ"/>
              </w:rPr>
              <w:t xml:space="preserve">Previous </w:t>
            </w:r>
            <w:r w:rsidR="00C72903" w:rsidRPr="005D2D15">
              <w:rPr>
                <w:rFonts w:eastAsia="Times New Roman" w:cstheme="minorHAnsi"/>
                <w:color w:val="000000"/>
                <w:sz w:val="20"/>
                <w:szCs w:val="20"/>
                <w:lang w:eastAsia="en-NZ"/>
              </w:rPr>
              <w:t xml:space="preserve">2024 </w:t>
            </w:r>
            <w:r w:rsidRPr="005D2D15">
              <w:rPr>
                <w:rFonts w:eastAsia="Times New Roman" w:cstheme="minorHAnsi"/>
                <w:color w:val="000000"/>
                <w:sz w:val="20"/>
                <w:szCs w:val="20"/>
                <w:lang w:eastAsia="en-NZ"/>
              </w:rPr>
              <w:t>forecast</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49CCB73"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6.0</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E35DE6F" w14:textId="77777777" w:rsidR="00860D7B" w:rsidRPr="005D2D15" w:rsidRDefault="00860D7B" w:rsidP="00203D48">
            <w:pPr>
              <w:keepNext/>
              <w:spacing w:after="0" w:line="240" w:lineRule="auto"/>
              <w:jc w:val="right"/>
              <w:rPr>
                <w:rFonts w:eastAsia="Times New Roman" w:cstheme="minorHAnsi"/>
                <w:color w:val="000000"/>
                <w:sz w:val="20"/>
                <w:szCs w:val="20"/>
                <w:lang w:eastAsia="en-NZ"/>
              </w:rPr>
            </w:pPr>
            <w:r w:rsidRPr="005D2D15">
              <w:rPr>
                <w:rFonts w:eastAsia="Times New Roman" w:cstheme="minorHAnsi"/>
                <w:color w:val="000000"/>
                <w:sz w:val="20"/>
                <w:szCs w:val="20"/>
                <w:lang w:eastAsia="en-NZ"/>
              </w:rPr>
              <w:t>5.7</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3A31222" w14:textId="77777777" w:rsidR="00860D7B" w:rsidRPr="005D2D15" w:rsidRDefault="00860D7B" w:rsidP="00203D48">
            <w:pPr>
              <w:keepNext/>
              <w:spacing w:after="0" w:line="240" w:lineRule="auto"/>
              <w:jc w:val="right"/>
              <w:rPr>
                <w:rFonts w:eastAsia="Yu Gothic Light" w:cstheme="minorHAnsi"/>
                <w:color w:val="000000"/>
                <w:sz w:val="20"/>
                <w:szCs w:val="20"/>
                <w:lang w:eastAsia="en-NZ"/>
              </w:rPr>
            </w:pPr>
            <w:r w:rsidRPr="005D2D15">
              <w:rPr>
                <w:rFonts w:eastAsia="Yu Gothic Light" w:cstheme="minorHAnsi"/>
                <w:color w:val="000000"/>
                <w:sz w:val="20"/>
                <w:szCs w:val="20"/>
                <w:lang w:eastAsia="en-NZ"/>
              </w:rPr>
              <w:t>5.7</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1FB529A" w14:textId="77777777" w:rsidR="00860D7B" w:rsidRPr="005D2D15" w:rsidRDefault="00860D7B" w:rsidP="00203D48">
            <w:pPr>
              <w:keepNext/>
              <w:spacing w:after="0" w:line="240" w:lineRule="auto"/>
              <w:jc w:val="right"/>
              <w:rPr>
                <w:rFonts w:eastAsia="Yu Gothic Light" w:cstheme="minorHAnsi"/>
                <w:color w:val="000000"/>
                <w:sz w:val="20"/>
                <w:szCs w:val="20"/>
                <w:lang w:eastAsia="en-NZ"/>
              </w:rPr>
            </w:pPr>
            <w:r w:rsidRPr="005D2D15">
              <w:rPr>
                <w:rFonts w:eastAsia="Yu Gothic Light" w:cstheme="minorHAnsi"/>
                <w:color w:val="000000"/>
                <w:sz w:val="20"/>
                <w:szCs w:val="20"/>
                <w:lang w:eastAsia="en-NZ"/>
              </w:rPr>
              <w:t>5.6</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19CDD3F" w14:textId="77777777" w:rsidR="00860D7B" w:rsidRPr="005D2D15" w:rsidRDefault="00860D7B" w:rsidP="00203D48">
            <w:pPr>
              <w:keepNext/>
              <w:spacing w:after="0" w:line="240" w:lineRule="auto"/>
              <w:jc w:val="right"/>
              <w:rPr>
                <w:rFonts w:eastAsia="Yu Gothic Light" w:cstheme="minorHAnsi"/>
                <w:color w:val="000000"/>
                <w:sz w:val="20"/>
                <w:szCs w:val="20"/>
                <w:lang w:eastAsia="en-NZ"/>
              </w:rPr>
            </w:pPr>
            <w:r w:rsidRPr="005D2D15">
              <w:rPr>
                <w:rFonts w:eastAsia="Yu Gothic Light" w:cstheme="minorHAnsi"/>
                <w:color w:val="000000"/>
                <w:sz w:val="20"/>
                <w:szCs w:val="20"/>
                <w:lang w:eastAsia="en-NZ"/>
              </w:rPr>
              <w:t>5.5</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9E0AB1B" w14:textId="77777777" w:rsidR="00860D7B" w:rsidRPr="005D2D15" w:rsidRDefault="00860D7B" w:rsidP="00203D48">
            <w:pPr>
              <w:keepNext/>
              <w:spacing w:after="0" w:line="240" w:lineRule="auto"/>
              <w:jc w:val="right"/>
              <w:rPr>
                <w:rFonts w:eastAsia="Yu Gothic Light" w:cstheme="minorHAnsi"/>
                <w:color w:val="000000"/>
                <w:sz w:val="20"/>
                <w:szCs w:val="20"/>
                <w:lang w:eastAsia="en-NZ"/>
              </w:rPr>
            </w:pPr>
            <w:r w:rsidRPr="005D2D15">
              <w:rPr>
                <w:rFonts w:eastAsia="Yu Gothic Light" w:cstheme="minorHAnsi"/>
                <w:color w:val="000000"/>
                <w:sz w:val="20"/>
                <w:szCs w:val="20"/>
                <w:lang w:eastAsia="en-NZ"/>
              </w:rPr>
              <w:t>5.1</w:t>
            </w:r>
          </w:p>
        </w:tc>
      </w:tr>
      <w:tr w:rsidR="00EA54FF" w:rsidRPr="00FA58EC" w14:paraId="51642CF3" w14:textId="77777777" w:rsidTr="008438C2">
        <w:trPr>
          <w:trHeight w:val="300"/>
        </w:trPr>
        <w:tc>
          <w:tcPr>
            <w:tcW w:w="212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23CFE9CD" w14:textId="77777777" w:rsidR="00860D7B" w:rsidRPr="005D2D15" w:rsidRDefault="00860D7B" w:rsidP="00860D7B">
            <w:pPr>
              <w:spacing w:after="0" w:line="240" w:lineRule="auto"/>
              <w:rPr>
                <w:rFonts w:eastAsia="Yu Gothic Light" w:cstheme="minorHAnsi"/>
                <w:color w:val="000000"/>
                <w:sz w:val="20"/>
                <w:szCs w:val="20"/>
                <w:lang w:eastAsia="en-NZ"/>
              </w:rPr>
            </w:pPr>
            <w:r w:rsidRPr="005D2D15">
              <w:rPr>
                <w:rFonts w:eastAsia="Yu Gothic Light" w:cstheme="minorHAnsi"/>
                <w:color w:val="000000"/>
                <w:sz w:val="20"/>
                <w:szCs w:val="20"/>
                <w:lang w:eastAsia="en-NZ"/>
              </w:rPr>
              <w:t> </w:t>
            </w:r>
          </w:p>
        </w:tc>
        <w:tc>
          <w:tcPr>
            <w:tcW w:w="22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A492D7E" w14:textId="77777777" w:rsidR="00860D7B" w:rsidRPr="005D2D15" w:rsidRDefault="00860D7B" w:rsidP="00860D7B">
            <w:pPr>
              <w:spacing w:after="0" w:line="240" w:lineRule="auto"/>
              <w:rPr>
                <w:rFonts w:eastAsia="Yu Gothic Light" w:cstheme="minorHAnsi"/>
                <w:color w:val="000000"/>
                <w:sz w:val="20"/>
                <w:szCs w:val="20"/>
                <w:lang w:eastAsia="en-NZ"/>
              </w:rPr>
            </w:pPr>
            <w:r w:rsidRPr="005D2D15">
              <w:rPr>
                <w:rFonts w:eastAsia="Yu Gothic Light" w:cstheme="minorHAnsi"/>
                <w:color w:val="000000"/>
                <w:sz w:val="20"/>
                <w:szCs w:val="20"/>
                <w:lang w:eastAsia="en-NZ"/>
              </w:rPr>
              <w:t>Difference</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4633AAD" w14:textId="77777777" w:rsidR="00860D7B" w:rsidRPr="005D2D15" w:rsidRDefault="00860D7B" w:rsidP="00860D7B">
            <w:pPr>
              <w:spacing w:after="0" w:line="240" w:lineRule="auto"/>
              <w:jc w:val="right"/>
              <w:rPr>
                <w:rFonts w:eastAsia="Yu Gothic Light" w:cstheme="minorHAnsi"/>
                <w:color w:val="000000"/>
                <w:sz w:val="20"/>
                <w:szCs w:val="20"/>
                <w:lang w:eastAsia="en-NZ"/>
              </w:rPr>
            </w:pPr>
            <w:r w:rsidRPr="005D2D15">
              <w:rPr>
                <w:rFonts w:eastAsia="Yu Gothic Light" w:cstheme="minorHAnsi"/>
                <w:color w:val="FF0000"/>
                <w:sz w:val="20"/>
                <w:szCs w:val="20"/>
                <w:lang w:eastAsia="en-NZ"/>
              </w:rPr>
              <w:t xml:space="preserve">-0.9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DCEDB15" w14:textId="77777777" w:rsidR="00860D7B" w:rsidRPr="005D2D15" w:rsidRDefault="00860D7B" w:rsidP="00860D7B">
            <w:pPr>
              <w:spacing w:after="0" w:line="240" w:lineRule="auto"/>
              <w:jc w:val="right"/>
              <w:rPr>
                <w:rFonts w:eastAsia="Yu Gothic Light" w:cstheme="minorHAnsi"/>
                <w:color w:val="000000"/>
                <w:sz w:val="20"/>
                <w:szCs w:val="20"/>
                <w:lang w:eastAsia="en-NZ"/>
              </w:rPr>
            </w:pPr>
            <w:r w:rsidRPr="005D2D15">
              <w:rPr>
                <w:rFonts w:eastAsia="Yu Gothic Light" w:cstheme="minorHAnsi"/>
                <w:color w:val="FF0000"/>
                <w:sz w:val="20"/>
                <w:szCs w:val="20"/>
                <w:lang w:eastAsia="en-NZ"/>
              </w:rPr>
              <w:t xml:space="preserve">-0.6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3B7A579" w14:textId="77777777" w:rsidR="00860D7B" w:rsidRPr="005D2D15" w:rsidRDefault="00860D7B" w:rsidP="00860D7B">
            <w:pPr>
              <w:spacing w:after="0" w:line="240" w:lineRule="auto"/>
              <w:jc w:val="right"/>
              <w:rPr>
                <w:rFonts w:eastAsia="Yu Gothic Light" w:cstheme="minorHAnsi"/>
                <w:color w:val="000000"/>
                <w:sz w:val="20"/>
                <w:szCs w:val="20"/>
                <w:lang w:eastAsia="en-NZ"/>
              </w:rPr>
            </w:pPr>
            <w:r w:rsidRPr="005D2D15">
              <w:rPr>
                <w:rFonts w:eastAsia="Yu Gothic Light" w:cstheme="minorHAnsi"/>
                <w:color w:val="FF0000"/>
                <w:sz w:val="20"/>
                <w:szCs w:val="20"/>
                <w:lang w:eastAsia="en-NZ"/>
              </w:rPr>
              <w:t xml:space="preserve">-0.6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753DB91" w14:textId="77777777" w:rsidR="00860D7B" w:rsidRPr="005D2D15" w:rsidRDefault="00860D7B" w:rsidP="00860D7B">
            <w:pPr>
              <w:spacing w:after="0" w:line="240" w:lineRule="auto"/>
              <w:jc w:val="right"/>
              <w:rPr>
                <w:rFonts w:eastAsia="Yu Gothic Light" w:cstheme="minorHAnsi"/>
                <w:color w:val="000000"/>
                <w:sz w:val="20"/>
                <w:szCs w:val="20"/>
                <w:lang w:eastAsia="en-NZ"/>
              </w:rPr>
            </w:pPr>
            <w:r w:rsidRPr="005D2D15">
              <w:rPr>
                <w:rFonts w:eastAsia="Yu Gothic Light" w:cstheme="minorHAnsi"/>
                <w:color w:val="FF0000"/>
                <w:sz w:val="20"/>
                <w:szCs w:val="20"/>
                <w:lang w:eastAsia="en-NZ"/>
              </w:rPr>
              <w:t xml:space="preserve">-1.1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71AFD87" w14:textId="77777777" w:rsidR="00860D7B" w:rsidRPr="005D2D15" w:rsidRDefault="00860D7B" w:rsidP="00860D7B">
            <w:pPr>
              <w:spacing w:after="0" w:line="240" w:lineRule="auto"/>
              <w:jc w:val="right"/>
              <w:rPr>
                <w:rFonts w:eastAsia="Yu Gothic Light" w:cstheme="minorHAnsi"/>
                <w:color w:val="000000"/>
                <w:sz w:val="20"/>
                <w:szCs w:val="20"/>
                <w:lang w:eastAsia="en-NZ"/>
              </w:rPr>
            </w:pPr>
            <w:r w:rsidRPr="005D2D15">
              <w:rPr>
                <w:rFonts w:eastAsia="Yu Gothic Light" w:cstheme="minorHAnsi"/>
                <w:color w:val="FF0000"/>
                <w:sz w:val="20"/>
                <w:szCs w:val="20"/>
                <w:lang w:eastAsia="en-NZ"/>
              </w:rPr>
              <w:t xml:space="preserve">-1.0 </w:t>
            </w:r>
          </w:p>
        </w:tc>
        <w:tc>
          <w:tcPr>
            <w:tcW w:w="77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17CF232" w14:textId="77777777" w:rsidR="00860D7B" w:rsidRPr="005D2D15" w:rsidRDefault="00860D7B" w:rsidP="00860D7B">
            <w:pPr>
              <w:spacing w:after="0" w:line="240" w:lineRule="auto"/>
              <w:jc w:val="right"/>
              <w:rPr>
                <w:rFonts w:eastAsia="Yu Gothic Light" w:cstheme="minorHAnsi"/>
                <w:color w:val="000000"/>
                <w:sz w:val="20"/>
                <w:szCs w:val="20"/>
                <w:lang w:eastAsia="en-NZ"/>
              </w:rPr>
            </w:pPr>
            <w:r w:rsidRPr="005D2D15">
              <w:rPr>
                <w:rFonts w:eastAsia="Yu Gothic Light" w:cstheme="minorHAnsi"/>
                <w:color w:val="FF0000"/>
                <w:sz w:val="20"/>
                <w:szCs w:val="20"/>
                <w:lang w:eastAsia="en-NZ"/>
              </w:rPr>
              <w:t xml:space="preserve">-1.1 </w:t>
            </w:r>
          </w:p>
        </w:tc>
      </w:tr>
    </w:tbl>
    <w:p w14:paraId="4E486BE5" w14:textId="77777777" w:rsidR="00860D7B" w:rsidRPr="002E56E6" w:rsidRDefault="00860D7B" w:rsidP="008A103B"/>
    <w:p w14:paraId="2ADD04EB" w14:textId="55191A55" w:rsidR="00D539B7" w:rsidRPr="00DD1163" w:rsidRDefault="003106FA" w:rsidP="00203D48">
      <w:pPr>
        <w:pStyle w:val="Caption"/>
      </w:pPr>
      <w:r w:rsidRPr="00B30C9B">
        <w:t xml:space="preserve">Figure </w:t>
      </w:r>
      <w:r w:rsidRPr="00B30C9B">
        <w:fldChar w:fldCharType="begin"/>
      </w:r>
      <w:r w:rsidRPr="00B30C9B">
        <w:instrText xml:space="preserve"> SEQ Figure \* ARABIC </w:instrText>
      </w:r>
      <w:r w:rsidRPr="00B30C9B">
        <w:fldChar w:fldCharType="separate"/>
      </w:r>
      <w:r w:rsidR="00EA3949">
        <w:rPr>
          <w:noProof/>
        </w:rPr>
        <w:t>6</w:t>
      </w:r>
      <w:r w:rsidRPr="00B30C9B">
        <w:fldChar w:fldCharType="end"/>
      </w:r>
      <w:r w:rsidR="00391502">
        <w:t>:</w:t>
      </w:r>
      <w:r>
        <w:t xml:space="preserve"> </w:t>
      </w:r>
      <w:r w:rsidR="00755E71" w:rsidRPr="00EA3949">
        <w:rPr>
          <w:b w:val="0"/>
        </w:rPr>
        <w:t>Comparison of previous 2024 and updated 2025 i</w:t>
      </w:r>
      <w:r w:rsidRPr="00EA3949">
        <w:rPr>
          <w:b w:val="0"/>
        </w:rPr>
        <w:t>ndustrial free allocation forecasts</w:t>
      </w:r>
    </w:p>
    <w:p w14:paraId="3D61474E" w14:textId="2E1CE55F" w:rsidR="002F305B" w:rsidRDefault="00864CB3" w:rsidP="0069161D">
      <w:pPr>
        <w:jc w:val="center"/>
      </w:pPr>
      <w:r>
        <w:rPr>
          <w:noProof/>
        </w:rPr>
        <w:drawing>
          <wp:inline distT="0" distB="0" distL="0" distR="0" wp14:anchorId="57B80437" wp14:editId="2631268B">
            <wp:extent cx="5323362" cy="2794958"/>
            <wp:effectExtent l="0" t="0" r="0"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a:extLst>
                        <a:ext uri="{28A0092B-C50C-407E-A947-70E740481C1C}">
                          <a14:useLocalDpi xmlns:a14="http://schemas.microsoft.com/office/drawing/2010/main" val="0"/>
                        </a:ext>
                      </a:extLst>
                    </a:blip>
                    <a:srcRect b="2665"/>
                    <a:stretch/>
                  </pic:blipFill>
                  <pic:spPr bwMode="auto">
                    <a:xfrm>
                      <a:off x="0" y="0"/>
                      <a:ext cx="5338467" cy="2802889"/>
                    </a:xfrm>
                    <a:prstGeom prst="rect">
                      <a:avLst/>
                    </a:prstGeom>
                    <a:noFill/>
                    <a:ln>
                      <a:noFill/>
                    </a:ln>
                    <a:extLst>
                      <a:ext uri="{53640926-AAD7-44D8-BBD7-CCE9431645EC}">
                        <a14:shadowObscured xmlns:a14="http://schemas.microsoft.com/office/drawing/2010/main"/>
                      </a:ext>
                    </a:extLst>
                  </pic:spPr>
                </pic:pic>
              </a:graphicData>
            </a:graphic>
          </wp:inline>
        </w:drawing>
      </w:r>
    </w:p>
    <w:p w14:paraId="5E4ADC83" w14:textId="0357F1BC" w:rsidR="00317A71" w:rsidRPr="00DD1163" w:rsidRDefault="00317A71" w:rsidP="00E71B8B">
      <w:r w:rsidRPr="00225DB4">
        <w:rPr>
          <w:sz w:val="20"/>
          <w:szCs w:val="20"/>
        </w:rPr>
        <w:t>Source: Commission analysis</w:t>
      </w:r>
    </w:p>
    <w:p w14:paraId="277D91C5" w14:textId="0E4B43D7" w:rsidR="00B84D9E" w:rsidRPr="0014498F" w:rsidRDefault="00B84D9E" w:rsidP="0014498F">
      <w:pPr>
        <w:pStyle w:val="Heading2"/>
        <w:spacing w:before="120" w:after="120"/>
        <w:rPr>
          <w:lang w:val="en-US"/>
        </w:rPr>
      </w:pPr>
      <w:bookmarkStart w:id="35" w:name="_Toc195533423"/>
      <w:r w:rsidRPr="0014498F">
        <w:rPr>
          <w:lang w:val="en-US"/>
        </w:rPr>
        <w:t>Step 5</w:t>
      </w:r>
      <w:r w:rsidR="005A0146" w:rsidRPr="0014498F">
        <w:rPr>
          <w:lang w:val="en-US"/>
        </w:rPr>
        <w:t>a</w:t>
      </w:r>
      <w:r w:rsidRPr="0014498F">
        <w:rPr>
          <w:lang w:val="en-US"/>
        </w:rPr>
        <w:t xml:space="preserve">: </w:t>
      </w:r>
      <w:r w:rsidR="005A0146" w:rsidRPr="0014498F">
        <w:rPr>
          <w:lang w:val="en-US"/>
        </w:rPr>
        <w:t>Unit surplus estimate</w:t>
      </w:r>
      <w:bookmarkEnd w:id="35"/>
    </w:p>
    <w:p w14:paraId="03519A70" w14:textId="5A5C3A81" w:rsidR="00531C74" w:rsidRDefault="00466BAF" w:rsidP="003069B6">
      <w:r>
        <w:t>Step 5</w:t>
      </w:r>
      <w:r w:rsidR="00844EEC">
        <w:t>a</w:t>
      </w:r>
      <w:r>
        <w:t xml:space="preserve"> involves estimat</w:t>
      </w:r>
      <w:r w:rsidR="00224034">
        <w:t>ing</w:t>
      </w:r>
      <w:r>
        <w:t xml:space="preserve"> </w:t>
      </w:r>
      <w:r w:rsidR="00A409A0">
        <w:t xml:space="preserve">the </w:t>
      </w:r>
      <w:r>
        <w:t xml:space="preserve">volume of </w:t>
      </w:r>
      <w:r w:rsidR="0045368F">
        <w:t xml:space="preserve">surplus </w:t>
      </w:r>
      <w:r w:rsidR="0093342D">
        <w:t xml:space="preserve">units </w:t>
      </w:r>
      <w:r w:rsidR="0045368F">
        <w:t xml:space="preserve">currently </w:t>
      </w:r>
      <w:r w:rsidR="000A08CD">
        <w:t xml:space="preserve">held </w:t>
      </w:r>
      <w:r w:rsidR="00B1561F">
        <w:t xml:space="preserve">in </w:t>
      </w:r>
      <w:r w:rsidR="003C1C2E">
        <w:t>private accounts</w:t>
      </w:r>
      <w:r w:rsidR="00B1561F">
        <w:t>.</w:t>
      </w:r>
      <w:r w:rsidR="003C1C2E">
        <w:t xml:space="preserve"> </w:t>
      </w:r>
      <w:r w:rsidR="00210614" w:rsidRPr="00210614">
        <w:rPr>
          <w:rStyle w:val="Heading1Char"/>
        </w:rPr>
        <w:t xml:space="preserve"> </w:t>
      </w:r>
      <w:r w:rsidR="00210614" w:rsidRPr="00210614">
        <w:rPr>
          <w:rStyle w:val="cf01"/>
          <w:rFonts w:asciiTheme="minorHAnsi" w:hAnsiTheme="minorHAnsi" w:cstheme="minorHAnsi"/>
          <w:sz w:val="24"/>
          <w:szCs w:val="24"/>
        </w:rPr>
        <w:t xml:space="preserve">Surplus units are </w:t>
      </w:r>
      <w:r w:rsidR="00B670BB">
        <w:rPr>
          <w:rStyle w:val="cf01"/>
          <w:rFonts w:asciiTheme="minorHAnsi" w:hAnsiTheme="minorHAnsi" w:cstheme="minorHAnsi"/>
          <w:sz w:val="24"/>
          <w:szCs w:val="24"/>
        </w:rPr>
        <w:t xml:space="preserve">those </w:t>
      </w:r>
      <w:r w:rsidR="00D07EB9">
        <w:rPr>
          <w:rStyle w:val="cf01"/>
          <w:rFonts w:asciiTheme="minorHAnsi" w:hAnsiTheme="minorHAnsi" w:cstheme="minorHAnsi"/>
          <w:sz w:val="24"/>
          <w:szCs w:val="24"/>
        </w:rPr>
        <w:t xml:space="preserve">we </w:t>
      </w:r>
      <w:r w:rsidR="004330F6">
        <w:rPr>
          <w:rStyle w:val="cf01"/>
          <w:rFonts w:asciiTheme="minorHAnsi" w:hAnsiTheme="minorHAnsi" w:cstheme="minorHAnsi"/>
          <w:sz w:val="24"/>
          <w:szCs w:val="24"/>
        </w:rPr>
        <w:t xml:space="preserve">assess as </w:t>
      </w:r>
      <w:r w:rsidR="00427D15">
        <w:rPr>
          <w:rStyle w:val="cf01"/>
          <w:rFonts w:asciiTheme="minorHAnsi" w:hAnsiTheme="minorHAnsi" w:cstheme="minorHAnsi"/>
          <w:sz w:val="24"/>
          <w:szCs w:val="24"/>
        </w:rPr>
        <w:t xml:space="preserve">posing a high </w:t>
      </w:r>
      <w:r w:rsidR="00210614" w:rsidRPr="00210614">
        <w:rPr>
          <w:rStyle w:val="cf01"/>
          <w:rFonts w:asciiTheme="minorHAnsi" w:hAnsiTheme="minorHAnsi" w:cstheme="minorHAnsi"/>
          <w:sz w:val="24"/>
          <w:szCs w:val="24"/>
        </w:rPr>
        <w:t xml:space="preserve">risk </w:t>
      </w:r>
      <w:r w:rsidR="00427D15">
        <w:rPr>
          <w:rStyle w:val="cf01"/>
          <w:rFonts w:asciiTheme="minorHAnsi" w:hAnsiTheme="minorHAnsi" w:cstheme="minorHAnsi"/>
          <w:sz w:val="24"/>
          <w:szCs w:val="24"/>
        </w:rPr>
        <w:t xml:space="preserve">of </w:t>
      </w:r>
      <w:r w:rsidR="00210614" w:rsidRPr="00210614">
        <w:rPr>
          <w:rStyle w:val="cf01"/>
          <w:rFonts w:asciiTheme="minorHAnsi" w:hAnsiTheme="minorHAnsi" w:cstheme="minorHAnsi"/>
          <w:sz w:val="24"/>
          <w:szCs w:val="24"/>
        </w:rPr>
        <w:t xml:space="preserve">enabling emissions </w:t>
      </w:r>
      <w:r w:rsidR="00020963">
        <w:rPr>
          <w:rStyle w:val="cf01"/>
          <w:rFonts w:asciiTheme="minorHAnsi" w:hAnsiTheme="minorHAnsi" w:cstheme="minorHAnsi"/>
          <w:sz w:val="24"/>
          <w:szCs w:val="24"/>
        </w:rPr>
        <w:t>abov</w:t>
      </w:r>
      <w:r w:rsidR="003A1C2C">
        <w:rPr>
          <w:rStyle w:val="cf01"/>
          <w:rFonts w:asciiTheme="minorHAnsi" w:hAnsiTheme="minorHAnsi" w:cstheme="minorHAnsi"/>
          <w:sz w:val="24"/>
          <w:szCs w:val="24"/>
        </w:rPr>
        <w:t>e</w:t>
      </w:r>
      <w:r w:rsidR="00210614" w:rsidRPr="00210614">
        <w:rPr>
          <w:rStyle w:val="cf01"/>
          <w:rFonts w:asciiTheme="minorHAnsi" w:hAnsiTheme="minorHAnsi" w:cstheme="minorHAnsi"/>
          <w:sz w:val="24"/>
          <w:szCs w:val="24"/>
        </w:rPr>
        <w:t xml:space="preserve"> emissions budgets.</w:t>
      </w:r>
    </w:p>
    <w:p w14:paraId="458A5EDF" w14:textId="6C295B40" w:rsidR="000A28CB" w:rsidRDefault="006A0D8D" w:rsidP="003069B6">
      <w:r>
        <w:t xml:space="preserve">The surplus is calculated by taking the total units held in private accounts and </w:t>
      </w:r>
      <w:r w:rsidR="00313D8D">
        <w:t xml:space="preserve">removing our estimates of </w:t>
      </w:r>
      <w:r w:rsidR="00FC7633">
        <w:t>non-surplus units</w:t>
      </w:r>
      <w:r w:rsidR="00E62B13">
        <w:t xml:space="preserve">. These are </w:t>
      </w:r>
      <w:r w:rsidR="00F2140E">
        <w:t>units</w:t>
      </w:r>
      <w:r w:rsidR="001E4D4C">
        <w:t xml:space="preserve"> that</w:t>
      </w:r>
      <w:r w:rsidR="00FC7633">
        <w:t xml:space="preserve"> </w:t>
      </w:r>
      <w:r w:rsidR="001B4525">
        <w:t xml:space="preserve">we </w:t>
      </w:r>
      <w:r w:rsidR="00FC7633">
        <w:t>assess</w:t>
      </w:r>
      <w:r w:rsidR="001B4525">
        <w:t xml:space="preserve"> </w:t>
      </w:r>
      <w:r w:rsidR="00FC7633">
        <w:t xml:space="preserve">as </w:t>
      </w:r>
      <w:r w:rsidR="00805037">
        <w:t xml:space="preserve">unlikely to be </w:t>
      </w:r>
      <w:r w:rsidR="00612818">
        <w:t>available for</w:t>
      </w:r>
      <w:r w:rsidR="00805037">
        <w:t xml:space="preserve"> use in the NZ ETS to enable emissions above emissions budgets</w:t>
      </w:r>
      <w:r w:rsidR="00387A10">
        <w:t xml:space="preserve">. </w:t>
      </w:r>
      <w:r w:rsidR="005C1194">
        <w:t xml:space="preserve">In previous advice, </w:t>
      </w:r>
      <w:r w:rsidR="008405DA">
        <w:t xml:space="preserve">we </w:t>
      </w:r>
      <w:r w:rsidR="00C222BA">
        <w:t>have estimate</w:t>
      </w:r>
      <w:r w:rsidR="008747F0">
        <w:t>d</w:t>
      </w:r>
      <w:r w:rsidR="00C222BA">
        <w:t xml:space="preserve"> </w:t>
      </w:r>
      <w:r w:rsidR="002F7570">
        <w:t xml:space="preserve">three </w:t>
      </w:r>
      <w:r w:rsidR="005C1194">
        <w:t xml:space="preserve">categories </w:t>
      </w:r>
      <w:r w:rsidR="00C222BA">
        <w:t>of non-surplus units</w:t>
      </w:r>
      <w:r w:rsidR="005C1194">
        <w:t xml:space="preserve">: </w:t>
      </w:r>
      <w:r w:rsidR="00313D8D">
        <w:t xml:space="preserve"> </w:t>
      </w:r>
      <w:r w:rsidR="00C67C77">
        <w:t xml:space="preserve"> </w:t>
      </w:r>
    </w:p>
    <w:p w14:paraId="433D9C5A" w14:textId="77777777" w:rsidR="00645FF8" w:rsidRDefault="00645FF8" w:rsidP="001963ED">
      <w:pPr>
        <w:pStyle w:val="ListParagraph"/>
        <w:numPr>
          <w:ilvl w:val="0"/>
          <w:numId w:val="60"/>
        </w:numPr>
      </w:pPr>
      <w:r>
        <w:t xml:space="preserve">Pre-1990 forest allocation units held long-term </w:t>
      </w:r>
    </w:p>
    <w:p w14:paraId="2C175BCD" w14:textId="6B709EE0" w:rsidR="00300D30" w:rsidRDefault="00300D30" w:rsidP="001963ED">
      <w:pPr>
        <w:pStyle w:val="ListParagraph"/>
        <w:numPr>
          <w:ilvl w:val="0"/>
          <w:numId w:val="60"/>
        </w:numPr>
      </w:pPr>
      <w:r>
        <w:t>Units held for P</w:t>
      </w:r>
      <w:r w:rsidR="00CB658F">
        <w:t>ost-19</w:t>
      </w:r>
      <w:r>
        <w:t xml:space="preserve">89 forest </w:t>
      </w:r>
      <w:r w:rsidR="00D50575">
        <w:t xml:space="preserve">stock change </w:t>
      </w:r>
      <w:r>
        <w:t>harvest liabilities</w:t>
      </w:r>
    </w:p>
    <w:p w14:paraId="4EFFAAE2" w14:textId="5E7D0D96" w:rsidR="00645FF8" w:rsidRDefault="00645FF8" w:rsidP="001963ED">
      <w:pPr>
        <w:pStyle w:val="ListParagraph"/>
        <w:numPr>
          <w:ilvl w:val="0"/>
          <w:numId w:val="60"/>
        </w:numPr>
      </w:pPr>
      <w:r>
        <w:t xml:space="preserve">Units held for </w:t>
      </w:r>
      <w:r w:rsidR="008F6FBA">
        <w:t xml:space="preserve">forward </w:t>
      </w:r>
      <w:r>
        <w:t>hedging purposes by emitters</w:t>
      </w:r>
    </w:p>
    <w:p w14:paraId="06747571" w14:textId="012D3B38" w:rsidR="00D50AFA" w:rsidRDefault="00A80BDF" w:rsidP="000E4C80">
      <w:r>
        <w:t>This year,</w:t>
      </w:r>
      <w:r w:rsidR="003D4314">
        <w:t xml:space="preserve"> </w:t>
      </w:r>
      <w:r>
        <w:t>w</w:t>
      </w:r>
      <w:r w:rsidR="00D50AFA">
        <w:t xml:space="preserve">e have updated our </w:t>
      </w:r>
      <w:r w:rsidR="000F18CD">
        <w:t>estimates of the volumes in each of these categories by incorporating new data</w:t>
      </w:r>
      <w:r w:rsidR="006D2D90">
        <w:t xml:space="preserve">, </w:t>
      </w:r>
      <w:r w:rsidR="00085175">
        <w:t xml:space="preserve">updating assumptions and </w:t>
      </w:r>
      <w:r w:rsidR="00B94C0C">
        <w:t xml:space="preserve">refining </w:t>
      </w:r>
      <w:r w:rsidR="00071CAE">
        <w:t>the methods we use</w:t>
      </w:r>
      <w:r w:rsidR="003D4314">
        <w:t xml:space="preserve"> as part of continuous improvement</w:t>
      </w:r>
      <w:r w:rsidR="00D50AFA">
        <w:t>.</w:t>
      </w:r>
    </w:p>
    <w:p w14:paraId="62146FAA" w14:textId="77777777" w:rsidR="00A8150E" w:rsidRDefault="00B94C0C" w:rsidP="000E4C80">
      <w:r>
        <w:t>We have also</w:t>
      </w:r>
      <w:r w:rsidR="00F34BC3">
        <w:t xml:space="preserve"> incorporated two new categories of units into </w:t>
      </w:r>
      <w:r w:rsidR="00D6551C">
        <w:t xml:space="preserve">the method we use to </w:t>
      </w:r>
      <w:r w:rsidR="00276A45">
        <w:t xml:space="preserve">estimate the surplus: </w:t>
      </w:r>
    </w:p>
    <w:p w14:paraId="7948C73E" w14:textId="77777777" w:rsidR="00A86C41" w:rsidRDefault="00323359" w:rsidP="00A8150E">
      <w:pPr>
        <w:pStyle w:val="ListParagraph"/>
        <w:numPr>
          <w:ilvl w:val="0"/>
          <w:numId w:val="71"/>
        </w:numPr>
      </w:pPr>
      <w:r>
        <w:t xml:space="preserve">Holding </w:t>
      </w:r>
      <w:r w:rsidR="00150BDC">
        <w:t>volume</w:t>
      </w:r>
      <w:r w:rsidR="009B41DC">
        <w:t xml:space="preserve"> – units held by emitters for emissions that have already occurred</w:t>
      </w:r>
      <w:r w:rsidR="00A86C41">
        <w:t xml:space="preserve">. This is another category of non-surplus units. </w:t>
      </w:r>
    </w:p>
    <w:p w14:paraId="394885DE" w14:textId="258A8F5E" w:rsidR="00A8150E" w:rsidRDefault="00893CDB" w:rsidP="00D95205">
      <w:pPr>
        <w:pStyle w:val="ListParagraph"/>
        <w:numPr>
          <w:ilvl w:val="0"/>
          <w:numId w:val="71"/>
        </w:numPr>
      </w:pPr>
      <w:r>
        <w:t xml:space="preserve">Post-1989 forestry units relating to </w:t>
      </w:r>
      <w:r w:rsidR="0071125B">
        <w:t>the fourth mandatory emissions reporting period</w:t>
      </w:r>
      <w:r>
        <w:t xml:space="preserve"> </w:t>
      </w:r>
      <w:r w:rsidR="0071125B">
        <w:t>(</w:t>
      </w:r>
      <w:r w:rsidR="00B51F48">
        <w:t>MERP4</w:t>
      </w:r>
      <w:r w:rsidR="0071125B">
        <w:t>)</w:t>
      </w:r>
      <w:r>
        <w:t xml:space="preserve"> </w:t>
      </w:r>
      <w:r w:rsidR="00EE0B23">
        <w:t>that may be carried over</w:t>
      </w:r>
      <w:r w:rsidR="00874189">
        <w:t xml:space="preserve"> into the second emissions budget period. </w:t>
      </w:r>
      <w:r w:rsidR="00AF21B2">
        <w:t xml:space="preserve">We consider that these units will contribute to the surplus. </w:t>
      </w:r>
      <w:r w:rsidR="00EE0B23">
        <w:t xml:space="preserve"> </w:t>
      </w:r>
      <w:r w:rsidR="009B41DC">
        <w:t xml:space="preserve"> </w:t>
      </w:r>
    </w:p>
    <w:p w14:paraId="45ED3A71" w14:textId="6A89947C" w:rsidR="00A8150E" w:rsidRDefault="00595453" w:rsidP="000E4C80">
      <w:r>
        <w:t xml:space="preserve">Some of </w:t>
      </w:r>
      <w:r w:rsidR="00F959A7">
        <w:t xml:space="preserve">our refinements </w:t>
      </w:r>
      <w:r w:rsidR="00442062">
        <w:t xml:space="preserve">result </w:t>
      </w:r>
      <w:r w:rsidR="00260DA5">
        <w:t xml:space="preserve">from considering a report commissioned by </w:t>
      </w:r>
      <w:r>
        <w:t>Ministry for the Environment</w:t>
      </w:r>
      <w:r w:rsidR="00260DA5">
        <w:t xml:space="preserve"> (MfE) </w:t>
      </w:r>
      <w:r w:rsidR="00353B38">
        <w:t>from EY,</w:t>
      </w:r>
      <w:r w:rsidR="00D73466">
        <w:rPr>
          <w:rStyle w:val="EndnoteReference"/>
        </w:rPr>
        <w:endnoteReference w:id="7"/>
      </w:r>
      <w:r w:rsidR="00353B38">
        <w:t xml:space="preserve"> which reviewed the </w:t>
      </w:r>
      <w:r w:rsidR="000A6BBF">
        <w:t xml:space="preserve">methodology for estimating the surplus. </w:t>
      </w:r>
      <w:r w:rsidR="00007392">
        <w:t>O</w:t>
      </w:r>
      <w:r w:rsidR="008225DE">
        <w:t>ther</w:t>
      </w:r>
      <w:r w:rsidR="006C7D1F">
        <w:t>s</w:t>
      </w:r>
      <w:r w:rsidR="008225DE">
        <w:t xml:space="preserve"> </w:t>
      </w:r>
      <w:r>
        <w:t>result from our own analysis.</w:t>
      </w:r>
      <w:r w:rsidR="0062651E">
        <w:t xml:space="preserve"> </w:t>
      </w:r>
    </w:p>
    <w:p w14:paraId="7B988665" w14:textId="63032479" w:rsidR="00032AEF" w:rsidRPr="00D76C97" w:rsidRDefault="00032AEF"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As</w:t>
      </w:r>
      <w:r w:rsidR="00522CD0" w:rsidRPr="00D76C97">
        <w:rPr>
          <w:rFonts w:ascii="Calibri-Light" w:eastAsia="Calibri-Light" w:hAnsi="Calibri-Light" w:cs="Yu Mincho"/>
          <w:szCs w:val="24"/>
        </w:rPr>
        <w:t xml:space="preserve"> detailed in </w:t>
      </w:r>
      <w:r w:rsidR="00F12811" w:rsidRPr="00D76C97">
        <w:rPr>
          <w:rFonts w:ascii="Calibri-Light" w:eastAsia="Calibri-Light" w:hAnsi="Calibri-Light" w:cs="Yu Mincho"/>
          <w:szCs w:val="24"/>
        </w:rPr>
        <w:t xml:space="preserve">step 5 in </w:t>
      </w:r>
      <w:r w:rsidR="00F12811" w:rsidRPr="00D76C97">
        <w:rPr>
          <w:rFonts w:ascii="Calibri-Light" w:eastAsia="Calibri-Light" w:hAnsi="Calibri-Light" w:cs="Yu Mincho"/>
          <w:i/>
          <w:szCs w:val="24"/>
        </w:rPr>
        <w:t>Part 3: Unit limits</w:t>
      </w:r>
      <w:r w:rsidR="00F12811" w:rsidRPr="00D76C97">
        <w:rPr>
          <w:rFonts w:ascii="Calibri-Light" w:eastAsia="Calibri-Light" w:hAnsi="Calibri-Light" w:cs="Yu Mincho"/>
          <w:szCs w:val="24"/>
        </w:rPr>
        <w:t xml:space="preserve"> in the main report,</w:t>
      </w:r>
      <w:r w:rsidR="007F67A7" w:rsidRPr="00D76C97">
        <w:rPr>
          <w:rFonts w:ascii="Calibri-Light" w:eastAsia="Calibri-Light" w:hAnsi="Calibri-Light" w:cs="Yu Mincho"/>
          <w:szCs w:val="24"/>
        </w:rPr>
        <w:t xml:space="preserve"> at 50.2 million units </w:t>
      </w:r>
      <w:r w:rsidR="001766E1" w:rsidRPr="00D76C97">
        <w:rPr>
          <w:rFonts w:ascii="Calibri-Light" w:eastAsia="Calibri-Light" w:hAnsi="Calibri-Light" w:cs="Yu Mincho"/>
          <w:szCs w:val="24"/>
        </w:rPr>
        <w:t xml:space="preserve">our </w:t>
      </w:r>
      <w:r w:rsidR="008F55C9" w:rsidRPr="00D76C97">
        <w:rPr>
          <w:rFonts w:ascii="Calibri-Light" w:eastAsia="Calibri-Light" w:hAnsi="Calibri-Light" w:cs="Yu Mincho"/>
          <w:szCs w:val="24"/>
        </w:rPr>
        <w:t xml:space="preserve">updated </w:t>
      </w:r>
      <w:r w:rsidR="001766E1" w:rsidRPr="00D76C97">
        <w:rPr>
          <w:rFonts w:ascii="Calibri-Light" w:eastAsia="Calibri-Light" w:hAnsi="Calibri-Light" w:cs="Yu Mincho"/>
          <w:szCs w:val="24"/>
        </w:rPr>
        <w:t xml:space="preserve">estimate of the surplus </w:t>
      </w:r>
      <w:r w:rsidR="008F55C9" w:rsidRPr="00D76C97">
        <w:rPr>
          <w:rFonts w:ascii="Calibri-Light" w:eastAsia="Calibri-Light" w:hAnsi="Calibri-Light" w:cs="Yu Mincho"/>
          <w:szCs w:val="24"/>
        </w:rPr>
        <w:t xml:space="preserve">has reduced compared to </w:t>
      </w:r>
      <w:r w:rsidR="007F67A7" w:rsidRPr="00D76C97">
        <w:rPr>
          <w:rFonts w:ascii="Calibri-Light" w:eastAsia="Calibri-Light" w:hAnsi="Calibri-Light" w:cs="Yu Mincho"/>
          <w:szCs w:val="24"/>
        </w:rPr>
        <w:t xml:space="preserve">our estimate of 67.9 million units in last year’s advice. </w:t>
      </w:r>
      <w:r w:rsidR="005E289B" w:rsidRPr="00D76C97">
        <w:rPr>
          <w:rFonts w:ascii="Calibri-Light" w:eastAsia="Calibri-Light" w:hAnsi="Calibri-Light" w:cs="Yu Mincho"/>
          <w:szCs w:val="24"/>
        </w:rPr>
        <w:t xml:space="preserve">This is mainly due to the surplus reduction volume implemented into the NZ </w:t>
      </w:r>
      <w:r w:rsidR="00E07F87" w:rsidRPr="00D76C97">
        <w:rPr>
          <w:rFonts w:ascii="Calibri-Light" w:eastAsia="Calibri-Light" w:hAnsi="Calibri-Light" w:cs="Yu Mincho"/>
          <w:szCs w:val="24"/>
        </w:rPr>
        <w:t xml:space="preserve">ETS </w:t>
      </w:r>
      <w:r w:rsidR="005E289B" w:rsidRPr="00D76C97">
        <w:rPr>
          <w:rFonts w:ascii="Calibri-Light" w:eastAsia="Calibri-Light" w:hAnsi="Calibri-Light" w:cs="Yu Mincho"/>
          <w:szCs w:val="24"/>
        </w:rPr>
        <w:t>settings</w:t>
      </w:r>
      <w:r w:rsidR="0049060E" w:rsidRPr="00D76C97">
        <w:rPr>
          <w:rFonts w:ascii="Calibri-Light" w:eastAsia="Calibri-Light" w:hAnsi="Calibri-Light" w:cs="Yu Mincho"/>
          <w:szCs w:val="24"/>
        </w:rPr>
        <w:t xml:space="preserve"> (7.7 million </w:t>
      </w:r>
      <w:r w:rsidR="00E93FB2" w:rsidRPr="00D76C97">
        <w:rPr>
          <w:rFonts w:ascii="Calibri-Light" w:eastAsia="Calibri-Light" w:hAnsi="Calibri-Light" w:cs="Yu Mincho"/>
          <w:szCs w:val="24"/>
        </w:rPr>
        <w:t>units for 2024)</w:t>
      </w:r>
      <w:r w:rsidR="009F24F7" w:rsidRPr="00D76C97">
        <w:rPr>
          <w:rFonts w:ascii="Calibri-Light" w:eastAsia="Calibri-Light" w:hAnsi="Calibri-Light" w:cs="Yu Mincho"/>
          <w:szCs w:val="24"/>
        </w:rPr>
        <w:t>,</w:t>
      </w:r>
      <w:r w:rsidR="00E93FB2" w:rsidRPr="00D76C97">
        <w:rPr>
          <w:rFonts w:ascii="Calibri-Light" w:eastAsia="Calibri-Light" w:hAnsi="Calibri-Light" w:cs="Yu Mincho"/>
          <w:szCs w:val="24"/>
        </w:rPr>
        <w:t xml:space="preserve"> </w:t>
      </w:r>
      <w:r w:rsidR="001B39B7" w:rsidRPr="00D76C97">
        <w:rPr>
          <w:rFonts w:ascii="Calibri-Light" w:eastAsia="Calibri-Light" w:hAnsi="Calibri-Light" w:cs="Yu Mincho"/>
          <w:szCs w:val="24"/>
        </w:rPr>
        <w:t>declined auctions in 2024</w:t>
      </w:r>
      <w:r w:rsidR="00435F19" w:rsidRPr="00D76C97">
        <w:rPr>
          <w:rFonts w:ascii="Calibri-Light" w:eastAsia="Calibri-Light" w:hAnsi="Calibri-Light" w:cs="Yu Mincho"/>
          <w:szCs w:val="24"/>
        </w:rPr>
        <w:t xml:space="preserve"> (meaning 7.1 million fewer units were allocated into the market than expected</w:t>
      </w:r>
      <w:r w:rsidR="008225DE" w:rsidRPr="00D76C97">
        <w:rPr>
          <w:rFonts w:ascii="Calibri-Light" w:eastAsia="Calibri-Light" w:hAnsi="Calibri-Light" w:cs="Yu Mincho"/>
          <w:szCs w:val="24"/>
        </w:rPr>
        <w:t>)</w:t>
      </w:r>
      <w:r w:rsidR="009F24F7" w:rsidRPr="00D76C97">
        <w:rPr>
          <w:rFonts w:ascii="Calibri-Light" w:eastAsia="Calibri-Light" w:hAnsi="Calibri-Light" w:cs="Yu Mincho"/>
          <w:szCs w:val="24"/>
        </w:rPr>
        <w:t>, as well as the data updates and methodological refinements discussed here</w:t>
      </w:r>
      <w:r w:rsidR="00435F19" w:rsidRPr="00D76C97">
        <w:rPr>
          <w:rFonts w:ascii="Calibri-Light" w:eastAsia="Calibri-Light" w:hAnsi="Calibri-Light" w:cs="Yu Mincho"/>
          <w:szCs w:val="24"/>
        </w:rPr>
        <w:t>.</w:t>
      </w:r>
      <w:r w:rsidR="008225DE" w:rsidRPr="00D76C97">
        <w:rPr>
          <w:rFonts w:ascii="Calibri-Light" w:eastAsia="Calibri-Light" w:hAnsi="Calibri-Light" w:cs="Yu Mincho"/>
          <w:szCs w:val="24"/>
        </w:rPr>
        <w:t xml:space="preserve"> </w:t>
      </w:r>
      <w:r w:rsidR="00435F19" w:rsidRPr="00D76C97">
        <w:rPr>
          <w:rFonts w:ascii="Calibri-Light" w:eastAsia="Calibri-Light" w:hAnsi="Calibri-Light" w:cs="Yu Mincho"/>
          <w:szCs w:val="24"/>
        </w:rPr>
        <w:t xml:space="preserve">  </w:t>
      </w:r>
    </w:p>
    <w:p w14:paraId="58297BFB" w14:textId="2B1E1764" w:rsidR="004A09D5" w:rsidRPr="00D76C97" w:rsidRDefault="004A09D5"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Below we step through the </w:t>
      </w:r>
      <w:r w:rsidR="00343F87" w:rsidRPr="00D76C97">
        <w:rPr>
          <w:rFonts w:ascii="Calibri-Light" w:eastAsia="Calibri-Light" w:hAnsi="Calibri-Light" w:cs="Yu Mincho"/>
          <w:szCs w:val="24"/>
        </w:rPr>
        <w:t xml:space="preserve">updated </w:t>
      </w:r>
      <w:r w:rsidR="00EF050E" w:rsidRPr="00D76C97">
        <w:rPr>
          <w:rFonts w:ascii="Calibri-Light" w:eastAsia="Calibri-Light" w:hAnsi="Calibri-Light" w:cs="Yu Mincho"/>
          <w:szCs w:val="24"/>
        </w:rPr>
        <w:t xml:space="preserve">data and </w:t>
      </w:r>
      <w:r w:rsidRPr="00D76C97">
        <w:rPr>
          <w:rFonts w:ascii="Calibri-Light" w:eastAsia="Calibri-Light" w:hAnsi="Calibri-Light" w:cs="Yu Mincho"/>
          <w:szCs w:val="24"/>
        </w:rPr>
        <w:t>methodological changes in each category.</w:t>
      </w:r>
      <w:r w:rsidR="002D4830" w:rsidRPr="00D76C97">
        <w:rPr>
          <w:rFonts w:ascii="Calibri-Light" w:eastAsia="Calibri-Light" w:hAnsi="Calibri-Light" w:cs="Yu Mincho"/>
          <w:szCs w:val="24"/>
        </w:rPr>
        <w:t xml:space="preserve"> Where relevant, </w:t>
      </w:r>
      <w:r w:rsidR="00A466EB" w:rsidRPr="00D76C97">
        <w:rPr>
          <w:rFonts w:ascii="Calibri-Light" w:eastAsia="Calibri-Light" w:hAnsi="Calibri-Light" w:cs="Yu Mincho"/>
          <w:szCs w:val="24"/>
        </w:rPr>
        <w:t xml:space="preserve">for the </w:t>
      </w:r>
      <w:r w:rsidR="00A6142A" w:rsidRPr="00D76C97">
        <w:rPr>
          <w:rFonts w:ascii="Calibri-Light" w:eastAsia="Calibri-Light" w:hAnsi="Calibri-Light" w:cs="Yu Mincho"/>
          <w:szCs w:val="24"/>
        </w:rPr>
        <w:t xml:space="preserve">unit volumes </w:t>
      </w:r>
      <w:r w:rsidR="00CE60E4" w:rsidRPr="00D76C97">
        <w:rPr>
          <w:rFonts w:ascii="Calibri-Light" w:eastAsia="Calibri-Light" w:hAnsi="Calibri-Light" w:cs="Yu Mincho"/>
          <w:szCs w:val="24"/>
        </w:rPr>
        <w:t>estimate</w:t>
      </w:r>
      <w:r w:rsidR="000017A7" w:rsidRPr="00D76C97">
        <w:rPr>
          <w:rFonts w:ascii="Calibri-Light" w:eastAsia="Calibri-Light" w:hAnsi="Calibri-Light" w:cs="Yu Mincho"/>
          <w:szCs w:val="24"/>
        </w:rPr>
        <w:t>d</w:t>
      </w:r>
      <w:r w:rsidR="00CE60E4" w:rsidRPr="00D76C97">
        <w:rPr>
          <w:rFonts w:ascii="Calibri-Light" w:eastAsia="Calibri-Light" w:hAnsi="Calibri-Light" w:cs="Yu Mincho"/>
          <w:szCs w:val="24"/>
        </w:rPr>
        <w:t xml:space="preserve"> </w:t>
      </w:r>
      <w:r w:rsidR="00A6142A" w:rsidRPr="00D76C97">
        <w:rPr>
          <w:rFonts w:ascii="Calibri-Light" w:eastAsia="Calibri-Light" w:hAnsi="Calibri-Light" w:cs="Yu Mincho"/>
          <w:szCs w:val="24"/>
        </w:rPr>
        <w:t xml:space="preserve">as contributing or not contributing </w:t>
      </w:r>
      <w:r w:rsidR="00373537" w:rsidRPr="00D76C97">
        <w:rPr>
          <w:rFonts w:ascii="Calibri-Light" w:eastAsia="Calibri-Light" w:hAnsi="Calibri-Light" w:cs="Yu Mincho"/>
          <w:szCs w:val="24"/>
        </w:rPr>
        <w:t xml:space="preserve">to the surplus, we </w:t>
      </w:r>
      <w:r w:rsidR="00B86C0D" w:rsidRPr="00D76C97">
        <w:rPr>
          <w:rFonts w:ascii="Calibri-Light" w:eastAsia="Calibri-Light" w:hAnsi="Calibri-Light" w:cs="Yu Mincho"/>
          <w:szCs w:val="24"/>
        </w:rPr>
        <w:t xml:space="preserve">set out how we </w:t>
      </w:r>
      <w:r w:rsidR="0023150B" w:rsidRPr="00D76C97">
        <w:rPr>
          <w:rFonts w:ascii="Calibri-Light" w:eastAsia="Calibri-Light" w:hAnsi="Calibri-Light" w:cs="Yu Mincho"/>
          <w:szCs w:val="24"/>
        </w:rPr>
        <w:t xml:space="preserve">have determined a central estimate, as well as the high and low estimate used in determining the overall uncertainty range around the central surplus estimate. </w:t>
      </w:r>
      <w:r w:rsidRPr="00D76C97">
        <w:rPr>
          <w:rFonts w:ascii="Calibri-Light" w:eastAsia="Calibri-Light" w:hAnsi="Calibri-Light" w:cs="Yu Mincho"/>
          <w:szCs w:val="24"/>
        </w:rPr>
        <w:t xml:space="preserve"> </w:t>
      </w:r>
    </w:p>
    <w:p w14:paraId="0D18024F" w14:textId="0C6209CE" w:rsidR="002667D5" w:rsidRDefault="00707470" w:rsidP="00EA3949">
      <w:pPr>
        <w:pStyle w:val="Heading3"/>
        <w:spacing w:after="120"/>
        <w:rPr>
          <w:lang w:val="en-US"/>
        </w:rPr>
      </w:pPr>
      <w:bookmarkStart w:id="36" w:name="_Toc195533424"/>
      <w:r>
        <w:rPr>
          <w:lang w:val="en-US"/>
        </w:rPr>
        <w:t>Total unit holdings</w:t>
      </w:r>
      <w:bookmarkEnd w:id="36"/>
    </w:p>
    <w:p w14:paraId="44D4AB9A" w14:textId="3FF02AAF" w:rsidR="00707470" w:rsidRDefault="008E2556" w:rsidP="00707470">
      <w:r w:rsidRPr="450C75C2">
        <w:t>Total unit holdings, commonly referred to as ‘the stockpile’</w:t>
      </w:r>
      <w:r w:rsidR="002F0D7A" w:rsidRPr="450C75C2">
        <w:t xml:space="preserve">, </w:t>
      </w:r>
      <w:r w:rsidR="00A14ABA" w:rsidRPr="450C75C2">
        <w:t>refers to</w:t>
      </w:r>
      <w:r w:rsidR="002F0D7A" w:rsidRPr="450C75C2">
        <w:t xml:space="preserve"> the total of all privately held units in the NZ ETS registry at </w:t>
      </w:r>
      <w:r w:rsidR="00A14ABA" w:rsidRPr="450C75C2">
        <w:t>a</w:t>
      </w:r>
      <w:r w:rsidR="002F0D7A" w:rsidRPr="450C75C2">
        <w:t xml:space="preserve"> point in time. Data on total unit holdings </w:t>
      </w:r>
      <w:r w:rsidR="000941A8" w:rsidRPr="450C75C2">
        <w:t>is</w:t>
      </w:r>
      <w:r w:rsidR="002F0D7A" w:rsidRPr="450C75C2">
        <w:t xml:space="preserve"> reported quarterly by the Environmental Protection </w:t>
      </w:r>
      <w:r w:rsidR="00AF580C" w:rsidRPr="450C75C2">
        <w:t>Authority</w:t>
      </w:r>
      <w:r w:rsidR="002F0D7A" w:rsidRPr="450C75C2">
        <w:t xml:space="preserve"> (EPA).</w:t>
      </w:r>
      <w:r w:rsidR="00251DAC">
        <w:rPr>
          <w:rStyle w:val="EndnoteReference"/>
        </w:rPr>
        <w:endnoteReference w:id="8"/>
      </w:r>
      <w:r w:rsidR="00080A57" w:rsidRPr="00080A57">
        <w:rPr>
          <w:vertAlign w:val="superscript"/>
        </w:rPr>
        <w:t xml:space="preserve"> </w:t>
      </w:r>
    </w:p>
    <w:p w14:paraId="786E30FC" w14:textId="34B71AE2" w:rsidR="00895FE8" w:rsidRPr="00D76C97" w:rsidRDefault="00A76745"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In this advice</w:t>
      </w:r>
      <w:r w:rsidR="004B72B1" w:rsidRPr="00D76C97">
        <w:rPr>
          <w:rFonts w:ascii="Calibri-Light" w:eastAsia="Calibri-Light" w:hAnsi="Calibri-Light" w:cs="Yu Mincho"/>
          <w:szCs w:val="24"/>
        </w:rPr>
        <w:t>,</w:t>
      </w:r>
      <w:r w:rsidRPr="00D76C97">
        <w:rPr>
          <w:rFonts w:ascii="Calibri-Light" w:eastAsia="Calibri-Light" w:hAnsi="Calibri-Light" w:cs="Yu Mincho"/>
          <w:szCs w:val="24"/>
        </w:rPr>
        <w:t xml:space="preserve"> w</w:t>
      </w:r>
      <w:r w:rsidR="00A674B9" w:rsidRPr="00D76C97">
        <w:rPr>
          <w:rFonts w:ascii="Calibri-Light" w:eastAsia="Calibri-Light" w:hAnsi="Calibri-Light" w:cs="Yu Mincho"/>
          <w:szCs w:val="24"/>
        </w:rPr>
        <w:t xml:space="preserve">e have used EPA data </w:t>
      </w:r>
      <w:r w:rsidR="005413ED" w:rsidRPr="00D76C97">
        <w:rPr>
          <w:rFonts w:ascii="Calibri-Light" w:eastAsia="Calibri-Light" w:hAnsi="Calibri-Light" w:cs="Yu Mincho"/>
          <w:szCs w:val="24"/>
        </w:rPr>
        <w:t>as of December 31</w:t>
      </w:r>
      <w:r w:rsidR="00286F2B" w:rsidRPr="00D76C97">
        <w:rPr>
          <w:rFonts w:ascii="Calibri-Light" w:eastAsia="Calibri-Light" w:hAnsi="Calibri-Light" w:cs="Yu Mincho"/>
          <w:szCs w:val="24"/>
        </w:rPr>
        <w:t>, 2024,</w:t>
      </w:r>
      <w:r w:rsidR="005413ED" w:rsidRPr="00D76C97">
        <w:rPr>
          <w:rFonts w:ascii="Calibri-Light" w:eastAsia="Calibri-Light" w:hAnsi="Calibri-Light" w:cs="Yu Mincho"/>
          <w:szCs w:val="24"/>
        </w:rPr>
        <w:t xml:space="preserve"> </w:t>
      </w:r>
      <w:r w:rsidR="00292A6F" w:rsidRPr="00D76C97">
        <w:rPr>
          <w:rFonts w:ascii="Calibri-Light" w:eastAsia="Calibri-Light" w:hAnsi="Calibri-Light" w:cs="Yu Mincho"/>
          <w:szCs w:val="24"/>
        </w:rPr>
        <w:t>which</w:t>
      </w:r>
      <w:r w:rsidR="005413ED" w:rsidRPr="00D76C97">
        <w:rPr>
          <w:rFonts w:ascii="Calibri-Light" w:eastAsia="Calibri-Light" w:hAnsi="Calibri-Light" w:cs="Yu Mincho"/>
          <w:szCs w:val="24"/>
        </w:rPr>
        <w:t xml:space="preserve"> puts total privately held units at 150.4 million NZUs. </w:t>
      </w:r>
    </w:p>
    <w:p w14:paraId="605EF561" w14:textId="6A9EF457" w:rsidR="00EB2686" w:rsidRPr="00D76C97" w:rsidRDefault="00226202"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We consider that</w:t>
      </w:r>
      <w:r w:rsidR="003658DA" w:rsidRPr="00D76C97">
        <w:rPr>
          <w:rFonts w:ascii="Calibri-Light" w:eastAsia="Calibri-Light" w:hAnsi="Calibri-Light" w:cs="Yu Mincho"/>
          <w:szCs w:val="24"/>
        </w:rPr>
        <w:t>,</w:t>
      </w:r>
      <w:r w:rsidRPr="00D76C97">
        <w:rPr>
          <w:rFonts w:ascii="Calibri-Light" w:eastAsia="Calibri-Light" w:hAnsi="Calibri-Light" w:cs="Yu Mincho"/>
          <w:szCs w:val="24"/>
        </w:rPr>
        <w:t xml:space="preserve"> as </w:t>
      </w:r>
      <w:r w:rsidR="00E311C8" w:rsidRPr="00D76C97">
        <w:rPr>
          <w:rFonts w:ascii="Calibri-Light" w:eastAsia="Calibri-Light" w:hAnsi="Calibri-Light" w:cs="Yu Mincho"/>
          <w:szCs w:val="24"/>
        </w:rPr>
        <w:t xml:space="preserve">far as possible, unit holdings </w:t>
      </w:r>
      <w:r w:rsidR="00FD22CA" w:rsidRPr="00D76C97">
        <w:rPr>
          <w:rFonts w:ascii="Calibri-Light" w:eastAsia="Calibri-Light" w:hAnsi="Calibri-Light" w:cs="Yu Mincho"/>
          <w:szCs w:val="24"/>
        </w:rPr>
        <w:t xml:space="preserve">data </w:t>
      </w:r>
      <w:r w:rsidR="00895F39" w:rsidRPr="00D76C97">
        <w:rPr>
          <w:rFonts w:ascii="Calibri-Light" w:eastAsia="Calibri-Light" w:hAnsi="Calibri-Light" w:cs="Yu Mincho"/>
          <w:szCs w:val="24"/>
        </w:rPr>
        <w:t xml:space="preserve">used </w:t>
      </w:r>
      <w:r w:rsidRPr="00D76C97">
        <w:rPr>
          <w:rFonts w:ascii="Calibri-Light" w:eastAsia="Calibri-Light" w:hAnsi="Calibri-Light" w:cs="Yu Mincho"/>
          <w:szCs w:val="24"/>
        </w:rPr>
        <w:t xml:space="preserve">for </w:t>
      </w:r>
      <w:r w:rsidR="00C754D8" w:rsidRPr="00D76C97">
        <w:rPr>
          <w:rFonts w:ascii="Calibri-Light" w:eastAsia="Calibri-Light" w:hAnsi="Calibri-Light" w:cs="Yu Mincho"/>
          <w:szCs w:val="24"/>
        </w:rPr>
        <w:t xml:space="preserve">updated </w:t>
      </w:r>
      <w:r w:rsidR="007B5E9A" w:rsidRPr="00D76C97">
        <w:rPr>
          <w:rFonts w:ascii="Calibri-Light" w:eastAsia="Calibri-Light" w:hAnsi="Calibri-Light" w:cs="Yu Mincho"/>
          <w:szCs w:val="24"/>
        </w:rPr>
        <w:t xml:space="preserve">surplus </w:t>
      </w:r>
      <w:r w:rsidR="00C754D8" w:rsidRPr="00D76C97">
        <w:rPr>
          <w:rFonts w:ascii="Calibri-Light" w:eastAsia="Calibri-Light" w:hAnsi="Calibri-Light" w:cs="Yu Mincho"/>
          <w:szCs w:val="24"/>
        </w:rPr>
        <w:t>estimates should be taken at a consistent date</w:t>
      </w:r>
      <w:r w:rsidR="00C302E2" w:rsidRPr="00D76C97">
        <w:rPr>
          <w:rFonts w:ascii="Calibri-Light" w:eastAsia="Calibri-Light" w:hAnsi="Calibri-Light" w:cs="Yu Mincho"/>
          <w:szCs w:val="24"/>
        </w:rPr>
        <w:t xml:space="preserve">, </w:t>
      </w:r>
      <w:r w:rsidR="00517EBA" w:rsidRPr="00D76C97">
        <w:rPr>
          <w:rFonts w:ascii="Calibri-Light" w:eastAsia="Calibri-Light" w:hAnsi="Calibri-Light" w:cs="Yu Mincho"/>
          <w:szCs w:val="24"/>
        </w:rPr>
        <w:t xml:space="preserve">which should be in </w:t>
      </w:r>
      <w:r w:rsidR="00C302E2" w:rsidRPr="00D76C97">
        <w:rPr>
          <w:rFonts w:ascii="Calibri-Light" w:eastAsia="Calibri-Light" w:hAnsi="Calibri-Light" w:cs="Yu Mincho"/>
          <w:szCs w:val="24"/>
        </w:rPr>
        <w:t xml:space="preserve">December </w:t>
      </w:r>
      <w:r w:rsidR="00653A92" w:rsidRPr="00D76C97">
        <w:rPr>
          <w:rFonts w:ascii="Calibri-Light" w:eastAsia="Calibri-Light" w:hAnsi="Calibri-Light" w:cs="Yu Mincho"/>
          <w:szCs w:val="24"/>
        </w:rPr>
        <w:t>of</w:t>
      </w:r>
      <w:r w:rsidR="00C302E2" w:rsidRPr="00D76C97">
        <w:rPr>
          <w:rFonts w:ascii="Calibri-Light" w:eastAsia="Calibri-Light" w:hAnsi="Calibri-Light" w:cs="Yu Mincho"/>
          <w:szCs w:val="24"/>
        </w:rPr>
        <w:t xml:space="preserve"> each year</w:t>
      </w:r>
      <w:r w:rsidR="00273C88" w:rsidRPr="00D76C97">
        <w:rPr>
          <w:rFonts w:ascii="Calibri-Light" w:eastAsia="Calibri-Light" w:hAnsi="Calibri-Light" w:cs="Yu Mincho"/>
          <w:szCs w:val="24"/>
        </w:rPr>
        <w:t xml:space="preserve">. </w:t>
      </w:r>
      <w:r w:rsidR="00D61130" w:rsidRPr="00D76C97">
        <w:rPr>
          <w:rFonts w:ascii="Calibri-Light" w:eastAsia="Calibri-Light" w:hAnsi="Calibri-Light" w:cs="Yu Mincho"/>
          <w:szCs w:val="24"/>
        </w:rPr>
        <w:t xml:space="preserve">Using </w:t>
      </w:r>
      <w:r w:rsidR="006B76D2" w:rsidRPr="00D76C97">
        <w:rPr>
          <w:rFonts w:ascii="Calibri-Light" w:eastAsia="Calibri-Light" w:hAnsi="Calibri-Light" w:cs="Yu Mincho"/>
          <w:szCs w:val="24"/>
        </w:rPr>
        <w:t xml:space="preserve">December </w:t>
      </w:r>
      <w:r w:rsidR="00D61130" w:rsidRPr="00D76C97">
        <w:rPr>
          <w:rFonts w:ascii="Calibri-Light" w:eastAsia="Calibri-Light" w:hAnsi="Calibri-Light" w:cs="Yu Mincho"/>
          <w:szCs w:val="24"/>
        </w:rPr>
        <w:t xml:space="preserve">data </w:t>
      </w:r>
      <w:r w:rsidR="00604958" w:rsidRPr="00D76C97">
        <w:rPr>
          <w:rFonts w:ascii="Calibri-Light" w:eastAsia="Calibri-Light" w:hAnsi="Calibri-Light" w:cs="Yu Mincho"/>
          <w:szCs w:val="24"/>
        </w:rPr>
        <w:t xml:space="preserve">enables the </w:t>
      </w:r>
      <w:r w:rsidR="006D63E1" w:rsidRPr="00D76C97">
        <w:rPr>
          <w:rFonts w:ascii="Calibri-Light" w:eastAsia="Calibri-Light" w:hAnsi="Calibri-Light" w:cs="Yu Mincho"/>
          <w:szCs w:val="24"/>
        </w:rPr>
        <w:t xml:space="preserve">final results of </w:t>
      </w:r>
      <w:r w:rsidR="00604958" w:rsidRPr="00D76C97">
        <w:rPr>
          <w:rFonts w:ascii="Calibri-Light" w:eastAsia="Calibri-Light" w:hAnsi="Calibri-Light" w:cs="Yu Mincho"/>
          <w:szCs w:val="24"/>
        </w:rPr>
        <w:t xml:space="preserve">that year’s auctions to be </w:t>
      </w:r>
      <w:r w:rsidR="009858E2" w:rsidRPr="00D76C97">
        <w:rPr>
          <w:rFonts w:ascii="Calibri-Light" w:eastAsia="Calibri-Light" w:hAnsi="Calibri-Light" w:cs="Yu Mincho"/>
          <w:szCs w:val="24"/>
        </w:rPr>
        <w:t>taken into account</w:t>
      </w:r>
      <w:r w:rsidR="006D63E1" w:rsidRPr="00D76C97">
        <w:rPr>
          <w:rFonts w:ascii="Calibri-Light" w:eastAsia="Calibri-Light" w:hAnsi="Calibri-Light" w:cs="Yu Mincho"/>
          <w:szCs w:val="24"/>
        </w:rPr>
        <w:t>.</w:t>
      </w:r>
      <w:r w:rsidR="00D61130" w:rsidRPr="00D76C97">
        <w:rPr>
          <w:rFonts w:ascii="Calibri-Light" w:eastAsia="Calibri-Light" w:hAnsi="Calibri-Light" w:cs="Yu Mincho"/>
          <w:szCs w:val="24"/>
        </w:rPr>
        <w:t xml:space="preserve"> </w:t>
      </w:r>
    </w:p>
    <w:p w14:paraId="42F5B1C8" w14:textId="27A5F2BC" w:rsidR="00FD22CA" w:rsidRPr="00D76C97" w:rsidRDefault="00D61130"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If </w:t>
      </w:r>
      <w:r w:rsidR="00EB2686" w:rsidRPr="00D76C97">
        <w:rPr>
          <w:rFonts w:ascii="Calibri-Light" w:eastAsia="Calibri-Light" w:hAnsi="Calibri-Light" w:cs="Yu Mincho"/>
          <w:szCs w:val="24"/>
        </w:rPr>
        <w:t xml:space="preserve">stockpile data from </w:t>
      </w:r>
      <w:r w:rsidR="004207E3" w:rsidRPr="00D76C97">
        <w:rPr>
          <w:rFonts w:ascii="Calibri-Light" w:eastAsia="Calibri-Light" w:hAnsi="Calibri-Light" w:cs="Yu Mincho"/>
          <w:szCs w:val="24"/>
        </w:rPr>
        <w:t xml:space="preserve">the middle of the year </w:t>
      </w:r>
      <w:r w:rsidR="00EB2686" w:rsidRPr="00D76C97">
        <w:rPr>
          <w:rFonts w:ascii="Calibri-Light" w:eastAsia="Calibri-Light" w:hAnsi="Calibri-Light" w:cs="Yu Mincho"/>
          <w:szCs w:val="24"/>
        </w:rPr>
        <w:t xml:space="preserve">were used, </w:t>
      </w:r>
      <w:r w:rsidR="004207E3" w:rsidRPr="00D76C97">
        <w:rPr>
          <w:rFonts w:ascii="Calibri-Light" w:eastAsia="Calibri-Light" w:hAnsi="Calibri-Light" w:cs="Yu Mincho"/>
          <w:szCs w:val="24"/>
        </w:rPr>
        <w:t xml:space="preserve">significant </w:t>
      </w:r>
      <w:r w:rsidR="00F1160A" w:rsidRPr="00D76C97">
        <w:rPr>
          <w:rFonts w:ascii="Calibri-Light" w:eastAsia="Calibri-Light" w:hAnsi="Calibri-Light" w:cs="Yu Mincho"/>
          <w:szCs w:val="24"/>
        </w:rPr>
        <w:t>uncertainty</w:t>
      </w:r>
      <w:r w:rsidR="00113219" w:rsidRPr="00D76C97">
        <w:rPr>
          <w:rFonts w:ascii="Calibri-Light" w:eastAsia="Calibri-Light" w:hAnsi="Calibri-Light" w:cs="Yu Mincho"/>
          <w:szCs w:val="24"/>
        </w:rPr>
        <w:t xml:space="preserve"> would be introduced</w:t>
      </w:r>
      <w:r w:rsidR="004207E3" w:rsidRPr="00D76C97">
        <w:rPr>
          <w:rFonts w:ascii="Calibri-Light" w:eastAsia="Calibri-Light" w:hAnsi="Calibri-Light" w:cs="Yu Mincho"/>
          <w:szCs w:val="24"/>
        </w:rPr>
        <w:t xml:space="preserve"> since units not sold in auctions earlier in the year can still be sold at later auctions</w:t>
      </w:r>
      <w:r w:rsidR="00E21525" w:rsidRPr="00D76C97">
        <w:rPr>
          <w:rFonts w:ascii="Calibri-Light" w:eastAsia="Calibri-Light" w:hAnsi="Calibri-Light" w:cs="Yu Mincho"/>
          <w:szCs w:val="24"/>
        </w:rPr>
        <w:t>.</w:t>
      </w:r>
      <w:r w:rsidR="008F46E3" w:rsidRPr="00D76C97">
        <w:rPr>
          <w:rFonts w:ascii="Calibri-Light" w:eastAsia="Calibri-Light" w:hAnsi="Calibri-Light" w:cs="Yu Mincho"/>
          <w:szCs w:val="24"/>
        </w:rPr>
        <w:t xml:space="preserve"> A</w:t>
      </w:r>
      <w:r w:rsidR="00BC515B" w:rsidRPr="00D76C97">
        <w:rPr>
          <w:rFonts w:ascii="Calibri-Light" w:eastAsia="Calibri-Light" w:hAnsi="Calibri-Light" w:cs="Yu Mincho"/>
          <w:szCs w:val="24"/>
        </w:rPr>
        <w:t>spects</w:t>
      </w:r>
      <w:r w:rsidR="00E304A0" w:rsidRPr="00D76C97">
        <w:rPr>
          <w:rFonts w:ascii="Calibri-Light" w:eastAsia="Calibri-Light" w:hAnsi="Calibri-Light" w:cs="Yu Mincho"/>
          <w:szCs w:val="24"/>
        </w:rPr>
        <w:t xml:space="preserve"> of how the </w:t>
      </w:r>
      <w:r w:rsidR="00EB4667" w:rsidRPr="00D76C97">
        <w:rPr>
          <w:rFonts w:ascii="Calibri-Light" w:eastAsia="Calibri-Light" w:hAnsi="Calibri-Light" w:cs="Yu Mincho"/>
          <w:szCs w:val="24"/>
        </w:rPr>
        <w:t xml:space="preserve">surplus </w:t>
      </w:r>
      <w:r w:rsidR="00882A22" w:rsidRPr="00D76C97">
        <w:rPr>
          <w:rFonts w:ascii="Calibri-Light" w:eastAsia="Calibri-Light" w:hAnsi="Calibri-Light" w:cs="Yu Mincho"/>
          <w:szCs w:val="24"/>
        </w:rPr>
        <w:t>is estimated would</w:t>
      </w:r>
      <w:r w:rsidR="008F46E3" w:rsidRPr="00D76C97">
        <w:rPr>
          <w:rFonts w:ascii="Calibri-Light" w:eastAsia="Calibri-Light" w:hAnsi="Calibri-Light" w:cs="Yu Mincho"/>
          <w:szCs w:val="24"/>
        </w:rPr>
        <w:t xml:space="preserve"> also</w:t>
      </w:r>
      <w:r w:rsidR="00882A22" w:rsidRPr="00D76C97">
        <w:rPr>
          <w:rFonts w:ascii="Calibri-Light" w:eastAsia="Calibri-Light" w:hAnsi="Calibri-Light" w:cs="Yu Mincho"/>
          <w:szCs w:val="24"/>
        </w:rPr>
        <w:t xml:space="preserve"> have to be </w:t>
      </w:r>
      <w:r w:rsidR="00965170" w:rsidRPr="00D76C97">
        <w:rPr>
          <w:rFonts w:ascii="Calibri-Light" w:eastAsia="Calibri-Light" w:hAnsi="Calibri-Light" w:cs="Yu Mincho"/>
          <w:szCs w:val="24"/>
        </w:rPr>
        <w:t xml:space="preserve">adjusted. </w:t>
      </w:r>
      <w:r w:rsidR="00247B29" w:rsidRPr="00D76C97">
        <w:rPr>
          <w:rFonts w:ascii="Calibri-Light" w:eastAsia="Calibri-Light" w:hAnsi="Calibri-Light" w:cs="Yu Mincho"/>
          <w:szCs w:val="24"/>
        </w:rPr>
        <w:t xml:space="preserve">For example, </w:t>
      </w:r>
      <w:r w:rsidR="000D3124" w:rsidRPr="00D76C97">
        <w:rPr>
          <w:rFonts w:ascii="Calibri-Light" w:eastAsia="Calibri-Light" w:hAnsi="Calibri-Light" w:cs="Yu Mincho"/>
          <w:szCs w:val="24"/>
        </w:rPr>
        <w:t>as described later in this section we</w:t>
      </w:r>
      <w:r w:rsidR="007A7149" w:rsidRPr="00D76C97">
        <w:rPr>
          <w:rFonts w:ascii="Calibri-Light" w:eastAsia="Calibri-Light" w:hAnsi="Calibri-Light" w:cs="Yu Mincho"/>
          <w:szCs w:val="24"/>
        </w:rPr>
        <w:t xml:space="preserve"> now </w:t>
      </w:r>
      <w:r w:rsidR="000D3124" w:rsidRPr="00D76C97">
        <w:rPr>
          <w:rFonts w:ascii="Calibri-Light" w:eastAsia="Calibri-Light" w:hAnsi="Calibri-Light" w:cs="Yu Mincho"/>
          <w:szCs w:val="24"/>
        </w:rPr>
        <w:t>include</w:t>
      </w:r>
      <w:r w:rsidR="00965170" w:rsidRPr="00D76C97">
        <w:rPr>
          <w:rFonts w:ascii="Calibri-Light" w:eastAsia="Calibri-Light" w:hAnsi="Calibri-Light" w:cs="Yu Mincho"/>
          <w:szCs w:val="24"/>
        </w:rPr>
        <w:t xml:space="preserve"> </w:t>
      </w:r>
      <w:r w:rsidR="003E4EDF" w:rsidRPr="00D76C97">
        <w:rPr>
          <w:rFonts w:ascii="Calibri-Light" w:eastAsia="Calibri-Light" w:hAnsi="Calibri-Light" w:cs="Yu Mincho"/>
          <w:szCs w:val="24"/>
        </w:rPr>
        <w:t>‘</w:t>
      </w:r>
      <w:r w:rsidR="002366C3" w:rsidRPr="00D76C97">
        <w:rPr>
          <w:rFonts w:ascii="Calibri-Light" w:eastAsia="Calibri-Light" w:hAnsi="Calibri-Light" w:cs="Yu Mincho"/>
          <w:szCs w:val="24"/>
        </w:rPr>
        <w:t>holding volumes</w:t>
      </w:r>
      <w:r w:rsidR="003E4EDF" w:rsidRPr="00D76C97">
        <w:rPr>
          <w:rFonts w:ascii="Calibri-Light" w:eastAsia="Calibri-Light" w:hAnsi="Calibri-Light" w:cs="Yu Mincho"/>
          <w:szCs w:val="24"/>
        </w:rPr>
        <w:t>’</w:t>
      </w:r>
      <w:r w:rsidR="002366C3" w:rsidRPr="00D76C97">
        <w:rPr>
          <w:rFonts w:ascii="Calibri-Light" w:eastAsia="Calibri-Light" w:hAnsi="Calibri-Light" w:cs="Yu Mincho"/>
          <w:szCs w:val="24"/>
        </w:rPr>
        <w:t xml:space="preserve"> in how we estimate </w:t>
      </w:r>
      <w:r w:rsidR="00350196" w:rsidRPr="00D76C97">
        <w:rPr>
          <w:rFonts w:ascii="Calibri-Light" w:eastAsia="Calibri-Light" w:hAnsi="Calibri-Light" w:cs="Yu Mincho"/>
          <w:szCs w:val="24"/>
        </w:rPr>
        <w:t xml:space="preserve">the surplus. These are units </w:t>
      </w:r>
      <w:r w:rsidR="00DC739F" w:rsidRPr="00D76C97">
        <w:rPr>
          <w:rFonts w:ascii="Calibri-Light" w:eastAsia="Calibri-Light" w:hAnsi="Calibri-Light" w:cs="Yu Mincho"/>
          <w:szCs w:val="24"/>
        </w:rPr>
        <w:t xml:space="preserve">needed </w:t>
      </w:r>
      <w:r w:rsidR="00DD459A" w:rsidRPr="00D76C97">
        <w:rPr>
          <w:rFonts w:ascii="Calibri-Light" w:eastAsia="Calibri-Light" w:hAnsi="Calibri-Light" w:cs="Yu Mincho"/>
          <w:szCs w:val="24"/>
        </w:rPr>
        <w:t xml:space="preserve">by emitters </w:t>
      </w:r>
      <w:r w:rsidR="006A034F" w:rsidRPr="00D76C97">
        <w:rPr>
          <w:rFonts w:ascii="Calibri-Light" w:eastAsia="Calibri-Light" w:hAnsi="Calibri-Light" w:cs="Yu Mincho"/>
          <w:szCs w:val="24"/>
        </w:rPr>
        <w:t>for their emissions over the previous year</w:t>
      </w:r>
      <w:r w:rsidR="00C274EC" w:rsidRPr="00D76C97">
        <w:rPr>
          <w:rFonts w:ascii="Calibri-Light" w:eastAsia="Calibri-Light" w:hAnsi="Calibri-Light" w:cs="Yu Mincho"/>
          <w:szCs w:val="24"/>
        </w:rPr>
        <w:t xml:space="preserve">, </w:t>
      </w:r>
      <w:r w:rsidR="00DC739F" w:rsidRPr="00D76C97">
        <w:rPr>
          <w:rFonts w:ascii="Calibri-Light" w:eastAsia="Calibri-Light" w:hAnsi="Calibri-Light" w:cs="Yu Mincho"/>
          <w:szCs w:val="24"/>
        </w:rPr>
        <w:t xml:space="preserve">but which will </w:t>
      </w:r>
      <w:r w:rsidR="00C274EC" w:rsidRPr="00D76C97">
        <w:rPr>
          <w:rFonts w:ascii="Calibri-Light" w:eastAsia="Calibri-Light" w:hAnsi="Calibri-Light" w:cs="Yu Mincho"/>
          <w:szCs w:val="24"/>
        </w:rPr>
        <w:t>be surrendered at the forthcoming May compliance deadline</w:t>
      </w:r>
      <w:r w:rsidR="00505329" w:rsidRPr="00D76C97">
        <w:rPr>
          <w:rFonts w:ascii="Calibri-Light" w:eastAsia="Calibri-Light" w:hAnsi="Calibri-Light" w:cs="Yu Mincho"/>
          <w:szCs w:val="24"/>
        </w:rPr>
        <w:t xml:space="preserve">. </w:t>
      </w:r>
      <w:r w:rsidR="007A6763" w:rsidRPr="00D76C97">
        <w:rPr>
          <w:rFonts w:ascii="Calibri-Light" w:eastAsia="Calibri-Light" w:hAnsi="Calibri-Light" w:cs="Yu Mincho"/>
          <w:szCs w:val="24"/>
        </w:rPr>
        <w:t xml:space="preserve">This volume would have to be adjusted if </w:t>
      </w:r>
      <w:r w:rsidR="006E6E36" w:rsidRPr="00D76C97">
        <w:rPr>
          <w:rFonts w:ascii="Calibri-Light" w:eastAsia="Calibri-Light" w:hAnsi="Calibri-Light" w:cs="Yu Mincho"/>
          <w:szCs w:val="24"/>
        </w:rPr>
        <w:t xml:space="preserve">stockpile </w:t>
      </w:r>
      <w:r w:rsidR="007A6763" w:rsidRPr="00D76C97">
        <w:rPr>
          <w:rFonts w:ascii="Calibri-Light" w:eastAsia="Calibri-Light" w:hAnsi="Calibri-Light" w:cs="Yu Mincho"/>
          <w:szCs w:val="24"/>
        </w:rPr>
        <w:t xml:space="preserve">data from a date other than December were used. </w:t>
      </w:r>
      <w:r w:rsidR="002F3D6C" w:rsidRPr="00D76C97">
        <w:rPr>
          <w:rFonts w:ascii="Calibri-Light" w:eastAsia="Calibri-Light" w:hAnsi="Calibri-Light" w:cs="Yu Mincho"/>
          <w:szCs w:val="24"/>
        </w:rPr>
        <w:t>Because</w:t>
      </w:r>
      <w:r w:rsidR="00FD22CA" w:rsidRPr="00D76C97">
        <w:rPr>
          <w:rFonts w:ascii="Calibri-Light" w:eastAsia="Calibri-Light" w:hAnsi="Calibri-Light" w:cs="Yu Mincho"/>
          <w:szCs w:val="24"/>
        </w:rPr>
        <w:t xml:space="preserve"> the surplus</w:t>
      </w:r>
      <w:r w:rsidR="008D3F69" w:rsidRPr="00D76C97">
        <w:rPr>
          <w:rFonts w:ascii="Calibri-Light" w:eastAsia="Calibri-Light" w:hAnsi="Calibri-Light" w:cs="Yu Mincho"/>
          <w:szCs w:val="24"/>
        </w:rPr>
        <w:t xml:space="preserve"> methodology now accounts for these units (albeit on a forecast basis)</w:t>
      </w:r>
      <w:r w:rsidR="00A53EFC" w:rsidRPr="00D76C97">
        <w:rPr>
          <w:rFonts w:ascii="Calibri-Light" w:eastAsia="Calibri-Light" w:hAnsi="Calibri-Light" w:cs="Yu Mincho"/>
          <w:szCs w:val="24"/>
        </w:rPr>
        <w:t>,</w:t>
      </w:r>
      <w:r w:rsidR="008D3F69" w:rsidRPr="00D76C97">
        <w:rPr>
          <w:rFonts w:ascii="Calibri-Light" w:eastAsia="Calibri-Light" w:hAnsi="Calibri-Light" w:cs="Yu Mincho"/>
          <w:szCs w:val="24"/>
        </w:rPr>
        <w:t xml:space="preserve"> w</w:t>
      </w:r>
      <w:r w:rsidR="00613D5A" w:rsidRPr="00D76C97">
        <w:rPr>
          <w:rFonts w:ascii="Calibri-Light" w:eastAsia="Calibri-Light" w:hAnsi="Calibri-Light" w:cs="Yu Mincho"/>
          <w:szCs w:val="24"/>
        </w:rPr>
        <w:t xml:space="preserve">e consider </w:t>
      </w:r>
      <w:r w:rsidR="00DD6F57" w:rsidRPr="00D76C97">
        <w:rPr>
          <w:rFonts w:ascii="Calibri-Light" w:eastAsia="Calibri-Light" w:hAnsi="Calibri-Light" w:cs="Yu Mincho"/>
          <w:szCs w:val="24"/>
        </w:rPr>
        <w:t xml:space="preserve">it </w:t>
      </w:r>
      <w:r w:rsidR="00613D5A" w:rsidRPr="00D76C97">
        <w:rPr>
          <w:rFonts w:ascii="Calibri-Light" w:eastAsia="Calibri-Light" w:hAnsi="Calibri-Light" w:cs="Yu Mincho"/>
          <w:szCs w:val="24"/>
        </w:rPr>
        <w:t xml:space="preserve">unnecessary to </w:t>
      </w:r>
      <w:r w:rsidR="000F3CFF" w:rsidRPr="00D76C97">
        <w:rPr>
          <w:rFonts w:ascii="Calibri-Light" w:eastAsia="Calibri-Light" w:hAnsi="Calibri-Light" w:cs="Yu Mincho"/>
          <w:szCs w:val="24"/>
        </w:rPr>
        <w:t xml:space="preserve">re-estimate the surplus based on </w:t>
      </w:r>
      <w:r w:rsidR="00613D5A" w:rsidRPr="00D76C97">
        <w:rPr>
          <w:rFonts w:ascii="Calibri-Light" w:eastAsia="Calibri-Light" w:hAnsi="Calibri-Light" w:cs="Yu Mincho"/>
          <w:szCs w:val="24"/>
        </w:rPr>
        <w:t>mid-year</w:t>
      </w:r>
      <w:r w:rsidR="000F3CFF" w:rsidRPr="00D76C97">
        <w:rPr>
          <w:rFonts w:ascii="Calibri-Light" w:eastAsia="Calibri-Light" w:hAnsi="Calibri-Light" w:cs="Yu Mincho"/>
          <w:szCs w:val="24"/>
        </w:rPr>
        <w:t xml:space="preserve"> data</w:t>
      </w:r>
      <w:r w:rsidR="00FD22CA" w:rsidRPr="00D76C97">
        <w:rPr>
          <w:rFonts w:ascii="Calibri-Light" w:eastAsia="Calibri-Light" w:hAnsi="Calibri-Light" w:cs="Yu Mincho"/>
          <w:szCs w:val="24"/>
        </w:rPr>
        <w:t xml:space="preserve">. </w:t>
      </w:r>
    </w:p>
    <w:p w14:paraId="62933698" w14:textId="0DC19CF7" w:rsidR="000941A8" w:rsidRPr="00D76C97" w:rsidRDefault="00FD22CA"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C</w:t>
      </w:r>
      <w:r w:rsidR="00160E1D" w:rsidRPr="00D76C97">
        <w:rPr>
          <w:rFonts w:ascii="Calibri-Light" w:eastAsia="Calibri-Light" w:hAnsi="Calibri-Light" w:cs="Yu Mincho"/>
          <w:szCs w:val="24"/>
        </w:rPr>
        <w:t>onsistent end</w:t>
      </w:r>
      <w:r w:rsidR="00F138CF" w:rsidRPr="00D76C97">
        <w:rPr>
          <w:rFonts w:ascii="Calibri-Light" w:eastAsia="Calibri-Light" w:hAnsi="Calibri-Light" w:cs="Yu Mincho"/>
          <w:szCs w:val="24"/>
        </w:rPr>
        <w:t>-</w:t>
      </w:r>
      <w:r w:rsidR="00160E1D" w:rsidRPr="00D76C97">
        <w:rPr>
          <w:rFonts w:ascii="Calibri-Light" w:eastAsia="Calibri-Light" w:hAnsi="Calibri-Light" w:cs="Yu Mincho"/>
          <w:szCs w:val="24"/>
        </w:rPr>
        <w:t>of</w:t>
      </w:r>
      <w:r w:rsidR="00F138CF" w:rsidRPr="00D76C97">
        <w:rPr>
          <w:rFonts w:ascii="Calibri-Light" w:eastAsia="Calibri-Light" w:hAnsi="Calibri-Light" w:cs="Yu Mincho"/>
          <w:szCs w:val="24"/>
        </w:rPr>
        <w:t>-</w:t>
      </w:r>
      <w:r w:rsidR="00160E1D" w:rsidRPr="00D76C97">
        <w:rPr>
          <w:rFonts w:ascii="Calibri-Light" w:eastAsia="Calibri-Light" w:hAnsi="Calibri-Light" w:cs="Yu Mincho"/>
          <w:szCs w:val="24"/>
        </w:rPr>
        <w:t>year estimates will</w:t>
      </w:r>
      <w:r w:rsidR="0053265B" w:rsidRPr="00D76C97">
        <w:rPr>
          <w:rFonts w:ascii="Calibri-Light" w:eastAsia="Calibri-Light" w:hAnsi="Calibri-Light" w:cs="Yu Mincho"/>
          <w:szCs w:val="24"/>
        </w:rPr>
        <w:t xml:space="preserve"> best provide for comparability of estimates from year to year. This will support monitoring </w:t>
      </w:r>
      <w:r w:rsidR="002A08FB" w:rsidRPr="00D76C97">
        <w:rPr>
          <w:rFonts w:ascii="Calibri-Light" w:eastAsia="Calibri-Light" w:hAnsi="Calibri-Light" w:cs="Yu Mincho"/>
          <w:szCs w:val="24"/>
        </w:rPr>
        <w:t>of</w:t>
      </w:r>
      <w:r w:rsidR="0053265B" w:rsidRPr="00D76C97">
        <w:rPr>
          <w:rFonts w:ascii="Calibri-Light" w:eastAsia="Calibri-Light" w:hAnsi="Calibri-Light" w:cs="Yu Mincho"/>
          <w:szCs w:val="24"/>
        </w:rPr>
        <w:t xml:space="preserve"> </w:t>
      </w:r>
      <w:r w:rsidR="001F05F5" w:rsidRPr="00D76C97">
        <w:rPr>
          <w:rFonts w:ascii="Calibri-Light" w:eastAsia="Calibri-Light" w:hAnsi="Calibri-Light" w:cs="Yu Mincho"/>
          <w:szCs w:val="24"/>
        </w:rPr>
        <w:t xml:space="preserve">the surplus over time and adjusting settings </w:t>
      </w:r>
      <w:r w:rsidR="00F138CF" w:rsidRPr="00D76C97">
        <w:rPr>
          <w:rFonts w:ascii="Calibri-Light" w:eastAsia="Calibri-Light" w:hAnsi="Calibri-Light" w:cs="Yu Mincho"/>
          <w:szCs w:val="24"/>
        </w:rPr>
        <w:t xml:space="preserve">in response </w:t>
      </w:r>
      <w:r w:rsidR="001F05F5" w:rsidRPr="00D76C97">
        <w:rPr>
          <w:rFonts w:ascii="Calibri-Light" w:eastAsia="Calibri-Light" w:hAnsi="Calibri-Light" w:cs="Yu Mincho"/>
          <w:szCs w:val="24"/>
        </w:rPr>
        <w:t xml:space="preserve">if needed. </w:t>
      </w:r>
    </w:p>
    <w:p w14:paraId="1702EF46" w14:textId="4C8CC3DE" w:rsidR="00B84D9E" w:rsidRDefault="00B84D9E" w:rsidP="008438C2">
      <w:pPr>
        <w:pStyle w:val="Heading3"/>
        <w:spacing w:before="120" w:after="120"/>
      </w:pPr>
      <w:bookmarkStart w:id="37" w:name="_Toc195533425"/>
      <w:r>
        <w:t>P</w:t>
      </w:r>
      <w:r w:rsidR="00E84FEF">
        <w:t>re-19</w:t>
      </w:r>
      <w:r>
        <w:t>90 units</w:t>
      </w:r>
      <w:r w:rsidR="00E84FEF">
        <w:t xml:space="preserve"> held long-term</w:t>
      </w:r>
      <w:bookmarkEnd w:id="37"/>
    </w:p>
    <w:p w14:paraId="113B7BA5" w14:textId="702F0D8E" w:rsidR="00F176EC" w:rsidRPr="00D76C97" w:rsidRDefault="001306D5"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When the NZ ETS was first established, </w:t>
      </w:r>
      <w:r w:rsidR="005F0C5A" w:rsidRPr="00D76C97">
        <w:rPr>
          <w:rFonts w:ascii="Calibri-Light" w:eastAsia="Calibri-Light" w:hAnsi="Calibri-Light" w:cs="Yu Mincho"/>
          <w:szCs w:val="24"/>
        </w:rPr>
        <w:t xml:space="preserve">owners of </w:t>
      </w:r>
      <w:r w:rsidRPr="00D76C97">
        <w:rPr>
          <w:rFonts w:ascii="Calibri-Light" w:eastAsia="Calibri-Light" w:hAnsi="Calibri-Light" w:cs="Yu Mincho"/>
          <w:szCs w:val="24"/>
        </w:rPr>
        <w:t>forests planted before 1990 were allocated units</w:t>
      </w:r>
      <w:r w:rsidR="000A4F6E" w:rsidRPr="00D76C97">
        <w:rPr>
          <w:rFonts w:ascii="Calibri-Light" w:eastAsia="Calibri-Light" w:hAnsi="Calibri-Light" w:cs="Yu Mincho"/>
          <w:szCs w:val="24"/>
        </w:rPr>
        <w:t xml:space="preserve"> </w:t>
      </w:r>
      <w:r w:rsidR="00F611C7" w:rsidRPr="00D76C97">
        <w:rPr>
          <w:rFonts w:ascii="Calibri-Light" w:eastAsia="Calibri-Light" w:hAnsi="Calibri-Light" w:cs="Yu Mincho"/>
          <w:szCs w:val="24"/>
        </w:rPr>
        <w:t>(</w:t>
      </w:r>
      <w:r w:rsidR="000A4F6E" w:rsidRPr="00D76C97">
        <w:rPr>
          <w:rFonts w:ascii="Calibri-Light" w:eastAsia="Calibri-Light" w:hAnsi="Calibri-Light" w:cs="Yu Mincho"/>
          <w:szCs w:val="24"/>
        </w:rPr>
        <w:t xml:space="preserve">referred to as </w:t>
      </w:r>
      <w:r w:rsidR="00F611C7" w:rsidRPr="00D76C97">
        <w:rPr>
          <w:rFonts w:ascii="Calibri-Light" w:eastAsia="Calibri-Light" w:hAnsi="Calibri-Light" w:cs="Yu Mincho"/>
          <w:szCs w:val="24"/>
        </w:rPr>
        <w:t>pre-19</w:t>
      </w:r>
      <w:r w:rsidR="000A4F6E" w:rsidRPr="00D76C97">
        <w:rPr>
          <w:rFonts w:ascii="Calibri-Light" w:eastAsia="Calibri-Light" w:hAnsi="Calibri-Light" w:cs="Yu Mincho"/>
          <w:szCs w:val="24"/>
        </w:rPr>
        <w:t>90</w:t>
      </w:r>
      <w:r w:rsidR="00F611C7" w:rsidRPr="00D76C97">
        <w:rPr>
          <w:rFonts w:ascii="Calibri-Light" w:eastAsia="Calibri-Light" w:hAnsi="Calibri-Light" w:cs="Yu Mincho"/>
          <w:szCs w:val="24"/>
        </w:rPr>
        <w:t xml:space="preserve"> units)</w:t>
      </w:r>
      <w:r w:rsidRPr="00D76C97">
        <w:rPr>
          <w:rFonts w:ascii="Calibri-Light" w:eastAsia="Calibri-Light" w:hAnsi="Calibri-Light" w:cs="Yu Mincho"/>
          <w:szCs w:val="24"/>
        </w:rPr>
        <w:t xml:space="preserve"> to part</w:t>
      </w:r>
      <w:r w:rsidR="00BC7DD4" w:rsidRPr="00D76C97">
        <w:rPr>
          <w:rFonts w:ascii="Calibri-Light" w:eastAsia="Calibri-Light" w:hAnsi="Calibri-Light" w:cs="Yu Mincho"/>
          <w:szCs w:val="24"/>
        </w:rPr>
        <w:t xml:space="preserve">ially compensate for the restriction the NZ ETS put on their future ability to change land use. </w:t>
      </w:r>
      <w:r w:rsidR="00F12C39" w:rsidRPr="00D76C97">
        <w:rPr>
          <w:rFonts w:ascii="Calibri-Light" w:eastAsia="Calibri-Light" w:hAnsi="Calibri-Light" w:cs="Yu Mincho"/>
          <w:szCs w:val="24"/>
        </w:rPr>
        <w:t>Over 32</w:t>
      </w:r>
      <w:r w:rsidR="00993BD9" w:rsidRPr="00D76C97">
        <w:rPr>
          <w:rFonts w:ascii="Calibri-Light" w:eastAsia="Calibri-Light" w:hAnsi="Calibri-Light" w:cs="Yu Mincho"/>
          <w:szCs w:val="24"/>
        </w:rPr>
        <w:t xml:space="preserve"> million</w:t>
      </w:r>
      <w:r w:rsidR="00F12C39" w:rsidRPr="00D76C97">
        <w:rPr>
          <w:rFonts w:ascii="Calibri-Light" w:eastAsia="Calibri-Light" w:hAnsi="Calibri-Light" w:cs="Yu Mincho"/>
          <w:szCs w:val="24"/>
        </w:rPr>
        <w:t xml:space="preserve"> units were originally allocated. </w:t>
      </w:r>
    </w:p>
    <w:p w14:paraId="7DB21500" w14:textId="7C0A1945" w:rsidR="00FE5852" w:rsidRPr="00D76C97" w:rsidRDefault="00F176EC"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As </w:t>
      </w:r>
      <w:r w:rsidR="008447C9" w:rsidRPr="00D76C97">
        <w:rPr>
          <w:rFonts w:ascii="Calibri-Light" w:eastAsia="Calibri-Light" w:hAnsi="Calibri-Light" w:cs="Yu Mincho"/>
          <w:szCs w:val="24"/>
        </w:rPr>
        <w:t>long as</w:t>
      </w:r>
      <w:r w:rsidR="00BC7DD4" w:rsidRPr="00D76C97">
        <w:rPr>
          <w:rFonts w:ascii="Calibri-Light" w:eastAsia="Calibri-Light" w:hAnsi="Calibri-Light" w:cs="Yu Mincho"/>
          <w:szCs w:val="24"/>
        </w:rPr>
        <w:t xml:space="preserve"> the pre-1990 forests are not deforested, these units are not encumbered by surrender obligations and are theoretically available </w:t>
      </w:r>
      <w:r w:rsidR="0091620F" w:rsidRPr="00D76C97">
        <w:rPr>
          <w:rFonts w:ascii="Calibri-Light" w:eastAsia="Calibri-Light" w:hAnsi="Calibri-Light" w:cs="Yu Mincho"/>
          <w:szCs w:val="24"/>
        </w:rPr>
        <w:t xml:space="preserve">for purchase and use </w:t>
      </w:r>
      <w:r w:rsidR="00FE5852" w:rsidRPr="00D76C97">
        <w:rPr>
          <w:rFonts w:ascii="Calibri-Light" w:eastAsia="Calibri-Light" w:hAnsi="Calibri-Light" w:cs="Yu Mincho"/>
          <w:szCs w:val="24"/>
        </w:rPr>
        <w:t xml:space="preserve">by other NZ ETS participants. </w:t>
      </w:r>
      <w:r w:rsidR="00F12C39" w:rsidRPr="00D76C97">
        <w:rPr>
          <w:rFonts w:ascii="Calibri-Light" w:eastAsia="Calibri-Light" w:hAnsi="Calibri-Light" w:cs="Yu Mincho"/>
          <w:szCs w:val="24"/>
        </w:rPr>
        <w:t>This would make them part of the surplus</w:t>
      </w:r>
      <w:r w:rsidR="008D5FE0" w:rsidRPr="00D76C97">
        <w:rPr>
          <w:rFonts w:ascii="Calibri-Light" w:eastAsia="Calibri-Light" w:hAnsi="Calibri-Light" w:cs="Yu Mincho"/>
          <w:szCs w:val="24"/>
        </w:rPr>
        <w:t>,</w:t>
      </w:r>
      <w:r w:rsidR="00F12C39" w:rsidRPr="00D76C97">
        <w:rPr>
          <w:rFonts w:ascii="Calibri-Light" w:eastAsia="Calibri-Light" w:hAnsi="Calibri-Light" w:cs="Yu Mincho"/>
          <w:szCs w:val="24"/>
        </w:rPr>
        <w:t xml:space="preserve"> as they present a risk of allowing emissions above emissions budget levels.</w:t>
      </w:r>
    </w:p>
    <w:p w14:paraId="6E2B4A4D" w14:textId="269D1732" w:rsidR="007B6701" w:rsidRPr="00D76C97" w:rsidRDefault="00D001B7"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We continue to assume</w:t>
      </w:r>
      <w:r w:rsidR="006B1F1F" w:rsidRPr="00D76C97">
        <w:rPr>
          <w:rFonts w:ascii="Calibri-Light" w:eastAsia="Calibri-Light" w:hAnsi="Calibri-Light" w:cs="Yu Mincho"/>
          <w:szCs w:val="24"/>
        </w:rPr>
        <w:t xml:space="preserve">, as per our previous advice, that a </w:t>
      </w:r>
      <w:r w:rsidR="003C49E0" w:rsidRPr="00D76C97">
        <w:rPr>
          <w:rFonts w:ascii="Calibri-Light" w:eastAsia="Calibri-Light" w:hAnsi="Calibri-Light" w:cs="Yu Mincho"/>
          <w:szCs w:val="24"/>
        </w:rPr>
        <w:t>pro</w:t>
      </w:r>
      <w:r w:rsidR="006B1F1F" w:rsidRPr="00D76C97">
        <w:rPr>
          <w:rFonts w:ascii="Calibri-Light" w:eastAsia="Calibri-Light" w:hAnsi="Calibri-Light" w:cs="Yu Mincho"/>
          <w:szCs w:val="24"/>
        </w:rPr>
        <w:t xml:space="preserve">portion of these </w:t>
      </w:r>
      <w:r w:rsidR="003C49E0" w:rsidRPr="00D76C97">
        <w:rPr>
          <w:rFonts w:ascii="Calibri-Light" w:eastAsia="Calibri-Light" w:hAnsi="Calibri-Light" w:cs="Yu Mincho"/>
          <w:szCs w:val="24"/>
        </w:rPr>
        <w:t xml:space="preserve">pre-1990 </w:t>
      </w:r>
      <w:r w:rsidR="006B1F1F" w:rsidRPr="00D76C97">
        <w:rPr>
          <w:rFonts w:ascii="Calibri-Light" w:eastAsia="Calibri-Light" w:hAnsi="Calibri-Light" w:cs="Yu Mincho"/>
          <w:szCs w:val="24"/>
        </w:rPr>
        <w:t>units will remain held long-term by those who originally received them</w:t>
      </w:r>
      <w:r w:rsidR="00DA2784" w:rsidRPr="00D76C97">
        <w:rPr>
          <w:rFonts w:ascii="Calibri-Light" w:eastAsia="Calibri-Light" w:hAnsi="Calibri-Light" w:cs="Yu Mincho"/>
          <w:szCs w:val="24"/>
        </w:rPr>
        <w:t xml:space="preserve">. </w:t>
      </w:r>
      <w:r w:rsidR="00186EBD" w:rsidRPr="00D76C97">
        <w:rPr>
          <w:rFonts w:ascii="Calibri-Light" w:eastAsia="Calibri-Light" w:hAnsi="Calibri-Light" w:cs="Yu Mincho"/>
          <w:szCs w:val="24"/>
        </w:rPr>
        <w:t>That is, they are unlikely to be available for use by other NZ ETS participants before 2030 and so do not contribute to the surplus</w:t>
      </w:r>
      <w:r w:rsidR="007B6701" w:rsidRPr="00D76C97">
        <w:rPr>
          <w:rFonts w:ascii="Calibri-Light" w:eastAsia="Calibri-Light" w:hAnsi="Calibri-Light" w:cs="Yu Mincho"/>
          <w:szCs w:val="24"/>
        </w:rPr>
        <w:t>.</w:t>
      </w:r>
    </w:p>
    <w:p w14:paraId="5AD75AA8" w14:textId="2F6AB557" w:rsidR="00B84D9E" w:rsidRPr="00D76C97" w:rsidRDefault="008E7F6A"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This assumption is based on feedback from market participants</w:t>
      </w:r>
      <w:r w:rsidR="009C1A59" w:rsidRPr="00D76C97">
        <w:rPr>
          <w:rFonts w:ascii="Calibri-Light" w:eastAsia="Calibri-Light" w:hAnsi="Calibri-Light" w:cs="Yu Mincho"/>
          <w:szCs w:val="24"/>
        </w:rPr>
        <w:t>. The</w:t>
      </w:r>
      <w:r w:rsidRPr="00D76C97">
        <w:rPr>
          <w:rFonts w:ascii="Calibri-Light" w:eastAsia="Calibri-Light" w:hAnsi="Calibri-Light" w:cs="Yu Mincho"/>
          <w:szCs w:val="24"/>
        </w:rPr>
        <w:t xml:space="preserve"> reasons cited for why these units may be held </w:t>
      </w:r>
      <w:r w:rsidR="00C539DD" w:rsidRPr="00D76C97">
        <w:rPr>
          <w:rFonts w:ascii="Calibri-Light" w:eastAsia="Calibri-Light" w:hAnsi="Calibri-Light" w:cs="Yu Mincho"/>
          <w:szCs w:val="24"/>
        </w:rPr>
        <w:t>long-term</w:t>
      </w:r>
      <w:r w:rsidRPr="00D76C97">
        <w:rPr>
          <w:rFonts w:ascii="Calibri-Light" w:eastAsia="Calibri-Light" w:hAnsi="Calibri-Light" w:cs="Yu Mincho"/>
          <w:szCs w:val="24"/>
        </w:rPr>
        <w:t xml:space="preserve"> includ</w:t>
      </w:r>
      <w:r w:rsidR="009C1A59" w:rsidRPr="00D76C97">
        <w:rPr>
          <w:rFonts w:ascii="Calibri-Light" w:eastAsia="Calibri-Light" w:hAnsi="Calibri-Light" w:cs="Yu Mincho"/>
          <w:szCs w:val="24"/>
        </w:rPr>
        <w:t>e</w:t>
      </w:r>
      <w:r w:rsidRPr="00D76C97">
        <w:rPr>
          <w:rFonts w:ascii="Calibri-Light" w:eastAsia="Calibri-Light" w:hAnsi="Calibri-Light" w:cs="Yu Mincho"/>
          <w:szCs w:val="24"/>
        </w:rPr>
        <w:t>:</w:t>
      </w:r>
    </w:p>
    <w:p w14:paraId="23B278EA" w14:textId="26A3091C" w:rsidR="00400219" w:rsidRDefault="004F77F3" w:rsidP="00250373">
      <w:pPr>
        <w:pStyle w:val="ListParagraph"/>
        <w:numPr>
          <w:ilvl w:val="0"/>
          <w:numId w:val="49"/>
        </w:numPr>
      </w:pPr>
      <w:r>
        <w:t>T</w:t>
      </w:r>
      <w:r w:rsidR="00F35E64">
        <w:t xml:space="preserve">o </w:t>
      </w:r>
      <w:r w:rsidR="001F4BFA">
        <w:t>keep open the option of</w:t>
      </w:r>
      <w:r w:rsidR="00400219">
        <w:t xml:space="preserve"> future land use change</w:t>
      </w:r>
      <w:r w:rsidR="001E55AD">
        <w:t xml:space="preserve">, </w:t>
      </w:r>
      <w:r w:rsidR="005B7970">
        <w:t>to enable use of land for another purpose (e.g</w:t>
      </w:r>
      <w:r w:rsidR="004F373E">
        <w:t>.,</w:t>
      </w:r>
      <w:r w:rsidR="005B7970">
        <w:t xml:space="preserve"> developed for pasture or for housing)</w:t>
      </w:r>
      <w:r w:rsidR="001F6F0C">
        <w:t>.</w:t>
      </w:r>
    </w:p>
    <w:p w14:paraId="4166FE0F" w14:textId="256E1F8E" w:rsidR="007226B7" w:rsidRDefault="007226B7" w:rsidP="00250373">
      <w:pPr>
        <w:pStyle w:val="ListParagraph"/>
        <w:numPr>
          <w:ilvl w:val="0"/>
          <w:numId w:val="49"/>
        </w:numPr>
      </w:pPr>
      <w:r>
        <w:t xml:space="preserve">As insurance </w:t>
      </w:r>
      <w:r w:rsidR="00CA3F0E" w:rsidRPr="00CA3F0E">
        <w:t xml:space="preserve">in case requirements to replant </w:t>
      </w:r>
      <w:r w:rsidR="00250B53">
        <w:t>post-harvest</w:t>
      </w:r>
      <w:r w:rsidR="002B13DE">
        <w:t>,</w:t>
      </w:r>
      <w:r w:rsidR="00250B53">
        <w:t xml:space="preserve"> </w:t>
      </w:r>
      <w:r w:rsidR="00CA3F0E" w:rsidRPr="00CA3F0E">
        <w:t xml:space="preserve">or regenerate the land </w:t>
      </w:r>
      <w:r w:rsidR="003B54E5">
        <w:t>within the criteria and timeframes set by NZ ETS rules</w:t>
      </w:r>
      <w:r w:rsidR="002B13DE">
        <w:t>,</w:t>
      </w:r>
      <w:r w:rsidR="003B54E5">
        <w:t xml:space="preserve"> </w:t>
      </w:r>
      <w:r w:rsidR="00CA3F0E" w:rsidRPr="00CA3F0E">
        <w:t>are not met</w:t>
      </w:r>
      <w:r w:rsidR="002B13DE">
        <w:t xml:space="preserve"> –</w:t>
      </w:r>
      <w:r w:rsidR="004F6F9D">
        <w:t xml:space="preserve"> particularly where the forest owner is asset-poor</w:t>
      </w:r>
      <w:r w:rsidR="00CA3F0E" w:rsidRPr="00CA3F0E">
        <w:t>.</w:t>
      </w:r>
    </w:p>
    <w:p w14:paraId="7B344A55" w14:textId="28B17C4C" w:rsidR="00C86C48" w:rsidRDefault="00C86C48" w:rsidP="00250373">
      <w:pPr>
        <w:pStyle w:val="ListParagraph"/>
        <w:numPr>
          <w:ilvl w:val="0"/>
          <w:numId w:val="49"/>
        </w:numPr>
      </w:pPr>
      <w:r>
        <w:t>Some iwi/</w:t>
      </w:r>
      <w:r w:rsidR="00D34F1C">
        <w:t>Māori</w:t>
      </w:r>
      <w:r>
        <w:t xml:space="preserve"> forest owners may wish to retain the units as an asset for future generations</w:t>
      </w:r>
      <w:r w:rsidR="001F6F0C">
        <w:t>.</w:t>
      </w:r>
    </w:p>
    <w:p w14:paraId="33C2798B" w14:textId="57A13210" w:rsidR="00D34F1C" w:rsidRDefault="00D34F1C" w:rsidP="00250373">
      <w:pPr>
        <w:pStyle w:val="ListParagraph"/>
        <w:numPr>
          <w:ilvl w:val="0"/>
          <w:numId w:val="49"/>
        </w:numPr>
      </w:pPr>
      <w:r>
        <w:t xml:space="preserve">Slow and deliberate decision-making about the sale of units, for example due to collective decision making within </w:t>
      </w:r>
      <w:r w:rsidR="00A17651">
        <w:t>i</w:t>
      </w:r>
      <w:r>
        <w:t xml:space="preserve">wi/Māori entities. </w:t>
      </w:r>
    </w:p>
    <w:p w14:paraId="693D9C41" w14:textId="5C7BA833" w:rsidR="00400219" w:rsidRDefault="00AF3788" w:rsidP="00250373">
      <w:pPr>
        <w:pStyle w:val="ListParagraph"/>
        <w:numPr>
          <w:ilvl w:val="0"/>
          <w:numId w:val="49"/>
        </w:numPr>
      </w:pPr>
      <w:r>
        <w:t xml:space="preserve">Some recipients of </w:t>
      </w:r>
      <w:r w:rsidR="00CD0547">
        <w:t>pre-1990</w:t>
      </w:r>
      <w:r>
        <w:t xml:space="preserve"> units </w:t>
      </w:r>
      <w:r w:rsidR="00636D1E">
        <w:t>may have low awareness of what the units are</w:t>
      </w:r>
      <w:r w:rsidR="006963BC">
        <w:t>, how to sell them</w:t>
      </w:r>
      <w:r w:rsidR="004B614D">
        <w:t>,</w:t>
      </w:r>
      <w:r w:rsidR="006963BC">
        <w:t xml:space="preserve"> or what the implications of selling them might be. </w:t>
      </w:r>
    </w:p>
    <w:p w14:paraId="7482708D" w14:textId="187C58D0" w:rsidR="003F5F9F" w:rsidRDefault="003F5F9F" w:rsidP="00250373">
      <w:r>
        <w:t xml:space="preserve">Estimating how many of these units may be retained is challenging, as </w:t>
      </w:r>
      <w:r w:rsidR="003D4314">
        <w:t xml:space="preserve">to date </w:t>
      </w:r>
      <w:r>
        <w:t>no information specifically on the intentions or behaviour of the entities who received them</w:t>
      </w:r>
      <w:r w:rsidR="009F4BC7" w:rsidRPr="009F4BC7">
        <w:t xml:space="preserve"> </w:t>
      </w:r>
      <w:r w:rsidR="009F4BC7">
        <w:t>has been collected</w:t>
      </w:r>
      <w:r>
        <w:t xml:space="preserve">. </w:t>
      </w:r>
    </w:p>
    <w:p w14:paraId="6035BB7C" w14:textId="77777777" w:rsidR="00773384" w:rsidRDefault="00773384" w:rsidP="00773384">
      <w:r>
        <w:t>The most relevant data that we have been able to source to inform our analysis is from the EPA about transfers of these pre-1990 units out of the accounts that originally received them. This is the closest proxy available to us for estimating the extent to which these units may be available for use in the NZ ETS market.</w:t>
      </w:r>
    </w:p>
    <w:p w14:paraId="10270BB2" w14:textId="4EC4CACC" w:rsidR="00252997" w:rsidRDefault="00117992" w:rsidP="00EE4965">
      <w:r>
        <w:t>As of December 2024, there were approximately 11.5</w:t>
      </w:r>
      <w:r w:rsidR="009E5813">
        <w:t xml:space="preserve"> </w:t>
      </w:r>
      <w:r>
        <w:t>m</w:t>
      </w:r>
      <w:r w:rsidR="009E5813">
        <w:t>illion</w:t>
      </w:r>
      <w:r>
        <w:t xml:space="preserve"> </w:t>
      </w:r>
      <w:r w:rsidR="003B311C">
        <w:t>pre-1990</w:t>
      </w:r>
      <w:r>
        <w:t xml:space="preserve"> units held in the original accounts </w:t>
      </w:r>
      <w:r w:rsidR="005F501C">
        <w:t xml:space="preserve">to which </w:t>
      </w:r>
      <w:r>
        <w:t>they were allocated</w:t>
      </w:r>
      <w:r w:rsidR="00AC618D">
        <w:t>. This is</w:t>
      </w:r>
      <w:r w:rsidR="0076426C">
        <w:t xml:space="preserve"> </w:t>
      </w:r>
      <w:r w:rsidR="00252570">
        <w:t xml:space="preserve">a reduction from </w:t>
      </w:r>
      <w:r w:rsidR="00176DC7">
        <w:t>14.2</w:t>
      </w:r>
      <w:r w:rsidR="00186A17">
        <w:t xml:space="preserve"> </w:t>
      </w:r>
      <w:r w:rsidR="00252570">
        <w:t>m</w:t>
      </w:r>
      <w:r w:rsidR="00186A17">
        <w:t>illion</w:t>
      </w:r>
      <w:r w:rsidR="00252997">
        <w:t xml:space="preserve"> </w:t>
      </w:r>
      <w:r w:rsidR="00176DC7">
        <w:t xml:space="preserve">taken </w:t>
      </w:r>
      <w:r w:rsidR="00F82465">
        <w:t xml:space="preserve">as our base point </w:t>
      </w:r>
      <w:r w:rsidR="00252997">
        <w:t>the previous year</w:t>
      </w:r>
      <w:r>
        <w:t xml:space="preserve">. </w:t>
      </w:r>
    </w:p>
    <w:p w14:paraId="156F06A8" w14:textId="6EA4C687" w:rsidR="00BB7D37" w:rsidRDefault="00FD4741" w:rsidP="00EE4965">
      <w:r>
        <w:t xml:space="preserve">Previously, we </w:t>
      </w:r>
      <w:r w:rsidR="00CE6F27">
        <w:t>had estimate</w:t>
      </w:r>
      <w:r w:rsidR="00946988">
        <w:t>d</w:t>
      </w:r>
      <w:r w:rsidR="00CE6F27">
        <w:t xml:space="preserve"> </w:t>
      </w:r>
      <w:r w:rsidR="00A655DF">
        <w:t>the units that were unlike</w:t>
      </w:r>
      <w:r w:rsidR="00F2083F">
        <w:t>ly</w:t>
      </w:r>
      <w:r w:rsidR="00A655DF">
        <w:t xml:space="preserve"> to be available for use </w:t>
      </w:r>
      <w:r w:rsidR="0044185E">
        <w:t>by using a linear extrapolation of past trends</w:t>
      </w:r>
      <w:r w:rsidR="008F2257">
        <w:t xml:space="preserve">, using </w:t>
      </w:r>
      <w:r w:rsidR="00C569F9">
        <w:t xml:space="preserve">different </w:t>
      </w:r>
      <w:r w:rsidR="00B37402">
        <w:t>time period</w:t>
      </w:r>
      <w:r w:rsidR="002D0394">
        <w:t>s</w:t>
      </w:r>
      <w:r w:rsidR="00B37402">
        <w:t xml:space="preserve"> </w:t>
      </w:r>
      <w:r w:rsidR="00C569F9">
        <w:t>of historical data to determin</w:t>
      </w:r>
      <w:r w:rsidR="00294328">
        <w:t>e</w:t>
      </w:r>
      <w:r w:rsidR="00C569F9">
        <w:t xml:space="preserve"> the central, high and low estimates</w:t>
      </w:r>
      <w:r w:rsidR="0044185E">
        <w:t>.</w:t>
      </w:r>
    </w:p>
    <w:p w14:paraId="5A93D2EA" w14:textId="6AE02616" w:rsidR="00C66479" w:rsidRDefault="00CE3379" w:rsidP="00EE4965">
      <w:r>
        <w:t xml:space="preserve">The </w:t>
      </w:r>
      <w:r w:rsidR="00BD6F18">
        <w:t xml:space="preserve">previously-mentioned </w:t>
      </w:r>
      <w:r>
        <w:t xml:space="preserve">EY report </w:t>
      </w:r>
      <w:r w:rsidR="00BD6F18">
        <w:t xml:space="preserve">that reviewed the surplus methodology suggested </w:t>
      </w:r>
      <w:r w:rsidR="003E771F">
        <w:t>that the</w:t>
      </w:r>
      <w:r w:rsidR="00BD0A4C">
        <w:t xml:space="preserve"> above</w:t>
      </w:r>
      <w:r w:rsidR="003E771F">
        <w:t xml:space="preserve"> approach result</w:t>
      </w:r>
      <w:r w:rsidR="001D5128">
        <w:t>s</w:t>
      </w:r>
      <w:r w:rsidR="003E771F">
        <w:t xml:space="preserve"> in </w:t>
      </w:r>
      <w:r w:rsidR="0025782C">
        <w:t xml:space="preserve">an overly narrow </w:t>
      </w:r>
      <w:r w:rsidR="00A46A13">
        <w:t>range of estimates</w:t>
      </w:r>
      <w:r w:rsidR="00E75EA0">
        <w:t xml:space="preserve">, given </w:t>
      </w:r>
      <w:r w:rsidR="00E32CFC">
        <w:t xml:space="preserve">“the breadth of uncertainties that the estimate is exposed to”. </w:t>
      </w:r>
    </w:p>
    <w:p w14:paraId="7985B892" w14:textId="09F7C309" w:rsidR="00725505" w:rsidRPr="00D76C97" w:rsidRDefault="00725505" w:rsidP="00D76C97">
      <w:pPr>
        <w:spacing w:line="279" w:lineRule="auto"/>
        <w:rPr>
          <w:rFonts w:ascii="Calibri-Light" w:eastAsia="Calibri-Light" w:hAnsi="Calibri-Light" w:cs="Yu Mincho"/>
          <w:szCs w:val="24"/>
        </w:rPr>
      </w:pPr>
      <w:r w:rsidRPr="00D76C97">
        <w:rPr>
          <w:rFonts w:ascii="Calibri-Light" w:eastAsia="Calibri-Light" w:hAnsi="Calibri-Light" w:cs="Yu Mincho"/>
          <w:szCs w:val="24"/>
        </w:rPr>
        <w:t xml:space="preserve">We have reviewed </w:t>
      </w:r>
      <w:r w:rsidR="0099084E" w:rsidRPr="00D76C97">
        <w:rPr>
          <w:rFonts w:ascii="Calibri-Light" w:eastAsia="Calibri-Light" w:hAnsi="Calibri-Light" w:cs="Yu Mincho"/>
          <w:szCs w:val="24"/>
        </w:rPr>
        <w:t xml:space="preserve">our approach, </w:t>
      </w:r>
      <w:r w:rsidRPr="00D76C97">
        <w:rPr>
          <w:rFonts w:ascii="Calibri-Light" w:eastAsia="Calibri-Light" w:hAnsi="Calibri-Light" w:cs="Yu Mincho"/>
          <w:szCs w:val="24"/>
        </w:rPr>
        <w:t>the EY feedback</w:t>
      </w:r>
      <w:r w:rsidR="00207350" w:rsidRPr="00D76C97">
        <w:rPr>
          <w:rFonts w:ascii="Calibri-Light" w:eastAsia="Calibri-Light" w:hAnsi="Calibri-Light" w:cs="Yu Mincho"/>
          <w:szCs w:val="24"/>
        </w:rPr>
        <w:t>,</w:t>
      </w:r>
      <w:r w:rsidRPr="00D76C97">
        <w:rPr>
          <w:rFonts w:ascii="Calibri-Light" w:eastAsia="Calibri-Light" w:hAnsi="Calibri-Light" w:cs="Yu Mincho"/>
          <w:szCs w:val="24"/>
        </w:rPr>
        <w:t xml:space="preserve"> as well as the </w:t>
      </w:r>
      <w:r w:rsidR="00B75D08" w:rsidRPr="00D76C97">
        <w:rPr>
          <w:rFonts w:ascii="Calibri-Light" w:eastAsia="Calibri-Light" w:hAnsi="Calibri-Light" w:cs="Yu Mincho"/>
          <w:szCs w:val="24"/>
        </w:rPr>
        <w:t xml:space="preserve">adjusted </w:t>
      </w:r>
      <w:r w:rsidRPr="00D76C97">
        <w:rPr>
          <w:rFonts w:ascii="Calibri-Light" w:eastAsia="Calibri-Light" w:hAnsi="Calibri-Light" w:cs="Yu Mincho"/>
          <w:szCs w:val="24"/>
        </w:rPr>
        <w:t xml:space="preserve">approach MfE used in its </w:t>
      </w:r>
      <w:r w:rsidR="001E3197" w:rsidRPr="00D76C97">
        <w:rPr>
          <w:rFonts w:ascii="Calibri-Light" w:eastAsia="Calibri-Light" w:hAnsi="Calibri-Light" w:cs="Yu Mincho"/>
          <w:szCs w:val="24"/>
        </w:rPr>
        <w:t xml:space="preserve">calculations </w:t>
      </w:r>
      <w:r w:rsidR="00A31FA5" w:rsidRPr="00D76C97">
        <w:rPr>
          <w:rFonts w:ascii="Calibri-Light" w:eastAsia="Calibri-Light" w:hAnsi="Calibri-Light" w:cs="Yu Mincho"/>
          <w:szCs w:val="24"/>
        </w:rPr>
        <w:t>that informed the</w:t>
      </w:r>
      <w:r w:rsidR="00DC15E9" w:rsidRPr="00D76C97">
        <w:rPr>
          <w:rFonts w:ascii="Calibri-Light" w:eastAsia="Calibri-Light" w:hAnsi="Calibri-Light" w:cs="Yu Mincho"/>
          <w:szCs w:val="24"/>
        </w:rPr>
        <w:t xml:space="preserve"> updates to </w:t>
      </w:r>
      <w:r w:rsidR="00A31FA5" w:rsidRPr="00D76C97">
        <w:rPr>
          <w:rFonts w:ascii="Calibri-Light" w:eastAsia="Calibri-Light" w:hAnsi="Calibri-Light" w:cs="Yu Mincho"/>
          <w:szCs w:val="24"/>
        </w:rPr>
        <w:t xml:space="preserve">NZ ETS settings </w:t>
      </w:r>
      <w:r w:rsidR="00DC15E9" w:rsidRPr="00D76C97">
        <w:rPr>
          <w:rFonts w:ascii="Calibri-Light" w:eastAsia="Calibri-Light" w:hAnsi="Calibri-Light" w:cs="Yu Mincho"/>
          <w:szCs w:val="24"/>
        </w:rPr>
        <w:t xml:space="preserve">regulations </w:t>
      </w:r>
      <w:r w:rsidR="00A31FA5" w:rsidRPr="00D76C97">
        <w:rPr>
          <w:rFonts w:ascii="Calibri-Light" w:eastAsia="Calibri-Light" w:hAnsi="Calibri-Light" w:cs="Yu Mincho"/>
          <w:szCs w:val="24"/>
        </w:rPr>
        <w:t>last year.</w:t>
      </w:r>
      <w:r w:rsidR="0099084E" w:rsidRPr="00D76C97">
        <w:rPr>
          <w:rFonts w:ascii="Calibri-Light" w:eastAsia="Calibri-Light" w:hAnsi="Calibri-Light" w:cs="Yu Mincho"/>
          <w:szCs w:val="24"/>
        </w:rPr>
        <w:t xml:space="preserve"> T</w:t>
      </w:r>
      <w:r w:rsidR="00B75D08" w:rsidRPr="00D76C97">
        <w:rPr>
          <w:rFonts w:ascii="Calibri-Light" w:eastAsia="Calibri-Light" w:hAnsi="Calibri-Light" w:cs="Yu Mincho"/>
          <w:szCs w:val="24"/>
        </w:rPr>
        <w:t xml:space="preserve">his highlighted that the previous </w:t>
      </w:r>
      <w:r w:rsidR="005B3951" w:rsidRPr="00D76C97">
        <w:rPr>
          <w:rFonts w:ascii="Calibri-Light" w:eastAsia="Calibri-Light" w:hAnsi="Calibri-Light" w:cs="Yu Mincho"/>
          <w:szCs w:val="24"/>
        </w:rPr>
        <w:t xml:space="preserve">use of </w:t>
      </w:r>
      <w:r w:rsidR="00B75D08" w:rsidRPr="00D76C97">
        <w:rPr>
          <w:rFonts w:ascii="Calibri-Light" w:eastAsia="Calibri-Light" w:hAnsi="Calibri-Light" w:cs="Yu Mincho"/>
          <w:szCs w:val="24"/>
        </w:rPr>
        <w:t>linear extrapolation</w:t>
      </w:r>
      <w:r w:rsidR="00886A53" w:rsidRPr="00D76C97">
        <w:rPr>
          <w:rFonts w:ascii="Calibri-Light" w:eastAsia="Calibri-Light" w:hAnsi="Calibri-Light" w:cs="Yu Mincho"/>
          <w:szCs w:val="24"/>
        </w:rPr>
        <w:t xml:space="preserve"> </w:t>
      </w:r>
      <w:r w:rsidR="00F430D2" w:rsidRPr="00D76C97">
        <w:rPr>
          <w:rFonts w:ascii="Calibri-Light" w:eastAsia="Calibri-Light" w:hAnsi="Calibri-Light" w:cs="Yu Mincho"/>
          <w:szCs w:val="24"/>
        </w:rPr>
        <w:t xml:space="preserve">was </w:t>
      </w:r>
      <w:r w:rsidR="0061006D" w:rsidRPr="00D76C97">
        <w:rPr>
          <w:rFonts w:ascii="Calibri-Light" w:eastAsia="Calibri-Light" w:hAnsi="Calibri-Light" w:cs="Yu Mincho"/>
          <w:szCs w:val="24"/>
        </w:rPr>
        <w:t xml:space="preserve">very sensitive to </w:t>
      </w:r>
      <w:r w:rsidR="008A402F" w:rsidRPr="00D76C97">
        <w:rPr>
          <w:rFonts w:ascii="Calibri-Light" w:eastAsia="Calibri-Light" w:hAnsi="Calibri-Light" w:cs="Yu Mincho"/>
          <w:szCs w:val="24"/>
        </w:rPr>
        <w:t>changes in the quarterly trend data o</w:t>
      </w:r>
      <w:r w:rsidR="00B22A1C" w:rsidRPr="00D76C97">
        <w:rPr>
          <w:rFonts w:ascii="Calibri-Light" w:eastAsia="Calibri-Light" w:hAnsi="Calibri-Light" w:cs="Yu Mincho"/>
          <w:szCs w:val="24"/>
        </w:rPr>
        <w:t>n transfers provided by the EPA</w:t>
      </w:r>
      <w:r w:rsidR="00254ED1" w:rsidRPr="00D76C97">
        <w:rPr>
          <w:rFonts w:ascii="Calibri-Light" w:eastAsia="Calibri-Light" w:hAnsi="Calibri-Light" w:cs="Yu Mincho"/>
          <w:szCs w:val="24"/>
        </w:rPr>
        <w:t xml:space="preserve">. It also showed </w:t>
      </w:r>
      <w:r w:rsidR="006B7D26" w:rsidRPr="00D76C97">
        <w:rPr>
          <w:rFonts w:ascii="Calibri-Light" w:eastAsia="Calibri-Light" w:hAnsi="Calibri-Light" w:cs="Yu Mincho"/>
          <w:szCs w:val="24"/>
        </w:rPr>
        <w:t xml:space="preserve">that </w:t>
      </w:r>
      <w:r w:rsidR="002E1088" w:rsidRPr="00D76C97">
        <w:rPr>
          <w:rFonts w:ascii="Calibri-Light" w:eastAsia="Calibri-Light" w:hAnsi="Calibri-Light" w:cs="Yu Mincho"/>
          <w:szCs w:val="24"/>
        </w:rPr>
        <w:t xml:space="preserve">this approach </w:t>
      </w:r>
      <w:r w:rsidR="0027654C" w:rsidRPr="00D76C97">
        <w:rPr>
          <w:rFonts w:ascii="Calibri-Light" w:eastAsia="Calibri-Light" w:hAnsi="Calibri-Light" w:cs="Yu Mincho"/>
          <w:szCs w:val="24"/>
        </w:rPr>
        <w:t>would result in these un</w:t>
      </w:r>
      <w:r w:rsidR="00AC22D5" w:rsidRPr="00D76C97">
        <w:rPr>
          <w:rFonts w:ascii="Calibri-Light" w:eastAsia="Calibri-Light" w:hAnsi="Calibri-Light" w:cs="Yu Mincho"/>
          <w:szCs w:val="24"/>
        </w:rPr>
        <w:t>i</w:t>
      </w:r>
      <w:r w:rsidR="0027654C" w:rsidRPr="00D76C97">
        <w:rPr>
          <w:rFonts w:ascii="Calibri-Light" w:eastAsia="Calibri-Light" w:hAnsi="Calibri-Light" w:cs="Yu Mincho"/>
          <w:szCs w:val="24"/>
        </w:rPr>
        <w:t xml:space="preserve">ts declining to zero </w:t>
      </w:r>
      <w:r w:rsidR="00774ED8" w:rsidRPr="00D76C97">
        <w:rPr>
          <w:rFonts w:ascii="Calibri-Light" w:eastAsia="Calibri-Light" w:hAnsi="Calibri-Light" w:cs="Yu Mincho"/>
          <w:szCs w:val="24"/>
        </w:rPr>
        <w:t xml:space="preserve">in the 2030s, which is not consistent with the feedback </w:t>
      </w:r>
      <w:r w:rsidR="00AC22D5" w:rsidRPr="00D76C97">
        <w:rPr>
          <w:rFonts w:ascii="Calibri-Light" w:eastAsia="Calibri-Light" w:hAnsi="Calibri-Light" w:cs="Yu Mincho"/>
          <w:szCs w:val="24"/>
        </w:rPr>
        <w:t xml:space="preserve">we have heard on this issue from some of the </w:t>
      </w:r>
      <w:r w:rsidR="007A00A4" w:rsidRPr="00D76C97">
        <w:rPr>
          <w:rFonts w:ascii="Calibri-Light" w:eastAsia="Calibri-Light" w:hAnsi="Calibri-Light" w:cs="Yu Mincho"/>
          <w:szCs w:val="24"/>
        </w:rPr>
        <w:t>owners of these units</w:t>
      </w:r>
      <w:r w:rsidR="00B22A1C" w:rsidRPr="00D76C97">
        <w:rPr>
          <w:rFonts w:ascii="Calibri-Light" w:eastAsia="Calibri-Light" w:hAnsi="Calibri-Light" w:cs="Yu Mincho"/>
          <w:szCs w:val="24"/>
        </w:rPr>
        <w:t xml:space="preserve">. </w:t>
      </w:r>
      <w:r w:rsidR="00B75D08" w:rsidRPr="00D76C97">
        <w:rPr>
          <w:rFonts w:ascii="Calibri-Light" w:eastAsia="Calibri-Light" w:hAnsi="Calibri-Light" w:cs="Yu Mincho"/>
          <w:szCs w:val="24"/>
        </w:rPr>
        <w:t xml:space="preserve"> </w:t>
      </w:r>
      <w:r w:rsidR="00A31FA5" w:rsidRPr="00D76C97">
        <w:rPr>
          <w:rFonts w:ascii="Calibri-Light" w:eastAsia="Calibri-Light" w:hAnsi="Calibri-Light" w:cs="Yu Mincho"/>
          <w:szCs w:val="24"/>
        </w:rPr>
        <w:t xml:space="preserve"> </w:t>
      </w:r>
    </w:p>
    <w:p w14:paraId="1C9FC407" w14:textId="5F6A35E5" w:rsidR="007A00A4" w:rsidRDefault="007A00A4" w:rsidP="007A00A4">
      <w:r>
        <w:t>We have therefore chosen to use a revised methodology that is based on an average percentage of units transferred each quarter. We have reviewed the historical transfer rates to determine a credible range</w:t>
      </w:r>
      <w:r w:rsidR="00E979A7">
        <w:t>, and these are</w:t>
      </w:r>
      <w:r w:rsidR="00E979A7" w:rsidRPr="00E979A7">
        <w:t xml:space="preserve"> </w:t>
      </w:r>
      <w:r w:rsidR="00E979A7">
        <w:t xml:space="preserve">shown in </w:t>
      </w:r>
      <w:r w:rsidR="001D119D" w:rsidRPr="001D119D">
        <w:rPr>
          <w:b/>
          <w:bCs/>
        </w:rPr>
        <w:fldChar w:fldCharType="begin"/>
      </w:r>
      <w:r w:rsidR="001D119D" w:rsidRPr="001D119D">
        <w:rPr>
          <w:b/>
          <w:bCs/>
        </w:rPr>
        <w:instrText xml:space="preserve"> REF _Ref195288734 \h </w:instrText>
      </w:r>
      <w:r w:rsidR="001D119D">
        <w:rPr>
          <w:b/>
          <w:bCs/>
        </w:rPr>
        <w:instrText xml:space="preserve"> \* MERGEFORMAT </w:instrText>
      </w:r>
      <w:r w:rsidR="001D119D" w:rsidRPr="001D119D">
        <w:rPr>
          <w:b/>
          <w:bCs/>
        </w:rPr>
      </w:r>
      <w:r w:rsidR="001D119D" w:rsidRPr="001D119D">
        <w:rPr>
          <w:b/>
          <w:bCs/>
        </w:rPr>
        <w:fldChar w:fldCharType="separate"/>
      </w:r>
      <w:r w:rsidR="00EA3949" w:rsidRPr="00EA3949">
        <w:rPr>
          <w:b/>
          <w:bCs/>
        </w:rPr>
        <w:t xml:space="preserve">Table </w:t>
      </w:r>
      <w:r w:rsidR="00EA3949" w:rsidRPr="00EA3949">
        <w:rPr>
          <w:b/>
          <w:bCs/>
          <w:noProof/>
        </w:rPr>
        <w:t>5</w:t>
      </w:r>
      <w:r w:rsidR="001D119D" w:rsidRPr="001D119D">
        <w:rPr>
          <w:b/>
          <w:bCs/>
        </w:rPr>
        <w:fldChar w:fldCharType="end"/>
      </w:r>
      <w:r w:rsidR="001D119D">
        <w:t xml:space="preserve"> </w:t>
      </w:r>
      <w:r w:rsidR="0039113A">
        <w:t>below</w:t>
      </w:r>
      <w:r>
        <w:t xml:space="preserve">. Based on this data, we have chosen a slow transfers rate of 1% per quarter, a central assumption of 3%, and a fast transfer rate of 5%. </w:t>
      </w:r>
      <w:r w:rsidR="008A4C15">
        <w:t xml:space="preserve"> </w:t>
      </w:r>
    </w:p>
    <w:p w14:paraId="297F8769" w14:textId="3BF36D79" w:rsidR="004B0E4C" w:rsidRDefault="0039113A" w:rsidP="004B0E4C">
      <w:pPr>
        <w:pStyle w:val="Caption"/>
      </w:pPr>
      <w:bookmarkStart w:id="38" w:name="_Ref195288734"/>
      <w:bookmarkStart w:id="39" w:name="_Ref195288722"/>
      <w:r w:rsidRPr="003E4EDF">
        <w:t>Table</w:t>
      </w:r>
      <w:r w:rsidR="00F93BC3" w:rsidRPr="003E4EDF">
        <w:t xml:space="preserve"> </w:t>
      </w:r>
      <w:r w:rsidRPr="003E4EDF">
        <w:fldChar w:fldCharType="begin"/>
      </w:r>
      <w:r w:rsidRPr="003E4EDF">
        <w:instrText xml:space="preserve"> SEQ Table \* ARABIC </w:instrText>
      </w:r>
      <w:r w:rsidRPr="003E4EDF">
        <w:fldChar w:fldCharType="separate"/>
      </w:r>
      <w:r w:rsidR="001D119D">
        <w:rPr>
          <w:noProof/>
        </w:rPr>
        <w:t>5</w:t>
      </w:r>
      <w:r w:rsidRPr="003E4EDF">
        <w:fldChar w:fldCharType="end"/>
      </w:r>
      <w:bookmarkEnd w:id="38"/>
      <w:r w:rsidR="004B0E4C">
        <w:t xml:space="preserve">: </w:t>
      </w:r>
      <w:r w:rsidR="004B0E4C" w:rsidRPr="00EA3949">
        <w:rPr>
          <w:b w:val="0"/>
        </w:rPr>
        <w:t>Quarterly transfer rates of pre-1990 units from their original accounts, 2017-2024</w:t>
      </w:r>
      <w:bookmarkEnd w:id="39"/>
    </w:p>
    <w:tbl>
      <w:tblPr>
        <w:tblStyle w:val="TableGrid"/>
        <w:tblW w:w="0" w:type="auto"/>
        <w:tblLook w:val="04A0" w:firstRow="1" w:lastRow="0" w:firstColumn="1" w:lastColumn="0" w:noHBand="0" w:noVBand="1"/>
      </w:tblPr>
      <w:tblGrid>
        <w:gridCol w:w="2412"/>
        <w:gridCol w:w="4104"/>
      </w:tblGrid>
      <w:tr w:rsidR="00B45D5A" w14:paraId="733401CC" w14:textId="77777777" w:rsidTr="00BE5453">
        <w:tc>
          <w:tcPr>
            <w:tcW w:w="2412" w:type="dxa"/>
            <w:shd w:val="clear" w:color="auto" w:fill="002060"/>
            <w:vAlign w:val="bottom"/>
          </w:tcPr>
          <w:p w14:paraId="7842993C" w14:textId="515223B3" w:rsidR="00B45D5A" w:rsidRPr="003E4EDF" w:rsidRDefault="00B45D5A" w:rsidP="003E4EDF">
            <w:pPr>
              <w:jc w:val="center"/>
              <w:rPr>
                <w:color w:val="FFFFFF" w:themeColor="background1"/>
              </w:rPr>
            </w:pPr>
            <w:r w:rsidRPr="003E4EDF">
              <w:rPr>
                <w:rFonts w:ascii="Calibri" w:hAnsi="Calibri" w:cs="Calibri"/>
                <w:b/>
                <w:bCs/>
                <w:color w:val="FFFFFF" w:themeColor="background1"/>
                <w:sz w:val="22"/>
              </w:rPr>
              <w:t>Year</w:t>
            </w:r>
          </w:p>
        </w:tc>
        <w:tc>
          <w:tcPr>
            <w:tcW w:w="4104" w:type="dxa"/>
            <w:shd w:val="clear" w:color="auto" w:fill="002060"/>
            <w:vAlign w:val="bottom"/>
          </w:tcPr>
          <w:p w14:paraId="2DFD8DC1" w14:textId="57306A9C" w:rsidR="00B45D5A" w:rsidRPr="003E4EDF" w:rsidRDefault="00B45D5A" w:rsidP="003E4EDF">
            <w:pPr>
              <w:jc w:val="center"/>
              <w:rPr>
                <w:color w:val="FFFFFF" w:themeColor="background1"/>
              </w:rPr>
            </w:pPr>
            <w:r w:rsidRPr="003E4EDF">
              <w:rPr>
                <w:rFonts w:ascii="Calibri" w:hAnsi="Calibri" w:cs="Calibri"/>
                <w:b/>
                <w:bCs/>
                <w:color w:val="FFFFFF" w:themeColor="background1"/>
                <w:sz w:val="22"/>
              </w:rPr>
              <w:t>Average quarterly transfer rate</w:t>
            </w:r>
          </w:p>
        </w:tc>
      </w:tr>
      <w:tr w:rsidR="00B45D5A" w14:paraId="4E3B848D" w14:textId="77777777" w:rsidTr="00BE5453">
        <w:tc>
          <w:tcPr>
            <w:tcW w:w="2412" w:type="dxa"/>
            <w:vAlign w:val="bottom"/>
          </w:tcPr>
          <w:p w14:paraId="6FF3A494" w14:textId="7776C1AE" w:rsidR="00B45D5A" w:rsidRPr="003E4EDF" w:rsidRDefault="00B45D5A" w:rsidP="003E4EDF">
            <w:pPr>
              <w:jc w:val="center"/>
              <w:rPr>
                <w:b/>
                <w:bCs/>
              </w:rPr>
            </w:pPr>
            <w:r w:rsidRPr="003E4EDF">
              <w:rPr>
                <w:rFonts w:ascii="Calibri" w:hAnsi="Calibri" w:cs="Calibri"/>
                <w:b/>
                <w:bCs/>
                <w:color w:val="000000"/>
                <w:sz w:val="22"/>
              </w:rPr>
              <w:t>2017</w:t>
            </w:r>
          </w:p>
        </w:tc>
        <w:tc>
          <w:tcPr>
            <w:tcW w:w="4104" w:type="dxa"/>
            <w:vAlign w:val="bottom"/>
          </w:tcPr>
          <w:p w14:paraId="70FDA8A4" w14:textId="21F11657" w:rsidR="00B45D5A" w:rsidRDefault="00B45D5A" w:rsidP="003E4EDF">
            <w:pPr>
              <w:jc w:val="center"/>
            </w:pPr>
            <w:r>
              <w:rPr>
                <w:rFonts w:ascii="Calibri" w:hAnsi="Calibri" w:cs="Calibri"/>
                <w:color w:val="000000"/>
                <w:sz w:val="22"/>
              </w:rPr>
              <w:t>3.2%</w:t>
            </w:r>
          </w:p>
        </w:tc>
      </w:tr>
      <w:tr w:rsidR="00B45D5A" w14:paraId="45CFBE12" w14:textId="77777777" w:rsidTr="00BE5453">
        <w:tc>
          <w:tcPr>
            <w:tcW w:w="2412" w:type="dxa"/>
            <w:vAlign w:val="bottom"/>
          </w:tcPr>
          <w:p w14:paraId="2D35E366" w14:textId="38F2D143" w:rsidR="00B45D5A" w:rsidRPr="003E4EDF" w:rsidRDefault="00B45D5A" w:rsidP="003E4EDF">
            <w:pPr>
              <w:jc w:val="center"/>
              <w:rPr>
                <w:b/>
                <w:bCs/>
              </w:rPr>
            </w:pPr>
            <w:r w:rsidRPr="003E4EDF">
              <w:rPr>
                <w:rFonts w:ascii="Calibri" w:hAnsi="Calibri" w:cs="Calibri"/>
                <w:b/>
                <w:bCs/>
                <w:color w:val="000000"/>
                <w:sz w:val="22"/>
              </w:rPr>
              <w:t>2018</w:t>
            </w:r>
          </w:p>
        </w:tc>
        <w:tc>
          <w:tcPr>
            <w:tcW w:w="4104" w:type="dxa"/>
            <w:vAlign w:val="bottom"/>
          </w:tcPr>
          <w:p w14:paraId="0761964D" w14:textId="5652C005" w:rsidR="00B45D5A" w:rsidRDefault="00B45D5A" w:rsidP="003E4EDF">
            <w:pPr>
              <w:jc w:val="center"/>
            </w:pPr>
            <w:r>
              <w:rPr>
                <w:rFonts w:ascii="Calibri" w:hAnsi="Calibri" w:cs="Calibri"/>
                <w:color w:val="000000"/>
                <w:sz w:val="22"/>
              </w:rPr>
              <w:t>5.1%</w:t>
            </w:r>
          </w:p>
        </w:tc>
      </w:tr>
      <w:tr w:rsidR="00B45D5A" w14:paraId="54E5B3F1" w14:textId="77777777" w:rsidTr="00BE5453">
        <w:tc>
          <w:tcPr>
            <w:tcW w:w="2412" w:type="dxa"/>
            <w:vAlign w:val="bottom"/>
          </w:tcPr>
          <w:p w14:paraId="4DBB97EC" w14:textId="3F9D6100" w:rsidR="00B45D5A" w:rsidRPr="003E4EDF" w:rsidRDefault="00B45D5A" w:rsidP="003E4EDF">
            <w:pPr>
              <w:jc w:val="center"/>
              <w:rPr>
                <w:b/>
                <w:bCs/>
              </w:rPr>
            </w:pPr>
            <w:r w:rsidRPr="003E4EDF">
              <w:rPr>
                <w:rFonts w:ascii="Calibri" w:hAnsi="Calibri" w:cs="Calibri"/>
                <w:b/>
                <w:bCs/>
                <w:color w:val="000000"/>
                <w:sz w:val="22"/>
              </w:rPr>
              <w:t>2019</w:t>
            </w:r>
          </w:p>
        </w:tc>
        <w:tc>
          <w:tcPr>
            <w:tcW w:w="4104" w:type="dxa"/>
            <w:vAlign w:val="bottom"/>
          </w:tcPr>
          <w:p w14:paraId="30C01B57" w14:textId="139F0708" w:rsidR="00B45D5A" w:rsidRDefault="00B45D5A" w:rsidP="003E4EDF">
            <w:pPr>
              <w:jc w:val="center"/>
            </w:pPr>
            <w:r>
              <w:rPr>
                <w:rFonts w:ascii="Calibri" w:hAnsi="Calibri" w:cs="Calibri"/>
                <w:color w:val="000000"/>
                <w:sz w:val="22"/>
              </w:rPr>
              <w:t>4.2%</w:t>
            </w:r>
          </w:p>
        </w:tc>
      </w:tr>
      <w:tr w:rsidR="00B45D5A" w14:paraId="1FFF0BE2" w14:textId="77777777" w:rsidTr="00BE5453">
        <w:tc>
          <w:tcPr>
            <w:tcW w:w="2412" w:type="dxa"/>
            <w:vAlign w:val="bottom"/>
          </w:tcPr>
          <w:p w14:paraId="0B350E81" w14:textId="56DD8310" w:rsidR="00B45D5A" w:rsidRPr="003E4EDF" w:rsidRDefault="00B45D5A" w:rsidP="003E4EDF">
            <w:pPr>
              <w:jc w:val="center"/>
              <w:rPr>
                <w:b/>
                <w:bCs/>
              </w:rPr>
            </w:pPr>
            <w:r w:rsidRPr="003E4EDF">
              <w:rPr>
                <w:rFonts w:ascii="Calibri" w:hAnsi="Calibri" w:cs="Calibri"/>
                <w:b/>
                <w:bCs/>
                <w:color w:val="000000"/>
                <w:sz w:val="22"/>
              </w:rPr>
              <w:t>2020</w:t>
            </w:r>
          </w:p>
        </w:tc>
        <w:tc>
          <w:tcPr>
            <w:tcW w:w="4104" w:type="dxa"/>
            <w:vAlign w:val="bottom"/>
          </w:tcPr>
          <w:p w14:paraId="0D7A1833" w14:textId="0AF9EFC2" w:rsidR="00B45D5A" w:rsidRDefault="00B45D5A" w:rsidP="003E4EDF">
            <w:pPr>
              <w:jc w:val="center"/>
            </w:pPr>
            <w:r>
              <w:rPr>
                <w:rFonts w:ascii="Calibri" w:hAnsi="Calibri" w:cs="Calibri"/>
                <w:color w:val="000000"/>
                <w:sz w:val="22"/>
              </w:rPr>
              <w:t>4.7%</w:t>
            </w:r>
          </w:p>
        </w:tc>
      </w:tr>
      <w:tr w:rsidR="00B45D5A" w14:paraId="42171878" w14:textId="77777777" w:rsidTr="00BE5453">
        <w:tc>
          <w:tcPr>
            <w:tcW w:w="2412" w:type="dxa"/>
            <w:vAlign w:val="bottom"/>
          </w:tcPr>
          <w:p w14:paraId="1677AF27" w14:textId="316F8B04" w:rsidR="00B45D5A" w:rsidRPr="003E4EDF" w:rsidRDefault="00B45D5A" w:rsidP="003E4EDF">
            <w:pPr>
              <w:jc w:val="center"/>
              <w:rPr>
                <w:b/>
                <w:bCs/>
              </w:rPr>
            </w:pPr>
            <w:r w:rsidRPr="003E4EDF">
              <w:rPr>
                <w:rFonts w:ascii="Calibri" w:hAnsi="Calibri" w:cs="Calibri"/>
                <w:b/>
                <w:bCs/>
                <w:color w:val="000000"/>
                <w:sz w:val="22"/>
              </w:rPr>
              <w:t>2021</w:t>
            </w:r>
          </w:p>
        </w:tc>
        <w:tc>
          <w:tcPr>
            <w:tcW w:w="4104" w:type="dxa"/>
            <w:vAlign w:val="bottom"/>
          </w:tcPr>
          <w:p w14:paraId="08871AAD" w14:textId="1F34F25F" w:rsidR="00B45D5A" w:rsidRDefault="00B45D5A" w:rsidP="003E4EDF">
            <w:pPr>
              <w:jc w:val="center"/>
            </w:pPr>
            <w:r>
              <w:rPr>
                <w:rFonts w:ascii="Calibri" w:hAnsi="Calibri" w:cs="Calibri"/>
                <w:color w:val="000000"/>
                <w:sz w:val="22"/>
              </w:rPr>
              <w:t>-0.2%</w:t>
            </w:r>
          </w:p>
        </w:tc>
      </w:tr>
      <w:tr w:rsidR="00B45D5A" w14:paraId="33CC1FD9" w14:textId="77777777" w:rsidTr="00BE5453">
        <w:tc>
          <w:tcPr>
            <w:tcW w:w="2412" w:type="dxa"/>
            <w:vAlign w:val="bottom"/>
          </w:tcPr>
          <w:p w14:paraId="0B128139" w14:textId="4D42D8CA" w:rsidR="00B45D5A" w:rsidRPr="003E4EDF" w:rsidRDefault="00B45D5A" w:rsidP="003E4EDF">
            <w:pPr>
              <w:jc w:val="center"/>
              <w:rPr>
                <w:b/>
                <w:bCs/>
              </w:rPr>
            </w:pPr>
            <w:r w:rsidRPr="003E4EDF">
              <w:rPr>
                <w:rFonts w:ascii="Calibri" w:hAnsi="Calibri" w:cs="Calibri"/>
                <w:b/>
                <w:bCs/>
                <w:color w:val="000000"/>
                <w:sz w:val="22"/>
              </w:rPr>
              <w:t>2022</w:t>
            </w:r>
          </w:p>
        </w:tc>
        <w:tc>
          <w:tcPr>
            <w:tcW w:w="4104" w:type="dxa"/>
            <w:vAlign w:val="bottom"/>
          </w:tcPr>
          <w:p w14:paraId="5FF42213" w14:textId="188392A7" w:rsidR="00B45D5A" w:rsidRDefault="00B45D5A" w:rsidP="003E4EDF">
            <w:pPr>
              <w:jc w:val="center"/>
            </w:pPr>
            <w:r>
              <w:rPr>
                <w:rFonts w:ascii="Calibri" w:hAnsi="Calibri" w:cs="Calibri"/>
                <w:color w:val="000000"/>
                <w:sz w:val="22"/>
              </w:rPr>
              <w:t>2.9%</w:t>
            </w:r>
          </w:p>
        </w:tc>
      </w:tr>
      <w:tr w:rsidR="00B45D5A" w14:paraId="74BBCF03" w14:textId="77777777" w:rsidTr="00BE5453">
        <w:tc>
          <w:tcPr>
            <w:tcW w:w="2412" w:type="dxa"/>
            <w:vAlign w:val="bottom"/>
          </w:tcPr>
          <w:p w14:paraId="38EEA5B8" w14:textId="0A9DDF45" w:rsidR="00B45D5A" w:rsidRPr="003E4EDF" w:rsidRDefault="00B45D5A" w:rsidP="003E4EDF">
            <w:pPr>
              <w:jc w:val="center"/>
              <w:rPr>
                <w:b/>
                <w:bCs/>
              </w:rPr>
            </w:pPr>
            <w:r w:rsidRPr="003E4EDF">
              <w:rPr>
                <w:rFonts w:ascii="Calibri" w:hAnsi="Calibri" w:cs="Calibri"/>
                <w:b/>
                <w:bCs/>
                <w:color w:val="000000"/>
                <w:sz w:val="22"/>
              </w:rPr>
              <w:t>2023</w:t>
            </w:r>
          </w:p>
        </w:tc>
        <w:tc>
          <w:tcPr>
            <w:tcW w:w="4104" w:type="dxa"/>
            <w:vAlign w:val="bottom"/>
          </w:tcPr>
          <w:p w14:paraId="36584E2C" w14:textId="658B224C" w:rsidR="00B45D5A" w:rsidRDefault="00B45D5A" w:rsidP="003E4EDF">
            <w:pPr>
              <w:jc w:val="center"/>
            </w:pPr>
            <w:r>
              <w:rPr>
                <w:rFonts w:ascii="Calibri" w:hAnsi="Calibri" w:cs="Calibri"/>
                <w:color w:val="000000"/>
                <w:sz w:val="22"/>
              </w:rPr>
              <w:t>2.5%</w:t>
            </w:r>
          </w:p>
        </w:tc>
      </w:tr>
      <w:tr w:rsidR="00B45D5A" w14:paraId="2581CDEE" w14:textId="77777777" w:rsidTr="00BE5453">
        <w:tc>
          <w:tcPr>
            <w:tcW w:w="2412" w:type="dxa"/>
            <w:vAlign w:val="bottom"/>
          </w:tcPr>
          <w:p w14:paraId="6401AEE8" w14:textId="25AF9B59" w:rsidR="00B45D5A" w:rsidRPr="003E4EDF" w:rsidRDefault="00B45D5A" w:rsidP="003E4EDF">
            <w:pPr>
              <w:jc w:val="center"/>
              <w:rPr>
                <w:b/>
                <w:bCs/>
              </w:rPr>
            </w:pPr>
            <w:r w:rsidRPr="003E4EDF">
              <w:rPr>
                <w:rFonts w:ascii="Calibri" w:hAnsi="Calibri" w:cs="Calibri"/>
                <w:b/>
                <w:bCs/>
                <w:color w:val="000000"/>
                <w:sz w:val="22"/>
              </w:rPr>
              <w:t>2024</w:t>
            </w:r>
          </w:p>
        </w:tc>
        <w:tc>
          <w:tcPr>
            <w:tcW w:w="4104" w:type="dxa"/>
            <w:vAlign w:val="bottom"/>
          </w:tcPr>
          <w:p w14:paraId="2F9FEE32" w14:textId="5CE761B9" w:rsidR="00B45D5A" w:rsidRDefault="00B45D5A" w:rsidP="003E4EDF">
            <w:pPr>
              <w:jc w:val="center"/>
            </w:pPr>
            <w:r>
              <w:rPr>
                <w:rFonts w:ascii="Calibri" w:hAnsi="Calibri" w:cs="Calibri"/>
                <w:color w:val="000000"/>
                <w:sz w:val="22"/>
              </w:rPr>
              <w:t>3.5%</w:t>
            </w:r>
          </w:p>
        </w:tc>
      </w:tr>
    </w:tbl>
    <w:p w14:paraId="347C1318" w14:textId="44D72074" w:rsidR="00084D06" w:rsidRDefault="00084D06" w:rsidP="009B4D2A">
      <w:pPr>
        <w:spacing w:before="240"/>
      </w:pPr>
      <w:r>
        <w:t>The updated calculations of pre-1990 units likely to remain in original accounts in 2030 result in a central estimate of 5.6 million</w:t>
      </w:r>
      <w:r w:rsidR="00A17600">
        <w:t>,</w:t>
      </w:r>
      <w:r>
        <w:t xml:space="preserve"> with a range between 3.4 million and 9.1 million</w:t>
      </w:r>
      <w:r w:rsidR="00A17600">
        <w:t xml:space="preserve"> –</w:t>
      </w:r>
      <w:r>
        <w:t xml:space="preserve"> shown in </w:t>
      </w:r>
      <w:r w:rsidRPr="00250373">
        <w:rPr>
          <w:b/>
          <w:bCs/>
        </w:rPr>
        <w:fldChar w:fldCharType="begin"/>
      </w:r>
      <w:r w:rsidRPr="00250373">
        <w:rPr>
          <w:b/>
          <w:bCs/>
        </w:rPr>
        <w:instrText xml:space="preserve"> REF _Ref194413810 \h </w:instrText>
      </w:r>
      <w:r>
        <w:rPr>
          <w:b/>
          <w:bCs/>
        </w:rPr>
        <w:instrText xml:space="preserve"> \* MERGEFORMAT </w:instrText>
      </w:r>
      <w:r w:rsidRPr="00250373">
        <w:rPr>
          <w:b/>
          <w:bCs/>
        </w:rPr>
      </w:r>
      <w:r w:rsidRPr="00250373">
        <w:rPr>
          <w:b/>
          <w:bCs/>
        </w:rPr>
        <w:fldChar w:fldCharType="separate"/>
      </w:r>
      <w:r w:rsidR="00A17600" w:rsidRPr="009C4B0F">
        <w:rPr>
          <w:b/>
        </w:rPr>
        <w:t xml:space="preserve">Figure </w:t>
      </w:r>
      <w:r w:rsidR="00A17600" w:rsidRPr="009C4B0F">
        <w:rPr>
          <w:b/>
          <w:bCs/>
          <w:noProof/>
        </w:rPr>
        <w:t>7</w:t>
      </w:r>
      <w:r w:rsidRPr="00250373">
        <w:rPr>
          <w:b/>
          <w:bCs/>
        </w:rPr>
        <w:fldChar w:fldCharType="end"/>
      </w:r>
      <w:r>
        <w:t>.</w:t>
      </w:r>
      <w:r w:rsidDel="0039431C">
        <w:t xml:space="preserve"> </w:t>
      </w:r>
      <w:r>
        <w:t xml:space="preserve">We will continue to monitor updated data on transfers of pre-1990 units in the market and review these assumptions in future advice. </w:t>
      </w:r>
    </w:p>
    <w:p w14:paraId="59FAA66B" w14:textId="5940FFFB" w:rsidR="004723F2" w:rsidRDefault="002262C4" w:rsidP="00286F2B">
      <w:pPr>
        <w:pStyle w:val="Caption"/>
      </w:pPr>
      <w:bookmarkStart w:id="40" w:name="_Ref194413810"/>
      <w:r w:rsidRPr="00680BED">
        <w:t xml:space="preserve">Figure </w:t>
      </w:r>
      <w:r w:rsidRPr="00680BED">
        <w:fldChar w:fldCharType="begin"/>
      </w:r>
      <w:r w:rsidRPr="00680BED">
        <w:instrText xml:space="preserve"> SEQ Figure \* ARABIC </w:instrText>
      </w:r>
      <w:r w:rsidRPr="00680BED">
        <w:fldChar w:fldCharType="separate"/>
      </w:r>
      <w:r w:rsidR="00CE0623" w:rsidRPr="00680BED">
        <w:t>7</w:t>
      </w:r>
      <w:r w:rsidRPr="00680BED">
        <w:fldChar w:fldCharType="end"/>
      </w:r>
      <w:bookmarkEnd w:id="40"/>
      <w:r w:rsidR="00AB63FF">
        <w:t>:</w:t>
      </w:r>
      <w:r w:rsidRPr="002262C4">
        <w:t xml:space="preserve"> </w:t>
      </w:r>
      <w:r w:rsidRPr="00FE34CB">
        <w:rPr>
          <w:b w:val="0"/>
        </w:rPr>
        <w:t>Pre-1990 units remaining in original accounts (historic and projected)</w:t>
      </w:r>
    </w:p>
    <w:p w14:paraId="3301AE33" w14:textId="03B3257E" w:rsidR="00A22CBE" w:rsidRDefault="00BE496F" w:rsidP="00A22CBE">
      <w:r>
        <w:rPr>
          <w:noProof/>
        </w:rPr>
        <w:drawing>
          <wp:inline distT="0" distB="0" distL="0" distR="0" wp14:anchorId="57E25162" wp14:editId="20482C1C">
            <wp:extent cx="5562600" cy="2970320"/>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75512" cy="2977215"/>
                    </a:xfrm>
                    <a:prstGeom prst="rect">
                      <a:avLst/>
                    </a:prstGeom>
                    <a:noFill/>
                  </pic:spPr>
                </pic:pic>
              </a:graphicData>
            </a:graphic>
          </wp:inline>
        </w:drawing>
      </w:r>
    </w:p>
    <w:p w14:paraId="1E4AD0DB" w14:textId="25C14485" w:rsidR="00DB0FDE" w:rsidRPr="00382DF7" w:rsidRDefault="00DB0FDE" w:rsidP="00A22CBE">
      <w:pPr>
        <w:rPr>
          <w:sz w:val="20"/>
          <w:szCs w:val="20"/>
        </w:rPr>
      </w:pPr>
      <w:r w:rsidRPr="00225DB4">
        <w:rPr>
          <w:sz w:val="20"/>
          <w:szCs w:val="20"/>
        </w:rPr>
        <w:t>Source: Commission analysis</w:t>
      </w:r>
      <w:r w:rsidR="00B807E1">
        <w:rPr>
          <w:sz w:val="20"/>
          <w:szCs w:val="20"/>
        </w:rPr>
        <w:t>. Unit data</w:t>
      </w:r>
      <w:r w:rsidR="00316F31">
        <w:rPr>
          <w:sz w:val="20"/>
          <w:szCs w:val="20"/>
        </w:rPr>
        <w:t xml:space="preserve"> supplied by the Environmental Protection Authority.</w:t>
      </w:r>
    </w:p>
    <w:p w14:paraId="5FA98064" w14:textId="64A1CD12" w:rsidR="00A22CBE" w:rsidRDefault="00A22CBE" w:rsidP="00585516">
      <w:pPr>
        <w:pStyle w:val="Heading3"/>
        <w:spacing w:before="120" w:after="120"/>
      </w:pPr>
      <w:bookmarkStart w:id="41" w:name="_Toc195533426"/>
      <w:r w:rsidRPr="00D94A7B">
        <w:t xml:space="preserve">Units held for </w:t>
      </w:r>
      <w:r w:rsidR="007E2D2F" w:rsidRPr="00D94A7B">
        <w:t>post-1989</w:t>
      </w:r>
      <w:r w:rsidRPr="00D94A7B">
        <w:t xml:space="preserve"> harvest liabilities</w:t>
      </w:r>
      <w:bookmarkEnd w:id="41"/>
    </w:p>
    <w:p w14:paraId="6E3F92D0" w14:textId="22B60419" w:rsidR="008D69AF" w:rsidRDefault="00595E15" w:rsidP="00FA5FB4">
      <w:r>
        <w:t>T</w:t>
      </w:r>
      <w:r w:rsidR="00086F34">
        <w:t xml:space="preserve">wo accounting approaches </w:t>
      </w:r>
      <w:r>
        <w:t xml:space="preserve">are </w:t>
      </w:r>
      <w:r w:rsidR="008C34DE">
        <w:t xml:space="preserve">used to calculate the allocations and liabilities of </w:t>
      </w:r>
      <w:r w:rsidR="00086F34">
        <w:t xml:space="preserve">post-1989 forests registered in the NZ ETS, which </w:t>
      </w:r>
      <w:r w:rsidR="00C5085C">
        <w:t xml:space="preserve">affect how forestry units </w:t>
      </w:r>
      <w:r w:rsidR="00086F34">
        <w:t xml:space="preserve">contribute to the surplus. </w:t>
      </w:r>
    </w:p>
    <w:p w14:paraId="0BA1FCC9" w14:textId="1D168678" w:rsidR="00F346E2" w:rsidRDefault="008D69AF" w:rsidP="00FA5FB4">
      <w:r>
        <w:t xml:space="preserve">Since 2023, </w:t>
      </w:r>
      <w:r w:rsidR="00764F14">
        <w:t>averaging accounting</w:t>
      </w:r>
      <w:r w:rsidR="00764F14" w:rsidDel="00E84BCA">
        <w:t xml:space="preserve"> </w:t>
      </w:r>
      <w:r w:rsidR="00E84BCA">
        <w:t>has been</w:t>
      </w:r>
      <w:r w:rsidR="00764F14">
        <w:t xml:space="preserve"> </w:t>
      </w:r>
      <w:r w:rsidR="009B3914">
        <w:t xml:space="preserve">the required </w:t>
      </w:r>
      <w:r w:rsidR="00A355E0">
        <w:t>approach</w:t>
      </w:r>
      <w:r w:rsidR="0077365D">
        <w:t xml:space="preserve"> for</w:t>
      </w:r>
      <w:r w:rsidR="00A355E0">
        <w:t xml:space="preserve"> </w:t>
      </w:r>
      <w:r>
        <w:t>newly re</w:t>
      </w:r>
      <w:r w:rsidR="002C4641">
        <w:t xml:space="preserve">gistered </w:t>
      </w:r>
      <w:r w:rsidR="00F346E2">
        <w:t>post-1989 forests</w:t>
      </w:r>
      <w:r w:rsidR="00342921" w:rsidRPr="00142685">
        <w:t>, other than forests registered in the permanent category</w:t>
      </w:r>
      <w:r w:rsidR="00C96E5E" w:rsidRPr="00142685">
        <w:t xml:space="preserve">. </w:t>
      </w:r>
      <w:r w:rsidR="00F12366" w:rsidRPr="00142685">
        <w:t>Under</w:t>
      </w:r>
      <w:r w:rsidR="00F12366">
        <w:t xml:space="preserve"> averaging,</w:t>
      </w:r>
      <w:r w:rsidR="00342921">
        <w:t xml:space="preserve"> there are no liabilities </w:t>
      </w:r>
      <w:r w:rsidR="00043B41">
        <w:t xml:space="preserve">when forests are </w:t>
      </w:r>
      <w:r w:rsidR="00A50547">
        <w:t xml:space="preserve">harvested, </w:t>
      </w:r>
      <w:r w:rsidR="00A761D6">
        <w:t xml:space="preserve">as long as </w:t>
      </w:r>
      <w:r w:rsidR="0071169F">
        <w:t xml:space="preserve">they are replanted. </w:t>
      </w:r>
      <w:r w:rsidR="00EA1928">
        <w:t>In our assessment of the unit stockpile, a</w:t>
      </w:r>
      <w:r w:rsidR="00A86A74">
        <w:t xml:space="preserve">ll units earned </w:t>
      </w:r>
      <w:r w:rsidR="00EA1928">
        <w:t xml:space="preserve">under </w:t>
      </w:r>
      <w:r w:rsidR="00F1610C">
        <w:t xml:space="preserve">averaging </w:t>
      </w:r>
      <w:r w:rsidR="00EE5EFB">
        <w:t>can contribute to the surplus</w:t>
      </w:r>
      <w:r w:rsidR="009D6FFA">
        <w:t xml:space="preserve">, </w:t>
      </w:r>
      <w:r w:rsidR="0086463B">
        <w:t xml:space="preserve">if they are not </w:t>
      </w:r>
      <w:r w:rsidR="0018069F">
        <w:t xml:space="preserve">balanced by </w:t>
      </w:r>
      <w:r w:rsidR="00B56C5D">
        <w:t>emitter</w:t>
      </w:r>
      <w:r w:rsidR="003A0E06">
        <w:t>s</w:t>
      </w:r>
      <w:r w:rsidR="00B56C5D">
        <w:t xml:space="preserve">’ </w:t>
      </w:r>
      <w:r w:rsidR="0018069F">
        <w:t xml:space="preserve">demand </w:t>
      </w:r>
      <w:r w:rsidR="001B1D9C">
        <w:t xml:space="preserve">within </w:t>
      </w:r>
      <w:r w:rsidR="0086463B">
        <w:t xml:space="preserve">the relevant budget period. </w:t>
      </w:r>
    </w:p>
    <w:p w14:paraId="11E72182" w14:textId="44C3C00E" w:rsidR="006A3F42" w:rsidRDefault="00CD1A40" w:rsidP="00FA5FB4">
      <w:r>
        <w:t xml:space="preserve">However, most post-1989 </w:t>
      </w:r>
      <w:r w:rsidR="00086F34">
        <w:t xml:space="preserve">forests </w:t>
      </w:r>
      <w:r w:rsidR="00920651">
        <w:t xml:space="preserve">in the NZ ETS </w:t>
      </w:r>
      <w:r w:rsidR="00086F34">
        <w:t xml:space="preserve">are subject to </w:t>
      </w:r>
      <w:r w:rsidR="0077316F">
        <w:t>stock change acc</w:t>
      </w:r>
      <w:r w:rsidR="00F67380">
        <w:t>ounting</w:t>
      </w:r>
      <w:r w:rsidR="00920651">
        <w:t xml:space="preserve">. </w:t>
      </w:r>
      <w:r w:rsidR="00A22CBE">
        <w:t>Under</w:t>
      </w:r>
      <w:r w:rsidR="005D6300">
        <w:t xml:space="preserve"> </w:t>
      </w:r>
      <w:r w:rsidR="00A22CBE">
        <w:t>stock change</w:t>
      </w:r>
      <w:r w:rsidR="006431AD">
        <w:t xml:space="preserve">, </w:t>
      </w:r>
      <w:r w:rsidR="00C53DD2">
        <w:t xml:space="preserve">forestry participants </w:t>
      </w:r>
      <w:r w:rsidR="00A22CBE">
        <w:t>earn units for the carbon sequestered by their forest whil</w:t>
      </w:r>
      <w:r w:rsidR="003F44B9">
        <w:t>e</w:t>
      </w:r>
      <w:r w:rsidR="00A22CBE">
        <w:t xml:space="preserve"> </w:t>
      </w:r>
      <w:r w:rsidR="005D6300">
        <w:t>it is</w:t>
      </w:r>
      <w:r w:rsidR="00A22CBE">
        <w:t xml:space="preserve"> </w:t>
      </w:r>
      <w:r w:rsidR="001B7D11">
        <w:t>growing</w:t>
      </w:r>
      <w:r w:rsidR="00302C07">
        <w:t>,</w:t>
      </w:r>
      <w:r w:rsidR="001B7D11">
        <w:t xml:space="preserve"> but</w:t>
      </w:r>
      <w:r w:rsidR="00A22CBE">
        <w:t xml:space="preserve"> </w:t>
      </w:r>
      <w:r w:rsidR="005D6300">
        <w:t>must</w:t>
      </w:r>
      <w:r w:rsidR="00F163A6">
        <w:t xml:space="preserve"> </w:t>
      </w:r>
      <w:r w:rsidR="00A22CBE">
        <w:t xml:space="preserve">surrender a significant </w:t>
      </w:r>
      <w:r w:rsidR="008F6C1A">
        <w:t xml:space="preserve">portion of this </w:t>
      </w:r>
      <w:r w:rsidR="00A22CBE">
        <w:t xml:space="preserve">volume </w:t>
      </w:r>
      <w:r w:rsidR="008F6C1A">
        <w:t>when</w:t>
      </w:r>
      <w:r w:rsidR="00A22CBE">
        <w:t xml:space="preserve"> the forest is harvested. </w:t>
      </w:r>
      <w:r w:rsidR="00FF225A">
        <w:t xml:space="preserve">These units are not considered part of the surplus, as they will not be available for use by other participants to allow emissions above emissions budget levels. </w:t>
      </w:r>
      <w:r w:rsidR="00E71712">
        <w:t>In this section we estimate how many units</w:t>
      </w:r>
      <w:r w:rsidR="00F42C8D">
        <w:t xml:space="preserve"> earned by forests using stock change accounting</w:t>
      </w:r>
      <w:r w:rsidR="00E71712">
        <w:t xml:space="preserve"> are being held for </w:t>
      </w:r>
      <w:r w:rsidR="006C2006">
        <w:t xml:space="preserve">harvest liabilities </w:t>
      </w:r>
      <w:r w:rsidR="00A73E3E">
        <w:t xml:space="preserve">and </w:t>
      </w:r>
      <w:r w:rsidR="007A0E72">
        <w:t>should be considered non-surplus.</w:t>
      </w:r>
    </w:p>
    <w:p w14:paraId="1D423D7E" w14:textId="71479D2E" w:rsidR="00F81D7D" w:rsidRDefault="00F81D7D" w:rsidP="00A22CBE">
      <w:r>
        <w:t xml:space="preserve">To </w:t>
      </w:r>
      <w:r w:rsidR="00B460F0">
        <w:t xml:space="preserve">determine </w:t>
      </w:r>
      <w:r w:rsidR="00D50575">
        <w:t xml:space="preserve">our </w:t>
      </w:r>
      <w:r>
        <w:t xml:space="preserve">estimate </w:t>
      </w:r>
      <w:r w:rsidR="00D50575">
        <w:t xml:space="preserve">of units held for harvest liabilities </w:t>
      </w:r>
      <w:r>
        <w:t xml:space="preserve">we </w:t>
      </w:r>
      <w:r w:rsidR="000143E6">
        <w:t xml:space="preserve">have developed a forestry model </w:t>
      </w:r>
      <w:r w:rsidR="00E37B99">
        <w:t xml:space="preserve">that </w:t>
      </w:r>
      <w:r w:rsidR="006A7334">
        <w:t xml:space="preserve">uses </w:t>
      </w:r>
      <w:r w:rsidR="00E37B99">
        <w:t xml:space="preserve">data </w:t>
      </w:r>
      <w:r w:rsidR="006A7334">
        <w:t xml:space="preserve">on </w:t>
      </w:r>
      <w:r w:rsidR="00B848E4">
        <w:t xml:space="preserve">total </w:t>
      </w:r>
      <w:r w:rsidR="00DA2644">
        <w:t xml:space="preserve">area </w:t>
      </w:r>
      <w:r w:rsidR="001D5AF6">
        <w:t xml:space="preserve">and species </w:t>
      </w:r>
      <w:r w:rsidR="00E37B99">
        <w:t xml:space="preserve">of </w:t>
      </w:r>
      <w:r w:rsidR="00311B61">
        <w:t xml:space="preserve">forests registered in the NZ ETS, </w:t>
      </w:r>
      <w:r w:rsidR="006C3B6A">
        <w:t>the mandatory emissions reporting period (</w:t>
      </w:r>
      <w:r w:rsidR="00DD1186">
        <w:t>MERP</w:t>
      </w:r>
      <w:r w:rsidR="006C3B6A">
        <w:t>)</w:t>
      </w:r>
      <w:r w:rsidR="001D5AF6">
        <w:t xml:space="preserve"> </w:t>
      </w:r>
      <w:r w:rsidR="00B848E4">
        <w:t>in which the forest was registered</w:t>
      </w:r>
      <w:r w:rsidR="00DD1186">
        <w:t>,</w:t>
      </w:r>
      <w:r w:rsidR="000448B3">
        <w:t xml:space="preserve"> and information on </w:t>
      </w:r>
      <w:r w:rsidR="00D80F7F">
        <w:t xml:space="preserve">carbon stored by the forests </w:t>
      </w:r>
      <w:r w:rsidR="000448B3">
        <w:t xml:space="preserve">(yield tables). </w:t>
      </w:r>
    </w:p>
    <w:p w14:paraId="776D726F" w14:textId="00A047DD" w:rsidR="00A22CBE" w:rsidRDefault="00092DAC" w:rsidP="00A22CBE">
      <w:r>
        <w:t>T</w:t>
      </w:r>
      <w:r w:rsidR="00A22CBE">
        <w:t xml:space="preserve">here are significant uncertainties to consider when estimating units </w:t>
      </w:r>
      <w:r w:rsidR="0069314D">
        <w:t>held for</w:t>
      </w:r>
      <w:r w:rsidR="00A22CBE">
        <w:t xml:space="preserve"> harvest liabilities</w:t>
      </w:r>
      <w:r w:rsidR="002724B9">
        <w:t>, such as</w:t>
      </w:r>
      <w:r w:rsidR="00A22CBE">
        <w:t xml:space="preserve">: </w:t>
      </w:r>
    </w:p>
    <w:p w14:paraId="1AEE1EC1" w14:textId="5CFBCCC2" w:rsidR="00F417FC" w:rsidRDefault="00F417FC" w:rsidP="00E1020D">
      <w:pPr>
        <w:pStyle w:val="ListParagraph"/>
        <w:numPr>
          <w:ilvl w:val="0"/>
          <w:numId w:val="63"/>
        </w:numPr>
      </w:pPr>
      <w:r>
        <w:t xml:space="preserve">The average age </w:t>
      </w:r>
      <w:r w:rsidR="002C0308">
        <w:t xml:space="preserve">at which </w:t>
      </w:r>
      <w:r>
        <w:t>forests are harvested</w:t>
      </w:r>
      <w:r w:rsidR="002724B9">
        <w:t>.</w:t>
      </w:r>
    </w:p>
    <w:p w14:paraId="5B7D122C" w14:textId="688AE9AB" w:rsidR="00975878" w:rsidRDefault="00975878" w:rsidP="00E1020D">
      <w:pPr>
        <w:pStyle w:val="ListParagraph"/>
        <w:numPr>
          <w:ilvl w:val="0"/>
          <w:numId w:val="63"/>
        </w:numPr>
      </w:pPr>
      <w:r>
        <w:t xml:space="preserve">The proportion of forests </w:t>
      </w:r>
      <w:r w:rsidR="007C35A4">
        <w:t>that will remain unharvested</w:t>
      </w:r>
      <w:r w:rsidR="002724B9">
        <w:t>.</w:t>
      </w:r>
    </w:p>
    <w:p w14:paraId="04D3DCAB" w14:textId="6832ED45" w:rsidR="00F417FC" w:rsidRDefault="00F417FC" w:rsidP="00E1020D">
      <w:pPr>
        <w:pStyle w:val="ListParagraph"/>
        <w:numPr>
          <w:ilvl w:val="0"/>
          <w:numId w:val="63"/>
        </w:numPr>
      </w:pPr>
      <w:r>
        <w:t xml:space="preserve">The </w:t>
      </w:r>
      <w:r w:rsidR="00FA4DED">
        <w:t>proportion</w:t>
      </w:r>
      <w:r>
        <w:t xml:space="preserve"> of </w:t>
      </w:r>
      <w:r w:rsidR="00D911DB">
        <w:t>‘</w:t>
      </w:r>
      <w:r>
        <w:t>low-risk</w:t>
      </w:r>
      <w:r w:rsidR="0028130B">
        <w:t>’</w:t>
      </w:r>
      <w:r>
        <w:t xml:space="preserve"> units available to forest</w:t>
      </w:r>
      <w:r w:rsidR="000C7A11">
        <w:t>ry participants</w:t>
      </w:r>
      <w:r>
        <w:t xml:space="preserve"> </w:t>
      </w:r>
      <w:r w:rsidR="00363322">
        <w:t>– the units that may never have to be repaid under stock change</w:t>
      </w:r>
      <w:r w:rsidR="00603D34">
        <w:t>,</w:t>
      </w:r>
      <w:r w:rsidR="00363322">
        <w:t xml:space="preserve"> based on mix of forest age, rotation and species. These are the units that are more likely to be available for use by other NZ ETS participants</w:t>
      </w:r>
      <w:r w:rsidR="00CE5E78">
        <w:t xml:space="preserve"> a</w:t>
      </w:r>
      <w:r w:rsidR="00EB6165">
        <w:t>nd therefore contribute to the surplus.</w:t>
      </w:r>
      <w:r>
        <w:t xml:space="preserve"> </w:t>
      </w:r>
    </w:p>
    <w:p w14:paraId="66D42C98" w14:textId="5036C270" w:rsidR="00BB4377" w:rsidRPr="001B0CE0" w:rsidRDefault="00BB4377" w:rsidP="00E1020D">
      <w:pPr>
        <w:pStyle w:val="ListParagraph"/>
        <w:numPr>
          <w:ilvl w:val="0"/>
          <w:numId w:val="63"/>
        </w:numPr>
      </w:pPr>
      <w:r w:rsidRPr="001B0CE0">
        <w:t xml:space="preserve">The volume of units allocated or surrendered through </w:t>
      </w:r>
      <w:r w:rsidR="00DA1AC1">
        <w:t xml:space="preserve">voluntary </w:t>
      </w:r>
      <w:r w:rsidRPr="001B0CE0">
        <w:t xml:space="preserve">annual emissions returns compared to </w:t>
      </w:r>
      <w:r w:rsidR="00B520F7" w:rsidRPr="001B0CE0">
        <w:t xml:space="preserve">those </w:t>
      </w:r>
      <w:r w:rsidR="00C25E75" w:rsidRPr="001B0CE0">
        <w:t xml:space="preserve">following </w:t>
      </w:r>
      <w:r w:rsidRPr="001B0CE0">
        <w:t>the end of a MERP</w:t>
      </w:r>
      <w:r w:rsidR="00C25E75" w:rsidRPr="001B0CE0">
        <w:t>.</w:t>
      </w:r>
    </w:p>
    <w:p w14:paraId="613F3FE0" w14:textId="34F2DD60" w:rsidR="00F80AAA" w:rsidRPr="00B316DF" w:rsidRDefault="00B316DF" w:rsidP="00585516">
      <w:pPr>
        <w:pStyle w:val="Heading4"/>
        <w:spacing w:before="80" w:after="80"/>
        <w:rPr>
          <w:rFonts w:hint="eastAsia"/>
        </w:rPr>
      </w:pPr>
      <w:r>
        <w:t xml:space="preserve">Weighted average </w:t>
      </w:r>
      <w:r w:rsidR="00790A95">
        <w:t>harvest age</w:t>
      </w:r>
    </w:p>
    <w:p w14:paraId="2725CE43" w14:textId="0AB8ABE1" w:rsidR="004012C0" w:rsidRDefault="004F499B" w:rsidP="00A22CBE">
      <w:r>
        <w:t>T</w:t>
      </w:r>
      <w:r w:rsidR="0064286E">
        <w:t xml:space="preserve">he EY report </w:t>
      </w:r>
      <w:r w:rsidR="00F54B22">
        <w:t>suggested</w:t>
      </w:r>
      <w:r w:rsidR="00A2088F">
        <w:t xml:space="preserve"> </w:t>
      </w:r>
      <w:r w:rsidR="001B0865">
        <w:t xml:space="preserve">that </w:t>
      </w:r>
      <w:r w:rsidR="00F417FC" w:rsidRPr="00F417FC">
        <w:t xml:space="preserve">we </w:t>
      </w:r>
      <w:r w:rsidR="00AD21DD">
        <w:t xml:space="preserve">consider </w:t>
      </w:r>
      <w:r w:rsidR="00F417FC" w:rsidRPr="00F417FC">
        <w:t>us</w:t>
      </w:r>
      <w:r w:rsidR="00AD21DD">
        <w:t>ing</w:t>
      </w:r>
      <w:r w:rsidR="00F417FC" w:rsidRPr="00F417FC">
        <w:t xml:space="preserve"> </w:t>
      </w:r>
      <w:r w:rsidR="005525CE">
        <w:t>a weighted average</w:t>
      </w:r>
      <w:r w:rsidR="00F447F0">
        <w:t xml:space="preserve"> harvest age</w:t>
      </w:r>
      <w:r w:rsidR="005525CE">
        <w:t xml:space="preserve"> by area</w:t>
      </w:r>
      <w:r w:rsidR="00AC6FA7">
        <w:t xml:space="preserve">, to better reflect the </w:t>
      </w:r>
      <w:r w:rsidR="00F417FC" w:rsidRPr="00F417FC">
        <w:t xml:space="preserve">spread of ages </w:t>
      </w:r>
      <w:r w:rsidR="00641744">
        <w:t xml:space="preserve">at which </w:t>
      </w:r>
      <w:r w:rsidR="00F417FC" w:rsidRPr="00F417FC">
        <w:t>forests are harvested</w:t>
      </w:r>
      <w:r w:rsidR="008C25C7">
        <w:t xml:space="preserve">, in our </w:t>
      </w:r>
      <w:r w:rsidR="008C25C7" w:rsidRPr="00F417FC">
        <w:t xml:space="preserve">modelling </w:t>
      </w:r>
      <w:r w:rsidR="008C25C7">
        <w:t xml:space="preserve">of </w:t>
      </w:r>
      <w:r w:rsidR="008C25C7" w:rsidRPr="00F417FC">
        <w:t>units held for harvest</w:t>
      </w:r>
      <w:r w:rsidR="00F417FC" w:rsidRPr="00F417FC">
        <w:t>.</w:t>
      </w:r>
      <w:r w:rsidR="009F6E26">
        <w:rPr>
          <w:rStyle w:val="FootnoteReference"/>
        </w:rPr>
        <w:footnoteReference w:id="5"/>
      </w:r>
      <w:r w:rsidR="00F417FC" w:rsidRPr="00F417FC">
        <w:t xml:space="preserve"> </w:t>
      </w:r>
    </w:p>
    <w:p w14:paraId="452B16A1" w14:textId="7F191257" w:rsidR="009842ED" w:rsidRDefault="00F417FC" w:rsidP="00EF417A">
      <w:r w:rsidRPr="00F417FC">
        <w:t xml:space="preserve">We have applied this suggestion, although we used different data </w:t>
      </w:r>
      <w:r w:rsidR="00533F65">
        <w:t xml:space="preserve">from </w:t>
      </w:r>
      <w:r w:rsidR="00B65189">
        <w:t>that used by</w:t>
      </w:r>
      <w:r w:rsidR="00533F65">
        <w:t xml:space="preserve"> EY </w:t>
      </w:r>
      <w:r w:rsidRPr="00F417FC">
        <w:t xml:space="preserve">to determine the </w:t>
      </w:r>
      <w:r w:rsidR="00533F65">
        <w:t>ages</w:t>
      </w:r>
      <w:r w:rsidR="0006271F">
        <w:t xml:space="preserve"> of forest at harvest</w:t>
      </w:r>
      <w:r w:rsidRPr="00F417FC">
        <w:t xml:space="preserve">. We used data from </w:t>
      </w:r>
      <w:r w:rsidR="0034474E">
        <w:t>the Ministry for Primary Industries</w:t>
      </w:r>
      <w:r w:rsidRPr="00F417FC">
        <w:t xml:space="preserve">’ </w:t>
      </w:r>
      <w:r w:rsidR="001968B2">
        <w:t xml:space="preserve">2024 </w:t>
      </w:r>
      <w:r w:rsidRPr="00F417FC">
        <w:t xml:space="preserve">National Exotic Forest Description (NEFD), which covers </w:t>
      </w:r>
      <w:r w:rsidR="00C151A0">
        <w:t>post-1989</w:t>
      </w:r>
      <w:r w:rsidR="00157321">
        <w:t xml:space="preserve"> and </w:t>
      </w:r>
      <w:r w:rsidR="00C151A0">
        <w:t>pre-19</w:t>
      </w:r>
      <w:r w:rsidRPr="00F417FC">
        <w:t xml:space="preserve">90 forests. EY used only pre-1990 forests due to data limitations. </w:t>
      </w:r>
      <w:r w:rsidR="007758C0" w:rsidRPr="009C4B0F">
        <w:t xml:space="preserve">We have assumed that </w:t>
      </w:r>
      <w:r w:rsidR="005A6FE3" w:rsidRPr="009C4B0F">
        <w:t xml:space="preserve">forests are harvested across a range of ages around the average harvest </w:t>
      </w:r>
      <w:r w:rsidR="008D7DCA" w:rsidRPr="009C4B0F">
        <w:t>age.</w:t>
      </w:r>
      <w:r w:rsidR="008D7DCA">
        <w:t xml:space="preserve"> </w:t>
      </w:r>
      <w:r w:rsidR="00787393" w:rsidRPr="009C4B0F">
        <w:t xml:space="preserve">The </w:t>
      </w:r>
      <w:r w:rsidR="008D7DCA" w:rsidRPr="009C4B0F">
        <w:t xml:space="preserve">proportion of forest </w:t>
      </w:r>
      <w:r w:rsidR="00BB5BC6" w:rsidRPr="009C4B0F">
        <w:t xml:space="preserve">assumed to be </w:t>
      </w:r>
      <w:r w:rsidR="008D7DCA" w:rsidRPr="009C4B0F">
        <w:t>harvested at each age</w:t>
      </w:r>
      <w:r w:rsidR="00BB5BC6" w:rsidRPr="009C4B0F">
        <w:t xml:space="preserve"> is</w:t>
      </w:r>
      <w:r w:rsidR="00787393" w:rsidRPr="009C4B0F">
        <w:t xml:space="preserve"> shown in</w:t>
      </w:r>
      <w:r w:rsidR="00412531" w:rsidRPr="009C4B0F">
        <w:t xml:space="preserve"> </w:t>
      </w:r>
      <w:r w:rsidR="00EA3949" w:rsidRPr="00EF417A">
        <w:rPr>
          <w:b/>
        </w:rPr>
        <w:fldChar w:fldCharType="begin"/>
      </w:r>
      <w:r w:rsidR="00EA3949" w:rsidRPr="00EF417A">
        <w:rPr>
          <w:b/>
        </w:rPr>
        <w:instrText xml:space="preserve"> REF _Ref194414300 \h  \* MERGEFORMAT </w:instrText>
      </w:r>
      <w:r w:rsidR="00EA3949" w:rsidRPr="00EF417A">
        <w:rPr>
          <w:b/>
        </w:rPr>
      </w:r>
      <w:r w:rsidR="00EA3949" w:rsidRPr="00EF417A">
        <w:rPr>
          <w:b/>
        </w:rPr>
        <w:fldChar w:fldCharType="separate"/>
      </w:r>
      <w:r w:rsidR="00EA3949" w:rsidRPr="001F40B9">
        <w:rPr>
          <w:b/>
        </w:rPr>
        <w:t xml:space="preserve">Table </w:t>
      </w:r>
      <w:r w:rsidR="00EA3949" w:rsidRPr="00EA3949">
        <w:rPr>
          <w:b/>
          <w:bCs/>
          <w:noProof/>
        </w:rPr>
        <w:t>6</w:t>
      </w:r>
      <w:r w:rsidR="00EA3949" w:rsidRPr="00EF417A">
        <w:rPr>
          <w:b/>
        </w:rPr>
        <w:fldChar w:fldCharType="end"/>
      </w:r>
      <w:r w:rsidR="001D119D" w:rsidRPr="009C4B0F">
        <w:t>.</w:t>
      </w:r>
      <w:r w:rsidR="00787393" w:rsidRPr="009C4B0F">
        <w:t xml:space="preserve"> </w:t>
      </w:r>
      <w:r w:rsidR="009842ED" w:rsidRPr="009C4B0F">
        <w:t xml:space="preserve">We have applied </w:t>
      </w:r>
      <w:r w:rsidR="00271097" w:rsidRPr="009C4B0F">
        <w:t>th</w:t>
      </w:r>
      <w:r w:rsidR="00DC1702" w:rsidRPr="009C4B0F">
        <w:t>ese assumptions</w:t>
      </w:r>
      <w:r w:rsidR="00331A5B" w:rsidRPr="009C4B0F">
        <w:t xml:space="preserve"> </w:t>
      </w:r>
      <w:r w:rsidR="00340E06" w:rsidRPr="009C4B0F">
        <w:t xml:space="preserve">consistently </w:t>
      </w:r>
      <w:r w:rsidR="009842ED" w:rsidRPr="009C4B0F">
        <w:t xml:space="preserve">across </w:t>
      </w:r>
      <w:r w:rsidR="00340E06" w:rsidRPr="009C4B0F">
        <w:t xml:space="preserve">our </w:t>
      </w:r>
      <w:r w:rsidR="004F0BC9" w:rsidRPr="009C4B0F">
        <w:t>low, central, and high estimates</w:t>
      </w:r>
      <w:r w:rsidR="006D345B" w:rsidRPr="009C4B0F">
        <w:t xml:space="preserve"> of units held for harvest</w:t>
      </w:r>
      <w:r w:rsidR="009842ED" w:rsidRPr="009C4B0F">
        <w:t>.</w:t>
      </w:r>
      <w:r w:rsidR="009842ED">
        <w:t xml:space="preserve">  </w:t>
      </w:r>
    </w:p>
    <w:p w14:paraId="37449A5B" w14:textId="4AD41E42" w:rsidR="00A437C9" w:rsidRDefault="00A437C9" w:rsidP="00250B53">
      <w:pPr>
        <w:pStyle w:val="Caption"/>
      </w:pPr>
      <w:bookmarkStart w:id="42" w:name="_Ref194414300"/>
      <w:r w:rsidRPr="001F40B9">
        <w:t xml:space="preserve">Table </w:t>
      </w:r>
      <w:r w:rsidR="005A2D42" w:rsidRPr="001F40B9">
        <w:fldChar w:fldCharType="begin"/>
      </w:r>
      <w:r w:rsidR="005A2D42">
        <w:instrText xml:space="preserve"> SEQ Table \* ARABIC </w:instrText>
      </w:r>
      <w:r w:rsidR="005A2D42" w:rsidRPr="001F40B9">
        <w:fldChar w:fldCharType="separate"/>
      </w:r>
      <w:r w:rsidR="001D119D">
        <w:rPr>
          <w:noProof/>
        </w:rPr>
        <w:t>6</w:t>
      </w:r>
      <w:r w:rsidR="005A2D42" w:rsidRPr="001F40B9">
        <w:fldChar w:fldCharType="end"/>
      </w:r>
      <w:bookmarkEnd w:id="42"/>
      <w:r w:rsidR="00AB63FF">
        <w:t>:</w:t>
      </w:r>
      <w:r>
        <w:t xml:space="preserve"> </w:t>
      </w:r>
      <w:r w:rsidR="002F455B" w:rsidRPr="00EA3949">
        <w:rPr>
          <w:b w:val="0"/>
        </w:rPr>
        <w:t xml:space="preserve">Distribution of </w:t>
      </w:r>
      <w:r w:rsidR="001C11C6" w:rsidRPr="00EA3949">
        <w:rPr>
          <w:b w:val="0"/>
          <w:i/>
        </w:rPr>
        <w:t>P</w:t>
      </w:r>
      <w:r w:rsidRPr="00EA3949">
        <w:rPr>
          <w:b w:val="0"/>
          <w:i/>
        </w:rPr>
        <w:t>inus radiata</w:t>
      </w:r>
      <w:r w:rsidRPr="00EA3949">
        <w:rPr>
          <w:b w:val="0"/>
        </w:rPr>
        <w:t xml:space="preserve"> harvest age</w:t>
      </w:r>
      <w:r w:rsidR="002F455B" w:rsidRPr="00EA3949">
        <w:rPr>
          <w:b w:val="0"/>
        </w:rPr>
        <w:t>s</w:t>
      </w:r>
    </w:p>
    <w:tbl>
      <w:tblPr>
        <w:tblStyle w:val="TableGrid"/>
        <w:tblW w:w="0" w:type="auto"/>
        <w:tblLayout w:type="fixed"/>
        <w:tblLook w:val="04A0" w:firstRow="1" w:lastRow="0" w:firstColumn="1" w:lastColumn="0" w:noHBand="0" w:noVBand="1"/>
      </w:tblPr>
      <w:tblGrid>
        <w:gridCol w:w="2830"/>
        <w:gridCol w:w="1237"/>
        <w:gridCol w:w="1237"/>
        <w:gridCol w:w="1237"/>
        <w:gridCol w:w="1237"/>
        <w:gridCol w:w="1238"/>
      </w:tblGrid>
      <w:tr w:rsidR="00E92F9C" w:rsidRPr="00A2295F" w14:paraId="242E4CAD" w14:textId="77777777" w:rsidTr="001F40B9">
        <w:trPr>
          <w:trHeight w:val="405"/>
        </w:trPr>
        <w:tc>
          <w:tcPr>
            <w:tcW w:w="2830" w:type="dxa"/>
            <w:shd w:val="clear" w:color="auto" w:fill="002060"/>
          </w:tcPr>
          <w:p w14:paraId="022B9A5C" w14:textId="29B265E5" w:rsidR="00E92F9C" w:rsidRPr="00A2295F" w:rsidRDefault="00E92F9C" w:rsidP="001F40B9">
            <w:pPr>
              <w:pStyle w:val="Tableheading"/>
            </w:pPr>
            <w:r w:rsidRPr="00A2295F">
              <w:t>Harvest age</w:t>
            </w:r>
          </w:p>
        </w:tc>
        <w:tc>
          <w:tcPr>
            <w:tcW w:w="1237" w:type="dxa"/>
            <w:shd w:val="clear" w:color="auto" w:fill="002060"/>
            <w:noWrap/>
            <w:hideMark/>
          </w:tcPr>
          <w:p w14:paraId="0C94600C" w14:textId="11123298" w:rsidR="00E92F9C" w:rsidRPr="00A2295F" w:rsidRDefault="00E92F9C" w:rsidP="001F40B9">
            <w:pPr>
              <w:pStyle w:val="Tableheading"/>
            </w:pPr>
            <w:bookmarkStart w:id="43" w:name="RANGE!C4"/>
            <w:r w:rsidRPr="00A2295F">
              <w:t>26</w:t>
            </w:r>
            <w:bookmarkEnd w:id="43"/>
          </w:p>
        </w:tc>
        <w:tc>
          <w:tcPr>
            <w:tcW w:w="1237" w:type="dxa"/>
            <w:shd w:val="clear" w:color="auto" w:fill="002060"/>
            <w:noWrap/>
            <w:hideMark/>
          </w:tcPr>
          <w:p w14:paraId="33355964" w14:textId="77777777" w:rsidR="00E92F9C" w:rsidRPr="00A2295F" w:rsidRDefault="00E92F9C" w:rsidP="001F40B9">
            <w:pPr>
              <w:pStyle w:val="Tableheading"/>
            </w:pPr>
            <w:bookmarkStart w:id="44" w:name="RANGE!D4"/>
            <w:r w:rsidRPr="00A2295F">
              <w:t>27</w:t>
            </w:r>
            <w:bookmarkEnd w:id="44"/>
          </w:p>
        </w:tc>
        <w:tc>
          <w:tcPr>
            <w:tcW w:w="1237" w:type="dxa"/>
            <w:shd w:val="clear" w:color="auto" w:fill="002060"/>
            <w:noWrap/>
            <w:hideMark/>
          </w:tcPr>
          <w:p w14:paraId="20B3318A" w14:textId="77777777" w:rsidR="00E92F9C" w:rsidRPr="00A2295F" w:rsidRDefault="00E92F9C" w:rsidP="001F40B9">
            <w:pPr>
              <w:pStyle w:val="Tableheading"/>
            </w:pPr>
            <w:bookmarkStart w:id="45" w:name="RANGE!E4"/>
            <w:r w:rsidRPr="00A2295F">
              <w:t>28</w:t>
            </w:r>
            <w:bookmarkEnd w:id="45"/>
          </w:p>
        </w:tc>
        <w:tc>
          <w:tcPr>
            <w:tcW w:w="1237" w:type="dxa"/>
            <w:shd w:val="clear" w:color="auto" w:fill="002060"/>
            <w:noWrap/>
            <w:hideMark/>
          </w:tcPr>
          <w:p w14:paraId="1580374E" w14:textId="77777777" w:rsidR="00E92F9C" w:rsidRPr="00A2295F" w:rsidRDefault="00E92F9C" w:rsidP="001F40B9">
            <w:pPr>
              <w:pStyle w:val="Tableheading"/>
            </w:pPr>
            <w:bookmarkStart w:id="46" w:name="RANGE!F4"/>
            <w:r w:rsidRPr="00A2295F">
              <w:t>29</w:t>
            </w:r>
            <w:bookmarkEnd w:id="46"/>
          </w:p>
        </w:tc>
        <w:tc>
          <w:tcPr>
            <w:tcW w:w="1238" w:type="dxa"/>
            <w:shd w:val="clear" w:color="auto" w:fill="002060"/>
            <w:noWrap/>
            <w:hideMark/>
          </w:tcPr>
          <w:p w14:paraId="72D65957" w14:textId="77777777" w:rsidR="00E92F9C" w:rsidRPr="00A2295F" w:rsidRDefault="00E92F9C" w:rsidP="001F40B9">
            <w:pPr>
              <w:pStyle w:val="Tableheading"/>
            </w:pPr>
            <w:bookmarkStart w:id="47" w:name="RANGE!G4"/>
            <w:r w:rsidRPr="00A2295F">
              <w:t>30</w:t>
            </w:r>
            <w:bookmarkEnd w:id="47"/>
          </w:p>
        </w:tc>
      </w:tr>
      <w:tr w:rsidR="00E92F9C" w:rsidRPr="00A2295F" w14:paraId="092B7029" w14:textId="77777777" w:rsidTr="001F40B9">
        <w:trPr>
          <w:trHeight w:val="405"/>
        </w:trPr>
        <w:tc>
          <w:tcPr>
            <w:tcW w:w="2830" w:type="dxa"/>
          </w:tcPr>
          <w:p w14:paraId="0537C166" w14:textId="29E33385" w:rsidR="00E92F9C" w:rsidRPr="00A2295F" w:rsidRDefault="00A437C9" w:rsidP="00787393">
            <w:pPr>
              <w:rPr>
                <w:b/>
                <w:bCs/>
                <w:sz w:val="22"/>
              </w:rPr>
            </w:pPr>
            <w:r w:rsidRPr="00A2295F">
              <w:rPr>
                <w:b/>
                <w:bCs/>
                <w:sz w:val="22"/>
              </w:rPr>
              <w:t xml:space="preserve">% </w:t>
            </w:r>
            <w:r w:rsidR="00F922CB" w:rsidRPr="00A2295F">
              <w:rPr>
                <w:b/>
                <w:bCs/>
                <w:sz w:val="22"/>
              </w:rPr>
              <w:t xml:space="preserve">of </w:t>
            </w:r>
            <w:r w:rsidR="00DE6473">
              <w:rPr>
                <w:b/>
                <w:bCs/>
                <w:sz w:val="22"/>
              </w:rPr>
              <w:t>area</w:t>
            </w:r>
            <w:r w:rsidR="00F922CB" w:rsidRPr="00A2295F">
              <w:rPr>
                <w:b/>
                <w:bCs/>
                <w:sz w:val="22"/>
              </w:rPr>
              <w:t xml:space="preserve"> </w:t>
            </w:r>
            <w:r w:rsidR="00700A07" w:rsidRPr="00A2295F">
              <w:rPr>
                <w:b/>
                <w:bCs/>
                <w:sz w:val="22"/>
              </w:rPr>
              <w:t>d</w:t>
            </w:r>
            <w:r w:rsidRPr="00A2295F">
              <w:rPr>
                <w:b/>
                <w:bCs/>
                <w:sz w:val="22"/>
              </w:rPr>
              <w:t>istribution</w:t>
            </w:r>
          </w:p>
        </w:tc>
        <w:tc>
          <w:tcPr>
            <w:tcW w:w="1237" w:type="dxa"/>
            <w:noWrap/>
            <w:hideMark/>
          </w:tcPr>
          <w:p w14:paraId="1F405C3F" w14:textId="49455E19" w:rsidR="00E92F9C" w:rsidRPr="00A2295F" w:rsidRDefault="00E92F9C" w:rsidP="00787393">
            <w:pPr>
              <w:rPr>
                <w:sz w:val="22"/>
              </w:rPr>
            </w:pPr>
            <w:bookmarkStart w:id="48" w:name="RANGE!C5"/>
            <w:r w:rsidRPr="00A2295F">
              <w:rPr>
                <w:sz w:val="22"/>
              </w:rPr>
              <w:t>19%</w:t>
            </w:r>
            <w:bookmarkEnd w:id="48"/>
          </w:p>
        </w:tc>
        <w:tc>
          <w:tcPr>
            <w:tcW w:w="1237" w:type="dxa"/>
            <w:noWrap/>
            <w:hideMark/>
          </w:tcPr>
          <w:p w14:paraId="031F96BC" w14:textId="77777777" w:rsidR="00E92F9C" w:rsidRPr="00A2295F" w:rsidRDefault="00E92F9C" w:rsidP="00787393">
            <w:pPr>
              <w:rPr>
                <w:sz w:val="22"/>
              </w:rPr>
            </w:pPr>
            <w:bookmarkStart w:id="49" w:name="RANGE!D5"/>
            <w:r w:rsidRPr="00A2295F">
              <w:rPr>
                <w:sz w:val="22"/>
              </w:rPr>
              <w:t>23%</w:t>
            </w:r>
            <w:bookmarkEnd w:id="49"/>
          </w:p>
        </w:tc>
        <w:tc>
          <w:tcPr>
            <w:tcW w:w="1237" w:type="dxa"/>
            <w:noWrap/>
            <w:hideMark/>
          </w:tcPr>
          <w:p w14:paraId="6DE66676" w14:textId="77777777" w:rsidR="00E92F9C" w:rsidRPr="00A2295F" w:rsidRDefault="00E92F9C" w:rsidP="00787393">
            <w:pPr>
              <w:rPr>
                <w:sz w:val="22"/>
              </w:rPr>
            </w:pPr>
            <w:bookmarkStart w:id="50" w:name="RANGE!E5"/>
            <w:r w:rsidRPr="00A2295F">
              <w:rPr>
                <w:sz w:val="22"/>
              </w:rPr>
              <w:t>22%</w:t>
            </w:r>
            <w:bookmarkEnd w:id="50"/>
          </w:p>
        </w:tc>
        <w:tc>
          <w:tcPr>
            <w:tcW w:w="1237" w:type="dxa"/>
            <w:noWrap/>
            <w:hideMark/>
          </w:tcPr>
          <w:p w14:paraId="3AF5B79A" w14:textId="77777777" w:rsidR="00E92F9C" w:rsidRPr="00A2295F" w:rsidRDefault="00E92F9C" w:rsidP="00787393">
            <w:pPr>
              <w:rPr>
                <w:sz w:val="22"/>
              </w:rPr>
            </w:pPr>
            <w:bookmarkStart w:id="51" w:name="RANGE!F5"/>
            <w:r w:rsidRPr="00A2295F">
              <w:rPr>
                <w:sz w:val="22"/>
              </w:rPr>
              <w:t>20%</w:t>
            </w:r>
            <w:bookmarkEnd w:id="51"/>
          </w:p>
        </w:tc>
        <w:tc>
          <w:tcPr>
            <w:tcW w:w="1238" w:type="dxa"/>
            <w:noWrap/>
            <w:hideMark/>
          </w:tcPr>
          <w:p w14:paraId="7F916DBA" w14:textId="77777777" w:rsidR="00E92F9C" w:rsidRPr="00A2295F" w:rsidRDefault="00E92F9C" w:rsidP="00787393">
            <w:pPr>
              <w:rPr>
                <w:sz w:val="22"/>
              </w:rPr>
            </w:pPr>
            <w:bookmarkStart w:id="52" w:name="RANGE!G5"/>
            <w:r w:rsidRPr="00A2295F">
              <w:rPr>
                <w:sz w:val="22"/>
              </w:rPr>
              <w:t>17%</w:t>
            </w:r>
            <w:bookmarkEnd w:id="52"/>
          </w:p>
        </w:tc>
      </w:tr>
    </w:tbl>
    <w:p w14:paraId="3AB7D720" w14:textId="00090AF8" w:rsidR="00037ACB" w:rsidRDefault="00D54A68" w:rsidP="00EF417A">
      <w:pPr>
        <w:pStyle w:val="Heading4"/>
        <w:spacing w:before="240" w:after="80"/>
        <w:rPr>
          <w:rFonts w:hint="eastAsia"/>
        </w:rPr>
      </w:pPr>
      <w:r>
        <w:t>Low-risk</w:t>
      </w:r>
      <w:r w:rsidR="00037ACB">
        <w:t xml:space="preserve"> </w:t>
      </w:r>
      <w:r w:rsidR="00B553E4">
        <w:t xml:space="preserve">units </w:t>
      </w:r>
    </w:p>
    <w:p w14:paraId="124C7B24" w14:textId="3E45DD72" w:rsidR="009E4A55" w:rsidRPr="00EF417A" w:rsidRDefault="3AE662D7" w:rsidP="00A22CBE">
      <w:r w:rsidRPr="77E609C5">
        <w:rPr>
          <w:lang w:val="en-US"/>
        </w:rPr>
        <w:t xml:space="preserve">The carbon stock of forests does not return to zero immediately on harvest due to residual carbon stored in roots underground. </w:t>
      </w:r>
      <w:r w:rsidR="374057A1" w:rsidRPr="77E609C5">
        <w:rPr>
          <w:lang w:val="en-US"/>
        </w:rPr>
        <w:t xml:space="preserve">Some </w:t>
      </w:r>
      <w:r w:rsidR="60B958F4" w:rsidRPr="77E609C5">
        <w:rPr>
          <w:lang w:val="en-US"/>
        </w:rPr>
        <w:t>units earn</w:t>
      </w:r>
      <w:r w:rsidR="76459939" w:rsidRPr="77E609C5">
        <w:rPr>
          <w:lang w:val="en-US"/>
        </w:rPr>
        <w:t>ed</w:t>
      </w:r>
      <w:r w:rsidR="3295FD8B" w:rsidRPr="77E609C5">
        <w:rPr>
          <w:lang w:val="en-US"/>
        </w:rPr>
        <w:t xml:space="preserve"> </w:t>
      </w:r>
      <w:r w:rsidR="19B59BAB" w:rsidRPr="77E609C5">
        <w:rPr>
          <w:lang w:val="en-US"/>
        </w:rPr>
        <w:t xml:space="preserve">by </w:t>
      </w:r>
      <w:r w:rsidR="0DB6729A" w:rsidRPr="77E609C5">
        <w:rPr>
          <w:lang w:val="en-US"/>
        </w:rPr>
        <w:t xml:space="preserve">production </w:t>
      </w:r>
      <w:r w:rsidR="774F3B0C" w:rsidRPr="77E609C5">
        <w:rPr>
          <w:lang w:val="en-US"/>
        </w:rPr>
        <w:t xml:space="preserve">forests on their </w:t>
      </w:r>
      <w:r w:rsidR="1D1B0514" w:rsidRPr="77E609C5">
        <w:rPr>
          <w:lang w:val="en-US"/>
        </w:rPr>
        <w:t xml:space="preserve">first </w:t>
      </w:r>
      <w:r w:rsidR="496ECDB1" w:rsidRPr="77E609C5">
        <w:rPr>
          <w:lang w:val="en-US"/>
        </w:rPr>
        <w:t xml:space="preserve">rotation </w:t>
      </w:r>
      <w:r w:rsidR="774F3B0C" w:rsidRPr="77E609C5">
        <w:rPr>
          <w:lang w:val="en-US"/>
        </w:rPr>
        <w:t>can be considered ‘</w:t>
      </w:r>
      <w:r w:rsidR="1C6802B5" w:rsidRPr="77E609C5">
        <w:rPr>
          <w:lang w:val="en-US"/>
        </w:rPr>
        <w:t>low</w:t>
      </w:r>
      <w:r w:rsidR="426FEE8E" w:rsidRPr="77E609C5">
        <w:rPr>
          <w:lang w:val="en-US"/>
        </w:rPr>
        <w:t>-</w:t>
      </w:r>
      <w:r w:rsidR="1C6802B5" w:rsidRPr="77E609C5">
        <w:rPr>
          <w:lang w:val="en-US"/>
        </w:rPr>
        <w:t>risk</w:t>
      </w:r>
      <w:r w:rsidR="774F3B0C" w:rsidRPr="77E609C5">
        <w:rPr>
          <w:lang w:val="en-US"/>
        </w:rPr>
        <w:t>’</w:t>
      </w:r>
      <w:r w:rsidR="7DA76AB7" w:rsidRPr="77E609C5">
        <w:rPr>
          <w:lang w:val="en-US"/>
        </w:rPr>
        <w:t>,</w:t>
      </w:r>
      <w:r w:rsidR="3295FD8B" w:rsidRPr="77E609C5">
        <w:rPr>
          <w:lang w:val="en-US"/>
        </w:rPr>
        <w:t xml:space="preserve"> as they will never have to be surrendered</w:t>
      </w:r>
      <w:r w:rsidR="19CD41F1" w:rsidRPr="77E609C5">
        <w:rPr>
          <w:lang w:val="en-US"/>
        </w:rPr>
        <w:t xml:space="preserve"> </w:t>
      </w:r>
      <w:r w:rsidR="24C0C328" w:rsidRPr="77E609C5">
        <w:rPr>
          <w:lang w:val="en-US"/>
        </w:rPr>
        <w:t>if</w:t>
      </w:r>
      <w:r w:rsidR="3295FD8B" w:rsidRPr="77E609C5">
        <w:rPr>
          <w:lang w:val="en-US"/>
        </w:rPr>
        <w:t xml:space="preserve"> the forest is replanted. </w:t>
      </w:r>
      <w:r w:rsidR="46BAFF59" w:rsidRPr="77E609C5">
        <w:rPr>
          <w:lang w:val="en-US"/>
        </w:rPr>
        <w:t xml:space="preserve">However, </w:t>
      </w:r>
      <w:r w:rsidR="677C0919" w:rsidRPr="77E609C5">
        <w:rPr>
          <w:lang w:val="en-US"/>
        </w:rPr>
        <w:t xml:space="preserve">additional units may </w:t>
      </w:r>
      <w:r w:rsidR="690A7540" w:rsidRPr="77E609C5">
        <w:rPr>
          <w:lang w:val="en-US"/>
        </w:rPr>
        <w:t xml:space="preserve">also </w:t>
      </w:r>
      <w:r w:rsidR="677C0919" w:rsidRPr="77E609C5">
        <w:rPr>
          <w:lang w:val="en-US"/>
        </w:rPr>
        <w:t>be considered low</w:t>
      </w:r>
      <w:r w:rsidR="426FEE8E" w:rsidRPr="77E609C5">
        <w:rPr>
          <w:lang w:val="en-US"/>
        </w:rPr>
        <w:t>-</w:t>
      </w:r>
      <w:r w:rsidR="677C0919" w:rsidRPr="77E609C5">
        <w:rPr>
          <w:lang w:val="en-US"/>
        </w:rPr>
        <w:t xml:space="preserve">risk </w:t>
      </w:r>
      <w:r w:rsidR="157FF576" w:rsidRPr="77E609C5">
        <w:rPr>
          <w:lang w:val="en-US"/>
        </w:rPr>
        <w:t xml:space="preserve">if a forestry </w:t>
      </w:r>
      <w:r w:rsidR="567AED49" w:rsidRPr="77E609C5">
        <w:rPr>
          <w:lang w:val="en-US"/>
        </w:rPr>
        <w:t xml:space="preserve">participant can manage liabilities across a portfolio </w:t>
      </w:r>
      <w:r w:rsidR="52E00077" w:rsidRPr="77E609C5">
        <w:rPr>
          <w:lang w:val="en-US"/>
        </w:rPr>
        <w:t>of forests of different ages</w:t>
      </w:r>
      <w:r w:rsidR="3E476A17" w:rsidRPr="77E609C5">
        <w:rPr>
          <w:lang w:val="en-US"/>
        </w:rPr>
        <w:t xml:space="preserve">, </w:t>
      </w:r>
      <w:r w:rsidR="07F54DFB" w:rsidRPr="77E609C5">
        <w:rPr>
          <w:lang w:val="en-US"/>
        </w:rPr>
        <w:t xml:space="preserve">as </w:t>
      </w:r>
      <w:r w:rsidR="57DD3144" w:rsidRPr="77E609C5">
        <w:rPr>
          <w:lang w:val="en-US"/>
        </w:rPr>
        <w:t xml:space="preserve">harvest liabilities </w:t>
      </w:r>
      <w:r w:rsidR="413F30C7" w:rsidRPr="77E609C5">
        <w:rPr>
          <w:lang w:val="en-US"/>
        </w:rPr>
        <w:t xml:space="preserve">can be </w:t>
      </w:r>
      <w:r w:rsidR="6B2674A3" w:rsidRPr="77E609C5">
        <w:rPr>
          <w:lang w:val="en-US"/>
        </w:rPr>
        <w:t>met</w:t>
      </w:r>
      <w:r w:rsidR="413F30C7" w:rsidRPr="77E609C5">
        <w:rPr>
          <w:lang w:val="en-US"/>
        </w:rPr>
        <w:t xml:space="preserve"> using units allocated for forests </w:t>
      </w:r>
      <w:r w:rsidR="6B2674A3" w:rsidRPr="77E609C5">
        <w:rPr>
          <w:lang w:val="en-US"/>
        </w:rPr>
        <w:t>at a different stage</w:t>
      </w:r>
      <w:r w:rsidR="54A629A9" w:rsidRPr="77E609C5">
        <w:rPr>
          <w:lang w:val="en-US"/>
        </w:rPr>
        <w:t>s</w:t>
      </w:r>
      <w:r w:rsidR="6B2674A3" w:rsidRPr="77E609C5">
        <w:rPr>
          <w:lang w:val="en-US"/>
        </w:rPr>
        <w:t xml:space="preserve"> in their rotation. </w:t>
      </w:r>
    </w:p>
    <w:p w14:paraId="30D65656" w14:textId="118E19C4" w:rsidR="009E4A55" w:rsidRPr="00023E01" w:rsidRDefault="009E4A55" w:rsidP="001F40B9">
      <w:r w:rsidRPr="00AF36D7">
        <w:t xml:space="preserve">We </w:t>
      </w:r>
      <w:r w:rsidRPr="00F2087B">
        <w:t xml:space="preserve">have analysed </w:t>
      </w:r>
      <w:r w:rsidR="009229FF">
        <w:t xml:space="preserve">the range of possible </w:t>
      </w:r>
      <w:r w:rsidR="00BB5120">
        <w:t>levels</w:t>
      </w:r>
      <w:r w:rsidRPr="00F2087B">
        <w:t xml:space="preserve"> for </w:t>
      </w:r>
      <w:r w:rsidR="00A26B61" w:rsidRPr="00F2087B">
        <w:t>low-risk</w:t>
      </w:r>
      <w:r>
        <w:t xml:space="preserve"> units </w:t>
      </w:r>
      <w:r w:rsidR="0014281D">
        <w:t>available to owners of</w:t>
      </w:r>
      <w:r w:rsidR="00D27F86">
        <w:t xml:space="preserve"> post-1989 forests </w:t>
      </w:r>
      <w:r w:rsidR="00B11006">
        <w:t xml:space="preserve">registered in the </w:t>
      </w:r>
      <w:r>
        <w:t xml:space="preserve">NZ ETS </w:t>
      </w:r>
      <w:r w:rsidR="00B11006">
        <w:t>under stock change</w:t>
      </w:r>
      <w:r w:rsidR="00E30A9C">
        <w:t xml:space="preserve">. </w:t>
      </w:r>
      <w:r w:rsidR="00E81B07">
        <w:t xml:space="preserve">For each post-1989 forestry participant, </w:t>
      </w:r>
      <w:r w:rsidR="007923D5">
        <w:t>t</w:t>
      </w:r>
      <w:r w:rsidR="00B31E00">
        <w:t xml:space="preserve">he </w:t>
      </w:r>
      <w:r w:rsidRPr="00023E01">
        <w:t xml:space="preserve">minimum </w:t>
      </w:r>
      <w:r w:rsidR="00B81C83">
        <w:t xml:space="preserve">level of </w:t>
      </w:r>
      <w:r w:rsidRPr="00023E01">
        <w:t>low</w:t>
      </w:r>
      <w:r w:rsidR="00957F88">
        <w:t>-</w:t>
      </w:r>
      <w:r w:rsidRPr="00023E01">
        <w:t xml:space="preserve">risk units </w:t>
      </w:r>
      <w:r w:rsidRPr="00B7209E">
        <w:t>is the amount of low</w:t>
      </w:r>
      <w:r w:rsidR="00741354">
        <w:t>-</w:t>
      </w:r>
      <w:r w:rsidRPr="00B7209E">
        <w:t xml:space="preserve">risk units </w:t>
      </w:r>
      <w:r w:rsidR="00F82F70">
        <w:t xml:space="preserve">available </w:t>
      </w:r>
      <w:r w:rsidRPr="00B7209E">
        <w:t>for</w:t>
      </w:r>
      <w:r w:rsidRPr="00B7209E" w:rsidDel="00E91964">
        <w:t xml:space="preserve"> </w:t>
      </w:r>
      <w:r w:rsidRPr="00B7209E">
        <w:t xml:space="preserve">a </w:t>
      </w:r>
      <w:r w:rsidR="009657DC">
        <w:t xml:space="preserve">single </w:t>
      </w:r>
      <w:r w:rsidRPr="00B7209E">
        <w:t>forest</w:t>
      </w:r>
      <w:r w:rsidR="002F6918">
        <w:t xml:space="preserve"> </w:t>
      </w:r>
      <w:r w:rsidR="004C0ACC">
        <w:t xml:space="preserve">that is </w:t>
      </w:r>
      <w:r w:rsidR="00B1758F">
        <w:t xml:space="preserve">planted at </w:t>
      </w:r>
      <w:r w:rsidR="00E91964">
        <w:t>one</w:t>
      </w:r>
      <w:r w:rsidR="00B1758F">
        <w:t xml:space="preserve"> time</w:t>
      </w:r>
      <w:r w:rsidR="002C2AFA">
        <w:t xml:space="preserve">. The </w:t>
      </w:r>
      <w:r w:rsidRPr="00023E01">
        <w:t xml:space="preserve">maximum </w:t>
      </w:r>
      <w:r w:rsidR="00B1758F">
        <w:t xml:space="preserve">level of </w:t>
      </w:r>
      <w:r w:rsidRPr="00023E01">
        <w:t>low</w:t>
      </w:r>
      <w:r w:rsidR="00957F88" w:rsidDel="0018618B">
        <w:t>-</w:t>
      </w:r>
      <w:r w:rsidRPr="00023E01">
        <w:t>risk units</w:t>
      </w:r>
      <w:r w:rsidRPr="00B7209E" w:rsidDel="00B1758F">
        <w:t xml:space="preserve"> </w:t>
      </w:r>
      <w:r w:rsidRPr="00B7209E">
        <w:t>is the theoretical low risk units for a forest portfolio evenly split across all age classes (equal to the long term average carbon stock)</w:t>
      </w:r>
      <w:r w:rsidR="008B21FB">
        <w:t>.</w:t>
      </w:r>
    </w:p>
    <w:p w14:paraId="28BC6036" w14:textId="65EEBBA9" w:rsidR="009A70B8" w:rsidRDefault="00FD37FF" w:rsidP="003F51E8">
      <w:r>
        <w:rPr>
          <w:lang w:val="en-US"/>
        </w:rPr>
        <w:t xml:space="preserve">All </w:t>
      </w:r>
      <w:r w:rsidR="00293E1C">
        <w:rPr>
          <w:lang w:val="en-US"/>
        </w:rPr>
        <w:t>NZ ETS forestry participants sit somewhere on a spectrum between the</w:t>
      </w:r>
      <w:r w:rsidR="00E30A9C">
        <w:rPr>
          <w:lang w:val="en-US"/>
        </w:rPr>
        <w:t>se</w:t>
      </w:r>
      <w:r w:rsidR="00293E1C">
        <w:rPr>
          <w:lang w:val="en-US"/>
        </w:rPr>
        <w:t xml:space="preserve"> minimum </w:t>
      </w:r>
      <w:r w:rsidR="00BA40D4">
        <w:rPr>
          <w:lang w:val="en-US"/>
        </w:rPr>
        <w:t>and theoretical maximum</w:t>
      </w:r>
      <w:r w:rsidR="00134D08">
        <w:rPr>
          <w:lang w:val="en-US"/>
        </w:rPr>
        <w:t xml:space="preserve"> </w:t>
      </w:r>
      <w:r w:rsidR="00E30A9C">
        <w:rPr>
          <w:lang w:val="en-US"/>
        </w:rPr>
        <w:t xml:space="preserve">levels of </w:t>
      </w:r>
      <w:r w:rsidR="00134D08">
        <w:rPr>
          <w:lang w:val="en-US"/>
        </w:rPr>
        <w:t xml:space="preserve">low-risk units. </w:t>
      </w:r>
      <w:r w:rsidR="00CE3C58" w:rsidRPr="001F40B9">
        <w:rPr>
          <w:b/>
          <w:bCs/>
          <w:lang w:val="en-US"/>
        </w:rPr>
        <w:t>Box 1</w:t>
      </w:r>
      <w:r w:rsidR="00CE3C58">
        <w:rPr>
          <w:lang w:val="en-US"/>
        </w:rPr>
        <w:t xml:space="preserve"> </w:t>
      </w:r>
      <w:r w:rsidR="0052334F">
        <w:rPr>
          <w:lang w:val="en-US"/>
        </w:rPr>
        <w:t>below</w:t>
      </w:r>
      <w:r w:rsidR="00CE3C58">
        <w:rPr>
          <w:lang w:val="en-US"/>
        </w:rPr>
        <w:t xml:space="preserve"> illustrates </w:t>
      </w:r>
      <w:r w:rsidR="0052334F">
        <w:rPr>
          <w:lang w:val="en-US"/>
        </w:rPr>
        <w:t>how these levels work in practice.</w:t>
      </w:r>
    </w:p>
    <w:tbl>
      <w:tblPr>
        <w:tblStyle w:val="GridTable5Dark-Accent5"/>
        <w:tblW w:w="5003" w:type="pct"/>
        <w:tblInd w:w="-5" w:type="dxa"/>
        <w:tblCellMar>
          <w:left w:w="113" w:type="dxa"/>
          <w:right w:w="113" w:type="dxa"/>
        </w:tblCellMar>
        <w:tblLook w:val="04A0" w:firstRow="1" w:lastRow="0" w:firstColumn="1" w:lastColumn="0" w:noHBand="0" w:noVBand="1"/>
      </w:tblPr>
      <w:tblGrid>
        <w:gridCol w:w="9021"/>
      </w:tblGrid>
      <w:tr w:rsidR="00680BED" w:rsidRPr="0091207A" w14:paraId="46C533E1" w14:textId="77777777" w:rsidTr="009C4B0F">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pct"/>
            <w:shd w:val="clear" w:color="auto" w:fill="002060"/>
            <w:tcMar>
              <w:top w:w="28" w:type="dxa"/>
              <w:left w:w="198" w:type="dxa"/>
              <w:bottom w:w="28" w:type="dxa"/>
              <w:right w:w="198" w:type="dxa"/>
            </w:tcMar>
            <w:vAlign w:val="center"/>
          </w:tcPr>
          <w:p w14:paraId="6062BBA3" w14:textId="77777777" w:rsidR="00680BED" w:rsidRPr="00585516" w:rsidRDefault="00680BED">
            <w:pPr>
              <w:pStyle w:val="Default"/>
              <w:spacing w:after="120"/>
              <w:rPr>
                <w:rFonts w:asciiTheme="minorHAnsi" w:hAnsiTheme="minorHAnsi" w:cstheme="minorHAnsi"/>
                <w:sz w:val="20"/>
                <w:szCs w:val="20"/>
              </w:rPr>
            </w:pPr>
            <w:r w:rsidRPr="00585516">
              <w:rPr>
                <w:rFonts w:asciiTheme="minorHAnsi" w:hAnsiTheme="minorHAnsi" w:cstheme="minorHAnsi"/>
                <w:color w:val="FFFFFF" w:themeColor="background1"/>
                <w:sz w:val="20"/>
                <w:szCs w:val="20"/>
              </w:rPr>
              <w:t xml:space="preserve">Box 1. Forest owners can manage harvest liabilities to increase low risk units </w:t>
            </w:r>
          </w:p>
        </w:tc>
      </w:tr>
      <w:tr w:rsidR="00680BED" w:rsidRPr="005A6D57" w14:paraId="10058B18" w14:textId="77777777" w:rsidTr="009C4B0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pct"/>
            <w:shd w:val="clear" w:color="auto" w:fill="C1DCD5"/>
            <w:tcMar>
              <w:top w:w="28" w:type="dxa"/>
              <w:left w:w="198" w:type="dxa"/>
              <w:bottom w:w="28" w:type="dxa"/>
              <w:right w:w="198" w:type="dxa"/>
            </w:tcMar>
            <w:vAlign w:val="center"/>
          </w:tcPr>
          <w:p w14:paraId="16642C83" w14:textId="77777777" w:rsidR="00680BED" w:rsidRPr="00FE34CB" w:rsidRDefault="00680BED" w:rsidP="009C4B0F">
            <w:pPr>
              <w:spacing w:after="120"/>
              <w:rPr>
                <w:rFonts w:asciiTheme="minorHAnsi" w:hAnsiTheme="minorHAnsi" w:cstheme="minorHAnsi"/>
                <w:b w:val="0"/>
                <w:color w:val="000000"/>
                <w:sz w:val="21"/>
                <w:szCs w:val="21"/>
                <w:lang w:val="en-NZ"/>
              </w:rPr>
            </w:pPr>
            <w:r w:rsidRPr="00FE34CB">
              <w:rPr>
                <w:rFonts w:asciiTheme="minorHAnsi" w:hAnsiTheme="minorHAnsi" w:cstheme="minorHAnsi"/>
                <w:b w:val="0"/>
                <w:color w:val="000000"/>
                <w:sz w:val="21"/>
                <w:szCs w:val="21"/>
                <w:lang w:val="en-NZ"/>
              </w:rPr>
              <w:t xml:space="preserve">Imagine three different forestry participants each with 100,000 hectares of production forests registered in the NZ ETS in the year they were planted. The units each forest owner would earn and need to surrender at harvest per hectare would be the same over the long run but the timing of when they earn and surrender them will depend on their planting and harvest strategy. </w:t>
            </w:r>
          </w:p>
          <w:p w14:paraId="1C0C550A" w14:textId="77777777" w:rsidR="00680BED" w:rsidRPr="00FE34CB" w:rsidRDefault="00680BED" w:rsidP="009C4B0F">
            <w:pPr>
              <w:spacing w:after="120"/>
              <w:rPr>
                <w:rFonts w:asciiTheme="minorHAnsi" w:hAnsiTheme="minorHAnsi" w:cstheme="minorHAnsi"/>
                <w:b w:val="0"/>
                <w:color w:val="000000"/>
                <w:sz w:val="21"/>
                <w:szCs w:val="21"/>
                <w:lang w:val="en-NZ"/>
              </w:rPr>
            </w:pPr>
            <w:r w:rsidRPr="00FE34CB">
              <w:rPr>
                <w:rFonts w:asciiTheme="minorHAnsi" w:hAnsiTheme="minorHAnsi" w:cstheme="minorHAnsi"/>
                <w:b w:val="0"/>
                <w:color w:val="000000"/>
                <w:sz w:val="21"/>
                <w:szCs w:val="21"/>
                <w:lang w:val="en-NZ"/>
              </w:rPr>
              <w:t xml:space="preserve">To take radiata pine forests as an example (based on a 28-year harvest cycle), the residual carbon remaining after each harvest cycle will differ for each forest owner as follows: </w:t>
            </w:r>
          </w:p>
          <w:p w14:paraId="202723FF" w14:textId="77777777" w:rsidR="00680BED" w:rsidRPr="00FE34CB" w:rsidRDefault="00680BED" w:rsidP="000B4205">
            <w:pPr>
              <w:pStyle w:val="Default"/>
              <w:numPr>
                <w:ilvl w:val="0"/>
                <w:numId w:val="55"/>
              </w:numPr>
              <w:spacing w:after="120"/>
              <w:ind w:left="789"/>
              <w:rPr>
                <w:rFonts w:asciiTheme="minorHAnsi" w:hAnsiTheme="minorHAnsi" w:cstheme="minorHAnsi"/>
                <w:b w:val="0"/>
                <w:sz w:val="21"/>
                <w:szCs w:val="21"/>
                <w:lang w:val="en-NZ"/>
              </w:rPr>
            </w:pPr>
            <w:r w:rsidRPr="00FE34CB">
              <w:rPr>
                <w:rFonts w:asciiTheme="minorHAnsi" w:hAnsiTheme="minorHAnsi" w:cstheme="minorHAnsi"/>
                <w:b w:val="0"/>
                <w:sz w:val="21"/>
                <w:szCs w:val="21"/>
                <w:lang w:val="en-NZ"/>
              </w:rPr>
              <w:t xml:space="preserve">If Forest Owner A plants the full amount (and subsequently harvests) in a single year, they would not be liable for approximately 25% of units earned – minimum low risk units scenario. </w:t>
            </w:r>
          </w:p>
          <w:p w14:paraId="189CAC6E" w14:textId="77777777" w:rsidR="00680BED" w:rsidRPr="00FE34CB" w:rsidRDefault="00680BED" w:rsidP="000B4205">
            <w:pPr>
              <w:pStyle w:val="Default"/>
              <w:numPr>
                <w:ilvl w:val="0"/>
                <w:numId w:val="55"/>
              </w:numPr>
              <w:spacing w:after="120"/>
              <w:ind w:left="789"/>
              <w:rPr>
                <w:rFonts w:asciiTheme="minorHAnsi" w:hAnsiTheme="minorHAnsi" w:cstheme="minorHAnsi"/>
                <w:b w:val="0"/>
                <w:sz w:val="21"/>
                <w:szCs w:val="21"/>
                <w:lang w:val="en-NZ"/>
              </w:rPr>
            </w:pPr>
            <w:r w:rsidRPr="00FE34CB">
              <w:rPr>
                <w:rFonts w:asciiTheme="minorHAnsi" w:hAnsiTheme="minorHAnsi" w:cstheme="minorHAnsi"/>
                <w:b w:val="0"/>
                <w:sz w:val="21"/>
                <w:szCs w:val="21"/>
                <w:lang w:val="en-NZ"/>
              </w:rPr>
              <w:t xml:space="preserve">If Forest Owner B plants at different times and correspondingly staggers harvests, for example around 25,000 hectares roughly every 7-8 years, they would not be liable for around 36% of units earned – central low risk units scenario (the ‘Spread age classes’ in </w:t>
            </w:r>
            <w:r w:rsidRPr="00FE34CB">
              <w:rPr>
                <w:rFonts w:asciiTheme="minorHAnsi" w:hAnsiTheme="minorHAnsi" w:cstheme="minorHAnsi"/>
                <w:sz w:val="21"/>
                <w:szCs w:val="21"/>
              </w:rPr>
              <w:fldChar w:fldCharType="begin"/>
            </w:r>
            <w:r w:rsidRPr="00FE34CB">
              <w:rPr>
                <w:rFonts w:asciiTheme="minorHAnsi" w:hAnsiTheme="minorHAnsi" w:cstheme="minorHAnsi"/>
                <w:b w:val="0"/>
                <w:sz w:val="21"/>
                <w:szCs w:val="21"/>
                <w:lang w:val="en-NZ"/>
              </w:rPr>
              <w:instrText xml:space="preserve"> REF _Ref194927416 \h  \* MERGEFORMAT </w:instrText>
            </w:r>
            <w:r w:rsidRPr="00FE34CB">
              <w:rPr>
                <w:rFonts w:asciiTheme="minorHAnsi" w:hAnsiTheme="minorHAnsi" w:cstheme="minorHAnsi"/>
                <w:sz w:val="21"/>
                <w:szCs w:val="21"/>
              </w:rPr>
            </w:r>
            <w:r w:rsidRPr="00FE34CB">
              <w:rPr>
                <w:rFonts w:asciiTheme="minorHAnsi" w:hAnsiTheme="minorHAnsi" w:cstheme="minorHAnsi"/>
                <w:sz w:val="21"/>
                <w:szCs w:val="21"/>
              </w:rPr>
              <w:fldChar w:fldCharType="separate"/>
            </w:r>
            <w:r w:rsidRPr="00FE34CB" w:rsidDel="00123A63">
              <w:rPr>
                <w:rFonts w:asciiTheme="minorHAnsi" w:hAnsiTheme="minorHAnsi" w:cstheme="minorHAnsi"/>
                <w:b w:val="0"/>
                <w:sz w:val="21"/>
                <w:szCs w:val="21"/>
                <w:lang w:val="en-NZ"/>
              </w:rPr>
              <w:t>Figure 10</w:t>
            </w:r>
            <w:r w:rsidRPr="00FE34CB">
              <w:rPr>
                <w:rFonts w:asciiTheme="minorHAnsi" w:hAnsiTheme="minorHAnsi" w:cstheme="minorHAnsi"/>
                <w:sz w:val="21"/>
                <w:szCs w:val="21"/>
              </w:rPr>
              <w:fldChar w:fldCharType="end"/>
            </w:r>
            <w:r w:rsidRPr="00FE34CB">
              <w:rPr>
                <w:rFonts w:asciiTheme="minorHAnsi" w:hAnsiTheme="minorHAnsi" w:cstheme="minorHAnsi"/>
                <w:b w:val="0"/>
                <w:sz w:val="21"/>
                <w:szCs w:val="21"/>
                <w:lang w:val="en-NZ"/>
              </w:rPr>
              <w:t xml:space="preserve"> below). </w:t>
            </w:r>
          </w:p>
          <w:p w14:paraId="4D8FB3AE" w14:textId="77777777" w:rsidR="00680BED" w:rsidRPr="00FE34CB" w:rsidRDefault="00680BED" w:rsidP="000B4205">
            <w:pPr>
              <w:pStyle w:val="Default"/>
              <w:numPr>
                <w:ilvl w:val="0"/>
                <w:numId w:val="55"/>
              </w:numPr>
              <w:spacing w:after="120"/>
              <w:ind w:left="789"/>
              <w:rPr>
                <w:rFonts w:asciiTheme="minorHAnsi" w:hAnsiTheme="minorHAnsi" w:cstheme="minorHAnsi"/>
                <w:b w:val="0"/>
                <w:sz w:val="21"/>
                <w:szCs w:val="21"/>
                <w:lang w:val="en-NZ"/>
              </w:rPr>
            </w:pPr>
            <w:r w:rsidRPr="00FE34CB">
              <w:rPr>
                <w:rFonts w:asciiTheme="minorHAnsi" w:hAnsiTheme="minorHAnsi" w:cstheme="minorHAnsi"/>
                <w:b w:val="0"/>
                <w:sz w:val="21"/>
                <w:szCs w:val="21"/>
                <w:lang w:val="en-NZ"/>
              </w:rPr>
              <w:t xml:space="preserve">If Forest Owner C plants and harvests a set amount each year, for example 3,570 hectares each year for 28 years to represent the full age class in a rotation, they would not be liable for around 50% of units earned – maximum low risk units. </w:t>
            </w:r>
          </w:p>
          <w:p w14:paraId="1CECEB23" w14:textId="77777777" w:rsidR="00680BED" w:rsidRPr="00FE34CB" w:rsidRDefault="00680BED">
            <w:pPr>
              <w:spacing w:after="120"/>
              <w:rPr>
                <w:rFonts w:asciiTheme="minorHAnsi" w:hAnsiTheme="minorHAnsi" w:cstheme="minorHAnsi"/>
                <w:b w:val="0"/>
                <w:color w:val="000000"/>
                <w:sz w:val="21"/>
                <w:szCs w:val="21"/>
                <w:lang w:val="en-NZ"/>
              </w:rPr>
            </w:pPr>
            <w:r w:rsidRPr="00FE34CB">
              <w:rPr>
                <w:rFonts w:asciiTheme="minorHAnsi" w:hAnsiTheme="minorHAnsi" w:cstheme="minorHAnsi"/>
                <w:b w:val="0"/>
                <w:color w:val="000000"/>
                <w:sz w:val="21"/>
                <w:szCs w:val="21"/>
                <w:lang w:val="en-NZ"/>
              </w:rPr>
              <w:t xml:space="preserve">Forest Owner C with a more diverse forest portfolio has maximised their low risk carbon units compared with Forest Owner A, and is able to sell a higher proportion of the units earned. </w:t>
            </w:r>
            <w:r w:rsidRPr="00FE34CB">
              <w:rPr>
                <w:rFonts w:cstheme="minorHAnsi"/>
                <w:color w:val="000000"/>
                <w:sz w:val="21"/>
                <w:szCs w:val="21"/>
              </w:rPr>
              <w:fldChar w:fldCharType="begin"/>
            </w:r>
            <w:r w:rsidRPr="00FE34CB">
              <w:rPr>
                <w:rFonts w:asciiTheme="minorHAnsi" w:hAnsiTheme="minorHAnsi" w:cstheme="minorHAnsi"/>
                <w:b w:val="0"/>
                <w:color w:val="000000"/>
                <w:sz w:val="21"/>
                <w:szCs w:val="21"/>
                <w:lang w:val="en-NZ"/>
              </w:rPr>
              <w:instrText xml:space="preserve"> REF _Ref194927416 \h  \* MERGEFORMAT </w:instrText>
            </w:r>
            <w:r w:rsidRPr="00FE34CB">
              <w:rPr>
                <w:rFonts w:cstheme="minorHAnsi"/>
                <w:color w:val="000000"/>
                <w:sz w:val="21"/>
                <w:szCs w:val="21"/>
              </w:rPr>
            </w:r>
            <w:r w:rsidRPr="00FE34CB">
              <w:rPr>
                <w:rFonts w:cstheme="minorHAnsi"/>
                <w:color w:val="000000"/>
                <w:sz w:val="21"/>
                <w:szCs w:val="21"/>
              </w:rPr>
              <w:fldChar w:fldCharType="separate"/>
            </w:r>
            <w:r w:rsidRPr="00FE34CB" w:rsidDel="00123A63">
              <w:rPr>
                <w:rFonts w:asciiTheme="minorHAnsi" w:hAnsiTheme="minorHAnsi" w:cstheme="minorHAnsi"/>
                <w:b w:val="0"/>
                <w:color w:val="000000"/>
                <w:sz w:val="21"/>
                <w:szCs w:val="21"/>
                <w:lang w:val="en-NZ"/>
              </w:rPr>
              <w:t xml:space="preserve">Figure 10 </w:t>
            </w:r>
            <w:r w:rsidRPr="00FE34CB">
              <w:rPr>
                <w:rFonts w:cstheme="minorHAnsi"/>
                <w:color w:val="000000"/>
                <w:sz w:val="21"/>
                <w:szCs w:val="21"/>
              </w:rPr>
              <w:fldChar w:fldCharType="end"/>
            </w:r>
            <w:r w:rsidRPr="00FE34CB">
              <w:rPr>
                <w:rFonts w:asciiTheme="minorHAnsi" w:hAnsiTheme="minorHAnsi" w:cstheme="minorHAnsi"/>
                <w:b w:val="0"/>
                <w:color w:val="000000"/>
                <w:sz w:val="21"/>
                <w:szCs w:val="21"/>
                <w:lang w:val="en-NZ"/>
              </w:rPr>
              <w:t xml:space="preserve">below provides an illustration of various low risk carbon unit levels using radiata pine under the different hypothetical examples discussed above. </w:t>
            </w:r>
          </w:p>
          <w:p w14:paraId="4251EBA3" w14:textId="6E40D441" w:rsidR="00680BED" w:rsidRPr="00680BED" w:rsidRDefault="00680BED" w:rsidP="00680BED">
            <w:pPr>
              <w:pStyle w:val="Caption"/>
            </w:pPr>
            <w:r w:rsidRPr="00E26B2B">
              <w:rPr>
                <w:b/>
              </w:rPr>
              <w:t xml:space="preserve">Figure </w:t>
            </w:r>
            <w:r>
              <w:fldChar w:fldCharType="begin"/>
            </w:r>
            <w:r w:rsidRPr="00E26B2B">
              <w:rPr>
                <w:b/>
              </w:rPr>
              <w:instrText xml:space="preserve"> SEQ Figure \* ARABIC </w:instrText>
            </w:r>
            <w:r>
              <w:fldChar w:fldCharType="separate"/>
            </w:r>
            <w:r w:rsidR="00EA3949">
              <w:rPr>
                <w:b/>
                <w:bCs w:val="0"/>
                <w:noProof/>
              </w:rPr>
              <w:t>8</w:t>
            </w:r>
            <w:r>
              <w:fldChar w:fldCharType="end"/>
            </w:r>
            <w:r w:rsidRPr="00680BED">
              <w:t>: Net carbon stored from different illustrative forest planting portfolios</w:t>
            </w:r>
          </w:p>
          <w:p w14:paraId="5BC99964" w14:textId="77777777" w:rsidR="00680BED" w:rsidRPr="00585516" w:rsidRDefault="00680BED" w:rsidP="00E26B2B">
            <w:pPr>
              <w:spacing w:after="120"/>
              <w:jc w:val="center"/>
              <w:rPr>
                <w:rFonts w:asciiTheme="minorHAnsi" w:hAnsiTheme="minorHAnsi" w:cstheme="minorHAnsi"/>
                <w:sz w:val="20"/>
                <w:szCs w:val="20"/>
              </w:rPr>
            </w:pPr>
            <w:r w:rsidRPr="00585516">
              <w:rPr>
                <w:rFonts w:cstheme="minorHAnsi"/>
                <w:noProof/>
                <w:sz w:val="20"/>
                <w:szCs w:val="20"/>
              </w:rPr>
              <w:drawing>
                <wp:inline distT="0" distB="0" distL="0" distR="0" wp14:anchorId="24B65C59" wp14:editId="0301779C">
                  <wp:extent cx="5066030" cy="2955285"/>
                  <wp:effectExtent l="0" t="0" r="1270" b="0"/>
                  <wp:docPr id="1143065497" name="Picture 1143065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72425" cy="2959016"/>
                          </a:xfrm>
                          <a:prstGeom prst="rect">
                            <a:avLst/>
                          </a:prstGeom>
                          <a:noFill/>
                          <a:ln>
                            <a:noFill/>
                          </a:ln>
                        </pic:spPr>
                      </pic:pic>
                    </a:graphicData>
                  </a:graphic>
                </wp:inline>
              </w:drawing>
            </w:r>
          </w:p>
          <w:p w14:paraId="480557C9" w14:textId="40E57D72" w:rsidR="00680BED" w:rsidRPr="00E51556" w:rsidRDefault="00680BED" w:rsidP="009C4B0F">
            <w:pPr>
              <w:spacing w:after="120"/>
              <w:ind w:firstLine="318"/>
              <w:rPr>
                <w:rFonts w:asciiTheme="minorHAnsi" w:hAnsiTheme="minorHAnsi" w:cstheme="minorHAnsi"/>
                <w:b w:val="0"/>
                <w:sz w:val="20"/>
                <w:szCs w:val="20"/>
                <w:lang w:val="en-NZ"/>
              </w:rPr>
            </w:pPr>
            <w:r w:rsidRPr="00E51556">
              <w:rPr>
                <w:rFonts w:asciiTheme="minorHAnsi" w:hAnsiTheme="minorHAnsi" w:cstheme="minorHAnsi"/>
                <w:b w:val="0"/>
                <w:color w:val="auto"/>
                <w:sz w:val="20"/>
                <w:szCs w:val="20"/>
              </w:rPr>
              <w:t>Source: Commission analysis</w:t>
            </w:r>
          </w:p>
        </w:tc>
      </w:tr>
      <w:tr w:rsidR="00680BED" w:rsidRPr="0091207A" w14:paraId="3F54AB67" w14:textId="77777777" w:rsidTr="009C4B0F">
        <w:trPr>
          <w:trHeight w:val="483"/>
        </w:trPr>
        <w:tc>
          <w:tcPr>
            <w:cnfStyle w:val="001000000000" w:firstRow="0" w:lastRow="0" w:firstColumn="1" w:lastColumn="0" w:oddVBand="0" w:evenVBand="0" w:oddHBand="0" w:evenHBand="0" w:firstRowFirstColumn="0" w:firstRowLastColumn="0" w:lastRowFirstColumn="0" w:lastRowLastColumn="0"/>
            <w:tcW w:w="0" w:type="pct"/>
            <w:shd w:val="clear" w:color="auto" w:fill="auto"/>
            <w:tcMar>
              <w:top w:w="28" w:type="dxa"/>
              <w:left w:w="198" w:type="dxa"/>
              <w:bottom w:w="28" w:type="dxa"/>
              <w:right w:w="198" w:type="dxa"/>
            </w:tcMar>
            <w:vAlign w:val="center"/>
          </w:tcPr>
          <w:p w14:paraId="3FB5DFBA" w14:textId="77777777" w:rsidR="00680BED" w:rsidRPr="00585516" w:rsidRDefault="00680BED" w:rsidP="009C4B0F">
            <w:pPr>
              <w:pStyle w:val="Sourceline"/>
              <w:spacing w:before="0" w:after="0" w:line="240" w:lineRule="auto"/>
              <w:ind w:left="-204"/>
              <w:rPr>
                <w:rFonts w:asciiTheme="minorHAnsi" w:hAnsiTheme="minorHAnsi" w:cstheme="minorHAnsi"/>
                <w:b w:val="0"/>
                <w:szCs w:val="20"/>
              </w:rPr>
            </w:pPr>
          </w:p>
        </w:tc>
      </w:tr>
    </w:tbl>
    <w:p w14:paraId="25F57525" w14:textId="5AAB4E9B" w:rsidR="0052334F" w:rsidRPr="00EF417A" w:rsidRDefault="003840E2" w:rsidP="00EF417A">
      <w:pPr>
        <w:spacing w:line="279" w:lineRule="auto"/>
        <w:rPr>
          <w:rFonts w:ascii="Calibri-Light" w:eastAsia="Calibri-Light" w:hAnsi="Calibri-Light" w:cs="Yu Mincho"/>
          <w:szCs w:val="24"/>
        </w:rPr>
      </w:pPr>
      <w:r w:rsidRPr="00EF417A">
        <w:rPr>
          <w:rFonts w:ascii="Calibri-Light" w:eastAsia="Calibri-Light" w:hAnsi="Calibri-Light" w:cs="Yu Mincho"/>
          <w:szCs w:val="24"/>
        </w:rPr>
        <w:t xml:space="preserve">To </w:t>
      </w:r>
      <w:r w:rsidR="0052334F" w:rsidRPr="00EF417A">
        <w:rPr>
          <w:rFonts w:ascii="Calibri-Light" w:eastAsia="Calibri-Light" w:hAnsi="Calibri-Light" w:cs="Yu Mincho"/>
          <w:szCs w:val="24"/>
        </w:rPr>
        <w:t>estimat</w:t>
      </w:r>
      <w:r w:rsidRPr="00EF417A">
        <w:rPr>
          <w:rFonts w:ascii="Calibri-Light" w:eastAsia="Calibri-Light" w:hAnsi="Calibri-Light" w:cs="Yu Mincho"/>
          <w:szCs w:val="24"/>
        </w:rPr>
        <w:t>e</w:t>
      </w:r>
      <w:r w:rsidR="0052334F" w:rsidRPr="00EF417A">
        <w:rPr>
          <w:rFonts w:ascii="Calibri-Light" w:eastAsia="Calibri-Light" w:hAnsi="Calibri-Light" w:cs="Yu Mincho"/>
          <w:szCs w:val="24"/>
        </w:rPr>
        <w:t xml:space="preserve"> </w:t>
      </w:r>
      <w:r w:rsidR="00910896" w:rsidRPr="00EF417A">
        <w:rPr>
          <w:rFonts w:ascii="Calibri-Light" w:eastAsia="Calibri-Light" w:hAnsi="Calibri-Light" w:cs="Yu Mincho"/>
          <w:szCs w:val="24"/>
        </w:rPr>
        <w:t xml:space="preserve">the </w:t>
      </w:r>
      <w:r w:rsidR="00F8237E" w:rsidRPr="00EF417A">
        <w:rPr>
          <w:rFonts w:ascii="Calibri-Light" w:eastAsia="Calibri-Light" w:hAnsi="Calibri-Light" w:cs="Yu Mincho"/>
          <w:szCs w:val="24"/>
        </w:rPr>
        <w:t>level of low</w:t>
      </w:r>
      <w:r w:rsidR="00D31694" w:rsidRPr="00EF417A">
        <w:rPr>
          <w:rFonts w:ascii="Calibri-Light" w:eastAsia="Calibri-Light" w:hAnsi="Calibri-Light" w:cs="Yu Mincho"/>
          <w:szCs w:val="24"/>
        </w:rPr>
        <w:t>-</w:t>
      </w:r>
      <w:r w:rsidR="00F8237E" w:rsidRPr="00EF417A">
        <w:rPr>
          <w:rFonts w:ascii="Calibri-Light" w:eastAsia="Calibri-Light" w:hAnsi="Calibri-Light" w:cs="Yu Mincho"/>
          <w:szCs w:val="24"/>
        </w:rPr>
        <w:t xml:space="preserve">risk units likely to be </w:t>
      </w:r>
      <w:r w:rsidR="00C51819" w:rsidRPr="00EF417A">
        <w:rPr>
          <w:rFonts w:ascii="Calibri-Light" w:eastAsia="Calibri-Light" w:hAnsi="Calibri-Light" w:cs="Yu Mincho"/>
          <w:szCs w:val="24"/>
        </w:rPr>
        <w:t xml:space="preserve">achieved across </w:t>
      </w:r>
      <w:r w:rsidR="00536BD7" w:rsidRPr="00EF417A">
        <w:rPr>
          <w:rFonts w:ascii="Calibri-Light" w:eastAsia="Calibri-Light" w:hAnsi="Calibri-Light" w:cs="Yu Mincho"/>
          <w:szCs w:val="24"/>
        </w:rPr>
        <w:t xml:space="preserve">all </w:t>
      </w:r>
      <w:r w:rsidR="00092D26" w:rsidRPr="00EF417A">
        <w:rPr>
          <w:rFonts w:ascii="Calibri-Light" w:eastAsia="Calibri-Light" w:hAnsi="Calibri-Light" w:cs="Yu Mincho"/>
          <w:szCs w:val="24"/>
        </w:rPr>
        <w:t>post-</w:t>
      </w:r>
      <w:r w:rsidR="00536BD7" w:rsidRPr="00EF417A">
        <w:rPr>
          <w:rFonts w:ascii="Calibri-Light" w:eastAsia="Calibri-Light" w:hAnsi="Calibri-Light" w:cs="Yu Mincho"/>
          <w:szCs w:val="24"/>
        </w:rPr>
        <w:t>19</w:t>
      </w:r>
      <w:r w:rsidR="00092D26" w:rsidRPr="00EF417A">
        <w:rPr>
          <w:rFonts w:ascii="Calibri-Light" w:eastAsia="Calibri-Light" w:hAnsi="Calibri-Light" w:cs="Yu Mincho"/>
          <w:szCs w:val="24"/>
        </w:rPr>
        <w:t xml:space="preserve">89 forests </w:t>
      </w:r>
      <w:r w:rsidR="00536BD7" w:rsidRPr="00EF417A">
        <w:rPr>
          <w:rFonts w:ascii="Calibri-Light" w:eastAsia="Calibri-Light" w:hAnsi="Calibri-Light" w:cs="Yu Mincho"/>
          <w:szCs w:val="24"/>
        </w:rPr>
        <w:t xml:space="preserve">on stock change </w:t>
      </w:r>
      <w:r w:rsidR="00092D26" w:rsidRPr="00EF417A">
        <w:rPr>
          <w:rFonts w:ascii="Calibri-Light" w:eastAsia="Calibri-Light" w:hAnsi="Calibri-Light" w:cs="Yu Mincho"/>
          <w:szCs w:val="24"/>
        </w:rPr>
        <w:t>in the NZ ETS</w:t>
      </w:r>
      <w:r w:rsidR="00D97677" w:rsidRPr="00EF417A">
        <w:rPr>
          <w:rFonts w:ascii="Calibri-Light" w:eastAsia="Calibri-Light" w:hAnsi="Calibri-Light" w:cs="Yu Mincho"/>
          <w:szCs w:val="24"/>
        </w:rPr>
        <w:t xml:space="preserve">, </w:t>
      </w:r>
      <w:r w:rsidR="0052334F" w:rsidRPr="00EF417A">
        <w:rPr>
          <w:rFonts w:ascii="Calibri-Light" w:eastAsia="Calibri-Light" w:hAnsi="Calibri-Light" w:cs="Yu Mincho"/>
          <w:szCs w:val="24"/>
        </w:rPr>
        <w:t>we have considered data on the breakdown of total forest area in the NZ ETS by forest estate size</w:t>
      </w:r>
      <w:r w:rsidR="00B8595A" w:rsidRPr="00EF417A">
        <w:rPr>
          <w:rFonts w:ascii="Calibri-Light" w:eastAsia="Calibri-Light" w:hAnsi="Calibri-Light" w:cs="Yu Mincho"/>
          <w:szCs w:val="24"/>
        </w:rPr>
        <w:t xml:space="preserve">, shown in </w:t>
      </w:r>
      <w:r w:rsidR="00B8595A" w:rsidRPr="00EF417A">
        <w:rPr>
          <w:rFonts w:ascii="Calibri-Light" w:eastAsia="Calibri-Light" w:hAnsi="Calibri-Light" w:cs="Yu Mincho"/>
          <w:b/>
          <w:szCs w:val="24"/>
        </w:rPr>
        <w:fldChar w:fldCharType="begin"/>
      </w:r>
      <w:r w:rsidR="00B8595A" w:rsidRPr="00EF417A">
        <w:rPr>
          <w:rFonts w:ascii="Calibri-Light" w:eastAsia="Calibri-Light" w:hAnsi="Calibri-Light" w:cs="Yu Mincho"/>
          <w:b/>
          <w:szCs w:val="24"/>
        </w:rPr>
        <w:instrText xml:space="preserve"> REF _Ref195170945 \h </w:instrText>
      </w:r>
      <w:r w:rsidR="00957F88" w:rsidRPr="00EF417A">
        <w:rPr>
          <w:rFonts w:ascii="Calibri-Light" w:eastAsia="Calibri-Light" w:hAnsi="Calibri-Light" w:cs="Yu Mincho"/>
          <w:b/>
          <w:szCs w:val="24"/>
        </w:rPr>
        <w:instrText xml:space="preserve"> \* MERGEFORMAT </w:instrText>
      </w:r>
      <w:r w:rsidR="00B8595A" w:rsidRPr="00EF417A">
        <w:rPr>
          <w:rFonts w:ascii="Calibri-Light" w:eastAsia="Calibri-Light" w:hAnsi="Calibri-Light" w:cs="Yu Mincho"/>
          <w:b/>
          <w:szCs w:val="24"/>
        </w:rPr>
      </w:r>
      <w:r w:rsidR="00B8595A" w:rsidRPr="00EF417A">
        <w:rPr>
          <w:rFonts w:ascii="Calibri-Light" w:eastAsia="Calibri-Light" w:hAnsi="Calibri-Light" w:cs="Yu Mincho"/>
          <w:b/>
          <w:szCs w:val="24"/>
        </w:rPr>
        <w:fldChar w:fldCharType="separate"/>
      </w:r>
      <w:r w:rsidR="00AD2937" w:rsidRPr="00EF417A">
        <w:rPr>
          <w:rFonts w:ascii="Calibri-Light" w:eastAsia="Calibri-Light" w:hAnsi="Calibri-Light" w:cs="Yu Mincho"/>
          <w:b/>
          <w:szCs w:val="24"/>
        </w:rPr>
        <w:t>Table 7</w:t>
      </w:r>
      <w:r w:rsidR="00B8595A" w:rsidRPr="00EF417A">
        <w:rPr>
          <w:rFonts w:ascii="Calibri-Light" w:eastAsia="Calibri-Light" w:hAnsi="Calibri-Light" w:cs="Yu Mincho"/>
          <w:b/>
          <w:szCs w:val="24"/>
        </w:rPr>
        <w:fldChar w:fldCharType="end"/>
      </w:r>
      <w:r w:rsidR="00B8595A" w:rsidRPr="00EF417A">
        <w:rPr>
          <w:rFonts w:ascii="Calibri-Light" w:eastAsia="Calibri-Light" w:hAnsi="Calibri-Light" w:cs="Yu Mincho"/>
          <w:szCs w:val="24"/>
        </w:rPr>
        <w:fldChar w:fldCharType="begin"/>
      </w:r>
      <w:r w:rsidR="00B8595A" w:rsidRPr="00EF417A">
        <w:rPr>
          <w:rFonts w:ascii="Calibri-Light" w:eastAsia="Calibri-Light" w:hAnsi="Calibri-Light" w:cs="Yu Mincho"/>
          <w:szCs w:val="24"/>
        </w:rPr>
        <w:instrText xml:space="preserve"> REF _Ref195170945 \h </w:instrText>
      </w:r>
      <w:r w:rsidR="00EF417A">
        <w:rPr>
          <w:rFonts w:ascii="Calibri-Light" w:eastAsia="Calibri-Light" w:hAnsi="Calibri-Light" w:cs="Yu Mincho"/>
          <w:szCs w:val="24"/>
        </w:rPr>
        <w:instrText xml:space="preserve"> \* MERGEFORMAT </w:instrText>
      </w:r>
      <w:r w:rsidR="00B8595A" w:rsidRPr="00EF417A">
        <w:rPr>
          <w:rFonts w:ascii="Calibri-Light" w:eastAsia="Calibri-Light" w:hAnsi="Calibri-Light" w:cs="Yu Mincho"/>
          <w:szCs w:val="24"/>
        </w:rPr>
      </w:r>
      <w:r w:rsidR="00B8595A" w:rsidRPr="00EF417A">
        <w:rPr>
          <w:rFonts w:ascii="Calibri-Light" w:eastAsia="Calibri-Light" w:hAnsi="Calibri-Light" w:cs="Yu Mincho"/>
          <w:szCs w:val="24"/>
        </w:rPr>
        <w:fldChar w:fldCharType="separate"/>
      </w:r>
      <w:r w:rsidR="00B8595A" w:rsidRPr="00EF417A">
        <w:rPr>
          <w:rFonts w:ascii="Calibri-Light" w:eastAsia="Calibri-Light" w:hAnsi="Calibri-Light" w:cs="Yu Mincho"/>
          <w:szCs w:val="24"/>
        </w:rPr>
        <w:fldChar w:fldCharType="end"/>
      </w:r>
      <w:r w:rsidR="0052334F" w:rsidRPr="00EF417A">
        <w:rPr>
          <w:rFonts w:ascii="Calibri-Light" w:eastAsia="Calibri-Light" w:hAnsi="Calibri-Light" w:cs="Yu Mincho"/>
          <w:szCs w:val="24"/>
        </w:rPr>
        <w:t>. Theoretically, owners of small forest areas are likely to have a low proportion of low-risk carbon due to the total area being more likely to be planted in a single year or across fewer age classes</w:t>
      </w:r>
      <w:r w:rsidR="009F3130" w:rsidRPr="00EF417A">
        <w:rPr>
          <w:rFonts w:ascii="Calibri-Light" w:eastAsia="Calibri-Light" w:hAnsi="Calibri-Light" w:cs="Yu Mincho"/>
          <w:szCs w:val="24"/>
        </w:rPr>
        <w:t>. L</w:t>
      </w:r>
      <w:r w:rsidR="0052334F" w:rsidRPr="00EF417A">
        <w:rPr>
          <w:rFonts w:ascii="Calibri-Light" w:eastAsia="Calibri-Light" w:hAnsi="Calibri-Light" w:cs="Yu Mincho"/>
          <w:szCs w:val="24"/>
        </w:rPr>
        <w:t xml:space="preserve">arge forest estates </w:t>
      </w:r>
      <w:r w:rsidR="009F3130" w:rsidRPr="00EF417A">
        <w:rPr>
          <w:rFonts w:ascii="Calibri-Light" w:eastAsia="Calibri-Light" w:hAnsi="Calibri-Light" w:cs="Yu Mincho"/>
          <w:szCs w:val="24"/>
        </w:rPr>
        <w:t xml:space="preserve">are more likely to </w:t>
      </w:r>
      <w:r w:rsidR="0052334F" w:rsidRPr="00EF417A">
        <w:rPr>
          <w:rFonts w:ascii="Calibri-Light" w:eastAsia="Calibri-Light" w:hAnsi="Calibri-Light" w:cs="Yu Mincho"/>
          <w:szCs w:val="24"/>
        </w:rPr>
        <w:t>be made up of diverse portfolios of multiple age classes</w:t>
      </w:r>
      <w:r w:rsidR="00CF008B" w:rsidRPr="00EF417A">
        <w:rPr>
          <w:rFonts w:ascii="Calibri-Light" w:eastAsia="Calibri-Light" w:hAnsi="Calibri-Light" w:cs="Yu Mincho"/>
          <w:szCs w:val="24"/>
        </w:rPr>
        <w:t xml:space="preserve">, allowing </w:t>
      </w:r>
      <w:r w:rsidR="001C0D92" w:rsidRPr="00EF417A">
        <w:rPr>
          <w:rFonts w:ascii="Calibri-Light" w:eastAsia="Calibri-Light" w:hAnsi="Calibri-Light" w:cs="Yu Mincho"/>
          <w:szCs w:val="24"/>
        </w:rPr>
        <w:t xml:space="preserve">increased </w:t>
      </w:r>
      <w:r w:rsidR="0052334F" w:rsidRPr="00EF417A">
        <w:rPr>
          <w:rFonts w:ascii="Calibri-Light" w:eastAsia="Calibri-Light" w:hAnsi="Calibri-Light" w:cs="Yu Mincho"/>
          <w:szCs w:val="24"/>
        </w:rPr>
        <w:t xml:space="preserve">low-risk units. </w:t>
      </w:r>
      <w:r w:rsidR="000E6947" w:rsidRPr="00EF417A">
        <w:rPr>
          <w:rFonts w:ascii="Calibri-Light" w:eastAsia="Calibri-Light" w:hAnsi="Calibri-Light" w:cs="Yu Mincho"/>
          <w:szCs w:val="24"/>
        </w:rPr>
        <w:t xml:space="preserve">More than </w:t>
      </w:r>
      <w:r w:rsidR="0052334F" w:rsidRPr="00EF417A">
        <w:rPr>
          <w:rFonts w:ascii="Calibri-Light" w:eastAsia="Calibri-Light" w:hAnsi="Calibri-Light" w:cs="Yu Mincho"/>
          <w:szCs w:val="24"/>
        </w:rPr>
        <w:t xml:space="preserve">50 percent of forest area in the NZ ETS </w:t>
      </w:r>
      <w:r w:rsidR="009936AB" w:rsidRPr="00EF417A">
        <w:rPr>
          <w:rFonts w:ascii="Calibri-Light" w:eastAsia="Calibri-Light" w:hAnsi="Calibri-Light" w:cs="Yu Mincho"/>
          <w:szCs w:val="24"/>
        </w:rPr>
        <w:t>is</w:t>
      </w:r>
      <w:r w:rsidR="0052334F" w:rsidRPr="00EF417A">
        <w:rPr>
          <w:rFonts w:ascii="Calibri-Light" w:eastAsia="Calibri-Light" w:hAnsi="Calibri-Light" w:cs="Yu Mincho"/>
          <w:szCs w:val="24"/>
        </w:rPr>
        <w:t xml:space="preserve"> made up of forest estates of larger than 1,000 hectares. </w:t>
      </w:r>
    </w:p>
    <w:p w14:paraId="17F34C4E" w14:textId="1523AF5E" w:rsidR="0052334F" w:rsidRPr="00EA3949" w:rsidRDefault="001D119D" w:rsidP="0052334F">
      <w:pPr>
        <w:pStyle w:val="Caption"/>
        <w:rPr>
          <w:b w:val="0"/>
        </w:rPr>
      </w:pPr>
      <w:r>
        <w:t xml:space="preserve">Table </w:t>
      </w:r>
      <w:r w:rsidR="0052334F" w:rsidRPr="00DE6473">
        <w:fldChar w:fldCharType="begin"/>
      </w:r>
      <w:r w:rsidR="0052334F" w:rsidRPr="00DE6473">
        <w:instrText xml:space="preserve"> SEQ Table \* ARABIC </w:instrText>
      </w:r>
      <w:r w:rsidR="0052334F" w:rsidRPr="00DE6473">
        <w:fldChar w:fldCharType="separate"/>
      </w:r>
      <w:r>
        <w:rPr>
          <w:noProof/>
        </w:rPr>
        <w:t>7</w:t>
      </w:r>
      <w:r w:rsidR="0052334F" w:rsidRPr="00DE6473">
        <w:fldChar w:fldCharType="end"/>
      </w:r>
      <w:r w:rsidR="00AB63FF">
        <w:t>:</w:t>
      </w:r>
      <w:r w:rsidR="0052334F">
        <w:t xml:space="preserve"> </w:t>
      </w:r>
      <w:r w:rsidR="0052334F" w:rsidRPr="001D119D">
        <w:rPr>
          <w:b w:val="0"/>
        </w:rPr>
        <w:t>Breakdown of total NZ ETS forest hectares by forest estate size</w:t>
      </w:r>
    </w:p>
    <w:tbl>
      <w:tblPr>
        <w:tblStyle w:val="TableGrid"/>
        <w:tblW w:w="0" w:type="auto"/>
        <w:tblLayout w:type="fixed"/>
        <w:tblLook w:val="04A0" w:firstRow="1" w:lastRow="0" w:firstColumn="1" w:lastColumn="0" w:noHBand="0" w:noVBand="1"/>
      </w:tblPr>
      <w:tblGrid>
        <w:gridCol w:w="3823"/>
        <w:gridCol w:w="1275"/>
        <w:gridCol w:w="1276"/>
        <w:gridCol w:w="1276"/>
        <w:gridCol w:w="1276"/>
      </w:tblGrid>
      <w:tr w:rsidR="0052334F" w:rsidRPr="00A2295F" w14:paraId="5DF37451" w14:textId="77777777" w:rsidTr="003F51E8">
        <w:trPr>
          <w:trHeight w:val="300"/>
        </w:trPr>
        <w:tc>
          <w:tcPr>
            <w:tcW w:w="3823" w:type="dxa"/>
            <w:shd w:val="clear" w:color="auto" w:fill="002060"/>
            <w:noWrap/>
            <w:hideMark/>
          </w:tcPr>
          <w:p w14:paraId="7796FB19" w14:textId="77777777" w:rsidR="0052334F" w:rsidRPr="00DB58B8" w:rsidRDefault="0052334F">
            <w:pPr>
              <w:rPr>
                <w:b/>
                <w:sz w:val="22"/>
                <w:szCs w:val="20"/>
              </w:rPr>
            </w:pPr>
            <w:r w:rsidRPr="00DB58B8">
              <w:rPr>
                <w:b/>
                <w:sz w:val="22"/>
                <w:szCs w:val="20"/>
              </w:rPr>
              <w:t>Forest estate size</w:t>
            </w:r>
          </w:p>
        </w:tc>
        <w:tc>
          <w:tcPr>
            <w:tcW w:w="1275" w:type="dxa"/>
            <w:shd w:val="clear" w:color="auto" w:fill="002060"/>
            <w:noWrap/>
            <w:hideMark/>
          </w:tcPr>
          <w:p w14:paraId="762BEB0F" w14:textId="77777777" w:rsidR="0052334F" w:rsidRPr="00DB58B8" w:rsidRDefault="0052334F">
            <w:pPr>
              <w:rPr>
                <w:sz w:val="22"/>
                <w:szCs w:val="20"/>
              </w:rPr>
            </w:pPr>
            <w:r w:rsidRPr="00DB58B8">
              <w:rPr>
                <w:sz w:val="22"/>
                <w:szCs w:val="20"/>
              </w:rPr>
              <w:t>0-99 hectares</w:t>
            </w:r>
          </w:p>
        </w:tc>
        <w:tc>
          <w:tcPr>
            <w:tcW w:w="1276" w:type="dxa"/>
            <w:shd w:val="clear" w:color="auto" w:fill="002060"/>
            <w:noWrap/>
            <w:hideMark/>
          </w:tcPr>
          <w:p w14:paraId="0DE59DC1" w14:textId="77777777" w:rsidR="0052334F" w:rsidRPr="00DB58B8" w:rsidRDefault="0052334F">
            <w:pPr>
              <w:rPr>
                <w:sz w:val="22"/>
                <w:szCs w:val="20"/>
              </w:rPr>
            </w:pPr>
            <w:r w:rsidRPr="00DB58B8">
              <w:rPr>
                <w:sz w:val="22"/>
                <w:szCs w:val="20"/>
              </w:rPr>
              <w:t>100-499 hectares</w:t>
            </w:r>
          </w:p>
        </w:tc>
        <w:tc>
          <w:tcPr>
            <w:tcW w:w="1276" w:type="dxa"/>
            <w:shd w:val="clear" w:color="auto" w:fill="002060"/>
            <w:noWrap/>
            <w:hideMark/>
          </w:tcPr>
          <w:p w14:paraId="3CE1BFF8" w14:textId="77777777" w:rsidR="0052334F" w:rsidRPr="00DB58B8" w:rsidRDefault="0052334F">
            <w:pPr>
              <w:rPr>
                <w:sz w:val="22"/>
                <w:szCs w:val="20"/>
              </w:rPr>
            </w:pPr>
            <w:r w:rsidRPr="00DB58B8">
              <w:rPr>
                <w:sz w:val="22"/>
                <w:szCs w:val="20"/>
              </w:rPr>
              <w:t>500-999 hectares</w:t>
            </w:r>
          </w:p>
        </w:tc>
        <w:tc>
          <w:tcPr>
            <w:tcW w:w="1276" w:type="dxa"/>
            <w:shd w:val="clear" w:color="auto" w:fill="002060"/>
            <w:noWrap/>
            <w:hideMark/>
          </w:tcPr>
          <w:p w14:paraId="3B8E522E" w14:textId="77777777" w:rsidR="0052334F" w:rsidRPr="00DB58B8" w:rsidRDefault="0052334F">
            <w:pPr>
              <w:rPr>
                <w:sz w:val="22"/>
                <w:szCs w:val="20"/>
              </w:rPr>
            </w:pPr>
            <w:r w:rsidRPr="00DB58B8">
              <w:rPr>
                <w:sz w:val="22"/>
                <w:szCs w:val="20"/>
              </w:rPr>
              <w:t>1000+ hectares</w:t>
            </w:r>
          </w:p>
        </w:tc>
      </w:tr>
      <w:tr w:rsidR="0052334F" w:rsidRPr="00A2295F" w14:paraId="34EC4450" w14:textId="77777777" w:rsidTr="003F51E8">
        <w:trPr>
          <w:trHeight w:val="300"/>
        </w:trPr>
        <w:tc>
          <w:tcPr>
            <w:tcW w:w="3823" w:type="dxa"/>
            <w:noWrap/>
            <w:hideMark/>
          </w:tcPr>
          <w:p w14:paraId="5FC23DD0" w14:textId="77777777" w:rsidR="0052334F" w:rsidRPr="00DB58B8" w:rsidRDefault="0052334F">
            <w:pPr>
              <w:rPr>
                <w:b/>
                <w:sz w:val="22"/>
                <w:szCs w:val="20"/>
              </w:rPr>
            </w:pPr>
            <w:r w:rsidRPr="00DB58B8">
              <w:rPr>
                <w:b/>
                <w:sz w:val="22"/>
                <w:szCs w:val="20"/>
              </w:rPr>
              <w:t>% of total NZ ETS exotic forest hectares</w:t>
            </w:r>
          </w:p>
        </w:tc>
        <w:tc>
          <w:tcPr>
            <w:tcW w:w="1275" w:type="dxa"/>
            <w:noWrap/>
            <w:hideMark/>
          </w:tcPr>
          <w:p w14:paraId="39CA2E1A" w14:textId="77777777" w:rsidR="0052334F" w:rsidRPr="00DB58B8" w:rsidRDefault="0052334F">
            <w:pPr>
              <w:rPr>
                <w:sz w:val="22"/>
                <w:szCs w:val="20"/>
              </w:rPr>
            </w:pPr>
            <w:r w:rsidRPr="00DB58B8">
              <w:rPr>
                <w:sz w:val="22"/>
                <w:szCs w:val="20"/>
              </w:rPr>
              <w:t>16%</w:t>
            </w:r>
          </w:p>
        </w:tc>
        <w:tc>
          <w:tcPr>
            <w:tcW w:w="1276" w:type="dxa"/>
            <w:noWrap/>
            <w:hideMark/>
          </w:tcPr>
          <w:p w14:paraId="1C57779C" w14:textId="77777777" w:rsidR="0052334F" w:rsidRPr="00DB58B8" w:rsidRDefault="0052334F">
            <w:pPr>
              <w:rPr>
                <w:sz w:val="22"/>
                <w:szCs w:val="20"/>
              </w:rPr>
            </w:pPr>
            <w:r w:rsidRPr="00DB58B8">
              <w:rPr>
                <w:sz w:val="22"/>
                <w:szCs w:val="20"/>
              </w:rPr>
              <w:t>22%</w:t>
            </w:r>
          </w:p>
        </w:tc>
        <w:tc>
          <w:tcPr>
            <w:tcW w:w="1276" w:type="dxa"/>
            <w:noWrap/>
            <w:hideMark/>
          </w:tcPr>
          <w:p w14:paraId="62945F2E" w14:textId="77777777" w:rsidR="0052334F" w:rsidRPr="00DB58B8" w:rsidRDefault="0052334F">
            <w:pPr>
              <w:rPr>
                <w:sz w:val="22"/>
                <w:szCs w:val="20"/>
              </w:rPr>
            </w:pPr>
            <w:r w:rsidRPr="00DB58B8">
              <w:rPr>
                <w:sz w:val="22"/>
                <w:szCs w:val="20"/>
              </w:rPr>
              <w:t>9%</w:t>
            </w:r>
          </w:p>
        </w:tc>
        <w:tc>
          <w:tcPr>
            <w:tcW w:w="1276" w:type="dxa"/>
            <w:noWrap/>
            <w:hideMark/>
          </w:tcPr>
          <w:p w14:paraId="71145ACC" w14:textId="77777777" w:rsidR="0052334F" w:rsidRPr="00DB58B8" w:rsidRDefault="0052334F">
            <w:pPr>
              <w:rPr>
                <w:sz w:val="22"/>
                <w:szCs w:val="20"/>
              </w:rPr>
            </w:pPr>
            <w:r w:rsidRPr="00DB58B8">
              <w:rPr>
                <w:sz w:val="22"/>
                <w:szCs w:val="20"/>
              </w:rPr>
              <w:t>53%</w:t>
            </w:r>
          </w:p>
        </w:tc>
      </w:tr>
    </w:tbl>
    <w:p w14:paraId="59781F8E" w14:textId="77D85D3C" w:rsidR="0052334F" w:rsidRPr="00194F05" w:rsidRDefault="0052334F" w:rsidP="00F665A3">
      <w:pPr>
        <w:spacing w:before="240" w:line="278" w:lineRule="auto"/>
        <w:rPr>
          <w:rFonts w:ascii="Calibri-Light" w:eastAsia="Calibri-Light" w:hAnsi="Calibri-Light" w:cs="Yu Mincho"/>
          <w:szCs w:val="24"/>
        </w:rPr>
      </w:pPr>
      <w:r w:rsidRPr="00194F05">
        <w:rPr>
          <w:rFonts w:ascii="Calibri-Light" w:eastAsia="Calibri-Light" w:hAnsi="Calibri-Light" w:cs="Yu Mincho"/>
          <w:szCs w:val="24"/>
        </w:rPr>
        <w:t xml:space="preserve">These proportions are combined with assumptions about the additional </w:t>
      </w:r>
      <w:r w:rsidR="004C32B7" w:rsidRPr="00194F05">
        <w:rPr>
          <w:rFonts w:ascii="Calibri-Light" w:eastAsia="Calibri-Light" w:hAnsi="Calibri-Light" w:cs="Yu Mincho"/>
          <w:szCs w:val="24"/>
        </w:rPr>
        <w:t>low</w:t>
      </w:r>
      <w:r w:rsidR="00134F6B" w:rsidRPr="00194F05">
        <w:rPr>
          <w:rFonts w:ascii="Calibri-Light" w:eastAsia="Calibri-Light" w:hAnsi="Calibri-Light" w:cs="Yu Mincho"/>
          <w:szCs w:val="24"/>
        </w:rPr>
        <w:t>-</w:t>
      </w:r>
      <w:r w:rsidR="004C32B7" w:rsidRPr="00194F05">
        <w:rPr>
          <w:rFonts w:ascii="Calibri-Light" w:eastAsia="Calibri-Light" w:hAnsi="Calibri-Light" w:cs="Yu Mincho"/>
          <w:szCs w:val="24"/>
        </w:rPr>
        <w:t xml:space="preserve">risk units </w:t>
      </w:r>
      <w:r w:rsidRPr="00194F05">
        <w:rPr>
          <w:rFonts w:ascii="Calibri-Light" w:eastAsia="Calibri-Light" w:hAnsi="Calibri-Light" w:cs="Yu Mincho"/>
          <w:szCs w:val="24"/>
        </w:rPr>
        <w:t xml:space="preserve">that can be achieved at different sizes of forest estate, shown in </w:t>
      </w:r>
      <w:r w:rsidRPr="00F665A3">
        <w:rPr>
          <w:rFonts w:ascii="Calibri-Light" w:eastAsia="Calibri-Light" w:hAnsi="Calibri-Light" w:cs="Yu Mincho"/>
          <w:b/>
          <w:szCs w:val="24"/>
        </w:rPr>
        <w:fldChar w:fldCharType="begin"/>
      </w:r>
      <w:r w:rsidRPr="00F665A3">
        <w:rPr>
          <w:rFonts w:ascii="Calibri-Light" w:eastAsia="Calibri-Light" w:hAnsi="Calibri-Light" w:cs="Yu Mincho"/>
          <w:b/>
          <w:szCs w:val="24"/>
        </w:rPr>
        <w:instrText xml:space="preserve"> REF _Ref195108898 \h </w:instrText>
      </w:r>
      <w:r w:rsidR="00957F88" w:rsidRPr="00F665A3">
        <w:rPr>
          <w:rFonts w:ascii="Calibri-Light" w:eastAsia="Calibri-Light" w:hAnsi="Calibri-Light" w:cs="Yu Mincho"/>
          <w:b/>
          <w:szCs w:val="24"/>
        </w:rPr>
        <w:instrText xml:space="preserve"> \* MERGEFORMAT </w:instrText>
      </w:r>
      <w:r w:rsidRPr="00F665A3">
        <w:rPr>
          <w:rFonts w:ascii="Calibri-Light" w:eastAsia="Calibri-Light" w:hAnsi="Calibri-Light" w:cs="Yu Mincho"/>
          <w:b/>
          <w:szCs w:val="24"/>
        </w:rPr>
      </w:r>
      <w:r w:rsidRPr="00F665A3">
        <w:rPr>
          <w:rFonts w:ascii="Calibri-Light" w:eastAsia="Calibri-Light" w:hAnsi="Calibri-Light" w:cs="Yu Mincho"/>
          <w:b/>
          <w:szCs w:val="24"/>
        </w:rPr>
        <w:fldChar w:fldCharType="separate"/>
      </w:r>
      <w:r w:rsidR="00957F88" w:rsidRPr="00F665A3">
        <w:rPr>
          <w:rFonts w:ascii="Calibri-Light" w:eastAsia="Calibri-Light" w:hAnsi="Calibri-Light" w:cs="Yu Mincho"/>
          <w:b/>
          <w:szCs w:val="24"/>
        </w:rPr>
        <w:t>Table 8</w:t>
      </w:r>
      <w:r w:rsidRPr="00F665A3">
        <w:rPr>
          <w:rFonts w:ascii="Calibri-Light" w:eastAsia="Calibri-Light" w:hAnsi="Calibri-Light" w:cs="Yu Mincho"/>
          <w:b/>
          <w:szCs w:val="24"/>
        </w:rPr>
        <w:fldChar w:fldCharType="end"/>
      </w:r>
      <w:r w:rsidRPr="00194F05">
        <w:rPr>
          <w:rFonts w:ascii="Calibri-Light" w:eastAsia="Calibri-Light" w:hAnsi="Calibri-Light" w:cs="Yu Mincho"/>
          <w:szCs w:val="24"/>
        </w:rPr>
        <w:t xml:space="preserve"> below. </w:t>
      </w:r>
      <w:r w:rsidR="00E801C9" w:rsidRPr="00194F05">
        <w:rPr>
          <w:rFonts w:ascii="Calibri-Light" w:eastAsia="Calibri-Light" w:hAnsi="Calibri-Light" w:cs="Yu Mincho"/>
          <w:szCs w:val="24"/>
        </w:rPr>
        <w:t xml:space="preserve">Here ‘additional </w:t>
      </w:r>
      <w:r w:rsidR="00DF0140" w:rsidRPr="00194F05">
        <w:rPr>
          <w:rFonts w:ascii="Calibri-Light" w:eastAsia="Calibri-Light" w:hAnsi="Calibri-Light" w:cs="Yu Mincho"/>
          <w:szCs w:val="24"/>
        </w:rPr>
        <w:t>low</w:t>
      </w:r>
      <w:r w:rsidR="00134F6B" w:rsidRPr="00194F05">
        <w:rPr>
          <w:rFonts w:ascii="Calibri-Light" w:eastAsia="Calibri-Light" w:hAnsi="Calibri-Light" w:cs="Yu Mincho"/>
          <w:szCs w:val="24"/>
        </w:rPr>
        <w:t>-</w:t>
      </w:r>
      <w:r w:rsidR="00DF0140" w:rsidRPr="00194F05">
        <w:rPr>
          <w:rFonts w:ascii="Calibri-Light" w:eastAsia="Calibri-Light" w:hAnsi="Calibri-Light" w:cs="Yu Mincho"/>
          <w:szCs w:val="24"/>
        </w:rPr>
        <w:t>risk units</w:t>
      </w:r>
      <w:r w:rsidR="00E801C9" w:rsidRPr="00194F05">
        <w:rPr>
          <w:rFonts w:ascii="Calibri-Light" w:eastAsia="Calibri-Light" w:hAnsi="Calibri-Light" w:cs="Yu Mincho"/>
          <w:szCs w:val="24"/>
        </w:rPr>
        <w:t xml:space="preserve">’ refers to the </w:t>
      </w:r>
      <w:r w:rsidR="00B233D8" w:rsidRPr="00194F05">
        <w:rPr>
          <w:rFonts w:ascii="Calibri-Light" w:eastAsia="Calibri-Light" w:hAnsi="Calibri-Light" w:cs="Yu Mincho"/>
          <w:szCs w:val="24"/>
        </w:rPr>
        <w:t xml:space="preserve">proportion of </w:t>
      </w:r>
      <w:r w:rsidR="00DF0140" w:rsidRPr="00194F05">
        <w:rPr>
          <w:rFonts w:ascii="Calibri-Light" w:eastAsia="Calibri-Light" w:hAnsi="Calibri-Light" w:cs="Yu Mincho"/>
          <w:szCs w:val="24"/>
        </w:rPr>
        <w:t>low</w:t>
      </w:r>
      <w:r w:rsidR="00134F6B" w:rsidRPr="00194F05">
        <w:rPr>
          <w:rFonts w:ascii="Calibri-Light" w:eastAsia="Calibri-Light" w:hAnsi="Calibri-Light" w:cs="Yu Mincho"/>
          <w:szCs w:val="24"/>
        </w:rPr>
        <w:t>-</w:t>
      </w:r>
      <w:r w:rsidR="00DF0140" w:rsidRPr="00194F05">
        <w:rPr>
          <w:rFonts w:ascii="Calibri-Light" w:eastAsia="Calibri-Light" w:hAnsi="Calibri-Light" w:cs="Yu Mincho"/>
          <w:szCs w:val="24"/>
        </w:rPr>
        <w:t>risk unit</w:t>
      </w:r>
      <w:r w:rsidR="009938B0" w:rsidRPr="00194F05">
        <w:rPr>
          <w:rFonts w:ascii="Calibri-Light" w:eastAsia="Calibri-Light" w:hAnsi="Calibri-Light" w:cs="Yu Mincho"/>
          <w:szCs w:val="24"/>
        </w:rPr>
        <w:t xml:space="preserve">s </w:t>
      </w:r>
      <w:r w:rsidR="005A760F" w:rsidRPr="00194F05">
        <w:rPr>
          <w:rFonts w:ascii="Calibri-Light" w:eastAsia="Calibri-Light" w:hAnsi="Calibri-Light" w:cs="Yu Mincho"/>
          <w:szCs w:val="24"/>
        </w:rPr>
        <w:t>above the minimum</w:t>
      </w:r>
      <w:r w:rsidR="0079280C" w:rsidRPr="00194F05">
        <w:rPr>
          <w:rFonts w:ascii="Calibri-Light" w:eastAsia="Calibri-Light" w:hAnsi="Calibri-Light" w:cs="Yu Mincho"/>
          <w:szCs w:val="24"/>
        </w:rPr>
        <w:t>, with</w:t>
      </w:r>
      <w:r w:rsidR="00735792" w:rsidRPr="00194F05">
        <w:rPr>
          <w:rFonts w:ascii="Calibri-Light" w:eastAsia="Calibri-Light" w:hAnsi="Calibri-Light" w:cs="Yu Mincho"/>
          <w:szCs w:val="24"/>
        </w:rPr>
        <w:t xml:space="preserve"> 0% represent</w:t>
      </w:r>
      <w:r w:rsidR="0079280C" w:rsidRPr="00194F05">
        <w:rPr>
          <w:rFonts w:ascii="Calibri-Light" w:eastAsia="Calibri-Light" w:hAnsi="Calibri-Light" w:cs="Yu Mincho"/>
          <w:szCs w:val="24"/>
        </w:rPr>
        <w:t>ing</w:t>
      </w:r>
      <w:r w:rsidR="00735792" w:rsidRPr="00194F05">
        <w:rPr>
          <w:rFonts w:ascii="Calibri-Light" w:eastAsia="Calibri-Light" w:hAnsi="Calibri-Light" w:cs="Yu Mincho"/>
          <w:szCs w:val="24"/>
        </w:rPr>
        <w:t xml:space="preserve"> </w:t>
      </w:r>
      <w:r w:rsidR="001141D4" w:rsidRPr="00194F05">
        <w:rPr>
          <w:rFonts w:ascii="Calibri-Light" w:eastAsia="Calibri-Light" w:hAnsi="Calibri-Light" w:cs="Yu Mincho"/>
          <w:szCs w:val="24"/>
        </w:rPr>
        <w:t>the</w:t>
      </w:r>
      <w:r w:rsidR="00735792" w:rsidRPr="00194F05">
        <w:rPr>
          <w:rFonts w:ascii="Calibri-Light" w:eastAsia="Calibri-Light" w:hAnsi="Calibri-Light" w:cs="Yu Mincho"/>
          <w:szCs w:val="24"/>
        </w:rPr>
        <w:t xml:space="preserve"> minimum </w:t>
      </w:r>
      <w:r w:rsidR="00FE318C" w:rsidRPr="00194F05">
        <w:rPr>
          <w:rFonts w:ascii="Calibri-Light" w:eastAsia="Calibri-Light" w:hAnsi="Calibri-Light" w:cs="Yu Mincho"/>
          <w:szCs w:val="24"/>
        </w:rPr>
        <w:t>low</w:t>
      </w:r>
      <w:r w:rsidR="00222BBA" w:rsidRPr="00194F05">
        <w:rPr>
          <w:rFonts w:ascii="Calibri-Light" w:eastAsia="Calibri-Light" w:hAnsi="Calibri-Light" w:cs="Yu Mincho"/>
          <w:szCs w:val="24"/>
        </w:rPr>
        <w:t>-</w:t>
      </w:r>
      <w:r w:rsidR="00FE318C" w:rsidRPr="00194F05">
        <w:rPr>
          <w:rFonts w:ascii="Calibri-Light" w:eastAsia="Calibri-Light" w:hAnsi="Calibri-Light" w:cs="Yu Mincho"/>
          <w:szCs w:val="24"/>
        </w:rPr>
        <w:t xml:space="preserve">risk </w:t>
      </w:r>
      <w:r w:rsidR="00735792" w:rsidRPr="00194F05">
        <w:rPr>
          <w:rFonts w:ascii="Calibri-Light" w:eastAsia="Calibri-Light" w:hAnsi="Calibri-Light" w:cs="Yu Mincho"/>
          <w:szCs w:val="24"/>
        </w:rPr>
        <w:t>level, and 100% represent</w:t>
      </w:r>
      <w:r w:rsidR="0079280C" w:rsidRPr="00194F05">
        <w:rPr>
          <w:rFonts w:ascii="Calibri-Light" w:eastAsia="Calibri-Light" w:hAnsi="Calibri-Light" w:cs="Yu Mincho"/>
          <w:szCs w:val="24"/>
        </w:rPr>
        <w:t>ing</w:t>
      </w:r>
      <w:r w:rsidR="00735792" w:rsidRPr="00194F05">
        <w:rPr>
          <w:rFonts w:ascii="Calibri-Light" w:eastAsia="Calibri-Light" w:hAnsi="Calibri-Light" w:cs="Yu Mincho"/>
          <w:szCs w:val="24"/>
        </w:rPr>
        <w:t xml:space="preserve"> the maximum</w:t>
      </w:r>
      <w:r w:rsidR="00AD7BB1" w:rsidRPr="00194F05">
        <w:rPr>
          <w:rFonts w:ascii="Calibri-Light" w:eastAsia="Calibri-Light" w:hAnsi="Calibri-Light" w:cs="Yu Mincho"/>
          <w:szCs w:val="24"/>
        </w:rPr>
        <w:t xml:space="preserve"> (i.e</w:t>
      </w:r>
      <w:r w:rsidR="0076798A" w:rsidRPr="00194F05">
        <w:rPr>
          <w:rFonts w:ascii="Calibri-Light" w:eastAsia="Calibri-Light" w:hAnsi="Calibri-Light" w:cs="Yu Mincho"/>
          <w:szCs w:val="24"/>
        </w:rPr>
        <w:t>.</w:t>
      </w:r>
      <w:r w:rsidR="00AD7BB1" w:rsidRPr="00194F05">
        <w:rPr>
          <w:rFonts w:ascii="Calibri-Light" w:eastAsia="Calibri-Light" w:hAnsi="Calibri-Light" w:cs="Yu Mincho"/>
          <w:szCs w:val="24"/>
        </w:rPr>
        <w:t xml:space="preserve"> the theoretical maximum low</w:t>
      </w:r>
      <w:r w:rsidR="000E24FB" w:rsidRPr="00194F05">
        <w:rPr>
          <w:rFonts w:ascii="Calibri-Light" w:eastAsia="Calibri-Light" w:hAnsi="Calibri-Light" w:cs="Yu Mincho"/>
          <w:szCs w:val="24"/>
        </w:rPr>
        <w:t>-</w:t>
      </w:r>
      <w:r w:rsidR="00AD7BB1" w:rsidRPr="00194F05">
        <w:rPr>
          <w:rFonts w:ascii="Calibri-Light" w:eastAsia="Calibri-Light" w:hAnsi="Calibri-Light" w:cs="Yu Mincho"/>
          <w:szCs w:val="24"/>
        </w:rPr>
        <w:t>risk units scenario discussed earlier)</w:t>
      </w:r>
      <w:r w:rsidR="00735792" w:rsidRPr="00194F05">
        <w:rPr>
          <w:rFonts w:ascii="Calibri-Light" w:eastAsia="Calibri-Light" w:hAnsi="Calibri-Light" w:cs="Yu Mincho"/>
          <w:szCs w:val="24"/>
        </w:rPr>
        <w:t xml:space="preserve">. </w:t>
      </w:r>
      <w:r w:rsidRPr="00194F05">
        <w:rPr>
          <w:rFonts w:ascii="Calibri-Light" w:eastAsia="Calibri-Light" w:hAnsi="Calibri-Light" w:cs="Yu Mincho"/>
          <w:szCs w:val="24"/>
        </w:rPr>
        <w:t xml:space="preserve">These are combined to produce a weighted average for the proportion of </w:t>
      </w:r>
      <w:r w:rsidR="003B52DC" w:rsidRPr="00194F05">
        <w:rPr>
          <w:rFonts w:ascii="Calibri-Light" w:eastAsia="Calibri-Light" w:hAnsi="Calibri-Light" w:cs="Yu Mincho"/>
          <w:szCs w:val="24"/>
        </w:rPr>
        <w:t xml:space="preserve">the </w:t>
      </w:r>
      <w:r w:rsidRPr="00194F05">
        <w:rPr>
          <w:rFonts w:ascii="Calibri-Light" w:eastAsia="Calibri-Light" w:hAnsi="Calibri-Light" w:cs="Yu Mincho"/>
          <w:szCs w:val="24"/>
        </w:rPr>
        <w:t xml:space="preserve">additional </w:t>
      </w:r>
      <w:r w:rsidR="00C44EDF" w:rsidRPr="00194F05">
        <w:rPr>
          <w:rFonts w:ascii="Calibri-Light" w:eastAsia="Calibri-Light" w:hAnsi="Calibri-Light" w:cs="Yu Mincho"/>
          <w:szCs w:val="24"/>
        </w:rPr>
        <w:t>low</w:t>
      </w:r>
      <w:r w:rsidR="000E24FB" w:rsidRPr="00194F05">
        <w:rPr>
          <w:rFonts w:ascii="Calibri-Light" w:eastAsia="Calibri-Light" w:hAnsi="Calibri-Light" w:cs="Yu Mincho"/>
          <w:szCs w:val="24"/>
        </w:rPr>
        <w:t>-</w:t>
      </w:r>
      <w:r w:rsidR="00C44EDF" w:rsidRPr="00194F05">
        <w:rPr>
          <w:rFonts w:ascii="Calibri-Light" w:eastAsia="Calibri-Light" w:hAnsi="Calibri-Light" w:cs="Yu Mincho"/>
          <w:szCs w:val="24"/>
        </w:rPr>
        <w:t xml:space="preserve">risk units </w:t>
      </w:r>
      <w:r w:rsidR="003B52DC" w:rsidRPr="00194F05">
        <w:rPr>
          <w:rFonts w:ascii="Calibri-Light" w:eastAsia="Calibri-Light" w:hAnsi="Calibri-Light" w:cs="Yu Mincho"/>
          <w:szCs w:val="24"/>
        </w:rPr>
        <w:t>above the mi</w:t>
      </w:r>
      <w:r w:rsidR="00D0078E" w:rsidRPr="00194F05">
        <w:rPr>
          <w:rFonts w:ascii="Calibri-Light" w:eastAsia="Calibri-Light" w:hAnsi="Calibri-Light" w:cs="Yu Mincho"/>
          <w:szCs w:val="24"/>
        </w:rPr>
        <w:t xml:space="preserve">nimum level </w:t>
      </w:r>
      <w:r w:rsidR="00347F81" w:rsidRPr="00194F05">
        <w:rPr>
          <w:rFonts w:ascii="Calibri-Light" w:eastAsia="Calibri-Light" w:hAnsi="Calibri-Light" w:cs="Yu Mincho"/>
          <w:szCs w:val="24"/>
        </w:rPr>
        <w:t>across</w:t>
      </w:r>
      <w:r w:rsidR="00A90F09" w:rsidRPr="00194F05">
        <w:rPr>
          <w:rFonts w:ascii="Calibri-Light" w:eastAsia="Calibri-Light" w:hAnsi="Calibri-Light" w:cs="Yu Mincho"/>
          <w:szCs w:val="24"/>
        </w:rPr>
        <w:t xml:space="preserve"> the total area of</w:t>
      </w:r>
      <w:r w:rsidR="00347F81" w:rsidRPr="00194F05">
        <w:rPr>
          <w:rFonts w:ascii="Calibri-Light" w:eastAsia="Calibri-Light" w:hAnsi="Calibri-Light" w:cs="Yu Mincho"/>
          <w:szCs w:val="24"/>
        </w:rPr>
        <w:t xml:space="preserve"> </w:t>
      </w:r>
      <w:r w:rsidRPr="00194F05">
        <w:rPr>
          <w:rFonts w:ascii="Calibri-Light" w:eastAsia="Calibri-Light" w:hAnsi="Calibri-Light" w:cs="Yu Mincho"/>
          <w:szCs w:val="24"/>
        </w:rPr>
        <w:t xml:space="preserve">post-1989 forests </w:t>
      </w:r>
      <w:r w:rsidR="00347F81" w:rsidRPr="00194F05">
        <w:rPr>
          <w:rFonts w:ascii="Calibri-Light" w:eastAsia="Calibri-Light" w:hAnsi="Calibri-Light" w:cs="Yu Mincho"/>
          <w:szCs w:val="24"/>
        </w:rPr>
        <w:t xml:space="preserve">on stock change accounting </w:t>
      </w:r>
      <w:r w:rsidRPr="00194F05">
        <w:rPr>
          <w:rFonts w:ascii="Calibri-Light" w:eastAsia="Calibri-Light" w:hAnsi="Calibri-Light" w:cs="Yu Mincho"/>
          <w:szCs w:val="24"/>
        </w:rPr>
        <w:t xml:space="preserve">in the NZ ETS.  </w:t>
      </w:r>
    </w:p>
    <w:p w14:paraId="705F7B0D" w14:textId="3AD9BEAC" w:rsidR="0052334F" w:rsidRPr="00EA3949" w:rsidRDefault="0052334F" w:rsidP="0052334F">
      <w:pPr>
        <w:pStyle w:val="Caption"/>
        <w:rPr>
          <w:b w:val="0"/>
        </w:rPr>
      </w:pPr>
      <w:bookmarkStart w:id="53" w:name="_Ref195108898"/>
      <w:r w:rsidRPr="00DE6473">
        <w:t xml:space="preserve">Table </w:t>
      </w:r>
      <w:r w:rsidRPr="00DE6473">
        <w:fldChar w:fldCharType="begin"/>
      </w:r>
      <w:r w:rsidRPr="00DE6473">
        <w:instrText xml:space="preserve"> SEQ Table \* ARABIC </w:instrText>
      </w:r>
      <w:r w:rsidRPr="00DE6473">
        <w:fldChar w:fldCharType="separate"/>
      </w:r>
      <w:r w:rsidR="001D119D">
        <w:rPr>
          <w:noProof/>
        </w:rPr>
        <w:t>8</w:t>
      </w:r>
      <w:r w:rsidRPr="00DE6473">
        <w:fldChar w:fldCharType="end"/>
      </w:r>
      <w:bookmarkEnd w:id="53"/>
      <w:r>
        <w:t xml:space="preserve">: </w:t>
      </w:r>
      <w:r w:rsidRPr="001D119D">
        <w:rPr>
          <w:b w:val="0"/>
        </w:rPr>
        <w:t xml:space="preserve">Assumed </w:t>
      </w:r>
      <w:r w:rsidR="00DF0140" w:rsidRPr="001D119D">
        <w:rPr>
          <w:b w:val="0"/>
        </w:rPr>
        <w:t xml:space="preserve">low risk units </w:t>
      </w:r>
      <w:r w:rsidRPr="001D119D">
        <w:rPr>
          <w:b w:val="0"/>
        </w:rPr>
        <w:t>achievable by different sizes of forest estate</w:t>
      </w:r>
    </w:p>
    <w:tbl>
      <w:tblPr>
        <w:tblStyle w:val="TableGrid"/>
        <w:tblW w:w="0" w:type="auto"/>
        <w:tblLayout w:type="fixed"/>
        <w:tblLook w:val="04A0" w:firstRow="1" w:lastRow="0" w:firstColumn="1" w:lastColumn="0" w:noHBand="0" w:noVBand="1"/>
      </w:tblPr>
      <w:tblGrid>
        <w:gridCol w:w="2830"/>
        <w:gridCol w:w="1524"/>
        <w:gridCol w:w="1524"/>
        <w:gridCol w:w="1524"/>
        <w:gridCol w:w="1524"/>
      </w:tblGrid>
      <w:tr w:rsidR="0052334F" w:rsidRPr="00DB58B8" w14:paraId="61D81589" w14:textId="77777777" w:rsidTr="003F51E8">
        <w:trPr>
          <w:trHeight w:val="300"/>
        </w:trPr>
        <w:tc>
          <w:tcPr>
            <w:tcW w:w="2830" w:type="dxa"/>
            <w:shd w:val="clear" w:color="auto" w:fill="002060"/>
            <w:noWrap/>
            <w:hideMark/>
          </w:tcPr>
          <w:p w14:paraId="1A009437" w14:textId="77777777" w:rsidR="0052334F" w:rsidRPr="00DB58B8" w:rsidRDefault="0052334F">
            <w:pPr>
              <w:rPr>
                <w:b/>
                <w:sz w:val="22"/>
                <w:szCs w:val="20"/>
              </w:rPr>
            </w:pPr>
            <w:r w:rsidRPr="00DB58B8">
              <w:rPr>
                <w:b/>
                <w:sz w:val="22"/>
                <w:szCs w:val="20"/>
              </w:rPr>
              <w:t>Forest estate size</w:t>
            </w:r>
          </w:p>
        </w:tc>
        <w:tc>
          <w:tcPr>
            <w:tcW w:w="1524" w:type="dxa"/>
            <w:shd w:val="clear" w:color="auto" w:fill="002060"/>
            <w:noWrap/>
            <w:hideMark/>
          </w:tcPr>
          <w:p w14:paraId="2342CA70" w14:textId="77777777" w:rsidR="0052334F" w:rsidRPr="00DB58B8" w:rsidRDefault="0052334F">
            <w:pPr>
              <w:rPr>
                <w:sz w:val="22"/>
                <w:szCs w:val="20"/>
              </w:rPr>
            </w:pPr>
            <w:r w:rsidRPr="00DB58B8">
              <w:rPr>
                <w:sz w:val="22"/>
                <w:szCs w:val="20"/>
              </w:rPr>
              <w:t>0-99 hectares</w:t>
            </w:r>
          </w:p>
        </w:tc>
        <w:tc>
          <w:tcPr>
            <w:tcW w:w="1524" w:type="dxa"/>
            <w:shd w:val="clear" w:color="auto" w:fill="002060"/>
            <w:noWrap/>
            <w:hideMark/>
          </w:tcPr>
          <w:p w14:paraId="545CF6F7" w14:textId="77777777" w:rsidR="0052334F" w:rsidRPr="00DB58B8" w:rsidRDefault="0052334F">
            <w:pPr>
              <w:rPr>
                <w:sz w:val="22"/>
                <w:szCs w:val="20"/>
              </w:rPr>
            </w:pPr>
            <w:r w:rsidRPr="00DB58B8">
              <w:rPr>
                <w:sz w:val="22"/>
                <w:szCs w:val="20"/>
              </w:rPr>
              <w:t>100-499 hectares</w:t>
            </w:r>
          </w:p>
        </w:tc>
        <w:tc>
          <w:tcPr>
            <w:tcW w:w="1524" w:type="dxa"/>
            <w:shd w:val="clear" w:color="auto" w:fill="002060"/>
            <w:noWrap/>
            <w:hideMark/>
          </w:tcPr>
          <w:p w14:paraId="0D7B3820" w14:textId="77777777" w:rsidR="0052334F" w:rsidRPr="00DB58B8" w:rsidRDefault="0052334F">
            <w:pPr>
              <w:rPr>
                <w:sz w:val="22"/>
                <w:szCs w:val="20"/>
              </w:rPr>
            </w:pPr>
            <w:r w:rsidRPr="00DB58B8">
              <w:rPr>
                <w:sz w:val="22"/>
                <w:szCs w:val="20"/>
              </w:rPr>
              <w:t>500-999 hectares</w:t>
            </w:r>
          </w:p>
        </w:tc>
        <w:tc>
          <w:tcPr>
            <w:tcW w:w="1524" w:type="dxa"/>
            <w:shd w:val="clear" w:color="auto" w:fill="002060"/>
            <w:noWrap/>
            <w:hideMark/>
          </w:tcPr>
          <w:p w14:paraId="4B24E7A9" w14:textId="77777777" w:rsidR="0052334F" w:rsidRPr="00DB58B8" w:rsidRDefault="0052334F">
            <w:pPr>
              <w:rPr>
                <w:sz w:val="22"/>
                <w:szCs w:val="20"/>
              </w:rPr>
            </w:pPr>
            <w:r w:rsidRPr="00DB58B8">
              <w:rPr>
                <w:sz w:val="22"/>
                <w:szCs w:val="20"/>
              </w:rPr>
              <w:t>1000+ hectares</w:t>
            </w:r>
          </w:p>
        </w:tc>
      </w:tr>
      <w:tr w:rsidR="0052334F" w:rsidRPr="00DB58B8" w14:paraId="65DF208B" w14:textId="77777777" w:rsidTr="003F51E8">
        <w:trPr>
          <w:trHeight w:val="300"/>
        </w:trPr>
        <w:tc>
          <w:tcPr>
            <w:tcW w:w="2830" w:type="dxa"/>
            <w:noWrap/>
          </w:tcPr>
          <w:p w14:paraId="39BF0C20" w14:textId="77777777" w:rsidR="0052334F" w:rsidRPr="00DB58B8" w:rsidRDefault="0052334F">
            <w:pPr>
              <w:rPr>
                <w:b/>
                <w:sz w:val="22"/>
                <w:szCs w:val="20"/>
              </w:rPr>
            </w:pPr>
            <w:r>
              <w:rPr>
                <w:b/>
                <w:sz w:val="22"/>
                <w:szCs w:val="20"/>
              </w:rPr>
              <w:t>Low surplus assumption</w:t>
            </w:r>
          </w:p>
        </w:tc>
        <w:tc>
          <w:tcPr>
            <w:tcW w:w="1524" w:type="dxa"/>
            <w:noWrap/>
          </w:tcPr>
          <w:p w14:paraId="7140FBEB" w14:textId="77777777" w:rsidR="0052334F" w:rsidRPr="00DB58B8" w:rsidRDefault="0052334F">
            <w:pPr>
              <w:rPr>
                <w:sz w:val="22"/>
                <w:szCs w:val="20"/>
              </w:rPr>
            </w:pPr>
            <w:r>
              <w:rPr>
                <w:sz w:val="22"/>
                <w:szCs w:val="20"/>
              </w:rPr>
              <w:t>5%</w:t>
            </w:r>
          </w:p>
        </w:tc>
        <w:tc>
          <w:tcPr>
            <w:tcW w:w="1524" w:type="dxa"/>
            <w:noWrap/>
          </w:tcPr>
          <w:p w14:paraId="650D4D78" w14:textId="77777777" w:rsidR="0052334F" w:rsidRPr="00DB58B8" w:rsidRDefault="0052334F">
            <w:pPr>
              <w:rPr>
                <w:sz w:val="22"/>
                <w:szCs w:val="20"/>
              </w:rPr>
            </w:pPr>
            <w:r>
              <w:rPr>
                <w:sz w:val="22"/>
                <w:szCs w:val="20"/>
              </w:rPr>
              <w:t>30%</w:t>
            </w:r>
          </w:p>
        </w:tc>
        <w:tc>
          <w:tcPr>
            <w:tcW w:w="1524" w:type="dxa"/>
            <w:noWrap/>
          </w:tcPr>
          <w:p w14:paraId="4A61F266" w14:textId="77777777" w:rsidR="0052334F" w:rsidRPr="00DB58B8" w:rsidRDefault="0052334F">
            <w:pPr>
              <w:rPr>
                <w:sz w:val="22"/>
                <w:szCs w:val="20"/>
              </w:rPr>
            </w:pPr>
            <w:r>
              <w:rPr>
                <w:sz w:val="22"/>
                <w:szCs w:val="20"/>
              </w:rPr>
              <w:t>55%</w:t>
            </w:r>
          </w:p>
        </w:tc>
        <w:tc>
          <w:tcPr>
            <w:tcW w:w="1524" w:type="dxa"/>
            <w:noWrap/>
          </w:tcPr>
          <w:p w14:paraId="2A9D0BEC" w14:textId="77777777" w:rsidR="0052334F" w:rsidRPr="00DB58B8" w:rsidRDefault="0052334F">
            <w:pPr>
              <w:rPr>
                <w:sz w:val="22"/>
                <w:szCs w:val="20"/>
              </w:rPr>
            </w:pPr>
            <w:r>
              <w:rPr>
                <w:sz w:val="22"/>
                <w:szCs w:val="20"/>
              </w:rPr>
              <w:t>80%</w:t>
            </w:r>
          </w:p>
        </w:tc>
      </w:tr>
      <w:tr w:rsidR="0052334F" w:rsidRPr="00DB58B8" w14:paraId="1F811F31" w14:textId="77777777" w:rsidTr="003F51E8">
        <w:trPr>
          <w:trHeight w:val="300"/>
        </w:trPr>
        <w:tc>
          <w:tcPr>
            <w:tcW w:w="2830" w:type="dxa"/>
            <w:noWrap/>
          </w:tcPr>
          <w:p w14:paraId="3BF05D19" w14:textId="77777777" w:rsidR="0052334F" w:rsidRPr="00DB58B8" w:rsidRDefault="0052334F">
            <w:pPr>
              <w:rPr>
                <w:b/>
                <w:sz w:val="22"/>
                <w:szCs w:val="20"/>
              </w:rPr>
            </w:pPr>
            <w:r>
              <w:rPr>
                <w:b/>
                <w:sz w:val="22"/>
                <w:szCs w:val="20"/>
              </w:rPr>
              <w:t>Central surplus assumption</w:t>
            </w:r>
          </w:p>
        </w:tc>
        <w:tc>
          <w:tcPr>
            <w:tcW w:w="1524" w:type="dxa"/>
            <w:noWrap/>
          </w:tcPr>
          <w:p w14:paraId="0F305171" w14:textId="77777777" w:rsidR="0052334F" w:rsidRPr="00DB58B8" w:rsidRDefault="0052334F">
            <w:pPr>
              <w:rPr>
                <w:sz w:val="22"/>
                <w:szCs w:val="20"/>
              </w:rPr>
            </w:pPr>
            <w:r>
              <w:rPr>
                <w:sz w:val="22"/>
                <w:szCs w:val="20"/>
              </w:rPr>
              <w:t>15%</w:t>
            </w:r>
          </w:p>
        </w:tc>
        <w:tc>
          <w:tcPr>
            <w:tcW w:w="1524" w:type="dxa"/>
            <w:noWrap/>
          </w:tcPr>
          <w:p w14:paraId="4BB108DC" w14:textId="77777777" w:rsidR="0052334F" w:rsidRPr="00DB58B8" w:rsidRDefault="0052334F">
            <w:pPr>
              <w:rPr>
                <w:sz w:val="22"/>
                <w:szCs w:val="20"/>
              </w:rPr>
            </w:pPr>
            <w:r>
              <w:rPr>
                <w:sz w:val="22"/>
                <w:szCs w:val="20"/>
              </w:rPr>
              <w:t>40%</w:t>
            </w:r>
          </w:p>
        </w:tc>
        <w:tc>
          <w:tcPr>
            <w:tcW w:w="1524" w:type="dxa"/>
            <w:noWrap/>
          </w:tcPr>
          <w:p w14:paraId="61ADAB39" w14:textId="77777777" w:rsidR="0052334F" w:rsidRPr="00DB58B8" w:rsidRDefault="0052334F">
            <w:pPr>
              <w:rPr>
                <w:sz w:val="22"/>
                <w:szCs w:val="20"/>
              </w:rPr>
            </w:pPr>
            <w:r>
              <w:rPr>
                <w:sz w:val="22"/>
                <w:szCs w:val="20"/>
              </w:rPr>
              <w:t>65%</w:t>
            </w:r>
          </w:p>
        </w:tc>
        <w:tc>
          <w:tcPr>
            <w:tcW w:w="1524" w:type="dxa"/>
            <w:noWrap/>
          </w:tcPr>
          <w:p w14:paraId="5E8E9899" w14:textId="77777777" w:rsidR="0052334F" w:rsidRPr="00DB58B8" w:rsidRDefault="0052334F">
            <w:pPr>
              <w:rPr>
                <w:sz w:val="22"/>
                <w:szCs w:val="20"/>
              </w:rPr>
            </w:pPr>
            <w:r>
              <w:rPr>
                <w:sz w:val="22"/>
                <w:szCs w:val="20"/>
              </w:rPr>
              <w:t>90%</w:t>
            </w:r>
          </w:p>
        </w:tc>
      </w:tr>
      <w:tr w:rsidR="0052334F" w:rsidRPr="00DB58B8" w14:paraId="2C6DFB6F" w14:textId="77777777" w:rsidTr="003F51E8">
        <w:trPr>
          <w:trHeight w:val="300"/>
        </w:trPr>
        <w:tc>
          <w:tcPr>
            <w:tcW w:w="2830" w:type="dxa"/>
            <w:noWrap/>
            <w:hideMark/>
          </w:tcPr>
          <w:p w14:paraId="37966D13" w14:textId="77777777" w:rsidR="0052334F" w:rsidRPr="00DB58B8" w:rsidRDefault="0052334F">
            <w:pPr>
              <w:rPr>
                <w:b/>
                <w:sz w:val="22"/>
                <w:szCs w:val="20"/>
              </w:rPr>
            </w:pPr>
            <w:r>
              <w:rPr>
                <w:b/>
                <w:sz w:val="22"/>
                <w:szCs w:val="20"/>
              </w:rPr>
              <w:t>High surplus assumption</w:t>
            </w:r>
          </w:p>
        </w:tc>
        <w:tc>
          <w:tcPr>
            <w:tcW w:w="1524" w:type="dxa"/>
            <w:noWrap/>
          </w:tcPr>
          <w:p w14:paraId="20E33650" w14:textId="77777777" w:rsidR="0052334F" w:rsidRPr="00DB58B8" w:rsidRDefault="0052334F">
            <w:pPr>
              <w:rPr>
                <w:sz w:val="22"/>
                <w:szCs w:val="20"/>
              </w:rPr>
            </w:pPr>
            <w:r>
              <w:rPr>
                <w:sz w:val="22"/>
                <w:szCs w:val="20"/>
              </w:rPr>
              <w:t>20%</w:t>
            </w:r>
          </w:p>
        </w:tc>
        <w:tc>
          <w:tcPr>
            <w:tcW w:w="1524" w:type="dxa"/>
            <w:noWrap/>
          </w:tcPr>
          <w:p w14:paraId="47A76EAF" w14:textId="77777777" w:rsidR="0052334F" w:rsidRPr="00DB58B8" w:rsidRDefault="0052334F">
            <w:pPr>
              <w:rPr>
                <w:sz w:val="22"/>
                <w:szCs w:val="20"/>
              </w:rPr>
            </w:pPr>
            <w:r>
              <w:rPr>
                <w:sz w:val="22"/>
                <w:szCs w:val="20"/>
              </w:rPr>
              <w:t>50%</w:t>
            </w:r>
          </w:p>
        </w:tc>
        <w:tc>
          <w:tcPr>
            <w:tcW w:w="1524" w:type="dxa"/>
            <w:noWrap/>
          </w:tcPr>
          <w:p w14:paraId="7D4DFE52" w14:textId="77777777" w:rsidR="0052334F" w:rsidRPr="00DB58B8" w:rsidRDefault="0052334F">
            <w:pPr>
              <w:rPr>
                <w:sz w:val="22"/>
                <w:szCs w:val="20"/>
              </w:rPr>
            </w:pPr>
            <w:r>
              <w:rPr>
                <w:sz w:val="22"/>
                <w:szCs w:val="20"/>
              </w:rPr>
              <w:t>75%</w:t>
            </w:r>
          </w:p>
        </w:tc>
        <w:tc>
          <w:tcPr>
            <w:tcW w:w="1524" w:type="dxa"/>
            <w:noWrap/>
          </w:tcPr>
          <w:p w14:paraId="34228C52" w14:textId="77777777" w:rsidR="0052334F" w:rsidRPr="00DB58B8" w:rsidRDefault="0052334F">
            <w:pPr>
              <w:rPr>
                <w:sz w:val="22"/>
                <w:szCs w:val="20"/>
              </w:rPr>
            </w:pPr>
            <w:r>
              <w:rPr>
                <w:sz w:val="22"/>
                <w:szCs w:val="20"/>
              </w:rPr>
              <w:t>100%</w:t>
            </w:r>
          </w:p>
        </w:tc>
      </w:tr>
    </w:tbl>
    <w:p w14:paraId="2CA3F569" w14:textId="6CEEBE50" w:rsidR="0052334F" w:rsidRDefault="0052334F" w:rsidP="00F665A3">
      <w:pPr>
        <w:spacing w:before="240"/>
        <w:rPr>
          <w:lang w:val="en-US"/>
        </w:rPr>
      </w:pPr>
      <w:r>
        <w:rPr>
          <w:lang w:val="en-US"/>
        </w:rPr>
        <w:t xml:space="preserve">This results in the following assumptions for the proportion of </w:t>
      </w:r>
      <w:r w:rsidRPr="00543643">
        <w:rPr>
          <w:lang w:val="en-US"/>
        </w:rPr>
        <w:t>additional</w:t>
      </w:r>
      <w:r>
        <w:rPr>
          <w:lang w:val="en-US"/>
        </w:rPr>
        <w:t xml:space="preserve"> low-risk carbon:</w:t>
      </w:r>
    </w:p>
    <w:p w14:paraId="290A7664" w14:textId="7053B490" w:rsidR="0052334F" w:rsidRDefault="0052334F" w:rsidP="0052334F">
      <w:pPr>
        <w:pStyle w:val="ListParagraph"/>
        <w:numPr>
          <w:ilvl w:val="0"/>
          <w:numId w:val="54"/>
        </w:numPr>
      </w:pPr>
      <w:r>
        <w:t xml:space="preserve">55% of </w:t>
      </w:r>
      <w:r w:rsidRPr="002771C6">
        <w:t>additional</w:t>
      </w:r>
      <w:r>
        <w:t xml:space="preserve"> low-risk units (</w:t>
      </w:r>
      <w:r w:rsidR="003B7D52">
        <w:t xml:space="preserve">low </w:t>
      </w:r>
      <w:r>
        <w:t xml:space="preserve">surplus estimate) </w:t>
      </w:r>
    </w:p>
    <w:p w14:paraId="116CAB7B" w14:textId="5642DDFD" w:rsidR="0052334F" w:rsidRDefault="0052334F" w:rsidP="0052334F">
      <w:pPr>
        <w:pStyle w:val="ListParagraph"/>
        <w:numPr>
          <w:ilvl w:val="0"/>
          <w:numId w:val="54"/>
        </w:numPr>
      </w:pPr>
      <w:r>
        <w:t>65% of additional low-risk units (central surplus estimate)</w:t>
      </w:r>
    </w:p>
    <w:p w14:paraId="10FB364C" w14:textId="5E4B1F7B" w:rsidR="0052334F" w:rsidRDefault="0052334F" w:rsidP="0052334F">
      <w:pPr>
        <w:pStyle w:val="ListParagraph"/>
        <w:numPr>
          <w:ilvl w:val="0"/>
          <w:numId w:val="54"/>
        </w:numPr>
      </w:pPr>
      <w:r>
        <w:t>75% of additional low-risk units (high surplus estimate)</w:t>
      </w:r>
      <w:r w:rsidR="00296DC8">
        <w:t>.</w:t>
      </w:r>
    </w:p>
    <w:p w14:paraId="328832BF" w14:textId="03039318" w:rsidR="00937702" w:rsidRDefault="00ED35EA" w:rsidP="00D90F7B">
      <w:pPr>
        <w:pStyle w:val="Heading4"/>
        <w:spacing w:before="80" w:after="80"/>
        <w:rPr>
          <w:rFonts w:hint="eastAsia"/>
        </w:rPr>
      </w:pPr>
      <w:r>
        <w:t>Proportion of forests that may remain unharvested</w:t>
      </w:r>
    </w:p>
    <w:p w14:paraId="544867E2" w14:textId="7A62553A" w:rsidR="00313478" w:rsidRPr="00194F05" w:rsidRDefault="00ED35EA" w:rsidP="00194F05">
      <w:pPr>
        <w:spacing w:line="279" w:lineRule="auto"/>
        <w:rPr>
          <w:rFonts w:ascii="Calibri-Light" w:eastAsia="Calibri-Light" w:hAnsi="Calibri-Light" w:cs="Yu Mincho"/>
          <w:szCs w:val="24"/>
        </w:rPr>
      </w:pPr>
      <w:r w:rsidRPr="00194F05">
        <w:rPr>
          <w:rFonts w:ascii="Calibri-Light" w:eastAsia="Calibri-Light" w:hAnsi="Calibri-Light" w:cs="Yu Mincho"/>
          <w:szCs w:val="24"/>
        </w:rPr>
        <w:t xml:space="preserve">Some forests </w:t>
      </w:r>
      <w:r w:rsidR="0035062F" w:rsidRPr="00194F05">
        <w:rPr>
          <w:rFonts w:ascii="Calibri-Light" w:eastAsia="Calibri-Light" w:hAnsi="Calibri-Light" w:cs="Yu Mincho"/>
          <w:szCs w:val="24"/>
        </w:rPr>
        <w:t>using</w:t>
      </w:r>
      <w:r w:rsidRPr="00194F05">
        <w:rPr>
          <w:rFonts w:ascii="Calibri-Light" w:eastAsia="Calibri-Light" w:hAnsi="Calibri-Light" w:cs="Yu Mincho"/>
          <w:szCs w:val="24"/>
        </w:rPr>
        <w:t xml:space="preserve"> stock change </w:t>
      </w:r>
      <w:r w:rsidR="0035062F" w:rsidRPr="00194F05">
        <w:rPr>
          <w:rFonts w:ascii="Calibri-Light" w:eastAsia="Calibri-Light" w:hAnsi="Calibri-Light" w:cs="Yu Mincho"/>
          <w:szCs w:val="24"/>
        </w:rPr>
        <w:t xml:space="preserve">accounting </w:t>
      </w:r>
      <w:r w:rsidRPr="00194F05">
        <w:rPr>
          <w:rFonts w:ascii="Calibri-Light" w:eastAsia="Calibri-Light" w:hAnsi="Calibri-Light" w:cs="Yu Mincho"/>
          <w:szCs w:val="24"/>
        </w:rPr>
        <w:t xml:space="preserve">may not </w:t>
      </w:r>
      <w:r w:rsidR="00B969C2" w:rsidRPr="00194F05">
        <w:rPr>
          <w:rFonts w:ascii="Calibri-Light" w:eastAsia="Calibri-Light" w:hAnsi="Calibri-Light" w:cs="Yu Mincho"/>
          <w:szCs w:val="24"/>
        </w:rPr>
        <w:t xml:space="preserve">be </w:t>
      </w:r>
      <w:r w:rsidRPr="00194F05">
        <w:rPr>
          <w:rFonts w:ascii="Calibri-Light" w:eastAsia="Calibri-Light" w:hAnsi="Calibri-Light" w:cs="Yu Mincho"/>
          <w:szCs w:val="24"/>
        </w:rPr>
        <w:t>harvest</w:t>
      </w:r>
      <w:r w:rsidR="00B969C2" w:rsidRPr="00194F05">
        <w:rPr>
          <w:rFonts w:ascii="Calibri-Light" w:eastAsia="Calibri-Light" w:hAnsi="Calibri-Light" w:cs="Yu Mincho"/>
          <w:szCs w:val="24"/>
        </w:rPr>
        <w:t>ed</w:t>
      </w:r>
      <w:r w:rsidR="006F7922" w:rsidRPr="00194F05">
        <w:rPr>
          <w:rFonts w:ascii="Calibri-Light" w:eastAsia="Calibri-Light" w:hAnsi="Calibri-Light" w:cs="Yu Mincho"/>
          <w:szCs w:val="24"/>
        </w:rPr>
        <w:t>.</w:t>
      </w:r>
      <w:r w:rsidRPr="00194F05">
        <w:rPr>
          <w:rFonts w:ascii="Calibri-Light" w:eastAsia="Calibri-Light" w:hAnsi="Calibri-Light" w:cs="Yu Mincho"/>
          <w:szCs w:val="24"/>
        </w:rPr>
        <w:t xml:space="preserve"> </w:t>
      </w:r>
      <w:r w:rsidR="006F7922" w:rsidRPr="00194F05">
        <w:rPr>
          <w:rFonts w:ascii="Calibri-Light" w:eastAsia="Calibri-Light" w:hAnsi="Calibri-Light" w:cs="Yu Mincho"/>
          <w:szCs w:val="24"/>
        </w:rPr>
        <w:t>F</w:t>
      </w:r>
      <w:r w:rsidR="00794A0B" w:rsidRPr="00194F05">
        <w:rPr>
          <w:rFonts w:ascii="Calibri-Light" w:eastAsia="Calibri-Light" w:hAnsi="Calibri-Light" w:cs="Yu Mincho"/>
          <w:szCs w:val="24"/>
        </w:rPr>
        <w:t>or example</w:t>
      </w:r>
      <w:r w:rsidR="00051E84" w:rsidRPr="00194F05">
        <w:rPr>
          <w:rFonts w:ascii="Calibri-Light" w:eastAsia="Calibri-Light" w:hAnsi="Calibri-Light" w:cs="Yu Mincho"/>
          <w:szCs w:val="24"/>
        </w:rPr>
        <w:t>,</w:t>
      </w:r>
      <w:r w:rsidR="00794A0B" w:rsidRPr="00194F05">
        <w:rPr>
          <w:rFonts w:ascii="Calibri-Light" w:eastAsia="Calibri-Light" w:hAnsi="Calibri-Light" w:cs="Yu Mincho"/>
          <w:szCs w:val="24"/>
        </w:rPr>
        <w:t xml:space="preserve"> a forest originally planted as </w:t>
      </w:r>
      <w:r w:rsidR="00D47CA5" w:rsidRPr="00194F05">
        <w:rPr>
          <w:rFonts w:ascii="Calibri-Light" w:eastAsia="Calibri-Light" w:hAnsi="Calibri-Light" w:cs="Yu Mincho"/>
          <w:szCs w:val="24"/>
        </w:rPr>
        <w:t xml:space="preserve">a </w:t>
      </w:r>
      <w:r w:rsidR="00794A0B" w:rsidRPr="00194F05">
        <w:rPr>
          <w:rFonts w:ascii="Calibri-Light" w:eastAsia="Calibri-Light" w:hAnsi="Calibri-Light" w:cs="Yu Mincho"/>
          <w:szCs w:val="24"/>
        </w:rPr>
        <w:t xml:space="preserve">production forest could be </w:t>
      </w:r>
      <w:r w:rsidRPr="00194F05">
        <w:rPr>
          <w:rFonts w:ascii="Calibri-Light" w:eastAsia="Calibri-Light" w:hAnsi="Calibri-Light" w:cs="Yu Mincho"/>
          <w:szCs w:val="24"/>
        </w:rPr>
        <w:t>transition</w:t>
      </w:r>
      <w:r w:rsidR="00794A0B" w:rsidRPr="00194F05">
        <w:rPr>
          <w:rFonts w:ascii="Calibri-Light" w:eastAsia="Calibri-Light" w:hAnsi="Calibri-Light" w:cs="Yu Mincho"/>
          <w:szCs w:val="24"/>
        </w:rPr>
        <w:t xml:space="preserve">ed </w:t>
      </w:r>
      <w:r w:rsidRPr="00194F05">
        <w:rPr>
          <w:rFonts w:ascii="Calibri-Light" w:eastAsia="Calibri-Light" w:hAnsi="Calibri-Light" w:cs="Yu Mincho"/>
          <w:szCs w:val="24"/>
        </w:rPr>
        <w:t>to being permanent, to keep earning units and av</w:t>
      </w:r>
      <w:r w:rsidR="004D6C40" w:rsidRPr="00194F05">
        <w:rPr>
          <w:rFonts w:ascii="Calibri-Light" w:eastAsia="Calibri-Light" w:hAnsi="Calibri-Light" w:cs="Yu Mincho"/>
          <w:szCs w:val="24"/>
        </w:rPr>
        <w:t>oi</w:t>
      </w:r>
      <w:r w:rsidRPr="00194F05">
        <w:rPr>
          <w:rFonts w:ascii="Calibri-Light" w:eastAsia="Calibri-Light" w:hAnsi="Calibri-Light" w:cs="Yu Mincho"/>
          <w:szCs w:val="24"/>
        </w:rPr>
        <w:t xml:space="preserve">d harvest liabilities. This could occur for a range of reasons </w:t>
      </w:r>
      <w:r w:rsidR="008347E1" w:rsidRPr="00194F05">
        <w:rPr>
          <w:rFonts w:ascii="Calibri-Light" w:eastAsia="Calibri-Light" w:hAnsi="Calibri-Light" w:cs="Yu Mincho"/>
          <w:szCs w:val="24"/>
        </w:rPr>
        <w:t>including</w:t>
      </w:r>
      <w:r w:rsidRPr="00194F05">
        <w:rPr>
          <w:rFonts w:ascii="Calibri-Light" w:eastAsia="Calibri-Light" w:hAnsi="Calibri-Light" w:cs="Yu Mincho"/>
          <w:szCs w:val="24"/>
        </w:rPr>
        <w:t xml:space="preserve"> economic conditions (e.g., log prices, harvesting costs, attractiveness of NZ ETS returns). </w:t>
      </w:r>
    </w:p>
    <w:p w14:paraId="62DE58BD" w14:textId="767E7D91" w:rsidR="00313478" w:rsidRDefault="00E84A83" w:rsidP="00A22CBE">
      <w:r>
        <w:t xml:space="preserve">Previously we informed our estimate </w:t>
      </w:r>
      <w:r w:rsidR="00F34F3E">
        <w:t xml:space="preserve">of unharvested forests </w:t>
      </w:r>
      <w:r>
        <w:t>based on</w:t>
      </w:r>
      <w:r w:rsidR="00B2378F">
        <w:t xml:space="preserve"> a </w:t>
      </w:r>
      <w:r w:rsidR="00754D26">
        <w:t xml:space="preserve">Ministry for Primary </w:t>
      </w:r>
      <w:r w:rsidR="00284B1F">
        <w:t>Industries</w:t>
      </w:r>
      <w:r w:rsidR="00B2378F">
        <w:t xml:space="preserve"> </w:t>
      </w:r>
      <w:r w:rsidR="009542A7">
        <w:t xml:space="preserve">2018 </w:t>
      </w:r>
      <w:r w:rsidR="00B2378F">
        <w:t xml:space="preserve">study of forest </w:t>
      </w:r>
      <w:r w:rsidR="00661E80">
        <w:t xml:space="preserve">deforestation </w:t>
      </w:r>
      <w:r w:rsidR="00B44B03">
        <w:t>intentions</w:t>
      </w:r>
      <w:r w:rsidR="00B2378F">
        <w:t>,</w:t>
      </w:r>
      <w:r w:rsidR="00F60977">
        <w:rPr>
          <w:rStyle w:val="EndnoteReference"/>
        </w:rPr>
        <w:endnoteReference w:id="9"/>
      </w:r>
      <w:r w:rsidR="00B2378F">
        <w:t xml:space="preserve"> recent trends</w:t>
      </w:r>
      <w:r w:rsidR="009173EC">
        <w:t>,</w:t>
      </w:r>
      <w:r w:rsidR="00B2378F">
        <w:t xml:space="preserve"> and engagement with </w:t>
      </w:r>
      <w:r w:rsidR="00B44B03">
        <w:t>foresters</w:t>
      </w:r>
      <w:r w:rsidR="00B2378F">
        <w:t>.</w:t>
      </w:r>
      <w:r w:rsidR="00F60977" w:rsidDel="00F60977">
        <w:rPr>
          <w:rStyle w:val="EndnoteReference"/>
        </w:rPr>
        <w:t xml:space="preserve"> </w:t>
      </w:r>
    </w:p>
    <w:p w14:paraId="409C0554" w14:textId="3B1E7D02" w:rsidR="00B2378F" w:rsidRDefault="00AA5889" w:rsidP="00A22CBE">
      <w:r>
        <w:t>We have applied the same assumptions as our previous advice:</w:t>
      </w:r>
    </w:p>
    <w:p w14:paraId="146A2C78" w14:textId="0E312820" w:rsidR="00AA5889" w:rsidRDefault="00AA5889" w:rsidP="003F51E8">
      <w:pPr>
        <w:pStyle w:val="Bodybullets"/>
      </w:pPr>
      <w:r>
        <w:t>10%</w:t>
      </w:r>
      <w:r w:rsidR="00F21F72">
        <w:t xml:space="preserve"> remain unharvested (small surplus estimate)</w:t>
      </w:r>
    </w:p>
    <w:p w14:paraId="4E0A9D63" w14:textId="71E5C23C" w:rsidR="00F21F72" w:rsidRDefault="00F21F72" w:rsidP="003F51E8">
      <w:pPr>
        <w:pStyle w:val="Bodybullets"/>
      </w:pPr>
      <w:r>
        <w:t>20% remain unharvest (central surplus estimate)</w:t>
      </w:r>
    </w:p>
    <w:p w14:paraId="17ACD128" w14:textId="4380FAD1" w:rsidR="00F21F72" w:rsidRDefault="00F21F72" w:rsidP="003F51E8">
      <w:pPr>
        <w:pStyle w:val="Bodybullets"/>
      </w:pPr>
      <w:r>
        <w:t xml:space="preserve">30% remain unharvested (high surplus estimate). </w:t>
      </w:r>
    </w:p>
    <w:p w14:paraId="644D4D2B" w14:textId="61A7C4F0" w:rsidR="003A5BF3" w:rsidRDefault="0089655E" w:rsidP="00D90F7B">
      <w:pPr>
        <w:pStyle w:val="Heading4"/>
        <w:spacing w:before="80" w:after="80"/>
        <w:rPr>
          <w:rFonts w:hint="eastAsia"/>
        </w:rPr>
      </w:pPr>
      <w:r>
        <w:t>A</w:t>
      </w:r>
      <w:r w:rsidR="00223C3F" w:rsidRPr="00223C3F">
        <w:t xml:space="preserve">ctual </w:t>
      </w:r>
      <w:r>
        <w:t xml:space="preserve">post-1989 forestry </w:t>
      </w:r>
      <w:r w:rsidR="00223C3F" w:rsidRPr="00223C3F">
        <w:t>surrenders and allocations</w:t>
      </w:r>
      <w:r>
        <w:t xml:space="preserve"> to date</w:t>
      </w:r>
    </w:p>
    <w:p w14:paraId="351659A9" w14:textId="4F7D7154" w:rsidR="008962C8" w:rsidRDefault="00953FF9" w:rsidP="00953FF9">
      <w:r>
        <w:t>This year</w:t>
      </w:r>
      <w:r w:rsidR="00453052">
        <w:t>,</w:t>
      </w:r>
      <w:r w:rsidR="00136B96">
        <w:t xml:space="preserve"> </w:t>
      </w:r>
      <w:r w:rsidR="006A1521">
        <w:t xml:space="preserve">we have acquired </w:t>
      </w:r>
      <w:r>
        <w:t xml:space="preserve">actual data on forestry units allocated </w:t>
      </w:r>
      <w:r w:rsidR="00A469EC">
        <w:t xml:space="preserve">and surrendered </w:t>
      </w:r>
      <w:r w:rsidR="00C93B7C">
        <w:t xml:space="preserve">due to </w:t>
      </w:r>
      <w:r w:rsidR="00816A07">
        <w:t xml:space="preserve">emissions returns </w:t>
      </w:r>
      <w:r w:rsidR="00BC7743">
        <w:t xml:space="preserve">submitted </w:t>
      </w:r>
      <w:r w:rsidR="00C340E6">
        <w:t xml:space="preserve">on a </w:t>
      </w:r>
      <w:r w:rsidR="00A432C0">
        <w:t>voluntary basis</w:t>
      </w:r>
      <w:r w:rsidR="002771BB">
        <w:rPr>
          <w:rStyle w:val="FootnoteReference"/>
        </w:rPr>
        <w:footnoteReference w:id="6"/>
      </w:r>
      <w:r w:rsidR="00A432C0">
        <w:t xml:space="preserve"> </w:t>
      </w:r>
      <w:r w:rsidRPr="00D121BB">
        <w:t xml:space="preserve">for 2023 and 2024. </w:t>
      </w:r>
      <w:r>
        <w:t>The data show</w:t>
      </w:r>
      <w:r w:rsidR="00613D57">
        <w:t>s</w:t>
      </w:r>
      <w:r>
        <w:t xml:space="preserve"> </w:t>
      </w:r>
      <w:r w:rsidR="00D121BB">
        <w:t xml:space="preserve">that far more </w:t>
      </w:r>
      <w:r>
        <w:t>units ha</w:t>
      </w:r>
      <w:r w:rsidR="006A1521">
        <w:t>ve</w:t>
      </w:r>
      <w:r>
        <w:t xml:space="preserve"> been allocated</w:t>
      </w:r>
      <w:r w:rsidR="0096374E">
        <w:t xml:space="preserve"> (</w:t>
      </w:r>
      <w:r w:rsidR="004E7582">
        <w:t xml:space="preserve">around </w:t>
      </w:r>
      <w:r w:rsidR="00034029">
        <w:t>7.4</w:t>
      </w:r>
      <w:r w:rsidR="00186A17">
        <w:t xml:space="preserve"> </w:t>
      </w:r>
      <w:r w:rsidR="00034029">
        <w:t>m</w:t>
      </w:r>
      <w:r w:rsidR="00186A17">
        <w:t>illion</w:t>
      </w:r>
      <w:r w:rsidR="00034029">
        <w:t>)</w:t>
      </w:r>
      <w:r w:rsidR="00D121BB">
        <w:t xml:space="preserve"> </w:t>
      </w:r>
      <w:r w:rsidR="004E7582">
        <w:t xml:space="preserve">than </w:t>
      </w:r>
      <w:r>
        <w:t>surrendered</w:t>
      </w:r>
      <w:r w:rsidR="00E3736E">
        <w:t xml:space="preserve"> (</w:t>
      </w:r>
      <w:r w:rsidR="004E7582">
        <w:t xml:space="preserve">around </w:t>
      </w:r>
      <w:r w:rsidR="00EF3247">
        <w:t>1</w:t>
      </w:r>
      <w:r w:rsidR="00186A17">
        <w:t xml:space="preserve"> </w:t>
      </w:r>
      <w:r w:rsidR="00EF3247">
        <w:t>m</w:t>
      </w:r>
      <w:r w:rsidR="00186A17">
        <w:t>illion</w:t>
      </w:r>
      <w:r w:rsidR="00EF3247">
        <w:t>)</w:t>
      </w:r>
      <w:r>
        <w:t xml:space="preserve">. </w:t>
      </w:r>
    </w:p>
    <w:p w14:paraId="04D98886" w14:textId="47F3F461" w:rsidR="00CC4561" w:rsidRPr="00194F05" w:rsidRDefault="001814AD" w:rsidP="00194F05">
      <w:pPr>
        <w:spacing w:line="279" w:lineRule="auto"/>
        <w:rPr>
          <w:rFonts w:ascii="Calibri-Light" w:eastAsia="Calibri-Light" w:hAnsi="Calibri-Light" w:cs="Yu Mincho"/>
          <w:szCs w:val="24"/>
        </w:rPr>
      </w:pPr>
      <w:r w:rsidRPr="00194F05">
        <w:rPr>
          <w:rFonts w:ascii="Calibri-Light" w:eastAsia="Calibri-Light" w:hAnsi="Calibri-Light" w:cs="Yu Mincho"/>
          <w:szCs w:val="24"/>
        </w:rPr>
        <w:t xml:space="preserve">To </w:t>
      </w:r>
      <w:r w:rsidR="0022010F" w:rsidRPr="00194F05">
        <w:rPr>
          <w:rFonts w:ascii="Calibri-Light" w:eastAsia="Calibri-Light" w:hAnsi="Calibri-Light" w:cs="Yu Mincho"/>
          <w:szCs w:val="24"/>
        </w:rPr>
        <w:t>determin</w:t>
      </w:r>
      <w:r w:rsidRPr="00194F05">
        <w:rPr>
          <w:rFonts w:ascii="Calibri-Light" w:eastAsia="Calibri-Light" w:hAnsi="Calibri-Light" w:cs="Yu Mincho"/>
          <w:szCs w:val="24"/>
        </w:rPr>
        <w:t>e</w:t>
      </w:r>
      <w:r w:rsidR="0022010F" w:rsidRPr="00194F05">
        <w:rPr>
          <w:rFonts w:ascii="Calibri-Light" w:eastAsia="Calibri-Light" w:hAnsi="Calibri-Light" w:cs="Yu Mincho"/>
          <w:szCs w:val="24"/>
        </w:rPr>
        <w:t xml:space="preserve"> </w:t>
      </w:r>
      <w:r w:rsidR="008131B7" w:rsidRPr="00194F05">
        <w:rPr>
          <w:rFonts w:ascii="Calibri-Light" w:eastAsia="Calibri-Light" w:hAnsi="Calibri-Light" w:cs="Yu Mincho"/>
          <w:szCs w:val="24"/>
        </w:rPr>
        <w:t>units held for harvest, w</w:t>
      </w:r>
      <w:r w:rsidR="0022010F" w:rsidRPr="00194F05">
        <w:rPr>
          <w:rFonts w:ascii="Calibri-Light" w:eastAsia="Calibri-Light" w:hAnsi="Calibri-Light" w:cs="Yu Mincho"/>
          <w:szCs w:val="24"/>
        </w:rPr>
        <w:t>e have take</w:t>
      </w:r>
      <w:r w:rsidR="008131B7" w:rsidRPr="00194F05">
        <w:rPr>
          <w:rFonts w:ascii="Calibri-Light" w:eastAsia="Calibri-Light" w:hAnsi="Calibri-Light" w:cs="Yu Mincho"/>
          <w:szCs w:val="24"/>
        </w:rPr>
        <w:t>n</w:t>
      </w:r>
      <w:r w:rsidR="0022010F" w:rsidRPr="00194F05">
        <w:rPr>
          <w:rFonts w:ascii="Calibri-Light" w:eastAsia="Calibri-Light" w:hAnsi="Calibri-Light" w:cs="Yu Mincho"/>
          <w:szCs w:val="24"/>
        </w:rPr>
        <w:t xml:space="preserve"> the </w:t>
      </w:r>
      <w:r w:rsidR="008131B7" w:rsidRPr="00194F05">
        <w:rPr>
          <w:rFonts w:ascii="Calibri-Light" w:eastAsia="Calibri-Light" w:hAnsi="Calibri-Light" w:cs="Yu Mincho"/>
          <w:szCs w:val="24"/>
        </w:rPr>
        <w:t>modelled</w:t>
      </w:r>
      <w:r w:rsidR="0022010F" w:rsidRPr="00194F05">
        <w:rPr>
          <w:rFonts w:ascii="Calibri-Light" w:eastAsia="Calibri-Light" w:hAnsi="Calibri-Light" w:cs="Yu Mincho"/>
          <w:szCs w:val="24"/>
        </w:rPr>
        <w:t xml:space="preserve"> volume held for harvest at the end of </w:t>
      </w:r>
      <w:r w:rsidR="00B51F48" w:rsidRPr="00194F05">
        <w:rPr>
          <w:rFonts w:ascii="Calibri-Light" w:eastAsia="Calibri-Light" w:hAnsi="Calibri-Light" w:cs="Yu Mincho"/>
          <w:szCs w:val="24"/>
        </w:rPr>
        <w:t>MERP3</w:t>
      </w:r>
      <w:r w:rsidR="0022010F" w:rsidRPr="00194F05">
        <w:rPr>
          <w:rFonts w:ascii="Calibri-Light" w:eastAsia="Calibri-Light" w:hAnsi="Calibri-Light" w:cs="Yu Mincho"/>
          <w:szCs w:val="24"/>
        </w:rPr>
        <w:t>, remove</w:t>
      </w:r>
      <w:r w:rsidR="008131B7" w:rsidRPr="00194F05">
        <w:rPr>
          <w:rFonts w:ascii="Calibri-Light" w:eastAsia="Calibri-Light" w:hAnsi="Calibri-Light" w:cs="Yu Mincho"/>
          <w:szCs w:val="24"/>
        </w:rPr>
        <w:t>d</w:t>
      </w:r>
      <w:r w:rsidR="0022010F" w:rsidRPr="00194F05">
        <w:rPr>
          <w:rFonts w:ascii="Calibri-Light" w:eastAsia="Calibri-Light" w:hAnsi="Calibri-Light" w:cs="Yu Mincho"/>
          <w:szCs w:val="24"/>
        </w:rPr>
        <w:t xml:space="preserve"> the total actual units surrendered, and add</w:t>
      </w:r>
      <w:r w:rsidR="008131B7" w:rsidRPr="00194F05">
        <w:rPr>
          <w:rFonts w:ascii="Calibri-Light" w:eastAsia="Calibri-Light" w:hAnsi="Calibri-Light" w:cs="Yu Mincho"/>
          <w:szCs w:val="24"/>
        </w:rPr>
        <w:t>ed</w:t>
      </w:r>
      <w:r w:rsidR="0022010F" w:rsidRPr="00194F05">
        <w:rPr>
          <w:rFonts w:ascii="Calibri-Light" w:eastAsia="Calibri-Light" w:hAnsi="Calibri-Light" w:cs="Yu Mincho"/>
          <w:szCs w:val="24"/>
        </w:rPr>
        <w:t xml:space="preserve"> on the portion of the units </w:t>
      </w:r>
      <w:r w:rsidR="00DF35EC" w:rsidRPr="00194F05">
        <w:rPr>
          <w:rFonts w:ascii="Calibri-Light" w:eastAsia="Calibri-Light" w:hAnsi="Calibri-Light" w:cs="Yu Mincho"/>
          <w:szCs w:val="24"/>
        </w:rPr>
        <w:t xml:space="preserve">allocated for </w:t>
      </w:r>
      <w:r w:rsidR="0022010F" w:rsidRPr="00194F05">
        <w:rPr>
          <w:rFonts w:ascii="Calibri-Light" w:eastAsia="Calibri-Light" w:hAnsi="Calibri-Light" w:cs="Yu Mincho"/>
          <w:szCs w:val="24"/>
        </w:rPr>
        <w:t>2023 and 2024 that we estimate will be held for harvest based on the low-risk and unharvested forest assumptions described above.</w:t>
      </w:r>
    </w:p>
    <w:p w14:paraId="06CA5C3E" w14:textId="77777777" w:rsidR="00F665A3" w:rsidRDefault="00F7780F" w:rsidP="00194F05">
      <w:pPr>
        <w:spacing w:line="279" w:lineRule="auto"/>
        <w:rPr>
          <w:rFonts w:ascii="Calibri-Light" w:eastAsia="Calibri-Light" w:hAnsi="Calibri-Light" w:cs="Yu Mincho"/>
          <w:szCs w:val="24"/>
        </w:rPr>
      </w:pPr>
      <w:r w:rsidRPr="00194F05">
        <w:rPr>
          <w:rFonts w:ascii="Calibri-Light" w:eastAsia="Calibri-Light" w:hAnsi="Calibri-Light" w:cs="Yu Mincho"/>
          <w:szCs w:val="24"/>
        </w:rPr>
        <w:t xml:space="preserve">There is some uncertainty in the level of harvesting emissions that may have already been addressed through surrenders to date. Foresters </w:t>
      </w:r>
      <w:r w:rsidR="000223BC" w:rsidRPr="00194F05">
        <w:rPr>
          <w:rFonts w:ascii="Calibri-Light" w:eastAsia="Calibri-Light" w:hAnsi="Calibri-Light" w:cs="Yu Mincho"/>
          <w:szCs w:val="24"/>
        </w:rPr>
        <w:t xml:space="preserve">can </w:t>
      </w:r>
      <w:r w:rsidRPr="00194F05">
        <w:rPr>
          <w:rFonts w:ascii="Calibri-Light" w:eastAsia="Calibri-Light" w:hAnsi="Calibri-Light" w:cs="Yu Mincho"/>
          <w:szCs w:val="24"/>
        </w:rPr>
        <w:t>net-off liabilities</w:t>
      </w:r>
      <w:r w:rsidR="00824997" w:rsidRPr="00194F05">
        <w:rPr>
          <w:rFonts w:ascii="Calibri-Light" w:eastAsia="Calibri-Light" w:hAnsi="Calibri-Light" w:cs="Yu Mincho"/>
          <w:szCs w:val="24"/>
        </w:rPr>
        <w:t xml:space="preserve"> and allocations when submitting an emissions return</w:t>
      </w:r>
      <w:r w:rsidR="00986A37" w:rsidRPr="00194F05">
        <w:rPr>
          <w:rFonts w:ascii="Calibri-Light" w:eastAsia="Calibri-Light" w:hAnsi="Calibri-Light" w:cs="Yu Mincho"/>
          <w:szCs w:val="24"/>
        </w:rPr>
        <w:t>, and this is not visible in the data available to us.</w:t>
      </w:r>
      <w:r w:rsidR="00824997" w:rsidRPr="00194F05">
        <w:rPr>
          <w:rFonts w:ascii="Calibri-Light" w:eastAsia="Calibri-Light" w:hAnsi="Calibri-Light" w:cs="Yu Mincho"/>
          <w:szCs w:val="24"/>
        </w:rPr>
        <w:t xml:space="preserve"> This means that the net allocations to date could represent a higher level of </w:t>
      </w:r>
      <w:r w:rsidR="00CE5F0E" w:rsidRPr="00194F05">
        <w:rPr>
          <w:rFonts w:ascii="Calibri-Light" w:eastAsia="Calibri-Light" w:hAnsi="Calibri-Light" w:cs="Yu Mincho"/>
          <w:szCs w:val="24"/>
        </w:rPr>
        <w:t>both allocations and surrenders that have been netted off against one another</w:t>
      </w:r>
      <w:r w:rsidR="00986A37" w:rsidRPr="00194F05">
        <w:rPr>
          <w:rFonts w:ascii="Calibri-Light" w:eastAsia="Calibri-Light" w:hAnsi="Calibri-Light" w:cs="Yu Mincho"/>
          <w:szCs w:val="24"/>
        </w:rPr>
        <w:t>, lowering</w:t>
      </w:r>
      <w:r w:rsidR="0007581C" w:rsidRPr="00194F05">
        <w:rPr>
          <w:rFonts w:ascii="Calibri-Light" w:eastAsia="Calibri-Light" w:hAnsi="Calibri-Light" w:cs="Yu Mincho"/>
          <w:szCs w:val="24"/>
        </w:rPr>
        <w:t xml:space="preserve"> the </w:t>
      </w:r>
      <w:r w:rsidR="00986A37" w:rsidRPr="00194F05">
        <w:rPr>
          <w:rFonts w:ascii="Calibri-Light" w:eastAsia="Calibri-Light" w:hAnsi="Calibri-Light" w:cs="Yu Mincho"/>
          <w:szCs w:val="24"/>
        </w:rPr>
        <w:t xml:space="preserve">volume of </w:t>
      </w:r>
      <w:r w:rsidR="002F4BBF" w:rsidRPr="00194F05">
        <w:rPr>
          <w:rFonts w:ascii="Calibri-Light" w:eastAsia="Calibri-Light" w:hAnsi="Calibri-Light" w:cs="Yu Mincho"/>
          <w:szCs w:val="24"/>
        </w:rPr>
        <w:t>units held for harvest</w:t>
      </w:r>
      <w:r w:rsidR="00986A37" w:rsidRPr="00194F05">
        <w:rPr>
          <w:rFonts w:ascii="Calibri-Light" w:eastAsia="Calibri-Light" w:hAnsi="Calibri-Light" w:cs="Yu Mincho"/>
          <w:szCs w:val="24"/>
        </w:rPr>
        <w:t xml:space="preserve"> liabilities</w:t>
      </w:r>
      <w:r w:rsidR="00CE5F0E" w:rsidRPr="00194F05">
        <w:rPr>
          <w:rFonts w:ascii="Calibri-Light" w:eastAsia="Calibri-Light" w:hAnsi="Calibri-Light" w:cs="Yu Mincho"/>
          <w:szCs w:val="24"/>
        </w:rPr>
        <w:t xml:space="preserve">. </w:t>
      </w:r>
    </w:p>
    <w:p w14:paraId="0526DDCD" w14:textId="3DB5E977" w:rsidR="009C6A0A" w:rsidRPr="00194F05" w:rsidRDefault="002B03A1" w:rsidP="00194F05">
      <w:pPr>
        <w:spacing w:line="279" w:lineRule="auto"/>
        <w:rPr>
          <w:rFonts w:ascii="Calibri-Light" w:eastAsia="Calibri-Light" w:hAnsi="Calibri-Light" w:cs="Yu Mincho"/>
          <w:szCs w:val="24"/>
        </w:rPr>
      </w:pPr>
      <w:r w:rsidRPr="00194F05">
        <w:rPr>
          <w:rFonts w:ascii="Calibri-Light" w:eastAsia="Calibri-Light" w:hAnsi="Calibri-Light" w:cs="Yu Mincho"/>
          <w:szCs w:val="24"/>
        </w:rPr>
        <w:t xml:space="preserve">However, </w:t>
      </w:r>
      <w:r w:rsidR="00986A37" w:rsidRPr="00194F05">
        <w:rPr>
          <w:rFonts w:ascii="Calibri-Light" w:eastAsia="Calibri-Light" w:hAnsi="Calibri-Light" w:cs="Yu Mincho"/>
          <w:szCs w:val="24"/>
        </w:rPr>
        <w:t>if the true quantity of</w:t>
      </w:r>
      <w:r w:rsidR="0007581C" w:rsidRPr="00194F05">
        <w:rPr>
          <w:rFonts w:ascii="Calibri-Light" w:eastAsia="Calibri-Light" w:hAnsi="Calibri-Light" w:cs="Yu Mincho"/>
          <w:szCs w:val="24"/>
        </w:rPr>
        <w:t xml:space="preserve"> units held for harvest </w:t>
      </w:r>
      <w:r w:rsidR="00986A37" w:rsidRPr="00194F05">
        <w:rPr>
          <w:rFonts w:ascii="Calibri-Light" w:eastAsia="Calibri-Light" w:hAnsi="Calibri-Light" w:cs="Yu Mincho"/>
          <w:szCs w:val="24"/>
        </w:rPr>
        <w:t>is lower than our estimate, this</w:t>
      </w:r>
      <w:r w:rsidR="0007581C" w:rsidRPr="00194F05">
        <w:rPr>
          <w:rFonts w:ascii="Calibri-Light" w:eastAsia="Calibri-Light" w:hAnsi="Calibri-Light" w:cs="Yu Mincho"/>
          <w:szCs w:val="24"/>
        </w:rPr>
        <w:t xml:space="preserve"> would be </w:t>
      </w:r>
      <w:r w:rsidR="002F4BBF" w:rsidRPr="00194F05">
        <w:rPr>
          <w:rFonts w:ascii="Calibri-Light" w:eastAsia="Calibri-Light" w:hAnsi="Calibri-Light" w:cs="Yu Mincho"/>
          <w:szCs w:val="24"/>
        </w:rPr>
        <w:t xml:space="preserve">balanced out </w:t>
      </w:r>
      <w:r w:rsidR="0007581C" w:rsidRPr="00194F05">
        <w:rPr>
          <w:rFonts w:ascii="Calibri-Light" w:eastAsia="Calibri-Light" w:hAnsi="Calibri-Light" w:cs="Yu Mincho"/>
          <w:szCs w:val="24"/>
        </w:rPr>
        <w:t xml:space="preserve">by an equivalently </w:t>
      </w:r>
      <w:r w:rsidR="00986A37" w:rsidRPr="00194F05">
        <w:rPr>
          <w:rFonts w:ascii="Calibri-Light" w:eastAsia="Calibri-Light" w:hAnsi="Calibri-Light" w:cs="Yu Mincho"/>
          <w:szCs w:val="24"/>
        </w:rPr>
        <w:t>lower</w:t>
      </w:r>
      <w:r w:rsidR="0007581C" w:rsidRPr="00194F05">
        <w:rPr>
          <w:rFonts w:ascii="Calibri-Light" w:eastAsia="Calibri-Light" w:hAnsi="Calibri-Light" w:cs="Yu Mincho"/>
          <w:szCs w:val="24"/>
        </w:rPr>
        <w:t xml:space="preserve"> estimate of the </w:t>
      </w:r>
      <w:r w:rsidR="00023FCE" w:rsidRPr="00194F05">
        <w:rPr>
          <w:rFonts w:ascii="Calibri-Light" w:eastAsia="Calibri-Light" w:hAnsi="Calibri-Light" w:cs="Yu Mincho"/>
          <w:szCs w:val="24"/>
        </w:rPr>
        <w:t>f</w:t>
      </w:r>
      <w:r w:rsidRPr="00194F05">
        <w:rPr>
          <w:rFonts w:ascii="Calibri-Light" w:eastAsia="Calibri-Light" w:hAnsi="Calibri-Light" w:cs="Yu Mincho"/>
          <w:szCs w:val="24"/>
        </w:rPr>
        <w:t>uture units to be allocated at the end of MERP4 that could contribute to the surplus</w:t>
      </w:r>
      <w:r w:rsidR="00023FCE" w:rsidRPr="00194F05">
        <w:rPr>
          <w:rFonts w:ascii="Calibri-Light" w:eastAsia="Calibri-Light" w:hAnsi="Calibri-Light" w:cs="Yu Mincho"/>
          <w:szCs w:val="24"/>
        </w:rPr>
        <w:t xml:space="preserve"> – and so the overall surplus </w:t>
      </w:r>
      <w:r w:rsidR="002F4BBF" w:rsidRPr="00194F05">
        <w:rPr>
          <w:rFonts w:ascii="Calibri-Light" w:eastAsia="Calibri-Light" w:hAnsi="Calibri-Light" w:cs="Yu Mincho"/>
          <w:szCs w:val="24"/>
        </w:rPr>
        <w:t xml:space="preserve">estimate </w:t>
      </w:r>
      <w:r w:rsidR="00986A37" w:rsidRPr="00194F05">
        <w:rPr>
          <w:rFonts w:ascii="Calibri-Light" w:eastAsia="Calibri-Light" w:hAnsi="Calibri-Light" w:cs="Yu Mincho"/>
          <w:szCs w:val="24"/>
        </w:rPr>
        <w:t>would be</w:t>
      </w:r>
      <w:r w:rsidR="00023FCE" w:rsidRPr="00194F05">
        <w:rPr>
          <w:rFonts w:ascii="Calibri-Light" w:eastAsia="Calibri-Light" w:hAnsi="Calibri-Light" w:cs="Yu Mincho"/>
          <w:szCs w:val="24"/>
        </w:rPr>
        <w:t xml:space="preserve"> unaffected. </w:t>
      </w:r>
      <w:r w:rsidR="00986A37" w:rsidRPr="00194F05">
        <w:rPr>
          <w:rFonts w:ascii="Calibri-Light" w:eastAsia="Calibri-Light" w:hAnsi="Calibri-Light" w:cs="Yu Mincho"/>
          <w:szCs w:val="24"/>
        </w:rPr>
        <w:t xml:space="preserve">This is discussed further later in this section under </w:t>
      </w:r>
      <w:r w:rsidR="009B1D3A" w:rsidRPr="00194F05">
        <w:rPr>
          <w:rFonts w:ascii="Calibri-Light" w:eastAsia="Calibri-Light" w:hAnsi="Calibri-Light" w:cs="Yu Mincho"/>
          <w:i/>
          <w:szCs w:val="24"/>
        </w:rPr>
        <w:t>S</w:t>
      </w:r>
      <w:r w:rsidR="00986A37" w:rsidRPr="00194F05">
        <w:rPr>
          <w:rFonts w:ascii="Calibri-Light" w:eastAsia="Calibri-Light" w:hAnsi="Calibri-Light" w:cs="Yu Mincho"/>
          <w:i/>
          <w:szCs w:val="24"/>
        </w:rPr>
        <w:t>urplus units from</w:t>
      </w:r>
      <w:r w:rsidR="006440AC" w:rsidRPr="00194F05">
        <w:rPr>
          <w:rFonts w:ascii="Calibri-Light" w:eastAsia="Calibri-Light" w:hAnsi="Calibri-Light" w:cs="Yu Mincho"/>
          <w:i/>
          <w:szCs w:val="24"/>
        </w:rPr>
        <w:t xml:space="preserve"> MERP4</w:t>
      </w:r>
      <w:r w:rsidR="00986A37" w:rsidRPr="00194F05">
        <w:rPr>
          <w:rFonts w:ascii="Calibri-Light" w:eastAsia="Calibri-Light" w:hAnsi="Calibri-Light" w:cs="Yu Mincho"/>
          <w:i/>
          <w:szCs w:val="24"/>
        </w:rPr>
        <w:t xml:space="preserve"> post-1989 forest unit allocations.</w:t>
      </w:r>
    </w:p>
    <w:p w14:paraId="0F9AF5A0" w14:textId="33FF391F" w:rsidR="00B2378F" w:rsidRDefault="006D60E6" w:rsidP="00D90F7B">
      <w:pPr>
        <w:pStyle w:val="Heading4"/>
        <w:spacing w:before="80" w:after="80"/>
        <w:rPr>
          <w:rFonts w:hint="eastAsia"/>
        </w:rPr>
      </w:pPr>
      <w:r>
        <w:t>Range of estimate</w:t>
      </w:r>
      <w:r w:rsidR="00FE3F86">
        <w:t>d</w:t>
      </w:r>
      <w:r>
        <w:t xml:space="preserve"> units held for harvest</w:t>
      </w:r>
    </w:p>
    <w:p w14:paraId="7594D81D" w14:textId="3FF51BE7" w:rsidR="003302F4" w:rsidRDefault="006D60E6" w:rsidP="003302F4">
      <w:r>
        <w:t xml:space="preserve">To </w:t>
      </w:r>
      <w:r w:rsidR="00207AE9">
        <w:t>reach</w:t>
      </w:r>
      <w:r>
        <w:t xml:space="preserve"> the </w:t>
      </w:r>
      <w:r w:rsidR="000553D4">
        <w:t xml:space="preserve">estimated </w:t>
      </w:r>
      <w:r>
        <w:t xml:space="preserve">range of </w:t>
      </w:r>
      <w:r w:rsidR="00B4673E">
        <w:t xml:space="preserve">post-1989 </w:t>
      </w:r>
      <w:r w:rsidR="00207AE9">
        <w:t>units held for harvest</w:t>
      </w:r>
      <w:r w:rsidR="000553D4">
        <w:t>,</w:t>
      </w:r>
      <w:r w:rsidR="00207AE9">
        <w:t xml:space="preserve"> </w:t>
      </w:r>
      <w:r>
        <w:t xml:space="preserve">we apply the </w:t>
      </w:r>
      <w:r w:rsidR="00992AD7">
        <w:t xml:space="preserve">variable </w:t>
      </w:r>
      <w:r>
        <w:t xml:space="preserve">factors discussed in previous sections. </w:t>
      </w:r>
      <w:r w:rsidR="00A139A4" w:rsidRPr="00A4361D">
        <w:rPr>
          <w:b/>
          <w:bCs/>
        </w:rPr>
        <w:fldChar w:fldCharType="begin"/>
      </w:r>
      <w:r w:rsidR="00A139A4" w:rsidRPr="00A4361D">
        <w:rPr>
          <w:b/>
          <w:bCs/>
        </w:rPr>
        <w:instrText xml:space="preserve"> REF _Ref194415087 \h </w:instrText>
      </w:r>
      <w:r w:rsidR="00A4361D">
        <w:rPr>
          <w:b/>
          <w:bCs/>
        </w:rPr>
        <w:instrText xml:space="preserve"> \* MERGEFORMAT </w:instrText>
      </w:r>
      <w:r w:rsidR="00A139A4" w:rsidRPr="00A4361D">
        <w:rPr>
          <w:b/>
          <w:bCs/>
        </w:rPr>
      </w:r>
      <w:r w:rsidR="00A139A4" w:rsidRPr="00A4361D">
        <w:rPr>
          <w:b/>
          <w:bCs/>
        </w:rPr>
        <w:fldChar w:fldCharType="separate"/>
      </w:r>
      <w:r w:rsidR="00A139A4" w:rsidRPr="00A4361D">
        <w:rPr>
          <w:b/>
          <w:bCs/>
        </w:rPr>
        <w:fldChar w:fldCharType="end"/>
      </w:r>
      <w:r w:rsidR="00292C8B">
        <w:t xml:space="preserve"> </w:t>
      </w:r>
      <w:r>
        <w:t>show</w:t>
      </w:r>
      <w:r w:rsidR="004F37CE">
        <w:t>s</w:t>
      </w:r>
      <w:r>
        <w:t xml:space="preserve"> the range and assumptions </w:t>
      </w:r>
      <w:r w:rsidR="004F37CE">
        <w:t xml:space="preserve">that were </w:t>
      </w:r>
      <w:r>
        <w:t>varied</w:t>
      </w:r>
      <w:r w:rsidR="00757F3A">
        <w:t xml:space="preserve"> (the weighted average harvest age is the same across the three scenarios)</w:t>
      </w:r>
      <w:r>
        <w:t xml:space="preserve">. </w:t>
      </w:r>
      <w:r w:rsidR="003302F4">
        <w:t xml:space="preserve">This represents a range of nearly 20 million units. </w:t>
      </w:r>
    </w:p>
    <w:p w14:paraId="77D53E0A" w14:textId="77777777" w:rsidR="00F665A3" w:rsidRDefault="00F665A3">
      <w:pPr>
        <w:rPr>
          <w:rFonts w:ascii="Calibri" w:hAnsi="Calibri"/>
          <w:b/>
          <w:iCs/>
          <w:color w:val="44546A" w:themeColor="text2"/>
          <w:sz w:val="20"/>
          <w:szCs w:val="18"/>
          <w:lang w:val="en-US"/>
        </w:rPr>
      </w:pPr>
      <w:bookmarkStart w:id="54" w:name="_Ref194415087"/>
      <w:r>
        <w:br w:type="page"/>
      </w:r>
    </w:p>
    <w:p w14:paraId="29BEF6BE" w14:textId="217A9C91" w:rsidR="00EB1211" w:rsidRDefault="00EB1211" w:rsidP="00250B53">
      <w:pPr>
        <w:pStyle w:val="Caption"/>
      </w:pPr>
      <w:r w:rsidRPr="003F51E8">
        <w:t>Table</w:t>
      </w:r>
      <w:r w:rsidR="004172DC" w:rsidRPr="003F51E8">
        <w:t xml:space="preserve"> </w:t>
      </w:r>
      <w:r w:rsidR="005A2D42">
        <w:fldChar w:fldCharType="begin"/>
      </w:r>
      <w:r w:rsidR="005A2D42">
        <w:instrText xml:space="preserve"> SEQ Table \* ARABIC </w:instrText>
      </w:r>
      <w:r w:rsidR="005A2D42">
        <w:fldChar w:fldCharType="separate"/>
      </w:r>
      <w:r w:rsidR="001D119D">
        <w:rPr>
          <w:noProof/>
        </w:rPr>
        <w:t>9</w:t>
      </w:r>
      <w:r w:rsidR="005A2D42">
        <w:fldChar w:fldCharType="end"/>
      </w:r>
      <w:bookmarkEnd w:id="54"/>
      <w:r w:rsidR="001D119D">
        <w:t>:</w:t>
      </w:r>
      <w:r>
        <w:t xml:space="preserve"> </w:t>
      </w:r>
      <w:r w:rsidRPr="001D119D">
        <w:rPr>
          <w:b w:val="0"/>
        </w:rPr>
        <w:t>Modelled estimates of post-1989 units held for future harvest liabilities</w:t>
      </w:r>
    </w:p>
    <w:tbl>
      <w:tblPr>
        <w:tblStyle w:val="TableGrid"/>
        <w:tblW w:w="0" w:type="auto"/>
        <w:tblLook w:val="04A0" w:firstRow="1" w:lastRow="0" w:firstColumn="1" w:lastColumn="0" w:noHBand="0" w:noVBand="1"/>
      </w:tblPr>
      <w:tblGrid>
        <w:gridCol w:w="3114"/>
        <w:gridCol w:w="1967"/>
        <w:gridCol w:w="1967"/>
        <w:gridCol w:w="1968"/>
      </w:tblGrid>
      <w:tr w:rsidR="00114D0B" w:rsidRPr="00A2295F" w14:paraId="3D25A672" w14:textId="77777777" w:rsidTr="00D90F7B">
        <w:tc>
          <w:tcPr>
            <w:tcW w:w="3114" w:type="dxa"/>
            <w:shd w:val="clear" w:color="auto" w:fill="002060"/>
            <w:tcMar>
              <w:top w:w="28" w:type="dxa"/>
              <w:bottom w:w="28" w:type="dxa"/>
            </w:tcMar>
          </w:tcPr>
          <w:p w14:paraId="4279694A" w14:textId="660F8707" w:rsidR="00114D0B" w:rsidRPr="00D90F7B" w:rsidRDefault="006B5C97" w:rsidP="003F51E8">
            <w:pPr>
              <w:pStyle w:val="Tableheading"/>
              <w:rPr>
                <w:rFonts w:cstheme="minorHAnsi"/>
                <w:sz w:val="20"/>
                <w:szCs w:val="20"/>
              </w:rPr>
            </w:pPr>
            <w:r w:rsidRPr="00D90F7B">
              <w:rPr>
                <w:rFonts w:cstheme="minorHAnsi"/>
                <w:sz w:val="20"/>
                <w:szCs w:val="20"/>
              </w:rPr>
              <w:t>(Million</w:t>
            </w:r>
            <w:r w:rsidR="00DC6BBF" w:rsidRPr="00D90F7B">
              <w:rPr>
                <w:rFonts w:cstheme="minorHAnsi"/>
                <w:sz w:val="20"/>
                <w:szCs w:val="20"/>
              </w:rPr>
              <w:t xml:space="preserve"> NZUs</w:t>
            </w:r>
            <w:r w:rsidRPr="00D90F7B">
              <w:rPr>
                <w:rFonts w:cstheme="minorHAnsi"/>
                <w:sz w:val="20"/>
                <w:szCs w:val="20"/>
              </w:rPr>
              <w:t>)</w:t>
            </w:r>
          </w:p>
        </w:tc>
        <w:tc>
          <w:tcPr>
            <w:tcW w:w="1967" w:type="dxa"/>
            <w:shd w:val="clear" w:color="auto" w:fill="002060"/>
            <w:tcMar>
              <w:top w:w="28" w:type="dxa"/>
              <w:bottom w:w="28" w:type="dxa"/>
            </w:tcMar>
            <w:vAlign w:val="bottom"/>
          </w:tcPr>
          <w:p w14:paraId="46C90649" w14:textId="2DFCD035" w:rsidR="00114D0B" w:rsidRPr="00D90F7B" w:rsidRDefault="00A309E1" w:rsidP="003F51E8">
            <w:pPr>
              <w:pStyle w:val="Tableheading"/>
              <w:rPr>
                <w:rFonts w:cstheme="minorHAnsi"/>
                <w:sz w:val="20"/>
                <w:szCs w:val="20"/>
              </w:rPr>
            </w:pPr>
            <w:r w:rsidRPr="00D90F7B">
              <w:rPr>
                <w:rFonts w:cstheme="minorHAnsi"/>
                <w:color w:val="FFFFFF"/>
                <w:sz w:val="20"/>
                <w:szCs w:val="20"/>
              </w:rPr>
              <w:t>Low</w:t>
            </w:r>
          </w:p>
        </w:tc>
        <w:tc>
          <w:tcPr>
            <w:tcW w:w="1967" w:type="dxa"/>
            <w:shd w:val="clear" w:color="auto" w:fill="002060"/>
            <w:tcMar>
              <w:top w:w="28" w:type="dxa"/>
              <w:bottom w:w="28" w:type="dxa"/>
            </w:tcMar>
            <w:vAlign w:val="bottom"/>
          </w:tcPr>
          <w:p w14:paraId="29030686" w14:textId="76AD51F6" w:rsidR="00114D0B" w:rsidRPr="00D90F7B" w:rsidRDefault="00252165" w:rsidP="003F51E8">
            <w:pPr>
              <w:pStyle w:val="Tableheading"/>
              <w:rPr>
                <w:rFonts w:cstheme="minorHAnsi"/>
                <w:sz w:val="20"/>
                <w:szCs w:val="20"/>
              </w:rPr>
            </w:pPr>
            <w:r w:rsidRPr="00D90F7B">
              <w:rPr>
                <w:rFonts w:cstheme="minorHAnsi"/>
                <w:color w:val="FFFFFF"/>
                <w:sz w:val="20"/>
                <w:szCs w:val="20"/>
              </w:rPr>
              <w:t>Central</w:t>
            </w:r>
          </w:p>
        </w:tc>
        <w:tc>
          <w:tcPr>
            <w:tcW w:w="1968" w:type="dxa"/>
            <w:shd w:val="clear" w:color="auto" w:fill="002060"/>
            <w:tcMar>
              <w:top w:w="28" w:type="dxa"/>
              <w:bottom w:w="28" w:type="dxa"/>
            </w:tcMar>
            <w:vAlign w:val="bottom"/>
          </w:tcPr>
          <w:p w14:paraId="741DFAA6" w14:textId="717A3C9E" w:rsidR="00114D0B" w:rsidRPr="00D90F7B" w:rsidRDefault="00A309E1" w:rsidP="003F51E8">
            <w:pPr>
              <w:pStyle w:val="Tableheading"/>
              <w:rPr>
                <w:rFonts w:cstheme="minorHAnsi"/>
                <w:sz w:val="20"/>
                <w:szCs w:val="20"/>
              </w:rPr>
            </w:pPr>
            <w:r w:rsidRPr="00D90F7B">
              <w:rPr>
                <w:rFonts w:cstheme="minorHAnsi"/>
                <w:color w:val="FFFFFF"/>
                <w:sz w:val="20"/>
                <w:szCs w:val="20"/>
              </w:rPr>
              <w:t>High</w:t>
            </w:r>
          </w:p>
        </w:tc>
      </w:tr>
      <w:tr w:rsidR="00114D0B" w:rsidRPr="00A2295F" w14:paraId="4527871E" w14:textId="77777777" w:rsidTr="00D90F7B">
        <w:tc>
          <w:tcPr>
            <w:tcW w:w="3114" w:type="dxa"/>
            <w:tcMar>
              <w:top w:w="28" w:type="dxa"/>
              <w:bottom w:w="28" w:type="dxa"/>
            </w:tcMar>
          </w:tcPr>
          <w:p w14:paraId="43D4C3E3" w14:textId="217E69B5" w:rsidR="00114D0B" w:rsidRPr="00D90F7B" w:rsidRDefault="00734DE4" w:rsidP="006D60E6">
            <w:pPr>
              <w:rPr>
                <w:rFonts w:cstheme="minorHAnsi"/>
                <w:sz w:val="20"/>
                <w:szCs w:val="20"/>
              </w:rPr>
            </w:pPr>
            <w:r w:rsidRPr="00D90F7B">
              <w:rPr>
                <w:rFonts w:cstheme="minorHAnsi"/>
                <w:sz w:val="20"/>
                <w:szCs w:val="20"/>
              </w:rPr>
              <w:t xml:space="preserve">Estimate </w:t>
            </w:r>
            <w:r w:rsidR="00161800" w:rsidRPr="00D90F7B">
              <w:rPr>
                <w:rFonts w:cstheme="minorHAnsi"/>
                <w:sz w:val="20"/>
                <w:szCs w:val="20"/>
              </w:rPr>
              <w:t xml:space="preserve">of units held for harvest </w:t>
            </w:r>
            <w:r w:rsidRPr="00D90F7B">
              <w:rPr>
                <w:rFonts w:cstheme="minorHAnsi"/>
                <w:sz w:val="20"/>
                <w:szCs w:val="20"/>
              </w:rPr>
              <w:t xml:space="preserve">at </w:t>
            </w:r>
            <w:r w:rsidR="00161800" w:rsidRPr="00D90F7B">
              <w:rPr>
                <w:rFonts w:cstheme="minorHAnsi"/>
                <w:sz w:val="20"/>
                <w:szCs w:val="20"/>
              </w:rPr>
              <w:t xml:space="preserve">the </w:t>
            </w:r>
            <w:r w:rsidRPr="00D90F7B">
              <w:rPr>
                <w:rFonts w:cstheme="minorHAnsi"/>
                <w:sz w:val="20"/>
                <w:szCs w:val="20"/>
              </w:rPr>
              <w:t>end of MERP3</w:t>
            </w:r>
          </w:p>
        </w:tc>
        <w:tc>
          <w:tcPr>
            <w:tcW w:w="1967" w:type="dxa"/>
            <w:tcMar>
              <w:top w:w="28" w:type="dxa"/>
              <w:bottom w:w="28" w:type="dxa"/>
            </w:tcMar>
            <w:vAlign w:val="center"/>
          </w:tcPr>
          <w:p w14:paraId="546BAFC2" w14:textId="00258BD7" w:rsidR="00114D0B" w:rsidRPr="00D90F7B" w:rsidRDefault="00A309E1" w:rsidP="003F51E8">
            <w:pPr>
              <w:jc w:val="right"/>
              <w:rPr>
                <w:rFonts w:cstheme="minorHAnsi"/>
                <w:sz w:val="20"/>
                <w:szCs w:val="20"/>
              </w:rPr>
            </w:pPr>
            <w:r w:rsidRPr="00D90F7B">
              <w:rPr>
                <w:rFonts w:cstheme="minorHAnsi"/>
                <w:color w:val="000000"/>
                <w:sz w:val="20"/>
                <w:szCs w:val="20"/>
              </w:rPr>
              <w:t>42.1</w:t>
            </w:r>
          </w:p>
        </w:tc>
        <w:tc>
          <w:tcPr>
            <w:tcW w:w="1967" w:type="dxa"/>
            <w:tcMar>
              <w:top w:w="28" w:type="dxa"/>
              <w:bottom w:w="28" w:type="dxa"/>
            </w:tcMar>
            <w:vAlign w:val="center"/>
          </w:tcPr>
          <w:p w14:paraId="42428C94" w14:textId="2F642852" w:rsidR="00114D0B" w:rsidRPr="00D90F7B" w:rsidRDefault="00734DE4" w:rsidP="003F51E8">
            <w:pPr>
              <w:jc w:val="right"/>
              <w:rPr>
                <w:rFonts w:cstheme="minorHAnsi"/>
                <w:sz w:val="20"/>
                <w:szCs w:val="20"/>
              </w:rPr>
            </w:pPr>
            <w:r w:rsidRPr="00D90F7B">
              <w:rPr>
                <w:rFonts w:cstheme="minorHAnsi"/>
                <w:color w:val="000000"/>
                <w:sz w:val="20"/>
                <w:szCs w:val="20"/>
              </w:rPr>
              <w:t>51.1</w:t>
            </w:r>
          </w:p>
        </w:tc>
        <w:tc>
          <w:tcPr>
            <w:tcW w:w="1968" w:type="dxa"/>
            <w:tcMar>
              <w:top w:w="28" w:type="dxa"/>
              <w:bottom w:w="28" w:type="dxa"/>
            </w:tcMar>
            <w:vAlign w:val="center"/>
          </w:tcPr>
          <w:p w14:paraId="0E17E136" w14:textId="2C735EDF" w:rsidR="00114D0B" w:rsidRPr="00D90F7B" w:rsidRDefault="00A309E1" w:rsidP="003F51E8">
            <w:pPr>
              <w:jc w:val="right"/>
              <w:rPr>
                <w:rFonts w:cstheme="minorHAnsi"/>
                <w:sz w:val="20"/>
                <w:szCs w:val="20"/>
              </w:rPr>
            </w:pPr>
            <w:r w:rsidRPr="00D90F7B">
              <w:rPr>
                <w:rFonts w:cstheme="minorHAnsi"/>
                <w:color w:val="000000"/>
                <w:sz w:val="20"/>
                <w:szCs w:val="20"/>
              </w:rPr>
              <w:t>60.8</w:t>
            </w:r>
          </w:p>
        </w:tc>
      </w:tr>
      <w:tr w:rsidR="004E4EBC" w:rsidRPr="00A2295F" w14:paraId="56052D70" w14:textId="77777777" w:rsidTr="00D90F7B">
        <w:tc>
          <w:tcPr>
            <w:tcW w:w="3114" w:type="dxa"/>
            <w:tcMar>
              <w:top w:w="28" w:type="dxa"/>
              <w:bottom w:w="28" w:type="dxa"/>
            </w:tcMar>
          </w:tcPr>
          <w:p w14:paraId="18777413" w14:textId="5876C32C" w:rsidR="004E4EBC" w:rsidRPr="00D90F7B" w:rsidRDefault="004E4EBC" w:rsidP="004E4EBC">
            <w:pPr>
              <w:rPr>
                <w:rFonts w:cstheme="minorHAnsi"/>
                <w:sz w:val="20"/>
                <w:szCs w:val="20"/>
              </w:rPr>
            </w:pPr>
            <w:r w:rsidRPr="00D90F7B">
              <w:rPr>
                <w:rFonts w:cstheme="minorHAnsi"/>
                <w:sz w:val="20"/>
                <w:szCs w:val="20"/>
              </w:rPr>
              <w:t xml:space="preserve">Estimate of </w:t>
            </w:r>
            <w:r w:rsidR="00843139" w:rsidRPr="00D90F7B">
              <w:rPr>
                <w:rFonts w:cstheme="minorHAnsi"/>
                <w:sz w:val="20"/>
                <w:szCs w:val="20"/>
              </w:rPr>
              <w:t xml:space="preserve">net </w:t>
            </w:r>
            <w:r w:rsidR="00B51F48" w:rsidRPr="00D90F7B">
              <w:rPr>
                <w:rFonts w:cstheme="minorHAnsi"/>
                <w:sz w:val="20"/>
                <w:szCs w:val="20"/>
              </w:rPr>
              <w:t>MERP4</w:t>
            </w:r>
            <w:r w:rsidRPr="00D90F7B">
              <w:rPr>
                <w:rFonts w:cstheme="minorHAnsi"/>
                <w:sz w:val="20"/>
                <w:szCs w:val="20"/>
              </w:rPr>
              <w:t xml:space="preserve"> units </w:t>
            </w:r>
            <w:r w:rsidR="00DA2205" w:rsidRPr="00D90F7B">
              <w:rPr>
                <w:rFonts w:cstheme="minorHAnsi"/>
                <w:sz w:val="20"/>
                <w:szCs w:val="20"/>
              </w:rPr>
              <w:t xml:space="preserve">already allocated </w:t>
            </w:r>
            <w:r w:rsidR="00EB1211" w:rsidRPr="00D90F7B">
              <w:rPr>
                <w:rFonts w:cstheme="minorHAnsi"/>
                <w:sz w:val="20"/>
                <w:szCs w:val="20"/>
              </w:rPr>
              <w:t xml:space="preserve">to be </w:t>
            </w:r>
            <w:r w:rsidRPr="00D90F7B">
              <w:rPr>
                <w:rFonts w:cstheme="minorHAnsi"/>
                <w:sz w:val="20"/>
                <w:szCs w:val="20"/>
              </w:rPr>
              <w:t>held for harvest</w:t>
            </w:r>
          </w:p>
        </w:tc>
        <w:tc>
          <w:tcPr>
            <w:tcW w:w="1967" w:type="dxa"/>
            <w:tcMar>
              <w:top w:w="28" w:type="dxa"/>
              <w:bottom w:w="28" w:type="dxa"/>
            </w:tcMar>
            <w:vAlign w:val="center"/>
          </w:tcPr>
          <w:p w14:paraId="39ACBF24" w14:textId="0A772841" w:rsidR="004E4EBC" w:rsidRPr="00D90F7B" w:rsidRDefault="00A309E1" w:rsidP="003F51E8">
            <w:pPr>
              <w:jc w:val="right"/>
              <w:rPr>
                <w:rFonts w:cstheme="minorHAnsi"/>
                <w:sz w:val="20"/>
                <w:szCs w:val="20"/>
              </w:rPr>
            </w:pPr>
            <w:r w:rsidRPr="00D90F7B">
              <w:rPr>
                <w:rFonts w:cstheme="minorHAnsi"/>
                <w:color w:val="000000"/>
                <w:sz w:val="20"/>
                <w:szCs w:val="20"/>
              </w:rPr>
              <w:t>1.5</w:t>
            </w:r>
          </w:p>
        </w:tc>
        <w:tc>
          <w:tcPr>
            <w:tcW w:w="1967" w:type="dxa"/>
            <w:tcMar>
              <w:top w:w="28" w:type="dxa"/>
              <w:bottom w:w="28" w:type="dxa"/>
            </w:tcMar>
            <w:vAlign w:val="center"/>
          </w:tcPr>
          <w:p w14:paraId="332D916F" w14:textId="512A60F9" w:rsidR="004E4EBC" w:rsidRPr="00D90F7B" w:rsidRDefault="004E4EBC" w:rsidP="003F51E8">
            <w:pPr>
              <w:jc w:val="right"/>
              <w:rPr>
                <w:rFonts w:cstheme="minorHAnsi"/>
                <w:sz w:val="20"/>
                <w:szCs w:val="20"/>
              </w:rPr>
            </w:pPr>
            <w:r w:rsidRPr="00D90F7B">
              <w:rPr>
                <w:rFonts w:cstheme="minorHAnsi"/>
                <w:color w:val="000000"/>
                <w:sz w:val="20"/>
                <w:szCs w:val="20"/>
              </w:rPr>
              <w:t>2.0</w:t>
            </w:r>
          </w:p>
        </w:tc>
        <w:tc>
          <w:tcPr>
            <w:tcW w:w="1968" w:type="dxa"/>
            <w:tcMar>
              <w:top w:w="28" w:type="dxa"/>
              <w:bottom w:w="28" w:type="dxa"/>
            </w:tcMar>
            <w:vAlign w:val="center"/>
          </w:tcPr>
          <w:p w14:paraId="7631227E" w14:textId="11BE56C4" w:rsidR="004E4EBC" w:rsidRPr="00D90F7B" w:rsidRDefault="00A309E1" w:rsidP="003F51E8">
            <w:pPr>
              <w:jc w:val="right"/>
              <w:rPr>
                <w:rFonts w:cstheme="minorHAnsi"/>
                <w:sz w:val="20"/>
                <w:szCs w:val="20"/>
              </w:rPr>
            </w:pPr>
            <w:r w:rsidRPr="00D90F7B">
              <w:rPr>
                <w:rFonts w:cstheme="minorHAnsi"/>
                <w:color w:val="000000"/>
                <w:sz w:val="20"/>
                <w:szCs w:val="20"/>
              </w:rPr>
              <w:t>2.7</w:t>
            </w:r>
          </w:p>
        </w:tc>
      </w:tr>
      <w:tr w:rsidR="00DE3C16" w:rsidRPr="00A2295F" w14:paraId="7E5FDA83" w14:textId="77777777" w:rsidTr="00D90F7B">
        <w:tc>
          <w:tcPr>
            <w:tcW w:w="3114" w:type="dxa"/>
            <w:tcMar>
              <w:top w:w="28" w:type="dxa"/>
              <w:bottom w:w="28" w:type="dxa"/>
            </w:tcMar>
          </w:tcPr>
          <w:p w14:paraId="6D027256" w14:textId="5377AA7C" w:rsidR="00DE3C16" w:rsidRPr="00D90F7B" w:rsidRDefault="006B5C97" w:rsidP="00DE3C16">
            <w:pPr>
              <w:rPr>
                <w:rFonts w:cstheme="minorHAnsi"/>
                <w:sz w:val="20"/>
                <w:szCs w:val="20"/>
              </w:rPr>
            </w:pPr>
            <w:r w:rsidRPr="00D90F7B">
              <w:rPr>
                <w:rFonts w:cstheme="minorHAnsi"/>
                <w:sz w:val="20"/>
                <w:szCs w:val="20"/>
              </w:rPr>
              <w:t>Total estimate</w:t>
            </w:r>
          </w:p>
        </w:tc>
        <w:tc>
          <w:tcPr>
            <w:tcW w:w="1967" w:type="dxa"/>
            <w:tcMar>
              <w:top w:w="28" w:type="dxa"/>
              <w:bottom w:w="28" w:type="dxa"/>
            </w:tcMar>
            <w:vAlign w:val="center"/>
          </w:tcPr>
          <w:p w14:paraId="11E9505F" w14:textId="59410FE5" w:rsidR="00DE3C16" w:rsidRPr="00D90F7B" w:rsidRDefault="00A309E1" w:rsidP="003F51E8">
            <w:pPr>
              <w:jc w:val="right"/>
              <w:rPr>
                <w:rFonts w:cstheme="minorHAnsi"/>
                <w:sz w:val="20"/>
                <w:szCs w:val="20"/>
              </w:rPr>
            </w:pPr>
            <w:r w:rsidRPr="00D90F7B">
              <w:rPr>
                <w:rFonts w:cstheme="minorHAnsi"/>
                <w:b/>
                <w:color w:val="000000"/>
                <w:sz w:val="20"/>
                <w:szCs w:val="20"/>
              </w:rPr>
              <w:t>43.7</w:t>
            </w:r>
          </w:p>
        </w:tc>
        <w:tc>
          <w:tcPr>
            <w:tcW w:w="1967" w:type="dxa"/>
            <w:tcMar>
              <w:top w:w="28" w:type="dxa"/>
              <w:bottom w:w="28" w:type="dxa"/>
            </w:tcMar>
            <w:vAlign w:val="center"/>
          </w:tcPr>
          <w:p w14:paraId="3EBCFB31" w14:textId="4A4158FD" w:rsidR="00DE3C16" w:rsidRPr="00D90F7B" w:rsidRDefault="00DE3C16" w:rsidP="003F51E8">
            <w:pPr>
              <w:jc w:val="right"/>
              <w:rPr>
                <w:rFonts w:cstheme="minorHAnsi"/>
                <w:sz w:val="20"/>
                <w:szCs w:val="20"/>
              </w:rPr>
            </w:pPr>
            <w:r w:rsidRPr="00D90F7B">
              <w:rPr>
                <w:rFonts w:cstheme="minorHAnsi"/>
                <w:b/>
                <w:color w:val="000000"/>
                <w:sz w:val="20"/>
                <w:szCs w:val="20"/>
              </w:rPr>
              <w:t>53.1</w:t>
            </w:r>
          </w:p>
        </w:tc>
        <w:tc>
          <w:tcPr>
            <w:tcW w:w="1968" w:type="dxa"/>
            <w:tcMar>
              <w:top w:w="28" w:type="dxa"/>
              <w:bottom w:w="28" w:type="dxa"/>
            </w:tcMar>
            <w:vAlign w:val="center"/>
          </w:tcPr>
          <w:p w14:paraId="72FD66DB" w14:textId="3B002D55" w:rsidR="00DE3C16" w:rsidRPr="00D90F7B" w:rsidRDefault="00A309E1" w:rsidP="003F51E8">
            <w:pPr>
              <w:jc w:val="right"/>
              <w:rPr>
                <w:rFonts w:cstheme="minorHAnsi"/>
                <w:sz w:val="20"/>
                <w:szCs w:val="20"/>
              </w:rPr>
            </w:pPr>
            <w:r w:rsidRPr="00D90F7B">
              <w:rPr>
                <w:rFonts w:cstheme="minorHAnsi"/>
                <w:b/>
                <w:color w:val="000000"/>
                <w:sz w:val="20"/>
                <w:szCs w:val="20"/>
              </w:rPr>
              <w:t>63.5</w:t>
            </w:r>
          </w:p>
        </w:tc>
      </w:tr>
      <w:tr w:rsidR="00DE3C16" w:rsidRPr="00A2295F" w14:paraId="703B87BD" w14:textId="77777777" w:rsidTr="00D90F7B">
        <w:tc>
          <w:tcPr>
            <w:tcW w:w="3114" w:type="dxa"/>
            <w:tcMar>
              <w:top w:w="28" w:type="dxa"/>
              <w:bottom w:w="28" w:type="dxa"/>
            </w:tcMar>
          </w:tcPr>
          <w:p w14:paraId="1942F7C6" w14:textId="7F1EF17D" w:rsidR="00DE3C16" w:rsidRPr="00D90F7B" w:rsidRDefault="00DE3C16" w:rsidP="00DE3C16">
            <w:pPr>
              <w:rPr>
                <w:rFonts w:cstheme="minorHAnsi"/>
                <w:sz w:val="20"/>
                <w:szCs w:val="20"/>
              </w:rPr>
            </w:pPr>
            <w:r w:rsidRPr="00D90F7B">
              <w:rPr>
                <w:rFonts w:cstheme="minorHAnsi"/>
                <w:sz w:val="20"/>
                <w:szCs w:val="20"/>
              </w:rPr>
              <w:t>Variables informing estimates</w:t>
            </w:r>
          </w:p>
        </w:tc>
        <w:tc>
          <w:tcPr>
            <w:tcW w:w="1967" w:type="dxa"/>
            <w:tcMar>
              <w:top w:w="28" w:type="dxa"/>
              <w:bottom w:w="28" w:type="dxa"/>
            </w:tcMar>
          </w:tcPr>
          <w:p w14:paraId="1C54E7BB" w14:textId="77777777" w:rsidR="00265D89" w:rsidRPr="00D90F7B" w:rsidRDefault="00265D89" w:rsidP="0048409A">
            <w:pPr>
              <w:pStyle w:val="ListParagraph"/>
              <w:numPr>
                <w:ilvl w:val="0"/>
                <w:numId w:val="65"/>
              </w:numPr>
              <w:ind w:left="322" w:hanging="284"/>
              <w:rPr>
                <w:rFonts w:cstheme="minorHAnsi"/>
                <w:sz w:val="20"/>
                <w:szCs w:val="20"/>
              </w:rPr>
            </w:pPr>
            <w:r w:rsidRPr="00D90F7B">
              <w:rPr>
                <w:rFonts w:eastAsia="Calibri Light" w:cstheme="minorHAnsi"/>
                <w:color w:val="000000"/>
                <w:sz w:val="20"/>
                <w:szCs w:val="20"/>
              </w:rPr>
              <w:t>30% not harvested</w:t>
            </w:r>
          </w:p>
          <w:p w14:paraId="39281D67" w14:textId="126A8AA0" w:rsidR="00DE3C16" w:rsidRPr="00D90F7B" w:rsidRDefault="00265D89" w:rsidP="0048409A">
            <w:pPr>
              <w:pStyle w:val="ListParagraph"/>
              <w:numPr>
                <w:ilvl w:val="0"/>
                <w:numId w:val="65"/>
              </w:numPr>
              <w:ind w:left="322" w:hanging="284"/>
              <w:rPr>
                <w:rFonts w:cstheme="minorHAnsi"/>
                <w:sz w:val="20"/>
                <w:szCs w:val="20"/>
              </w:rPr>
            </w:pPr>
            <w:r w:rsidRPr="00D90F7B">
              <w:rPr>
                <w:rFonts w:eastAsia="Calibri Light" w:cstheme="minorHAnsi"/>
                <w:color w:val="000000"/>
                <w:sz w:val="20"/>
                <w:szCs w:val="20"/>
              </w:rPr>
              <w:t>75</w:t>
            </w:r>
            <w:r w:rsidR="00DE3C16" w:rsidRPr="00D90F7B">
              <w:rPr>
                <w:rFonts w:eastAsia="Calibri Light" w:cstheme="minorHAnsi"/>
                <w:color w:val="000000"/>
                <w:sz w:val="20"/>
                <w:szCs w:val="20"/>
              </w:rPr>
              <w:t xml:space="preserve">% additional </w:t>
            </w:r>
            <w:r w:rsidR="00F73294" w:rsidRPr="00D90F7B">
              <w:rPr>
                <w:rFonts w:eastAsia="Calibri Light" w:cstheme="minorHAnsi"/>
                <w:color w:val="000000"/>
                <w:sz w:val="20"/>
                <w:szCs w:val="20"/>
              </w:rPr>
              <w:t>low-risk</w:t>
            </w:r>
            <w:r w:rsidR="0037262C" w:rsidRPr="00D90F7B">
              <w:rPr>
                <w:rFonts w:eastAsia="Calibri Light" w:cstheme="minorHAnsi"/>
                <w:color w:val="000000"/>
                <w:sz w:val="20"/>
                <w:szCs w:val="20"/>
              </w:rPr>
              <w:t xml:space="preserve"> carbon</w:t>
            </w:r>
          </w:p>
        </w:tc>
        <w:tc>
          <w:tcPr>
            <w:tcW w:w="1967" w:type="dxa"/>
            <w:tcMar>
              <w:top w:w="28" w:type="dxa"/>
              <w:bottom w:w="28" w:type="dxa"/>
            </w:tcMar>
          </w:tcPr>
          <w:p w14:paraId="4C276F95" w14:textId="77777777" w:rsidR="00DE3C16" w:rsidRPr="00D90F7B" w:rsidRDefault="00DE3C16" w:rsidP="0048409A">
            <w:pPr>
              <w:pStyle w:val="ListParagraph"/>
              <w:numPr>
                <w:ilvl w:val="0"/>
                <w:numId w:val="64"/>
              </w:numPr>
              <w:ind w:left="236" w:hanging="236"/>
              <w:rPr>
                <w:rFonts w:cstheme="minorHAnsi"/>
                <w:sz w:val="20"/>
                <w:szCs w:val="20"/>
              </w:rPr>
            </w:pPr>
            <w:r w:rsidRPr="00D90F7B">
              <w:rPr>
                <w:rFonts w:eastAsia="Calibri Light" w:cstheme="minorHAnsi"/>
                <w:color w:val="000000"/>
                <w:sz w:val="20"/>
                <w:szCs w:val="20"/>
              </w:rPr>
              <w:t>20% not harvested</w:t>
            </w:r>
          </w:p>
          <w:p w14:paraId="52FCD447" w14:textId="1FF07AE7" w:rsidR="00DE3C16" w:rsidRPr="00D90F7B" w:rsidRDefault="00DE3C16" w:rsidP="0048409A">
            <w:pPr>
              <w:pStyle w:val="ListParagraph"/>
              <w:numPr>
                <w:ilvl w:val="0"/>
                <w:numId w:val="64"/>
              </w:numPr>
              <w:ind w:left="236" w:hanging="236"/>
              <w:rPr>
                <w:rFonts w:cstheme="minorHAnsi"/>
                <w:sz w:val="20"/>
                <w:szCs w:val="20"/>
              </w:rPr>
            </w:pPr>
            <w:r w:rsidRPr="00D90F7B">
              <w:rPr>
                <w:rFonts w:eastAsia="Calibri Light" w:cstheme="minorHAnsi"/>
                <w:color w:val="000000"/>
                <w:sz w:val="20"/>
                <w:szCs w:val="20"/>
              </w:rPr>
              <w:t xml:space="preserve">65% additional </w:t>
            </w:r>
            <w:r w:rsidR="0037262C" w:rsidRPr="00D90F7B">
              <w:rPr>
                <w:rFonts w:eastAsia="Calibri Light" w:cstheme="minorHAnsi"/>
                <w:color w:val="000000"/>
                <w:sz w:val="20"/>
                <w:szCs w:val="20"/>
              </w:rPr>
              <w:t xml:space="preserve">low-risk </w:t>
            </w:r>
            <w:r w:rsidRPr="00D90F7B">
              <w:rPr>
                <w:rFonts w:eastAsia="Calibri Light" w:cstheme="minorHAnsi"/>
                <w:color w:val="000000"/>
                <w:sz w:val="20"/>
                <w:szCs w:val="20"/>
              </w:rPr>
              <w:t>carbon</w:t>
            </w:r>
          </w:p>
        </w:tc>
        <w:tc>
          <w:tcPr>
            <w:tcW w:w="1968" w:type="dxa"/>
            <w:tcMar>
              <w:top w:w="28" w:type="dxa"/>
              <w:bottom w:w="28" w:type="dxa"/>
            </w:tcMar>
          </w:tcPr>
          <w:p w14:paraId="27C94D9F" w14:textId="77777777" w:rsidR="00265D89" w:rsidRPr="00D90F7B" w:rsidRDefault="00265D89" w:rsidP="0048409A">
            <w:pPr>
              <w:pStyle w:val="ListParagraph"/>
              <w:numPr>
                <w:ilvl w:val="0"/>
                <w:numId w:val="64"/>
              </w:numPr>
              <w:ind w:left="307" w:hanging="307"/>
              <w:rPr>
                <w:rFonts w:cstheme="minorHAnsi"/>
                <w:sz w:val="20"/>
                <w:szCs w:val="20"/>
              </w:rPr>
            </w:pPr>
            <w:r w:rsidRPr="00D90F7B">
              <w:rPr>
                <w:rFonts w:eastAsia="Calibri Light" w:cstheme="minorHAnsi"/>
                <w:color w:val="000000"/>
                <w:sz w:val="20"/>
                <w:szCs w:val="20"/>
              </w:rPr>
              <w:t xml:space="preserve">10% not harvested </w:t>
            </w:r>
          </w:p>
          <w:p w14:paraId="48689C28" w14:textId="67A7B4A0" w:rsidR="00DE3C16" w:rsidRPr="00D90F7B" w:rsidRDefault="00265D89" w:rsidP="0048409A">
            <w:pPr>
              <w:pStyle w:val="ListParagraph"/>
              <w:numPr>
                <w:ilvl w:val="0"/>
                <w:numId w:val="64"/>
              </w:numPr>
              <w:ind w:left="307" w:hanging="307"/>
              <w:rPr>
                <w:rFonts w:cstheme="minorHAnsi"/>
                <w:sz w:val="20"/>
                <w:szCs w:val="20"/>
              </w:rPr>
            </w:pPr>
            <w:r w:rsidRPr="00D90F7B">
              <w:rPr>
                <w:rFonts w:eastAsia="Calibri Light" w:cstheme="minorHAnsi"/>
                <w:color w:val="000000"/>
                <w:sz w:val="20"/>
                <w:szCs w:val="20"/>
              </w:rPr>
              <w:t>55</w:t>
            </w:r>
            <w:r w:rsidR="00DE3C16" w:rsidRPr="00D90F7B">
              <w:rPr>
                <w:rFonts w:eastAsia="Calibri Light" w:cstheme="minorHAnsi"/>
                <w:color w:val="000000"/>
                <w:sz w:val="20"/>
                <w:szCs w:val="20"/>
              </w:rPr>
              <w:t xml:space="preserve">% additional </w:t>
            </w:r>
            <w:r w:rsidR="0037262C" w:rsidRPr="00D90F7B">
              <w:rPr>
                <w:rFonts w:eastAsia="Calibri Light" w:cstheme="minorHAnsi"/>
                <w:color w:val="000000"/>
                <w:sz w:val="20"/>
                <w:szCs w:val="20"/>
              </w:rPr>
              <w:t>low-risk</w:t>
            </w:r>
            <w:r w:rsidR="00DE3C16" w:rsidRPr="00D90F7B">
              <w:rPr>
                <w:rFonts w:eastAsia="Calibri Light" w:cstheme="minorHAnsi"/>
                <w:color w:val="000000"/>
                <w:sz w:val="20"/>
                <w:szCs w:val="20"/>
              </w:rPr>
              <w:t xml:space="preserve"> carbon</w:t>
            </w:r>
          </w:p>
        </w:tc>
      </w:tr>
    </w:tbl>
    <w:p w14:paraId="231F77CE" w14:textId="5F1FE5A0" w:rsidR="00606C5E" w:rsidRDefault="00DB61EA" w:rsidP="00B52948">
      <w:pPr>
        <w:pStyle w:val="Heading3"/>
        <w:spacing w:before="240" w:after="120"/>
      </w:pPr>
      <w:bookmarkStart w:id="55" w:name="_Toc195533427"/>
      <w:r>
        <w:t xml:space="preserve">Units held for </w:t>
      </w:r>
      <w:r w:rsidR="007061B3">
        <w:t xml:space="preserve">forward </w:t>
      </w:r>
      <w:r w:rsidR="00606C5E">
        <w:t xml:space="preserve">hedging </w:t>
      </w:r>
      <w:r>
        <w:t>by emitters</w:t>
      </w:r>
      <w:bookmarkEnd w:id="55"/>
    </w:p>
    <w:p w14:paraId="233DB111" w14:textId="66475A5D" w:rsidR="009B4E23" w:rsidRDefault="00DB61EA" w:rsidP="00606C5E">
      <w:r>
        <w:t xml:space="preserve">It is common practice for participants in the NZ ETS to hold NZUs to cover a proportion </w:t>
      </w:r>
      <w:r w:rsidR="009B4E23">
        <w:t xml:space="preserve">of their </w:t>
      </w:r>
      <w:r w:rsidR="00A86C8A">
        <w:t xml:space="preserve">emissions </w:t>
      </w:r>
      <w:r w:rsidR="009B4E23">
        <w:t xml:space="preserve">compliance obligations over a certain period in advance (‘hedging’). </w:t>
      </w:r>
      <w:r w:rsidR="0042468B">
        <w:t xml:space="preserve">Hedging involves emitters pre-purchasing NZUs when they fix prices with customers or suppliers, to manage their exposure to NZU </w:t>
      </w:r>
      <w:r w:rsidR="00B92935">
        <w:t xml:space="preserve">forward </w:t>
      </w:r>
      <w:r w:rsidR="0042468B">
        <w:t>price risk.</w:t>
      </w:r>
    </w:p>
    <w:p w14:paraId="180BD8FA" w14:textId="05EC33C0" w:rsidR="0042468B" w:rsidRDefault="0042468B" w:rsidP="0042468B">
      <w:r>
        <w:t xml:space="preserve">As </w:t>
      </w:r>
      <w:r w:rsidR="003B1219">
        <w:t xml:space="preserve">in </w:t>
      </w:r>
      <w:r w:rsidR="004A7DC4">
        <w:t xml:space="preserve">our </w:t>
      </w:r>
      <w:r>
        <w:t>previous a</w:t>
      </w:r>
      <w:r w:rsidR="004A7DC4">
        <w:t>dvice</w:t>
      </w:r>
      <w:r>
        <w:t xml:space="preserve">, our methodology assumes a portion of units in the registry are held by (or for) emitters </w:t>
      </w:r>
      <w:r w:rsidR="00671D24">
        <w:t>for forward hedging purposes</w:t>
      </w:r>
      <w:r w:rsidR="005C4A81">
        <w:t xml:space="preserve">. These </w:t>
      </w:r>
      <w:r w:rsidR="002B4E58">
        <w:t>units need to be present in the scheme for the proper functioning of the NZ ETS,</w:t>
      </w:r>
      <w:r w:rsidR="001E0073">
        <w:t xml:space="preserve"> and</w:t>
      </w:r>
      <w:r w:rsidR="002810C1">
        <w:t xml:space="preserve"> </w:t>
      </w:r>
      <w:r w:rsidR="006959B4">
        <w:t>they are un</w:t>
      </w:r>
      <w:r w:rsidR="00207FE1" w:rsidRPr="00651F06">
        <w:t xml:space="preserve">likely </w:t>
      </w:r>
      <w:r w:rsidR="006959B4">
        <w:t xml:space="preserve">to </w:t>
      </w:r>
      <w:r w:rsidR="002810C1">
        <w:t xml:space="preserve">available for use </w:t>
      </w:r>
      <w:r w:rsidR="00207FE1">
        <w:t>to enable emissions above emissions budgets</w:t>
      </w:r>
      <w:r w:rsidR="002810C1">
        <w:t xml:space="preserve"> given emitters’ need to con</w:t>
      </w:r>
      <w:r w:rsidR="00BA0920">
        <w:t>s</w:t>
      </w:r>
      <w:r w:rsidR="002810C1">
        <w:t xml:space="preserve">tantly hold and refill </w:t>
      </w:r>
      <w:r w:rsidR="00C815E8">
        <w:t>their hedges over time</w:t>
      </w:r>
      <w:r w:rsidR="00207FE1" w:rsidRPr="00651F06">
        <w:t xml:space="preserve">. </w:t>
      </w:r>
      <w:r w:rsidR="00D423C9">
        <w:t xml:space="preserve">However, </w:t>
      </w:r>
      <w:r w:rsidR="0048140C">
        <w:t>this year</w:t>
      </w:r>
      <w:r w:rsidR="00D423C9">
        <w:t xml:space="preserve"> </w:t>
      </w:r>
      <w:r w:rsidR="006A083B">
        <w:t>we have made two changes to our assumptions that reduce our hedging estimate</w:t>
      </w:r>
      <w:r w:rsidR="009E7A24">
        <w:t xml:space="preserve">s compared to </w:t>
      </w:r>
      <w:r w:rsidR="006A083B">
        <w:t xml:space="preserve">previous years: </w:t>
      </w:r>
    </w:p>
    <w:p w14:paraId="2D3513C3" w14:textId="547DD6EA" w:rsidR="006A083B" w:rsidRDefault="00856321" w:rsidP="006F2C67">
      <w:pPr>
        <w:pStyle w:val="ListParagraph"/>
        <w:numPr>
          <w:ilvl w:val="0"/>
          <w:numId w:val="66"/>
        </w:numPr>
      </w:pPr>
      <w:r>
        <w:t>We have reduced our estimate of hedging by the</w:t>
      </w:r>
      <w:r w:rsidR="00E24E9A">
        <w:t xml:space="preserve"> </w:t>
      </w:r>
      <w:r w:rsidR="000D3F94">
        <w:t>liquid fossil fuel</w:t>
      </w:r>
      <w:r w:rsidR="00E24E9A">
        <w:t xml:space="preserve"> </w:t>
      </w:r>
      <w:r w:rsidR="00697EA1">
        <w:t xml:space="preserve">(LFF) </w:t>
      </w:r>
      <w:r>
        <w:t xml:space="preserve">sector, </w:t>
      </w:r>
      <w:r w:rsidR="00CF2D47">
        <w:t xml:space="preserve">having considered feedback on this from </w:t>
      </w:r>
      <w:r>
        <w:t>the EY report</w:t>
      </w:r>
      <w:r w:rsidR="00DA322E">
        <w:t>.</w:t>
      </w:r>
      <w:r>
        <w:t xml:space="preserve"> </w:t>
      </w:r>
    </w:p>
    <w:p w14:paraId="7D7351B7" w14:textId="7F5047AF" w:rsidR="00E24E9A" w:rsidRDefault="00D15851" w:rsidP="006F2C67">
      <w:pPr>
        <w:pStyle w:val="ListParagraph"/>
        <w:numPr>
          <w:ilvl w:val="0"/>
          <w:numId w:val="66"/>
        </w:numPr>
      </w:pPr>
      <w:r>
        <w:t xml:space="preserve">We have adjusted the base year to use the </w:t>
      </w:r>
      <w:r w:rsidR="00EB3B3E">
        <w:t xml:space="preserve">hedging </w:t>
      </w:r>
      <w:r>
        <w:t xml:space="preserve">volume forecast for 2030 instead of </w:t>
      </w:r>
      <w:r w:rsidR="00856321">
        <w:t>the volume f</w:t>
      </w:r>
      <w:r w:rsidR="00EB3B3E">
        <w:t>o</w:t>
      </w:r>
      <w:r w:rsidR="00856321">
        <w:t>r</w:t>
      </w:r>
      <w:r w:rsidR="00EB3B3E">
        <w:t xml:space="preserve"> </w:t>
      </w:r>
      <w:r w:rsidR="00856321">
        <w:t>the most recently completed calendar year (</w:t>
      </w:r>
      <w:r>
        <w:t>2024</w:t>
      </w:r>
      <w:r w:rsidR="00856321">
        <w:t>)</w:t>
      </w:r>
      <w:r w:rsidR="00DA322E">
        <w:t>.</w:t>
      </w:r>
    </w:p>
    <w:p w14:paraId="34F7561D" w14:textId="6B0C8785" w:rsidR="00E97269" w:rsidRDefault="00E97269" w:rsidP="00D90F7B">
      <w:pPr>
        <w:pStyle w:val="Heading4"/>
        <w:spacing w:before="80" w:after="80"/>
        <w:rPr>
          <w:rFonts w:hint="eastAsia"/>
        </w:rPr>
      </w:pPr>
      <w:r>
        <w:t>Hedging assumptions</w:t>
      </w:r>
    </w:p>
    <w:p w14:paraId="35A47A3E" w14:textId="5AC3D879" w:rsidR="00C95D25" w:rsidRDefault="00C95D25" w:rsidP="00C95D25">
      <w:r>
        <w:t xml:space="preserve">We estimate the portion of units held for hedging </w:t>
      </w:r>
      <w:r w:rsidR="00AD5200">
        <w:t xml:space="preserve">using </w:t>
      </w:r>
      <w:r>
        <w:t xml:space="preserve">the </w:t>
      </w:r>
      <w:r w:rsidR="00627B37">
        <w:t xml:space="preserve">NZ ETS </w:t>
      </w:r>
      <w:r w:rsidR="00B6770E">
        <w:t xml:space="preserve">emissions cap </w:t>
      </w:r>
      <w:r w:rsidR="00627B37">
        <w:t xml:space="preserve">volumes related to </w:t>
      </w:r>
      <w:r>
        <w:t>non-forestry sectors (resulting from step 1 and 2), taking into account that some emissions will be automatically hedged due to industrial free allocation (step 4).</w:t>
      </w:r>
    </w:p>
    <w:p w14:paraId="01F26C54" w14:textId="6E448CFE" w:rsidR="00C95D25" w:rsidRDefault="00156088" w:rsidP="00C95D25">
      <w:r w:rsidRPr="000E0A64">
        <w:rPr>
          <w:lang w:val="en-US"/>
        </w:rPr>
        <w:t>The EY report advis</w:t>
      </w:r>
      <w:r w:rsidR="00C20DC6">
        <w:rPr>
          <w:lang w:val="en-US"/>
        </w:rPr>
        <w:t xml:space="preserve">ed </w:t>
      </w:r>
      <w:r w:rsidR="00697EA1">
        <w:rPr>
          <w:lang w:val="en-US"/>
        </w:rPr>
        <w:t xml:space="preserve">on </w:t>
      </w:r>
      <w:r w:rsidRPr="000E0A64">
        <w:rPr>
          <w:lang w:val="en-US"/>
        </w:rPr>
        <w:t xml:space="preserve">lower hedging volumes for the </w:t>
      </w:r>
      <w:r w:rsidR="00697EA1">
        <w:rPr>
          <w:lang w:val="en-US"/>
        </w:rPr>
        <w:t xml:space="preserve">LFF </w:t>
      </w:r>
      <w:r w:rsidRPr="000E0A64">
        <w:rPr>
          <w:lang w:val="en-US"/>
        </w:rPr>
        <w:t>sector. We tested th</w:t>
      </w:r>
      <w:r w:rsidR="00697EA1">
        <w:rPr>
          <w:lang w:val="en-US"/>
        </w:rPr>
        <w:t xml:space="preserve">is information </w:t>
      </w:r>
      <w:r w:rsidRPr="000E0A64">
        <w:rPr>
          <w:lang w:val="en-US"/>
        </w:rPr>
        <w:t>through targeted engagement with participants</w:t>
      </w:r>
      <w:r w:rsidR="00697EA1">
        <w:rPr>
          <w:lang w:val="en-US"/>
        </w:rPr>
        <w:t>,</w:t>
      </w:r>
      <w:r w:rsidRPr="000E0A64">
        <w:rPr>
          <w:lang w:val="en-US"/>
        </w:rPr>
        <w:t xml:space="preserve"> and have </w:t>
      </w:r>
      <w:r w:rsidR="00AF1A73">
        <w:rPr>
          <w:lang w:val="en-US"/>
        </w:rPr>
        <w:t xml:space="preserve">revised our </w:t>
      </w:r>
      <w:r w:rsidR="00697EA1">
        <w:rPr>
          <w:lang w:val="en-US"/>
        </w:rPr>
        <w:t xml:space="preserve">LFF </w:t>
      </w:r>
      <w:r w:rsidRPr="000E0A64">
        <w:rPr>
          <w:lang w:val="en-US"/>
        </w:rPr>
        <w:t>hedging assumption</w:t>
      </w:r>
      <w:r>
        <w:rPr>
          <w:lang w:val="en-US"/>
        </w:rPr>
        <w:t xml:space="preserve">. </w:t>
      </w:r>
      <w:r w:rsidR="00573208">
        <w:t>W</w:t>
      </w:r>
      <w:r w:rsidR="00C95D25">
        <w:t xml:space="preserve">e have </w:t>
      </w:r>
      <w:r w:rsidR="00573208">
        <w:t xml:space="preserve">otherwise </w:t>
      </w:r>
      <w:r w:rsidR="00C95D25">
        <w:t xml:space="preserve">kept the hedging assumptions the same as in our </w:t>
      </w:r>
      <w:r w:rsidR="009C7F24">
        <w:t xml:space="preserve">previous 2024 </w:t>
      </w:r>
      <w:r w:rsidR="00C95D25">
        <w:t>advice. The central assumptions by sector are</w:t>
      </w:r>
      <w:r w:rsidR="007C09AD">
        <w:t xml:space="preserve"> shown in </w:t>
      </w:r>
      <w:r w:rsidR="001B34F1" w:rsidRPr="00C5244E">
        <w:rPr>
          <w:b/>
          <w:bCs/>
        </w:rPr>
        <w:fldChar w:fldCharType="begin"/>
      </w:r>
      <w:r w:rsidR="001B34F1" w:rsidRPr="00C5244E">
        <w:rPr>
          <w:b/>
          <w:bCs/>
        </w:rPr>
        <w:instrText xml:space="preserve"> REF _Ref194994694 \h </w:instrText>
      </w:r>
      <w:r w:rsidR="001B34F1">
        <w:rPr>
          <w:b/>
          <w:bCs/>
        </w:rPr>
        <w:instrText xml:space="preserve"> \* MERGEFORMAT </w:instrText>
      </w:r>
      <w:r w:rsidR="001B34F1" w:rsidRPr="00C5244E">
        <w:rPr>
          <w:b/>
          <w:bCs/>
        </w:rPr>
      </w:r>
      <w:r w:rsidR="001B34F1" w:rsidRPr="00C5244E">
        <w:rPr>
          <w:b/>
          <w:bCs/>
        </w:rPr>
        <w:fldChar w:fldCharType="separate"/>
      </w:r>
      <w:r w:rsidR="001B34F1" w:rsidRPr="00C5244E">
        <w:rPr>
          <w:b/>
          <w:bCs/>
        </w:rPr>
        <w:t xml:space="preserve">Table </w:t>
      </w:r>
      <w:r w:rsidR="001D119D" w:rsidRPr="001D119D">
        <w:rPr>
          <w:b/>
          <w:bCs/>
          <w:noProof/>
        </w:rPr>
        <w:t>10</w:t>
      </w:r>
      <w:r w:rsidR="001B34F1" w:rsidRPr="00C5244E">
        <w:rPr>
          <w:b/>
          <w:bCs/>
        </w:rPr>
        <w:fldChar w:fldCharType="end"/>
      </w:r>
      <w:r w:rsidR="000D00EC">
        <w:t xml:space="preserve">. </w:t>
      </w:r>
    </w:p>
    <w:p w14:paraId="4B82F3CF" w14:textId="77777777" w:rsidR="00B52948" w:rsidRDefault="00B52948">
      <w:pPr>
        <w:rPr>
          <w:rFonts w:ascii="Calibri" w:hAnsi="Calibri"/>
          <w:b/>
          <w:iCs/>
          <w:color w:val="44546A" w:themeColor="text2"/>
          <w:sz w:val="20"/>
          <w:szCs w:val="18"/>
          <w:lang w:val="en-US"/>
        </w:rPr>
      </w:pPr>
      <w:bookmarkStart w:id="56" w:name="_Ref194994694"/>
      <w:r>
        <w:br w:type="page"/>
      </w:r>
    </w:p>
    <w:p w14:paraId="31ADAA57" w14:textId="1CFA5B08" w:rsidR="00705F7D" w:rsidRDefault="00705F7D" w:rsidP="00250B53">
      <w:pPr>
        <w:pStyle w:val="Caption"/>
      </w:pPr>
      <w:r w:rsidRPr="00D440B1">
        <w:t xml:space="preserve">Table </w:t>
      </w:r>
      <w:r w:rsidRPr="00D440B1">
        <w:fldChar w:fldCharType="begin"/>
      </w:r>
      <w:r w:rsidRPr="00CE420A">
        <w:instrText xml:space="preserve"> SEQ Table \* ARABIC </w:instrText>
      </w:r>
      <w:r w:rsidRPr="00D440B1">
        <w:fldChar w:fldCharType="separate"/>
      </w:r>
      <w:r w:rsidR="001D119D">
        <w:rPr>
          <w:noProof/>
        </w:rPr>
        <w:t>10</w:t>
      </w:r>
      <w:r w:rsidRPr="00D440B1">
        <w:fldChar w:fldCharType="end"/>
      </w:r>
      <w:bookmarkEnd w:id="56"/>
      <w:r w:rsidR="00AB63FF">
        <w:t>:</w:t>
      </w:r>
      <w:r>
        <w:t xml:space="preserve"> </w:t>
      </w:r>
      <w:r w:rsidR="001B34F1" w:rsidRPr="00EA3949">
        <w:rPr>
          <w:b w:val="0"/>
        </w:rPr>
        <w:t>Sector hedge profile assumptions</w:t>
      </w:r>
    </w:p>
    <w:tbl>
      <w:tblPr>
        <w:tblStyle w:val="TableGrid"/>
        <w:tblW w:w="0" w:type="auto"/>
        <w:tblLook w:val="04A0" w:firstRow="1" w:lastRow="0" w:firstColumn="1" w:lastColumn="0" w:noHBand="0" w:noVBand="1"/>
      </w:tblPr>
      <w:tblGrid>
        <w:gridCol w:w="1838"/>
        <w:gridCol w:w="7178"/>
      </w:tblGrid>
      <w:tr w:rsidR="00B663AD" w:rsidRPr="00C5244E" w14:paraId="69942807" w14:textId="77777777" w:rsidTr="00E56925">
        <w:tc>
          <w:tcPr>
            <w:tcW w:w="1838" w:type="dxa"/>
            <w:shd w:val="clear" w:color="auto" w:fill="002060"/>
            <w:tcMar>
              <w:top w:w="28" w:type="dxa"/>
              <w:left w:w="142" w:type="dxa"/>
              <w:bottom w:w="28" w:type="dxa"/>
              <w:right w:w="142" w:type="dxa"/>
            </w:tcMar>
          </w:tcPr>
          <w:p w14:paraId="76D547AA" w14:textId="6C77BF6B" w:rsidR="000D00EC" w:rsidRPr="00633C6A" w:rsidRDefault="000D00EC" w:rsidP="00D440B1">
            <w:pPr>
              <w:pStyle w:val="Tableheading"/>
            </w:pPr>
            <w:r w:rsidRPr="00633C6A">
              <w:t>Sector</w:t>
            </w:r>
          </w:p>
        </w:tc>
        <w:tc>
          <w:tcPr>
            <w:tcW w:w="7178" w:type="dxa"/>
            <w:shd w:val="clear" w:color="auto" w:fill="002060"/>
            <w:tcMar>
              <w:top w:w="28" w:type="dxa"/>
              <w:left w:w="142" w:type="dxa"/>
              <w:bottom w:w="28" w:type="dxa"/>
              <w:right w:w="142" w:type="dxa"/>
            </w:tcMar>
          </w:tcPr>
          <w:p w14:paraId="6F2B421C" w14:textId="278EE387" w:rsidR="000D00EC" w:rsidRPr="00633C6A" w:rsidRDefault="000D00EC" w:rsidP="00D440B1">
            <w:pPr>
              <w:pStyle w:val="Tableheading"/>
            </w:pPr>
            <w:r w:rsidRPr="00633C6A">
              <w:t>Hedge profile</w:t>
            </w:r>
            <w:r w:rsidR="001034FD">
              <w:t xml:space="preserve"> assumption </w:t>
            </w:r>
          </w:p>
        </w:tc>
      </w:tr>
      <w:tr w:rsidR="000D00EC" w:rsidRPr="00C5244E" w14:paraId="6AD9579A" w14:textId="77777777" w:rsidTr="00E56925">
        <w:tc>
          <w:tcPr>
            <w:tcW w:w="1838" w:type="dxa"/>
            <w:tcMar>
              <w:top w:w="28" w:type="dxa"/>
              <w:left w:w="142" w:type="dxa"/>
              <w:bottom w:w="28" w:type="dxa"/>
              <w:right w:w="142" w:type="dxa"/>
            </w:tcMar>
          </w:tcPr>
          <w:p w14:paraId="73D0781F" w14:textId="2840633E" w:rsidR="000D00EC" w:rsidRPr="00C5244E" w:rsidRDefault="000D00EC" w:rsidP="00C95D25">
            <w:pPr>
              <w:rPr>
                <w:sz w:val="22"/>
              </w:rPr>
            </w:pPr>
            <w:r w:rsidRPr="00C5244E">
              <w:rPr>
                <w:sz w:val="22"/>
              </w:rPr>
              <w:t>Liquid fossil fuels</w:t>
            </w:r>
          </w:p>
        </w:tc>
        <w:tc>
          <w:tcPr>
            <w:tcW w:w="7178" w:type="dxa"/>
            <w:tcMar>
              <w:top w:w="28" w:type="dxa"/>
              <w:left w:w="142" w:type="dxa"/>
              <w:bottom w:w="28" w:type="dxa"/>
              <w:right w:w="142" w:type="dxa"/>
            </w:tcMar>
          </w:tcPr>
          <w:p w14:paraId="1F9D2677" w14:textId="7CC2D691" w:rsidR="000D00EC" w:rsidRPr="00C5244E" w:rsidRDefault="00C3540F" w:rsidP="00C95D25">
            <w:pPr>
              <w:rPr>
                <w:sz w:val="22"/>
              </w:rPr>
            </w:pPr>
            <w:r w:rsidRPr="00C5244E">
              <w:rPr>
                <w:sz w:val="22"/>
              </w:rPr>
              <w:t>On average</w:t>
            </w:r>
            <w:r w:rsidR="00B95142">
              <w:rPr>
                <w:sz w:val="22"/>
              </w:rPr>
              <w:t xml:space="preserve">, </w:t>
            </w:r>
            <w:r w:rsidRPr="00C5244E">
              <w:rPr>
                <w:sz w:val="22"/>
              </w:rPr>
              <w:t>a hedge profile of approximately 31% of future annual liabilities</w:t>
            </w:r>
            <w:r w:rsidR="00497DB5">
              <w:rPr>
                <w:sz w:val="22"/>
              </w:rPr>
              <w:t>,</w:t>
            </w:r>
            <w:r w:rsidR="00751852" w:rsidRPr="00C5244E">
              <w:rPr>
                <w:sz w:val="22"/>
              </w:rPr>
              <w:t xml:space="preserve"> given </w:t>
            </w:r>
            <w:r w:rsidR="00D455D2">
              <w:rPr>
                <w:sz w:val="22"/>
              </w:rPr>
              <w:t xml:space="preserve">many LFF participants can </w:t>
            </w:r>
            <w:r w:rsidR="00751852" w:rsidRPr="00C5244E">
              <w:rPr>
                <w:sz w:val="22"/>
              </w:rPr>
              <w:t>rapidly pass on NZ ETS price changes</w:t>
            </w:r>
            <w:r w:rsidR="00D8377F">
              <w:rPr>
                <w:sz w:val="22"/>
              </w:rPr>
              <w:t>.</w:t>
            </w:r>
          </w:p>
        </w:tc>
      </w:tr>
      <w:tr w:rsidR="000D00EC" w:rsidRPr="00C5244E" w14:paraId="52F1D74F" w14:textId="77777777" w:rsidTr="00E56925">
        <w:tc>
          <w:tcPr>
            <w:tcW w:w="1838" w:type="dxa"/>
            <w:tcMar>
              <w:top w:w="28" w:type="dxa"/>
              <w:left w:w="142" w:type="dxa"/>
              <w:bottom w:w="28" w:type="dxa"/>
              <w:right w:w="142" w:type="dxa"/>
            </w:tcMar>
          </w:tcPr>
          <w:p w14:paraId="2F02ADE0" w14:textId="53AA520A" w:rsidR="000D00EC" w:rsidRPr="00C5244E" w:rsidRDefault="00D83286" w:rsidP="00C95D25">
            <w:pPr>
              <w:rPr>
                <w:sz w:val="22"/>
              </w:rPr>
            </w:pPr>
            <w:r w:rsidRPr="00C5244E">
              <w:rPr>
                <w:sz w:val="22"/>
              </w:rPr>
              <w:t>Stationary energy</w:t>
            </w:r>
          </w:p>
        </w:tc>
        <w:tc>
          <w:tcPr>
            <w:tcW w:w="7178" w:type="dxa"/>
            <w:tcMar>
              <w:top w:w="28" w:type="dxa"/>
              <w:left w:w="142" w:type="dxa"/>
              <w:bottom w:w="28" w:type="dxa"/>
              <w:right w:w="142" w:type="dxa"/>
            </w:tcMar>
          </w:tcPr>
          <w:p w14:paraId="14D538D4" w14:textId="7998B737" w:rsidR="000D00EC" w:rsidRPr="00C5244E" w:rsidRDefault="00AA2DE4" w:rsidP="00C95D25">
            <w:pPr>
              <w:rPr>
                <w:sz w:val="22"/>
              </w:rPr>
            </w:pPr>
            <w:r w:rsidRPr="00C5244E">
              <w:rPr>
                <w:sz w:val="22"/>
              </w:rPr>
              <w:t>On average</w:t>
            </w:r>
            <w:r w:rsidR="00497DB5">
              <w:rPr>
                <w:sz w:val="22"/>
              </w:rPr>
              <w:t xml:space="preserve">, </w:t>
            </w:r>
            <w:r w:rsidRPr="00C5244E">
              <w:rPr>
                <w:sz w:val="22"/>
              </w:rPr>
              <w:t>a hedge profile that drops from 100% to 0% over three years forward</w:t>
            </w:r>
            <w:r w:rsidR="00D8377F">
              <w:rPr>
                <w:sz w:val="22"/>
              </w:rPr>
              <w:t xml:space="preserve">. This </w:t>
            </w:r>
            <w:r w:rsidRPr="00C5244E">
              <w:rPr>
                <w:sz w:val="22"/>
              </w:rPr>
              <w:t>reflect</w:t>
            </w:r>
            <w:r w:rsidR="00B01912">
              <w:rPr>
                <w:sz w:val="22"/>
              </w:rPr>
              <w:t>s</w:t>
            </w:r>
            <w:r w:rsidRPr="00C5244E">
              <w:rPr>
                <w:sz w:val="22"/>
              </w:rPr>
              <w:t xml:space="preserve"> that </w:t>
            </w:r>
            <w:r w:rsidR="00D8377F">
              <w:rPr>
                <w:sz w:val="22"/>
              </w:rPr>
              <w:t xml:space="preserve">stationary energy participants </w:t>
            </w:r>
            <w:r w:rsidRPr="00C5244E">
              <w:rPr>
                <w:sz w:val="22"/>
              </w:rPr>
              <w:t>often set prices with customers using relatively long-term contracts</w:t>
            </w:r>
          </w:p>
        </w:tc>
      </w:tr>
      <w:tr w:rsidR="000D00EC" w:rsidRPr="00C5244E" w14:paraId="4BC34083" w14:textId="77777777" w:rsidTr="00E56925">
        <w:tc>
          <w:tcPr>
            <w:tcW w:w="1838" w:type="dxa"/>
            <w:tcMar>
              <w:top w:w="28" w:type="dxa"/>
              <w:left w:w="142" w:type="dxa"/>
              <w:bottom w:w="28" w:type="dxa"/>
              <w:right w:w="142" w:type="dxa"/>
            </w:tcMar>
          </w:tcPr>
          <w:p w14:paraId="22DDD7AE" w14:textId="71D57667" w:rsidR="000D00EC" w:rsidRPr="00C5244E" w:rsidRDefault="00AA2DE4" w:rsidP="00C95D25">
            <w:pPr>
              <w:rPr>
                <w:sz w:val="22"/>
              </w:rPr>
            </w:pPr>
            <w:r w:rsidRPr="00C5244E">
              <w:rPr>
                <w:sz w:val="22"/>
              </w:rPr>
              <w:t>IPPU and synthetic greenhouse gas (SGG)</w:t>
            </w:r>
          </w:p>
        </w:tc>
        <w:tc>
          <w:tcPr>
            <w:tcW w:w="7178" w:type="dxa"/>
            <w:tcMar>
              <w:top w:w="28" w:type="dxa"/>
              <w:left w:w="142" w:type="dxa"/>
              <w:bottom w:w="28" w:type="dxa"/>
              <w:right w:w="142" w:type="dxa"/>
            </w:tcMar>
          </w:tcPr>
          <w:p w14:paraId="33A7E9DB" w14:textId="480E7C75" w:rsidR="000D00EC" w:rsidRPr="00C5244E" w:rsidRDefault="00AA2DE4" w:rsidP="00C95D25">
            <w:pPr>
              <w:rPr>
                <w:sz w:val="22"/>
              </w:rPr>
            </w:pPr>
            <w:r w:rsidRPr="00C5244E">
              <w:rPr>
                <w:sz w:val="22"/>
              </w:rPr>
              <w:t>On average</w:t>
            </w:r>
            <w:r w:rsidR="00205907">
              <w:rPr>
                <w:sz w:val="22"/>
              </w:rPr>
              <w:t xml:space="preserve">, </w:t>
            </w:r>
            <w:r w:rsidRPr="00C5244E">
              <w:rPr>
                <w:sz w:val="22"/>
              </w:rPr>
              <w:t xml:space="preserve">a hedge profile that drops from 100% to 0% over three years forward, but with a more steeply dropping profile in year three compared to stationary energy. </w:t>
            </w:r>
            <w:r w:rsidR="000C02BF">
              <w:rPr>
                <w:sz w:val="22"/>
              </w:rPr>
              <w:t>Based on</w:t>
            </w:r>
            <w:r w:rsidRPr="00C5244E">
              <w:rPr>
                <w:sz w:val="22"/>
              </w:rPr>
              <w:t xml:space="preserve"> engagement feedback we understand </w:t>
            </w:r>
            <w:r w:rsidR="000C02BF">
              <w:rPr>
                <w:sz w:val="22"/>
              </w:rPr>
              <w:t xml:space="preserve">that </w:t>
            </w:r>
            <w:r w:rsidRPr="00C5244E">
              <w:rPr>
                <w:sz w:val="22"/>
              </w:rPr>
              <w:t>businesses in this sector fix prices in advance to a lesser extent than stationary energy.</w:t>
            </w:r>
          </w:p>
        </w:tc>
      </w:tr>
      <w:tr w:rsidR="000D00EC" w:rsidRPr="00C5244E" w14:paraId="38AD129B" w14:textId="77777777" w:rsidTr="00E56925">
        <w:tc>
          <w:tcPr>
            <w:tcW w:w="1838" w:type="dxa"/>
            <w:tcMar>
              <w:top w:w="28" w:type="dxa"/>
              <w:left w:w="142" w:type="dxa"/>
              <w:bottom w:w="28" w:type="dxa"/>
              <w:right w:w="142" w:type="dxa"/>
            </w:tcMar>
          </w:tcPr>
          <w:p w14:paraId="1C8EC625" w14:textId="57CE1C95" w:rsidR="000D00EC" w:rsidRPr="00C5244E" w:rsidRDefault="00AA2DE4" w:rsidP="00C95D25">
            <w:pPr>
              <w:rPr>
                <w:sz w:val="22"/>
              </w:rPr>
            </w:pPr>
            <w:r w:rsidRPr="00C5244E">
              <w:rPr>
                <w:sz w:val="22"/>
              </w:rPr>
              <w:t>Waste</w:t>
            </w:r>
          </w:p>
        </w:tc>
        <w:tc>
          <w:tcPr>
            <w:tcW w:w="7178" w:type="dxa"/>
            <w:tcMar>
              <w:top w:w="28" w:type="dxa"/>
              <w:left w:w="142" w:type="dxa"/>
              <w:bottom w:w="28" w:type="dxa"/>
              <w:right w:w="142" w:type="dxa"/>
            </w:tcMar>
          </w:tcPr>
          <w:p w14:paraId="2C544A24" w14:textId="18309088" w:rsidR="000D00EC" w:rsidRPr="00C5244E" w:rsidRDefault="00AA2DE4" w:rsidP="00C95D25">
            <w:pPr>
              <w:rPr>
                <w:sz w:val="22"/>
              </w:rPr>
            </w:pPr>
            <w:r w:rsidRPr="00C5244E">
              <w:rPr>
                <w:sz w:val="22"/>
              </w:rPr>
              <w:t>On average</w:t>
            </w:r>
            <w:r w:rsidR="00205907">
              <w:rPr>
                <w:sz w:val="22"/>
              </w:rPr>
              <w:t xml:space="preserve">, </w:t>
            </w:r>
            <w:r w:rsidRPr="00C5244E">
              <w:rPr>
                <w:sz w:val="22"/>
              </w:rPr>
              <w:t xml:space="preserve">a full year </w:t>
            </w:r>
            <w:r w:rsidR="00561F2E">
              <w:rPr>
                <w:sz w:val="22"/>
              </w:rPr>
              <w:t xml:space="preserve">hedged </w:t>
            </w:r>
            <w:r w:rsidRPr="00C5244E">
              <w:rPr>
                <w:sz w:val="22"/>
              </w:rPr>
              <w:t>in advance, as landfills generally set their prices on an annual basis.</w:t>
            </w:r>
          </w:p>
        </w:tc>
      </w:tr>
    </w:tbl>
    <w:p w14:paraId="261AB8F9" w14:textId="57328844" w:rsidR="00876E04" w:rsidRDefault="00561F2E" w:rsidP="00EA3949">
      <w:pPr>
        <w:spacing w:before="120" w:after="120"/>
      </w:pPr>
      <w:r>
        <w:t xml:space="preserve">Our </w:t>
      </w:r>
      <w:r w:rsidR="00876E04">
        <w:t xml:space="preserve">low, central and high </w:t>
      </w:r>
      <w:r>
        <w:t xml:space="preserve">forward hedging estimates </w:t>
      </w:r>
      <w:r w:rsidR="00876E04">
        <w:t>reflect that:</w:t>
      </w:r>
    </w:p>
    <w:p w14:paraId="6A36FD20" w14:textId="7F5B2AEA" w:rsidR="00876E04" w:rsidRDefault="00876E04" w:rsidP="00EA3949">
      <w:pPr>
        <w:pStyle w:val="ListParagraph"/>
        <w:numPr>
          <w:ilvl w:val="0"/>
          <w:numId w:val="68"/>
        </w:numPr>
        <w:spacing w:after="0"/>
        <w:ind w:left="714" w:hanging="357"/>
        <w:contextualSpacing w:val="0"/>
      </w:pPr>
      <w:r>
        <w:t xml:space="preserve">Different industries have different hedging practices due to their </w:t>
      </w:r>
      <w:r w:rsidR="00932B5D">
        <w:t xml:space="preserve">varying </w:t>
      </w:r>
      <w:r>
        <w:t>ability to pass costs</w:t>
      </w:r>
      <w:r w:rsidR="0027354E">
        <w:t xml:space="preserve"> on</w:t>
      </w:r>
      <w:r>
        <w:t xml:space="preserve"> to </w:t>
      </w:r>
      <w:r w:rsidR="00932B5D">
        <w:t>customers</w:t>
      </w:r>
      <w:r w:rsidR="00DF067C">
        <w:t xml:space="preserve"> and differing approaches to </w:t>
      </w:r>
      <w:r>
        <w:t>manag</w:t>
      </w:r>
      <w:r w:rsidR="00DF067C">
        <w:t>ing</w:t>
      </w:r>
      <w:r>
        <w:t xml:space="preserve"> financial risks</w:t>
      </w:r>
      <w:r w:rsidR="00DF067C">
        <w:t>.</w:t>
      </w:r>
    </w:p>
    <w:p w14:paraId="671588EA" w14:textId="55441940" w:rsidR="00876E04" w:rsidRDefault="00876E04" w:rsidP="008E4379">
      <w:pPr>
        <w:pStyle w:val="ListParagraph"/>
        <w:numPr>
          <w:ilvl w:val="0"/>
          <w:numId w:val="68"/>
        </w:numPr>
        <w:ind w:left="714" w:hanging="357"/>
        <w:contextualSpacing w:val="0"/>
      </w:pPr>
      <w:r>
        <w:t>Several large emitters in the stationary energy and IPPU sector (which might be expected to have extensive hedging practices) are in practice hedged to a large extent by the industrial free allocation they receive.</w:t>
      </w:r>
    </w:p>
    <w:p w14:paraId="1E56D72D" w14:textId="3BB715D2" w:rsidR="00606C5E" w:rsidRDefault="00E97269" w:rsidP="00805184">
      <w:pPr>
        <w:pStyle w:val="Heading4"/>
        <w:spacing w:before="80" w:after="80"/>
        <w:rPr>
          <w:rFonts w:hint="eastAsia"/>
        </w:rPr>
      </w:pPr>
      <w:r>
        <w:t>Base year</w:t>
      </w:r>
      <w:r w:rsidR="004A5DDF">
        <w:t xml:space="preserve"> </w:t>
      </w:r>
      <w:r w:rsidR="00573208">
        <w:t xml:space="preserve">for </w:t>
      </w:r>
      <w:r w:rsidR="004A5DDF">
        <w:t>hedging estimates</w:t>
      </w:r>
    </w:p>
    <w:p w14:paraId="778D99CA" w14:textId="3059582B" w:rsidR="0097041D" w:rsidRPr="000E0A64" w:rsidRDefault="009B32EF" w:rsidP="006C7589">
      <w:pPr>
        <w:rPr>
          <w:lang w:val="en-US"/>
        </w:rPr>
      </w:pPr>
      <w:r>
        <w:rPr>
          <w:lang w:val="en-US"/>
        </w:rPr>
        <w:t>This year we have updated</w:t>
      </w:r>
      <w:r w:rsidR="002E6645">
        <w:rPr>
          <w:lang w:val="en-US"/>
        </w:rPr>
        <w:t xml:space="preserve"> </w:t>
      </w:r>
      <w:r>
        <w:rPr>
          <w:lang w:val="en-US"/>
        </w:rPr>
        <w:t>ou</w:t>
      </w:r>
      <w:r w:rsidR="002E6645">
        <w:rPr>
          <w:lang w:val="en-US"/>
        </w:rPr>
        <w:t>r</w:t>
      </w:r>
      <w:r>
        <w:rPr>
          <w:lang w:val="en-US"/>
        </w:rPr>
        <w:t xml:space="preserve"> methodology</w:t>
      </w:r>
      <w:r w:rsidR="002E6645">
        <w:rPr>
          <w:lang w:val="en-US"/>
        </w:rPr>
        <w:t xml:space="preserve"> to reflect</w:t>
      </w:r>
      <w:r w:rsidR="0097041D" w:rsidRPr="000E0A64">
        <w:rPr>
          <w:lang w:val="en-US"/>
        </w:rPr>
        <w:t xml:space="preserve"> that the hedging volume used should relate to the target year of reducing the surplus (2030), not </w:t>
      </w:r>
      <w:r w:rsidR="002450EA">
        <w:rPr>
          <w:lang w:val="en-US"/>
        </w:rPr>
        <w:t xml:space="preserve">to </w:t>
      </w:r>
      <w:r w:rsidR="0097041D" w:rsidRPr="000E0A64">
        <w:rPr>
          <w:lang w:val="en-US"/>
        </w:rPr>
        <w:t xml:space="preserve">the current year (2024). </w:t>
      </w:r>
    </w:p>
    <w:p w14:paraId="33362ED0" w14:textId="79893DD2" w:rsidR="00157077" w:rsidRDefault="00837496" w:rsidP="00237DD1">
      <w:pPr>
        <w:rPr>
          <w:lang w:val="en-US"/>
        </w:rPr>
      </w:pPr>
      <w:r>
        <w:rPr>
          <w:lang w:val="en-US"/>
        </w:rPr>
        <w:t>As</w:t>
      </w:r>
      <w:r w:rsidR="0097041D" w:rsidRPr="000E0A64">
        <w:rPr>
          <w:lang w:val="en-US"/>
        </w:rPr>
        <w:t xml:space="preserve"> emitters decarbonise, </w:t>
      </w:r>
      <w:r>
        <w:rPr>
          <w:lang w:val="en-US"/>
        </w:rPr>
        <w:t xml:space="preserve">their need for forward </w:t>
      </w:r>
      <w:r w:rsidR="006C7589">
        <w:rPr>
          <w:lang w:val="en-US"/>
        </w:rPr>
        <w:t xml:space="preserve">hedging will also reduce. </w:t>
      </w:r>
      <w:r w:rsidR="0033484E">
        <w:rPr>
          <w:lang w:val="en-US"/>
        </w:rPr>
        <w:t xml:space="preserve">Over time, some units they hold for hedging now will </w:t>
      </w:r>
      <w:r w:rsidR="00A15CC7">
        <w:rPr>
          <w:lang w:val="en-US"/>
        </w:rPr>
        <w:t>no longer be needed</w:t>
      </w:r>
      <w:r w:rsidR="002972EE">
        <w:rPr>
          <w:lang w:val="en-US"/>
        </w:rPr>
        <w:t>,</w:t>
      </w:r>
      <w:r w:rsidR="00A15CC7">
        <w:rPr>
          <w:lang w:val="en-US"/>
        </w:rPr>
        <w:t xml:space="preserve"> and </w:t>
      </w:r>
      <w:r w:rsidR="002972EE">
        <w:rPr>
          <w:lang w:val="en-US"/>
        </w:rPr>
        <w:t xml:space="preserve">will </w:t>
      </w:r>
      <w:r w:rsidR="00A15CC7">
        <w:rPr>
          <w:lang w:val="en-US"/>
        </w:rPr>
        <w:t xml:space="preserve">instead contribute to the surplus. </w:t>
      </w:r>
      <w:r w:rsidR="0097041D" w:rsidRPr="000E0A64">
        <w:rPr>
          <w:lang w:val="en-US"/>
        </w:rPr>
        <w:t xml:space="preserve">Taking the hedging volumes as </w:t>
      </w:r>
      <w:r w:rsidR="00095882" w:rsidRPr="000E0A64">
        <w:rPr>
          <w:lang w:val="en-US"/>
        </w:rPr>
        <w:t>of</w:t>
      </w:r>
      <w:r w:rsidR="0097041D" w:rsidRPr="000E0A64">
        <w:rPr>
          <w:lang w:val="en-US"/>
        </w:rPr>
        <w:t xml:space="preserve"> 2030</w:t>
      </w:r>
      <w:r w:rsidR="00095882">
        <w:rPr>
          <w:lang w:val="en-US"/>
        </w:rPr>
        <w:t>,</w:t>
      </w:r>
      <w:r w:rsidR="0097041D" w:rsidRPr="000E0A64">
        <w:rPr>
          <w:lang w:val="en-US"/>
        </w:rPr>
        <w:t xml:space="preserve"> instead of 2024</w:t>
      </w:r>
      <w:r w:rsidR="00E0100C">
        <w:rPr>
          <w:lang w:val="en-US"/>
        </w:rPr>
        <w:t>,</w:t>
      </w:r>
      <w:r w:rsidR="0097041D" w:rsidRPr="000E0A64">
        <w:rPr>
          <w:lang w:val="en-US"/>
        </w:rPr>
        <w:t xml:space="preserve"> accounts for th</w:t>
      </w:r>
      <w:r w:rsidR="00237DD1">
        <w:rPr>
          <w:lang w:val="en-US"/>
        </w:rPr>
        <w:t xml:space="preserve">is. This </w:t>
      </w:r>
      <w:r w:rsidR="00185725">
        <w:rPr>
          <w:lang w:val="en-US"/>
        </w:rPr>
        <w:t xml:space="preserve">aligns with our </w:t>
      </w:r>
      <w:r w:rsidR="00A15CC7">
        <w:rPr>
          <w:lang w:val="en-US"/>
        </w:rPr>
        <w:t xml:space="preserve">treatment of </w:t>
      </w:r>
      <w:r w:rsidR="00185725">
        <w:rPr>
          <w:lang w:val="en-US"/>
        </w:rPr>
        <w:t>pre-1990 units held long-term</w:t>
      </w:r>
      <w:r w:rsidR="00A15CC7">
        <w:rPr>
          <w:lang w:val="en-US"/>
        </w:rPr>
        <w:t xml:space="preserve">, </w:t>
      </w:r>
      <w:r w:rsidR="00731869">
        <w:rPr>
          <w:lang w:val="en-US"/>
        </w:rPr>
        <w:t xml:space="preserve">where we use an estimate of </w:t>
      </w:r>
      <w:r w:rsidR="00731869">
        <w:t xml:space="preserve">units </w:t>
      </w:r>
      <w:r w:rsidR="00731869">
        <w:rPr>
          <w:lang w:val="en-US"/>
        </w:rPr>
        <w:t xml:space="preserve">held </w:t>
      </w:r>
      <w:r w:rsidR="00185725">
        <w:rPr>
          <w:lang w:val="en-US"/>
        </w:rPr>
        <w:t>in 2030</w:t>
      </w:r>
      <w:r w:rsidR="00731869">
        <w:rPr>
          <w:lang w:val="en-US"/>
        </w:rPr>
        <w:t>.</w:t>
      </w:r>
      <w:r w:rsidR="00185725">
        <w:rPr>
          <w:lang w:val="en-US"/>
        </w:rPr>
        <w:t xml:space="preserve"> </w:t>
      </w:r>
    </w:p>
    <w:p w14:paraId="62773D3C" w14:textId="149A82A7" w:rsidR="00F01183" w:rsidRDefault="00A72197" w:rsidP="0097041D">
      <w:pPr>
        <w:rPr>
          <w:lang w:val="en-US"/>
        </w:rPr>
      </w:pPr>
      <w:r>
        <w:rPr>
          <w:lang w:val="en-US"/>
        </w:rPr>
        <w:t>T</w:t>
      </w:r>
      <w:r w:rsidR="0097041D" w:rsidRPr="000E0A64">
        <w:rPr>
          <w:lang w:val="en-US"/>
        </w:rPr>
        <w:t xml:space="preserve">his means that even if the surplus units that have accumulated in the NZ ETS due to historical factors are eliminated by 2030, we will still need to account for a </w:t>
      </w:r>
      <w:r w:rsidR="0090098D">
        <w:rPr>
          <w:lang w:val="en-US"/>
        </w:rPr>
        <w:t xml:space="preserve">small </w:t>
      </w:r>
      <w:r w:rsidR="0097041D" w:rsidRPr="000E0A64">
        <w:rPr>
          <w:lang w:val="en-US"/>
        </w:rPr>
        <w:t xml:space="preserve">amount of units that will free up each year as non-forestry participants’ hedging volumes decline. </w:t>
      </w:r>
    </w:p>
    <w:bookmarkStart w:id="57" w:name="_Ref194415617"/>
    <w:p w14:paraId="3F7C5764" w14:textId="77777777" w:rsidR="00B30B88" w:rsidRDefault="00B30B88" w:rsidP="00B30B88">
      <w:pPr>
        <w:rPr>
          <w:lang w:val="en-US"/>
        </w:rPr>
      </w:pPr>
      <w:r w:rsidRPr="0048329C">
        <w:rPr>
          <w:b/>
          <w:lang w:val="en-US"/>
        </w:rPr>
        <w:fldChar w:fldCharType="begin"/>
      </w:r>
      <w:r w:rsidRPr="00C045A8">
        <w:rPr>
          <w:lang w:val="en-US"/>
        </w:rPr>
        <w:instrText xml:space="preserve"> REF _Ref194415617 \h  \* MERGEFORMAT </w:instrText>
      </w:r>
      <w:r w:rsidRPr="0048329C">
        <w:rPr>
          <w:b/>
          <w:lang w:val="en-US"/>
        </w:rPr>
      </w:r>
      <w:r w:rsidRPr="0048329C">
        <w:rPr>
          <w:b/>
          <w:lang w:val="en-US"/>
        </w:rPr>
        <w:fldChar w:fldCharType="separate"/>
      </w:r>
      <w:r w:rsidRPr="00E107F6">
        <w:rPr>
          <w:b/>
        </w:rPr>
        <w:t xml:space="preserve">Figure </w:t>
      </w:r>
      <w:r w:rsidRPr="00B30B88">
        <w:rPr>
          <w:b/>
          <w:bCs/>
        </w:rPr>
        <w:t>9</w:t>
      </w:r>
      <w:r w:rsidRPr="0048329C">
        <w:rPr>
          <w:b/>
          <w:lang w:val="en-US"/>
        </w:rPr>
        <w:fldChar w:fldCharType="end"/>
      </w:r>
      <w:r>
        <w:rPr>
          <w:lang w:val="en-US"/>
        </w:rPr>
        <w:t xml:space="preserve"> illustrates a theoretical </w:t>
      </w:r>
      <w:r w:rsidRPr="000E0A64">
        <w:rPr>
          <w:lang w:val="en-US"/>
        </w:rPr>
        <w:t>estimate of the surplus</w:t>
      </w:r>
      <w:r>
        <w:rPr>
          <w:lang w:val="en-US"/>
        </w:rPr>
        <w:t>,</w:t>
      </w:r>
      <w:r w:rsidRPr="000E0A64">
        <w:rPr>
          <w:lang w:val="en-US"/>
        </w:rPr>
        <w:t xml:space="preserve"> </w:t>
      </w:r>
      <w:r>
        <w:rPr>
          <w:lang w:val="en-US"/>
        </w:rPr>
        <w:t>if it were based on hedging and pre-1990 units held as of 2024</w:t>
      </w:r>
      <w:r w:rsidRPr="000E0A64">
        <w:rPr>
          <w:lang w:val="en-US"/>
        </w:rPr>
        <w:t xml:space="preserve">. If only this </w:t>
      </w:r>
      <w:r>
        <w:rPr>
          <w:lang w:val="en-US"/>
        </w:rPr>
        <w:t xml:space="preserve">‘2024’ surplus </w:t>
      </w:r>
      <w:r w:rsidRPr="000E0A64">
        <w:rPr>
          <w:lang w:val="en-US"/>
        </w:rPr>
        <w:t xml:space="preserve">volume is </w:t>
      </w:r>
      <w:r>
        <w:rPr>
          <w:lang w:val="en-US"/>
        </w:rPr>
        <w:t>drawn down by 2030</w:t>
      </w:r>
      <w:r w:rsidRPr="000E0A64">
        <w:rPr>
          <w:lang w:val="en-US"/>
        </w:rPr>
        <w:t xml:space="preserve">, </w:t>
      </w:r>
      <w:r>
        <w:rPr>
          <w:lang w:val="en-US"/>
        </w:rPr>
        <w:t xml:space="preserve">the </w:t>
      </w:r>
      <w:r w:rsidRPr="000E0A64">
        <w:rPr>
          <w:lang w:val="en-US"/>
        </w:rPr>
        <w:t xml:space="preserve">surplus </w:t>
      </w:r>
      <w:r>
        <w:rPr>
          <w:lang w:val="en-US"/>
        </w:rPr>
        <w:t xml:space="preserve">will persist past </w:t>
      </w:r>
      <w:r w:rsidRPr="000E0A64">
        <w:rPr>
          <w:lang w:val="en-US"/>
        </w:rPr>
        <w:t xml:space="preserve">2030 as </w:t>
      </w:r>
      <w:r>
        <w:rPr>
          <w:lang w:val="en-US"/>
        </w:rPr>
        <w:t xml:space="preserve">the </w:t>
      </w:r>
      <w:r w:rsidRPr="000E0A64">
        <w:rPr>
          <w:lang w:val="en-US"/>
        </w:rPr>
        <w:t xml:space="preserve">units held for </w:t>
      </w:r>
      <w:r>
        <w:rPr>
          <w:lang w:val="en-US"/>
        </w:rPr>
        <w:t>hedging</w:t>
      </w:r>
      <w:r w:rsidRPr="000E0A64">
        <w:rPr>
          <w:lang w:val="en-US"/>
        </w:rPr>
        <w:t xml:space="preserve"> are freed up</w:t>
      </w:r>
      <w:r>
        <w:rPr>
          <w:lang w:val="en-US"/>
        </w:rPr>
        <w:t xml:space="preserve"> and more pre-1990 units become available. </w:t>
      </w:r>
      <w:r w:rsidRPr="000E0A64">
        <w:rPr>
          <w:lang w:val="en-US"/>
        </w:rPr>
        <w:t xml:space="preserve"> </w:t>
      </w:r>
    </w:p>
    <w:p w14:paraId="4127E11E" w14:textId="77777777" w:rsidR="00B52948" w:rsidRDefault="00B52948">
      <w:pPr>
        <w:rPr>
          <w:rFonts w:ascii="Calibri" w:hAnsi="Calibri"/>
          <w:b/>
          <w:iCs/>
          <w:color w:val="44546A" w:themeColor="text2"/>
          <w:sz w:val="20"/>
          <w:szCs w:val="18"/>
          <w:lang w:val="en-US"/>
        </w:rPr>
      </w:pPr>
      <w:r>
        <w:br w:type="page"/>
      </w:r>
    </w:p>
    <w:p w14:paraId="6853382B" w14:textId="79D024FC" w:rsidR="00703225" w:rsidRPr="00EA3949" w:rsidRDefault="00703225" w:rsidP="00250B53">
      <w:pPr>
        <w:pStyle w:val="Caption"/>
      </w:pPr>
      <w:r w:rsidRPr="00E107F6">
        <w:t xml:space="preserve">Figure </w:t>
      </w:r>
      <w:r w:rsidRPr="00E107F6">
        <w:fldChar w:fldCharType="begin"/>
      </w:r>
      <w:r w:rsidRPr="00E107F6">
        <w:instrText xml:space="preserve"> SEQ Figure \* ARABIC </w:instrText>
      </w:r>
      <w:r w:rsidRPr="00E107F6">
        <w:fldChar w:fldCharType="separate"/>
      </w:r>
      <w:r w:rsidR="001B197E" w:rsidRPr="00D440B1">
        <w:t>9</w:t>
      </w:r>
      <w:r w:rsidRPr="00E107F6">
        <w:fldChar w:fldCharType="end"/>
      </w:r>
      <w:bookmarkEnd w:id="57"/>
      <w:r w:rsidR="00AB63FF" w:rsidRPr="00D440B1">
        <w:t>:</w:t>
      </w:r>
      <w:r w:rsidRPr="00E107F6">
        <w:t xml:space="preserve"> </w:t>
      </w:r>
      <w:r w:rsidRPr="00EA3949">
        <w:rPr>
          <w:b w:val="0"/>
        </w:rPr>
        <w:t xml:space="preserve">Components of the unit surplus </w:t>
      </w:r>
      <w:r w:rsidR="002E1C4A" w:rsidRPr="00EA3949">
        <w:rPr>
          <w:b w:val="0"/>
        </w:rPr>
        <w:t xml:space="preserve">if assessed using </w:t>
      </w:r>
      <w:r w:rsidR="00E667D6" w:rsidRPr="00EA3949">
        <w:rPr>
          <w:b w:val="0"/>
        </w:rPr>
        <w:t xml:space="preserve">hedging and pre-1990 </w:t>
      </w:r>
      <w:r w:rsidR="002474C1" w:rsidRPr="00EA3949">
        <w:rPr>
          <w:b w:val="0"/>
        </w:rPr>
        <w:t xml:space="preserve">units held </w:t>
      </w:r>
      <w:r w:rsidRPr="00EA3949">
        <w:rPr>
          <w:b w:val="0"/>
        </w:rPr>
        <w:t xml:space="preserve">at the end of 2024 </w:t>
      </w:r>
      <w:r w:rsidR="006B2254" w:rsidRPr="00EA3949">
        <w:rPr>
          <w:b w:val="0"/>
        </w:rPr>
        <w:t xml:space="preserve">compared to </w:t>
      </w:r>
      <w:r w:rsidR="004163D7" w:rsidRPr="00EA3949">
        <w:rPr>
          <w:b w:val="0"/>
        </w:rPr>
        <w:t>at the end of</w:t>
      </w:r>
      <w:r w:rsidR="001A08E0" w:rsidRPr="00EA3949">
        <w:rPr>
          <w:b w:val="0"/>
        </w:rPr>
        <w:t xml:space="preserve"> </w:t>
      </w:r>
      <w:r w:rsidRPr="00EA3949">
        <w:rPr>
          <w:b w:val="0"/>
        </w:rPr>
        <w:t>2030</w:t>
      </w:r>
      <w:r w:rsidR="00837BE4" w:rsidRPr="00EA3949">
        <w:rPr>
          <w:rStyle w:val="FootnoteReference"/>
          <w:b w:val="0"/>
        </w:rPr>
        <w:footnoteReference w:id="7"/>
      </w:r>
    </w:p>
    <w:p w14:paraId="4016DED3" w14:textId="5EB472FF" w:rsidR="00703225" w:rsidRDefault="00732E55" w:rsidP="00EA3949">
      <w:pPr>
        <w:rPr>
          <w:lang w:val="en-US"/>
        </w:rPr>
      </w:pPr>
      <w:r>
        <w:rPr>
          <w:noProof/>
        </w:rPr>
        <w:drawing>
          <wp:inline distT="0" distB="0" distL="0" distR="0" wp14:anchorId="5F83CE15" wp14:editId="66B7021F">
            <wp:extent cx="5563868" cy="3295290"/>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a:extLst>
                        <a:ext uri="{28A0092B-C50C-407E-A947-70E740481C1C}">
                          <a14:useLocalDpi xmlns:a14="http://schemas.microsoft.com/office/drawing/2010/main" val="0"/>
                        </a:ext>
                      </a:extLst>
                    </a:blip>
                    <a:srcRect b="8021"/>
                    <a:stretch/>
                  </pic:blipFill>
                  <pic:spPr bwMode="auto">
                    <a:xfrm>
                      <a:off x="0" y="0"/>
                      <a:ext cx="5683924" cy="3366395"/>
                    </a:xfrm>
                    <a:prstGeom prst="rect">
                      <a:avLst/>
                    </a:prstGeom>
                    <a:noFill/>
                    <a:ln>
                      <a:noFill/>
                    </a:ln>
                    <a:extLst>
                      <a:ext uri="{53640926-AAD7-44D8-BBD7-CCE9431645EC}">
                        <a14:shadowObscured xmlns:a14="http://schemas.microsoft.com/office/drawing/2010/main"/>
                      </a:ext>
                    </a:extLst>
                  </pic:spPr>
                </pic:pic>
              </a:graphicData>
            </a:graphic>
          </wp:inline>
        </w:drawing>
      </w:r>
    </w:p>
    <w:p w14:paraId="16AFD245" w14:textId="2DAE331E" w:rsidR="00FE1FA2" w:rsidRPr="000E0A64" w:rsidRDefault="00FE1FA2" w:rsidP="008649CF">
      <w:pPr>
        <w:rPr>
          <w:lang w:val="en-US"/>
        </w:rPr>
      </w:pPr>
      <w:r w:rsidRPr="00225DB4">
        <w:rPr>
          <w:sz w:val="20"/>
          <w:szCs w:val="20"/>
        </w:rPr>
        <w:t>Source: Commission analysis</w:t>
      </w:r>
    </w:p>
    <w:p w14:paraId="54E0BFE6" w14:textId="2064A90C" w:rsidR="003E7269" w:rsidRDefault="00287ED6" w:rsidP="006D5E5A">
      <w:r>
        <w:t xml:space="preserve">To estimate </w:t>
      </w:r>
      <w:r w:rsidR="006D5E5A">
        <w:t>the hedging volume in 2030</w:t>
      </w:r>
      <w:r>
        <w:t xml:space="preserve">, we have had to assume </w:t>
      </w:r>
      <w:r w:rsidR="00CC7CBD">
        <w:t>an</w:t>
      </w:r>
      <w:r w:rsidR="00BC1E90">
        <w:t xml:space="preserve"> NZ ETS</w:t>
      </w:r>
      <w:r w:rsidR="00CC7CBD">
        <w:t xml:space="preserve"> emissions cap </w:t>
      </w:r>
      <w:r w:rsidR="006D5E5A">
        <w:t xml:space="preserve">over </w:t>
      </w:r>
      <w:r w:rsidR="00CC7CBD">
        <w:t xml:space="preserve">the third </w:t>
      </w:r>
      <w:r w:rsidR="006D5E5A">
        <w:t>emissions budget</w:t>
      </w:r>
      <w:r w:rsidR="00CC7CBD">
        <w:t xml:space="preserve"> period. </w:t>
      </w:r>
      <w:r w:rsidR="008468A0">
        <w:t xml:space="preserve">We could not use the ERP2 </w:t>
      </w:r>
      <w:r w:rsidR="00705E5D">
        <w:t xml:space="preserve">emissions projections as the </w:t>
      </w:r>
      <w:r w:rsidR="004A63A3">
        <w:t xml:space="preserve">basis for the hedging volume, </w:t>
      </w:r>
      <w:r w:rsidR="006D5E5A">
        <w:t>because</w:t>
      </w:r>
      <w:r w:rsidR="004A63A3">
        <w:t xml:space="preserve"> th</w:t>
      </w:r>
      <w:r w:rsidR="00FE2E2D">
        <w:t>o</w:t>
      </w:r>
      <w:r w:rsidR="004A63A3">
        <w:t xml:space="preserve">se </w:t>
      </w:r>
      <w:r w:rsidR="006D5E5A">
        <w:t xml:space="preserve">projections </w:t>
      </w:r>
      <w:r w:rsidR="00CB5FA2">
        <w:t xml:space="preserve">do not meet the </w:t>
      </w:r>
      <w:r w:rsidR="001F2F21">
        <w:t xml:space="preserve">third emissions </w:t>
      </w:r>
      <w:r w:rsidR="00CB5FA2">
        <w:t>budget</w:t>
      </w:r>
      <w:r w:rsidR="006D5E5A">
        <w:t>.</w:t>
      </w:r>
      <w:r w:rsidR="009363CF">
        <w:t xml:space="preserve"> </w:t>
      </w:r>
    </w:p>
    <w:p w14:paraId="61180CD9" w14:textId="317E493C" w:rsidR="00AB24FA" w:rsidRDefault="009363CF" w:rsidP="006D5E5A">
      <w:r>
        <w:t xml:space="preserve">Instead, </w:t>
      </w:r>
      <w:r w:rsidR="00840AA5">
        <w:t xml:space="preserve">to provide an assumed emissions cap, </w:t>
      </w:r>
      <w:r>
        <w:t>we</w:t>
      </w:r>
      <w:r w:rsidR="00DF2B96">
        <w:t xml:space="preserve"> adjust</w:t>
      </w:r>
      <w:r w:rsidR="00840AA5">
        <w:t xml:space="preserve">ed </w:t>
      </w:r>
      <w:r w:rsidR="00DF2B96">
        <w:t xml:space="preserve">the emissions projections over 2031-2035 </w:t>
      </w:r>
      <w:r w:rsidR="00840AA5">
        <w:t xml:space="preserve">down </w:t>
      </w:r>
      <w:r w:rsidR="002D07D7">
        <w:t xml:space="preserve">to a level </w:t>
      </w:r>
      <w:r w:rsidR="002F0706">
        <w:t>slightly below the notified level of the third emissions budget</w:t>
      </w:r>
      <w:r w:rsidR="00840AA5">
        <w:t xml:space="preserve">. This is to </w:t>
      </w:r>
      <w:r w:rsidR="00970E7E">
        <w:t xml:space="preserve">align the assumed cap to </w:t>
      </w:r>
      <w:r w:rsidR="00540C5E">
        <w:t xml:space="preserve">a volume </w:t>
      </w:r>
      <w:r w:rsidR="006241D6">
        <w:t xml:space="preserve">reflecting </w:t>
      </w:r>
      <w:r w:rsidR="00B22003">
        <w:t>methodological update</w:t>
      </w:r>
      <w:r w:rsidR="00423C9C">
        <w:t xml:space="preserve">s to the </w:t>
      </w:r>
      <w:r w:rsidR="00160773">
        <w:t>GHG Inventory</w:t>
      </w:r>
      <w:r w:rsidR="00782E76">
        <w:t xml:space="preserve"> that have occurred since the budget was set</w:t>
      </w:r>
      <w:r w:rsidR="006241D6">
        <w:t xml:space="preserve"> (see the Commission’s 2024 NZ ETS settings advice</w:t>
      </w:r>
      <w:r w:rsidR="00863BC6">
        <w:t xml:space="preserve"> for an explanation o</w:t>
      </w:r>
      <w:r w:rsidR="00301441">
        <w:t>f</w:t>
      </w:r>
      <w:r w:rsidR="00863BC6">
        <w:t xml:space="preserve"> </w:t>
      </w:r>
      <w:r w:rsidR="00FB2F61">
        <w:t>the</w:t>
      </w:r>
      <w:r w:rsidR="00677A70">
        <w:t xml:space="preserve"> rationale for this</w:t>
      </w:r>
      <w:r w:rsidR="00FB2F61">
        <w:t>)</w:t>
      </w:r>
      <w:r w:rsidR="00782E76">
        <w:t>.</w:t>
      </w:r>
      <w:r w:rsidR="00DF5E45">
        <w:rPr>
          <w:rStyle w:val="EndnoteReference"/>
        </w:rPr>
        <w:endnoteReference w:id="10"/>
      </w:r>
      <w:r w:rsidR="00782E76">
        <w:t xml:space="preserve"> </w:t>
      </w:r>
      <w:r w:rsidR="00187AA4">
        <w:t>The adjustment was made by</w:t>
      </w:r>
      <w:r w:rsidR="004418F3">
        <w:t xml:space="preserve"> dividing</w:t>
      </w:r>
      <w:r w:rsidR="008002F1">
        <w:t xml:space="preserve"> the </w:t>
      </w:r>
      <w:r w:rsidR="001E7B8A">
        <w:t>10.4 MtCO</w:t>
      </w:r>
      <w:r w:rsidR="001E7B8A" w:rsidRPr="0087320B">
        <w:rPr>
          <w:vertAlign w:val="subscript"/>
        </w:rPr>
        <w:t>2</w:t>
      </w:r>
      <w:r w:rsidR="001E7B8A">
        <w:t xml:space="preserve">e </w:t>
      </w:r>
      <w:r w:rsidR="008002F1">
        <w:t>gap</w:t>
      </w:r>
      <w:r w:rsidR="00184631">
        <w:t xml:space="preserve"> </w:t>
      </w:r>
      <w:r w:rsidR="008002F1">
        <w:t>between the</w:t>
      </w:r>
      <w:r w:rsidR="00A718A2">
        <w:t xml:space="preserve"> projections and the </w:t>
      </w:r>
      <w:r w:rsidR="00A85581">
        <w:t xml:space="preserve">Inventory-adjusted budget </w:t>
      </w:r>
      <w:r w:rsidR="00C60D21">
        <w:t xml:space="preserve">volume </w:t>
      </w:r>
      <w:r w:rsidR="0005127B">
        <w:t xml:space="preserve">by </w:t>
      </w:r>
      <w:r w:rsidR="00890124">
        <w:t>five</w:t>
      </w:r>
      <w:r w:rsidR="00994AF7">
        <w:t>,</w:t>
      </w:r>
      <w:r w:rsidR="00890124">
        <w:t xml:space="preserve"> and subtracting the resulting volume from </w:t>
      </w:r>
      <w:r w:rsidR="0062530B">
        <w:t xml:space="preserve">each year of </w:t>
      </w:r>
      <w:r w:rsidR="00890124">
        <w:t xml:space="preserve">the projections </w:t>
      </w:r>
      <w:r w:rsidR="00794264">
        <w:t xml:space="preserve">for NZ ETS sectors over </w:t>
      </w:r>
      <w:r w:rsidR="00890124">
        <w:t>2031-2035.</w:t>
      </w:r>
      <w:r w:rsidR="00EF215F">
        <w:rPr>
          <w:rStyle w:val="FootnoteReference"/>
        </w:rPr>
        <w:footnoteReference w:id="8"/>
      </w:r>
      <w:r w:rsidR="00794264">
        <w:t xml:space="preserve"> </w:t>
      </w:r>
      <w:r w:rsidR="0054538F">
        <w:t xml:space="preserve">See the </w:t>
      </w:r>
      <w:r w:rsidR="00124B74">
        <w:t xml:space="preserve">text </w:t>
      </w:r>
      <w:r w:rsidR="007468DB">
        <w:t xml:space="preserve">on hedging volumes </w:t>
      </w:r>
      <w:r w:rsidR="00CE032E">
        <w:t xml:space="preserve">in </w:t>
      </w:r>
      <w:r w:rsidR="00CE032E" w:rsidRPr="00D440B1">
        <w:rPr>
          <w:i/>
          <w:iCs/>
        </w:rPr>
        <w:t xml:space="preserve">Part </w:t>
      </w:r>
      <w:r w:rsidR="00BC0A06" w:rsidRPr="00D440B1">
        <w:rPr>
          <w:i/>
          <w:iCs/>
        </w:rPr>
        <w:t>3: Units limits</w:t>
      </w:r>
      <w:r w:rsidR="00BC0A06">
        <w:t xml:space="preserve"> in the </w:t>
      </w:r>
      <w:r w:rsidR="0054538F">
        <w:t>main report</w:t>
      </w:r>
      <w:r w:rsidR="006E6F54">
        <w:t xml:space="preserve"> for further commentary about </w:t>
      </w:r>
      <w:r w:rsidR="00E84CFB">
        <w:t xml:space="preserve">this </w:t>
      </w:r>
      <w:r w:rsidR="001B5C6E">
        <w:t xml:space="preserve">choice. </w:t>
      </w:r>
      <w:r w:rsidR="0054538F">
        <w:t xml:space="preserve"> </w:t>
      </w:r>
      <w:r w:rsidR="00890124">
        <w:t xml:space="preserve"> </w:t>
      </w:r>
      <w:r w:rsidR="004418F3">
        <w:t xml:space="preserve"> </w:t>
      </w:r>
      <w:r w:rsidR="00187AA4">
        <w:t xml:space="preserve"> </w:t>
      </w:r>
    </w:p>
    <w:p w14:paraId="3E8A50BE" w14:textId="173D3F1B" w:rsidR="002F4D8B" w:rsidRDefault="00C045A8" w:rsidP="00606C5E">
      <w:r w:rsidRPr="00CE420A">
        <w:rPr>
          <w:b/>
        </w:rPr>
        <w:fldChar w:fldCharType="begin"/>
      </w:r>
      <w:r w:rsidRPr="00CE420A">
        <w:instrText xml:space="preserve"> REF _Ref194415588 \h  \* MERGEFORMAT </w:instrText>
      </w:r>
      <w:r w:rsidRPr="00CE420A">
        <w:rPr>
          <w:b/>
        </w:rPr>
      </w:r>
      <w:r w:rsidRPr="00CE420A">
        <w:rPr>
          <w:b/>
        </w:rPr>
        <w:fldChar w:fldCharType="separate"/>
      </w:r>
      <w:r w:rsidR="00ED061C" w:rsidRPr="00CE420A">
        <w:rPr>
          <w:b/>
          <w:bCs/>
        </w:rPr>
        <w:t xml:space="preserve">Table </w:t>
      </w:r>
      <w:r w:rsidR="001D119D" w:rsidRPr="001D119D">
        <w:rPr>
          <w:b/>
          <w:bCs/>
        </w:rPr>
        <w:t>11</w:t>
      </w:r>
      <w:r w:rsidRPr="00CE420A">
        <w:rPr>
          <w:b/>
        </w:rPr>
        <w:fldChar w:fldCharType="end"/>
      </w:r>
      <w:r>
        <w:t xml:space="preserve"> </w:t>
      </w:r>
      <w:r w:rsidR="002F4D8B">
        <w:t xml:space="preserve">shows </w:t>
      </w:r>
      <w:r w:rsidR="005A0311">
        <w:t>the result</w:t>
      </w:r>
      <w:r w:rsidR="00B83F7C">
        <w:t>ing hedging</w:t>
      </w:r>
      <w:r w:rsidR="005A0311">
        <w:t xml:space="preserve"> volumes by sector estimated to be held</w:t>
      </w:r>
      <w:r w:rsidR="00CD6D98">
        <w:t xml:space="preserve"> in 2030</w:t>
      </w:r>
      <w:r w:rsidR="00B447F8">
        <w:t xml:space="preserve">. </w:t>
      </w:r>
    </w:p>
    <w:p w14:paraId="0FE49B02" w14:textId="701BE035" w:rsidR="00BA162C" w:rsidRDefault="00BA162C" w:rsidP="00250B53">
      <w:pPr>
        <w:pStyle w:val="Caption"/>
      </w:pPr>
      <w:bookmarkStart w:id="58" w:name="_Ref194415588"/>
      <w:r w:rsidRPr="00847D78">
        <w:t xml:space="preserve">Table </w:t>
      </w:r>
      <w:r w:rsidRPr="00847D78">
        <w:fldChar w:fldCharType="begin"/>
      </w:r>
      <w:r w:rsidRPr="00847D78">
        <w:instrText xml:space="preserve"> SEQ Table \* ARABIC </w:instrText>
      </w:r>
      <w:r w:rsidRPr="00847D78">
        <w:fldChar w:fldCharType="separate"/>
      </w:r>
      <w:r w:rsidR="001D119D">
        <w:rPr>
          <w:noProof/>
        </w:rPr>
        <w:t>11</w:t>
      </w:r>
      <w:r w:rsidRPr="00847D78">
        <w:fldChar w:fldCharType="end"/>
      </w:r>
      <w:bookmarkEnd w:id="58"/>
      <w:r w:rsidR="00AB63FF" w:rsidRPr="00847D78">
        <w:t>:</w:t>
      </w:r>
      <w:r w:rsidRPr="00847D78">
        <w:t xml:space="preserve"> </w:t>
      </w:r>
      <w:r w:rsidRPr="00EA3949">
        <w:rPr>
          <w:b w:val="0"/>
        </w:rPr>
        <w:t xml:space="preserve">Estimated range of </w:t>
      </w:r>
      <w:r w:rsidR="00D02557" w:rsidRPr="00EA3949">
        <w:rPr>
          <w:b w:val="0"/>
        </w:rPr>
        <w:t xml:space="preserve">forward hedging volumes </w:t>
      </w:r>
      <w:r w:rsidRPr="00EA3949">
        <w:rPr>
          <w:b w:val="0"/>
        </w:rPr>
        <w:t xml:space="preserve">in 2030 by sector </w:t>
      </w:r>
      <w:r w:rsidR="00E82303" w:rsidRPr="00EA3949">
        <w:rPr>
          <w:b w:val="0"/>
        </w:rPr>
        <w:t>and scenario</w:t>
      </w:r>
      <w:r w:rsidR="00E82303">
        <w:t xml:space="preserve"> </w:t>
      </w:r>
    </w:p>
    <w:tbl>
      <w:tblPr>
        <w:tblStyle w:val="TableGrid"/>
        <w:tblW w:w="0" w:type="auto"/>
        <w:tblLook w:val="04A0" w:firstRow="1" w:lastRow="0" w:firstColumn="1" w:lastColumn="0" w:noHBand="0" w:noVBand="1"/>
      </w:tblPr>
      <w:tblGrid>
        <w:gridCol w:w="2746"/>
        <w:gridCol w:w="2090"/>
        <w:gridCol w:w="2090"/>
        <w:gridCol w:w="2090"/>
      </w:tblGrid>
      <w:tr w:rsidR="00B76553" w:rsidRPr="00A2295F" w14:paraId="46884318" w14:textId="77777777" w:rsidTr="00550764">
        <w:trPr>
          <w:trHeight w:val="300"/>
        </w:trPr>
        <w:tc>
          <w:tcPr>
            <w:tcW w:w="2746" w:type="dxa"/>
            <w:shd w:val="clear" w:color="auto" w:fill="002060"/>
            <w:noWrap/>
            <w:tcMar>
              <w:top w:w="28" w:type="dxa"/>
              <w:bottom w:w="28" w:type="dxa"/>
            </w:tcMar>
            <w:hideMark/>
          </w:tcPr>
          <w:p w14:paraId="6898540D" w14:textId="51925FE3" w:rsidR="00B76553" w:rsidRPr="00550764" w:rsidRDefault="00C6360A" w:rsidP="00066A70">
            <w:pPr>
              <w:spacing w:after="120"/>
              <w:rPr>
                <w:rFonts w:cstheme="minorHAnsi"/>
                <w:b/>
                <w:color w:val="FFFFFF" w:themeColor="background1"/>
                <w:sz w:val="20"/>
                <w:szCs w:val="20"/>
              </w:rPr>
            </w:pPr>
            <w:r w:rsidRPr="00550764">
              <w:rPr>
                <w:rFonts w:cstheme="minorHAnsi"/>
                <w:b/>
                <w:color w:val="FFFFFF" w:themeColor="background1"/>
                <w:sz w:val="20"/>
                <w:szCs w:val="20"/>
              </w:rPr>
              <w:t>Sector</w:t>
            </w:r>
            <w:r w:rsidR="005C5B1E" w:rsidRPr="00550764">
              <w:rPr>
                <w:rFonts w:cstheme="minorHAnsi"/>
                <w:b/>
                <w:color w:val="FFFFFF" w:themeColor="background1"/>
                <w:sz w:val="20"/>
                <w:szCs w:val="20"/>
              </w:rPr>
              <w:t xml:space="preserve"> (Million NZUs)</w:t>
            </w:r>
          </w:p>
        </w:tc>
        <w:tc>
          <w:tcPr>
            <w:tcW w:w="2090" w:type="dxa"/>
            <w:shd w:val="clear" w:color="auto" w:fill="002060"/>
            <w:noWrap/>
            <w:tcMar>
              <w:top w:w="28" w:type="dxa"/>
              <w:bottom w:w="28" w:type="dxa"/>
            </w:tcMar>
            <w:hideMark/>
          </w:tcPr>
          <w:p w14:paraId="36DD5835" w14:textId="3E520C3B" w:rsidR="00B76553" w:rsidRPr="00550764" w:rsidRDefault="00485E32" w:rsidP="00066A70">
            <w:pPr>
              <w:spacing w:after="120"/>
              <w:rPr>
                <w:rFonts w:cstheme="minorHAnsi"/>
                <w:b/>
                <w:color w:val="FFFFFF" w:themeColor="background1"/>
                <w:sz w:val="20"/>
                <w:szCs w:val="20"/>
              </w:rPr>
            </w:pPr>
            <w:r w:rsidRPr="00550764">
              <w:rPr>
                <w:rFonts w:cstheme="minorHAnsi"/>
                <w:b/>
                <w:color w:val="FFFFFF" w:themeColor="background1"/>
                <w:sz w:val="20"/>
                <w:szCs w:val="20"/>
              </w:rPr>
              <w:t>Low</w:t>
            </w:r>
          </w:p>
        </w:tc>
        <w:tc>
          <w:tcPr>
            <w:tcW w:w="2090" w:type="dxa"/>
            <w:shd w:val="clear" w:color="auto" w:fill="002060"/>
            <w:noWrap/>
            <w:tcMar>
              <w:top w:w="28" w:type="dxa"/>
              <w:bottom w:w="28" w:type="dxa"/>
            </w:tcMar>
            <w:hideMark/>
          </w:tcPr>
          <w:p w14:paraId="648DA8CB" w14:textId="77777777" w:rsidR="00B76553" w:rsidRPr="00550764" w:rsidRDefault="00B76553" w:rsidP="00066A70">
            <w:pPr>
              <w:spacing w:after="120"/>
              <w:rPr>
                <w:rFonts w:cstheme="minorHAnsi"/>
                <w:b/>
                <w:color w:val="FFFFFF" w:themeColor="background1"/>
                <w:sz w:val="20"/>
                <w:szCs w:val="20"/>
              </w:rPr>
            </w:pPr>
            <w:r w:rsidRPr="00550764">
              <w:rPr>
                <w:rFonts w:cstheme="minorHAnsi"/>
                <w:b/>
                <w:color w:val="FFFFFF" w:themeColor="background1"/>
                <w:sz w:val="20"/>
                <w:szCs w:val="20"/>
              </w:rPr>
              <w:t>Central</w:t>
            </w:r>
          </w:p>
        </w:tc>
        <w:tc>
          <w:tcPr>
            <w:tcW w:w="2090" w:type="dxa"/>
            <w:shd w:val="clear" w:color="auto" w:fill="002060"/>
            <w:noWrap/>
            <w:tcMar>
              <w:top w:w="28" w:type="dxa"/>
              <w:bottom w:w="28" w:type="dxa"/>
            </w:tcMar>
            <w:hideMark/>
          </w:tcPr>
          <w:p w14:paraId="29914EC9" w14:textId="7DB2B01E" w:rsidR="00B76553" w:rsidRPr="00550764" w:rsidRDefault="00485E32" w:rsidP="00066A70">
            <w:pPr>
              <w:spacing w:after="120"/>
              <w:rPr>
                <w:rFonts w:cstheme="minorHAnsi"/>
                <w:b/>
                <w:color w:val="FFFFFF" w:themeColor="background1"/>
                <w:sz w:val="20"/>
                <w:szCs w:val="20"/>
              </w:rPr>
            </w:pPr>
            <w:r w:rsidRPr="00550764">
              <w:rPr>
                <w:rFonts w:cstheme="minorHAnsi"/>
                <w:b/>
                <w:color w:val="FFFFFF" w:themeColor="background1"/>
                <w:sz w:val="20"/>
                <w:szCs w:val="20"/>
              </w:rPr>
              <w:t>High</w:t>
            </w:r>
          </w:p>
        </w:tc>
      </w:tr>
      <w:tr w:rsidR="00B76553" w:rsidRPr="00A2295F" w14:paraId="52477E84" w14:textId="77777777" w:rsidTr="00550764">
        <w:trPr>
          <w:trHeight w:val="300"/>
        </w:trPr>
        <w:tc>
          <w:tcPr>
            <w:tcW w:w="2746" w:type="dxa"/>
            <w:noWrap/>
            <w:tcMar>
              <w:top w:w="28" w:type="dxa"/>
              <w:bottom w:w="28" w:type="dxa"/>
            </w:tcMar>
            <w:hideMark/>
          </w:tcPr>
          <w:p w14:paraId="7482D3E5" w14:textId="77777777" w:rsidR="00B76553" w:rsidRPr="00550764" w:rsidRDefault="00B76553" w:rsidP="00066A70">
            <w:pPr>
              <w:spacing w:after="120"/>
              <w:rPr>
                <w:rFonts w:cstheme="minorHAnsi"/>
                <w:sz w:val="20"/>
                <w:szCs w:val="20"/>
              </w:rPr>
            </w:pPr>
            <w:r w:rsidRPr="00550764">
              <w:rPr>
                <w:rFonts w:cstheme="minorHAnsi"/>
                <w:sz w:val="20"/>
                <w:szCs w:val="20"/>
              </w:rPr>
              <w:t>Liquid fossil fuels</w:t>
            </w:r>
          </w:p>
        </w:tc>
        <w:tc>
          <w:tcPr>
            <w:tcW w:w="2090" w:type="dxa"/>
            <w:noWrap/>
            <w:tcMar>
              <w:top w:w="28" w:type="dxa"/>
              <w:bottom w:w="28" w:type="dxa"/>
            </w:tcMar>
            <w:vAlign w:val="center"/>
            <w:hideMark/>
          </w:tcPr>
          <w:p w14:paraId="5A07F2C6" w14:textId="4E463552" w:rsidR="00B76553" w:rsidRPr="00550764" w:rsidRDefault="00B76553" w:rsidP="00C2460A">
            <w:pPr>
              <w:spacing w:after="120"/>
              <w:jc w:val="right"/>
              <w:rPr>
                <w:rFonts w:cstheme="minorHAnsi"/>
                <w:sz w:val="20"/>
                <w:szCs w:val="20"/>
              </w:rPr>
            </w:pPr>
            <w:r w:rsidRPr="00550764">
              <w:rPr>
                <w:rFonts w:cstheme="minorHAnsi"/>
                <w:color w:val="000000"/>
                <w:sz w:val="20"/>
                <w:szCs w:val="20"/>
              </w:rPr>
              <w:t>3</w:t>
            </w:r>
            <w:r w:rsidR="00485E32" w:rsidRPr="00550764">
              <w:rPr>
                <w:rFonts w:cstheme="minorHAnsi"/>
                <w:color w:val="000000"/>
                <w:sz w:val="20"/>
                <w:szCs w:val="20"/>
              </w:rPr>
              <w:t>.7</w:t>
            </w:r>
            <w:r w:rsidRPr="00550764">
              <w:rPr>
                <w:rFonts w:cstheme="minorHAnsi"/>
                <w:color w:val="000000"/>
                <w:sz w:val="20"/>
                <w:szCs w:val="20"/>
              </w:rPr>
              <w:t xml:space="preserve"> </w:t>
            </w:r>
          </w:p>
        </w:tc>
        <w:tc>
          <w:tcPr>
            <w:tcW w:w="2090" w:type="dxa"/>
            <w:noWrap/>
            <w:tcMar>
              <w:top w:w="28" w:type="dxa"/>
              <w:bottom w:w="28" w:type="dxa"/>
            </w:tcMar>
            <w:vAlign w:val="center"/>
            <w:hideMark/>
          </w:tcPr>
          <w:p w14:paraId="7DF9760F" w14:textId="03D604DF" w:rsidR="00B76553" w:rsidRPr="00550764" w:rsidRDefault="00B76553" w:rsidP="00C2460A">
            <w:pPr>
              <w:spacing w:after="120"/>
              <w:jc w:val="right"/>
              <w:rPr>
                <w:rFonts w:cstheme="minorHAnsi"/>
                <w:sz w:val="20"/>
                <w:szCs w:val="20"/>
              </w:rPr>
            </w:pPr>
            <w:r w:rsidRPr="00550764">
              <w:rPr>
                <w:rFonts w:cstheme="minorHAnsi"/>
                <w:color w:val="000000"/>
                <w:sz w:val="20"/>
                <w:szCs w:val="20"/>
              </w:rPr>
              <w:t xml:space="preserve">4.9 </w:t>
            </w:r>
          </w:p>
        </w:tc>
        <w:tc>
          <w:tcPr>
            <w:tcW w:w="2090" w:type="dxa"/>
            <w:noWrap/>
            <w:tcMar>
              <w:top w:w="28" w:type="dxa"/>
              <w:bottom w:w="28" w:type="dxa"/>
            </w:tcMar>
            <w:vAlign w:val="center"/>
            <w:hideMark/>
          </w:tcPr>
          <w:p w14:paraId="66331F5F" w14:textId="52D31CC6" w:rsidR="00B76553" w:rsidRPr="00550764" w:rsidRDefault="00485E32" w:rsidP="00C2460A">
            <w:pPr>
              <w:spacing w:after="120"/>
              <w:jc w:val="right"/>
              <w:rPr>
                <w:rFonts w:cstheme="minorHAnsi"/>
                <w:sz w:val="20"/>
                <w:szCs w:val="20"/>
              </w:rPr>
            </w:pPr>
            <w:r w:rsidRPr="00550764">
              <w:rPr>
                <w:rFonts w:cstheme="minorHAnsi"/>
                <w:color w:val="000000"/>
                <w:sz w:val="20"/>
                <w:szCs w:val="20"/>
              </w:rPr>
              <w:t>6.</w:t>
            </w:r>
            <w:r w:rsidR="00B76553" w:rsidRPr="00550764">
              <w:rPr>
                <w:rFonts w:cstheme="minorHAnsi"/>
                <w:color w:val="000000"/>
                <w:sz w:val="20"/>
                <w:szCs w:val="20"/>
              </w:rPr>
              <w:t xml:space="preserve">3 </w:t>
            </w:r>
          </w:p>
        </w:tc>
      </w:tr>
      <w:tr w:rsidR="00B76553" w:rsidRPr="00A2295F" w14:paraId="4A5566FF" w14:textId="77777777" w:rsidTr="00550764">
        <w:trPr>
          <w:trHeight w:val="300"/>
        </w:trPr>
        <w:tc>
          <w:tcPr>
            <w:tcW w:w="2746" w:type="dxa"/>
            <w:noWrap/>
            <w:tcMar>
              <w:top w:w="28" w:type="dxa"/>
              <w:bottom w:w="28" w:type="dxa"/>
            </w:tcMar>
            <w:hideMark/>
          </w:tcPr>
          <w:p w14:paraId="1BCD6339" w14:textId="77777777" w:rsidR="00B76553" w:rsidRPr="00550764" w:rsidRDefault="00B76553" w:rsidP="00066A70">
            <w:pPr>
              <w:spacing w:after="120"/>
              <w:rPr>
                <w:rFonts w:cstheme="minorHAnsi"/>
                <w:sz w:val="20"/>
                <w:szCs w:val="20"/>
              </w:rPr>
            </w:pPr>
            <w:r w:rsidRPr="00550764">
              <w:rPr>
                <w:rFonts w:cstheme="minorHAnsi"/>
                <w:sz w:val="20"/>
                <w:szCs w:val="20"/>
              </w:rPr>
              <w:t>Stationary energy</w:t>
            </w:r>
          </w:p>
        </w:tc>
        <w:tc>
          <w:tcPr>
            <w:tcW w:w="2090" w:type="dxa"/>
            <w:noWrap/>
            <w:tcMar>
              <w:top w:w="28" w:type="dxa"/>
              <w:bottom w:w="28" w:type="dxa"/>
            </w:tcMar>
            <w:vAlign w:val="center"/>
            <w:hideMark/>
          </w:tcPr>
          <w:p w14:paraId="3164504F" w14:textId="0F23F720" w:rsidR="00B76553" w:rsidRPr="00550764" w:rsidRDefault="00485E32" w:rsidP="00C2460A">
            <w:pPr>
              <w:spacing w:after="120"/>
              <w:jc w:val="right"/>
              <w:rPr>
                <w:rFonts w:cstheme="minorHAnsi"/>
                <w:sz w:val="20"/>
                <w:szCs w:val="20"/>
              </w:rPr>
            </w:pPr>
            <w:r w:rsidRPr="00550764">
              <w:rPr>
                <w:rFonts w:cstheme="minorHAnsi"/>
                <w:color w:val="000000"/>
                <w:sz w:val="20"/>
                <w:szCs w:val="20"/>
              </w:rPr>
              <w:t xml:space="preserve">8.2 </w:t>
            </w:r>
          </w:p>
        </w:tc>
        <w:tc>
          <w:tcPr>
            <w:tcW w:w="2090" w:type="dxa"/>
            <w:noWrap/>
            <w:tcMar>
              <w:top w:w="28" w:type="dxa"/>
              <w:bottom w:w="28" w:type="dxa"/>
            </w:tcMar>
            <w:vAlign w:val="center"/>
            <w:hideMark/>
          </w:tcPr>
          <w:p w14:paraId="7069AEED" w14:textId="40FADED8" w:rsidR="00B76553" w:rsidRPr="00550764" w:rsidRDefault="00B76553" w:rsidP="00C2460A">
            <w:pPr>
              <w:spacing w:after="120"/>
              <w:jc w:val="right"/>
              <w:rPr>
                <w:rFonts w:cstheme="minorHAnsi"/>
                <w:sz w:val="20"/>
                <w:szCs w:val="20"/>
              </w:rPr>
            </w:pPr>
            <w:r w:rsidRPr="00550764">
              <w:rPr>
                <w:rFonts w:cstheme="minorHAnsi"/>
                <w:color w:val="000000"/>
                <w:sz w:val="20"/>
                <w:szCs w:val="20"/>
              </w:rPr>
              <w:t xml:space="preserve">11.0 </w:t>
            </w:r>
          </w:p>
        </w:tc>
        <w:tc>
          <w:tcPr>
            <w:tcW w:w="2090" w:type="dxa"/>
            <w:noWrap/>
            <w:tcMar>
              <w:top w:w="28" w:type="dxa"/>
              <w:bottom w:w="28" w:type="dxa"/>
            </w:tcMar>
            <w:vAlign w:val="center"/>
            <w:hideMark/>
          </w:tcPr>
          <w:p w14:paraId="2168BE33" w14:textId="0DEDCBCA" w:rsidR="00B76553" w:rsidRPr="00550764" w:rsidRDefault="00485E32" w:rsidP="00C2460A">
            <w:pPr>
              <w:spacing w:after="120"/>
              <w:jc w:val="right"/>
              <w:rPr>
                <w:rFonts w:cstheme="minorHAnsi"/>
                <w:sz w:val="20"/>
                <w:szCs w:val="20"/>
              </w:rPr>
            </w:pPr>
            <w:r w:rsidRPr="00550764">
              <w:rPr>
                <w:rFonts w:cstheme="minorHAnsi"/>
                <w:color w:val="000000"/>
                <w:sz w:val="20"/>
                <w:szCs w:val="20"/>
              </w:rPr>
              <w:t xml:space="preserve">13.7 </w:t>
            </w:r>
          </w:p>
        </w:tc>
      </w:tr>
      <w:tr w:rsidR="00B76553" w:rsidRPr="00A2295F" w14:paraId="750A14B3" w14:textId="77777777" w:rsidTr="00550764">
        <w:trPr>
          <w:trHeight w:val="300"/>
        </w:trPr>
        <w:tc>
          <w:tcPr>
            <w:tcW w:w="2746" w:type="dxa"/>
            <w:noWrap/>
            <w:tcMar>
              <w:top w:w="28" w:type="dxa"/>
              <w:bottom w:w="28" w:type="dxa"/>
            </w:tcMar>
            <w:hideMark/>
          </w:tcPr>
          <w:p w14:paraId="495D0E84" w14:textId="77777777" w:rsidR="00B76553" w:rsidRPr="00550764" w:rsidRDefault="00B76553" w:rsidP="00066A70">
            <w:pPr>
              <w:spacing w:after="120"/>
              <w:rPr>
                <w:rFonts w:cstheme="minorHAnsi"/>
                <w:sz w:val="20"/>
                <w:szCs w:val="20"/>
              </w:rPr>
            </w:pPr>
            <w:r w:rsidRPr="00550764">
              <w:rPr>
                <w:rFonts w:cstheme="minorHAnsi"/>
                <w:sz w:val="20"/>
                <w:szCs w:val="20"/>
              </w:rPr>
              <w:t>IPPU and F-gases</w:t>
            </w:r>
          </w:p>
        </w:tc>
        <w:tc>
          <w:tcPr>
            <w:tcW w:w="2090" w:type="dxa"/>
            <w:noWrap/>
            <w:tcMar>
              <w:top w:w="28" w:type="dxa"/>
              <w:bottom w:w="28" w:type="dxa"/>
            </w:tcMar>
            <w:vAlign w:val="center"/>
            <w:hideMark/>
          </w:tcPr>
          <w:p w14:paraId="1202BB8B" w14:textId="4D474EF0" w:rsidR="00B76553" w:rsidRPr="00550764" w:rsidRDefault="00485E32" w:rsidP="00C2460A">
            <w:pPr>
              <w:spacing w:after="120"/>
              <w:jc w:val="right"/>
              <w:rPr>
                <w:rFonts w:cstheme="minorHAnsi"/>
                <w:sz w:val="20"/>
                <w:szCs w:val="20"/>
              </w:rPr>
            </w:pPr>
            <w:r w:rsidRPr="00550764">
              <w:rPr>
                <w:rFonts w:cstheme="minorHAnsi"/>
                <w:color w:val="000000"/>
                <w:sz w:val="20"/>
                <w:szCs w:val="20"/>
              </w:rPr>
              <w:t>0.8</w:t>
            </w:r>
            <w:r w:rsidR="00B76553" w:rsidRPr="00550764">
              <w:rPr>
                <w:rFonts w:cstheme="minorHAnsi"/>
                <w:color w:val="000000"/>
                <w:sz w:val="20"/>
                <w:szCs w:val="20"/>
              </w:rPr>
              <w:t xml:space="preserve"> </w:t>
            </w:r>
          </w:p>
        </w:tc>
        <w:tc>
          <w:tcPr>
            <w:tcW w:w="2090" w:type="dxa"/>
            <w:noWrap/>
            <w:tcMar>
              <w:top w:w="28" w:type="dxa"/>
              <w:bottom w:w="28" w:type="dxa"/>
            </w:tcMar>
            <w:vAlign w:val="center"/>
            <w:hideMark/>
          </w:tcPr>
          <w:p w14:paraId="0DE171F4" w14:textId="41C0626B" w:rsidR="00B76553" w:rsidRPr="00550764" w:rsidRDefault="00B76553" w:rsidP="00C2460A">
            <w:pPr>
              <w:spacing w:after="120"/>
              <w:jc w:val="right"/>
              <w:rPr>
                <w:rFonts w:cstheme="minorHAnsi"/>
                <w:sz w:val="20"/>
                <w:szCs w:val="20"/>
              </w:rPr>
            </w:pPr>
            <w:r w:rsidRPr="00550764">
              <w:rPr>
                <w:rFonts w:cstheme="minorHAnsi"/>
                <w:color w:val="000000"/>
                <w:sz w:val="20"/>
                <w:szCs w:val="20"/>
              </w:rPr>
              <w:t xml:space="preserve">0.9 </w:t>
            </w:r>
          </w:p>
        </w:tc>
        <w:tc>
          <w:tcPr>
            <w:tcW w:w="2090" w:type="dxa"/>
            <w:noWrap/>
            <w:tcMar>
              <w:top w:w="28" w:type="dxa"/>
              <w:bottom w:w="28" w:type="dxa"/>
            </w:tcMar>
            <w:vAlign w:val="center"/>
            <w:hideMark/>
          </w:tcPr>
          <w:p w14:paraId="1CDD68CC" w14:textId="033A7392" w:rsidR="00B76553" w:rsidRPr="00550764" w:rsidRDefault="00485E32" w:rsidP="00C2460A">
            <w:pPr>
              <w:spacing w:after="120"/>
              <w:jc w:val="right"/>
              <w:rPr>
                <w:rFonts w:cstheme="minorHAnsi"/>
                <w:sz w:val="20"/>
                <w:szCs w:val="20"/>
              </w:rPr>
            </w:pPr>
            <w:r w:rsidRPr="00550764">
              <w:rPr>
                <w:rFonts w:cstheme="minorHAnsi"/>
                <w:color w:val="000000"/>
                <w:sz w:val="20"/>
                <w:szCs w:val="20"/>
              </w:rPr>
              <w:t>1.1</w:t>
            </w:r>
            <w:r w:rsidR="00B76553" w:rsidRPr="00550764">
              <w:rPr>
                <w:rFonts w:cstheme="minorHAnsi"/>
                <w:color w:val="000000"/>
                <w:sz w:val="20"/>
                <w:szCs w:val="20"/>
              </w:rPr>
              <w:t xml:space="preserve"> </w:t>
            </w:r>
          </w:p>
        </w:tc>
      </w:tr>
      <w:tr w:rsidR="00B76553" w:rsidRPr="00A2295F" w14:paraId="4CD7D543" w14:textId="77777777" w:rsidTr="00550764">
        <w:trPr>
          <w:trHeight w:val="300"/>
        </w:trPr>
        <w:tc>
          <w:tcPr>
            <w:tcW w:w="2746" w:type="dxa"/>
            <w:noWrap/>
            <w:tcMar>
              <w:top w:w="28" w:type="dxa"/>
              <w:bottom w:w="28" w:type="dxa"/>
            </w:tcMar>
            <w:hideMark/>
          </w:tcPr>
          <w:p w14:paraId="1EC918E1" w14:textId="791D4319" w:rsidR="00B76553" w:rsidRPr="00550764" w:rsidRDefault="00485E32" w:rsidP="00066A70">
            <w:pPr>
              <w:spacing w:after="120"/>
              <w:rPr>
                <w:rFonts w:cstheme="minorHAnsi"/>
                <w:sz w:val="20"/>
                <w:szCs w:val="20"/>
              </w:rPr>
            </w:pPr>
            <w:r w:rsidRPr="00550764">
              <w:rPr>
                <w:rFonts w:cstheme="minorHAnsi"/>
                <w:sz w:val="20"/>
                <w:szCs w:val="20"/>
              </w:rPr>
              <w:t>Waste</w:t>
            </w:r>
          </w:p>
        </w:tc>
        <w:tc>
          <w:tcPr>
            <w:tcW w:w="2090" w:type="dxa"/>
            <w:noWrap/>
            <w:tcMar>
              <w:top w:w="28" w:type="dxa"/>
              <w:bottom w:w="28" w:type="dxa"/>
            </w:tcMar>
            <w:vAlign w:val="center"/>
            <w:hideMark/>
          </w:tcPr>
          <w:p w14:paraId="23CC4156" w14:textId="15FDA26C" w:rsidR="00B76553" w:rsidRPr="00550764" w:rsidRDefault="00B76553" w:rsidP="00C2460A">
            <w:pPr>
              <w:spacing w:after="120"/>
              <w:jc w:val="right"/>
              <w:rPr>
                <w:rFonts w:cstheme="minorHAnsi"/>
                <w:sz w:val="20"/>
                <w:szCs w:val="20"/>
              </w:rPr>
            </w:pPr>
            <w:r w:rsidRPr="00550764">
              <w:rPr>
                <w:rFonts w:cstheme="minorHAnsi"/>
                <w:color w:val="000000"/>
                <w:sz w:val="20"/>
                <w:szCs w:val="20"/>
              </w:rPr>
              <w:t xml:space="preserve">0.6 </w:t>
            </w:r>
          </w:p>
        </w:tc>
        <w:tc>
          <w:tcPr>
            <w:tcW w:w="2090" w:type="dxa"/>
            <w:noWrap/>
            <w:tcMar>
              <w:top w:w="28" w:type="dxa"/>
              <w:bottom w:w="28" w:type="dxa"/>
            </w:tcMar>
            <w:vAlign w:val="center"/>
            <w:hideMark/>
          </w:tcPr>
          <w:p w14:paraId="6DF352A9" w14:textId="236E8715" w:rsidR="00B76553" w:rsidRPr="00550764" w:rsidRDefault="00B76553" w:rsidP="00C2460A">
            <w:pPr>
              <w:spacing w:after="120"/>
              <w:jc w:val="right"/>
              <w:rPr>
                <w:rFonts w:cstheme="minorHAnsi"/>
                <w:sz w:val="20"/>
                <w:szCs w:val="20"/>
              </w:rPr>
            </w:pPr>
            <w:r w:rsidRPr="00550764">
              <w:rPr>
                <w:rFonts w:cstheme="minorHAnsi"/>
                <w:color w:val="000000"/>
                <w:sz w:val="20"/>
                <w:szCs w:val="20"/>
              </w:rPr>
              <w:t xml:space="preserve">0.6 </w:t>
            </w:r>
          </w:p>
        </w:tc>
        <w:tc>
          <w:tcPr>
            <w:tcW w:w="2090" w:type="dxa"/>
            <w:noWrap/>
            <w:tcMar>
              <w:top w:w="28" w:type="dxa"/>
              <w:bottom w:w="28" w:type="dxa"/>
            </w:tcMar>
            <w:vAlign w:val="center"/>
            <w:hideMark/>
          </w:tcPr>
          <w:p w14:paraId="2AB7161B" w14:textId="6F4AA82B" w:rsidR="00B76553" w:rsidRPr="00550764" w:rsidRDefault="00B76553" w:rsidP="00C2460A">
            <w:pPr>
              <w:spacing w:after="120"/>
              <w:jc w:val="right"/>
              <w:rPr>
                <w:rFonts w:cstheme="minorHAnsi"/>
                <w:sz w:val="20"/>
                <w:szCs w:val="20"/>
              </w:rPr>
            </w:pPr>
            <w:r w:rsidRPr="00550764">
              <w:rPr>
                <w:rFonts w:cstheme="minorHAnsi"/>
                <w:color w:val="000000"/>
                <w:sz w:val="20"/>
                <w:szCs w:val="20"/>
              </w:rPr>
              <w:t xml:space="preserve">0.6 </w:t>
            </w:r>
          </w:p>
        </w:tc>
      </w:tr>
      <w:tr w:rsidR="00B76553" w:rsidRPr="00A2295F" w14:paraId="20896FBA" w14:textId="77777777" w:rsidTr="00550764">
        <w:trPr>
          <w:trHeight w:val="300"/>
        </w:trPr>
        <w:tc>
          <w:tcPr>
            <w:tcW w:w="2746" w:type="dxa"/>
            <w:noWrap/>
            <w:tcMar>
              <w:top w:w="28" w:type="dxa"/>
              <w:bottom w:w="28" w:type="dxa"/>
            </w:tcMar>
            <w:hideMark/>
          </w:tcPr>
          <w:p w14:paraId="0F1D41CF" w14:textId="77777777" w:rsidR="00B76553" w:rsidRPr="00550764" w:rsidRDefault="00B76553" w:rsidP="00066A70">
            <w:pPr>
              <w:spacing w:after="120"/>
              <w:rPr>
                <w:rFonts w:cstheme="minorHAnsi"/>
                <w:b/>
                <w:sz w:val="20"/>
                <w:szCs w:val="20"/>
              </w:rPr>
            </w:pPr>
            <w:r w:rsidRPr="00550764">
              <w:rPr>
                <w:rFonts w:cstheme="minorHAnsi"/>
                <w:b/>
                <w:sz w:val="20"/>
                <w:szCs w:val="20"/>
              </w:rPr>
              <w:t>SUM</w:t>
            </w:r>
          </w:p>
        </w:tc>
        <w:tc>
          <w:tcPr>
            <w:tcW w:w="2090" w:type="dxa"/>
            <w:noWrap/>
            <w:tcMar>
              <w:top w:w="28" w:type="dxa"/>
              <w:bottom w:w="28" w:type="dxa"/>
            </w:tcMar>
            <w:vAlign w:val="center"/>
            <w:hideMark/>
          </w:tcPr>
          <w:p w14:paraId="70726D33" w14:textId="275E56CE" w:rsidR="00B76553" w:rsidRPr="00550764" w:rsidRDefault="00485E32" w:rsidP="00C2460A">
            <w:pPr>
              <w:spacing w:after="120"/>
              <w:jc w:val="right"/>
              <w:rPr>
                <w:rFonts w:cstheme="minorHAnsi"/>
                <w:b/>
                <w:sz w:val="20"/>
                <w:szCs w:val="20"/>
              </w:rPr>
            </w:pPr>
            <w:r w:rsidRPr="00550764">
              <w:rPr>
                <w:rFonts w:cstheme="minorHAnsi"/>
                <w:b/>
                <w:color w:val="000000"/>
                <w:sz w:val="20"/>
                <w:szCs w:val="20"/>
              </w:rPr>
              <w:t xml:space="preserve">13.3 </w:t>
            </w:r>
          </w:p>
        </w:tc>
        <w:tc>
          <w:tcPr>
            <w:tcW w:w="2090" w:type="dxa"/>
            <w:noWrap/>
            <w:tcMar>
              <w:top w:w="28" w:type="dxa"/>
              <w:bottom w:w="28" w:type="dxa"/>
            </w:tcMar>
            <w:vAlign w:val="center"/>
            <w:hideMark/>
          </w:tcPr>
          <w:p w14:paraId="70D436E9" w14:textId="2B563128" w:rsidR="00B76553" w:rsidRPr="00550764" w:rsidRDefault="00B76553" w:rsidP="00C2460A">
            <w:pPr>
              <w:spacing w:after="120"/>
              <w:jc w:val="right"/>
              <w:rPr>
                <w:rFonts w:cstheme="minorHAnsi"/>
                <w:b/>
                <w:sz w:val="20"/>
                <w:szCs w:val="20"/>
              </w:rPr>
            </w:pPr>
            <w:r w:rsidRPr="00550764">
              <w:rPr>
                <w:rFonts w:cstheme="minorHAnsi"/>
                <w:b/>
                <w:color w:val="000000"/>
                <w:sz w:val="20"/>
                <w:szCs w:val="20"/>
              </w:rPr>
              <w:t xml:space="preserve">17.4 </w:t>
            </w:r>
          </w:p>
        </w:tc>
        <w:tc>
          <w:tcPr>
            <w:tcW w:w="2090" w:type="dxa"/>
            <w:noWrap/>
            <w:tcMar>
              <w:top w:w="28" w:type="dxa"/>
              <w:bottom w:w="28" w:type="dxa"/>
            </w:tcMar>
            <w:vAlign w:val="center"/>
            <w:hideMark/>
          </w:tcPr>
          <w:p w14:paraId="184B6C60" w14:textId="7330B273" w:rsidR="00B76553" w:rsidRPr="00550764" w:rsidRDefault="00485E32" w:rsidP="00C2460A">
            <w:pPr>
              <w:spacing w:after="120"/>
              <w:jc w:val="right"/>
              <w:rPr>
                <w:rFonts w:cstheme="minorHAnsi"/>
                <w:b/>
                <w:sz w:val="20"/>
                <w:szCs w:val="20"/>
              </w:rPr>
            </w:pPr>
            <w:r w:rsidRPr="00550764">
              <w:rPr>
                <w:rFonts w:cstheme="minorHAnsi"/>
                <w:b/>
                <w:color w:val="000000"/>
                <w:sz w:val="20"/>
                <w:szCs w:val="20"/>
              </w:rPr>
              <w:t xml:space="preserve">21.5 </w:t>
            </w:r>
          </w:p>
        </w:tc>
      </w:tr>
    </w:tbl>
    <w:p w14:paraId="263C62EC" w14:textId="589F3041" w:rsidR="001A38F4" w:rsidRDefault="001A38F4" w:rsidP="008649CF">
      <w:pPr>
        <w:pStyle w:val="Heading3"/>
        <w:spacing w:before="240" w:after="120"/>
      </w:pPr>
      <w:bookmarkStart w:id="59" w:name="_Toc195533428"/>
      <w:r w:rsidRPr="004744E0">
        <w:t xml:space="preserve">Holding </w:t>
      </w:r>
      <w:r w:rsidR="006438A6" w:rsidRPr="004744E0">
        <w:t>volume</w:t>
      </w:r>
      <w:bookmarkEnd w:id="59"/>
    </w:p>
    <w:p w14:paraId="2DD706CB" w14:textId="0305B86E" w:rsidR="007F7638" w:rsidRPr="00194F05" w:rsidRDefault="007F7638" w:rsidP="00194F05">
      <w:pPr>
        <w:spacing w:line="279" w:lineRule="auto"/>
        <w:rPr>
          <w:rFonts w:ascii="Calibri-Light" w:eastAsia="Calibri-Light" w:hAnsi="Calibri-Light" w:cs="Yu Mincho"/>
          <w:szCs w:val="24"/>
        </w:rPr>
      </w:pPr>
      <w:r w:rsidRPr="00194F05">
        <w:rPr>
          <w:rFonts w:ascii="Calibri-Light" w:eastAsia="Calibri-Light" w:hAnsi="Calibri-Light" w:cs="Yu Mincho"/>
          <w:szCs w:val="24"/>
        </w:rPr>
        <w:t xml:space="preserve">The EY report </w:t>
      </w:r>
      <w:r w:rsidR="00CE05BA" w:rsidRPr="00194F05">
        <w:rPr>
          <w:rFonts w:ascii="Calibri-Light" w:eastAsia="Calibri-Light" w:hAnsi="Calibri-Light" w:cs="Yu Mincho"/>
          <w:szCs w:val="24"/>
        </w:rPr>
        <w:t xml:space="preserve">suggested </w:t>
      </w:r>
      <w:r w:rsidRPr="00194F05">
        <w:rPr>
          <w:rFonts w:ascii="Calibri-Light" w:eastAsia="Calibri-Light" w:hAnsi="Calibri-Light" w:cs="Yu Mincho"/>
          <w:szCs w:val="24"/>
        </w:rPr>
        <w:t xml:space="preserve">the inclusion of new category of non-surplus units referred to as </w:t>
      </w:r>
      <w:r w:rsidR="00B149C8" w:rsidRPr="00194F05">
        <w:rPr>
          <w:rFonts w:ascii="Calibri-Light" w:eastAsia="Calibri-Light" w:hAnsi="Calibri-Light" w:cs="Yu Mincho"/>
          <w:szCs w:val="24"/>
        </w:rPr>
        <w:t>‘</w:t>
      </w:r>
      <w:r w:rsidRPr="00194F05">
        <w:rPr>
          <w:rFonts w:ascii="Calibri-Light" w:eastAsia="Calibri-Light" w:hAnsi="Calibri-Light" w:cs="Yu Mincho"/>
          <w:szCs w:val="24"/>
        </w:rPr>
        <w:t>holding volume</w:t>
      </w:r>
      <w:r w:rsidR="00B149C8" w:rsidRPr="00194F05">
        <w:rPr>
          <w:rFonts w:ascii="Calibri-Light" w:eastAsia="Calibri-Light" w:hAnsi="Calibri-Light" w:cs="Yu Mincho"/>
          <w:szCs w:val="24"/>
        </w:rPr>
        <w:t>’</w:t>
      </w:r>
      <w:r w:rsidRPr="00194F05">
        <w:rPr>
          <w:rFonts w:ascii="Calibri-Light" w:eastAsia="Calibri-Light" w:hAnsi="Calibri-Light" w:cs="Yu Mincho"/>
          <w:szCs w:val="24"/>
        </w:rPr>
        <w:t xml:space="preserve">. The EY report distinguished between units held for future emissions (hedging) and units held for surrender for emissions that have already occurred (holding). </w:t>
      </w:r>
    </w:p>
    <w:p w14:paraId="2D2C5A7C" w14:textId="04C917CC" w:rsidR="007F7638" w:rsidRPr="00194F05" w:rsidRDefault="00F03593" w:rsidP="00194F05">
      <w:pPr>
        <w:spacing w:line="279" w:lineRule="auto"/>
        <w:rPr>
          <w:rFonts w:ascii="Calibri-Light" w:eastAsia="Calibri-Light" w:hAnsi="Calibri-Light" w:cs="Yu Mincho"/>
          <w:szCs w:val="24"/>
        </w:rPr>
      </w:pPr>
      <w:r w:rsidRPr="00194F05">
        <w:rPr>
          <w:rFonts w:ascii="Calibri-Light" w:eastAsia="Calibri-Light" w:hAnsi="Calibri-Light" w:cs="Yu Mincho"/>
          <w:szCs w:val="24"/>
        </w:rPr>
        <w:t>‘</w:t>
      </w:r>
      <w:r w:rsidR="004C382C" w:rsidRPr="00194F05">
        <w:rPr>
          <w:rFonts w:ascii="Calibri-Light" w:eastAsia="Calibri-Light" w:hAnsi="Calibri-Light" w:cs="Yu Mincho"/>
          <w:szCs w:val="24"/>
        </w:rPr>
        <w:t>Holding volume</w:t>
      </w:r>
      <w:r w:rsidRPr="00194F05">
        <w:rPr>
          <w:rFonts w:ascii="Calibri-Light" w:eastAsia="Calibri-Light" w:hAnsi="Calibri-Light" w:cs="Yu Mincho"/>
          <w:szCs w:val="24"/>
        </w:rPr>
        <w:t>’ refers</w:t>
      </w:r>
      <w:r w:rsidR="004C382C" w:rsidRPr="00194F05">
        <w:rPr>
          <w:rFonts w:ascii="Calibri-Light" w:eastAsia="Calibri-Light" w:hAnsi="Calibri-Light" w:cs="Yu Mincho"/>
          <w:szCs w:val="24"/>
        </w:rPr>
        <w:t xml:space="preserve"> </w:t>
      </w:r>
      <w:r w:rsidR="005D00B1" w:rsidRPr="00194F05">
        <w:rPr>
          <w:rFonts w:ascii="Calibri-Light" w:eastAsia="Calibri-Light" w:hAnsi="Calibri-Light" w:cs="Yu Mincho"/>
          <w:szCs w:val="24"/>
        </w:rPr>
        <w:t xml:space="preserve">to </w:t>
      </w:r>
      <w:r w:rsidR="004C382C" w:rsidRPr="00194F05">
        <w:rPr>
          <w:rFonts w:ascii="Calibri-Light" w:eastAsia="Calibri-Light" w:hAnsi="Calibri-Light" w:cs="Yu Mincho"/>
          <w:szCs w:val="24"/>
        </w:rPr>
        <w:t xml:space="preserve">the units </w:t>
      </w:r>
      <w:r w:rsidR="004F7D02" w:rsidRPr="00194F05">
        <w:rPr>
          <w:rFonts w:ascii="Calibri-Light" w:eastAsia="Calibri-Light" w:hAnsi="Calibri-Light" w:cs="Yu Mincho"/>
          <w:szCs w:val="24"/>
        </w:rPr>
        <w:t xml:space="preserve">accumulated by </w:t>
      </w:r>
      <w:r w:rsidR="004C382C" w:rsidRPr="00194F05">
        <w:rPr>
          <w:rFonts w:ascii="Calibri-Light" w:eastAsia="Calibri-Light" w:hAnsi="Calibri-Light" w:cs="Yu Mincho"/>
          <w:szCs w:val="24"/>
        </w:rPr>
        <w:t>emitters</w:t>
      </w:r>
      <w:r w:rsidR="004F7D02" w:rsidRPr="00194F05">
        <w:rPr>
          <w:rFonts w:ascii="Calibri-Light" w:eastAsia="Calibri-Light" w:hAnsi="Calibri-Light" w:cs="Yu Mincho"/>
          <w:szCs w:val="24"/>
        </w:rPr>
        <w:t xml:space="preserve"> as </w:t>
      </w:r>
      <w:r w:rsidR="004C382C" w:rsidRPr="00194F05">
        <w:rPr>
          <w:rFonts w:ascii="Calibri-Light" w:eastAsia="Calibri-Light" w:hAnsi="Calibri-Light" w:cs="Yu Mincho"/>
          <w:szCs w:val="24"/>
        </w:rPr>
        <w:t xml:space="preserve">emissions occur. </w:t>
      </w:r>
      <w:r w:rsidR="00711CDE" w:rsidRPr="00194F05">
        <w:rPr>
          <w:rFonts w:ascii="Calibri-Light" w:eastAsia="Calibri-Light" w:hAnsi="Calibri-Light" w:cs="Yu Mincho"/>
          <w:szCs w:val="24"/>
        </w:rPr>
        <w:t xml:space="preserve">This volume </w:t>
      </w:r>
      <w:r w:rsidR="00D03860" w:rsidRPr="00194F05">
        <w:rPr>
          <w:rFonts w:ascii="Calibri-Light" w:eastAsia="Calibri-Light" w:hAnsi="Calibri-Light" w:cs="Yu Mincho"/>
          <w:szCs w:val="24"/>
        </w:rPr>
        <w:t>increase</w:t>
      </w:r>
      <w:r w:rsidR="00D706B4" w:rsidRPr="00194F05">
        <w:rPr>
          <w:rFonts w:ascii="Calibri-Light" w:eastAsia="Calibri-Light" w:hAnsi="Calibri-Light" w:cs="Yu Mincho"/>
          <w:szCs w:val="24"/>
        </w:rPr>
        <w:t>s</w:t>
      </w:r>
      <w:r w:rsidR="00941549" w:rsidRPr="00194F05">
        <w:rPr>
          <w:rFonts w:ascii="Calibri-Light" w:eastAsia="Calibri-Light" w:hAnsi="Calibri-Light" w:cs="Yu Mincho"/>
          <w:szCs w:val="24"/>
        </w:rPr>
        <w:t xml:space="preserve"> over </w:t>
      </w:r>
      <w:r w:rsidR="00D34A18" w:rsidRPr="00194F05">
        <w:rPr>
          <w:rFonts w:ascii="Calibri-Light" w:eastAsia="Calibri-Light" w:hAnsi="Calibri-Light" w:cs="Yu Mincho"/>
          <w:szCs w:val="24"/>
        </w:rPr>
        <w:t>the calendar</w:t>
      </w:r>
      <w:r w:rsidR="00711CDE" w:rsidRPr="00194F05">
        <w:rPr>
          <w:rFonts w:ascii="Calibri-Light" w:eastAsia="Calibri-Light" w:hAnsi="Calibri-Light" w:cs="Yu Mincho"/>
          <w:szCs w:val="24"/>
        </w:rPr>
        <w:t xml:space="preserve"> year</w:t>
      </w:r>
      <w:r w:rsidR="00ED3038" w:rsidRPr="00194F05">
        <w:rPr>
          <w:rFonts w:ascii="Calibri-Light" w:eastAsia="Calibri-Light" w:hAnsi="Calibri-Light" w:cs="Yu Mincho"/>
          <w:szCs w:val="24"/>
        </w:rPr>
        <w:t xml:space="preserve"> to reach 100% </w:t>
      </w:r>
      <w:r w:rsidR="00B619DE" w:rsidRPr="00194F05">
        <w:rPr>
          <w:rFonts w:ascii="Calibri-Light" w:eastAsia="Calibri-Light" w:hAnsi="Calibri-Light" w:cs="Yu Mincho"/>
          <w:szCs w:val="24"/>
        </w:rPr>
        <w:t xml:space="preserve">of an emitter’s surrender obligations by the end of December. It </w:t>
      </w:r>
      <w:r w:rsidR="007F7638" w:rsidRPr="00194F05">
        <w:rPr>
          <w:rFonts w:ascii="Calibri-Light" w:eastAsia="Calibri-Light" w:hAnsi="Calibri-Light" w:cs="Yu Mincho"/>
          <w:szCs w:val="24"/>
        </w:rPr>
        <w:t>ris</w:t>
      </w:r>
      <w:r w:rsidR="00092141" w:rsidRPr="00194F05">
        <w:rPr>
          <w:rFonts w:ascii="Calibri-Light" w:eastAsia="Calibri-Light" w:hAnsi="Calibri-Light" w:cs="Yu Mincho"/>
          <w:szCs w:val="24"/>
        </w:rPr>
        <w:t xml:space="preserve">es further </w:t>
      </w:r>
      <w:r w:rsidR="001B58C2" w:rsidRPr="00194F05">
        <w:rPr>
          <w:rFonts w:ascii="Calibri-Light" w:eastAsia="Calibri-Light" w:hAnsi="Calibri-Light" w:cs="Yu Mincho"/>
          <w:szCs w:val="24"/>
        </w:rPr>
        <w:t xml:space="preserve">the following year </w:t>
      </w:r>
      <w:r w:rsidR="00B619DE" w:rsidRPr="00194F05">
        <w:rPr>
          <w:rFonts w:ascii="Calibri-Light" w:eastAsia="Calibri-Light" w:hAnsi="Calibri-Light" w:cs="Yu Mincho"/>
          <w:szCs w:val="24"/>
        </w:rPr>
        <w:t>as</w:t>
      </w:r>
      <w:r w:rsidR="00EF3315" w:rsidRPr="00194F05">
        <w:rPr>
          <w:rFonts w:ascii="Calibri-Light" w:eastAsia="Calibri-Light" w:hAnsi="Calibri-Light" w:cs="Yu Mincho"/>
          <w:szCs w:val="24"/>
        </w:rPr>
        <w:t xml:space="preserve"> units are </w:t>
      </w:r>
      <w:r w:rsidR="00A04AD7" w:rsidRPr="00194F05">
        <w:rPr>
          <w:rFonts w:ascii="Calibri-Light" w:eastAsia="Calibri-Light" w:hAnsi="Calibri-Light" w:cs="Yu Mincho"/>
          <w:szCs w:val="24"/>
        </w:rPr>
        <w:t xml:space="preserve">accumulated for </w:t>
      </w:r>
      <w:r w:rsidR="001B58C2" w:rsidRPr="00194F05">
        <w:rPr>
          <w:rFonts w:ascii="Calibri-Light" w:eastAsia="Calibri-Light" w:hAnsi="Calibri-Light" w:cs="Yu Mincho"/>
          <w:szCs w:val="24"/>
        </w:rPr>
        <w:t xml:space="preserve">the next compliance </w:t>
      </w:r>
      <w:r w:rsidR="00973B0A" w:rsidRPr="00194F05">
        <w:rPr>
          <w:rFonts w:ascii="Calibri-Light" w:eastAsia="Calibri-Light" w:hAnsi="Calibri-Light" w:cs="Yu Mincho"/>
          <w:szCs w:val="24"/>
        </w:rPr>
        <w:t>period</w:t>
      </w:r>
      <w:r w:rsidR="00ED1BED" w:rsidRPr="00194F05">
        <w:rPr>
          <w:rFonts w:ascii="Calibri-Light" w:eastAsia="Calibri-Light" w:hAnsi="Calibri-Light" w:cs="Yu Mincho"/>
          <w:szCs w:val="24"/>
        </w:rPr>
        <w:t xml:space="preserve">, </w:t>
      </w:r>
      <w:r w:rsidR="007F7638" w:rsidRPr="00194F05">
        <w:rPr>
          <w:rFonts w:ascii="Calibri-Light" w:eastAsia="Calibri-Light" w:hAnsi="Calibri-Light" w:cs="Yu Mincho"/>
          <w:szCs w:val="24"/>
        </w:rPr>
        <w:t>until surrender</w:t>
      </w:r>
      <w:r w:rsidR="00851B5F" w:rsidRPr="00194F05">
        <w:rPr>
          <w:rFonts w:ascii="Calibri-Light" w:eastAsia="Calibri-Light" w:hAnsi="Calibri-Light" w:cs="Yu Mincho"/>
          <w:szCs w:val="24"/>
        </w:rPr>
        <w:t>s</w:t>
      </w:r>
      <w:r w:rsidR="007F7638" w:rsidRPr="00194F05">
        <w:rPr>
          <w:rFonts w:ascii="Calibri-Light" w:eastAsia="Calibri-Light" w:hAnsi="Calibri-Light" w:cs="Yu Mincho"/>
          <w:szCs w:val="24"/>
        </w:rPr>
        <w:t xml:space="preserve"> </w:t>
      </w:r>
      <w:r w:rsidR="00260604" w:rsidRPr="00194F05">
        <w:rPr>
          <w:rFonts w:ascii="Calibri-Light" w:eastAsia="Calibri-Light" w:hAnsi="Calibri-Light" w:cs="Yu Mincho"/>
          <w:szCs w:val="24"/>
        </w:rPr>
        <w:t xml:space="preserve">for the previous year </w:t>
      </w:r>
      <w:r w:rsidR="0012295B" w:rsidRPr="00194F05">
        <w:rPr>
          <w:rFonts w:ascii="Calibri-Light" w:eastAsia="Calibri-Light" w:hAnsi="Calibri-Light" w:cs="Yu Mincho"/>
          <w:szCs w:val="24"/>
        </w:rPr>
        <w:t>are made</w:t>
      </w:r>
      <w:r w:rsidR="00260604" w:rsidRPr="00194F05">
        <w:rPr>
          <w:rFonts w:ascii="Calibri-Light" w:eastAsia="Calibri-Light" w:hAnsi="Calibri-Light" w:cs="Yu Mincho"/>
          <w:szCs w:val="24"/>
        </w:rPr>
        <w:t xml:space="preserve"> </w:t>
      </w:r>
      <w:r w:rsidR="00F309FB" w:rsidRPr="00194F05">
        <w:rPr>
          <w:rFonts w:ascii="Calibri-Light" w:eastAsia="Calibri-Light" w:hAnsi="Calibri-Light" w:cs="Yu Mincho"/>
          <w:szCs w:val="24"/>
        </w:rPr>
        <w:t xml:space="preserve">in </w:t>
      </w:r>
      <w:r w:rsidR="007F7638" w:rsidRPr="00194F05">
        <w:rPr>
          <w:rFonts w:ascii="Calibri-Light" w:eastAsia="Calibri-Light" w:hAnsi="Calibri-Light" w:cs="Yu Mincho"/>
          <w:szCs w:val="24"/>
        </w:rPr>
        <w:t>May</w:t>
      </w:r>
      <w:r w:rsidR="00253F63" w:rsidRPr="00194F05">
        <w:rPr>
          <w:rFonts w:ascii="Calibri-Light" w:eastAsia="Calibri-Light" w:hAnsi="Calibri-Light" w:cs="Yu Mincho"/>
          <w:szCs w:val="24"/>
        </w:rPr>
        <w:t xml:space="preserve"> </w:t>
      </w:r>
      <w:r w:rsidR="0012295B" w:rsidRPr="00194F05">
        <w:rPr>
          <w:rFonts w:ascii="Calibri-Light" w:eastAsia="Calibri-Light" w:hAnsi="Calibri-Light" w:cs="Yu Mincho"/>
          <w:szCs w:val="24"/>
        </w:rPr>
        <w:t xml:space="preserve">– at which point </w:t>
      </w:r>
      <w:r w:rsidR="001F303D" w:rsidRPr="00194F05">
        <w:rPr>
          <w:rFonts w:ascii="Calibri-Light" w:eastAsia="Calibri-Light" w:hAnsi="Calibri-Light" w:cs="Yu Mincho"/>
          <w:szCs w:val="24"/>
        </w:rPr>
        <w:t xml:space="preserve">it </w:t>
      </w:r>
      <w:r w:rsidR="007F7638" w:rsidRPr="00194F05">
        <w:rPr>
          <w:rFonts w:ascii="Calibri-Light" w:eastAsia="Calibri-Light" w:hAnsi="Calibri-Light" w:cs="Yu Mincho"/>
          <w:szCs w:val="24"/>
        </w:rPr>
        <w:t>fall</w:t>
      </w:r>
      <w:r w:rsidR="00BA6803" w:rsidRPr="00194F05">
        <w:rPr>
          <w:rFonts w:ascii="Calibri-Light" w:eastAsia="Calibri-Light" w:hAnsi="Calibri-Light" w:cs="Yu Mincho"/>
          <w:szCs w:val="24"/>
        </w:rPr>
        <w:t>s</w:t>
      </w:r>
      <w:r w:rsidR="007F7638" w:rsidRPr="00194F05">
        <w:rPr>
          <w:rFonts w:ascii="Calibri-Light" w:eastAsia="Calibri-Light" w:hAnsi="Calibri-Light" w:cs="Yu Mincho"/>
          <w:szCs w:val="24"/>
        </w:rPr>
        <w:t xml:space="preserve"> to a minimum before growing again. EY considered </w:t>
      </w:r>
      <w:r w:rsidR="009D2F59" w:rsidRPr="00194F05">
        <w:rPr>
          <w:rFonts w:ascii="Calibri-Light" w:eastAsia="Calibri-Light" w:hAnsi="Calibri-Light" w:cs="Yu Mincho"/>
          <w:szCs w:val="24"/>
        </w:rPr>
        <w:t xml:space="preserve">that </w:t>
      </w:r>
      <w:r w:rsidR="009E7C26" w:rsidRPr="00194F05">
        <w:rPr>
          <w:rFonts w:ascii="Calibri-Light" w:eastAsia="Calibri-Light" w:hAnsi="Calibri-Light" w:cs="Yu Mincho"/>
          <w:szCs w:val="24"/>
        </w:rPr>
        <w:t xml:space="preserve">this volume of </w:t>
      </w:r>
      <w:r w:rsidR="007F7638" w:rsidRPr="00194F05">
        <w:rPr>
          <w:rFonts w:ascii="Calibri-Light" w:eastAsia="Calibri-Light" w:hAnsi="Calibri-Light" w:cs="Yu Mincho"/>
          <w:szCs w:val="24"/>
        </w:rPr>
        <w:t xml:space="preserve">units </w:t>
      </w:r>
      <w:r w:rsidR="0012295B" w:rsidRPr="00194F05">
        <w:rPr>
          <w:rFonts w:ascii="Calibri-Light" w:eastAsia="Calibri-Light" w:hAnsi="Calibri-Light" w:cs="Yu Mincho"/>
          <w:szCs w:val="24"/>
        </w:rPr>
        <w:t xml:space="preserve">is </w:t>
      </w:r>
      <w:r w:rsidR="009E7C26" w:rsidRPr="00194F05">
        <w:rPr>
          <w:rFonts w:ascii="Calibri-Light" w:eastAsia="Calibri-Light" w:hAnsi="Calibri-Light" w:cs="Yu Mincho"/>
          <w:szCs w:val="24"/>
        </w:rPr>
        <w:t xml:space="preserve">needed </w:t>
      </w:r>
      <w:r w:rsidR="009D2F59" w:rsidRPr="00194F05">
        <w:rPr>
          <w:rFonts w:ascii="Calibri-Light" w:eastAsia="Calibri-Light" w:hAnsi="Calibri-Light" w:cs="Yu Mincho"/>
          <w:szCs w:val="24"/>
        </w:rPr>
        <w:t>for the functioning o</w:t>
      </w:r>
      <w:r w:rsidR="00E707DE" w:rsidRPr="00194F05">
        <w:rPr>
          <w:rFonts w:ascii="Calibri-Light" w:eastAsia="Calibri-Light" w:hAnsi="Calibri-Light" w:cs="Yu Mincho"/>
          <w:szCs w:val="24"/>
        </w:rPr>
        <w:t xml:space="preserve">f the </w:t>
      </w:r>
      <w:r w:rsidR="00B36F19" w:rsidRPr="00194F05">
        <w:rPr>
          <w:rFonts w:ascii="Calibri-Light" w:eastAsia="Calibri-Light" w:hAnsi="Calibri-Light" w:cs="Yu Mincho"/>
          <w:szCs w:val="24"/>
        </w:rPr>
        <w:t>market</w:t>
      </w:r>
      <w:r w:rsidR="009D2F59" w:rsidRPr="00194F05">
        <w:rPr>
          <w:rFonts w:ascii="Calibri-Light" w:eastAsia="Calibri-Light" w:hAnsi="Calibri-Light" w:cs="Yu Mincho"/>
          <w:szCs w:val="24"/>
        </w:rPr>
        <w:t xml:space="preserve">, </w:t>
      </w:r>
      <w:r w:rsidR="007241C2" w:rsidRPr="00194F05">
        <w:rPr>
          <w:rFonts w:ascii="Calibri-Light" w:eastAsia="Calibri-Light" w:hAnsi="Calibri-Light" w:cs="Yu Mincho"/>
          <w:szCs w:val="24"/>
        </w:rPr>
        <w:t xml:space="preserve">that </w:t>
      </w:r>
      <w:r w:rsidR="000371EE" w:rsidRPr="00194F05">
        <w:rPr>
          <w:rFonts w:ascii="Calibri-Light" w:eastAsia="Calibri-Light" w:hAnsi="Calibri-Light" w:cs="Yu Mincho"/>
          <w:szCs w:val="24"/>
        </w:rPr>
        <w:t>they should be allowed for in estimating the non-surplus units</w:t>
      </w:r>
      <w:r w:rsidR="00B36F19" w:rsidRPr="00194F05">
        <w:rPr>
          <w:rFonts w:ascii="Calibri-Light" w:eastAsia="Calibri-Light" w:hAnsi="Calibri-Light" w:cs="Yu Mincho"/>
          <w:szCs w:val="24"/>
        </w:rPr>
        <w:t xml:space="preserve">, and that </w:t>
      </w:r>
      <w:r w:rsidR="00AE4ABE" w:rsidRPr="00194F05">
        <w:rPr>
          <w:rFonts w:ascii="Calibri-Light" w:eastAsia="Calibri-Light" w:hAnsi="Calibri-Light" w:cs="Yu Mincho"/>
          <w:szCs w:val="24"/>
        </w:rPr>
        <w:t>th</w:t>
      </w:r>
      <w:r w:rsidR="005C7B27" w:rsidRPr="00194F05">
        <w:rPr>
          <w:rFonts w:ascii="Calibri-Light" w:eastAsia="Calibri-Light" w:hAnsi="Calibri-Light" w:cs="Yu Mincho"/>
          <w:szCs w:val="24"/>
        </w:rPr>
        <w:t xml:space="preserve">ey were </w:t>
      </w:r>
      <w:r w:rsidR="007F7638" w:rsidRPr="00194F05">
        <w:rPr>
          <w:rFonts w:ascii="Calibri-Light" w:eastAsia="Calibri-Light" w:hAnsi="Calibri-Light" w:cs="Yu Mincho"/>
          <w:szCs w:val="24"/>
        </w:rPr>
        <w:t xml:space="preserve">additional to the units held for </w:t>
      </w:r>
      <w:r w:rsidR="006C3FD6" w:rsidRPr="00194F05">
        <w:rPr>
          <w:rFonts w:ascii="Calibri-Light" w:eastAsia="Calibri-Light" w:hAnsi="Calibri-Light" w:cs="Yu Mincho"/>
          <w:szCs w:val="24"/>
        </w:rPr>
        <w:t xml:space="preserve">forward </w:t>
      </w:r>
      <w:r w:rsidR="007F7638" w:rsidRPr="00194F05">
        <w:rPr>
          <w:rFonts w:ascii="Calibri-Light" w:eastAsia="Calibri-Light" w:hAnsi="Calibri-Light" w:cs="Yu Mincho"/>
          <w:szCs w:val="24"/>
        </w:rPr>
        <w:t>hedging.</w:t>
      </w:r>
    </w:p>
    <w:p w14:paraId="145D3365" w14:textId="45DA5C0F" w:rsidR="00B622F3" w:rsidRPr="00194F05" w:rsidRDefault="00CC28AA" w:rsidP="00194F05">
      <w:pPr>
        <w:spacing w:line="279" w:lineRule="auto"/>
        <w:rPr>
          <w:rFonts w:ascii="Calibri-Light" w:eastAsia="Calibri-Light" w:hAnsi="Calibri-Light" w:cs="Yu Mincho"/>
          <w:szCs w:val="24"/>
        </w:rPr>
      </w:pPr>
      <w:r w:rsidRPr="00194F05">
        <w:rPr>
          <w:rFonts w:ascii="Calibri-Light" w:eastAsia="Calibri-Light" w:hAnsi="Calibri-Light" w:cs="Yu Mincho"/>
          <w:szCs w:val="24"/>
        </w:rPr>
        <w:t xml:space="preserve">The </w:t>
      </w:r>
      <w:r w:rsidR="005B1C2D" w:rsidRPr="00194F05">
        <w:rPr>
          <w:rFonts w:ascii="Calibri-Light" w:eastAsia="Calibri-Light" w:hAnsi="Calibri-Light" w:cs="Yu Mincho"/>
          <w:szCs w:val="24"/>
        </w:rPr>
        <w:t>EY report</w:t>
      </w:r>
      <w:r w:rsidRPr="00194F05">
        <w:rPr>
          <w:rFonts w:ascii="Calibri-Light" w:eastAsia="Calibri-Light" w:hAnsi="Calibri-Light" w:cs="Yu Mincho"/>
          <w:szCs w:val="24"/>
        </w:rPr>
        <w:t xml:space="preserve"> </w:t>
      </w:r>
      <w:r w:rsidR="00345681" w:rsidRPr="00194F05">
        <w:rPr>
          <w:rFonts w:ascii="Calibri-Light" w:eastAsia="Calibri-Light" w:hAnsi="Calibri-Light" w:cs="Yu Mincho"/>
          <w:szCs w:val="24"/>
        </w:rPr>
        <w:t xml:space="preserve">proposed that </w:t>
      </w:r>
      <w:r w:rsidR="00B622F3" w:rsidRPr="00194F05">
        <w:rPr>
          <w:rFonts w:ascii="Calibri-Light" w:eastAsia="Calibri-Light" w:hAnsi="Calibri-Light" w:cs="Yu Mincho"/>
          <w:szCs w:val="24"/>
        </w:rPr>
        <w:t>the</w:t>
      </w:r>
      <w:r w:rsidR="005B1C2D" w:rsidRPr="00194F05">
        <w:rPr>
          <w:rFonts w:ascii="Calibri-Light" w:eastAsia="Calibri-Light" w:hAnsi="Calibri-Light" w:cs="Yu Mincho"/>
          <w:szCs w:val="24"/>
        </w:rPr>
        <w:t xml:space="preserve"> minimum holding volume</w:t>
      </w:r>
      <w:r w:rsidR="005D292E" w:rsidRPr="00194F05">
        <w:rPr>
          <w:rFonts w:ascii="Calibri-Light" w:eastAsia="Calibri-Light" w:hAnsi="Calibri-Light" w:cs="Yu Mincho"/>
          <w:szCs w:val="24"/>
        </w:rPr>
        <w:t xml:space="preserve"> be </w:t>
      </w:r>
      <w:r w:rsidR="00AC3D92" w:rsidRPr="00194F05">
        <w:rPr>
          <w:rFonts w:ascii="Calibri-Light" w:eastAsia="Calibri-Light" w:hAnsi="Calibri-Light" w:cs="Yu Mincho"/>
          <w:szCs w:val="24"/>
        </w:rPr>
        <w:t xml:space="preserve">incorporated into the </w:t>
      </w:r>
      <w:r w:rsidR="009F0CBE" w:rsidRPr="00194F05">
        <w:rPr>
          <w:rFonts w:ascii="Calibri-Light" w:eastAsia="Calibri-Light" w:hAnsi="Calibri-Light" w:cs="Yu Mincho"/>
          <w:szCs w:val="24"/>
        </w:rPr>
        <w:t>calculations for estimating the surplus. This is the</w:t>
      </w:r>
      <w:r w:rsidR="00D374AB" w:rsidRPr="00194F05">
        <w:rPr>
          <w:rFonts w:ascii="Calibri-Light" w:eastAsia="Calibri-Light" w:hAnsi="Calibri-Light" w:cs="Yu Mincho"/>
          <w:szCs w:val="24"/>
        </w:rPr>
        <w:t xml:space="preserve"> </w:t>
      </w:r>
      <w:r w:rsidR="009F0CBE" w:rsidRPr="00194F05">
        <w:rPr>
          <w:rFonts w:ascii="Calibri-Light" w:eastAsia="Calibri-Light" w:hAnsi="Calibri-Light" w:cs="Yu Mincho"/>
          <w:szCs w:val="24"/>
        </w:rPr>
        <w:t xml:space="preserve">volume held </w:t>
      </w:r>
      <w:r w:rsidR="00D374AB" w:rsidRPr="00194F05">
        <w:rPr>
          <w:rFonts w:ascii="Calibri-Light" w:eastAsia="Calibri-Light" w:hAnsi="Calibri-Light" w:cs="Yu Mincho"/>
          <w:szCs w:val="24"/>
        </w:rPr>
        <w:t>in June, after surrenders have occurred for the previous year’s emissions</w:t>
      </w:r>
      <w:r w:rsidR="00F71310" w:rsidRPr="00194F05">
        <w:rPr>
          <w:rFonts w:ascii="Calibri-Light" w:eastAsia="Calibri-Light" w:hAnsi="Calibri-Light" w:cs="Yu Mincho"/>
          <w:szCs w:val="24"/>
        </w:rPr>
        <w:t>,</w:t>
      </w:r>
      <w:r w:rsidR="00D374AB" w:rsidRPr="00194F05">
        <w:rPr>
          <w:rFonts w:ascii="Calibri-Light" w:eastAsia="Calibri-Light" w:hAnsi="Calibri-Light" w:cs="Yu Mincho"/>
          <w:szCs w:val="24"/>
        </w:rPr>
        <w:t xml:space="preserve"> but </w:t>
      </w:r>
      <w:r w:rsidR="00F71310" w:rsidRPr="00194F05">
        <w:rPr>
          <w:rFonts w:ascii="Calibri-Light" w:eastAsia="Calibri-Light" w:hAnsi="Calibri-Light" w:cs="Yu Mincho"/>
          <w:szCs w:val="24"/>
        </w:rPr>
        <w:t>when</w:t>
      </w:r>
      <w:r w:rsidR="00D374AB" w:rsidRPr="00194F05">
        <w:rPr>
          <w:rFonts w:ascii="Calibri-Light" w:eastAsia="Calibri-Light" w:hAnsi="Calibri-Light" w:cs="Yu Mincho"/>
          <w:szCs w:val="24"/>
        </w:rPr>
        <w:t xml:space="preserve"> units have already been accumulated for emissions </w:t>
      </w:r>
      <w:r w:rsidR="001138C0" w:rsidRPr="00194F05">
        <w:rPr>
          <w:rFonts w:ascii="Calibri-Light" w:eastAsia="Calibri-Light" w:hAnsi="Calibri-Light" w:cs="Yu Mincho"/>
          <w:szCs w:val="24"/>
        </w:rPr>
        <w:t xml:space="preserve">occurring in the first few months of the current year. </w:t>
      </w:r>
      <w:r w:rsidR="00D374AB" w:rsidRPr="00194F05">
        <w:rPr>
          <w:rFonts w:ascii="Calibri-Light" w:eastAsia="Calibri-Light" w:hAnsi="Calibri-Light" w:cs="Yu Mincho"/>
          <w:szCs w:val="24"/>
        </w:rPr>
        <w:t xml:space="preserve"> </w:t>
      </w:r>
    </w:p>
    <w:p w14:paraId="764FFA1C" w14:textId="081BDFDB" w:rsidR="00B82D91" w:rsidRPr="00194F05" w:rsidRDefault="00065951" w:rsidP="00194F05">
      <w:pPr>
        <w:spacing w:line="279" w:lineRule="auto"/>
        <w:rPr>
          <w:rFonts w:ascii="Calibri-Light" w:eastAsia="Calibri-Light" w:hAnsi="Calibri-Light" w:cs="Yu Mincho"/>
          <w:szCs w:val="24"/>
        </w:rPr>
      </w:pPr>
      <w:r w:rsidRPr="00194F05">
        <w:rPr>
          <w:rFonts w:ascii="Calibri-Light" w:eastAsia="Calibri-Light" w:hAnsi="Calibri-Light" w:cs="Yu Mincho"/>
          <w:szCs w:val="24"/>
        </w:rPr>
        <w:t xml:space="preserve">We agree with </w:t>
      </w:r>
      <w:r w:rsidR="00267D9D" w:rsidRPr="00194F05">
        <w:rPr>
          <w:rFonts w:ascii="Calibri-Light" w:eastAsia="Calibri-Light" w:hAnsi="Calibri-Light" w:cs="Yu Mincho"/>
          <w:szCs w:val="24"/>
        </w:rPr>
        <w:t xml:space="preserve">EY’s </w:t>
      </w:r>
      <w:r w:rsidRPr="00194F05">
        <w:rPr>
          <w:rFonts w:ascii="Calibri-Light" w:eastAsia="Calibri-Light" w:hAnsi="Calibri-Light" w:cs="Yu Mincho"/>
          <w:szCs w:val="24"/>
        </w:rPr>
        <w:t xml:space="preserve">general logic on holding volumes. </w:t>
      </w:r>
      <w:r w:rsidR="007440CB" w:rsidRPr="00194F05">
        <w:rPr>
          <w:rFonts w:ascii="Calibri-Light" w:eastAsia="Calibri-Light" w:hAnsi="Calibri-Light" w:cs="Yu Mincho"/>
          <w:szCs w:val="24"/>
        </w:rPr>
        <w:t xml:space="preserve">However, </w:t>
      </w:r>
      <w:r w:rsidR="00317316" w:rsidRPr="00194F05">
        <w:rPr>
          <w:rFonts w:ascii="Calibri-Light" w:eastAsia="Calibri-Light" w:hAnsi="Calibri-Light" w:cs="Yu Mincho"/>
          <w:szCs w:val="24"/>
        </w:rPr>
        <w:t xml:space="preserve">as we </w:t>
      </w:r>
      <w:r w:rsidR="00F34A62" w:rsidRPr="00194F05">
        <w:rPr>
          <w:rFonts w:ascii="Calibri-Light" w:eastAsia="Calibri-Light" w:hAnsi="Calibri-Light" w:cs="Yu Mincho"/>
          <w:szCs w:val="24"/>
        </w:rPr>
        <w:t>propose</w:t>
      </w:r>
      <w:r w:rsidR="007440CB" w:rsidRPr="00194F05">
        <w:rPr>
          <w:rFonts w:ascii="Calibri-Light" w:eastAsia="Calibri-Light" w:hAnsi="Calibri-Light" w:cs="Yu Mincho"/>
          <w:szCs w:val="24"/>
        </w:rPr>
        <w:t xml:space="preserve"> </w:t>
      </w:r>
      <w:r w:rsidR="00317316" w:rsidRPr="00194F05">
        <w:rPr>
          <w:rFonts w:ascii="Calibri-Light" w:eastAsia="Calibri-Light" w:hAnsi="Calibri-Light" w:cs="Yu Mincho"/>
          <w:szCs w:val="24"/>
        </w:rPr>
        <w:t xml:space="preserve">to use </w:t>
      </w:r>
      <w:r w:rsidR="003746E0" w:rsidRPr="00194F05">
        <w:rPr>
          <w:rFonts w:ascii="Calibri-Light" w:eastAsia="Calibri-Light" w:hAnsi="Calibri-Light" w:cs="Yu Mincho"/>
          <w:szCs w:val="24"/>
        </w:rPr>
        <w:t xml:space="preserve">stockpile </w:t>
      </w:r>
      <w:r w:rsidR="00DB54A6" w:rsidRPr="00194F05">
        <w:rPr>
          <w:rFonts w:ascii="Calibri-Light" w:eastAsia="Calibri-Light" w:hAnsi="Calibri-Light" w:cs="Yu Mincho"/>
          <w:szCs w:val="24"/>
        </w:rPr>
        <w:t xml:space="preserve">data as of end December each year </w:t>
      </w:r>
      <w:r w:rsidR="005937AF" w:rsidRPr="00194F05">
        <w:rPr>
          <w:rFonts w:ascii="Calibri-Light" w:eastAsia="Calibri-Light" w:hAnsi="Calibri-Light" w:cs="Yu Mincho"/>
          <w:szCs w:val="24"/>
        </w:rPr>
        <w:t xml:space="preserve">for estimating </w:t>
      </w:r>
      <w:r w:rsidR="00273013" w:rsidRPr="00194F05">
        <w:rPr>
          <w:rFonts w:ascii="Calibri-Light" w:eastAsia="Calibri-Light" w:hAnsi="Calibri-Light" w:cs="Yu Mincho"/>
          <w:szCs w:val="24"/>
        </w:rPr>
        <w:t>the</w:t>
      </w:r>
      <w:r w:rsidR="007440CB" w:rsidRPr="00194F05">
        <w:rPr>
          <w:rFonts w:ascii="Calibri-Light" w:eastAsia="Calibri-Light" w:hAnsi="Calibri-Light" w:cs="Yu Mincho"/>
          <w:szCs w:val="24"/>
        </w:rPr>
        <w:t xml:space="preserve"> surplus, </w:t>
      </w:r>
      <w:r w:rsidR="00582D7E" w:rsidRPr="00194F05">
        <w:rPr>
          <w:rFonts w:ascii="Calibri-Light" w:eastAsia="Calibri-Light" w:hAnsi="Calibri-Light" w:cs="Yu Mincho"/>
          <w:szCs w:val="24"/>
        </w:rPr>
        <w:t xml:space="preserve">we consider </w:t>
      </w:r>
      <w:r w:rsidR="007440CB" w:rsidRPr="00194F05">
        <w:rPr>
          <w:rFonts w:ascii="Calibri-Light" w:eastAsia="Calibri-Light" w:hAnsi="Calibri-Light" w:cs="Yu Mincho"/>
          <w:szCs w:val="24"/>
        </w:rPr>
        <w:t xml:space="preserve">it more appropriate </w:t>
      </w:r>
      <w:r w:rsidR="00A51148" w:rsidRPr="00194F05">
        <w:rPr>
          <w:rFonts w:ascii="Calibri-Light" w:eastAsia="Calibri-Light" w:hAnsi="Calibri-Light" w:cs="Yu Mincho"/>
          <w:szCs w:val="24"/>
        </w:rPr>
        <w:t>use</w:t>
      </w:r>
      <w:r w:rsidR="006177D6" w:rsidRPr="00194F05">
        <w:rPr>
          <w:rFonts w:ascii="Calibri-Light" w:eastAsia="Calibri-Light" w:hAnsi="Calibri-Light" w:cs="Yu Mincho"/>
          <w:szCs w:val="24"/>
        </w:rPr>
        <w:t xml:space="preserve"> </w:t>
      </w:r>
      <w:r w:rsidR="007440CB" w:rsidRPr="00194F05">
        <w:rPr>
          <w:rFonts w:ascii="Calibri-Light" w:eastAsia="Calibri-Light" w:hAnsi="Calibri-Light" w:cs="Yu Mincho"/>
          <w:szCs w:val="24"/>
        </w:rPr>
        <w:t xml:space="preserve">the estimated holding volumes </w:t>
      </w:r>
      <w:r w:rsidR="00273013" w:rsidRPr="00194F05">
        <w:rPr>
          <w:rFonts w:ascii="Calibri-Light" w:eastAsia="Calibri-Light" w:hAnsi="Calibri-Light" w:cs="Yu Mincho"/>
          <w:szCs w:val="24"/>
        </w:rPr>
        <w:t xml:space="preserve">at that </w:t>
      </w:r>
      <w:r w:rsidR="00654CD0" w:rsidRPr="00194F05">
        <w:rPr>
          <w:rFonts w:ascii="Calibri-Light" w:eastAsia="Calibri-Light" w:hAnsi="Calibri-Light" w:cs="Yu Mincho"/>
          <w:szCs w:val="24"/>
        </w:rPr>
        <w:t xml:space="preserve">same </w:t>
      </w:r>
      <w:r w:rsidR="00AF773C" w:rsidRPr="00194F05">
        <w:rPr>
          <w:rFonts w:ascii="Calibri-Light" w:eastAsia="Calibri-Light" w:hAnsi="Calibri-Light" w:cs="Yu Mincho"/>
          <w:szCs w:val="24"/>
        </w:rPr>
        <w:t>date</w:t>
      </w:r>
      <w:r w:rsidR="004712B5" w:rsidRPr="00194F05">
        <w:rPr>
          <w:rFonts w:ascii="Calibri-Light" w:eastAsia="Calibri-Light" w:hAnsi="Calibri-Light" w:cs="Yu Mincho"/>
          <w:szCs w:val="24"/>
        </w:rPr>
        <w:t xml:space="preserve">. </w:t>
      </w:r>
      <w:r w:rsidR="00983683" w:rsidRPr="00194F05">
        <w:rPr>
          <w:rFonts w:ascii="Calibri-Light" w:eastAsia="Calibri-Light" w:hAnsi="Calibri-Light" w:cs="Yu Mincho"/>
          <w:szCs w:val="24"/>
        </w:rPr>
        <w:t>T</w:t>
      </w:r>
      <w:r w:rsidR="004712B5" w:rsidRPr="00194F05">
        <w:rPr>
          <w:rFonts w:ascii="Calibri-Light" w:eastAsia="Calibri-Light" w:hAnsi="Calibri-Light" w:cs="Yu Mincho"/>
          <w:szCs w:val="24"/>
        </w:rPr>
        <w:t xml:space="preserve">his </w:t>
      </w:r>
      <w:r w:rsidR="00871F74" w:rsidRPr="00194F05">
        <w:rPr>
          <w:rFonts w:ascii="Calibri-Light" w:eastAsia="Calibri-Light" w:hAnsi="Calibri-Light" w:cs="Yu Mincho"/>
          <w:szCs w:val="24"/>
        </w:rPr>
        <w:t xml:space="preserve">volume </w:t>
      </w:r>
      <w:r w:rsidR="004712B5" w:rsidRPr="00194F05">
        <w:rPr>
          <w:rFonts w:ascii="Calibri-Light" w:eastAsia="Calibri-Light" w:hAnsi="Calibri-Light" w:cs="Yu Mincho"/>
          <w:szCs w:val="24"/>
        </w:rPr>
        <w:t xml:space="preserve">is equivalent to the </w:t>
      </w:r>
      <w:r w:rsidR="00A53A82" w:rsidRPr="00194F05">
        <w:rPr>
          <w:rFonts w:ascii="Calibri-Light" w:eastAsia="Calibri-Light" w:hAnsi="Calibri-Light" w:cs="Yu Mincho"/>
          <w:szCs w:val="24"/>
        </w:rPr>
        <w:t xml:space="preserve">total </w:t>
      </w:r>
      <w:r w:rsidR="00CF523E" w:rsidRPr="00194F05">
        <w:rPr>
          <w:rFonts w:ascii="Calibri-Light" w:eastAsia="Calibri-Light" w:hAnsi="Calibri-Light" w:cs="Yu Mincho"/>
          <w:szCs w:val="24"/>
        </w:rPr>
        <w:t xml:space="preserve">estimated </w:t>
      </w:r>
      <w:r w:rsidR="004712B5" w:rsidRPr="00194F05">
        <w:rPr>
          <w:rFonts w:ascii="Calibri-Light" w:eastAsia="Calibri-Light" w:hAnsi="Calibri-Light" w:cs="Yu Mincho"/>
          <w:szCs w:val="24"/>
        </w:rPr>
        <w:t xml:space="preserve">gross emissions </w:t>
      </w:r>
      <w:r w:rsidR="006175C8" w:rsidRPr="00194F05">
        <w:rPr>
          <w:rFonts w:ascii="Calibri-Light" w:eastAsia="Calibri-Light" w:hAnsi="Calibri-Light" w:cs="Yu Mincho"/>
          <w:szCs w:val="24"/>
        </w:rPr>
        <w:t>in the NZ ETS cap</w:t>
      </w:r>
      <w:r w:rsidR="00372F2A" w:rsidRPr="00194F05">
        <w:rPr>
          <w:rFonts w:ascii="Calibri-Light" w:eastAsia="Calibri-Light" w:hAnsi="Calibri-Light" w:cs="Yu Mincho"/>
          <w:szCs w:val="24"/>
        </w:rPr>
        <w:t xml:space="preserve"> for that year</w:t>
      </w:r>
      <w:r w:rsidR="006175C8" w:rsidRPr="00194F05">
        <w:rPr>
          <w:rFonts w:ascii="Calibri-Light" w:eastAsia="Calibri-Light" w:hAnsi="Calibri-Light" w:cs="Yu Mincho"/>
          <w:szCs w:val="24"/>
        </w:rPr>
        <w:t>.</w:t>
      </w:r>
      <w:r w:rsidR="00EF7BB0" w:rsidRPr="00194F05">
        <w:rPr>
          <w:rFonts w:ascii="Calibri-Light" w:eastAsia="Calibri-Light" w:hAnsi="Calibri-Light" w:cs="Yu Mincho"/>
          <w:szCs w:val="24"/>
          <w:vertAlign w:val="superscript"/>
        </w:rPr>
        <w:footnoteReference w:id="9"/>
      </w:r>
      <w:r w:rsidR="006175C8" w:rsidRPr="00194F05">
        <w:rPr>
          <w:rFonts w:ascii="Calibri-Light" w:eastAsia="Calibri-Light" w:hAnsi="Calibri-Light" w:cs="Yu Mincho"/>
          <w:szCs w:val="24"/>
        </w:rPr>
        <w:t xml:space="preserve"> </w:t>
      </w:r>
      <w:r w:rsidR="00847F9F" w:rsidRPr="00194F05">
        <w:rPr>
          <w:rFonts w:ascii="Calibri-Light" w:eastAsia="Calibri-Light" w:hAnsi="Calibri-Light" w:cs="Yu Mincho"/>
          <w:szCs w:val="24"/>
        </w:rPr>
        <w:t xml:space="preserve">We have used a single estimate of holding volumes across </w:t>
      </w:r>
      <w:r w:rsidR="000C691C" w:rsidRPr="00194F05">
        <w:rPr>
          <w:rFonts w:ascii="Calibri-Light" w:eastAsia="Calibri-Light" w:hAnsi="Calibri-Light" w:cs="Yu Mincho"/>
          <w:szCs w:val="24"/>
        </w:rPr>
        <w:t xml:space="preserve">our </w:t>
      </w:r>
      <w:r w:rsidR="00B726A1" w:rsidRPr="00194F05">
        <w:rPr>
          <w:rFonts w:ascii="Calibri-Light" w:eastAsia="Calibri-Light" w:hAnsi="Calibri-Light" w:cs="Yu Mincho"/>
          <w:szCs w:val="24"/>
        </w:rPr>
        <w:t>range of</w:t>
      </w:r>
      <w:r w:rsidR="000C691C" w:rsidRPr="00194F05">
        <w:rPr>
          <w:rFonts w:ascii="Calibri-Light" w:eastAsia="Calibri-Light" w:hAnsi="Calibri-Light" w:cs="Yu Mincho"/>
          <w:szCs w:val="24"/>
        </w:rPr>
        <w:t xml:space="preserve"> surplus estimates</w:t>
      </w:r>
      <w:r w:rsidR="00B726A1" w:rsidRPr="00194F05">
        <w:rPr>
          <w:rFonts w:ascii="Calibri-Light" w:eastAsia="Calibri-Light" w:hAnsi="Calibri-Light" w:cs="Yu Mincho"/>
          <w:szCs w:val="24"/>
        </w:rPr>
        <w:t xml:space="preserve">.  </w:t>
      </w:r>
    </w:p>
    <w:p w14:paraId="2F570E34" w14:textId="143FFCF0" w:rsidR="00D331C5" w:rsidRDefault="00CC612A" w:rsidP="008649CF">
      <w:pPr>
        <w:pStyle w:val="Heading3"/>
        <w:spacing w:after="120"/>
      </w:pPr>
      <w:bookmarkStart w:id="60" w:name="_Toc195533429"/>
      <w:r>
        <w:t>S</w:t>
      </w:r>
      <w:r w:rsidR="00D331C5" w:rsidRPr="00302667">
        <w:t xml:space="preserve">urplus units from </w:t>
      </w:r>
      <w:r w:rsidR="00D04121">
        <w:t xml:space="preserve">MERP4 </w:t>
      </w:r>
      <w:r w:rsidR="00D331C5" w:rsidRPr="00302667">
        <w:t>post-1989 forest</w:t>
      </w:r>
      <w:r w:rsidR="00247585">
        <w:t>ry</w:t>
      </w:r>
      <w:r w:rsidR="00D331C5" w:rsidRPr="00302667">
        <w:t xml:space="preserve"> unit allocations</w:t>
      </w:r>
      <w:bookmarkEnd w:id="60"/>
      <w:r w:rsidR="00D331C5" w:rsidRPr="00302667">
        <w:t xml:space="preserve"> </w:t>
      </w:r>
    </w:p>
    <w:p w14:paraId="0471FA5D" w14:textId="53FC7521" w:rsidR="00D331C5" w:rsidRPr="00194F05" w:rsidRDefault="00352B1B" w:rsidP="00194F05">
      <w:pPr>
        <w:spacing w:line="279" w:lineRule="auto"/>
        <w:rPr>
          <w:rFonts w:ascii="Calibri-Light" w:eastAsia="Calibri-Light" w:hAnsi="Calibri-Light" w:cs="Yu Mincho"/>
          <w:szCs w:val="24"/>
        </w:rPr>
      </w:pPr>
      <w:r w:rsidRPr="00194F05">
        <w:rPr>
          <w:rFonts w:ascii="Calibri-Light" w:eastAsia="Calibri-Light" w:hAnsi="Calibri-Light" w:cs="Yu Mincho"/>
          <w:szCs w:val="24"/>
        </w:rPr>
        <w:t xml:space="preserve">This year we identified the need to </w:t>
      </w:r>
      <w:r w:rsidR="00250512" w:rsidRPr="00194F05">
        <w:rPr>
          <w:rFonts w:ascii="Calibri-Light" w:eastAsia="Calibri-Light" w:hAnsi="Calibri-Light" w:cs="Yu Mincho"/>
          <w:szCs w:val="24"/>
        </w:rPr>
        <w:t xml:space="preserve">anticipate the impact of forestry units expected to be allocated </w:t>
      </w:r>
      <w:r w:rsidR="00F2753F" w:rsidRPr="00194F05">
        <w:rPr>
          <w:rFonts w:ascii="Calibri-Light" w:eastAsia="Calibri-Light" w:hAnsi="Calibri-Light" w:cs="Yu Mincho"/>
          <w:szCs w:val="24"/>
        </w:rPr>
        <w:t xml:space="preserve">at the end of </w:t>
      </w:r>
      <w:r w:rsidR="00250512" w:rsidRPr="00194F05">
        <w:rPr>
          <w:rFonts w:ascii="Calibri-Light" w:eastAsia="Calibri-Light" w:hAnsi="Calibri-Light" w:cs="Yu Mincho"/>
          <w:szCs w:val="24"/>
        </w:rPr>
        <w:t xml:space="preserve">MERP4. </w:t>
      </w:r>
      <w:r w:rsidR="0066099B" w:rsidRPr="0066099B">
        <w:rPr>
          <w:rFonts w:ascii="Calibri-Light" w:eastAsia="Calibri-Light" w:hAnsi="Calibri-Light" w:cs="Yu Mincho"/>
          <w:szCs w:val="24"/>
        </w:rPr>
        <w:t xml:space="preserve">MERP4 </w:t>
      </w:r>
      <w:r w:rsidR="00C76CAA">
        <w:rPr>
          <w:rFonts w:ascii="Calibri-Light" w:eastAsia="Calibri-Light" w:hAnsi="Calibri-Light" w:cs="Yu Mincho"/>
          <w:szCs w:val="24"/>
        </w:rPr>
        <w:t xml:space="preserve">covers </w:t>
      </w:r>
      <w:r w:rsidR="0066099B" w:rsidRPr="0066099B">
        <w:rPr>
          <w:rFonts w:ascii="Calibri-Light" w:eastAsia="Calibri-Light" w:hAnsi="Calibri-Light" w:cs="Yu Mincho"/>
          <w:szCs w:val="24"/>
        </w:rPr>
        <w:t>2023-2025</w:t>
      </w:r>
      <w:r w:rsidR="00C76CAA">
        <w:rPr>
          <w:rFonts w:ascii="Calibri-Light" w:eastAsia="Calibri-Light" w:hAnsi="Calibri-Light" w:cs="Yu Mincho"/>
          <w:szCs w:val="24"/>
        </w:rPr>
        <w:t>, and p</w:t>
      </w:r>
      <w:r w:rsidR="0066099B" w:rsidRPr="0066099B">
        <w:rPr>
          <w:rFonts w:ascii="Calibri-Light" w:eastAsia="Calibri-Light" w:hAnsi="Calibri-Light" w:cs="Yu Mincho"/>
          <w:szCs w:val="24"/>
        </w:rPr>
        <w:t xml:space="preserve">ost-1989 forestry participants are only required to submit emission returns </w:t>
      </w:r>
      <w:r w:rsidR="00C76CAA">
        <w:rPr>
          <w:rFonts w:ascii="Calibri-Light" w:eastAsia="Calibri-Light" w:hAnsi="Calibri-Light" w:cs="Yu Mincho"/>
          <w:szCs w:val="24"/>
        </w:rPr>
        <w:t>after it ends, in 2026</w:t>
      </w:r>
      <w:r w:rsidR="00AA00CB">
        <w:rPr>
          <w:rFonts w:ascii="Calibri-Light" w:eastAsia="Calibri-Light" w:hAnsi="Calibri-Light" w:cs="Yu Mincho"/>
          <w:szCs w:val="24"/>
        </w:rPr>
        <w:t xml:space="preserve"> (although some will report more frequently on a voluntary basis)</w:t>
      </w:r>
      <w:r w:rsidR="00C76CAA">
        <w:rPr>
          <w:rFonts w:ascii="Calibri-Light" w:eastAsia="Calibri-Light" w:hAnsi="Calibri-Light" w:cs="Yu Mincho"/>
          <w:szCs w:val="24"/>
        </w:rPr>
        <w:t xml:space="preserve">. </w:t>
      </w:r>
      <w:r w:rsidR="005A6340">
        <w:rPr>
          <w:rFonts w:ascii="Calibri-Light" w:eastAsia="Calibri-Light" w:hAnsi="Calibri-Light" w:cs="Yu Mincho"/>
          <w:szCs w:val="24"/>
        </w:rPr>
        <w:t>Participants</w:t>
      </w:r>
      <w:r w:rsidR="0066099B" w:rsidRPr="0066099B">
        <w:rPr>
          <w:rFonts w:ascii="Calibri-Light" w:eastAsia="Calibri-Light" w:hAnsi="Calibri-Light" w:cs="Yu Mincho"/>
          <w:szCs w:val="24"/>
        </w:rPr>
        <w:t xml:space="preserve"> may receive (</w:t>
      </w:r>
      <w:r w:rsidR="007547B5">
        <w:rPr>
          <w:rFonts w:ascii="Calibri-Light" w:eastAsia="Calibri-Light" w:hAnsi="Calibri-Light" w:cs="Yu Mincho"/>
          <w:szCs w:val="24"/>
        </w:rPr>
        <w:t xml:space="preserve">or </w:t>
      </w:r>
      <w:r w:rsidR="0066099B" w:rsidRPr="0066099B">
        <w:rPr>
          <w:rFonts w:ascii="Calibri-Light" w:eastAsia="Calibri-Light" w:hAnsi="Calibri-Light" w:cs="Yu Mincho"/>
          <w:szCs w:val="24"/>
        </w:rPr>
        <w:t xml:space="preserve">surrender) units in 2026 for all their forestry activities </w:t>
      </w:r>
      <w:r w:rsidR="00333716">
        <w:rPr>
          <w:rFonts w:ascii="Calibri-Light" w:eastAsia="Calibri-Light" w:hAnsi="Calibri-Light" w:cs="Yu Mincho"/>
          <w:szCs w:val="24"/>
        </w:rPr>
        <w:t xml:space="preserve">over </w:t>
      </w:r>
      <w:r w:rsidR="0066099B" w:rsidRPr="0066099B">
        <w:rPr>
          <w:rFonts w:ascii="Calibri-Light" w:eastAsia="Calibri-Light" w:hAnsi="Calibri-Light" w:cs="Yu Mincho"/>
          <w:szCs w:val="24"/>
        </w:rPr>
        <w:t xml:space="preserve">2023-2025. </w:t>
      </w:r>
    </w:p>
    <w:p w14:paraId="145E4A64" w14:textId="00B2FBA7" w:rsidR="00DF5237" w:rsidRDefault="00545DDB" w:rsidP="00545DDB">
      <w:pPr>
        <w:spacing w:line="279" w:lineRule="auto"/>
        <w:rPr>
          <w:rFonts w:ascii="Calibri-Light" w:eastAsia="Calibri-Light" w:hAnsi="Calibri-Light" w:cs="Yu Mincho"/>
          <w:szCs w:val="24"/>
        </w:rPr>
      </w:pPr>
      <w:r w:rsidRPr="00545DDB">
        <w:rPr>
          <w:rFonts w:ascii="Calibri-Light" w:eastAsia="Calibri-Light" w:hAnsi="Calibri-Light" w:cs="Yu Mincho"/>
          <w:szCs w:val="24"/>
        </w:rPr>
        <w:t>The timing of MERP</w:t>
      </w:r>
      <w:r>
        <w:rPr>
          <w:rFonts w:ascii="Calibri-Light" w:eastAsia="Calibri-Light" w:hAnsi="Calibri-Light" w:cs="Yu Mincho"/>
          <w:szCs w:val="24"/>
        </w:rPr>
        <w:t>4</w:t>
      </w:r>
      <w:r w:rsidRPr="00545DDB">
        <w:rPr>
          <w:rFonts w:ascii="Calibri-Light" w:eastAsia="Calibri-Light" w:hAnsi="Calibri-Light" w:cs="Yu Mincho"/>
          <w:szCs w:val="24"/>
        </w:rPr>
        <w:t xml:space="preserve"> allocations </w:t>
      </w:r>
      <w:r w:rsidR="007D21D1">
        <w:rPr>
          <w:rFonts w:ascii="Calibri-Light" w:eastAsia="Calibri-Light" w:hAnsi="Calibri-Light" w:cs="Yu Mincho"/>
          <w:szCs w:val="24"/>
        </w:rPr>
        <w:t xml:space="preserve">means </w:t>
      </w:r>
      <w:r w:rsidR="005A6340">
        <w:rPr>
          <w:rFonts w:ascii="Calibri-Light" w:eastAsia="Calibri-Light" w:hAnsi="Calibri-Light" w:cs="Yu Mincho"/>
          <w:szCs w:val="24"/>
        </w:rPr>
        <w:t xml:space="preserve">that </w:t>
      </w:r>
      <w:r w:rsidRPr="00545DDB">
        <w:rPr>
          <w:rFonts w:ascii="Calibri-Light" w:eastAsia="Calibri-Light" w:hAnsi="Calibri-Light" w:cs="Yu Mincho"/>
          <w:szCs w:val="24"/>
        </w:rPr>
        <w:t xml:space="preserve">forestry units </w:t>
      </w:r>
      <w:r w:rsidR="007D21D1">
        <w:rPr>
          <w:rFonts w:ascii="Calibri-Light" w:eastAsia="Calibri-Light" w:hAnsi="Calibri-Light" w:cs="Yu Mincho"/>
          <w:szCs w:val="24"/>
        </w:rPr>
        <w:t xml:space="preserve">will be </w:t>
      </w:r>
      <w:r w:rsidRPr="00545DDB">
        <w:rPr>
          <w:rFonts w:ascii="Calibri-Light" w:eastAsia="Calibri-Light" w:hAnsi="Calibri-Light" w:cs="Yu Mincho"/>
          <w:szCs w:val="24"/>
        </w:rPr>
        <w:t xml:space="preserve">allocated in 2026 for removals that occurred in </w:t>
      </w:r>
      <w:r w:rsidR="00AF3A67">
        <w:rPr>
          <w:rFonts w:ascii="Calibri-Light" w:eastAsia="Calibri-Light" w:hAnsi="Calibri-Light" w:cs="Yu Mincho"/>
          <w:szCs w:val="24"/>
        </w:rPr>
        <w:t>the first emissions budget</w:t>
      </w:r>
      <w:r w:rsidR="00E000A7">
        <w:rPr>
          <w:rFonts w:ascii="Calibri-Light" w:eastAsia="Calibri-Light" w:hAnsi="Calibri-Light" w:cs="Yu Mincho"/>
          <w:szCs w:val="24"/>
        </w:rPr>
        <w:t xml:space="preserve"> </w:t>
      </w:r>
      <w:r w:rsidR="004A49B7">
        <w:rPr>
          <w:rFonts w:ascii="Calibri-Light" w:eastAsia="Calibri-Light" w:hAnsi="Calibri-Light" w:cs="Yu Mincho"/>
          <w:szCs w:val="24"/>
        </w:rPr>
        <w:t>period</w:t>
      </w:r>
      <w:r w:rsidR="0031778E">
        <w:rPr>
          <w:rFonts w:ascii="Calibri-Light" w:eastAsia="Calibri-Light" w:hAnsi="Calibri-Light" w:cs="Yu Mincho"/>
          <w:szCs w:val="24"/>
        </w:rPr>
        <w:t>,</w:t>
      </w:r>
      <w:r w:rsidR="004A49B7">
        <w:rPr>
          <w:rFonts w:ascii="Calibri-Light" w:eastAsia="Calibri-Light" w:hAnsi="Calibri-Light" w:cs="Yu Mincho"/>
          <w:szCs w:val="24"/>
        </w:rPr>
        <w:t xml:space="preserve"> </w:t>
      </w:r>
      <w:r w:rsidR="00E000A7">
        <w:rPr>
          <w:rFonts w:ascii="Calibri-Light" w:eastAsia="Calibri-Light" w:hAnsi="Calibri-Light" w:cs="Yu Mincho"/>
          <w:szCs w:val="24"/>
        </w:rPr>
        <w:t xml:space="preserve">and </w:t>
      </w:r>
      <w:r w:rsidR="00E305BE">
        <w:rPr>
          <w:rFonts w:ascii="Calibri-Light" w:eastAsia="Calibri-Light" w:hAnsi="Calibri-Light" w:cs="Yu Mincho"/>
          <w:szCs w:val="24"/>
        </w:rPr>
        <w:t>which have already been counted against that budget in the GHG Inventory</w:t>
      </w:r>
      <w:r w:rsidRPr="00545DDB">
        <w:rPr>
          <w:rFonts w:ascii="Calibri-Light" w:eastAsia="Calibri-Light" w:hAnsi="Calibri-Light" w:cs="Yu Mincho"/>
          <w:szCs w:val="24"/>
        </w:rPr>
        <w:t xml:space="preserve">. These units could </w:t>
      </w:r>
      <w:r w:rsidR="00E0010D">
        <w:rPr>
          <w:rFonts w:ascii="Calibri-Light" w:eastAsia="Calibri-Light" w:hAnsi="Calibri-Light" w:cs="Yu Mincho"/>
          <w:szCs w:val="24"/>
        </w:rPr>
        <w:t xml:space="preserve">therefore </w:t>
      </w:r>
      <w:r w:rsidRPr="00545DDB">
        <w:rPr>
          <w:rFonts w:ascii="Calibri-Light" w:eastAsia="Calibri-Light" w:hAnsi="Calibri-Light" w:cs="Yu Mincho"/>
          <w:szCs w:val="24"/>
        </w:rPr>
        <w:t xml:space="preserve">contribute to </w:t>
      </w:r>
      <w:r w:rsidR="00AF3A67">
        <w:rPr>
          <w:rFonts w:ascii="Calibri-Light" w:eastAsia="Calibri-Light" w:hAnsi="Calibri-Light" w:cs="Yu Mincho"/>
          <w:szCs w:val="24"/>
        </w:rPr>
        <w:t>the second emissions budget</w:t>
      </w:r>
      <w:r w:rsidRPr="00545DDB">
        <w:rPr>
          <w:rFonts w:ascii="Calibri-Light" w:eastAsia="Calibri-Light" w:hAnsi="Calibri-Light" w:cs="Yu Mincho"/>
          <w:szCs w:val="24"/>
        </w:rPr>
        <w:t xml:space="preserve"> being missed</w:t>
      </w:r>
      <w:r w:rsidR="00174BE8">
        <w:rPr>
          <w:rFonts w:ascii="Calibri-Light" w:eastAsia="Calibri-Light" w:hAnsi="Calibri-Light" w:cs="Yu Mincho"/>
          <w:szCs w:val="24"/>
        </w:rPr>
        <w:t xml:space="preserve">, </w:t>
      </w:r>
      <w:r w:rsidR="00D97BA2">
        <w:rPr>
          <w:rFonts w:ascii="Calibri-Light" w:eastAsia="Calibri-Light" w:hAnsi="Calibri-Light" w:cs="Yu Mincho"/>
          <w:szCs w:val="24"/>
        </w:rPr>
        <w:t>because</w:t>
      </w:r>
      <w:r w:rsidR="00174BE8">
        <w:rPr>
          <w:rFonts w:ascii="Calibri-Light" w:eastAsia="Calibri-Light" w:hAnsi="Calibri-Light" w:cs="Yu Mincho"/>
          <w:szCs w:val="24"/>
        </w:rPr>
        <w:t xml:space="preserve"> emitters could </w:t>
      </w:r>
      <w:r w:rsidR="00BE2F78">
        <w:rPr>
          <w:rFonts w:ascii="Calibri-Light" w:eastAsia="Calibri-Light" w:hAnsi="Calibri-Light" w:cs="Yu Mincho"/>
          <w:szCs w:val="24"/>
        </w:rPr>
        <w:t xml:space="preserve">use them to emit </w:t>
      </w:r>
      <w:r w:rsidR="00DF5237">
        <w:rPr>
          <w:rFonts w:ascii="Calibri-Light" w:eastAsia="Calibri-Light" w:hAnsi="Calibri-Light" w:cs="Yu Mincho"/>
          <w:szCs w:val="24"/>
        </w:rPr>
        <w:t xml:space="preserve">but </w:t>
      </w:r>
      <w:r w:rsidR="00BE2F78">
        <w:rPr>
          <w:rFonts w:ascii="Calibri-Light" w:eastAsia="Calibri-Light" w:hAnsi="Calibri-Light" w:cs="Yu Mincho"/>
          <w:szCs w:val="24"/>
        </w:rPr>
        <w:t xml:space="preserve">they do not correspond to a removal occurring in the </w:t>
      </w:r>
      <w:r w:rsidR="00592324">
        <w:rPr>
          <w:rFonts w:ascii="Calibri-Light" w:eastAsia="Calibri-Light" w:hAnsi="Calibri-Light" w:cs="Yu Mincho"/>
          <w:szCs w:val="24"/>
        </w:rPr>
        <w:t xml:space="preserve">relevant </w:t>
      </w:r>
      <w:r w:rsidR="00BE2F78">
        <w:rPr>
          <w:rFonts w:ascii="Calibri-Light" w:eastAsia="Calibri-Light" w:hAnsi="Calibri-Light" w:cs="Yu Mincho"/>
          <w:szCs w:val="24"/>
        </w:rPr>
        <w:t>budget period</w:t>
      </w:r>
      <w:r w:rsidRPr="00545DDB">
        <w:rPr>
          <w:rFonts w:ascii="Calibri-Light" w:eastAsia="Calibri-Light" w:hAnsi="Calibri-Light" w:cs="Yu Mincho"/>
          <w:szCs w:val="24"/>
        </w:rPr>
        <w:t>.</w:t>
      </w:r>
      <w:r w:rsidR="00E0010D">
        <w:rPr>
          <w:rFonts w:ascii="Calibri-Light" w:eastAsia="Calibri-Light" w:hAnsi="Calibri-Light" w:cs="Yu Mincho"/>
          <w:szCs w:val="24"/>
        </w:rPr>
        <w:t xml:space="preserve"> </w:t>
      </w:r>
    </w:p>
    <w:p w14:paraId="6CB9AA7B" w14:textId="5DBF70FC" w:rsidR="00665C0A" w:rsidRDefault="00545DDB" w:rsidP="00545DDB">
      <w:pPr>
        <w:spacing w:line="279" w:lineRule="auto"/>
        <w:rPr>
          <w:rFonts w:ascii="Calibri-Light" w:eastAsia="Calibri-Light" w:hAnsi="Calibri-Light" w:cs="Yu Mincho"/>
          <w:szCs w:val="24"/>
        </w:rPr>
      </w:pPr>
      <w:r w:rsidRPr="00545DDB">
        <w:rPr>
          <w:rFonts w:ascii="Calibri-Light" w:eastAsia="Calibri-Light" w:hAnsi="Calibri-Light" w:cs="Yu Mincho"/>
          <w:szCs w:val="24"/>
        </w:rPr>
        <w:t xml:space="preserve">In theory, the forestry units generated from removals over 2023-2025 </w:t>
      </w:r>
      <w:r w:rsidR="00F520F2">
        <w:rPr>
          <w:rFonts w:ascii="Calibri-Light" w:eastAsia="Calibri-Light" w:hAnsi="Calibri-Light" w:cs="Yu Mincho"/>
          <w:szCs w:val="24"/>
        </w:rPr>
        <w:t>are</w:t>
      </w:r>
      <w:r w:rsidRPr="00545DDB">
        <w:rPr>
          <w:rFonts w:ascii="Calibri-Light" w:eastAsia="Calibri-Light" w:hAnsi="Calibri-Light" w:cs="Yu Mincho"/>
          <w:szCs w:val="24"/>
        </w:rPr>
        <w:t xml:space="preserve"> needed by emitters to meet their obligations over those years. However, in our calculation of the unit surplus, the demand from emitters for </w:t>
      </w:r>
      <w:r w:rsidR="00E66BBB">
        <w:rPr>
          <w:rFonts w:ascii="Calibri-Light" w:eastAsia="Calibri-Light" w:hAnsi="Calibri-Light" w:cs="Yu Mincho"/>
          <w:szCs w:val="24"/>
        </w:rPr>
        <w:t xml:space="preserve">emissions in </w:t>
      </w:r>
      <w:r w:rsidRPr="00545DDB">
        <w:rPr>
          <w:rFonts w:ascii="Calibri-Light" w:eastAsia="Calibri-Light" w:hAnsi="Calibri-Light" w:cs="Yu Mincho"/>
          <w:szCs w:val="24"/>
        </w:rPr>
        <w:t>2023 and 2024 is already accounted for</w:t>
      </w:r>
      <w:r w:rsidR="00FE253E">
        <w:rPr>
          <w:rFonts w:ascii="Calibri-Light" w:eastAsia="Calibri-Light" w:hAnsi="Calibri-Light" w:cs="Yu Mincho"/>
          <w:szCs w:val="24"/>
        </w:rPr>
        <w:t xml:space="preserve">. </w:t>
      </w:r>
    </w:p>
    <w:p w14:paraId="0FFE3BC6" w14:textId="7C88E207" w:rsidR="00545DDB" w:rsidRDefault="00545DDB" w:rsidP="00545DDB">
      <w:pPr>
        <w:spacing w:line="279" w:lineRule="auto"/>
        <w:rPr>
          <w:rFonts w:ascii="Calibri-Light" w:eastAsia="Calibri-Light" w:hAnsi="Calibri-Light" w:cs="Yu Mincho"/>
          <w:szCs w:val="24"/>
        </w:rPr>
      </w:pPr>
      <w:r w:rsidRPr="00545DDB">
        <w:rPr>
          <w:rFonts w:ascii="Calibri-Light" w:eastAsia="Calibri-Light" w:hAnsi="Calibri-Light" w:cs="Yu Mincho"/>
          <w:szCs w:val="24"/>
        </w:rPr>
        <w:t>Demand from 2023 emissions was addressed in the May 2024 surrenders</w:t>
      </w:r>
      <w:r w:rsidR="00550065">
        <w:rPr>
          <w:rFonts w:ascii="Calibri-Light" w:eastAsia="Calibri-Light" w:hAnsi="Calibri-Light" w:cs="Yu Mincho"/>
          <w:szCs w:val="24"/>
        </w:rPr>
        <w:t>. W</w:t>
      </w:r>
      <w:r w:rsidRPr="00545DDB">
        <w:rPr>
          <w:rFonts w:ascii="Calibri-Light" w:eastAsia="Calibri-Light" w:hAnsi="Calibri-Light" w:cs="Yu Mincho"/>
          <w:szCs w:val="24"/>
        </w:rPr>
        <w:t xml:space="preserve">e start our estimation of the surplus with the units in the registry as at </w:t>
      </w:r>
      <w:r w:rsidR="00BA1C49">
        <w:rPr>
          <w:rFonts w:ascii="Calibri-Light" w:eastAsia="Calibri-Light" w:hAnsi="Calibri-Light" w:cs="Yu Mincho"/>
          <w:szCs w:val="24"/>
        </w:rPr>
        <w:t xml:space="preserve">31 </w:t>
      </w:r>
      <w:r w:rsidRPr="00545DDB">
        <w:rPr>
          <w:rFonts w:ascii="Calibri-Light" w:eastAsia="Calibri-Light" w:hAnsi="Calibri-Light" w:cs="Yu Mincho"/>
          <w:szCs w:val="24"/>
        </w:rPr>
        <w:t>December 2024</w:t>
      </w:r>
      <w:r w:rsidR="003D779B">
        <w:rPr>
          <w:rFonts w:ascii="Calibri-Light" w:eastAsia="Calibri-Light" w:hAnsi="Calibri-Light" w:cs="Yu Mincho"/>
          <w:szCs w:val="24"/>
        </w:rPr>
        <w:t xml:space="preserve">, after those </w:t>
      </w:r>
      <w:r w:rsidRPr="00545DDB">
        <w:rPr>
          <w:rFonts w:ascii="Calibri-Light" w:eastAsia="Calibri-Light" w:hAnsi="Calibri-Light" w:cs="Yu Mincho"/>
          <w:szCs w:val="24"/>
        </w:rPr>
        <w:t>surrender</w:t>
      </w:r>
      <w:r w:rsidR="003D779B">
        <w:rPr>
          <w:rFonts w:ascii="Calibri-Light" w:eastAsia="Calibri-Light" w:hAnsi="Calibri-Light" w:cs="Yu Mincho"/>
          <w:szCs w:val="24"/>
        </w:rPr>
        <w:t>s</w:t>
      </w:r>
      <w:r w:rsidRPr="00545DDB">
        <w:rPr>
          <w:rFonts w:ascii="Calibri-Light" w:eastAsia="Calibri-Light" w:hAnsi="Calibri-Light" w:cs="Yu Mincho"/>
          <w:szCs w:val="24"/>
        </w:rPr>
        <w:t xml:space="preserve">. Demand from 2024 emissions is now </w:t>
      </w:r>
      <w:r w:rsidR="007E134D">
        <w:rPr>
          <w:rFonts w:ascii="Calibri-Light" w:eastAsia="Calibri-Light" w:hAnsi="Calibri-Light" w:cs="Yu Mincho"/>
          <w:szCs w:val="24"/>
        </w:rPr>
        <w:t xml:space="preserve">provided for by </w:t>
      </w:r>
      <w:r w:rsidRPr="00545DDB">
        <w:rPr>
          <w:rFonts w:ascii="Calibri-Light" w:eastAsia="Calibri-Light" w:hAnsi="Calibri-Light" w:cs="Yu Mincho"/>
          <w:szCs w:val="24"/>
        </w:rPr>
        <w:t>the new ‘holding volume’ category</w:t>
      </w:r>
      <w:r w:rsidR="008D19E0">
        <w:rPr>
          <w:rFonts w:ascii="Calibri-Light" w:eastAsia="Calibri-Light" w:hAnsi="Calibri-Light" w:cs="Yu Mincho"/>
          <w:szCs w:val="24"/>
        </w:rPr>
        <w:t xml:space="preserve"> (see previous section). </w:t>
      </w:r>
      <w:r w:rsidR="00EC2E11">
        <w:rPr>
          <w:rFonts w:ascii="Calibri-Light" w:eastAsia="Calibri-Light" w:hAnsi="Calibri-Light" w:cs="Yu Mincho"/>
          <w:szCs w:val="24"/>
        </w:rPr>
        <w:t>O</w:t>
      </w:r>
      <w:r w:rsidRPr="00545DDB">
        <w:rPr>
          <w:rFonts w:ascii="Calibri-Light" w:eastAsia="Calibri-Light" w:hAnsi="Calibri-Light" w:cs="Yu Mincho"/>
          <w:szCs w:val="24"/>
        </w:rPr>
        <w:t>nly demand f</w:t>
      </w:r>
      <w:r w:rsidR="00BD46DE">
        <w:rPr>
          <w:rFonts w:ascii="Calibri-Light" w:eastAsia="Calibri-Light" w:hAnsi="Calibri-Light" w:cs="Yu Mincho"/>
          <w:szCs w:val="24"/>
        </w:rPr>
        <w:t xml:space="preserve">rom </w:t>
      </w:r>
      <w:r w:rsidRPr="00545DDB">
        <w:rPr>
          <w:rFonts w:ascii="Calibri-Light" w:eastAsia="Calibri-Light" w:hAnsi="Calibri-Light" w:cs="Yu Mincho"/>
          <w:szCs w:val="24"/>
        </w:rPr>
        <w:t>2025 emissions remain</w:t>
      </w:r>
      <w:r w:rsidR="00725C6C">
        <w:rPr>
          <w:rFonts w:ascii="Calibri-Light" w:eastAsia="Calibri-Light" w:hAnsi="Calibri-Light" w:cs="Yu Mincho"/>
          <w:szCs w:val="24"/>
        </w:rPr>
        <w:t>s</w:t>
      </w:r>
      <w:r w:rsidRPr="00545DDB">
        <w:rPr>
          <w:rFonts w:ascii="Calibri-Light" w:eastAsia="Calibri-Light" w:hAnsi="Calibri-Light" w:cs="Yu Mincho"/>
          <w:szCs w:val="24"/>
        </w:rPr>
        <w:t xml:space="preserve"> to </w:t>
      </w:r>
      <w:r w:rsidR="004E465B">
        <w:rPr>
          <w:rFonts w:ascii="Calibri-Light" w:eastAsia="Calibri-Light" w:hAnsi="Calibri-Light" w:cs="Yu Mincho"/>
          <w:szCs w:val="24"/>
        </w:rPr>
        <w:t xml:space="preserve">use up </w:t>
      </w:r>
      <w:r w:rsidRPr="00545DDB">
        <w:rPr>
          <w:rFonts w:ascii="Calibri-Light" w:eastAsia="Calibri-Light" w:hAnsi="Calibri-Light" w:cs="Yu Mincho"/>
          <w:szCs w:val="24"/>
        </w:rPr>
        <w:t xml:space="preserve">the further units that will be allocated </w:t>
      </w:r>
      <w:r w:rsidR="00D033DB">
        <w:rPr>
          <w:rFonts w:ascii="Calibri-Light" w:eastAsia="Calibri-Light" w:hAnsi="Calibri-Light" w:cs="Yu Mincho"/>
          <w:szCs w:val="24"/>
        </w:rPr>
        <w:t xml:space="preserve">for </w:t>
      </w:r>
      <w:r w:rsidRPr="00545DDB">
        <w:rPr>
          <w:rFonts w:ascii="Calibri-Light" w:eastAsia="Calibri-Light" w:hAnsi="Calibri-Light" w:cs="Yu Mincho"/>
          <w:szCs w:val="24"/>
        </w:rPr>
        <w:t xml:space="preserve">MERP4. </w:t>
      </w:r>
    </w:p>
    <w:p w14:paraId="2ABA1A7C" w14:textId="6A643631" w:rsidR="00FD547B" w:rsidRDefault="000D7E1D" w:rsidP="00545DDB">
      <w:pPr>
        <w:spacing w:line="279" w:lineRule="auto"/>
        <w:rPr>
          <w:rFonts w:ascii="Calibri-Light" w:eastAsia="Calibri-Light" w:hAnsi="Calibri-Light" w:cs="Yu Mincho"/>
          <w:szCs w:val="24"/>
        </w:rPr>
      </w:pPr>
      <w:r>
        <w:rPr>
          <w:rFonts w:ascii="Calibri-Light" w:eastAsia="Calibri-Light" w:hAnsi="Calibri-Light" w:cs="Yu Mincho"/>
          <w:szCs w:val="24"/>
        </w:rPr>
        <w:t xml:space="preserve">Demand from </w:t>
      </w:r>
      <w:r w:rsidR="00725C6C" w:rsidRPr="00545DDB">
        <w:rPr>
          <w:rFonts w:ascii="Calibri-Light" w:eastAsia="Calibri-Light" w:hAnsi="Calibri-Light" w:cs="Yu Mincho"/>
          <w:szCs w:val="24"/>
        </w:rPr>
        <w:t xml:space="preserve">foresters’ own </w:t>
      </w:r>
      <w:r w:rsidR="00360D5D">
        <w:rPr>
          <w:rFonts w:ascii="Calibri-Light" w:eastAsia="Calibri-Light" w:hAnsi="Calibri-Light" w:cs="Yu Mincho"/>
          <w:szCs w:val="24"/>
        </w:rPr>
        <w:t xml:space="preserve">harvesting </w:t>
      </w:r>
      <w:r w:rsidR="00CF5A20">
        <w:rPr>
          <w:rFonts w:ascii="Calibri-Light" w:eastAsia="Calibri-Light" w:hAnsi="Calibri-Light" w:cs="Yu Mincho"/>
          <w:szCs w:val="24"/>
        </w:rPr>
        <w:t xml:space="preserve">of </w:t>
      </w:r>
      <w:r w:rsidR="00360D5D">
        <w:rPr>
          <w:rFonts w:ascii="Calibri-Light" w:eastAsia="Calibri-Light" w:hAnsi="Calibri-Light" w:cs="Yu Mincho"/>
          <w:szCs w:val="24"/>
        </w:rPr>
        <w:t xml:space="preserve">post-89 forests </w:t>
      </w:r>
      <w:r w:rsidR="002D4588">
        <w:rPr>
          <w:rFonts w:ascii="Calibri-Light" w:eastAsia="Calibri-Light" w:hAnsi="Calibri-Light" w:cs="Yu Mincho"/>
          <w:szCs w:val="24"/>
        </w:rPr>
        <w:t xml:space="preserve">is </w:t>
      </w:r>
      <w:r w:rsidR="00360D5D">
        <w:rPr>
          <w:rFonts w:ascii="Calibri-Light" w:eastAsia="Calibri-Light" w:hAnsi="Calibri-Light" w:cs="Yu Mincho"/>
          <w:szCs w:val="24"/>
        </w:rPr>
        <w:t xml:space="preserve">already </w:t>
      </w:r>
      <w:r w:rsidR="00182E66">
        <w:rPr>
          <w:rFonts w:ascii="Calibri-Light" w:eastAsia="Calibri-Light" w:hAnsi="Calibri-Light" w:cs="Yu Mincho"/>
          <w:szCs w:val="24"/>
        </w:rPr>
        <w:t xml:space="preserve">provided for </w:t>
      </w:r>
      <w:r w:rsidR="00B45DFA">
        <w:rPr>
          <w:rFonts w:ascii="Calibri-Light" w:eastAsia="Calibri-Light" w:hAnsi="Calibri-Light" w:cs="Yu Mincho"/>
          <w:szCs w:val="24"/>
        </w:rPr>
        <w:t xml:space="preserve">by </w:t>
      </w:r>
      <w:r w:rsidR="0089135C">
        <w:rPr>
          <w:rFonts w:ascii="Calibri-Light" w:eastAsia="Calibri-Light" w:hAnsi="Calibri-Light" w:cs="Yu Mincho"/>
          <w:szCs w:val="24"/>
        </w:rPr>
        <w:t>the non-surplus category</w:t>
      </w:r>
      <w:r w:rsidR="00CD7BDD">
        <w:rPr>
          <w:rFonts w:ascii="Calibri-Light" w:eastAsia="Calibri-Light" w:hAnsi="Calibri-Light" w:cs="Yu Mincho"/>
          <w:szCs w:val="24"/>
        </w:rPr>
        <w:t>,</w:t>
      </w:r>
      <w:r w:rsidR="0089135C">
        <w:rPr>
          <w:rFonts w:ascii="Calibri-Light" w:eastAsia="Calibri-Light" w:hAnsi="Calibri-Light" w:cs="Yu Mincho"/>
          <w:szCs w:val="24"/>
        </w:rPr>
        <w:t xml:space="preserve"> units held for harvest obligations. </w:t>
      </w:r>
      <w:r w:rsidR="00B8315D">
        <w:rPr>
          <w:rFonts w:ascii="Calibri-Light" w:eastAsia="Calibri-Light" w:hAnsi="Calibri-Light" w:cs="Yu Mincho"/>
          <w:szCs w:val="24"/>
        </w:rPr>
        <w:t>T</w:t>
      </w:r>
      <w:r w:rsidR="00FD547B" w:rsidRPr="00FD547B">
        <w:rPr>
          <w:rFonts w:ascii="Calibri-Light" w:eastAsia="Calibri-Light" w:hAnsi="Calibri-Light" w:cs="Yu Mincho"/>
          <w:szCs w:val="24"/>
        </w:rPr>
        <w:t>hese units will be surrendered</w:t>
      </w:r>
      <w:r w:rsidR="00B8315D">
        <w:rPr>
          <w:rFonts w:ascii="Calibri-Light" w:eastAsia="Calibri-Light" w:hAnsi="Calibri-Light" w:cs="Yu Mincho"/>
          <w:szCs w:val="24"/>
        </w:rPr>
        <w:t xml:space="preserve"> as forests are harvested</w:t>
      </w:r>
      <w:r w:rsidR="00246BD0">
        <w:rPr>
          <w:rFonts w:ascii="Calibri-Light" w:eastAsia="Calibri-Light" w:hAnsi="Calibri-Light" w:cs="Yu Mincho"/>
          <w:szCs w:val="24"/>
        </w:rPr>
        <w:t xml:space="preserve">, reducing </w:t>
      </w:r>
      <w:r w:rsidR="00FD547B" w:rsidRPr="00FD547B">
        <w:rPr>
          <w:rFonts w:ascii="Calibri-Light" w:eastAsia="Calibri-Light" w:hAnsi="Calibri-Light" w:cs="Yu Mincho"/>
          <w:szCs w:val="24"/>
        </w:rPr>
        <w:t>the stockpile</w:t>
      </w:r>
      <w:r w:rsidR="00246BD0">
        <w:rPr>
          <w:rFonts w:ascii="Calibri-Light" w:eastAsia="Calibri-Light" w:hAnsi="Calibri-Light" w:cs="Yu Mincho"/>
          <w:szCs w:val="24"/>
        </w:rPr>
        <w:t xml:space="preserve">. This </w:t>
      </w:r>
      <w:r w:rsidR="00FD547B" w:rsidRPr="00FD547B">
        <w:rPr>
          <w:rFonts w:ascii="Calibri-Light" w:eastAsia="Calibri-Light" w:hAnsi="Calibri-Light" w:cs="Yu Mincho"/>
          <w:szCs w:val="24"/>
        </w:rPr>
        <w:t>will not</w:t>
      </w:r>
      <w:r w:rsidR="00246BD0">
        <w:rPr>
          <w:rFonts w:ascii="Calibri-Light" w:eastAsia="Calibri-Light" w:hAnsi="Calibri-Light" w:cs="Yu Mincho"/>
          <w:szCs w:val="24"/>
        </w:rPr>
        <w:t>, however,</w:t>
      </w:r>
      <w:r w:rsidR="00FD547B" w:rsidRPr="00FD547B">
        <w:rPr>
          <w:rFonts w:ascii="Calibri-Light" w:eastAsia="Calibri-Light" w:hAnsi="Calibri-Light" w:cs="Yu Mincho"/>
          <w:szCs w:val="24"/>
        </w:rPr>
        <w:t xml:space="preserve"> change the surplus</w:t>
      </w:r>
      <w:r w:rsidR="005625EB">
        <w:rPr>
          <w:rFonts w:ascii="Calibri-Light" w:eastAsia="Calibri-Light" w:hAnsi="Calibri-Light" w:cs="Yu Mincho"/>
          <w:szCs w:val="24"/>
        </w:rPr>
        <w:t xml:space="preserve"> </w:t>
      </w:r>
      <w:r w:rsidR="00B5549E" w:rsidRPr="007133D0">
        <w:rPr>
          <w:rFonts w:ascii="Calibri-Light" w:eastAsia="Calibri-Light" w:hAnsi="Calibri-Light" w:cs="Yu Mincho"/>
          <w:szCs w:val="24"/>
        </w:rPr>
        <w:t>–</w:t>
      </w:r>
      <w:r w:rsidR="00FD547B" w:rsidRPr="00FD547B">
        <w:rPr>
          <w:rFonts w:ascii="Calibri-Light" w:eastAsia="Calibri-Light" w:hAnsi="Calibri-Light" w:cs="Yu Mincho"/>
          <w:szCs w:val="24"/>
        </w:rPr>
        <w:t xml:space="preserve"> since it is the volume of non-surplus units that will decrease through </w:t>
      </w:r>
      <w:r w:rsidR="0089135C">
        <w:rPr>
          <w:rFonts w:ascii="Calibri-Light" w:eastAsia="Calibri-Light" w:hAnsi="Calibri-Light" w:cs="Yu Mincho"/>
          <w:szCs w:val="24"/>
        </w:rPr>
        <w:t xml:space="preserve">the </w:t>
      </w:r>
      <w:r w:rsidR="00FD547B" w:rsidRPr="00FD547B">
        <w:rPr>
          <w:rFonts w:ascii="Calibri-Light" w:eastAsia="Calibri-Light" w:hAnsi="Calibri-Light" w:cs="Yu Mincho"/>
          <w:szCs w:val="24"/>
        </w:rPr>
        <w:t>surrenders.</w:t>
      </w:r>
    </w:p>
    <w:p w14:paraId="6FE0779C" w14:textId="139760C8" w:rsidR="002E76D4" w:rsidRDefault="007133D0" w:rsidP="002663BA">
      <w:pPr>
        <w:spacing w:line="279" w:lineRule="auto"/>
        <w:rPr>
          <w:rFonts w:ascii="Calibri-Light" w:eastAsia="Calibri-Light" w:hAnsi="Calibri-Light" w:cs="Yu Mincho"/>
          <w:szCs w:val="24"/>
        </w:rPr>
      </w:pPr>
      <w:r w:rsidRPr="007133D0">
        <w:rPr>
          <w:rFonts w:ascii="Calibri-Light" w:eastAsia="Calibri-Light" w:hAnsi="Calibri-Light" w:cs="Yu Mincho"/>
          <w:szCs w:val="24"/>
        </w:rPr>
        <w:t xml:space="preserve">As units are allocated </w:t>
      </w:r>
      <w:r w:rsidR="00C363D6">
        <w:rPr>
          <w:rFonts w:ascii="Calibri-Light" w:eastAsia="Calibri-Light" w:hAnsi="Calibri-Light" w:cs="Yu Mincho"/>
          <w:szCs w:val="24"/>
        </w:rPr>
        <w:t>for the gro</w:t>
      </w:r>
      <w:r w:rsidR="005D4C17">
        <w:rPr>
          <w:rFonts w:ascii="Calibri-Light" w:eastAsia="Calibri-Light" w:hAnsi="Calibri-Light" w:cs="Yu Mincho"/>
          <w:szCs w:val="24"/>
        </w:rPr>
        <w:t xml:space="preserve">wth of post-1989 </w:t>
      </w:r>
      <w:r w:rsidRPr="007133D0">
        <w:rPr>
          <w:rFonts w:ascii="Calibri-Light" w:eastAsia="Calibri-Light" w:hAnsi="Calibri-Light" w:cs="Yu Mincho"/>
          <w:szCs w:val="24"/>
        </w:rPr>
        <w:t xml:space="preserve">forests, a portion </w:t>
      </w:r>
      <w:r w:rsidR="0073527A">
        <w:rPr>
          <w:rFonts w:ascii="Calibri-Light" w:eastAsia="Calibri-Light" w:hAnsi="Calibri-Light" w:cs="Yu Mincho"/>
          <w:szCs w:val="24"/>
        </w:rPr>
        <w:t xml:space="preserve">earnt under stock change </w:t>
      </w:r>
      <w:r w:rsidR="002D7B82">
        <w:rPr>
          <w:rFonts w:ascii="Calibri-Light" w:eastAsia="Calibri-Light" w:hAnsi="Calibri-Light" w:cs="Yu Mincho"/>
          <w:szCs w:val="24"/>
        </w:rPr>
        <w:t xml:space="preserve">accounting </w:t>
      </w:r>
      <w:r w:rsidRPr="007133D0">
        <w:rPr>
          <w:rFonts w:ascii="Calibri-Light" w:eastAsia="Calibri-Light" w:hAnsi="Calibri-Light" w:cs="Yu Mincho"/>
          <w:szCs w:val="24"/>
        </w:rPr>
        <w:t xml:space="preserve">will be needed for future </w:t>
      </w:r>
      <w:r w:rsidR="0073527A" w:rsidRPr="007133D0">
        <w:rPr>
          <w:rFonts w:ascii="Calibri-Light" w:eastAsia="Calibri-Light" w:hAnsi="Calibri-Light" w:cs="Yu Mincho"/>
          <w:szCs w:val="24"/>
        </w:rPr>
        <w:t xml:space="preserve">harvest </w:t>
      </w:r>
      <w:r w:rsidR="00F96EAC">
        <w:rPr>
          <w:rFonts w:ascii="Calibri-Light" w:eastAsia="Calibri-Light" w:hAnsi="Calibri-Light" w:cs="Yu Mincho"/>
          <w:szCs w:val="24"/>
        </w:rPr>
        <w:t xml:space="preserve">liabilities. When allocated, these </w:t>
      </w:r>
      <w:r w:rsidRPr="007133D0">
        <w:rPr>
          <w:rFonts w:ascii="Calibri-Light" w:eastAsia="Calibri-Light" w:hAnsi="Calibri-Light" w:cs="Yu Mincho"/>
          <w:szCs w:val="24"/>
        </w:rPr>
        <w:t xml:space="preserve">will contribute to </w:t>
      </w:r>
      <w:r w:rsidR="00595712">
        <w:rPr>
          <w:rFonts w:ascii="Calibri-Light" w:eastAsia="Calibri-Light" w:hAnsi="Calibri-Light" w:cs="Yu Mincho"/>
          <w:szCs w:val="24"/>
        </w:rPr>
        <w:t>the</w:t>
      </w:r>
      <w:r w:rsidRPr="007133D0">
        <w:rPr>
          <w:rFonts w:ascii="Calibri-Light" w:eastAsia="Calibri-Light" w:hAnsi="Calibri-Light" w:cs="Yu Mincho"/>
          <w:szCs w:val="24"/>
        </w:rPr>
        <w:t xml:space="preserve"> non-surplus </w:t>
      </w:r>
      <w:r w:rsidR="00595712">
        <w:rPr>
          <w:rFonts w:ascii="Calibri-Light" w:eastAsia="Calibri-Light" w:hAnsi="Calibri-Light" w:cs="Yu Mincho"/>
          <w:szCs w:val="24"/>
        </w:rPr>
        <w:t>estimate</w:t>
      </w:r>
      <w:r w:rsidRPr="007133D0">
        <w:rPr>
          <w:rFonts w:ascii="Calibri-Light" w:eastAsia="Calibri-Light" w:hAnsi="Calibri-Light" w:cs="Yu Mincho"/>
          <w:szCs w:val="24"/>
        </w:rPr>
        <w:t xml:space="preserve"> – similarly not changing the surplus estimate.</w:t>
      </w:r>
      <w:r w:rsidR="002663BA">
        <w:rPr>
          <w:rFonts w:ascii="Calibri-Light" w:eastAsia="Calibri-Light" w:hAnsi="Calibri-Light" w:cs="Yu Mincho"/>
          <w:szCs w:val="24"/>
        </w:rPr>
        <w:t xml:space="preserve"> </w:t>
      </w:r>
    </w:p>
    <w:p w14:paraId="2F538D31" w14:textId="20BEC66F" w:rsidR="002E76D4" w:rsidRDefault="002E76D4" w:rsidP="002663BA">
      <w:pPr>
        <w:spacing w:line="279" w:lineRule="auto"/>
        <w:rPr>
          <w:rFonts w:ascii="Calibri-Light" w:eastAsia="Calibri-Light" w:hAnsi="Calibri-Light" w:cs="Yu Mincho"/>
          <w:szCs w:val="24"/>
        </w:rPr>
      </w:pPr>
      <w:r>
        <w:rPr>
          <w:rFonts w:ascii="Calibri-Light" w:eastAsia="Calibri-Light" w:hAnsi="Calibri-Light" w:cs="Yu Mincho"/>
          <w:szCs w:val="24"/>
        </w:rPr>
        <w:t xml:space="preserve">It is only </w:t>
      </w:r>
      <w:r w:rsidR="00C03C38">
        <w:rPr>
          <w:rFonts w:ascii="Calibri-Light" w:eastAsia="Calibri-Light" w:hAnsi="Calibri-Light" w:cs="Yu Mincho"/>
          <w:szCs w:val="24"/>
        </w:rPr>
        <w:t>the</w:t>
      </w:r>
      <w:r>
        <w:rPr>
          <w:rFonts w:ascii="Calibri-Light" w:eastAsia="Calibri-Light" w:hAnsi="Calibri-Light" w:cs="Yu Mincho"/>
          <w:szCs w:val="24"/>
        </w:rPr>
        <w:t xml:space="preserve"> </w:t>
      </w:r>
      <w:r w:rsidR="00C03C38">
        <w:rPr>
          <w:rFonts w:ascii="Calibri-Light" w:eastAsia="Calibri-Light" w:hAnsi="Calibri-Light" w:cs="Yu Mincho"/>
          <w:szCs w:val="24"/>
        </w:rPr>
        <w:t xml:space="preserve">forestry </w:t>
      </w:r>
      <w:r w:rsidR="004F653F">
        <w:rPr>
          <w:rFonts w:ascii="Calibri-Light" w:eastAsia="Calibri-Light" w:hAnsi="Calibri-Light" w:cs="Yu Mincho"/>
          <w:szCs w:val="24"/>
        </w:rPr>
        <w:t xml:space="preserve">unit </w:t>
      </w:r>
      <w:r>
        <w:rPr>
          <w:rFonts w:ascii="Calibri-Light" w:eastAsia="Calibri-Light" w:hAnsi="Calibri-Light" w:cs="Yu Mincho"/>
          <w:szCs w:val="24"/>
        </w:rPr>
        <w:t xml:space="preserve">allocations </w:t>
      </w:r>
      <w:r w:rsidR="00C03C38">
        <w:rPr>
          <w:rFonts w:ascii="Calibri-Light" w:eastAsia="Calibri-Light" w:hAnsi="Calibri-Light" w:cs="Yu Mincho"/>
          <w:szCs w:val="24"/>
        </w:rPr>
        <w:t>considered ‘low</w:t>
      </w:r>
      <w:r w:rsidR="00B5549E">
        <w:rPr>
          <w:rFonts w:ascii="Calibri-Light" w:eastAsia="Calibri-Light" w:hAnsi="Calibri-Light" w:cs="Yu Mincho"/>
          <w:szCs w:val="24"/>
        </w:rPr>
        <w:t>-</w:t>
      </w:r>
      <w:r w:rsidR="00C03C38">
        <w:rPr>
          <w:rFonts w:ascii="Calibri-Light" w:eastAsia="Calibri-Light" w:hAnsi="Calibri-Light" w:cs="Yu Mincho"/>
          <w:szCs w:val="24"/>
        </w:rPr>
        <w:t>risk’</w:t>
      </w:r>
      <w:r w:rsidR="00D86756">
        <w:rPr>
          <w:rFonts w:ascii="Calibri-Light" w:eastAsia="Calibri-Light" w:hAnsi="Calibri-Light" w:cs="Yu Mincho"/>
          <w:szCs w:val="24"/>
        </w:rPr>
        <w:t xml:space="preserve">, i.e. </w:t>
      </w:r>
      <w:r w:rsidR="003B531C">
        <w:rPr>
          <w:rFonts w:ascii="Calibri-Light" w:eastAsia="Calibri-Light" w:hAnsi="Calibri-Light" w:cs="Yu Mincho"/>
          <w:szCs w:val="24"/>
        </w:rPr>
        <w:t>free of harvest obligations</w:t>
      </w:r>
      <w:r w:rsidR="00D86756">
        <w:rPr>
          <w:rFonts w:ascii="Calibri-Light" w:eastAsia="Calibri-Light" w:hAnsi="Calibri-Light" w:cs="Yu Mincho"/>
          <w:szCs w:val="24"/>
        </w:rPr>
        <w:t>,</w:t>
      </w:r>
      <w:r w:rsidR="003B531C">
        <w:rPr>
          <w:rFonts w:ascii="Calibri-Light" w:eastAsia="Calibri-Light" w:hAnsi="Calibri-Light" w:cs="Yu Mincho"/>
          <w:szCs w:val="24"/>
        </w:rPr>
        <w:t xml:space="preserve"> that could contribute to the surplus</w:t>
      </w:r>
      <w:r w:rsidR="00C03C38">
        <w:rPr>
          <w:rFonts w:ascii="Calibri-Light" w:eastAsia="Calibri-Light" w:hAnsi="Calibri-Light" w:cs="Yu Mincho"/>
          <w:szCs w:val="24"/>
        </w:rPr>
        <w:t>.</w:t>
      </w:r>
    </w:p>
    <w:p w14:paraId="52399252" w14:textId="4525C3E6" w:rsidR="007133D0" w:rsidRDefault="00CC748F" w:rsidP="007133D0">
      <w:pPr>
        <w:spacing w:line="279" w:lineRule="auto"/>
        <w:rPr>
          <w:rFonts w:ascii="Calibri-Light" w:eastAsia="Calibri-Light" w:hAnsi="Calibri-Light" w:cs="Yu Mincho"/>
          <w:szCs w:val="24"/>
        </w:rPr>
      </w:pPr>
      <w:r w:rsidRPr="00C145AD">
        <w:rPr>
          <w:rFonts w:ascii="Calibri-Light" w:eastAsia="Calibri-Light" w:hAnsi="Calibri-Light" w:cs="Yu Mincho"/>
          <w:szCs w:val="24"/>
        </w:rPr>
        <w:t>In determining our estimate of MERP4</w:t>
      </w:r>
      <w:r w:rsidR="00786503">
        <w:rPr>
          <w:rFonts w:ascii="Calibri-Light" w:eastAsia="Calibri-Light" w:hAnsi="Calibri-Light" w:cs="Yu Mincho"/>
          <w:szCs w:val="24"/>
        </w:rPr>
        <w:t xml:space="preserve"> surplus units</w:t>
      </w:r>
      <w:r w:rsidR="00F745BB" w:rsidRPr="00C145AD">
        <w:rPr>
          <w:rFonts w:ascii="Calibri-Light" w:eastAsia="Calibri-Light" w:hAnsi="Calibri-Light" w:cs="Yu Mincho"/>
          <w:szCs w:val="24"/>
        </w:rPr>
        <w:t xml:space="preserve">, we </w:t>
      </w:r>
      <w:r w:rsidR="00C145AD">
        <w:rPr>
          <w:rFonts w:ascii="Calibri-Light" w:eastAsia="Calibri-Light" w:hAnsi="Calibri-Light" w:cs="Yu Mincho"/>
          <w:szCs w:val="24"/>
        </w:rPr>
        <w:t xml:space="preserve">first </w:t>
      </w:r>
      <w:r w:rsidR="00F745BB" w:rsidRPr="00C145AD">
        <w:rPr>
          <w:rFonts w:ascii="Calibri-Light" w:eastAsia="Calibri-Light" w:hAnsi="Calibri-Light" w:cs="Yu Mincho"/>
          <w:szCs w:val="24"/>
        </w:rPr>
        <w:t>estimate</w:t>
      </w:r>
      <w:r w:rsidR="00D86643">
        <w:rPr>
          <w:rFonts w:ascii="Calibri-Light" w:eastAsia="Calibri-Light" w:hAnsi="Calibri-Light" w:cs="Yu Mincho"/>
          <w:szCs w:val="24"/>
        </w:rPr>
        <w:t>d</w:t>
      </w:r>
      <w:r w:rsidR="00F745BB" w:rsidRPr="00C145AD">
        <w:rPr>
          <w:rFonts w:ascii="Calibri-Light" w:eastAsia="Calibri-Light" w:hAnsi="Calibri-Light" w:cs="Yu Mincho"/>
          <w:szCs w:val="24"/>
        </w:rPr>
        <w:t xml:space="preserve"> the </w:t>
      </w:r>
      <w:r w:rsidR="002E51B6" w:rsidRPr="00C145AD">
        <w:rPr>
          <w:rFonts w:ascii="Calibri-Light" w:eastAsia="Calibri-Light" w:hAnsi="Calibri-Light" w:cs="Yu Mincho"/>
          <w:szCs w:val="24"/>
        </w:rPr>
        <w:t>still-to-come unit allocations that represent low-risk carbon.</w:t>
      </w:r>
      <w:r w:rsidR="002E51B6" w:rsidRPr="00B12877">
        <w:rPr>
          <w:rFonts w:ascii="Calibri-Light" w:eastAsia="Calibri-Light" w:hAnsi="Calibri-Light" w:cs="Yu Mincho"/>
          <w:b/>
          <w:szCs w:val="24"/>
        </w:rPr>
        <w:t xml:space="preserve"> </w:t>
      </w:r>
      <w:r w:rsidR="008D6F31" w:rsidRPr="00ED061C">
        <w:rPr>
          <w:rFonts w:ascii="Calibri-Light" w:eastAsia="Calibri-Light" w:hAnsi="Calibri-Light" w:cs="Yu Mincho"/>
          <w:b/>
          <w:szCs w:val="24"/>
        </w:rPr>
        <w:fldChar w:fldCharType="begin"/>
      </w:r>
      <w:r w:rsidR="008D6F31" w:rsidRPr="00B12877">
        <w:rPr>
          <w:rFonts w:ascii="Calibri-Light" w:eastAsia="Calibri-Light" w:hAnsi="Calibri-Light" w:cs="Yu Mincho"/>
          <w:b/>
          <w:szCs w:val="24"/>
        </w:rPr>
        <w:instrText xml:space="preserve"> REF _Ref194415667 \h </w:instrText>
      </w:r>
      <w:r w:rsidR="004A2BCF">
        <w:rPr>
          <w:rFonts w:ascii="Calibri-Light" w:eastAsia="Calibri-Light" w:hAnsi="Calibri-Light" w:cs="Yu Mincho"/>
          <w:b/>
          <w:szCs w:val="24"/>
        </w:rPr>
        <w:instrText xml:space="preserve"> \* MERGEFORMAT </w:instrText>
      </w:r>
      <w:r w:rsidR="008D6F31" w:rsidRPr="00ED061C">
        <w:rPr>
          <w:rFonts w:ascii="Calibri-Light" w:eastAsia="Calibri-Light" w:hAnsi="Calibri-Light" w:cs="Yu Mincho"/>
          <w:b/>
          <w:szCs w:val="24"/>
        </w:rPr>
      </w:r>
      <w:r w:rsidR="008D6F31" w:rsidRPr="00ED061C">
        <w:rPr>
          <w:rFonts w:ascii="Calibri-Light" w:eastAsia="Calibri-Light" w:hAnsi="Calibri-Light" w:cs="Yu Mincho"/>
          <w:b/>
          <w:szCs w:val="24"/>
        </w:rPr>
        <w:fldChar w:fldCharType="separate"/>
      </w:r>
      <w:r w:rsidR="001A53C8" w:rsidRPr="00493FAA">
        <w:rPr>
          <w:b/>
          <w:bCs/>
        </w:rPr>
        <w:t xml:space="preserve">Table </w:t>
      </w:r>
      <w:r w:rsidR="0035048D" w:rsidRPr="00493FAA">
        <w:rPr>
          <w:b/>
          <w:bCs/>
        </w:rPr>
        <w:t>12</w:t>
      </w:r>
      <w:r w:rsidR="008D6F31" w:rsidRPr="00ED061C">
        <w:rPr>
          <w:rFonts w:ascii="Calibri-Light" w:eastAsia="Calibri-Light" w:hAnsi="Calibri-Light" w:cs="Yu Mincho"/>
          <w:b/>
          <w:szCs w:val="24"/>
        </w:rPr>
        <w:fldChar w:fldCharType="end"/>
      </w:r>
      <w:r w:rsidR="008D6F31">
        <w:rPr>
          <w:rFonts w:ascii="Calibri-Light" w:eastAsia="Calibri-Light" w:hAnsi="Calibri-Light" w:cs="Yu Mincho"/>
          <w:szCs w:val="24"/>
        </w:rPr>
        <w:t xml:space="preserve"> </w:t>
      </w:r>
      <w:r w:rsidR="001462FC">
        <w:rPr>
          <w:rFonts w:ascii="Calibri-Light" w:eastAsia="Calibri-Light" w:hAnsi="Calibri-Light" w:cs="Yu Mincho"/>
          <w:szCs w:val="24"/>
        </w:rPr>
        <w:t xml:space="preserve">sets out these figures based on </w:t>
      </w:r>
      <w:r w:rsidR="009B720C">
        <w:rPr>
          <w:rFonts w:ascii="Calibri-Light" w:eastAsia="Calibri-Light" w:hAnsi="Calibri-Light" w:cs="Yu Mincho"/>
          <w:szCs w:val="24"/>
        </w:rPr>
        <w:t xml:space="preserve">our </w:t>
      </w:r>
      <w:r w:rsidR="0070415F">
        <w:rPr>
          <w:rFonts w:ascii="Calibri-Light" w:eastAsia="Calibri-Light" w:hAnsi="Calibri-Light" w:cs="Yu Mincho"/>
          <w:szCs w:val="24"/>
        </w:rPr>
        <w:t xml:space="preserve">low, </w:t>
      </w:r>
      <w:r w:rsidR="001462FC">
        <w:rPr>
          <w:rFonts w:ascii="Calibri-Light" w:eastAsia="Calibri-Light" w:hAnsi="Calibri-Light" w:cs="Yu Mincho"/>
          <w:szCs w:val="24"/>
        </w:rPr>
        <w:t xml:space="preserve">central </w:t>
      </w:r>
      <w:r w:rsidR="0070415F">
        <w:rPr>
          <w:rFonts w:ascii="Calibri-Light" w:eastAsia="Calibri-Light" w:hAnsi="Calibri-Light" w:cs="Yu Mincho"/>
          <w:szCs w:val="24"/>
        </w:rPr>
        <w:t xml:space="preserve">and high </w:t>
      </w:r>
      <w:r w:rsidR="001462FC">
        <w:rPr>
          <w:rFonts w:ascii="Calibri-Light" w:eastAsia="Calibri-Light" w:hAnsi="Calibri-Light" w:cs="Yu Mincho"/>
          <w:szCs w:val="24"/>
        </w:rPr>
        <w:t>estimate</w:t>
      </w:r>
      <w:r w:rsidR="0070415F">
        <w:rPr>
          <w:rFonts w:ascii="Calibri-Light" w:eastAsia="Calibri-Light" w:hAnsi="Calibri-Light" w:cs="Yu Mincho"/>
          <w:szCs w:val="24"/>
        </w:rPr>
        <w:t>s</w:t>
      </w:r>
      <w:r w:rsidR="001462FC">
        <w:rPr>
          <w:rFonts w:ascii="Calibri-Light" w:eastAsia="Calibri-Light" w:hAnsi="Calibri-Light" w:cs="Yu Mincho"/>
          <w:szCs w:val="24"/>
        </w:rPr>
        <w:t xml:space="preserve"> of low-risk carbon units. </w:t>
      </w:r>
    </w:p>
    <w:p w14:paraId="480EAA97" w14:textId="64B57271" w:rsidR="007D1325" w:rsidRDefault="007D1325" w:rsidP="00250B53">
      <w:pPr>
        <w:pStyle w:val="Caption"/>
      </w:pPr>
      <w:bookmarkStart w:id="61" w:name="_Ref194415667"/>
      <w:r w:rsidRPr="00C91E28">
        <w:t xml:space="preserve">Table </w:t>
      </w:r>
      <w:r w:rsidR="005A2D42" w:rsidRPr="00C91E28">
        <w:fldChar w:fldCharType="begin"/>
      </w:r>
      <w:r w:rsidR="005A2D42" w:rsidRPr="00C91E28">
        <w:instrText xml:space="preserve"> SEQ Table \* ARABIC </w:instrText>
      </w:r>
      <w:r w:rsidR="005A2D42" w:rsidRPr="00C91E28">
        <w:fldChar w:fldCharType="separate"/>
      </w:r>
      <w:r w:rsidR="001D119D">
        <w:rPr>
          <w:noProof/>
        </w:rPr>
        <w:t>12</w:t>
      </w:r>
      <w:r w:rsidR="005A2D42" w:rsidRPr="00C91E28">
        <w:fldChar w:fldCharType="end"/>
      </w:r>
      <w:bookmarkEnd w:id="61"/>
      <w:r w:rsidR="00AB63FF">
        <w:t>:</w:t>
      </w:r>
      <w:r>
        <w:t xml:space="preserve"> </w:t>
      </w:r>
      <w:r w:rsidR="00C013B6" w:rsidRPr="00EA3949">
        <w:rPr>
          <w:b w:val="0"/>
        </w:rPr>
        <w:t xml:space="preserve">Low-risk </w:t>
      </w:r>
      <w:r w:rsidR="00D83E31" w:rsidRPr="00EA3949">
        <w:rPr>
          <w:b w:val="0"/>
        </w:rPr>
        <w:t xml:space="preserve">forestry </w:t>
      </w:r>
      <w:r w:rsidR="005D2086" w:rsidRPr="00EA3949">
        <w:rPr>
          <w:b w:val="0"/>
        </w:rPr>
        <w:t xml:space="preserve">unit </w:t>
      </w:r>
      <w:r w:rsidR="00C013B6" w:rsidRPr="00EA3949">
        <w:rPr>
          <w:b w:val="0"/>
        </w:rPr>
        <w:t>breakdowns based on forecast and actual MERP4 allocations</w:t>
      </w:r>
    </w:p>
    <w:tbl>
      <w:tblPr>
        <w:tblStyle w:val="TableGrid"/>
        <w:tblW w:w="0" w:type="auto"/>
        <w:tblLook w:val="04A0" w:firstRow="1" w:lastRow="0" w:firstColumn="1" w:lastColumn="0" w:noHBand="0" w:noVBand="1"/>
      </w:tblPr>
      <w:tblGrid>
        <w:gridCol w:w="6232"/>
        <w:gridCol w:w="928"/>
        <w:gridCol w:w="928"/>
        <w:gridCol w:w="928"/>
      </w:tblGrid>
      <w:tr w:rsidR="0046126D" w:rsidRPr="00A2295F" w14:paraId="51FA1D6B" w14:textId="77777777" w:rsidTr="00550764">
        <w:tc>
          <w:tcPr>
            <w:tcW w:w="6232" w:type="dxa"/>
            <w:shd w:val="clear" w:color="auto" w:fill="002060"/>
            <w:tcMar>
              <w:top w:w="28" w:type="dxa"/>
              <w:bottom w:w="28" w:type="dxa"/>
            </w:tcMar>
          </w:tcPr>
          <w:p w14:paraId="5EBCEDFC" w14:textId="67CF24DF" w:rsidR="004C24E5" w:rsidRPr="00550764" w:rsidRDefault="004C24E5" w:rsidP="00550764">
            <w:pPr>
              <w:spacing w:before="20" w:after="20" w:line="279" w:lineRule="auto"/>
              <w:rPr>
                <w:rFonts w:ascii="Calibri-Light" w:eastAsia="Calibri-Light" w:hAnsi="Calibri-Light" w:cs="Yu Mincho"/>
                <w:b/>
                <w:sz w:val="20"/>
                <w:szCs w:val="20"/>
              </w:rPr>
            </w:pPr>
            <w:r w:rsidRPr="00550764">
              <w:rPr>
                <w:rFonts w:ascii="Calibri-Light" w:eastAsia="Calibri-Light" w:hAnsi="Calibri-Light" w:cs="Yu Mincho"/>
                <w:b/>
                <w:sz w:val="20"/>
                <w:szCs w:val="20"/>
              </w:rPr>
              <w:t>Category</w:t>
            </w:r>
          </w:p>
        </w:tc>
        <w:tc>
          <w:tcPr>
            <w:tcW w:w="928" w:type="dxa"/>
            <w:shd w:val="clear" w:color="auto" w:fill="002060"/>
            <w:tcMar>
              <w:top w:w="28" w:type="dxa"/>
              <w:bottom w:w="28" w:type="dxa"/>
            </w:tcMar>
            <w:vAlign w:val="center"/>
          </w:tcPr>
          <w:p w14:paraId="1102B7E3" w14:textId="1486C41C" w:rsidR="004C24E5" w:rsidRPr="00550764" w:rsidRDefault="00AB0987" w:rsidP="00550764">
            <w:pPr>
              <w:spacing w:before="20" w:after="20" w:line="279" w:lineRule="auto"/>
              <w:jc w:val="center"/>
              <w:rPr>
                <w:rFonts w:ascii="Calibri-Light" w:eastAsia="Calibri-Light" w:hAnsi="Calibri-Light" w:cs="Yu Mincho"/>
                <w:b/>
                <w:sz w:val="20"/>
                <w:szCs w:val="20"/>
              </w:rPr>
            </w:pPr>
            <w:r w:rsidRPr="00550764">
              <w:rPr>
                <w:rFonts w:ascii="Calibri-Light" w:hAnsi="Calibri-Light" w:cs="Calibri-Light"/>
                <w:b/>
                <w:color w:val="FFFFFF"/>
                <w:sz w:val="20"/>
                <w:szCs w:val="20"/>
              </w:rPr>
              <w:t>Low</w:t>
            </w:r>
          </w:p>
        </w:tc>
        <w:tc>
          <w:tcPr>
            <w:tcW w:w="928" w:type="dxa"/>
            <w:shd w:val="clear" w:color="auto" w:fill="002060"/>
            <w:tcMar>
              <w:top w:w="28" w:type="dxa"/>
              <w:bottom w:w="28" w:type="dxa"/>
            </w:tcMar>
            <w:vAlign w:val="center"/>
          </w:tcPr>
          <w:p w14:paraId="7BFA1B67" w14:textId="4AB987C1" w:rsidR="004C24E5" w:rsidRPr="00550764" w:rsidRDefault="00AB0987" w:rsidP="00550764">
            <w:pPr>
              <w:spacing w:before="20" w:after="20" w:line="279" w:lineRule="auto"/>
              <w:jc w:val="center"/>
              <w:rPr>
                <w:rFonts w:ascii="Calibri-Light" w:eastAsia="Calibri-Light" w:hAnsi="Calibri-Light" w:cs="Yu Mincho"/>
                <w:b/>
                <w:sz w:val="20"/>
                <w:szCs w:val="20"/>
              </w:rPr>
            </w:pPr>
            <w:r w:rsidRPr="00550764">
              <w:rPr>
                <w:rFonts w:ascii="Calibri-Light" w:hAnsi="Calibri-Light" w:cs="Calibri-Light"/>
                <w:b/>
                <w:color w:val="FFFFFF"/>
                <w:sz w:val="20"/>
                <w:szCs w:val="20"/>
              </w:rPr>
              <w:t>Central</w:t>
            </w:r>
          </w:p>
        </w:tc>
        <w:tc>
          <w:tcPr>
            <w:tcW w:w="928" w:type="dxa"/>
            <w:shd w:val="clear" w:color="auto" w:fill="002060"/>
            <w:tcMar>
              <w:top w:w="28" w:type="dxa"/>
              <w:bottom w:w="28" w:type="dxa"/>
            </w:tcMar>
            <w:vAlign w:val="center"/>
          </w:tcPr>
          <w:p w14:paraId="3055430D" w14:textId="07D58AA1" w:rsidR="004C24E5" w:rsidRPr="00550764" w:rsidRDefault="00AB0987" w:rsidP="00550764">
            <w:pPr>
              <w:spacing w:before="20" w:after="20" w:line="279" w:lineRule="auto"/>
              <w:jc w:val="center"/>
              <w:rPr>
                <w:rFonts w:ascii="Calibri-Light" w:eastAsia="Calibri-Light" w:hAnsi="Calibri-Light" w:cs="Yu Mincho"/>
                <w:b/>
                <w:sz w:val="20"/>
                <w:szCs w:val="20"/>
              </w:rPr>
            </w:pPr>
            <w:r w:rsidRPr="00550764">
              <w:rPr>
                <w:rFonts w:ascii="Calibri-Light" w:hAnsi="Calibri-Light" w:cs="Calibri-Light"/>
                <w:b/>
                <w:color w:val="FFFFFF"/>
                <w:sz w:val="20"/>
                <w:szCs w:val="20"/>
              </w:rPr>
              <w:t>High</w:t>
            </w:r>
          </w:p>
        </w:tc>
      </w:tr>
      <w:tr w:rsidR="000B10CD" w:rsidRPr="00A2295F" w14:paraId="4C556201" w14:textId="77777777" w:rsidTr="00550764">
        <w:tc>
          <w:tcPr>
            <w:tcW w:w="6232" w:type="dxa"/>
            <w:tcMar>
              <w:top w:w="28" w:type="dxa"/>
              <w:bottom w:w="28" w:type="dxa"/>
            </w:tcMar>
          </w:tcPr>
          <w:p w14:paraId="03476798" w14:textId="7DAAA704" w:rsidR="004C24E5" w:rsidRPr="00550764" w:rsidRDefault="004C24E5" w:rsidP="00550764">
            <w:pPr>
              <w:spacing w:before="20" w:after="20" w:line="279" w:lineRule="auto"/>
              <w:rPr>
                <w:rFonts w:ascii="Calibri-Light" w:eastAsia="Calibri-Light" w:hAnsi="Calibri-Light" w:cs="Yu Mincho"/>
                <w:b/>
                <w:sz w:val="20"/>
                <w:szCs w:val="20"/>
              </w:rPr>
            </w:pPr>
            <w:r w:rsidRPr="00550764">
              <w:rPr>
                <w:rFonts w:ascii="Calibri-Light" w:eastAsia="Calibri-Light" w:hAnsi="Calibri-Light" w:cs="Yu Mincho"/>
                <w:b/>
                <w:sz w:val="20"/>
                <w:szCs w:val="20"/>
                <w:u w:val="single"/>
              </w:rPr>
              <w:t>Total forecast</w:t>
            </w:r>
            <w:r w:rsidRPr="00550764">
              <w:rPr>
                <w:rFonts w:ascii="Calibri-Light" w:eastAsia="Calibri-Light" w:hAnsi="Calibri-Light" w:cs="Yu Mincho"/>
                <w:b/>
                <w:sz w:val="20"/>
                <w:szCs w:val="20"/>
              </w:rPr>
              <w:t xml:space="preserve"> forestry </w:t>
            </w:r>
            <w:r w:rsidR="00AB6DA0" w:rsidRPr="00550764">
              <w:rPr>
                <w:rFonts w:ascii="Calibri-Light" w:eastAsia="Calibri-Light" w:hAnsi="Calibri-Light" w:cs="Yu Mincho"/>
                <w:b/>
                <w:sz w:val="20"/>
                <w:szCs w:val="20"/>
              </w:rPr>
              <w:t xml:space="preserve">unit </w:t>
            </w:r>
            <w:r w:rsidRPr="00550764">
              <w:rPr>
                <w:rFonts w:ascii="Calibri-Light" w:eastAsia="Calibri-Light" w:hAnsi="Calibri-Light" w:cs="Yu Mincho"/>
                <w:b/>
                <w:sz w:val="20"/>
                <w:szCs w:val="20"/>
              </w:rPr>
              <w:t>allocation</w:t>
            </w:r>
            <w:r w:rsidR="00D86787" w:rsidRPr="00550764">
              <w:rPr>
                <w:rFonts w:ascii="Calibri-Light" w:eastAsia="Calibri-Light" w:hAnsi="Calibri-Light" w:cs="Yu Mincho"/>
                <w:b/>
                <w:sz w:val="20"/>
                <w:szCs w:val="20"/>
              </w:rPr>
              <w:t>s</w:t>
            </w:r>
            <w:r w:rsidRPr="00550764">
              <w:rPr>
                <w:rFonts w:ascii="Calibri-Light" w:eastAsia="Calibri-Light" w:hAnsi="Calibri-Light" w:cs="Yu Mincho"/>
                <w:b/>
                <w:sz w:val="20"/>
                <w:szCs w:val="20"/>
              </w:rPr>
              <w:t xml:space="preserve"> </w:t>
            </w:r>
            <w:r w:rsidR="00D86787" w:rsidRPr="00550764">
              <w:rPr>
                <w:rFonts w:ascii="Calibri-Light" w:eastAsia="Calibri-Light" w:hAnsi="Calibri-Light" w:cs="Yu Mincho"/>
                <w:b/>
                <w:sz w:val="20"/>
                <w:szCs w:val="20"/>
              </w:rPr>
              <w:t xml:space="preserve">for </w:t>
            </w:r>
            <w:r w:rsidRPr="00550764">
              <w:rPr>
                <w:rFonts w:ascii="Calibri-Light" w:eastAsia="Calibri-Light" w:hAnsi="Calibri-Light" w:cs="Yu Mincho"/>
                <w:b/>
                <w:sz w:val="20"/>
                <w:szCs w:val="20"/>
              </w:rPr>
              <w:t>MERP4</w:t>
            </w:r>
            <w:r w:rsidR="00C013B6" w:rsidRPr="00550764">
              <w:rPr>
                <w:rFonts w:ascii="Calibri-Light" w:eastAsia="Calibri-Light" w:hAnsi="Calibri-Light" w:cs="Yu Mincho"/>
                <w:b/>
                <w:sz w:val="20"/>
                <w:szCs w:val="20"/>
              </w:rPr>
              <w:t xml:space="preserve"> (2023-2025)</w:t>
            </w:r>
          </w:p>
        </w:tc>
        <w:tc>
          <w:tcPr>
            <w:tcW w:w="928" w:type="dxa"/>
            <w:tcMar>
              <w:top w:w="28" w:type="dxa"/>
              <w:bottom w:w="28" w:type="dxa"/>
            </w:tcMar>
            <w:vAlign w:val="center"/>
          </w:tcPr>
          <w:p w14:paraId="655DDDE6" w14:textId="337E0A3F" w:rsidR="004C24E5" w:rsidRPr="00550764" w:rsidRDefault="00AB0987" w:rsidP="00550764">
            <w:pPr>
              <w:spacing w:before="20" w:after="20" w:line="279" w:lineRule="auto"/>
              <w:jc w:val="right"/>
              <w:rPr>
                <w:rFonts w:ascii="Calibri-Light" w:eastAsia="Calibri-Light" w:hAnsi="Calibri-Light" w:cs="Yu Mincho"/>
                <w:b/>
                <w:sz w:val="20"/>
                <w:szCs w:val="20"/>
              </w:rPr>
            </w:pPr>
            <w:r w:rsidRPr="00550764">
              <w:rPr>
                <w:rFonts w:ascii="Calibri-Light" w:hAnsi="Calibri-Light" w:cs="Calibri-Light"/>
                <w:b/>
                <w:color w:val="000000"/>
                <w:sz w:val="20"/>
                <w:szCs w:val="20"/>
              </w:rPr>
              <w:t xml:space="preserve">35.2 </w:t>
            </w:r>
          </w:p>
        </w:tc>
        <w:tc>
          <w:tcPr>
            <w:tcW w:w="928" w:type="dxa"/>
            <w:tcMar>
              <w:top w:w="28" w:type="dxa"/>
              <w:bottom w:w="28" w:type="dxa"/>
            </w:tcMar>
            <w:vAlign w:val="center"/>
          </w:tcPr>
          <w:p w14:paraId="0F956463" w14:textId="31F4747C" w:rsidR="004C24E5" w:rsidRPr="00550764" w:rsidRDefault="00AB0987" w:rsidP="00550764">
            <w:pPr>
              <w:spacing w:before="20" w:after="20" w:line="279" w:lineRule="auto"/>
              <w:jc w:val="right"/>
              <w:rPr>
                <w:rFonts w:ascii="Calibri-Light" w:eastAsia="Calibri-Light" w:hAnsi="Calibri-Light" w:cs="Yu Mincho"/>
                <w:b/>
                <w:sz w:val="20"/>
                <w:szCs w:val="20"/>
              </w:rPr>
            </w:pPr>
            <w:r w:rsidRPr="00550764">
              <w:rPr>
                <w:rFonts w:ascii="Calibri-Light" w:hAnsi="Calibri-Light" w:cs="Calibri-Light"/>
                <w:b/>
                <w:color w:val="000000"/>
                <w:sz w:val="20"/>
                <w:szCs w:val="20"/>
              </w:rPr>
              <w:t xml:space="preserve">37.0 </w:t>
            </w:r>
          </w:p>
        </w:tc>
        <w:tc>
          <w:tcPr>
            <w:tcW w:w="928" w:type="dxa"/>
            <w:tcMar>
              <w:top w:w="28" w:type="dxa"/>
              <w:bottom w:w="28" w:type="dxa"/>
            </w:tcMar>
            <w:vAlign w:val="center"/>
          </w:tcPr>
          <w:p w14:paraId="5D16BCC9" w14:textId="5E869FE0" w:rsidR="004C24E5" w:rsidRPr="00550764" w:rsidRDefault="004C24E5" w:rsidP="00550764">
            <w:pPr>
              <w:spacing w:before="20" w:after="20" w:line="279" w:lineRule="auto"/>
              <w:jc w:val="right"/>
              <w:rPr>
                <w:rFonts w:ascii="Calibri-Light" w:eastAsia="Calibri-Light" w:hAnsi="Calibri-Light" w:cs="Yu Mincho"/>
                <w:b/>
                <w:sz w:val="20"/>
                <w:szCs w:val="20"/>
              </w:rPr>
            </w:pPr>
            <w:r w:rsidRPr="00550764">
              <w:rPr>
                <w:rFonts w:ascii="Calibri-Light" w:hAnsi="Calibri-Light" w:cs="Calibri-Light"/>
                <w:b/>
                <w:color w:val="000000"/>
                <w:sz w:val="20"/>
                <w:szCs w:val="20"/>
              </w:rPr>
              <w:t>36.9</w:t>
            </w:r>
            <w:r w:rsidR="00AB0987" w:rsidRPr="00550764">
              <w:rPr>
                <w:rFonts w:ascii="Calibri-Light" w:hAnsi="Calibri-Light" w:cs="Calibri-Light"/>
                <w:b/>
                <w:color w:val="000000"/>
                <w:sz w:val="20"/>
                <w:szCs w:val="20"/>
              </w:rPr>
              <w:t xml:space="preserve"> </w:t>
            </w:r>
          </w:p>
        </w:tc>
      </w:tr>
      <w:tr w:rsidR="000B10CD" w:rsidRPr="00A2295F" w14:paraId="7C8D63D9" w14:textId="77777777" w:rsidTr="00550764">
        <w:tc>
          <w:tcPr>
            <w:tcW w:w="6232" w:type="dxa"/>
            <w:tcMar>
              <w:top w:w="28" w:type="dxa"/>
              <w:bottom w:w="28" w:type="dxa"/>
            </w:tcMar>
          </w:tcPr>
          <w:p w14:paraId="029DAB4A" w14:textId="33B6028F" w:rsidR="00CC0402" w:rsidRPr="00550764" w:rsidRDefault="00CC0402" w:rsidP="00550764">
            <w:pPr>
              <w:spacing w:before="20" w:after="20"/>
              <w:rPr>
                <w:rFonts w:ascii="Calibri-Light" w:eastAsia="Calibri-Light" w:hAnsi="Calibri-Light" w:cs="Yu Mincho"/>
                <w:sz w:val="20"/>
                <w:szCs w:val="20"/>
              </w:rPr>
            </w:pPr>
            <w:r w:rsidRPr="00550764">
              <w:rPr>
                <w:rFonts w:ascii="Calibri-Light" w:hAnsi="Calibri-Light" w:cs="Calibri-Light"/>
                <w:color w:val="000000"/>
                <w:sz w:val="20"/>
                <w:szCs w:val="20"/>
              </w:rPr>
              <w:t xml:space="preserve">Estimated </w:t>
            </w:r>
            <w:r w:rsidR="00C013B6" w:rsidRPr="00550764">
              <w:rPr>
                <w:rFonts w:ascii="Calibri-Light" w:hAnsi="Calibri-Light" w:cs="Calibri-Light"/>
                <w:color w:val="000000"/>
                <w:sz w:val="20"/>
                <w:szCs w:val="20"/>
              </w:rPr>
              <w:t xml:space="preserve">allocations </w:t>
            </w:r>
            <w:r w:rsidR="009243D0" w:rsidRPr="00550764">
              <w:rPr>
                <w:rFonts w:ascii="Calibri-Light" w:hAnsi="Calibri-Light" w:cs="Calibri-Light"/>
                <w:color w:val="000000"/>
                <w:sz w:val="20"/>
                <w:szCs w:val="20"/>
              </w:rPr>
              <w:t xml:space="preserve">to </w:t>
            </w:r>
            <w:r w:rsidRPr="00550764">
              <w:rPr>
                <w:rFonts w:ascii="Calibri-Light" w:hAnsi="Calibri-Light" w:cs="Calibri-Light"/>
                <w:color w:val="000000"/>
                <w:sz w:val="20"/>
                <w:szCs w:val="20"/>
              </w:rPr>
              <w:t>be held for future harvest liabilities</w:t>
            </w:r>
          </w:p>
        </w:tc>
        <w:tc>
          <w:tcPr>
            <w:tcW w:w="928" w:type="dxa"/>
            <w:tcMar>
              <w:top w:w="28" w:type="dxa"/>
              <w:bottom w:w="28" w:type="dxa"/>
            </w:tcMar>
            <w:vAlign w:val="center"/>
          </w:tcPr>
          <w:p w14:paraId="75C0F113" w14:textId="1F5C1271" w:rsidR="00CC0402" w:rsidRPr="00550764" w:rsidRDefault="00AB0987" w:rsidP="00550764">
            <w:pPr>
              <w:spacing w:before="20" w:after="20" w:line="279" w:lineRule="auto"/>
              <w:jc w:val="right"/>
              <w:rPr>
                <w:rFonts w:ascii="Calibri-Light" w:eastAsia="Calibri-Light" w:hAnsi="Calibri-Light" w:cs="Yu Mincho"/>
                <w:sz w:val="20"/>
                <w:szCs w:val="20"/>
              </w:rPr>
            </w:pPr>
            <w:r w:rsidRPr="00550764">
              <w:rPr>
                <w:rFonts w:ascii="Calibri-Light" w:hAnsi="Calibri-Light" w:cs="Calibri-Light"/>
                <w:color w:val="000000"/>
                <w:sz w:val="20"/>
                <w:szCs w:val="20"/>
              </w:rPr>
              <w:t xml:space="preserve">17.9 </w:t>
            </w:r>
          </w:p>
        </w:tc>
        <w:tc>
          <w:tcPr>
            <w:tcW w:w="928" w:type="dxa"/>
            <w:tcMar>
              <w:top w:w="28" w:type="dxa"/>
              <w:bottom w:w="28" w:type="dxa"/>
            </w:tcMar>
            <w:vAlign w:val="center"/>
          </w:tcPr>
          <w:p w14:paraId="6D8BF03E" w14:textId="641FEAB6" w:rsidR="00CC0402" w:rsidRPr="00550764" w:rsidRDefault="00AB0987" w:rsidP="00550764">
            <w:pPr>
              <w:spacing w:before="20" w:after="20" w:line="279" w:lineRule="auto"/>
              <w:jc w:val="right"/>
              <w:rPr>
                <w:rFonts w:ascii="Calibri-Light" w:eastAsia="Calibri-Light" w:hAnsi="Calibri-Light" w:cs="Yu Mincho"/>
                <w:sz w:val="20"/>
                <w:szCs w:val="20"/>
              </w:rPr>
            </w:pPr>
            <w:r w:rsidRPr="00550764">
              <w:rPr>
                <w:rFonts w:ascii="Calibri-Light" w:hAnsi="Calibri-Light" w:cs="Calibri-Light"/>
                <w:color w:val="000000"/>
                <w:sz w:val="20"/>
                <w:szCs w:val="20"/>
              </w:rPr>
              <w:t xml:space="preserve">15.3 </w:t>
            </w:r>
          </w:p>
        </w:tc>
        <w:tc>
          <w:tcPr>
            <w:tcW w:w="928" w:type="dxa"/>
            <w:tcMar>
              <w:top w:w="28" w:type="dxa"/>
              <w:bottom w:w="28" w:type="dxa"/>
            </w:tcMar>
            <w:vAlign w:val="center"/>
          </w:tcPr>
          <w:p w14:paraId="05ED52C8" w14:textId="30914148" w:rsidR="00CC0402" w:rsidRPr="00550764" w:rsidRDefault="00CC0402" w:rsidP="00550764">
            <w:pPr>
              <w:spacing w:before="20" w:after="20" w:line="279" w:lineRule="auto"/>
              <w:jc w:val="right"/>
              <w:rPr>
                <w:rFonts w:ascii="Calibri-Light" w:eastAsia="Calibri-Light" w:hAnsi="Calibri-Light" w:cs="Yu Mincho"/>
                <w:sz w:val="20"/>
                <w:szCs w:val="20"/>
              </w:rPr>
            </w:pPr>
            <w:r w:rsidRPr="00550764">
              <w:rPr>
                <w:rFonts w:ascii="Calibri-Light" w:hAnsi="Calibri-Light" w:cs="Calibri-Light"/>
                <w:color w:val="000000"/>
                <w:sz w:val="20"/>
                <w:szCs w:val="20"/>
              </w:rPr>
              <w:t>12.8</w:t>
            </w:r>
            <w:r w:rsidR="00AB0987" w:rsidRPr="00550764">
              <w:rPr>
                <w:rFonts w:ascii="Calibri-Light" w:hAnsi="Calibri-Light" w:cs="Calibri-Light"/>
                <w:color w:val="000000"/>
                <w:sz w:val="20"/>
                <w:szCs w:val="20"/>
              </w:rPr>
              <w:t xml:space="preserve"> </w:t>
            </w:r>
          </w:p>
        </w:tc>
      </w:tr>
      <w:tr w:rsidR="000B10CD" w:rsidRPr="00A2295F" w14:paraId="4AD8FC34" w14:textId="77777777" w:rsidTr="00550764">
        <w:tc>
          <w:tcPr>
            <w:tcW w:w="6232" w:type="dxa"/>
            <w:tcMar>
              <w:top w:w="28" w:type="dxa"/>
              <w:bottom w:w="28" w:type="dxa"/>
            </w:tcMar>
          </w:tcPr>
          <w:p w14:paraId="573C6794" w14:textId="0060040A" w:rsidR="00CC0402" w:rsidRPr="00550764" w:rsidRDefault="00C013B6" w:rsidP="00550764">
            <w:pPr>
              <w:spacing w:before="20" w:after="20"/>
              <w:rPr>
                <w:rFonts w:ascii="Calibri-Light" w:eastAsia="Calibri-Light" w:hAnsi="Calibri-Light" w:cs="Yu Mincho"/>
                <w:sz w:val="20"/>
                <w:szCs w:val="20"/>
              </w:rPr>
            </w:pPr>
            <w:r w:rsidRPr="00550764">
              <w:rPr>
                <w:rFonts w:ascii="Calibri-Light" w:hAnsi="Calibri-Light" w:cs="Calibri-Light"/>
                <w:color w:val="000000"/>
                <w:sz w:val="20"/>
                <w:szCs w:val="20"/>
              </w:rPr>
              <w:t xml:space="preserve">Estimated </w:t>
            </w:r>
            <w:r w:rsidR="00CC0402" w:rsidRPr="00550764">
              <w:rPr>
                <w:rFonts w:ascii="Calibri-Light" w:hAnsi="Calibri-Light" w:cs="Calibri-Light"/>
                <w:color w:val="000000"/>
                <w:sz w:val="20"/>
                <w:szCs w:val="20"/>
              </w:rPr>
              <w:t>low</w:t>
            </w:r>
            <w:r w:rsidR="009E654C" w:rsidRPr="00550764">
              <w:rPr>
                <w:rFonts w:ascii="Calibri-Light" w:hAnsi="Calibri-Light" w:cs="Calibri-Light"/>
                <w:color w:val="000000"/>
                <w:sz w:val="20"/>
                <w:szCs w:val="20"/>
              </w:rPr>
              <w:t>-</w:t>
            </w:r>
            <w:r w:rsidR="00CC0402" w:rsidRPr="00550764">
              <w:rPr>
                <w:rFonts w:ascii="Calibri-Light" w:hAnsi="Calibri-Light" w:cs="Calibri-Light"/>
                <w:color w:val="000000"/>
                <w:sz w:val="20"/>
                <w:szCs w:val="20"/>
              </w:rPr>
              <w:t>risk</w:t>
            </w:r>
            <w:r w:rsidR="009E654C" w:rsidRPr="00550764">
              <w:rPr>
                <w:rFonts w:ascii="Calibri-Light" w:hAnsi="Calibri-Light" w:cs="Calibri-Light"/>
                <w:color w:val="000000"/>
                <w:sz w:val="20"/>
                <w:szCs w:val="20"/>
              </w:rPr>
              <w:t xml:space="preserve"> </w:t>
            </w:r>
            <w:r w:rsidR="00CC0402" w:rsidRPr="00550764">
              <w:rPr>
                <w:rFonts w:ascii="Calibri-Light" w:hAnsi="Calibri-Light" w:cs="Calibri-Light"/>
                <w:color w:val="000000"/>
                <w:sz w:val="20"/>
                <w:szCs w:val="20"/>
              </w:rPr>
              <w:t xml:space="preserve">forestry </w:t>
            </w:r>
            <w:r w:rsidR="00A7019C" w:rsidRPr="00550764">
              <w:rPr>
                <w:rFonts w:ascii="Calibri-Light" w:hAnsi="Calibri-Light" w:cs="Calibri-Light"/>
                <w:color w:val="000000"/>
                <w:sz w:val="20"/>
                <w:szCs w:val="20"/>
              </w:rPr>
              <w:t xml:space="preserve">unit </w:t>
            </w:r>
            <w:r w:rsidR="00CC0402" w:rsidRPr="00550764">
              <w:rPr>
                <w:rFonts w:ascii="Calibri-Light" w:hAnsi="Calibri-Light" w:cs="Calibri-Light"/>
                <w:color w:val="000000"/>
                <w:sz w:val="20"/>
                <w:szCs w:val="20"/>
              </w:rPr>
              <w:t xml:space="preserve">allocations </w:t>
            </w:r>
          </w:p>
        </w:tc>
        <w:tc>
          <w:tcPr>
            <w:tcW w:w="928" w:type="dxa"/>
            <w:tcMar>
              <w:top w:w="28" w:type="dxa"/>
              <w:bottom w:w="28" w:type="dxa"/>
            </w:tcMar>
            <w:vAlign w:val="center"/>
          </w:tcPr>
          <w:p w14:paraId="435E7A66" w14:textId="4F32F447" w:rsidR="00CC0402" w:rsidRPr="00550764" w:rsidRDefault="00AB0987" w:rsidP="00550764">
            <w:pPr>
              <w:spacing w:before="20" w:after="20" w:line="279" w:lineRule="auto"/>
              <w:jc w:val="right"/>
              <w:rPr>
                <w:rFonts w:ascii="Calibri-Light" w:eastAsia="Calibri-Light" w:hAnsi="Calibri-Light" w:cs="Yu Mincho"/>
                <w:sz w:val="20"/>
                <w:szCs w:val="20"/>
              </w:rPr>
            </w:pPr>
            <w:r w:rsidRPr="00550764">
              <w:rPr>
                <w:rFonts w:ascii="Calibri-Light" w:hAnsi="Calibri-Light" w:cs="Calibri-Light"/>
                <w:color w:val="000000"/>
                <w:sz w:val="20"/>
                <w:szCs w:val="20"/>
              </w:rPr>
              <w:t xml:space="preserve">17.3 </w:t>
            </w:r>
          </w:p>
        </w:tc>
        <w:tc>
          <w:tcPr>
            <w:tcW w:w="928" w:type="dxa"/>
            <w:tcMar>
              <w:top w:w="28" w:type="dxa"/>
              <w:bottom w:w="28" w:type="dxa"/>
            </w:tcMar>
            <w:vAlign w:val="center"/>
          </w:tcPr>
          <w:p w14:paraId="5A42FD1D" w14:textId="4B5233A4" w:rsidR="00CC0402" w:rsidRPr="00550764" w:rsidRDefault="00AB0987" w:rsidP="00550764">
            <w:pPr>
              <w:spacing w:before="20" w:after="20" w:line="279" w:lineRule="auto"/>
              <w:jc w:val="right"/>
              <w:rPr>
                <w:rFonts w:ascii="Calibri-Light" w:eastAsia="Calibri-Light" w:hAnsi="Calibri-Light" w:cs="Yu Mincho"/>
                <w:sz w:val="20"/>
                <w:szCs w:val="20"/>
              </w:rPr>
            </w:pPr>
            <w:r w:rsidRPr="00550764">
              <w:rPr>
                <w:rFonts w:ascii="Calibri-Light" w:hAnsi="Calibri-Light" w:cs="Calibri-Light"/>
                <w:color w:val="000000"/>
                <w:sz w:val="20"/>
                <w:szCs w:val="20"/>
              </w:rPr>
              <w:t xml:space="preserve">21.8 </w:t>
            </w:r>
          </w:p>
        </w:tc>
        <w:tc>
          <w:tcPr>
            <w:tcW w:w="928" w:type="dxa"/>
            <w:tcMar>
              <w:top w:w="28" w:type="dxa"/>
              <w:bottom w:w="28" w:type="dxa"/>
            </w:tcMar>
            <w:vAlign w:val="center"/>
          </w:tcPr>
          <w:p w14:paraId="1A8A6888" w14:textId="652E88E3" w:rsidR="00CC0402" w:rsidRPr="00550764" w:rsidRDefault="00CC0402" w:rsidP="00550764">
            <w:pPr>
              <w:spacing w:before="20" w:after="20" w:line="279" w:lineRule="auto"/>
              <w:jc w:val="right"/>
              <w:rPr>
                <w:rFonts w:ascii="Calibri-Light" w:eastAsia="Calibri-Light" w:hAnsi="Calibri-Light" w:cs="Yu Mincho"/>
                <w:sz w:val="20"/>
                <w:szCs w:val="20"/>
              </w:rPr>
            </w:pPr>
            <w:r w:rsidRPr="00550764">
              <w:rPr>
                <w:rFonts w:ascii="Calibri-Light" w:hAnsi="Calibri-Light" w:cs="Calibri-Light"/>
                <w:color w:val="000000"/>
                <w:sz w:val="20"/>
                <w:szCs w:val="20"/>
              </w:rPr>
              <w:t>24.1</w:t>
            </w:r>
            <w:r w:rsidR="00AB0987" w:rsidRPr="00550764">
              <w:rPr>
                <w:rFonts w:ascii="Calibri-Light" w:hAnsi="Calibri-Light" w:cs="Calibri-Light"/>
                <w:color w:val="000000"/>
                <w:sz w:val="20"/>
                <w:szCs w:val="20"/>
              </w:rPr>
              <w:t xml:space="preserve"> </w:t>
            </w:r>
          </w:p>
        </w:tc>
      </w:tr>
      <w:tr w:rsidR="000B10CD" w:rsidRPr="00A2295F" w14:paraId="29C097E4" w14:textId="77777777" w:rsidTr="00550764">
        <w:tc>
          <w:tcPr>
            <w:tcW w:w="6232" w:type="dxa"/>
            <w:tcMar>
              <w:top w:w="28" w:type="dxa"/>
              <w:bottom w:w="28" w:type="dxa"/>
            </w:tcMar>
          </w:tcPr>
          <w:p w14:paraId="57F3FE67" w14:textId="72ACA3A1" w:rsidR="00CC0402" w:rsidRPr="00550764" w:rsidRDefault="00AB6DA0" w:rsidP="00550764">
            <w:pPr>
              <w:spacing w:before="20" w:after="20"/>
              <w:rPr>
                <w:rFonts w:ascii="Calibri-Light" w:hAnsi="Calibri-Light" w:cs="Calibri-Light"/>
                <w:b/>
                <w:color w:val="000000"/>
                <w:sz w:val="20"/>
                <w:szCs w:val="20"/>
              </w:rPr>
            </w:pPr>
            <w:r w:rsidRPr="00550764">
              <w:rPr>
                <w:rFonts w:ascii="Calibri-Light" w:hAnsi="Calibri-Light" w:cs="Calibri-Light"/>
                <w:b/>
                <w:color w:val="000000"/>
                <w:sz w:val="20"/>
                <w:szCs w:val="20"/>
                <w:u w:val="single"/>
              </w:rPr>
              <w:t>Actual</w:t>
            </w:r>
            <w:r w:rsidR="00CC0402" w:rsidRPr="00550764">
              <w:rPr>
                <w:rFonts w:ascii="Calibri-Light" w:hAnsi="Calibri-Light" w:cs="Calibri-Light"/>
                <w:b/>
                <w:color w:val="000000"/>
                <w:sz w:val="20"/>
                <w:szCs w:val="20"/>
              </w:rPr>
              <w:t xml:space="preserve"> </w:t>
            </w:r>
            <w:r w:rsidRPr="00550764">
              <w:rPr>
                <w:rFonts w:ascii="Calibri-Light" w:hAnsi="Calibri-Light" w:cs="Calibri-Light"/>
                <w:b/>
                <w:color w:val="000000"/>
                <w:sz w:val="20"/>
                <w:szCs w:val="20"/>
              </w:rPr>
              <w:t xml:space="preserve">forestry </w:t>
            </w:r>
            <w:r w:rsidR="00CC0402" w:rsidRPr="00550764">
              <w:rPr>
                <w:rFonts w:ascii="Calibri-Light" w:hAnsi="Calibri-Light" w:cs="Calibri-Light"/>
                <w:b/>
                <w:color w:val="000000"/>
                <w:sz w:val="20"/>
                <w:szCs w:val="20"/>
              </w:rPr>
              <w:t xml:space="preserve">units </w:t>
            </w:r>
            <w:r w:rsidR="002E12E2" w:rsidRPr="00550764">
              <w:rPr>
                <w:rFonts w:ascii="Calibri-Light" w:hAnsi="Calibri-Light" w:cs="Calibri-Light"/>
                <w:b/>
                <w:color w:val="000000"/>
                <w:sz w:val="20"/>
                <w:szCs w:val="20"/>
              </w:rPr>
              <w:t xml:space="preserve">already </w:t>
            </w:r>
            <w:r w:rsidR="00CC0402" w:rsidRPr="00550764">
              <w:rPr>
                <w:rFonts w:ascii="Calibri-Light" w:hAnsi="Calibri-Light" w:cs="Calibri-Light"/>
                <w:b/>
                <w:color w:val="000000"/>
                <w:sz w:val="20"/>
                <w:szCs w:val="20"/>
              </w:rPr>
              <w:t xml:space="preserve">allocated </w:t>
            </w:r>
            <w:r w:rsidR="002E12E2" w:rsidRPr="00550764">
              <w:rPr>
                <w:rFonts w:ascii="Calibri-Light" w:hAnsi="Calibri-Light" w:cs="Calibri-Light"/>
                <w:b/>
                <w:color w:val="000000"/>
                <w:sz w:val="20"/>
                <w:szCs w:val="20"/>
              </w:rPr>
              <w:t xml:space="preserve">for </w:t>
            </w:r>
            <w:r w:rsidR="00CC0402" w:rsidRPr="00550764">
              <w:rPr>
                <w:rFonts w:ascii="Calibri-Light" w:hAnsi="Calibri-Light" w:cs="Calibri-Light"/>
                <w:b/>
                <w:color w:val="000000"/>
                <w:sz w:val="20"/>
                <w:szCs w:val="20"/>
              </w:rPr>
              <w:t xml:space="preserve">MERP4 </w:t>
            </w:r>
          </w:p>
        </w:tc>
        <w:tc>
          <w:tcPr>
            <w:tcW w:w="928" w:type="dxa"/>
            <w:tcMar>
              <w:top w:w="28" w:type="dxa"/>
              <w:bottom w:w="28" w:type="dxa"/>
            </w:tcMar>
            <w:vAlign w:val="center"/>
          </w:tcPr>
          <w:p w14:paraId="46738F42" w14:textId="375C8978" w:rsidR="00CC0402" w:rsidRPr="00550764" w:rsidRDefault="00CC0402" w:rsidP="00550764">
            <w:pPr>
              <w:spacing w:before="20" w:after="20" w:line="279" w:lineRule="auto"/>
              <w:jc w:val="right"/>
              <w:rPr>
                <w:rFonts w:ascii="Calibri-Light" w:hAnsi="Calibri-Light" w:cs="Calibri-Light"/>
                <w:b/>
                <w:color w:val="000000"/>
                <w:sz w:val="20"/>
                <w:szCs w:val="20"/>
              </w:rPr>
            </w:pPr>
            <w:r w:rsidRPr="00550764">
              <w:rPr>
                <w:rFonts w:ascii="Calibri-Light" w:hAnsi="Calibri-Light" w:cs="Calibri-Light"/>
                <w:b/>
                <w:color w:val="000000"/>
                <w:sz w:val="20"/>
                <w:szCs w:val="20"/>
              </w:rPr>
              <w:t>7.4</w:t>
            </w:r>
            <w:r w:rsidR="00AB0987" w:rsidRPr="00550764">
              <w:rPr>
                <w:rFonts w:ascii="Calibri-Light" w:hAnsi="Calibri-Light" w:cs="Calibri-Light"/>
                <w:b/>
                <w:color w:val="000000"/>
                <w:sz w:val="20"/>
                <w:szCs w:val="20"/>
              </w:rPr>
              <w:t xml:space="preserve"> </w:t>
            </w:r>
          </w:p>
        </w:tc>
        <w:tc>
          <w:tcPr>
            <w:tcW w:w="928" w:type="dxa"/>
            <w:tcMar>
              <w:top w:w="28" w:type="dxa"/>
              <w:bottom w:w="28" w:type="dxa"/>
            </w:tcMar>
            <w:vAlign w:val="center"/>
          </w:tcPr>
          <w:p w14:paraId="5A4BA8A6" w14:textId="0898E78D" w:rsidR="00CC0402" w:rsidRPr="00550764" w:rsidRDefault="00CC0402" w:rsidP="00550764">
            <w:pPr>
              <w:spacing w:before="20" w:after="20" w:line="279" w:lineRule="auto"/>
              <w:jc w:val="right"/>
              <w:rPr>
                <w:rFonts w:ascii="Calibri-Light" w:hAnsi="Calibri-Light" w:cs="Calibri-Light"/>
                <w:b/>
                <w:color w:val="000000"/>
                <w:sz w:val="20"/>
                <w:szCs w:val="20"/>
              </w:rPr>
            </w:pPr>
            <w:r w:rsidRPr="00550764">
              <w:rPr>
                <w:rFonts w:ascii="Calibri-Light" w:hAnsi="Calibri-Light" w:cs="Calibri-Light"/>
                <w:b/>
                <w:color w:val="000000"/>
                <w:sz w:val="20"/>
                <w:szCs w:val="20"/>
              </w:rPr>
              <w:t>7.4</w:t>
            </w:r>
            <w:r w:rsidR="00AB0987" w:rsidRPr="00550764">
              <w:rPr>
                <w:rFonts w:ascii="Calibri-Light" w:hAnsi="Calibri-Light" w:cs="Calibri-Light"/>
                <w:b/>
                <w:color w:val="000000"/>
                <w:sz w:val="20"/>
                <w:szCs w:val="20"/>
              </w:rPr>
              <w:t xml:space="preserve"> </w:t>
            </w:r>
          </w:p>
        </w:tc>
        <w:tc>
          <w:tcPr>
            <w:tcW w:w="928" w:type="dxa"/>
            <w:tcMar>
              <w:top w:w="28" w:type="dxa"/>
              <w:bottom w:w="28" w:type="dxa"/>
            </w:tcMar>
            <w:vAlign w:val="center"/>
          </w:tcPr>
          <w:p w14:paraId="2391C1B2" w14:textId="791FF513" w:rsidR="00CC0402" w:rsidRPr="00550764" w:rsidRDefault="00CC0402" w:rsidP="00550764">
            <w:pPr>
              <w:spacing w:before="20" w:after="20" w:line="279" w:lineRule="auto"/>
              <w:jc w:val="right"/>
              <w:rPr>
                <w:rFonts w:ascii="Calibri-Light" w:hAnsi="Calibri-Light" w:cs="Calibri-Light"/>
                <w:b/>
                <w:color w:val="000000"/>
                <w:sz w:val="20"/>
                <w:szCs w:val="20"/>
              </w:rPr>
            </w:pPr>
            <w:r w:rsidRPr="00550764">
              <w:rPr>
                <w:rFonts w:ascii="Calibri-Light" w:hAnsi="Calibri-Light" w:cs="Calibri-Light"/>
                <w:b/>
                <w:color w:val="000000"/>
                <w:sz w:val="20"/>
                <w:szCs w:val="20"/>
              </w:rPr>
              <w:t>7.4</w:t>
            </w:r>
            <w:r w:rsidR="00AB0987" w:rsidRPr="00550764">
              <w:rPr>
                <w:rFonts w:ascii="Calibri-Light" w:hAnsi="Calibri-Light" w:cs="Calibri-Light"/>
                <w:b/>
                <w:color w:val="000000"/>
                <w:sz w:val="20"/>
                <w:szCs w:val="20"/>
              </w:rPr>
              <w:t xml:space="preserve"> </w:t>
            </w:r>
          </w:p>
        </w:tc>
      </w:tr>
      <w:tr w:rsidR="000B10CD" w:rsidRPr="00A2295F" w14:paraId="2F5E0726" w14:textId="77777777" w:rsidTr="00550764">
        <w:tc>
          <w:tcPr>
            <w:tcW w:w="6232" w:type="dxa"/>
            <w:tcMar>
              <w:top w:w="28" w:type="dxa"/>
              <w:bottom w:w="28" w:type="dxa"/>
            </w:tcMar>
            <w:vAlign w:val="bottom"/>
          </w:tcPr>
          <w:p w14:paraId="5441CE93" w14:textId="52F88868" w:rsidR="0022170E" w:rsidRPr="00550764" w:rsidRDefault="0022170E" w:rsidP="00550764">
            <w:pPr>
              <w:spacing w:before="20" w:after="20"/>
              <w:rPr>
                <w:rFonts w:ascii="Calibri-Light" w:hAnsi="Calibri-Light" w:cs="Calibri-Light"/>
                <w:color w:val="000000"/>
                <w:sz w:val="20"/>
                <w:szCs w:val="20"/>
              </w:rPr>
            </w:pPr>
            <w:r w:rsidRPr="00550764">
              <w:rPr>
                <w:rFonts w:ascii="Calibri-Light" w:hAnsi="Calibri-Light" w:cs="Calibri-Light"/>
                <w:color w:val="000000"/>
                <w:sz w:val="20"/>
                <w:szCs w:val="20"/>
              </w:rPr>
              <w:t xml:space="preserve">Estimated </w:t>
            </w:r>
            <w:r w:rsidR="00C65BEB" w:rsidRPr="00550764">
              <w:rPr>
                <w:rFonts w:ascii="Calibri-Light" w:hAnsi="Calibri-Light" w:cs="Calibri-Light"/>
                <w:color w:val="000000"/>
                <w:sz w:val="20"/>
                <w:szCs w:val="20"/>
              </w:rPr>
              <w:t xml:space="preserve">actual allocations </w:t>
            </w:r>
            <w:r w:rsidRPr="00550764">
              <w:rPr>
                <w:rFonts w:ascii="Calibri-Light" w:hAnsi="Calibri-Light" w:cs="Calibri-Light"/>
                <w:color w:val="000000"/>
                <w:sz w:val="20"/>
                <w:szCs w:val="20"/>
              </w:rPr>
              <w:t xml:space="preserve">held for harvest </w:t>
            </w:r>
          </w:p>
        </w:tc>
        <w:tc>
          <w:tcPr>
            <w:tcW w:w="928" w:type="dxa"/>
            <w:tcMar>
              <w:top w:w="28" w:type="dxa"/>
              <w:bottom w:w="28" w:type="dxa"/>
            </w:tcMar>
            <w:vAlign w:val="center"/>
          </w:tcPr>
          <w:p w14:paraId="7B9EC5C6" w14:textId="4443AF1C" w:rsidR="0022170E" w:rsidRPr="00550764" w:rsidRDefault="0022170E" w:rsidP="00550764">
            <w:pPr>
              <w:spacing w:before="20" w:after="20" w:line="279" w:lineRule="auto"/>
              <w:jc w:val="right"/>
              <w:rPr>
                <w:rFonts w:ascii="Calibri-Light" w:hAnsi="Calibri-Light" w:cs="Calibri-Light"/>
                <w:color w:val="000000"/>
                <w:sz w:val="20"/>
                <w:szCs w:val="20"/>
              </w:rPr>
            </w:pPr>
            <w:r w:rsidRPr="00550764">
              <w:rPr>
                <w:rFonts w:ascii="Calibri-Light" w:hAnsi="Calibri-Light" w:cs="Calibri-Light"/>
                <w:color w:val="000000"/>
                <w:sz w:val="20"/>
                <w:szCs w:val="20"/>
              </w:rPr>
              <w:t>3.</w:t>
            </w:r>
            <w:r w:rsidR="00AB0987" w:rsidRPr="00550764">
              <w:rPr>
                <w:rFonts w:ascii="Calibri-Light" w:hAnsi="Calibri-Light" w:cs="Calibri-Light"/>
                <w:color w:val="000000"/>
                <w:sz w:val="20"/>
                <w:szCs w:val="20"/>
              </w:rPr>
              <w:t xml:space="preserve">8 </w:t>
            </w:r>
          </w:p>
        </w:tc>
        <w:tc>
          <w:tcPr>
            <w:tcW w:w="928" w:type="dxa"/>
            <w:tcMar>
              <w:top w:w="28" w:type="dxa"/>
              <w:bottom w:w="28" w:type="dxa"/>
            </w:tcMar>
            <w:vAlign w:val="center"/>
          </w:tcPr>
          <w:p w14:paraId="15163E1C" w14:textId="1C8E8E8C" w:rsidR="0022170E" w:rsidRPr="00550764" w:rsidRDefault="0022170E" w:rsidP="00550764">
            <w:pPr>
              <w:spacing w:before="20" w:after="20" w:line="279" w:lineRule="auto"/>
              <w:jc w:val="right"/>
              <w:rPr>
                <w:rFonts w:ascii="Calibri-Light" w:hAnsi="Calibri-Light" w:cs="Calibri-Light"/>
                <w:color w:val="000000"/>
                <w:sz w:val="20"/>
                <w:szCs w:val="20"/>
              </w:rPr>
            </w:pPr>
            <w:r w:rsidRPr="00550764">
              <w:rPr>
                <w:rFonts w:ascii="Calibri-Light" w:hAnsi="Calibri-Light" w:cs="Calibri-Light"/>
                <w:color w:val="000000"/>
                <w:sz w:val="20"/>
                <w:szCs w:val="20"/>
              </w:rPr>
              <w:t>3.</w:t>
            </w:r>
            <w:r w:rsidR="00AB0987" w:rsidRPr="00550764">
              <w:rPr>
                <w:rFonts w:ascii="Calibri-Light" w:hAnsi="Calibri-Light" w:cs="Calibri-Light"/>
                <w:color w:val="000000"/>
                <w:sz w:val="20"/>
                <w:szCs w:val="20"/>
              </w:rPr>
              <w:t xml:space="preserve">1 </w:t>
            </w:r>
          </w:p>
        </w:tc>
        <w:tc>
          <w:tcPr>
            <w:tcW w:w="928" w:type="dxa"/>
            <w:tcMar>
              <w:top w:w="28" w:type="dxa"/>
              <w:bottom w:w="28" w:type="dxa"/>
            </w:tcMar>
            <w:vAlign w:val="center"/>
          </w:tcPr>
          <w:p w14:paraId="11597158" w14:textId="132CA612" w:rsidR="0022170E" w:rsidRPr="00550764" w:rsidRDefault="0022170E" w:rsidP="00550764">
            <w:pPr>
              <w:spacing w:before="20" w:after="20" w:line="279" w:lineRule="auto"/>
              <w:jc w:val="right"/>
              <w:rPr>
                <w:rFonts w:ascii="Calibri-Light" w:hAnsi="Calibri-Light" w:cs="Calibri-Light"/>
                <w:color w:val="000000"/>
                <w:sz w:val="20"/>
                <w:szCs w:val="20"/>
              </w:rPr>
            </w:pPr>
            <w:r w:rsidRPr="00550764">
              <w:rPr>
                <w:rFonts w:ascii="Calibri-Light" w:hAnsi="Calibri-Light" w:cs="Calibri-Light"/>
                <w:color w:val="000000"/>
                <w:sz w:val="20"/>
                <w:szCs w:val="20"/>
              </w:rPr>
              <w:t>2.6</w:t>
            </w:r>
            <w:r w:rsidR="00AB0987" w:rsidRPr="00550764">
              <w:rPr>
                <w:rFonts w:ascii="Calibri-Light" w:hAnsi="Calibri-Light" w:cs="Calibri-Light"/>
                <w:color w:val="000000"/>
                <w:sz w:val="20"/>
                <w:szCs w:val="20"/>
              </w:rPr>
              <w:t xml:space="preserve"> </w:t>
            </w:r>
          </w:p>
        </w:tc>
      </w:tr>
      <w:tr w:rsidR="000B10CD" w:rsidRPr="00A2295F" w14:paraId="2CF99101" w14:textId="77777777" w:rsidTr="00550764">
        <w:tc>
          <w:tcPr>
            <w:tcW w:w="6232" w:type="dxa"/>
            <w:tcMar>
              <w:top w:w="28" w:type="dxa"/>
              <w:bottom w:w="28" w:type="dxa"/>
            </w:tcMar>
            <w:vAlign w:val="bottom"/>
          </w:tcPr>
          <w:p w14:paraId="3501F39F" w14:textId="7E87A109" w:rsidR="009510F7" w:rsidRPr="00550764" w:rsidRDefault="009510F7" w:rsidP="00550764">
            <w:pPr>
              <w:spacing w:before="20" w:after="20"/>
              <w:rPr>
                <w:rFonts w:ascii="Calibri-Light" w:hAnsi="Calibri-Light" w:cs="Calibri-Light"/>
                <w:color w:val="000000"/>
                <w:sz w:val="20"/>
                <w:szCs w:val="20"/>
              </w:rPr>
            </w:pPr>
            <w:r w:rsidRPr="00550764">
              <w:rPr>
                <w:rFonts w:ascii="Calibri-Light" w:hAnsi="Calibri-Light" w:cs="Calibri-Light"/>
                <w:color w:val="000000"/>
                <w:sz w:val="20"/>
                <w:szCs w:val="20"/>
              </w:rPr>
              <w:t xml:space="preserve">Estimated </w:t>
            </w:r>
            <w:r w:rsidR="00C65BEB" w:rsidRPr="00550764">
              <w:rPr>
                <w:rFonts w:ascii="Calibri-Light" w:hAnsi="Calibri-Light" w:cs="Calibri-Light"/>
                <w:color w:val="000000"/>
                <w:sz w:val="20"/>
                <w:szCs w:val="20"/>
              </w:rPr>
              <w:t xml:space="preserve">actual </w:t>
            </w:r>
            <w:r w:rsidRPr="00550764">
              <w:rPr>
                <w:rFonts w:ascii="Calibri-Light" w:hAnsi="Calibri-Light" w:cs="Calibri-Light"/>
                <w:color w:val="000000"/>
                <w:sz w:val="20"/>
                <w:szCs w:val="20"/>
              </w:rPr>
              <w:t>low</w:t>
            </w:r>
            <w:r w:rsidR="00C65BEB" w:rsidRPr="00550764">
              <w:rPr>
                <w:rFonts w:ascii="Calibri-Light" w:hAnsi="Calibri-Light" w:cs="Calibri-Light"/>
                <w:color w:val="000000"/>
                <w:sz w:val="20"/>
                <w:szCs w:val="20"/>
              </w:rPr>
              <w:t>-</w:t>
            </w:r>
            <w:r w:rsidRPr="00550764">
              <w:rPr>
                <w:rFonts w:ascii="Calibri-Light" w:hAnsi="Calibri-Light" w:cs="Calibri-Light"/>
                <w:color w:val="000000"/>
                <w:sz w:val="20"/>
                <w:szCs w:val="20"/>
              </w:rPr>
              <w:t xml:space="preserve">risk </w:t>
            </w:r>
            <w:r w:rsidR="00C65BEB" w:rsidRPr="00550764">
              <w:rPr>
                <w:rFonts w:ascii="Calibri-Light" w:hAnsi="Calibri-Light" w:cs="Calibri-Light"/>
                <w:color w:val="000000"/>
                <w:sz w:val="20"/>
                <w:szCs w:val="20"/>
              </w:rPr>
              <w:t xml:space="preserve">forestry </w:t>
            </w:r>
            <w:r w:rsidR="00A7019C" w:rsidRPr="00550764">
              <w:rPr>
                <w:rFonts w:ascii="Calibri-Light" w:hAnsi="Calibri-Light" w:cs="Calibri-Light"/>
                <w:color w:val="000000"/>
                <w:sz w:val="20"/>
                <w:szCs w:val="20"/>
              </w:rPr>
              <w:t xml:space="preserve">unit </w:t>
            </w:r>
            <w:r w:rsidR="00C65BEB" w:rsidRPr="00550764">
              <w:rPr>
                <w:rFonts w:ascii="Calibri-Light" w:hAnsi="Calibri-Light" w:cs="Calibri-Light"/>
                <w:color w:val="000000"/>
                <w:sz w:val="20"/>
                <w:szCs w:val="20"/>
              </w:rPr>
              <w:t>allocations</w:t>
            </w:r>
          </w:p>
        </w:tc>
        <w:tc>
          <w:tcPr>
            <w:tcW w:w="928" w:type="dxa"/>
            <w:tcMar>
              <w:top w:w="28" w:type="dxa"/>
              <w:bottom w:w="28" w:type="dxa"/>
            </w:tcMar>
            <w:vAlign w:val="center"/>
          </w:tcPr>
          <w:p w14:paraId="26EBF9EC" w14:textId="1AFDA5BE" w:rsidR="009510F7" w:rsidRPr="00550764" w:rsidRDefault="009510F7" w:rsidP="00550764">
            <w:pPr>
              <w:spacing w:before="20" w:after="20" w:line="279" w:lineRule="auto"/>
              <w:jc w:val="right"/>
              <w:rPr>
                <w:rFonts w:ascii="Calibri-Light" w:hAnsi="Calibri-Light" w:cs="Calibri-Light"/>
                <w:color w:val="000000"/>
                <w:sz w:val="20"/>
                <w:szCs w:val="20"/>
              </w:rPr>
            </w:pPr>
            <w:r w:rsidRPr="00550764">
              <w:rPr>
                <w:rFonts w:ascii="Calibri-Light" w:hAnsi="Calibri-Light" w:cs="Calibri-Light"/>
                <w:color w:val="000000"/>
                <w:sz w:val="20"/>
                <w:szCs w:val="20"/>
              </w:rPr>
              <w:t>3</w:t>
            </w:r>
            <w:r w:rsidR="00AB0987" w:rsidRPr="00550764">
              <w:rPr>
                <w:rFonts w:ascii="Calibri-Light" w:hAnsi="Calibri-Light" w:cs="Calibri-Light"/>
                <w:color w:val="000000"/>
                <w:sz w:val="20"/>
                <w:szCs w:val="20"/>
              </w:rPr>
              <w:t xml:space="preserve">.6 </w:t>
            </w:r>
          </w:p>
        </w:tc>
        <w:tc>
          <w:tcPr>
            <w:tcW w:w="928" w:type="dxa"/>
            <w:tcMar>
              <w:top w:w="28" w:type="dxa"/>
              <w:bottom w:w="28" w:type="dxa"/>
            </w:tcMar>
            <w:vAlign w:val="center"/>
          </w:tcPr>
          <w:p w14:paraId="45DFA06F" w14:textId="281B2091" w:rsidR="009510F7" w:rsidRPr="00550764" w:rsidRDefault="00AB0987" w:rsidP="00550764">
            <w:pPr>
              <w:spacing w:before="20" w:after="20" w:line="279" w:lineRule="auto"/>
              <w:jc w:val="right"/>
              <w:rPr>
                <w:rFonts w:ascii="Calibri-Light" w:hAnsi="Calibri-Light" w:cs="Calibri-Light"/>
                <w:color w:val="000000"/>
                <w:sz w:val="20"/>
                <w:szCs w:val="20"/>
              </w:rPr>
            </w:pPr>
            <w:r w:rsidRPr="00550764">
              <w:rPr>
                <w:rFonts w:ascii="Calibri-Light" w:hAnsi="Calibri-Light" w:cs="Calibri-Light"/>
                <w:color w:val="000000"/>
                <w:sz w:val="20"/>
                <w:szCs w:val="20"/>
              </w:rPr>
              <w:t>4.</w:t>
            </w:r>
            <w:r w:rsidR="009510F7" w:rsidRPr="00550764">
              <w:rPr>
                <w:rFonts w:ascii="Calibri-Light" w:hAnsi="Calibri-Light" w:cs="Calibri-Light"/>
                <w:color w:val="000000"/>
                <w:sz w:val="20"/>
                <w:szCs w:val="20"/>
              </w:rPr>
              <w:t>3</w:t>
            </w:r>
            <w:r w:rsidRPr="00550764">
              <w:rPr>
                <w:rFonts w:ascii="Calibri-Light" w:hAnsi="Calibri-Light" w:cs="Calibri-Light"/>
                <w:color w:val="000000"/>
                <w:sz w:val="20"/>
                <w:szCs w:val="20"/>
              </w:rPr>
              <w:t xml:space="preserve"> </w:t>
            </w:r>
          </w:p>
        </w:tc>
        <w:tc>
          <w:tcPr>
            <w:tcW w:w="928" w:type="dxa"/>
            <w:tcMar>
              <w:top w:w="28" w:type="dxa"/>
              <w:bottom w:w="28" w:type="dxa"/>
            </w:tcMar>
            <w:vAlign w:val="center"/>
          </w:tcPr>
          <w:p w14:paraId="2F1AAA07" w14:textId="78502EC4" w:rsidR="009510F7" w:rsidRPr="00550764" w:rsidRDefault="009510F7" w:rsidP="00550764">
            <w:pPr>
              <w:spacing w:before="20" w:after="20" w:line="279" w:lineRule="auto"/>
              <w:jc w:val="right"/>
              <w:rPr>
                <w:rFonts w:ascii="Calibri-Light" w:hAnsi="Calibri-Light" w:cs="Calibri-Light"/>
                <w:color w:val="000000"/>
                <w:sz w:val="20"/>
                <w:szCs w:val="20"/>
              </w:rPr>
            </w:pPr>
            <w:r w:rsidRPr="00550764">
              <w:rPr>
                <w:rFonts w:ascii="Calibri-Light" w:hAnsi="Calibri-Light" w:cs="Calibri-Light"/>
                <w:color w:val="000000"/>
                <w:sz w:val="20"/>
                <w:szCs w:val="20"/>
              </w:rPr>
              <w:t>4.8</w:t>
            </w:r>
            <w:r w:rsidR="00AB0987" w:rsidRPr="00550764">
              <w:rPr>
                <w:rFonts w:ascii="Calibri-Light" w:hAnsi="Calibri-Light" w:cs="Calibri-Light"/>
                <w:color w:val="000000"/>
                <w:sz w:val="20"/>
                <w:szCs w:val="20"/>
              </w:rPr>
              <w:t xml:space="preserve"> </w:t>
            </w:r>
          </w:p>
        </w:tc>
      </w:tr>
      <w:tr w:rsidR="000B10CD" w:rsidRPr="00A2295F" w14:paraId="41591F16" w14:textId="77777777" w:rsidTr="00550764">
        <w:tc>
          <w:tcPr>
            <w:tcW w:w="6232" w:type="dxa"/>
            <w:tcMar>
              <w:top w:w="28" w:type="dxa"/>
              <w:bottom w:w="28" w:type="dxa"/>
            </w:tcMar>
            <w:vAlign w:val="bottom"/>
          </w:tcPr>
          <w:p w14:paraId="21C34C4D" w14:textId="0E43B3FB" w:rsidR="009510F7" w:rsidRPr="00550764" w:rsidRDefault="009C13E6" w:rsidP="00550764">
            <w:pPr>
              <w:spacing w:before="20" w:after="20"/>
              <w:rPr>
                <w:rFonts w:ascii="Calibri-Light" w:hAnsi="Calibri-Light" w:cs="Calibri-Light"/>
                <w:b/>
                <w:color w:val="000000"/>
                <w:sz w:val="20"/>
                <w:szCs w:val="20"/>
              </w:rPr>
            </w:pPr>
            <w:r w:rsidRPr="00550764">
              <w:rPr>
                <w:rFonts w:ascii="Calibri-Light" w:hAnsi="Calibri-Light" w:cs="Calibri-Light"/>
                <w:b/>
                <w:color w:val="000000"/>
                <w:sz w:val="20"/>
                <w:szCs w:val="20"/>
              </w:rPr>
              <w:t>Estimated r</w:t>
            </w:r>
            <w:r w:rsidR="009510F7" w:rsidRPr="00550764">
              <w:rPr>
                <w:rFonts w:ascii="Calibri-Light" w:hAnsi="Calibri-Light" w:cs="Calibri-Light"/>
                <w:b/>
                <w:color w:val="000000"/>
                <w:sz w:val="20"/>
                <w:szCs w:val="20"/>
              </w:rPr>
              <w:t>emaining low</w:t>
            </w:r>
            <w:r w:rsidR="009B720C" w:rsidRPr="00550764">
              <w:rPr>
                <w:rFonts w:ascii="Calibri-Light" w:hAnsi="Calibri-Light" w:cs="Calibri-Light"/>
                <w:b/>
                <w:color w:val="000000"/>
                <w:sz w:val="20"/>
                <w:szCs w:val="20"/>
              </w:rPr>
              <w:t>-</w:t>
            </w:r>
            <w:r w:rsidR="009510F7" w:rsidRPr="00550764">
              <w:rPr>
                <w:rFonts w:ascii="Calibri-Light" w:hAnsi="Calibri-Light" w:cs="Calibri-Light"/>
                <w:b/>
                <w:color w:val="000000"/>
                <w:sz w:val="20"/>
                <w:szCs w:val="20"/>
              </w:rPr>
              <w:t>risk forestry unit</w:t>
            </w:r>
            <w:r w:rsidR="00C65BEB" w:rsidRPr="00550764">
              <w:rPr>
                <w:rFonts w:ascii="Calibri-Light" w:hAnsi="Calibri-Light" w:cs="Calibri-Light"/>
                <w:b/>
                <w:color w:val="000000"/>
                <w:sz w:val="20"/>
                <w:szCs w:val="20"/>
              </w:rPr>
              <w:t xml:space="preserve"> allocations</w:t>
            </w:r>
            <w:r w:rsidR="009510F7" w:rsidRPr="00550764">
              <w:rPr>
                <w:rFonts w:ascii="Calibri-Light" w:hAnsi="Calibri-Light" w:cs="Calibri-Light"/>
                <w:b/>
                <w:color w:val="000000"/>
                <w:sz w:val="20"/>
                <w:szCs w:val="20"/>
              </w:rPr>
              <w:t xml:space="preserve"> for MERP4 </w:t>
            </w:r>
          </w:p>
        </w:tc>
        <w:tc>
          <w:tcPr>
            <w:tcW w:w="928" w:type="dxa"/>
            <w:tcMar>
              <w:top w:w="28" w:type="dxa"/>
              <w:bottom w:w="28" w:type="dxa"/>
            </w:tcMar>
            <w:vAlign w:val="center"/>
          </w:tcPr>
          <w:p w14:paraId="5C52DDF1" w14:textId="3D6B5534" w:rsidR="009510F7" w:rsidRPr="00550764" w:rsidRDefault="00AB0987" w:rsidP="00550764">
            <w:pPr>
              <w:spacing w:before="20" w:after="20" w:line="279" w:lineRule="auto"/>
              <w:jc w:val="right"/>
              <w:rPr>
                <w:rFonts w:ascii="Calibri-Light" w:hAnsi="Calibri-Light" w:cs="Calibri-Light"/>
                <w:b/>
                <w:color w:val="000000"/>
                <w:sz w:val="20"/>
                <w:szCs w:val="20"/>
              </w:rPr>
            </w:pPr>
            <w:r w:rsidRPr="00550764">
              <w:rPr>
                <w:rFonts w:ascii="Calibri-Light" w:hAnsi="Calibri-Light" w:cs="Calibri-Light"/>
                <w:b/>
                <w:color w:val="000000"/>
                <w:sz w:val="20"/>
                <w:szCs w:val="20"/>
              </w:rPr>
              <w:t xml:space="preserve">13.7 </w:t>
            </w:r>
          </w:p>
        </w:tc>
        <w:tc>
          <w:tcPr>
            <w:tcW w:w="928" w:type="dxa"/>
            <w:tcMar>
              <w:top w:w="28" w:type="dxa"/>
              <w:bottom w:w="28" w:type="dxa"/>
            </w:tcMar>
            <w:vAlign w:val="center"/>
          </w:tcPr>
          <w:p w14:paraId="72195AB0" w14:textId="62499CA6" w:rsidR="009510F7" w:rsidRPr="00550764" w:rsidRDefault="00AB0987" w:rsidP="00550764">
            <w:pPr>
              <w:spacing w:before="20" w:after="20" w:line="279" w:lineRule="auto"/>
              <w:jc w:val="right"/>
              <w:rPr>
                <w:rFonts w:ascii="Calibri-Light" w:hAnsi="Calibri-Light" w:cs="Calibri-Light"/>
                <w:b/>
                <w:color w:val="000000"/>
                <w:sz w:val="20"/>
                <w:szCs w:val="20"/>
              </w:rPr>
            </w:pPr>
            <w:r w:rsidRPr="00550764">
              <w:rPr>
                <w:rFonts w:ascii="Calibri-Light" w:hAnsi="Calibri-Light" w:cs="Calibri-Light"/>
                <w:b/>
                <w:color w:val="000000"/>
                <w:sz w:val="20"/>
                <w:szCs w:val="20"/>
              </w:rPr>
              <w:t xml:space="preserve">17.4 </w:t>
            </w:r>
          </w:p>
        </w:tc>
        <w:tc>
          <w:tcPr>
            <w:tcW w:w="928" w:type="dxa"/>
            <w:tcMar>
              <w:top w:w="28" w:type="dxa"/>
              <w:bottom w:w="28" w:type="dxa"/>
            </w:tcMar>
            <w:vAlign w:val="center"/>
          </w:tcPr>
          <w:p w14:paraId="51B9009B" w14:textId="7D0660D2" w:rsidR="009510F7" w:rsidRPr="00550764" w:rsidRDefault="009510F7" w:rsidP="00550764">
            <w:pPr>
              <w:spacing w:before="20" w:after="20" w:line="279" w:lineRule="auto"/>
              <w:jc w:val="right"/>
              <w:rPr>
                <w:rFonts w:ascii="Calibri-Light" w:hAnsi="Calibri-Light" w:cs="Calibri-Light"/>
                <w:b/>
                <w:color w:val="000000"/>
                <w:sz w:val="20"/>
                <w:szCs w:val="20"/>
              </w:rPr>
            </w:pPr>
            <w:r w:rsidRPr="00550764">
              <w:rPr>
                <w:rFonts w:ascii="Calibri-Light" w:hAnsi="Calibri-Light" w:cs="Calibri-Light"/>
                <w:b/>
                <w:color w:val="000000"/>
                <w:sz w:val="20"/>
                <w:szCs w:val="20"/>
              </w:rPr>
              <w:t>19.2</w:t>
            </w:r>
            <w:r w:rsidR="00AB0987" w:rsidRPr="00550764">
              <w:rPr>
                <w:rFonts w:ascii="Calibri-Light" w:hAnsi="Calibri-Light" w:cs="Calibri-Light"/>
                <w:b/>
                <w:color w:val="000000"/>
                <w:sz w:val="20"/>
                <w:szCs w:val="20"/>
              </w:rPr>
              <w:t xml:space="preserve"> </w:t>
            </w:r>
          </w:p>
        </w:tc>
      </w:tr>
    </w:tbl>
    <w:p w14:paraId="2A7FFAF1" w14:textId="00F10878" w:rsidR="0052247D" w:rsidRDefault="0052247D" w:rsidP="00550764">
      <w:pPr>
        <w:spacing w:before="240" w:line="278" w:lineRule="auto"/>
        <w:rPr>
          <w:rFonts w:ascii="Calibri-Light" w:eastAsia="Calibri-Light" w:hAnsi="Calibri-Light" w:cs="Yu Mincho"/>
          <w:szCs w:val="24"/>
        </w:rPr>
      </w:pPr>
      <w:r w:rsidRPr="002663BA">
        <w:rPr>
          <w:rFonts w:ascii="Calibri-Light" w:eastAsia="Calibri-Light" w:hAnsi="Calibri-Light" w:cs="Yu Mincho"/>
          <w:szCs w:val="24"/>
        </w:rPr>
        <w:t xml:space="preserve">In </w:t>
      </w:r>
      <w:r w:rsidR="007D111B">
        <w:rPr>
          <w:rFonts w:ascii="Calibri-Light" w:eastAsia="Calibri-Light" w:hAnsi="Calibri-Light" w:cs="Yu Mincho"/>
          <w:szCs w:val="24"/>
        </w:rPr>
        <w:t xml:space="preserve">considering the </w:t>
      </w:r>
      <w:r w:rsidR="00B35588">
        <w:rPr>
          <w:rFonts w:ascii="Calibri-Light" w:eastAsia="Calibri-Light" w:hAnsi="Calibri-Light" w:cs="Yu Mincho"/>
          <w:szCs w:val="24"/>
        </w:rPr>
        <w:t xml:space="preserve">forestry units allocated to date for MERP4, </w:t>
      </w:r>
      <w:r w:rsidR="00955CE9">
        <w:rPr>
          <w:rFonts w:ascii="Calibri-Light" w:eastAsia="Calibri-Light" w:hAnsi="Calibri-Light" w:cs="Yu Mincho"/>
          <w:szCs w:val="24"/>
        </w:rPr>
        <w:t xml:space="preserve">it is possible that the </w:t>
      </w:r>
      <w:r w:rsidR="00345C1F">
        <w:rPr>
          <w:rFonts w:ascii="Calibri-Light" w:eastAsia="Calibri-Light" w:hAnsi="Calibri-Light" w:cs="Yu Mincho"/>
          <w:szCs w:val="24"/>
        </w:rPr>
        <w:t xml:space="preserve">net allocations to date represent </w:t>
      </w:r>
      <w:r w:rsidR="00BB3E46">
        <w:rPr>
          <w:rFonts w:ascii="Calibri-Light" w:eastAsia="Calibri-Light" w:hAnsi="Calibri-Light" w:cs="Yu Mincho"/>
          <w:szCs w:val="24"/>
        </w:rPr>
        <w:t>a higher level of al</w:t>
      </w:r>
      <w:r w:rsidR="009D1371">
        <w:rPr>
          <w:rFonts w:ascii="Calibri-Light" w:eastAsia="Calibri-Light" w:hAnsi="Calibri-Light" w:cs="Yu Mincho"/>
          <w:szCs w:val="24"/>
        </w:rPr>
        <w:t>l</w:t>
      </w:r>
      <w:r w:rsidR="00BB3E46">
        <w:rPr>
          <w:rFonts w:ascii="Calibri-Light" w:eastAsia="Calibri-Light" w:hAnsi="Calibri-Light" w:cs="Yu Mincho"/>
          <w:szCs w:val="24"/>
        </w:rPr>
        <w:t xml:space="preserve">ocations that have had harvest liabilities netted off them </w:t>
      </w:r>
      <w:r w:rsidR="009D1371">
        <w:rPr>
          <w:rFonts w:ascii="Calibri-Light" w:eastAsia="Calibri-Light" w:hAnsi="Calibri-Light" w:cs="Yu Mincho"/>
          <w:szCs w:val="24"/>
        </w:rPr>
        <w:t>by foresters in their</w:t>
      </w:r>
      <w:r w:rsidR="00BB3E46">
        <w:rPr>
          <w:rFonts w:ascii="Calibri-Light" w:eastAsia="Calibri-Light" w:hAnsi="Calibri-Light" w:cs="Yu Mincho"/>
          <w:szCs w:val="24"/>
        </w:rPr>
        <w:t xml:space="preserve"> </w:t>
      </w:r>
      <w:r w:rsidRPr="002663BA">
        <w:rPr>
          <w:rFonts w:ascii="Calibri-Light" w:eastAsia="Calibri-Light" w:hAnsi="Calibri-Light" w:cs="Yu Mincho"/>
          <w:szCs w:val="24"/>
        </w:rPr>
        <w:t>emissions returns.</w:t>
      </w:r>
      <w:r w:rsidR="000A087F">
        <w:rPr>
          <w:rStyle w:val="FootnoteReference"/>
          <w:rFonts w:ascii="Calibri-Light" w:eastAsia="Calibri-Light" w:hAnsi="Calibri-Light" w:cs="Yu Mincho"/>
          <w:szCs w:val="24"/>
        </w:rPr>
        <w:footnoteReference w:id="10"/>
      </w:r>
      <w:r w:rsidRPr="002663BA">
        <w:rPr>
          <w:rFonts w:ascii="Calibri-Light" w:eastAsia="Calibri-Light" w:hAnsi="Calibri-Light" w:cs="Yu Mincho"/>
          <w:szCs w:val="24"/>
        </w:rPr>
        <w:t xml:space="preserve"> This does not affect the unit surplus any differently</w:t>
      </w:r>
      <w:r w:rsidR="00C14757">
        <w:rPr>
          <w:rFonts w:ascii="Calibri-Light" w:eastAsia="Calibri-Light" w:hAnsi="Calibri-Light" w:cs="Yu Mincho"/>
          <w:szCs w:val="24"/>
        </w:rPr>
        <w:t>. T</w:t>
      </w:r>
      <w:r w:rsidRPr="002663BA">
        <w:rPr>
          <w:rFonts w:ascii="Calibri-Light" w:eastAsia="Calibri-Light" w:hAnsi="Calibri-Light" w:cs="Yu Mincho"/>
          <w:szCs w:val="24"/>
        </w:rPr>
        <w:t>he</w:t>
      </w:r>
      <w:r w:rsidR="00EE651D">
        <w:rPr>
          <w:rFonts w:ascii="Calibri-Light" w:eastAsia="Calibri-Light" w:hAnsi="Calibri-Light" w:cs="Yu Mincho"/>
          <w:szCs w:val="24"/>
        </w:rPr>
        <w:t xml:space="preserve"> lower</w:t>
      </w:r>
      <w:r w:rsidR="00950184">
        <w:rPr>
          <w:rFonts w:ascii="Calibri-Light" w:eastAsia="Calibri-Light" w:hAnsi="Calibri-Light" w:cs="Yu Mincho"/>
          <w:szCs w:val="24"/>
        </w:rPr>
        <w:t>-</w:t>
      </w:r>
      <w:r w:rsidR="00EE651D">
        <w:rPr>
          <w:rFonts w:ascii="Calibri-Light" w:eastAsia="Calibri-Light" w:hAnsi="Calibri-Light" w:cs="Yu Mincho"/>
          <w:szCs w:val="24"/>
        </w:rPr>
        <w:t>than</w:t>
      </w:r>
      <w:r w:rsidR="00950184">
        <w:rPr>
          <w:rFonts w:ascii="Calibri-Light" w:eastAsia="Calibri-Light" w:hAnsi="Calibri-Light" w:cs="Yu Mincho"/>
          <w:szCs w:val="24"/>
        </w:rPr>
        <w:t>-</w:t>
      </w:r>
      <w:r w:rsidR="00EE651D">
        <w:rPr>
          <w:rFonts w:ascii="Calibri-Light" w:eastAsia="Calibri-Light" w:hAnsi="Calibri-Light" w:cs="Yu Mincho"/>
          <w:szCs w:val="24"/>
        </w:rPr>
        <w:t>actual level</w:t>
      </w:r>
      <w:r w:rsidR="001355EE">
        <w:rPr>
          <w:rFonts w:ascii="Calibri-Light" w:eastAsia="Calibri-Light" w:hAnsi="Calibri-Light" w:cs="Yu Mincho"/>
          <w:szCs w:val="24"/>
        </w:rPr>
        <w:t xml:space="preserve"> of </w:t>
      </w:r>
      <w:r w:rsidRPr="002663BA">
        <w:rPr>
          <w:rFonts w:ascii="Calibri-Light" w:eastAsia="Calibri-Light" w:hAnsi="Calibri-Light" w:cs="Yu Mincho"/>
          <w:szCs w:val="24"/>
        </w:rPr>
        <w:t>low</w:t>
      </w:r>
      <w:r>
        <w:rPr>
          <w:rFonts w:ascii="Calibri-Light" w:eastAsia="Calibri-Light" w:hAnsi="Calibri-Light" w:cs="Yu Mincho"/>
          <w:szCs w:val="24"/>
        </w:rPr>
        <w:t>-</w:t>
      </w:r>
      <w:r w:rsidRPr="002663BA">
        <w:rPr>
          <w:rFonts w:ascii="Calibri-Light" w:eastAsia="Calibri-Light" w:hAnsi="Calibri-Light" w:cs="Yu Mincho"/>
          <w:szCs w:val="24"/>
        </w:rPr>
        <w:t xml:space="preserve">risk allocations would be matched </w:t>
      </w:r>
      <w:r w:rsidR="00070C17">
        <w:rPr>
          <w:rFonts w:ascii="Calibri-Light" w:eastAsia="Calibri-Light" w:hAnsi="Calibri-Light" w:cs="Yu Mincho"/>
          <w:szCs w:val="24"/>
        </w:rPr>
        <w:t xml:space="preserve">by </w:t>
      </w:r>
      <w:r w:rsidR="0070450A">
        <w:rPr>
          <w:rFonts w:ascii="Calibri-Light" w:eastAsia="Calibri-Light" w:hAnsi="Calibri-Light" w:cs="Yu Mincho"/>
          <w:szCs w:val="24"/>
        </w:rPr>
        <w:t xml:space="preserve">units freed </w:t>
      </w:r>
      <w:r w:rsidR="007057CB">
        <w:rPr>
          <w:rFonts w:ascii="Calibri-Light" w:eastAsia="Calibri-Light" w:hAnsi="Calibri-Light" w:cs="Yu Mincho"/>
          <w:szCs w:val="24"/>
        </w:rPr>
        <w:t xml:space="preserve">up </w:t>
      </w:r>
      <w:r w:rsidRPr="002663BA">
        <w:rPr>
          <w:rFonts w:ascii="Calibri-Light" w:eastAsia="Calibri-Light" w:hAnsi="Calibri-Light" w:cs="Yu Mincho"/>
          <w:szCs w:val="24"/>
        </w:rPr>
        <w:t xml:space="preserve">from the pool of units </w:t>
      </w:r>
      <w:r w:rsidR="0070450A">
        <w:rPr>
          <w:rFonts w:ascii="Calibri-Light" w:eastAsia="Calibri-Light" w:hAnsi="Calibri-Light" w:cs="Yu Mincho"/>
          <w:szCs w:val="24"/>
        </w:rPr>
        <w:t xml:space="preserve">assessed </w:t>
      </w:r>
      <w:r w:rsidRPr="002663BA">
        <w:rPr>
          <w:rFonts w:ascii="Calibri-Light" w:eastAsia="Calibri-Light" w:hAnsi="Calibri-Light" w:cs="Yu Mincho"/>
          <w:szCs w:val="24"/>
        </w:rPr>
        <w:t>as held for harvest</w:t>
      </w:r>
      <w:r w:rsidR="0070450A">
        <w:rPr>
          <w:rFonts w:ascii="Calibri-Light" w:eastAsia="Calibri-Light" w:hAnsi="Calibri-Light" w:cs="Yu Mincho"/>
          <w:szCs w:val="24"/>
        </w:rPr>
        <w:t xml:space="preserve">, </w:t>
      </w:r>
      <w:r w:rsidR="002D2AF3">
        <w:rPr>
          <w:rFonts w:ascii="Calibri-Light" w:eastAsia="Calibri-Light" w:hAnsi="Calibri-Light" w:cs="Yu Mincho"/>
          <w:szCs w:val="24"/>
        </w:rPr>
        <w:t xml:space="preserve">as </w:t>
      </w:r>
      <w:r w:rsidR="003B0B56">
        <w:rPr>
          <w:rFonts w:ascii="Calibri-Light" w:eastAsia="Calibri-Light" w:hAnsi="Calibri-Light" w:cs="Yu Mincho"/>
          <w:szCs w:val="24"/>
        </w:rPr>
        <w:t xml:space="preserve">demand from </w:t>
      </w:r>
      <w:r w:rsidR="00164F1D">
        <w:rPr>
          <w:rFonts w:ascii="Calibri-Light" w:eastAsia="Calibri-Light" w:hAnsi="Calibri-Light" w:cs="Yu Mincho"/>
          <w:szCs w:val="24"/>
        </w:rPr>
        <w:t>forest harvesting has already been met</w:t>
      </w:r>
      <w:r w:rsidRPr="002663BA">
        <w:rPr>
          <w:rFonts w:ascii="Calibri-Light" w:eastAsia="Calibri-Light" w:hAnsi="Calibri-Light" w:cs="Yu Mincho"/>
          <w:szCs w:val="24"/>
        </w:rPr>
        <w:t xml:space="preserve">. </w:t>
      </w:r>
    </w:p>
    <w:p w14:paraId="68DE31AD" w14:textId="30BDA1FB" w:rsidR="001462FC" w:rsidRDefault="009B720C" w:rsidP="007133D0">
      <w:pPr>
        <w:spacing w:line="279" w:lineRule="auto"/>
        <w:rPr>
          <w:rFonts w:ascii="Calibri-Light" w:eastAsia="Calibri-Light" w:hAnsi="Calibri-Light" w:cs="Yu Mincho"/>
          <w:szCs w:val="24"/>
        </w:rPr>
      </w:pPr>
      <w:r>
        <w:rPr>
          <w:rFonts w:ascii="Calibri-Light" w:eastAsia="Calibri-Light" w:hAnsi="Calibri-Light" w:cs="Yu Mincho"/>
          <w:szCs w:val="24"/>
        </w:rPr>
        <w:t xml:space="preserve">We then assess gross emissions demand in the NZ ETS </w:t>
      </w:r>
      <w:r w:rsidR="005823A3">
        <w:rPr>
          <w:rFonts w:ascii="Calibri-Light" w:eastAsia="Calibri-Light" w:hAnsi="Calibri-Light" w:cs="Yu Mincho"/>
          <w:szCs w:val="24"/>
        </w:rPr>
        <w:t>in</w:t>
      </w:r>
      <w:r>
        <w:rPr>
          <w:rFonts w:ascii="Calibri-Light" w:eastAsia="Calibri-Light" w:hAnsi="Calibri-Light" w:cs="Yu Mincho"/>
          <w:szCs w:val="24"/>
        </w:rPr>
        <w:t xml:space="preserve"> 2025, </w:t>
      </w:r>
      <w:r w:rsidR="001F523D">
        <w:rPr>
          <w:rFonts w:ascii="Calibri-Light" w:eastAsia="Calibri-Light" w:hAnsi="Calibri-Light" w:cs="Yu Mincho"/>
          <w:szCs w:val="24"/>
        </w:rPr>
        <w:t xml:space="preserve">compared to the </w:t>
      </w:r>
      <w:r w:rsidR="004274C5">
        <w:rPr>
          <w:rFonts w:ascii="Calibri-Light" w:eastAsia="Calibri-Light" w:hAnsi="Calibri-Light" w:cs="Yu Mincho"/>
          <w:szCs w:val="24"/>
        </w:rPr>
        <w:t xml:space="preserve">unit supply theoretically available </w:t>
      </w:r>
      <w:r w:rsidR="00FE59AD">
        <w:rPr>
          <w:rFonts w:ascii="Calibri-Light" w:eastAsia="Calibri-Light" w:hAnsi="Calibri-Light" w:cs="Yu Mincho"/>
          <w:szCs w:val="24"/>
        </w:rPr>
        <w:t xml:space="preserve">under </w:t>
      </w:r>
      <w:r w:rsidR="004274C5">
        <w:rPr>
          <w:rFonts w:ascii="Calibri-Light" w:eastAsia="Calibri-Light" w:hAnsi="Calibri-Light" w:cs="Yu Mincho"/>
          <w:szCs w:val="24"/>
        </w:rPr>
        <w:t xml:space="preserve">the NZ ETS </w:t>
      </w:r>
      <w:r w:rsidR="005148E9">
        <w:rPr>
          <w:rFonts w:ascii="Calibri-Light" w:eastAsia="Calibri-Light" w:hAnsi="Calibri-Light" w:cs="Yu Mincho"/>
          <w:szCs w:val="24"/>
        </w:rPr>
        <w:t xml:space="preserve">emissions </w:t>
      </w:r>
      <w:r w:rsidR="004274C5">
        <w:rPr>
          <w:rFonts w:ascii="Calibri-Light" w:eastAsia="Calibri-Light" w:hAnsi="Calibri-Light" w:cs="Yu Mincho"/>
          <w:szCs w:val="24"/>
        </w:rPr>
        <w:t>cap</w:t>
      </w:r>
      <w:r>
        <w:rPr>
          <w:rFonts w:ascii="Calibri-Light" w:eastAsia="Calibri-Light" w:hAnsi="Calibri-Light" w:cs="Yu Mincho"/>
          <w:szCs w:val="24"/>
        </w:rPr>
        <w:t>.</w:t>
      </w:r>
      <w:r w:rsidR="004274C5">
        <w:rPr>
          <w:rFonts w:ascii="Calibri-Light" w:eastAsia="Calibri-Light" w:hAnsi="Calibri-Light" w:cs="Yu Mincho"/>
          <w:szCs w:val="24"/>
        </w:rPr>
        <w:t xml:space="preserve"> </w:t>
      </w:r>
      <w:r w:rsidR="00FB5091">
        <w:rPr>
          <w:rFonts w:ascii="Calibri-Light" w:eastAsia="Calibri-Light" w:hAnsi="Calibri-Light" w:cs="Yu Mincho"/>
          <w:szCs w:val="24"/>
        </w:rPr>
        <w:t xml:space="preserve">The difference between forecast gross emissions and NZ ETS cap </w:t>
      </w:r>
      <w:r w:rsidR="00052B50">
        <w:rPr>
          <w:rFonts w:ascii="Calibri-Light" w:eastAsia="Calibri-Light" w:hAnsi="Calibri-Light" w:cs="Yu Mincho"/>
          <w:szCs w:val="24"/>
        </w:rPr>
        <w:t xml:space="preserve">is the demand </w:t>
      </w:r>
      <w:r w:rsidR="004F7853">
        <w:rPr>
          <w:rFonts w:ascii="Calibri-Light" w:eastAsia="Calibri-Light" w:hAnsi="Calibri-Light" w:cs="Yu Mincho"/>
          <w:szCs w:val="24"/>
        </w:rPr>
        <w:t xml:space="preserve">that must be met from </w:t>
      </w:r>
      <w:r w:rsidR="003251A9">
        <w:rPr>
          <w:rFonts w:ascii="Calibri-Light" w:eastAsia="Calibri-Light" w:hAnsi="Calibri-Light" w:cs="Yu Mincho"/>
          <w:szCs w:val="24"/>
        </w:rPr>
        <w:t xml:space="preserve">forestry allocations. </w:t>
      </w:r>
    </w:p>
    <w:p w14:paraId="1747529E" w14:textId="7600483D" w:rsidR="001D119D" w:rsidRDefault="005A4343" w:rsidP="001D119D">
      <w:pPr>
        <w:pStyle w:val="Caption"/>
      </w:pPr>
      <w:r w:rsidRPr="009B6436">
        <w:t>Table</w:t>
      </w:r>
      <w:r w:rsidRPr="00DC3D9A">
        <w:t xml:space="preserve"> </w:t>
      </w:r>
      <w:r w:rsidR="005A2D42" w:rsidRPr="00EB101D">
        <w:fldChar w:fldCharType="begin"/>
      </w:r>
      <w:r w:rsidR="005A2D42">
        <w:instrText xml:space="preserve"> SEQ Table \* ARABIC </w:instrText>
      </w:r>
      <w:r w:rsidR="005A2D42" w:rsidRPr="00EB101D">
        <w:fldChar w:fldCharType="separate"/>
      </w:r>
      <w:r w:rsidR="001D119D">
        <w:rPr>
          <w:noProof/>
        </w:rPr>
        <w:t>13</w:t>
      </w:r>
      <w:r w:rsidR="005A2D42" w:rsidRPr="00EB101D">
        <w:fldChar w:fldCharType="end"/>
      </w:r>
      <w:r w:rsidR="001D119D">
        <w:t xml:space="preserve">: </w:t>
      </w:r>
      <w:r w:rsidR="001D119D" w:rsidRPr="00EA3949">
        <w:rPr>
          <w:b w:val="0"/>
        </w:rPr>
        <w:t>2025 demand to be met by forestry units</w:t>
      </w:r>
    </w:p>
    <w:tbl>
      <w:tblPr>
        <w:tblStyle w:val="TableGrid"/>
        <w:tblW w:w="9067" w:type="dxa"/>
        <w:tblLook w:val="04A0" w:firstRow="1" w:lastRow="0" w:firstColumn="1" w:lastColumn="0" w:noHBand="0" w:noVBand="1"/>
      </w:tblPr>
      <w:tblGrid>
        <w:gridCol w:w="7225"/>
        <w:gridCol w:w="1842"/>
      </w:tblGrid>
      <w:tr w:rsidR="006F11FE" w:rsidRPr="00A2295F" w14:paraId="2A4666EA" w14:textId="77777777" w:rsidTr="00550764">
        <w:tc>
          <w:tcPr>
            <w:tcW w:w="7225" w:type="dxa"/>
            <w:shd w:val="clear" w:color="auto" w:fill="002060"/>
            <w:tcMar>
              <w:top w:w="28" w:type="dxa"/>
              <w:bottom w:w="28" w:type="dxa"/>
            </w:tcMar>
          </w:tcPr>
          <w:p w14:paraId="2E6FB02F" w14:textId="6CE93F50" w:rsidR="006F11FE" w:rsidRPr="00550764" w:rsidRDefault="006F11FE" w:rsidP="00550764">
            <w:pPr>
              <w:spacing w:before="20" w:after="20" w:line="278" w:lineRule="auto"/>
              <w:rPr>
                <w:rFonts w:ascii="Calibri-Light" w:eastAsia="Calibri-Light" w:hAnsi="Calibri-Light" w:cs="Yu Mincho"/>
                <w:b/>
                <w:sz w:val="20"/>
                <w:szCs w:val="20"/>
              </w:rPr>
            </w:pPr>
            <w:r w:rsidRPr="00550764">
              <w:rPr>
                <w:rFonts w:ascii="Calibri-Light" w:eastAsia="Calibri-Light" w:hAnsi="Calibri-Light" w:cs="Yu Mincho"/>
                <w:b/>
                <w:sz w:val="20"/>
                <w:szCs w:val="20"/>
              </w:rPr>
              <w:t>Category</w:t>
            </w:r>
          </w:p>
        </w:tc>
        <w:tc>
          <w:tcPr>
            <w:tcW w:w="1842" w:type="dxa"/>
            <w:shd w:val="clear" w:color="auto" w:fill="002060"/>
            <w:tcMar>
              <w:top w:w="28" w:type="dxa"/>
              <w:bottom w:w="28" w:type="dxa"/>
            </w:tcMar>
          </w:tcPr>
          <w:p w14:paraId="0DC6B7EB" w14:textId="339C3A6F" w:rsidR="006F11FE" w:rsidRPr="00550764" w:rsidRDefault="006F11FE" w:rsidP="00550764">
            <w:pPr>
              <w:spacing w:before="20" w:after="20" w:line="278" w:lineRule="auto"/>
              <w:rPr>
                <w:rFonts w:ascii="Calibri-Light" w:eastAsia="Calibri-Light" w:hAnsi="Calibri-Light" w:cs="Yu Mincho"/>
                <w:b/>
                <w:sz w:val="20"/>
                <w:szCs w:val="20"/>
              </w:rPr>
            </w:pPr>
            <w:r w:rsidRPr="00550764">
              <w:rPr>
                <w:rFonts w:ascii="Calibri-Light" w:eastAsia="Calibri-Light" w:hAnsi="Calibri-Light" w:cs="Yu Mincho"/>
                <w:b/>
                <w:sz w:val="20"/>
                <w:szCs w:val="20"/>
              </w:rPr>
              <w:t>Volume (millions)</w:t>
            </w:r>
          </w:p>
        </w:tc>
      </w:tr>
      <w:tr w:rsidR="006F11FE" w:rsidRPr="00A2295F" w14:paraId="166F7753" w14:textId="77777777" w:rsidTr="00550764">
        <w:tc>
          <w:tcPr>
            <w:tcW w:w="7225" w:type="dxa"/>
            <w:tcMar>
              <w:top w:w="28" w:type="dxa"/>
              <w:bottom w:w="28" w:type="dxa"/>
            </w:tcMar>
          </w:tcPr>
          <w:p w14:paraId="69E6F5B3" w14:textId="333170F4" w:rsidR="006F11FE" w:rsidRPr="00550764" w:rsidRDefault="006F11FE" w:rsidP="00550764">
            <w:pPr>
              <w:spacing w:before="20" w:after="20" w:line="278" w:lineRule="auto"/>
              <w:rPr>
                <w:rFonts w:ascii="Calibri-Light" w:eastAsia="Calibri-Light" w:hAnsi="Calibri-Light" w:cs="Yu Mincho"/>
                <w:sz w:val="20"/>
                <w:szCs w:val="20"/>
              </w:rPr>
            </w:pPr>
            <w:r w:rsidRPr="00550764">
              <w:rPr>
                <w:rFonts w:ascii="Calibri-Light" w:eastAsia="Calibri-Light" w:hAnsi="Calibri-Light" w:cs="Yu Mincho"/>
                <w:sz w:val="20"/>
                <w:szCs w:val="20"/>
              </w:rPr>
              <w:t>2025 gross emissions</w:t>
            </w:r>
          </w:p>
        </w:tc>
        <w:tc>
          <w:tcPr>
            <w:tcW w:w="1842" w:type="dxa"/>
            <w:tcMar>
              <w:top w:w="28" w:type="dxa"/>
              <w:bottom w:w="28" w:type="dxa"/>
            </w:tcMar>
            <w:vAlign w:val="center"/>
          </w:tcPr>
          <w:p w14:paraId="5C6CB3EF" w14:textId="7C4A7EA0" w:rsidR="006F11FE" w:rsidRPr="00550764" w:rsidRDefault="006F11FE" w:rsidP="00550764">
            <w:pPr>
              <w:spacing w:before="20" w:after="20" w:line="278" w:lineRule="auto"/>
              <w:jc w:val="right"/>
              <w:rPr>
                <w:rFonts w:ascii="Calibri-Light" w:eastAsia="Calibri-Light" w:hAnsi="Calibri-Light" w:cs="Yu Mincho"/>
                <w:sz w:val="20"/>
                <w:szCs w:val="20"/>
              </w:rPr>
            </w:pPr>
            <w:r w:rsidRPr="00550764">
              <w:rPr>
                <w:rFonts w:ascii="Calibri-Light" w:eastAsia="Calibri-Light" w:hAnsi="Calibri-Light" w:cs="Yu Mincho"/>
                <w:sz w:val="20"/>
                <w:szCs w:val="20"/>
              </w:rPr>
              <w:t>33.6</w:t>
            </w:r>
          </w:p>
        </w:tc>
      </w:tr>
      <w:tr w:rsidR="006F11FE" w:rsidRPr="00A2295F" w14:paraId="2A85537F" w14:textId="77777777" w:rsidTr="00550764">
        <w:tc>
          <w:tcPr>
            <w:tcW w:w="7225" w:type="dxa"/>
            <w:tcMar>
              <w:top w:w="28" w:type="dxa"/>
              <w:bottom w:w="28" w:type="dxa"/>
            </w:tcMar>
          </w:tcPr>
          <w:p w14:paraId="3561D8A3" w14:textId="33C47A0F" w:rsidR="006F11FE" w:rsidRPr="00550764" w:rsidRDefault="006F11FE" w:rsidP="00550764">
            <w:pPr>
              <w:spacing w:before="20" w:after="20" w:line="278" w:lineRule="auto"/>
              <w:rPr>
                <w:rFonts w:ascii="Calibri-Light" w:eastAsia="Calibri-Light" w:hAnsi="Calibri-Light" w:cs="Yu Mincho"/>
                <w:sz w:val="20"/>
                <w:szCs w:val="20"/>
              </w:rPr>
            </w:pPr>
            <w:r w:rsidRPr="00550764">
              <w:rPr>
                <w:rFonts w:ascii="Calibri-Light" w:eastAsia="Calibri-Light" w:hAnsi="Calibri-Light" w:cs="Yu Mincho"/>
                <w:sz w:val="20"/>
                <w:szCs w:val="20"/>
              </w:rPr>
              <w:t>2025 net emissions – ‘NZ ETS cap’</w:t>
            </w:r>
          </w:p>
        </w:tc>
        <w:tc>
          <w:tcPr>
            <w:tcW w:w="1842" w:type="dxa"/>
            <w:tcMar>
              <w:top w:w="28" w:type="dxa"/>
              <w:bottom w:w="28" w:type="dxa"/>
            </w:tcMar>
            <w:vAlign w:val="center"/>
          </w:tcPr>
          <w:p w14:paraId="05C0A5F5" w14:textId="42489AFE" w:rsidR="006F11FE" w:rsidRPr="00550764" w:rsidRDefault="006F11FE" w:rsidP="00550764">
            <w:pPr>
              <w:spacing w:before="20" w:after="20" w:line="278" w:lineRule="auto"/>
              <w:jc w:val="right"/>
              <w:rPr>
                <w:rFonts w:ascii="Calibri-Light" w:eastAsia="Calibri-Light" w:hAnsi="Calibri-Light" w:cs="Yu Mincho"/>
                <w:sz w:val="20"/>
                <w:szCs w:val="20"/>
              </w:rPr>
            </w:pPr>
            <w:r w:rsidRPr="00550764">
              <w:rPr>
                <w:rFonts w:ascii="Calibri-Light" w:eastAsia="Calibri-Light" w:hAnsi="Calibri-Light" w:cs="Yu Mincho"/>
                <w:sz w:val="20"/>
                <w:szCs w:val="20"/>
              </w:rPr>
              <w:t>26.2</w:t>
            </w:r>
          </w:p>
        </w:tc>
      </w:tr>
      <w:tr w:rsidR="006F11FE" w:rsidRPr="00A2295F" w14:paraId="02F920B4" w14:textId="77777777" w:rsidTr="00550764">
        <w:tc>
          <w:tcPr>
            <w:tcW w:w="7225" w:type="dxa"/>
            <w:tcMar>
              <w:top w:w="28" w:type="dxa"/>
              <w:bottom w:w="28" w:type="dxa"/>
            </w:tcMar>
          </w:tcPr>
          <w:p w14:paraId="64B02DFD" w14:textId="1FF4ADDB" w:rsidR="006F11FE" w:rsidRPr="00550764" w:rsidRDefault="00B5137D" w:rsidP="00550764">
            <w:pPr>
              <w:spacing w:before="20" w:after="20" w:line="278" w:lineRule="auto"/>
              <w:rPr>
                <w:rFonts w:ascii="Calibri-Light" w:eastAsia="Calibri-Light" w:hAnsi="Calibri-Light" w:cs="Yu Mincho"/>
                <w:b/>
                <w:sz w:val="20"/>
                <w:szCs w:val="20"/>
              </w:rPr>
            </w:pPr>
            <w:r w:rsidRPr="00550764">
              <w:rPr>
                <w:rFonts w:ascii="Calibri-Light" w:eastAsia="Calibri-Light" w:hAnsi="Calibri-Light" w:cs="Yu Mincho"/>
                <w:b/>
                <w:sz w:val="20"/>
                <w:szCs w:val="20"/>
              </w:rPr>
              <w:t>2025 demand to be met from f</w:t>
            </w:r>
            <w:r w:rsidR="00A07E01" w:rsidRPr="00550764">
              <w:rPr>
                <w:rFonts w:ascii="Calibri-Light" w:eastAsia="Calibri-Light" w:hAnsi="Calibri-Light" w:cs="Yu Mincho"/>
                <w:b/>
                <w:sz w:val="20"/>
                <w:szCs w:val="20"/>
              </w:rPr>
              <w:t xml:space="preserve">orestry </w:t>
            </w:r>
            <w:r w:rsidR="00A91675" w:rsidRPr="00550764">
              <w:rPr>
                <w:rFonts w:ascii="Calibri-Light" w:eastAsia="Calibri-Light" w:hAnsi="Calibri-Light" w:cs="Yu Mincho"/>
                <w:b/>
                <w:sz w:val="20"/>
                <w:szCs w:val="20"/>
              </w:rPr>
              <w:t xml:space="preserve">unit </w:t>
            </w:r>
            <w:r w:rsidRPr="00550764">
              <w:rPr>
                <w:rFonts w:ascii="Calibri-Light" w:eastAsia="Calibri-Light" w:hAnsi="Calibri-Light" w:cs="Yu Mincho"/>
                <w:b/>
                <w:sz w:val="20"/>
                <w:szCs w:val="20"/>
              </w:rPr>
              <w:t xml:space="preserve">allocations </w:t>
            </w:r>
          </w:p>
        </w:tc>
        <w:tc>
          <w:tcPr>
            <w:tcW w:w="1842" w:type="dxa"/>
            <w:tcMar>
              <w:top w:w="28" w:type="dxa"/>
              <w:bottom w:w="28" w:type="dxa"/>
            </w:tcMar>
            <w:vAlign w:val="center"/>
          </w:tcPr>
          <w:p w14:paraId="55E1376C" w14:textId="2AD740DE" w:rsidR="006F11FE" w:rsidRPr="00550764" w:rsidRDefault="006F11FE" w:rsidP="00550764">
            <w:pPr>
              <w:spacing w:before="20" w:after="20" w:line="278" w:lineRule="auto"/>
              <w:jc w:val="right"/>
              <w:rPr>
                <w:rFonts w:ascii="Calibri-Light" w:eastAsia="Calibri-Light" w:hAnsi="Calibri-Light" w:cs="Yu Mincho"/>
                <w:b/>
                <w:sz w:val="20"/>
                <w:szCs w:val="20"/>
              </w:rPr>
            </w:pPr>
            <w:r w:rsidRPr="00550764">
              <w:rPr>
                <w:rFonts w:ascii="Calibri-Light" w:eastAsia="Calibri-Light" w:hAnsi="Calibri-Light" w:cs="Yu Mincho"/>
                <w:b/>
                <w:sz w:val="20"/>
                <w:szCs w:val="20"/>
              </w:rPr>
              <w:t>7.4</w:t>
            </w:r>
          </w:p>
        </w:tc>
      </w:tr>
    </w:tbl>
    <w:p w14:paraId="23676FD2" w14:textId="1AA3880B" w:rsidR="007133D0" w:rsidRDefault="00A92B98" w:rsidP="00C776A4">
      <w:pPr>
        <w:spacing w:before="240" w:line="278" w:lineRule="auto"/>
        <w:rPr>
          <w:rFonts w:ascii="Calibri-Light" w:eastAsia="Calibri-Light" w:hAnsi="Calibri-Light" w:cs="Yu Mincho"/>
          <w:szCs w:val="24"/>
        </w:rPr>
      </w:pPr>
      <w:r>
        <w:rPr>
          <w:rFonts w:ascii="Calibri-Light" w:eastAsia="Calibri-Light" w:hAnsi="Calibri-Light" w:cs="Yu Mincho"/>
          <w:szCs w:val="24"/>
        </w:rPr>
        <w:t xml:space="preserve">Finally, we </w:t>
      </w:r>
      <w:r w:rsidR="00B77EB4">
        <w:rPr>
          <w:rFonts w:ascii="Calibri-Light" w:eastAsia="Calibri-Light" w:hAnsi="Calibri-Light" w:cs="Yu Mincho"/>
          <w:szCs w:val="24"/>
        </w:rPr>
        <w:t xml:space="preserve">subtract </w:t>
      </w:r>
      <w:r>
        <w:rPr>
          <w:rFonts w:ascii="Calibri-Light" w:eastAsia="Calibri-Light" w:hAnsi="Calibri-Light" w:cs="Yu Mincho"/>
          <w:szCs w:val="24"/>
        </w:rPr>
        <w:t xml:space="preserve">the </w:t>
      </w:r>
      <w:r w:rsidR="005A4343">
        <w:rPr>
          <w:rFonts w:ascii="Calibri-Light" w:eastAsia="Calibri-Light" w:hAnsi="Calibri-Light" w:cs="Yu Mincho"/>
          <w:szCs w:val="24"/>
        </w:rPr>
        <w:t>estimate</w:t>
      </w:r>
      <w:r w:rsidR="003612A3">
        <w:rPr>
          <w:rFonts w:ascii="Calibri-Light" w:eastAsia="Calibri-Light" w:hAnsi="Calibri-Light" w:cs="Yu Mincho"/>
          <w:szCs w:val="24"/>
        </w:rPr>
        <w:t>d</w:t>
      </w:r>
      <w:r w:rsidR="005A4343">
        <w:rPr>
          <w:rFonts w:ascii="Calibri-Light" w:eastAsia="Calibri-Light" w:hAnsi="Calibri-Light" w:cs="Yu Mincho"/>
          <w:szCs w:val="24"/>
        </w:rPr>
        <w:t xml:space="preserve"> </w:t>
      </w:r>
      <w:r w:rsidR="00A814A3">
        <w:rPr>
          <w:rFonts w:ascii="Calibri-Light" w:eastAsia="Calibri-Light" w:hAnsi="Calibri-Light" w:cs="Yu Mincho"/>
          <w:szCs w:val="24"/>
        </w:rPr>
        <w:t xml:space="preserve">2025 demand to be met from </w:t>
      </w:r>
      <w:r w:rsidR="005A4343">
        <w:rPr>
          <w:rFonts w:ascii="Calibri-Light" w:eastAsia="Calibri-Light" w:hAnsi="Calibri-Light" w:cs="Yu Mincho"/>
          <w:szCs w:val="24"/>
        </w:rPr>
        <w:t>forestry</w:t>
      </w:r>
      <w:r w:rsidR="00A814A3">
        <w:rPr>
          <w:rFonts w:ascii="Calibri-Light" w:eastAsia="Calibri-Light" w:hAnsi="Calibri-Light" w:cs="Yu Mincho"/>
          <w:szCs w:val="24"/>
        </w:rPr>
        <w:t xml:space="preserve"> allocations</w:t>
      </w:r>
      <w:r w:rsidR="005A4343">
        <w:rPr>
          <w:rFonts w:ascii="Calibri-Light" w:eastAsia="Calibri-Light" w:hAnsi="Calibri-Light" w:cs="Yu Mincho"/>
          <w:szCs w:val="24"/>
        </w:rPr>
        <w:t xml:space="preserve"> </w:t>
      </w:r>
      <w:r w:rsidR="00552D71">
        <w:rPr>
          <w:rFonts w:ascii="Calibri-Light" w:eastAsia="Calibri-Light" w:hAnsi="Calibri-Light" w:cs="Yu Mincho"/>
          <w:szCs w:val="24"/>
        </w:rPr>
        <w:t xml:space="preserve">(7.4 million units) </w:t>
      </w:r>
      <w:r w:rsidR="005A4343">
        <w:rPr>
          <w:rFonts w:ascii="Calibri-Light" w:eastAsia="Calibri-Light" w:hAnsi="Calibri-Light" w:cs="Yu Mincho"/>
          <w:szCs w:val="24"/>
        </w:rPr>
        <w:t>from the estimate</w:t>
      </w:r>
      <w:r w:rsidR="00B96A67">
        <w:rPr>
          <w:rFonts w:ascii="Calibri-Light" w:eastAsia="Calibri-Light" w:hAnsi="Calibri-Light" w:cs="Yu Mincho"/>
          <w:szCs w:val="24"/>
        </w:rPr>
        <w:t xml:space="preserve">d still-to-come </w:t>
      </w:r>
      <w:r w:rsidR="006735AA">
        <w:rPr>
          <w:rFonts w:ascii="Calibri-Light" w:eastAsia="Calibri-Light" w:hAnsi="Calibri-Light" w:cs="Yu Mincho"/>
          <w:szCs w:val="24"/>
        </w:rPr>
        <w:t xml:space="preserve">MERP4 </w:t>
      </w:r>
      <w:r w:rsidR="00B96A67">
        <w:rPr>
          <w:rFonts w:ascii="Calibri-Light" w:eastAsia="Calibri-Light" w:hAnsi="Calibri-Light" w:cs="Yu Mincho"/>
          <w:szCs w:val="24"/>
        </w:rPr>
        <w:t>low-risk forestry unit allocations</w:t>
      </w:r>
      <w:r w:rsidR="00552D71">
        <w:rPr>
          <w:rFonts w:ascii="Calibri-Light" w:eastAsia="Calibri-Light" w:hAnsi="Calibri-Light" w:cs="Yu Mincho"/>
          <w:szCs w:val="24"/>
        </w:rPr>
        <w:t xml:space="preserve"> (17.4 million for the central estimate)</w:t>
      </w:r>
      <w:r w:rsidR="00B96A67">
        <w:rPr>
          <w:rFonts w:ascii="Calibri-Light" w:eastAsia="Calibri-Light" w:hAnsi="Calibri-Light" w:cs="Yu Mincho"/>
          <w:szCs w:val="24"/>
        </w:rPr>
        <w:t xml:space="preserve">. </w:t>
      </w:r>
      <w:r w:rsidR="00DA049C">
        <w:rPr>
          <w:rFonts w:ascii="Calibri-Light" w:eastAsia="Calibri-Light" w:hAnsi="Calibri-Light" w:cs="Yu Mincho"/>
          <w:szCs w:val="24"/>
        </w:rPr>
        <w:t>The remaining units</w:t>
      </w:r>
      <w:r w:rsidR="00DC3D9A">
        <w:rPr>
          <w:rFonts w:ascii="Calibri-Light" w:eastAsia="Calibri-Light" w:hAnsi="Calibri-Light" w:cs="Yu Mincho"/>
          <w:szCs w:val="24"/>
        </w:rPr>
        <w:t xml:space="preserve"> are set out in </w:t>
      </w:r>
      <w:r w:rsidR="00DC3D9A">
        <w:rPr>
          <w:rFonts w:ascii="Calibri-Light" w:eastAsia="Calibri-Light" w:hAnsi="Calibri-Light" w:cs="Yu Mincho"/>
          <w:szCs w:val="24"/>
        </w:rPr>
        <w:fldChar w:fldCharType="begin"/>
      </w:r>
      <w:r w:rsidR="00DC3D9A">
        <w:rPr>
          <w:rFonts w:ascii="Calibri-Light" w:eastAsia="Calibri-Light" w:hAnsi="Calibri-Light" w:cs="Yu Mincho"/>
          <w:szCs w:val="24"/>
        </w:rPr>
        <w:instrText xml:space="preserve"> REF _Ref195262751 \h </w:instrText>
      </w:r>
      <w:r w:rsidR="00EA3949">
        <w:rPr>
          <w:rFonts w:ascii="Calibri-Light" w:eastAsia="Calibri-Light" w:hAnsi="Calibri-Light" w:cs="Yu Mincho"/>
          <w:szCs w:val="24"/>
        </w:rPr>
        <w:instrText xml:space="preserve"> \* MERGEFORMAT </w:instrText>
      </w:r>
      <w:r w:rsidR="00DC3D9A">
        <w:rPr>
          <w:rFonts w:ascii="Calibri-Light" w:eastAsia="Calibri-Light" w:hAnsi="Calibri-Light" w:cs="Yu Mincho"/>
          <w:szCs w:val="24"/>
        </w:rPr>
      </w:r>
      <w:r w:rsidR="00DC3D9A">
        <w:rPr>
          <w:rFonts w:ascii="Calibri-Light" w:eastAsia="Calibri-Light" w:hAnsi="Calibri-Light" w:cs="Yu Mincho"/>
          <w:szCs w:val="24"/>
        </w:rPr>
        <w:fldChar w:fldCharType="separate"/>
      </w:r>
      <w:r w:rsidR="00EA3949" w:rsidRPr="009B6436">
        <w:rPr>
          <w:b/>
        </w:rPr>
        <w:t>Table</w:t>
      </w:r>
      <w:r w:rsidR="00EA3949" w:rsidRPr="00EA3949">
        <w:rPr>
          <w:b/>
          <w:bCs/>
        </w:rPr>
        <w:t xml:space="preserve"> </w:t>
      </w:r>
      <w:r w:rsidR="00EA3949" w:rsidRPr="00EA3949">
        <w:rPr>
          <w:b/>
          <w:bCs/>
          <w:noProof/>
        </w:rPr>
        <w:t>14</w:t>
      </w:r>
      <w:r w:rsidR="00DC3D9A">
        <w:rPr>
          <w:rFonts w:ascii="Calibri-Light" w:eastAsia="Calibri-Light" w:hAnsi="Calibri-Light" w:cs="Yu Mincho"/>
          <w:szCs w:val="24"/>
        </w:rPr>
        <w:fldChar w:fldCharType="end"/>
      </w:r>
      <w:r w:rsidR="00DC3D9A">
        <w:rPr>
          <w:rFonts w:ascii="Calibri-Light" w:eastAsia="Calibri-Light" w:hAnsi="Calibri-Light" w:cs="Yu Mincho"/>
          <w:szCs w:val="24"/>
        </w:rPr>
        <w:t xml:space="preserve"> and</w:t>
      </w:r>
      <w:r w:rsidR="00DA049C">
        <w:rPr>
          <w:rFonts w:ascii="Calibri-Light" w:eastAsia="Calibri-Light" w:hAnsi="Calibri-Light" w:cs="Yu Mincho"/>
          <w:szCs w:val="24"/>
        </w:rPr>
        <w:t xml:space="preserve"> </w:t>
      </w:r>
      <w:r w:rsidR="00C26F5B">
        <w:rPr>
          <w:rFonts w:ascii="Calibri-Light" w:eastAsia="Calibri-Light" w:hAnsi="Calibri-Light" w:cs="Yu Mincho"/>
          <w:szCs w:val="24"/>
        </w:rPr>
        <w:t>have been added to our estimate of the surplus</w:t>
      </w:r>
      <w:r w:rsidR="0015372E">
        <w:rPr>
          <w:rFonts w:ascii="Calibri-Light" w:eastAsia="Calibri-Light" w:hAnsi="Calibri-Light" w:cs="Yu Mincho"/>
          <w:szCs w:val="24"/>
        </w:rPr>
        <w:t xml:space="preserve">, as </w:t>
      </w:r>
      <w:r w:rsidR="00383018">
        <w:rPr>
          <w:rFonts w:ascii="Calibri-Light" w:eastAsia="Calibri-Light" w:hAnsi="Calibri-Light" w:cs="Yu Mincho"/>
          <w:szCs w:val="24"/>
        </w:rPr>
        <w:t>set</w:t>
      </w:r>
      <w:r w:rsidR="00874747">
        <w:rPr>
          <w:rFonts w:ascii="Calibri-Light" w:eastAsia="Calibri-Light" w:hAnsi="Calibri-Light" w:cs="Yu Mincho"/>
          <w:szCs w:val="24"/>
        </w:rPr>
        <w:t xml:space="preserve"> out in </w:t>
      </w:r>
      <w:r w:rsidR="00DC3D9A" w:rsidRPr="00EA3949">
        <w:rPr>
          <w:rFonts w:ascii="Calibri-Light" w:eastAsia="Calibri-Light" w:hAnsi="Calibri-Light" w:cs="Yu Mincho"/>
          <w:b/>
          <w:bCs/>
          <w:szCs w:val="24"/>
        </w:rPr>
        <w:fldChar w:fldCharType="begin"/>
      </w:r>
      <w:r w:rsidR="00DC3D9A" w:rsidRPr="00EA3949">
        <w:rPr>
          <w:rFonts w:ascii="Calibri-Light" w:eastAsia="Calibri-Light" w:hAnsi="Calibri-Light" w:cs="Yu Mincho"/>
          <w:b/>
          <w:bCs/>
          <w:szCs w:val="24"/>
        </w:rPr>
        <w:instrText xml:space="preserve"> REF _Ref195262706 \h </w:instrText>
      </w:r>
      <w:r w:rsidR="00EA3949">
        <w:rPr>
          <w:rFonts w:ascii="Calibri-Light" w:eastAsia="Calibri-Light" w:hAnsi="Calibri-Light" w:cs="Yu Mincho"/>
          <w:b/>
          <w:bCs/>
          <w:szCs w:val="24"/>
        </w:rPr>
        <w:instrText xml:space="preserve"> \* MERGEFORMAT </w:instrText>
      </w:r>
      <w:r w:rsidR="00DC3D9A" w:rsidRPr="00EA3949">
        <w:rPr>
          <w:rFonts w:ascii="Calibri-Light" w:eastAsia="Calibri-Light" w:hAnsi="Calibri-Light" w:cs="Yu Mincho"/>
          <w:b/>
          <w:bCs/>
          <w:szCs w:val="24"/>
        </w:rPr>
      </w:r>
      <w:r w:rsidR="00DC3D9A" w:rsidRPr="00EA3949">
        <w:rPr>
          <w:rFonts w:ascii="Calibri-Light" w:eastAsia="Calibri-Light" w:hAnsi="Calibri-Light" w:cs="Yu Mincho"/>
          <w:b/>
          <w:bCs/>
          <w:szCs w:val="24"/>
        </w:rPr>
        <w:fldChar w:fldCharType="separate"/>
      </w:r>
      <w:r w:rsidR="00EA3949" w:rsidRPr="00EA3949">
        <w:rPr>
          <w:b/>
          <w:bCs/>
        </w:rPr>
        <w:t xml:space="preserve">Table </w:t>
      </w:r>
      <w:r w:rsidR="00EA3949" w:rsidRPr="00EA3949">
        <w:rPr>
          <w:b/>
          <w:bCs/>
          <w:noProof/>
        </w:rPr>
        <w:t>15</w:t>
      </w:r>
      <w:r w:rsidR="00DC3D9A" w:rsidRPr="00EA3949">
        <w:rPr>
          <w:rFonts w:ascii="Calibri-Light" w:eastAsia="Calibri-Light" w:hAnsi="Calibri-Light" w:cs="Yu Mincho"/>
          <w:b/>
          <w:bCs/>
          <w:szCs w:val="24"/>
        </w:rPr>
        <w:fldChar w:fldCharType="end"/>
      </w:r>
      <w:r w:rsidR="00BF2D21" w:rsidRPr="00EA3949">
        <w:rPr>
          <w:rFonts w:ascii="Calibri-Light" w:eastAsia="Calibri-Light" w:hAnsi="Calibri-Light" w:cs="Yu Mincho"/>
          <w:b/>
          <w:szCs w:val="24"/>
        </w:rPr>
        <w:t>.</w:t>
      </w:r>
      <w:r w:rsidR="00BF2D21">
        <w:rPr>
          <w:rFonts w:ascii="Calibri-Light" w:eastAsia="Calibri-Light" w:hAnsi="Calibri-Light" w:cs="Yu Mincho"/>
          <w:szCs w:val="24"/>
        </w:rPr>
        <w:t xml:space="preserve"> </w:t>
      </w:r>
    </w:p>
    <w:p w14:paraId="3929AF88" w14:textId="1855C7C6" w:rsidR="004567C3" w:rsidRDefault="004567C3" w:rsidP="00250B53">
      <w:pPr>
        <w:pStyle w:val="Caption"/>
      </w:pPr>
      <w:bookmarkStart w:id="62" w:name="_Ref195262751"/>
      <w:r w:rsidRPr="009B6436">
        <w:t>Table</w:t>
      </w:r>
      <w:r w:rsidRPr="009B4973">
        <w:t xml:space="preserve"> </w:t>
      </w:r>
      <w:r w:rsidR="005A2D42" w:rsidRPr="009B4973">
        <w:fldChar w:fldCharType="begin"/>
      </w:r>
      <w:r w:rsidR="005A2D42" w:rsidRPr="009B4973">
        <w:instrText xml:space="preserve"> SEQ Table \* ARABIC </w:instrText>
      </w:r>
      <w:r w:rsidR="005A2D42" w:rsidRPr="009B4973">
        <w:fldChar w:fldCharType="separate"/>
      </w:r>
      <w:r w:rsidR="00EA3949">
        <w:rPr>
          <w:noProof/>
        </w:rPr>
        <w:t>14</w:t>
      </w:r>
      <w:r w:rsidR="005A2D42" w:rsidRPr="009B4973">
        <w:fldChar w:fldCharType="end"/>
      </w:r>
      <w:bookmarkEnd w:id="62"/>
      <w:r w:rsidR="00EA3949">
        <w:t>:</w:t>
      </w:r>
      <w:r>
        <w:t xml:space="preserve"> </w:t>
      </w:r>
      <w:r w:rsidRPr="00EA3949">
        <w:rPr>
          <w:b w:val="0"/>
        </w:rPr>
        <w:t xml:space="preserve">Estimated range of MERP4 </w:t>
      </w:r>
      <w:r w:rsidR="005C6842" w:rsidRPr="00EA3949">
        <w:rPr>
          <w:b w:val="0"/>
        </w:rPr>
        <w:t>surplus units yet to be allocated</w:t>
      </w:r>
    </w:p>
    <w:tbl>
      <w:tblPr>
        <w:tblStyle w:val="TableGrid"/>
        <w:tblW w:w="0" w:type="auto"/>
        <w:tblLook w:val="04A0" w:firstRow="1" w:lastRow="0" w:firstColumn="1" w:lastColumn="0" w:noHBand="0" w:noVBand="1"/>
      </w:tblPr>
      <w:tblGrid>
        <w:gridCol w:w="5500"/>
        <w:gridCol w:w="1172"/>
        <w:gridCol w:w="1172"/>
        <w:gridCol w:w="1172"/>
      </w:tblGrid>
      <w:tr w:rsidR="00DE2CD5" w:rsidRPr="00A2295F" w14:paraId="6234A4BB" w14:textId="77777777" w:rsidTr="009B6436">
        <w:tc>
          <w:tcPr>
            <w:tcW w:w="5500" w:type="dxa"/>
            <w:shd w:val="clear" w:color="auto" w:fill="002060"/>
          </w:tcPr>
          <w:p w14:paraId="57007279" w14:textId="77777777" w:rsidR="00DE2CD5" w:rsidRPr="00A2295F" w:rsidRDefault="00DE2CD5" w:rsidP="00545DDB">
            <w:pPr>
              <w:spacing w:line="279" w:lineRule="auto"/>
              <w:rPr>
                <w:rFonts w:ascii="Calibri-Light" w:eastAsia="Calibri-Light" w:hAnsi="Calibri-Light" w:cs="Yu Mincho"/>
                <w:b/>
                <w:sz w:val="22"/>
              </w:rPr>
            </w:pPr>
          </w:p>
        </w:tc>
        <w:tc>
          <w:tcPr>
            <w:tcW w:w="1172" w:type="dxa"/>
            <w:shd w:val="clear" w:color="auto" w:fill="002060"/>
            <w:vAlign w:val="center"/>
          </w:tcPr>
          <w:p w14:paraId="4734645F" w14:textId="160A5468" w:rsidR="00DE2CD5" w:rsidRPr="00A2295F" w:rsidRDefault="00300868" w:rsidP="00545DDB">
            <w:pPr>
              <w:spacing w:line="279" w:lineRule="auto"/>
              <w:rPr>
                <w:rFonts w:ascii="Calibri-Light" w:eastAsia="Calibri-Light" w:hAnsi="Calibri-Light" w:cs="Yu Mincho"/>
                <w:b/>
                <w:sz w:val="22"/>
              </w:rPr>
            </w:pPr>
            <w:r>
              <w:rPr>
                <w:rFonts w:ascii="Calibri-Light" w:hAnsi="Calibri-Light" w:cs="Calibri-Light"/>
                <w:b/>
                <w:color w:val="FFFFFF"/>
                <w:sz w:val="22"/>
              </w:rPr>
              <w:t>Low</w:t>
            </w:r>
          </w:p>
        </w:tc>
        <w:tc>
          <w:tcPr>
            <w:tcW w:w="1172" w:type="dxa"/>
            <w:shd w:val="clear" w:color="auto" w:fill="002060"/>
            <w:vAlign w:val="center"/>
          </w:tcPr>
          <w:p w14:paraId="3FFB773D" w14:textId="44586BDC" w:rsidR="00DE2CD5" w:rsidRPr="00A2295F" w:rsidRDefault="00300868" w:rsidP="00545DDB">
            <w:pPr>
              <w:spacing w:line="279" w:lineRule="auto"/>
              <w:rPr>
                <w:rFonts w:ascii="Calibri-Light" w:eastAsia="Calibri-Light" w:hAnsi="Calibri-Light" w:cs="Yu Mincho"/>
                <w:b/>
                <w:sz w:val="22"/>
              </w:rPr>
            </w:pPr>
            <w:r>
              <w:rPr>
                <w:rFonts w:ascii="Calibri-Light" w:hAnsi="Calibri-Light" w:cs="Calibri-Light"/>
                <w:b/>
                <w:color w:val="FFFFFF"/>
                <w:sz w:val="22"/>
              </w:rPr>
              <w:t>Central</w:t>
            </w:r>
          </w:p>
        </w:tc>
        <w:tc>
          <w:tcPr>
            <w:tcW w:w="1172" w:type="dxa"/>
            <w:shd w:val="clear" w:color="auto" w:fill="002060"/>
            <w:vAlign w:val="center"/>
          </w:tcPr>
          <w:p w14:paraId="2D1A3A20" w14:textId="0DC71470" w:rsidR="00DE2CD5" w:rsidRPr="00A2295F" w:rsidRDefault="00DE2CD5" w:rsidP="00545DDB">
            <w:pPr>
              <w:spacing w:line="279" w:lineRule="auto"/>
              <w:rPr>
                <w:rFonts w:ascii="Calibri-Light" w:eastAsia="Calibri-Light" w:hAnsi="Calibri-Light" w:cs="Yu Mincho"/>
                <w:b/>
                <w:sz w:val="22"/>
              </w:rPr>
            </w:pPr>
            <w:r>
              <w:rPr>
                <w:rFonts w:ascii="Calibri-Light" w:hAnsi="Calibri-Light" w:cs="Calibri-Light"/>
                <w:b/>
                <w:color w:val="FFFFFF"/>
                <w:sz w:val="22"/>
              </w:rPr>
              <w:t>High</w:t>
            </w:r>
          </w:p>
        </w:tc>
      </w:tr>
      <w:tr w:rsidR="00DE2CD5" w:rsidRPr="00A2295F" w14:paraId="34E9DB91" w14:textId="77777777" w:rsidTr="009B6436">
        <w:tc>
          <w:tcPr>
            <w:tcW w:w="5500" w:type="dxa"/>
          </w:tcPr>
          <w:p w14:paraId="18A0823D" w14:textId="24E9906C" w:rsidR="00DE2CD5" w:rsidRPr="00A2295F" w:rsidRDefault="00B3755D" w:rsidP="00545DDB">
            <w:pPr>
              <w:spacing w:line="279" w:lineRule="auto"/>
              <w:rPr>
                <w:rFonts w:ascii="Calibri-Light" w:eastAsia="Calibri-Light" w:hAnsi="Calibri-Light" w:cs="Yu Mincho"/>
                <w:sz w:val="22"/>
              </w:rPr>
            </w:pPr>
            <w:r w:rsidRPr="00A2295F">
              <w:rPr>
                <w:rFonts w:ascii="Calibri-Light" w:eastAsia="Calibri-Light" w:hAnsi="Calibri-Light" w:cs="Yu Mincho"/>
                <w:sz w:val="22"/>
              </w:rPr>
              <w:t xml:space="preserve">Additional MERP4 units above </w:t>
            </w:r>
            <w:r w:rsidR="00383018">
              <w:rPr>
                <w:rFonts w:ascii="Calibri-Light" w:eastAsia="Calibri-Light" w:hAnsi="Calibri-Light" w:cs="Yu Mincho"/>
                <w:sz w:val="22"/>
              </w:rPr>
              <w:t xml:space="preserve">2025 </w:t>
            </w:r>
            <w:r w:rsidRPr="00A2295F">
              <w:rPr>
                <w:rFonts w:ascii="Calibri-Light" w:eastAsia="Calibri-Light" w:hAnsi="Calibri-Light" w:cs="Yu Mincho"/>
                <w:sz w:val="22"/>
              </w:rPr>
              <w:t>demand</w:t>
            </w:r>
            <w:r w:rsidR="004567C3" w:rsidRPr="00A2295F">
              <w:rPr>
                <w:rFonts w:ascii="Calibri-Light" w:eastAsia="Calibri-Light" w:hAnsi="Calibri-Light" w:cs="Yu Mincho"/>
                <w:sz w:val="22"/>
              </w:rPr>
              <w:t xml:space="preserve"> (millions)</w:t>
            </w:r>
          </w:p>
        </w:tc>
        <w:tc>
          <w:tcPr>
            <w:tcW w:w="1172" w:type="dxa"/>
            <w:vAlign w:val="center"/>
          </w:tcPr>
          <w:p w14:paraId="60B10BA4" w14:textId="0BEAC0F1" w:rsidR="00DE2CD5" w:rsidRPr="00A2295F" w:rsidRDefault="00300868" w:rsidP="009B6436">
            <w:pPr>
              <w:spacing w:line="279" w:lineRule="auto"/>
              <w:jc w:val="right"/>
              <w:rPr>
                <w:rFonts w:ascii="Calibri-Light" w:eastAsia="Calibri-Light" w:hAnsi="Calibri-Light" w:cs="Yu Mincho"/>
                <w:sz w:val="22"/>
              </w:rPr>
            </w:pPr>
            <w:r>
              <w:rPr>
                <w:rFonts w:ascii="Calibri-Light" w:hAnsi="Calibri-Light" w:cs="Calibri-Light"/>
                <w:color w:val="000000"/>
                <w:sz w:val="22"/>
              </w:rPr>
              <w:t xml:space="preserve">6.3 </w:t>
            </w:r>
          </w:p>
        </w:tc>
        <w:tc>
          <w:tcPr>
            <w:tcW w:w="1172" w:type="dxa"/>
            <w:vAlign w:val="center"/>
          </w:tcPr>
          <w:p w14:paraId="0318763D" w14:textId="27B51623" w:rsidR="00DE2CD5" w:rsidRPr="00A2295F" w:rsidRDefault="00300868" w:rsidP="009B6436">
            <w:pPr>
              <w:spacing w:line="279" w:lineRule="auto"/>
              <w:jc w:val="right"/>
              <w:rPr>
                <w:rFonts w:ascii="Calibri-Light" w:eastAsia="Calibri-Light" w:hAnsi="Calibri-Light" w:cs="Yu Mincho"/>
                <w:sz w:val="22"/>
              </w:rPr>
            </w:pPr>
            <w:r>
              <w:rPr>
                <w:rFonts w:ascii="Calibri-Light" w:hAnsi="Calibri-Light" w:cs="Calibri-Light"/>
                <w:color w:val="000000"/>
                <w:sz w:val="22"/>
              </w:rPr>
              <w:t xml:space="preserve">10.0 </w:t>
            </w:r>
          </w:p>
        </w:tc>
        <w:tc>
          <w:tcPr>
            <w:tcW w:w="1172" w:type="dxa"/>
            <w:vAlign w:val="center"/>
          </w:tcPr>
          <w:p w14:paraId="5C7CA59A" w14:textId="65B199C9" w:rsidR="00DE2CD5" w:rsidRPr="00A2295F" w:rsidRDefault="00B3755D" w:rsidP="009B6436">
            <w:pPr>
              <w:spacing w:line="279" w:lineRule="auto"/>
              <w:jc w:val="right"/>
              <w:rPr>
                <w:rFonts w:ascii="Calibri-Light" w:eastAsia="Calibri-Light" w:hAnsi="Calibri-Light" w:cs="Yu Mincho"/>
                <w:sz w:val="22"/>
              </w:rPr>
            </w:pPr>
            <w:r>
              <w:rPr>
                <w:rFonts w:ascii="Calibri-Light" w:hAnsi="Calibri-Light" w:cs="Calibri-Light"/>
                <w:color w:val="000000"/>
                <w:sz w:val="22"/>
              </w:rPr>
              <w:t>11.8</w:t>
            </w:r>
            <w:r w:rsidR="00300868">
              <w:rPr>
                <w:rFonts w:ascii="Calibri-Light" w:hAnsi="Calibri-Light" w:cs="Calibri-Light"/>
                <w:color w:val="000000"/>
                <w:sz w:val="22"/>
              </w:rPr>
              <w:t xml:space="preserve"> </w:t>
            </w:r>
          </w:p>
        </w:tc>
      </w:tr>
    </w:tbl>
    <w:p w14:paraId="55CE9D38" w14:textId="3235A51B" w:rsidR="004B0C94" w:rsidRDefault="004B0C94" w:rsidP="004B27C0">
      <w:pPr>
        <w:spacing w:line="279" w:lineRule="auto"/>
        <w:jc w:val="center"/>
        <w:rPr>
          <w:rFonts w:ascii="Calibri-Light" w:eastAsia="Calibri-Light" w:hAnsi="Calibri-Light" w:cs="Yu Mincho"/>
          <w:szCs w:val="24"/>
        </w:rPr>
      </w:pPr>
    </w:p>
    <w:p w14:paraId="65E36599" w14:textId="2D8346FA" w:rsidR="004B0C94" w:rsidRDefault="003676C7" w:rsidP="009B6436">
      <w:pPr>
        <w:pStyle w:val="Caption"/>
      </w:pPr>
      <w:r>
        <w:t xml:space="preserve">Figure </w:t>
      </w:r>
      <w:r>
        <w:fldChar w:fldCharType="begin"/>
      </w:r>
      <w:r>
        <w:instrText xml:space="preserve"> SEQ Figure \* ARABIC </w:instrText>
      </w:r>
      <w:r>
        <w:fldChar w:fldCharType="separate"/>
      </w:r>
      <w:r w:rsidR="00EA3949">
        <w:rPr>
          <w:noProof/>
        </w:rPr>
        <w:t>10</w:t>
      </w:r>
      <w:r>
        <w:fldChar w:fldCharType="end"/>
      </w:r>
      <w:r w:rsidR="00EA3949">
        <w:t>:</w:t>
      </w:r>
      <w:r w:rsidR="00F05F77">
        <w:t xml:space="preserve"> </w:t>
      </w:r>
      <w:r w:rsidR="00AD204A" w:rsidRPr="00EA3949">
        <w:rPr>
          <w:b w:val="0"/>
        </w:rPr>
        <w:t>Step through of calculation</w:t>
      </w:r>
      <w:r w:rsidR="00D14307" w:rsidRPr="00EA3949">
        <w:rPr>
          <w:b w:val="0"/>
        </w:rPr>
        <w:t xml:space="preserve"> of </w:t>
      </w:r>
      <w:r w:rsidR="00EF1377" w:rsidRPr="00EA3949">
        <w:rPr>
          <w:b w:val="0"/>
        </w:rPr>
        <w:t xml:space="preserve">surplus units from </w:t>
      </w:r>
      <w:r w:rsidR="0081557F" w:rsidRPr="00EA3949">
        <w:rPr>
          <w:b w:val="0"/>
        </w:rPr>
        <w:t xml:space="preserve">MERP4 </w:t>
      </w:r>
      <w:r w:rsidR="00EF1377" w:rsidRPr="00EA3949">
        <w:rPr>
          <w:b w:val="0"/>
        </w:rPr>
        <w:t>post-1989 forestry unit allocations</w:t>
      </w:r>
      <w:r w:rsidR="00EF1377" w:rsidRPr="00EF1377">
        <w:t xml:space="preserve"> </w:t>
      </w:r>
    </w:p>
    <w:p w14:paraId="6FC17795" w14:textId="0185553E" w:rsidR="00477C8B" w:rsidRDefault="00506385" w:rsidP="000E64B1">
      <w:pPr>
        <w:spacing w:line="279" w:lineRule="auto"/>
        <w:jc w:val="center"/>
        <w:rPr>
          <w:rFonts w:ascii="Calibri-Light" w:eastAsia="Calibri-Light" w:hAnsi="Calibri-Light" w:cs="Yu Mincho"/>
          <w:szCs w:val="24"/>
        </w:rPr>
      </w:pPr>
      <w:r>
        <w:rPr>
          <w:noProof/>
        </w:rPr>
        <w:drawing>
          <wp:inline distT="0" distB="0" distL="0" distR="0" wp14:anchorId="240E8E9C" wp14:editId="2C059BB3">
            <wp:extent cx="5730847" cy="3829661"/>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t="5000" b="2519"/>
                    <a:stretch/>
                  </pic:blipFill>
                  <pic:spPr bwMode="auto">
                    <a:xfrm>
                      <a:off x="0" y="0"/>
                      <a:ext cx="5731510" cy="3830104"/>
                    </a:xfrm>
                    <a:prstGeom prst="rect">
                      <a:avLst/>
                    </a:prstGeom>
                    <a:noFill/>
                    <a:ln>
                      <a:noFill/>
                    </a:ln>
                    <a:extLst>
                      <a:ext uri="{53640926-AAD7-44D8-BBD7-CCE9431645EC}">
                        <a14:shadowObscured xmlns:a14="http://schemas.microsoft.com/office/drawing/2010/main"/>
                      </a:ext>
                    </a:extLst>
                  </pic:spPr>
                </pic:pic>
              </a:graphicData>
            </a:graphic>
          </wp:inline>
        </w:drawing>
      </w:r>
    </w:p>
    <w:p w14:paraId="6EBBB611" w14:textId="04685951" w:rsidR="001D295E" w:rsidRDefault="001D295E" w:rsidP="006821AD">
      <w:pPr>
        <w:rPr>
          <w:rFonts w:ascii="Calibri-Light" w:eastAsia="Calibri-Light" w:hAnsi="Calibri-Light" w:cs="Yu Mincho"/>
          <w:szCs w:val="24"/>
        </w:rPr>
      </w:pPr>
      <w:r w:rsidRPr="00225DB4">
        <w:rPr>
          <w:sz w:val="20"/>
          <w:szCs w:val="20"/>
        </w:rPr>
        <w:t>Source: Commission analysis</w:t>
      </w:r>
      <w:r w:rsidR="00FB009B">
        <w:rPr>
          <w:sz w:val="20"/>
          <w:szCs w:val="20"/>
        </w:rPr>
        <w:t xml:space="preserve">. </w:t>
      </w:r>
      <w:r w:rsidR="00624AFF">
        <w:rPr>
          <w:sz w:val="20"/>
          <w:szCs w:val="20"/>
        </w:rPr>
        <w:t>Allocation data supplied by the Ministry of Primary Industries.</w:t>
      </w:r>
    </w:p>
    <w:p w14:paraId="18B5BF11" w14:textId="7E1D01CC" w:rsidR="00BF2D21" w:rsidRDefault="00853AE0" w:rsidP="0095359A">
      <w:pPr>
        <w:pStyle w:val="Heading3"/>
        <w:spacing w:before="120" w:after="120"/>
      </w:pPr>
      <w:bookmarkStart w:id="63" w:name="_Toc195533430"/>
      <w:r>
        <w:t>B</w:t>
      </w:r>
      <w:r w:rsidR="00AD4D76">
        <w:t>ase surplus estimate</w:t>
      </w:r>
      <w:bookmarkEnd w:id="63"/>
    </w:p>
    <w:p w14:paraId="3FFC7B13" w14:textId="722BEC11" w:rsidR="003F3B40" w:rsidRDefault="00AD2875" w:rsidP="00AD4D76">
      <w:r>
        <w:t xml:space="preserve">The calculation of our </w:t>
      </w:r>
      <w:r w:rsidR="00AD4D76">
        <w:t xml:space="preserve">surplus units </w:t>
      </w:r>
      <w:r w:rsidR="0054086E">
        <w:t xml:space="preserve">estimate, </w:t>
      </w:r>
      <w:r w:rsidR="00901936">
        <w:t xml:space="preserve">based on all the previous </w:t>
      </w:r>
      <w:r w:rsidR="00984BAD">
        <w:t>estimates made as part of step 5</w:t>
      </w:r>
      <w:r w:rsidR="0054086E">
        <w:t>,</w:t>
      </w:r>
      <w:r w:rsidR="00984BAD">
        <w:t xml:space="preserve"> </w:t>
      </w:r>
      <w:r>
        <w:t xml:space="preserve">is </w:t>
      </w:r>
      <w:r w:rsidR="00AD4D76">
        <w:t xml:space="preserve">set out in </w:t>
      </w:r>
      <w:r w:rsidR="00EA3949">
        <w:fldChar w:fldCharType="begin"/>
      </w:r>
      <w:r w:rsidR="00EA3949">
        <w:instrText xml:space="preserve"> REF _Ref195262706 \h  \* MERGEFORMAT </w:instrText>
      </w:r>
      <w:r w:rsidR="00EA3949">
        <w:fldChar w:fldCharType="separate"/>
      </w:r>
      <w:r w:rsidR="00EA3949" w:rsidRPr="009B6436">
        <w:rPr>
          <w:b/>
        </w:rPr>
        <w:t>Table</w:t>
      </w:r>
      <w:r w:rsidR="00EA3949" w:rsidRPr="00EA3949">
        <w:rPr>
          <w:b/>
          <w:bCs/>
        </w:rPr>
        <w:t xml:space="preserve"> </w:t>
      </w:r>
      <w:r w:rsidR="00EA3949" w:rsidRPr="00EA3949">
        <w:rPr>
          <w:b/>
          <w:bCs/>
          <w:noProof/>
        </w:rPr>
        <w:t>15</w:t>
      </w:r>
      <w:r w:rsidR="00EA3949">
        <w:fldChar w:fldCharType="end"/>
      </w:r>
      <w:r>
        <w:rPr>
          <w:b/>
        </w:rPr>
        <w:t xml:space="preserve">. </w:t>
      </w:r>
      <w:r w:rsidR="00CF4606">
        <w:t xml:space="preserve">For each category </w:t>
      </w:r>
      <w:r w:rsidR="00683E89">
        <w:t xml:space="preserve">of units estimated, </w:t>
      </w:r>
      <w:r w:rsidR="00CF4606">
        <w:t xml:space="preserve">we have presented a range of low, </w:t>
      </w:r>
      <w:r w:rsidR="000F51B3">
        <w:t>central,</w:t>
      </w:r>
      <w:r w:rsidR="00CF4606">
        <w:t xml:space="preserve"> and high values</w:t>
      </w:r>
      <w:r w:rsidR="00F25DA7">
        <w:t>, except for holding volumes</w:t>
      </w:r>
      <w:r w:rsidR="00527466">
        <w:t xml:space="preserve"> which use the same estimate across the </w:t>
      </w:r>
      <w:r w:rsidR="001C32B0">
        <w:t>range</w:t>
      </w:r>
      <w:r w:rsidR="00527466">
        <w:t xml:space="preserve">. </w:t>
      </w:r>
      <w:r w:rsidR="008A2FE6">
        <w:t xml:space="preserve">We use </w:t>
      </w:r>
      <w:r w:rsidR="00904920">
        <w:t xml:space="preserve">the </w:t>
      </w:r>
      <w:r w:rsidR="00904920" w:rsidRPr="009B6436">
        <w:t>c</w:t>
      </w:r>
      <w:r w:rsidR="008A2FE6" w:rsidRPr="009B6436">
        <w:t xml:space="preserve">entral </w:t>
      </w:r>
      <w:r w:rsidR="00904920" w:rsidRPr="009B6436">
        <w:t>e</w:t>
      </w:r>
      <w:r w:rsidR="008A2FE6" w:rsidRPr="009B6436">
        <w:t>stimate</w:t>
      </w:r>
      <w:r w:rsidR="008A2FE6">
        <w:t xml:space="preserve"> </w:t>
      </w:r>
      <w:r w:rsidR="00904920">
        <w:t xml:space="preserve">as the basis for the </w:t>
      </w:r>
      <w:r w:rsidR="008A2FE6">
        <w:t>surplus reduction volumes</w:t>
      </w:r>
      <w:r w:rsidR="00904920">
        <w:t xml:space="preserve"> used </w:t>
      </w:r>
      <w:r w:rsidR="0063461F">
        <w:t xml:space="preserve">to </w:t>
      </w:r>
      <w:r w:rsidR="00904920">
        <w:t>calculat</w:t>
      </w:r>
      <w:r w:rsidR="0063461F">
        <w:t xml:space="preserve">e </w:t>
      </w:r>
      <w:r w:rsidR="00904920">
        <w:t>available auction volume</w:t>
      </w:r>
      <w:r w:rsidR="0063461F">
        <w:t>s</w:t>
      </w:r>
      <w:r w:rsidR="008A2FE6">
        <w:t xml:space="preserve">. </w:t>
      </w:r>
    </w:p>
    <w:p w14:paraId="399B7BE2" w14:textId="513BBED2" w:rsidR="00560AF1" w:rsidRPr="00EA3949" w:rsidRDefault="00560AF1" w:rsidP="00560AF1">
      <w:pPr>
        <w:pStyle w:val="Caption"/>
      </w:pPr>
      <w:bookmarkStart w:id="64" w:name="_Ref195262706"/>
      <w:r w:rsidRPr="009B6436">
        <w:t>Table</w:t>
      </w:r>
      <w:r>
        <w:t xml:space="preserve"> </w:t>
      </w:r>
      <w:r>
        <w:fldChar w:fldCharType="begin"/>
      </w:r>
      <w:r>
        <w:instrText xml:space="preserve"> SEQ Table \* ARABIC </w:instrText>
      </w:r>
      <w:r>
        <w:fldChar w:fldCharType="separate"/>
      </w:r>
      <w:r w:rsidR="00EA3949">
        <w:rPr>
          <w:noProof/>
        </w:rPr>
        <w:t>15</w:t>
      </w:r>
      <w:r>
        <w:fldChar w:fldCharType="end"/>
      </w:r>
      <w:bookmarkEnd w:id="64"/>
      <w:r w:rsidR="00EA3949">
        <w:t>:</w:t>
      </w:r>
      <w:r>
        <w:t xml:space="preserve"> </w:t>
      </w:r>
      <w:r w:rsidRPr="00EA3949">
        <w:rPr>
          <w:b w:val="0"/>
        </w:rPr>
        <w:t>Calculation of central surplus estimate, with high-low estimate range (million units)</w:t>
      </w:r>
    </w:p>
    <w:tbl>
      <w:tblPr>
        <w:tblStyle w:val="TableGrid"/>
        <w:tblW w:w="0" w:type="auto"/>
        <w:tblLayout w:type="fixed"/>
        <w:tblLook w:val="04A0" w:firstRow="1" w:lastRow="0" w:firstColumn="1" w:lastColumn="0" w:noHBand="0" w:noVBand="1"/>
      </w:tblPr>
      <w:tblGrid>
        <w:gridCol w:w="4957"/>
        <w:gridCol w:w="1353"/>
        <w:gridCol w:w="1353"/>
        <w:gridCol w:w="1353"/>
      </w:tblGrid>
      <w:tr w:rsidR="00560AF1" w:rsidRPr="00A2295F" w14:paraId="41A7B624" w14:textId="77777777" w:rsidTr="0095359A">
        <w:trPr>
          <w:trHeight w:val="300"/>
        </w:trPr>
        <w:tc>
          <w:tcPr>
            <w:tcW w:w="4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tcMar>
              <w:top w:w="0" w:type="dxa"/>
              <w:bottom w:w="0" w:type="dxa"/>
            </w:tcMar>
            <w:hideMark/>
          </w:tcPr>
          <w:p w14:paraId="35F948EB" w14:textId="5CEEB98D" w:rsidR="00560AF1" w:rsidRPr="0095359A" w:rsidRDefault="00560AF1" w:rsidP="009B6436">
            <w:pPr>
              <w:pStyle w:val="Tableheading"/>
              <w:rPr>
                <w:sz w:val="20"/>
                <w:szCs w:val="20"/>
              </w:rPr>
            </w:pPr>
            <w:r w:rsidRPr="0095359A">
              <w:rPr>
                <w:sz w:val="20"/>
                <w:szCs w:val="20"/>
              </w:rPr>
              <w:t>Total privately held units (31 December 2024)</w:t>
            </w:r>
          </w:p>
        </w:tc>
        <w:tc>
          <w:tcPr>
            <w:tcW w:w="40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tcMar>
              <w:top w:w="0" w:type="dxa"/>
              <w:bottom w:w="0" w:type="dxa"/>
            </w:tcMar>
            <w:hideMark/>
          </w:tcPr>
          <w:p w14:paraId="376F3DEE" w14:textId="77777777" w:rsidR="00560AF1" w:rsidRPr="0095359A" w:rsidRDefault="00560AF1" w:rsidP="009B6436">
            <w:pPr>
              <w:pStyle w:val="Tableheading"/>
              <w:rPr>
                <w:sz w:val="20"/>
                <w:szCs w:val="20"/>
              </w:rPr>
            </w:pPr>
            <w:r w:rsidRPr="0095359A">
              <w:rPr>
                <w:sz w:val="20"/>
                <w:szCs w:val="20"/>
              </w:rPr>
              <w:t>150.4</w:t>
            </w:r>
          </w:p>
        </w:tc>
      </w:tr>
      <w:tr w:rsidR="00512574" w:rsidRPr="00A2295F" w14:paraId="7F54C83F" w14:textId="77777777" w:rsidTr="0095359A">
        <w:trPr>
          <w:trHeight w:val="300"/>
        </w:trPr>
        <w:tc>
          <w:tcPr>
            <w:tcW w:w="49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tcMar>
              <w:top w:w="0" w:type="dxa"/>
              <w:bottom w:w="0" w:type="dxa"/>
            </w:tcMar>
            <w:hideMark/>
          </w:tcPr>
          <w:p w14:paraId="5A036562" w14:textId="77777777" w:rsidR="00560AF1" w:rsidRPr="0095359A" w:rsidRDefault="00560AF1" w:rsidP="009B6436">
            <w:pPr>
              <w:pStyle w:val="Tableheading"/>
              <w:rPr>
                <w:sz w:val="20"/>
                <w:szCs w:val="20"/>
              </w:rPr>
            </w:pPr>
            <w:r w:rsidRPr="0095359A">
              <w:rPr>
                <w:sz w:val="20"/>
                <w:szCs w:val="20"/>
              </w:rPr>
              <w:t>Breakdown of surplus estimate</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tcMar>
              <w:top w:w="0" w:type="dxa"/>
              <w:bottom w:w="0" w:type="dxa"/>
            </w:tcMar>
            <w:hideMark/>
          </w:tcPr>
          <w:p w14:paraId="4F55466E" w14:textId="77777777" w:rsidR="00560AF1" w:rsidRPr="0095359A" w:rsidRDefault="00560AF1" w:rsidP="009B6436">
            <w:pPr>
              <w:pStyle w:val="Tableheading"/>
              <w:rPr>
                <w:sz w:val="20"/>
                <w:szCs w:val="20"/>
              </w:rPr>
            </w:pPr>
            <w:r w:rsidRPr="0095359A">
              <w:rPr>
                <w:sz w:val="20"/>
                <w:szCs w:val="20"/>
              </w:rPr>
              <w:t xml:space="preserve">Low </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tcMar>
              <w:top w:w="0" w:type="dxa"/>
              <w:bottom w:w="0" w:type="dxa"/>
            </w:tcMar>
            <w:hideMark/>
          </w:tcPr>
          <w:p w14:paraId="157BBE09" w14:textId="77777777" w:rsidR="00560AF1" w:rsidRPr="0095359A" w:rsidRDefault="00560AF1" w:rsidP="009B6436">
            <w:pPr>
              <w:pStyle w:val="Tableheading"/>
              <w:rPr>
                <w:sz w:val="20"/>
                <w:szCs w:val="20"/>
              </w:rPr>
            </w:pPr>
            <w:r w:rsidRPr="0095359A">
              <w:rPr>
                <w:sz w:val="20"/>
                <w:szCs w:val="20"/>
              </w:rPr>
              <w:t xml:space="preserve">Central </w:t>
            </w:r>
          </w:p>
        </w:tc>
        <w:tc>
          <w:tcPr>
            <w:tcW w:w="13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noWrap/>
            <w:tcMar>
              <w:top w:w="0" w:type="dxa"/>
              <w:bottom w:w="0" w:type="dxa"/>
            </w:tcMar>
            <w:hideMark/>
          </w:tcPr>
          <w:p w14:paraId="47360B1A" w14:textId="77777777" w:rsidR="00560AF1" w:rsidRPr="0095359A" w:rsidRDefault="00560AF1" w:rsidP="009B6436">
            <w:pPr>
              <w:pStyle w:val="Tableheading"/>
              <w:rPr>
                <w:sz w:val="20"/>
                <w:szCs w:val="20"/>
              </w:rPr>
            </w:pPr>
            <w:r w:rsidRPr="0095359A">
              <w:rPr>
                <w:sz w:val="20"/>
                <w:szCs w:val="20"/>
              </w:rPr>
              <w:t xml:space="preserve">High </w:t>
            </w:r>
          </w:p>
        </w:tc>
      </w:tr>
      <w:tr w:rsidR="00512574" w:rsidRPr="00A2295F" w14:paraId="67DF373C" w14:textId="77777777" w:rsidTr="0095359A">
        <w:trPr>
          <w:trHeight w:val="300"/>
        </w:trPr>
        <w:tc>
          <w:tcPr>
            <w:tcW w:w="4957" w:type="dxa"/>
            <w:tcBorders>
              <w:top w:val="single" w:sz="4" w:space="0" w:color="FFFFFF" w:themeColor="background1"/>
            </w:tcBorders>
            <w:noWrap/>
            <w:tcMar>
              <w:top w:w="0" w:type="dxa"/>
              <w:bottom w:w="0" w:type="dxa"/>
            </w:tcMar>
            <w:hideMark/>
          </w:tcPr>
          <w:p w14:paraId="729316FD" w14:textId="77777777" w:rsidR="00560AF1" w:rsidRPr="0095359A" w:rsidRDefault="00560AF1">
            <w:pPr>
              <w:rPr>
                <w:sz w:val="20"/>
                <w:szCs w:val="20"/>
              </w:rPr>
            </w:pPr>
            <w:r w:rsidRPr="0095359A">
              <w:rPr>
                <w:sz w:val="20"/>
                <w:szCs w:val="20"/>
              </w:rPr>
              <w:t>Pre-1990 units held long-term</w:t>
            </w:r>
          </w:p>
        </w:tc>
        <w:tc>
          <w:tcPr>
            <w:tcW w:w="1353" w:type="dxa"/>
            <w:tcBorders>
              <w:top w:val="single" w:sz="4" w:space="0" w:color="FFFFFF" w:themeColor="background1"/>
            </w:tcBorders>
            <w:noWrap/>
            <w:tcMar>
              <w:top w:w="0" w:type="dxa"/>
              <w:bottom w:w="0" w:type="dxa"/>
            </w:tcMar>
            <w:hideMark/>
          </w:tcPr>
          <w:p w14:paraId="0FE5DCBA" w14:textId="77777777" w:rsidR="00560AF1" w:rsidRPr="0095359A" w:rsidRDefault="00560AF1">
            <w:pPr>
              <w:rPr>
                <w:sz w:val="20"/>
                <w:szCs w:val="20"/>
              </w:rPr>
            </w:pPr>
            <w:r w:rsidRPr="0095359A">
              <w:rPr>
                <w:sz w:val="20"/>
                <w:szCs w:val="20"/>
              </w:rPr>
              <w:t xml:space="preserve">-9.1 </w:t>
            </w:r>
          </w:p>
        </w:tc>
        <w:tc>
          <w:tcPr>
            <w:tcW w:w="1353" w:type="dxa"/>
            <w:tcBorders>
              <w:top w:val="single" w:sz="4" w:space="0" w:color="FFFFFF" w:themeColor="background1"/>
            </w:tcBorders>
            <w:noWrap/>
            <w:tcMar>
              <w:top w:w="0" w:type="dxa"/>
              <w:bottom w:w="0" w:type="dxa"/>
            </w:tcMar>
            <w:hideMark/>
          </w:tcPr>
          <w:p w14:paraId="005185F2" w14:textId="77777777" w:rsidR="00560AF1" w:rsidRPr="0095359A" w:rsidRDefault="00560AF1">
            <w:pPr>
              <w:rPr>
                <w:sz w:val="20"/>
                <w:szCs w:val="20"/>
              </w:rPr>
            </w:pPr>
            <w:r w:rsidRPr="0095359A">
              <w:rPr>
                <w:sz w:val="20"/>
                <w:szCs w:val="20"/>
              </w:rPr>
              <w:t xml:space="preserve">-5.6 </w:t>
            </w:r>
          </w:p>
        </w:tc>
        <w:tc>
          <w:tcPr>
            <w:tcW w:w="1353" w:type="dxa"/>
            <w:tcBorders>
              <w:top w:val="single" w:sz="4" w:space="0" w:color="FFFFFF" w:themeColor="background1"/>
            </w:tcBorders>
            <w:noWrap/>
            <w:tcMar>
              <w:top w:w="0" w:type="dxa"/>
              <w:bottom w:w="0" w:type="dxa"/>
            </w:tcMar>
            <w:hideMark/>
          </w:tcPr>
          <w:p w14:paraId="528C3522" w14:textId="77777777" w:rsidR="00560AF1" w:rsidRPr="0095359A" w:rsidRDefault="00560AF1">
            <w:pPr>
              <w:rPr>
                <w:sz w:val="20"/>
                <w:szCs w:val="20"/>
              </w:rPr>
            </w:pPr>
            <w:r w:rsidRPr="0095359A">
              <w:rPr>
                <w:sz w:val="20"/>
                <w:szCs w:val="20"/>
              </w:rPr>
              <w:t xml:space="preserve">-3.4 </w:t>
            </w:r>
          </w:p>
        </w:tc>
      </w:tr>
      <w:tr w:rsidR="00512574" w:rsidRPr="00A2295F" w14:paraId="595E630D" w14:textId="77777777" w:rsidTr="0095359A">
        <w:trPr>
          <w:trHeight w:val="300"/>
        </w:trPr>
        <w:tc>
          <w:tcPr>
            <w:tcW w:w="4957" w:type="dxa"/>
            <w:noWrap/>
            <w:tcMar>
              <w:top w:w="0" w:type="dxa"/>
              <w:bottom w:w="0" w:type="dxa"/>
            </w:tcMar>
            <w:hideMark/>
          </w:tcPr>
          <w:p w14:paraId="7956F7DF" w14:textId="77777777" w:rsidR="00560AF1" w:rsidRPr="0095359A" w:rsidRDefault="00560AF1">
            <w:pPr>
              <w:rPr>
                <w:sz w:val="20"/>
                <w:szCs w:val="20"/>
              </w:rPr>
            </w:pPr>
            <w:r w:rsidRPr="0095359A">
              <w:rPr>
                <w:sz w:val="20"/>
                <w:szCs w:val="20"/>
              </w:rPr>
              <w:t>Units held for post-1989 harvest liabilities</w:t>
            </w:r>
          </w:p>
        </w:tc>
        <w:tc>
          <w:tcPr>
            <w:tcW w:w="1353" w:type="dxa"/>
            <w:noWrap/>
            <w:tcMar>
              <w:top w:w="0" w:type="dxa"/>
              <w:bottom w:w="0" w:type="dxa"/>
            </w:tcMar>
            <w:hideMark/>
          </w:tcPr>
          <w:p w14:paraId="1870289D" w14:textId="77777777" w:rsidR="00560AF1" w:rsidRPr="0095359A" w:rsidRDefault="00560AF1">
            <w:pPr>
              <w:rPr>
                <w:sz w:val="20"/>
                <w:szCs w:val="20"/>
              </w:rPr>
            </w:pPr>
            <w:r w:rsidRPr="0095359A">
              <w:rPr>
                <w:sz w:val="20"/>
                <w:szCs w:val="20"/>
              </w:rPr>
              <w:t xml:space="preserve">-63.5 </w:t>
            </w:r>
          </w:p>
        </w:tc>
        <w:tc>
          <w:tcPr>
            <w:tcW w:w="1353" w:type="dxa"/>
            <w:noWrap/>
            <w:tcMar>
              <w:top w:w="0" w:type="dxa"/>
              <w:bottom w:w="0" w:type="dxa"/>
            </w:tcMar>
            <w:hideMark/>
          </w:tcPr>
          <w:p w14:paraId="21D2D997" w14:textId="77777777" w:rsidR="00560AF1" w:rsidRPr="0095359A" w:rsidRDefault="00560AF1">
            <w:pPr>
              <w:rPr>
                <w:sz w:val="20"/>
                <w:szCs w:val="20"/>
              </w:rPr>
            </w:pPr>
            <w:r w:rsidRPr="0095359A">
              <w:rPr>
                <w:sz w:val="20"/>
                <w:szCs w:val="20"/>
              </w:rPr>
              <w:t xml:space="preserve">-53.1 </w:t>
            </w:r>
          </w:p>
        </w:tc>
        <w:tc>
          <w:tcPr>
            <w:tcW w:w="1353" w:type="dxa"/>
            <w:noWrap/>
            <w:tcMar>
              <w:top w:w="0" w:type="dxa"/>
              <w:bottom w:w="0" w:type="dxa"/>
            </w:tcMar>
            <w:hideMark/>
          </w:tcPr>
          <w:p w14:paraId="30F2456E" w14:textId="77777777" w:rsidR="00560AF1" w:rsidRPr="0095359A" w:rsidRDefault="00560AF1">
            <w:pPr>
              <w:rPr>
                <w:sz w:val="20"/>
                <w:szCs w:val="20"/>
              </w:rPr>
            </w:pPr>
            <w:r w:rsidRPr="0095359A">
              <w:rPr>
                <w:sz w:val="20"/>
                <w:szCs w:val="20"/>
              </w:rPr>
              <w:t xml:space="preserve">-43.7 </w:t>
            </w:r>
          </w:p>
        </w:tc>
      </w:tr>
      <w:tr w:rsidR="00512574" w:rsidRPr="00A2295F" w14:paraId="359C9B78" w14:textId="77777777" w:rsidTr="0095359A">
        <w:trPr>
          <w:trHeight w:val="300"/>
        </w:trPr>
        <w:tc>
          <w:tcPr>
            <w:tcW w:w="4957" w:type="dxa"/>
            <w:noWrap/>
            <w:tcMar>
              <w:top w:w="0" w:type="dxa"/>
              <w:bottom w:w="0" w:type="dxa"/>
            </w:tcMar>
            <w:hideMark/>
          </w:tcPr>
          <w:p w14:paraId="150ADE9D" w14:textId="77777777" w:rsidR="00560AF1" w:rsidRPr="0095359A" w:rsidRDefault="00560AF1">
            <w:pPr>
              <w:rPr>
                <w:sz w:val="20"/>
                <w:szCs w:val="20"/>
              </w:rPr>
            </w:pPr>
            <w:r w:rsidRPr="0095359A">
              <w:rPr>
                <w:sz w:val="20"/>
                <w:szCs w:val="20"/>
              </w:rPr>
              <w:t>Units held for hedging in 2030</w:t>
            </w:r>
          </w:p>
        </w:tc>
        <w:tc>
          <w:tcPr>
            <w:tcW w:w="1353" w:type="dxa"/>
            <w:noWrap/>
            <w:tcMar>
              <w:top w:w="0" w:type="dxa"/>
              <w:bottom w:w="0" w:type="dxa"/>
            </w:tcMar>
            <w:hideMark/>
          </w:tcPr>
          <w:p w14:paraId="5D0AEE4C" w14:textId="77777777" w:rsidR="00560AF1" w:rsidRPr="0095359A" w:rsidRDefault="00560AF1">
            <w:pPr>
              <w:rPr>
                <w:sz w:val="20"/>
                <w:szCs w:val="20"/>
              </w:rPr>
            </w:pPr>
            <w:r w:rsidRPr="0095359A">
              <w:rPr>
                <w:sz w:val="20"/>
                <w:szCs w:val="20"/>
              </w:rPr>
              <w:t xml:space="preserve">-21.5 </w:t>
            </w:r>
          </w:p>
        </w:tc>
        <w:tc>
          <w:tcPr>
            <w:tcW w:w="1353" w:type="dxa"/>
            <w:noWrap/>
            <w:tcMar>
              <w:top w:w="0" w:type="dxa"/>
              <w:bottom w:w="0" w:type="dxa"/>
            </w:tcMar>
            <w:hideMark/>
          </w:tcPr>
          <w:p w14:paraId="0764BB78" w14:textId="77777777" w:rsidR="00560AF1" w:rsidRPr="0095359A" w:rsidRDefault="00560AF1">
            <w:pPr>
              <w:rPr>
                <w:sz w:val="20"/>
                <w:szCs w:val="20"/>
              </w:rPr>
            </w:pPr>
            <w:r w:rsidRPr="0095359A">
              <w:rPr>
                <w:sz w:val="20"/>
                <w:szCs w:val="20"/>
              </w:rPr>
              <w:t xml:space="preserve">-17.4 </w:t>
            </w:r>
          </w:p>
        </w:tc>
        <w:tc>
          <w:tcPr>
            <w:tcW w:w="1353" w:type="dxa"/>
            <w:noWrap/>
            <w:tcMar>
              <w:top w:w="0" w:type="dxa"/>
              <w:bottom w:w="0" w:type="dxa"/>
            </w:tcMar>
            <w:hideMark/>
          </w:tcPr>
          <w:p w14:paraId="3E78A69D" w14:textId="77777777" w:rsidR="00560AF1" w:rsidRPr="0095359A" w:rsidRDefault="00560AF1">
            <w:pPr>
              <w:rPr>
                <w:sz w:val="20"/>
                <w:szCs w:val="20"/>
              </w:rPr>
            </w:pPr>
            <w:r w:rsidRPr="0095359A">
              <w:rPr>
                <w:sz w:val="20"/>
                <w:szCs w:val="20"/>
              </w:rPr>
              <w:t xml:space="preserve">-13.3 </w:t>
            </w:r>
          </w:p>
        </w:tc>
      </w:tr>
      <w:tr w:rsidR="00512574" w:rsidRPr="00A2295F" w14:paraId="0CA0A99D" w14:textId="77777777" w:rsidTr="0095359A">
        <w:trPr>
          <w:trHeight w:val="300"/>
        </w:trPr>
        <w:tc>
          <w:tcPr>
            <w:tcW w:w="4957" w:type="dxa"/>
            <w:noWrap/>
            <w:tcMar>
              <w:top w:w="0" w:type="dxa"/>
              <w:bottom w:w="0" w:type="dxa"/>
            </w:tcMar>
            <w:hideMark/>
          </w:tcPr>
          <w:p w14:paraId="54051A8B" w14:textId="77777777" w:rsidR="00560AF1" w:rsidRPr="0095359A" w:rsidRDefault="00560AF1">
            <w:pPr>
              <w:rPr>
                <w:sz w:val="20"/>
                <w:szCs w:val="20"/>
              </w:rPr>
            </w:pPr>
            <w:r w:rsidRPr="0095359A">
              <w:rPr>
                <w:sz w:val="20"/>
                <w:szCs w:val="20"/>
              </w:rPr>
              <w:t>Holding volume</w:t>
            </w:r>
          </w:p>
        </w:tc>
        <w:tc>
          <w:tcPr>
            <w:tcW w:w="1353" w:type="dxa"/>
            <w:noWrap/>
            <w:tcMar>
              <w:top w:w="0" w:type="dxa"/>
              <w:bottom w:w="0" w:type="dxa"/>
            </w:tcMar>
            <w:hideMark/>
          </w:tcPr>
          <w:p w14:paraId="62D81911" w14:textId="77777777" w:rsidR="00560AF1" w:rsidRPr="0095359A" w:rsidRDefault="00560AF1">
            <w:pPr>
              <w:rPr>
                <w:sz w:val="20"/>
                <w:szCs w:val="20"/>
              </w:rPr>
            </w:pPr>
            <w:r w:rsidRPr="0095359A">
              <w:rPr>
                <w:sz w:val="20"/>
                <w:szCs w:val="20"/>
              </w:rPr>
              <w:t xml:space="preserve">-34.2 </w:t>
            </w:r>
          </w:p>
        </w:tc>
        <w:tc>
          <w:tcPr>
            <w:tcW w:w="1353" w:type="dxa"/>
            <w:noWrap/>
            <w:tcMar>
              <w:top w:w="0" w:type="dxa"/>
              <w:bottom w:w="0" w:type="dxa"/>
            </w:tcMar>
            <w:hideMark/>
          </w:tcPr>
          <w:p w14:paraId="17468176" w14:textId="77777777" w:rsidR="00560AF1" w:rsidRPr="0095359A" w:rsidRDefault="00560AF1">
            <w:pPr>
              <w:rPr>
                <w:sz w:val="20"/>
                <w:szCs w:val="20"/>
              </w:rPr>
            </w:pPr>
            <w:r w:rsidRPr="0095359A">
              <w:rPr>
                <w:sz w:val="20"/>
                <w:szCs w:val="20"/>
              </w:rPr>
              <w:t xml:space="preserve">-34.2 </w:t>
            </w:r>
          </w:p>
        </w:tc>
        <w:tc>
          <w:tcPr>
            <w:tcW w:w="1353" w:type="dxa"/>
            <w:noWrap/>
            <w:tcMar>
              <w:top w:w="0" w:type="dxa"/>
              <w:bottom w:w="0" w:type="dxa"/>
            </w:tcMar>
            <w:hideMark/>
          </w:tcPr>
          <w:p w14:paraId="06E14F02" w14:textId="77777777" w:rsidR="00560AF1" w:rsidRPr="0095359A" w:rsidRDefault="00560AF1">
            <w:pPr>
              <w:rPr>
                <w:sz w:val="20"/>
                <w:szCs w:val="20"/>
              </w:rPr>
            </w:pPr>
            <w:r w:rsidRPr="0095359A">
              <w:rPr>
                <w:sz w:val="20"/>
                <w:szCs w:val="20"/>
              </w:rPr>
              <w:t xml:space="preserve">-34.2 </w:t>
            </w:r>
          </w:p>
        </w:tc>
      </w:tr>
      <w:tr w:rsidR="00512574" w:rsidRPr="00A2295F" w14:paraId="5FF2981F" w14:textId="77777777" w:rsidTr="0095359A">
        <w:trPr>
          <w:trHeight w:val="300"/>
        </w:trPr>
        <w:tc>
          <w:tcPr>
            <w:tcW w:w="4957" w:type="dxa"/>
            <w:shd w:val="clear" w:color="auto" w:fill="auto"/>
            <w:noWrap/>
            <w:tcMar>
              <w:top w:w="0" w:type="dxa"/>
              <w:bottom w:w="0" w:type="dxa"/>
            </w:tcMar>
            <w:hideMark/>
          </w:tcPr>
          <w:p w14:paraId="0A97B41F" w14:textId="386D0B9D" w:rsidR="00560AF1" w:rsidRPr="0095359A" w:rsidRDefault="00AA63D9">
            <w:pPr>
              <w:rPr>
                <w:sz w:val="20"/>
                <w:szCs w:val="20"/>
              </w:rPr>
            </w:pPr>
            <w:r w:rsidRPr="0095359A">
              <w:rPr>
                <w:sz w:val="20"/>
                <w:szCs w:val="20"/>
              </w:rPr>
              <w:t>S</w:t>
            </w:r>
            <w:r w:rsidR="00560AF1" w:rsidRPr="0095359A">
              <w:rPr>
                <w:sz w:val="20"/>
                <w:szCs w:val="20"/>
              </w:rPr>
              <w:t>urplus units from MERP4</w:t>
            </w:r>
            <w:r w:rsidRPr="0095359A">
              <w:rPr>
                <w:sz w:val="20"/>
                <w:szCs w:val="20"/>
              </w:rPr>
              <w:t xml:space="preserve"> forestry allocations</w:t>
            </w:r>
          </w:p>
        </w:tc>
        <w:tc>
          <w:tcPr>
            <w:tcW w:w="1353" w:type="dxa"/>
            <w:noWrap/>
            <w:tcMar>
              <w:top w:w="0" w:type="dxa"/>
              <w:bottom w:w="0" w:type="dxa"/>
            </w:tcMar>
            <w:hideMark/>
          </w:tcPr>
          <w:p w14:paraId="78E5B2B2" w14:textId="77777777" w:rsidR="00560AF1" w:rsidRPr="0095359A" w:rsidRDefault="00560AF1">
            <w:pPr>
              <w:rPr>
                <w:sz w:val="20"/>
                <w:szCs w:val="20"/>
              </w:rPr>
            </w:pPr>
            <w:r w:rsidRPr="0095359A">
              <w:rPr>
                <w:sz w:val="20"/>
                <w:szCs w:val="20"/>
              </w:rPr>
              <w:t xml:space="preserve">+6.3 </w:t>
            </w:r>
          </w:p>
        </w:tc>
        <w:tc>
          <w:tcPr>
            <w:tcW w:w="1353" w:type="dxa"/>
            <w:noWrap/>
            <w:tcMar>
              <w:top w:w="0" w:type="dxa"/>
              <w:bottom w:w="0" w:type="dxa"/>
            </w:tcMar>
            <w:hideMark/>
          </w:tcPr>
          <w:p w14:paraId="1F0541AA" w14:textId="77777777" w:rsidR="00560AF1" w:rsidRPr="0095359A" w:rsidRDefault="00560AF1">
            <w:pPr>
              <w:rPr>
                <w:sz w:val="20"/>
                <w:szCs w:val="20"/>
              </w:rPr>
            </w:pPr>
            <w:r w:rsidRPr="0095359A">
              <w:rPr>
                <w:sz w:val="20"/>
                <w:szCs w:val="20"/>
              </w:rPr>
              <w:t xml:space="preserve">+10.0 </w:t>
            </w:r>
          </w:p>
        </w:tc>
        <w:tc>
          <w:tcPr>
            <w:tcW w:w="1353" w:type="dxa"/>
            <w:noWrap/>
            <w:tcMar>
              <w:top w:w="0" w:type="dxa"/>
              <w:bottom w:w="0" w:type="dxa"/>
            </w:tcMar>
            <w:hideMark/>
          </w:tcPr>
          <w:p w14:paraId="27B4D8EC" w14:textId="77777777" w:rsidR="00560AF1" w:rsidRPr="0095359A" w:rsidRDefault="00560AF1">
            <w:pPr>
              <w:rPr>
                <w:sz w:val="20"/>
                <w:szCs w:val="20"/>
              </w:rPr>
            </w:pPr>
            <w:r w:rsidRPr="0095359A">
              <w:rPr>
                <w:sz w:val="20"/>
                <w:szCs w:val="20"/>
              </w:rPr>
              <w:t xml:space="preserve">+11.8 </w:t>
            </w:r>
          </w:p>
        </w:tc>
      </w:tr>
      <w:tr w:rsidR="00512574" w:rsidRPr="00A2295F" w14:paraId="0DDAA662" w14:textId="77777777" w:rsidTr="0095359A">
        <w:trPr>
          <w:trHeight w:val="300"/>
        </w:trPr>
        <w:tc>
          <w:tcPr>
            <w:tcW w:w="4957" w:type="dxa"/>
            <w:noWrap/>
            <w:tcMar>
              <w:top w:w="0" w:type="dxa"/>
              <w:bottom w:w="0" w:type="dxa"/>
            </w:tcMar>
            <w:hideMark/>
          </w:tcPr>
          <w:p w14:paraId="78C2B48D" w14:textId="77777777" w:rsidR="00560AF1" w:rsidRPr="0095359A" w:rsidRDefault="00560AF1">
            <w:pPr>
              <w:rPr>
                <w:b/>
                <w:sz w:val="20"/>
                <w:szCs w:val="20"/>
              </w:rPr>
            </w:pPr>
            <w:r w:rsidRPr="0095359A">
              <w:rPr>
                <w:b/>
                <w:sz w:val="20"/>
                <w:szCs w:val="20"/>
              </w:rPr>
              <w:t>Total surplus estimate</w:t>
            </w:r>
          </w:p>
        </w:tc>
        <w:tc>
          <w:tcPr>
            <w:tcW w:w="1353" w:type="dxa"/>
            <w:noWrap/>
            <w:tcMar>
              <w:top w:w="0" w:type="dxa"/>
              <w:bottom w:w="0" w:type="dxa"/>
            </w:tcMar>
            <w:hideMark/>
          </w:tcPr>
          <w:p w14:paraId="60957683" w14:textId="77777777" w:rsidR="00560AF1" w:rsidRPr="0095359A" w:rsidRDefault="00560AF1">
            <w:pPr>
              <w:rPr>
                <w:b/>
                <w:sz w:val="20"/>
                <w:szCs w:val="20"/>
              </w:rPr>
            </w:pPr>
            <w:r w:rsidRPr="0095359A">
              <w:rPr>
                <w:b/>
                <w:sz w:val="20"/>
                <w:szCs w:val="20"/>
              </w:rPr>
              <w:t xml:space="preserve">28.4 </w:t>
            </w:r>
          </w:p>
        </w:tc>
        <w:tc>
          <w:tcPr>
            <w:tcW w:w="1353" w:type="dxa"/>
            <w:noWrap/>
            <w:tcMar>
              <w:top w:w="0" w:type="dxa"/>
              <w:bottom w:w="0" w:type="dxa"/>
            </w:tcMar>
            <w:hideMark/>
          </w:tcPr>
          <w:p w14:paraId="60F07201" w14:textId="77777777" w:rsidR="00560AF1" w:rsidRPr="0095359A" w:rsidRDefault="00560AF1">
            <w:pPr>
              <w:rPr>
                <w:b/>
                <w:sz w:val="20"/>
                <w:szCs w:val="20"/>
              </w:rPr>
            </w:pPr>
            <w:r w:rsidRPr="0095359A">
              <w:rPr>
                <w:b/>
                <w:sz w:val="20"/>
                <w:szCs w:val="20"/>
              </w:rPr>
              <w:t xml:space="preserve">50.2 </w:t>
            </w:r>
          </w:p>
        </w:tc>
        <w:tc>
          <w:tcPr>
            <w:tcW w:w="1353" w:type="dxa"/>
            <w:noWrap/>
            <w:tcMar>
              <w:top w:w="0" w:type="dxa"/>
              <w:bottom w:w="0" w:type="dxa"/>
            </w:tcMar>
            <w:hideMark/>
          </w:tcPr>
          <w:p w14:paraId="03527838" w14:textId="77777777" w:rsidR="00560AF1" w:rsidRPr="0095359A" w:rsidRDefault="00560AF1">
            <w:pPr>
              <w:rPr>
                <w:b/>
                <w:sz w:val="20"/>
                <w:szCs w:val="20"/>
              </w:rPr>
            </w:pPr>
            <w:r w:rsidRPr="0095359A">
              <w:rPr>
                <w:b/>
                <w:sz w:val="20"/>
                <w:szCs w:val="20"/>
              </w:rPr>
              <w:t xml:space="preserve">67.7 </w:t>
            </w:r>
          </w:p>
        </w:tc>
      </w:tr>
    </w:tbl>
    <w:p w14:paraId="6D4A36D5" w14:textId="31918FB8" w:rsidR="0078480B" w:rsidRDefault="0078480B" w:rsidP="00B52948">
      <w:pPr>
        <w:spacing w:before="240"/>
      </w:pPr>
      <w:r w:rsidRPr="009B6436">
        <w:t xml:space="preserve">While we calculate a central estimate of the surplus, the surplus is dynamic. It can change over time based on NZ ETS participants’ changing intentions and decisions. In particular, the flexibility afforded to foresters under NZ ETS rules means choices are available </w:t>
      </w:r>
      <w:r w:rsidR="004D01DA">
        <w:t>with</w:t>
      </w:r>
      <w:r w:rsidRPr="009B6436">
        <w:t xml:space="preserve"> respect </w:t>
      </w:r>
      <w:r w:rsidR="004D01DA">
        <w:t>to</w:t>
      </w:r>
      <w:r w:rsidRPr="009B6436">
        <w:t xml:space="preserve"> forests on stock change accounting</w:t>
      </w:r>
      <w:r w:rsidR="005F0BD5">
        <w:t xml:space="preserve"> –</w:t>
      </w:r>
      <w:r w:rsidRPr="009B6436">
        <w:t xml:space="preserve"> for example, to delay harvesting or </w:t>
      </w:r>
      <w:r w:rsidR="005741B4">
        <w:t xml:space="preserve">to </w:t>
      </w:r>
      <w:r w:rsidRPr="009B6436">
        <w:t>not harvest their forest</w:t>
      </w:r>
      <w:r w:rsidR="00AC1853">
        <w:t xml:space="preserve"> –</w:t>
      </w:r>
      <w:r w:rsidRPr="009B6436">
        <w:t xml:space="preserve"> that could significantly impact the size of the surplus.</w:t>
      </w:r>
    </w:p>
    <w:p w14:paraId="07B6906C" w14:textId="4865325F" w:rsidR="00FE2D3B" w:rsidRDefault="009D29EE" w:rsidP="00FE2D3B">
      <w:r>
        <w:t xml:space="preserve">The uncertainty range around the central surplus estimate </w:t>
      </w:r>
      <w:r w:rsidR="00150700">
        <w:t xml:space="preserve">has increased </w:t>
      </w:r>
      <w:r w:rsidR="009F3492">
        <w:t xml:space="preserve">compared to last year, </w:t>
      </w:r>
      <w:r w:rsidR="00150700">
        <w:t xml:space="preserve">from approximately 33 million to 49 million. </w:t>
      </w:r>
    </w:p>
    <w:p w14:paraId="744EF2CE" w14:textId="145AA8A5" w:rsidR="00150700" w:rsidRDefault="004309A1" w:rsidP="00AD4D76">
      <w:r>
        <w:t xml:space="preserve">This is due to the cumulative, significant uncertainties in the estimates used to calculate </w:t>
      </w:r>
      <w:r w:rsidR="00E64946">
        <w:t>the surplus</w:t>
      </w:r>
      <w:r>
        <w:t xml:space="preserve">. Of the categories </w:t>
      </w:r>
      <w:r w:rsidR="00FE2D3B">
        <w:t xml:space="preserve">incorporated into the surplus estimate, the largest uncertainty range relates to </w:t>
      </w:r>
      <w:r w:rsidR="00150700">
        <w:t xml:space="preserve">the estimate of post-89 units held for harvest, at approximately 20 million. We expect this will always remain a highly uncertain category and the large range is a fair representation of how variable it may be. </w:t>
      </w:r>
    </w:p>
    <w:p w14:paraId="4BAABC1A" w14:textId="49FED880" w:rsidR="00DC02FA" w:rsidRDefault="002D23DA" w:rsidP="00AD4D76">
      <w:r>
        <w:t xml:space="preserve">We have </w:t>
      </w:r>
      <w:r w:rsidR="00F92869">
        <w:t xml:space="preserve">considered </w:t>
      </w:r>
      <w:r w:rsidR="007C6E2B">
        <w:t xml:space="preserve">the implications of </w:t>
      </w:r>
      <w:r w:rsidR="00F64BA5">
        <w:t xml:space="preserve">the </w:t>
      </w:r>
      <w:r w:rsidR="0038540F">
        <w:t>un</w:t>
      </w:r>
      <w:r w:rsidR="00214B7A">
        <w:t xml:space="preserve">certainty </w:t>
      </w:r>
      <w:r w:rsidR="00F64BA5">
        <w:t>range</w:t>
      </w:r>
      <w:r w:rsidR="00F92869">
        <w:t xml:space="preserve">, in terms of </w:t>
      </w:r>
      <w:r w:rsidR="001E5F80">
        <w:t xml:space="preserve">whether </w:t>
      </w:r>
      <w:r w:rsidR="00F92869">
        <w:t xml:space="preserve">the surplus </w:t>
      </w:r>
      <w:r w:rsidR="001E5F80">
        <w:t xml:space="preserve">in fact lies closer to </w:t>
      </w:r>
      <w:r w:rsidR="00F64BA5">
        <w:t>the low or high estimate</w:t>
      </w:r>
      <w:r w:rsidR="00DC02FA">
        <w:t>s</w:t>
      </w:r>
      <w:r w:rsidR="00F64BA5">
        <w:t>.</w:t>
      </w:r>
      <w:r w:rsidR="00B75D6D">
        <w:t xml:space="preserve"> </w:t>
      </w:r>
      <w:r w:rsidR="0042798F">
        <w:t xml:space="preserve">As </w:t>
      </w:r>
      <w:r w:rsidR="00470349">
        <w:t>the surplus is drawn down</w:t>
      </w:r>
      <w:r w:rsidR="00862E29">
        <w:t xml:space="preserve"> closer to zero, </w:t>
      </w:r>
      <w:r w:rsidR="00E76A0A">
        <w:t xml:space="preserve">the uncertainty in the estimate becomes more </w:t>
      </w:r>
      <w:r w:rsidR="002F0354">
        <w:t>important</w:t>
      </w:r>
      <w:r w:rsidR="00E76A0A">
        <w:t xml:space="preserve">, since there is less </w:t>
      </w:r>
      <w:r w:rsidR="00BF7CEA">
        <w:t>time to adjust as new information becomes available</w:t>
      </w:r>
      <w:r w:rsidR="007E5EDF">
        <w:t>.</w:t>
      </w:r>
      <w:r w:rsidR="00470349">
        <w:t xml:space="preserve"> </w:t>
      </w:r>
    </w:p>
    <w:p w14:paraId="703CC48D" w14:textId="0BBB70EB" w:rsidR="002647D0" w:rsidRDefault="00114A22" w:rsidP="00AD4D76">
      <w:r>
        <w:t>I</w:t>
      </w:r>
      <w:r w:rsidR="001660D2">
        <w:t xml:space="preserve">f the surplus </w:t>
      </w:r>
      <w:r w:rsidR="006B0545">
        <w:t>is</w:t>
      </w:r>
      <w:r w:rsidR="001660D2">
        <w:t xml:space="preserve"> closer to the low estimate</w:t>
      </w:r>
      <w:r w:rsidR="00787C8C">
        <w:t>,</w:t>
      </w:r>
      <w:r w:rsidR="00660220">
        <w:t xml:space="preserve"> </w:t>
      </w:r>
      <w:r w:rsidR="00B31A7D">
        <w:t xml:space="preserve">the proposed </w:t>
      </w:r>
      <w:r w:rsidR="00660220">
        <w:t xml:space="preserve">surplus reduction volumes </w:t>
      </w:r>
      <w:r w:rsidR="00B31A7D">
        <w:t xml:space="preserve">in this advice </w:t>
      </w:r>
      <w:r w:rsidR="00660220">
        <w:t xml:space="preserve">for 2025-2027 would </w:t>
      </w:r>
      <w:r w:rsidR="009F0A1E">
        <w:t xml:space="preserve">fully </w:t>
      </w:r>
      <w:r w:rsidR="00660220">
        <w:t>draw</w:t>
      </w:r>
      <w:r w:rsidR="009F0A1E">
        <w:t xml:space="preserve"> it</w:t>
      </w:r>
      <w:r w:rsidR="00660220">
        <w:t xml:space="preserve"> down</w:t>
      </w:r>
      <w:r w:rsidR="0086215A">
        <w:t xml:space="preserve"> before the end of </w:t>
      </w:r>
      <w:r w:rsidR="009F0A1E">
        <w:t>2027</w:t>
      </w:r>
      <w:r w:rsidR="0086215A">
        <w:t xml:space="preserve">. </w:t>
      </w:r>
      <w:r w:rsidR="00E74E65">
        <w:t xml:space="preserve">In that </w:t>
      </w:r>
      <w:r w:rsidR="001760FB">
        <w:t xml:space="preserve">case, </w:t>
      </w:r>
      <w:r w:rsidR="00795D50">
        <w:t>i</w:t>
      </w:r>
      <w:r w:rsidR="00192305">
        <w:t xml:space="preserve">t could be difficult to </w:t>
      </w:r>
      <w:r w:rsidR="00D34BD9">
        <w:t xml:space="preserve">adjust unit limits </w:t>
      </w:r>
      <w:r w:rsidR="0054012C">
        <w:t>in response</w:t>
      </w:r>
      <w:r w:rsidR="009025F9">
        <w:t>,</w:t>
      </w:r>
      <w:r w:rsidR="0054012C">
        <w:t xml:space="preserve"> </w:t>
      </w:r>
      <w:r w:rsidR="008928DD">
        <w:t xml:space="preserve">given the strict criteria for changing unit </w:t>
      </w:r>
      <w:r w:rsidR="0074020D">
        <w:t xml:space="preserve">limits </w:t>
      </w:r>
      <w:r w:rsidR="008928DD">
        <w:t xml:space="preserve">in the first </w:t>
      </w:r>
      <w:r w:rsidR="00232280">
        <w:t xml:space="preserve">two years. However, the </w:t>
      </w:r>
      <w:r w:rsidR="007753EE">
        <w:t xml:space="preserve">low </w:t>
      </w:r>
      <w:r w:rsidR="00094A4E">
        <w:t xml:space="preserve">surplus estimate is still greater than the </w:t>
      </w:r>
      <w:r w:rsidR="00FB5034">
        <w:t>planned surplus reduction</w:t>
      </w:r>
      <w:r w:rsidR="00094A4E">
        <w:t xml:space="preserve"> volume for 2025-2026</w:t>
      </w:r>
      <w:r w:rsidR="007B6048">
        <w:t>. T</w:t>
      </w:r>
      <w:r w:rsidR="00094A4E">
        <w:t xml:space="preserve">herefore, if needed, more immediate changes could be made in </w:t>
      </w:r>
      <w:r w:rsidR="00AB3E13">
        <w:t xml:space="preserve">2026 to update volumes from 2027 onwards if </w:t>
      </w:r>
      <w:r w:rsidR="00D60D3E">
        <w:t>the statutory test to amend the settings for those years</w:t>
      </w:r>
      <w:r w:rsidR="007B6048">
        <w:t xml:space="preserve"> </w:t>
      </w:r>
      <w:r w:rsidR="0014428E">
        <w:t>were</w:t>
      </w:r>
      <w:r w:rsidR="007B6048">
        <w:t xml:space="preserve"> judged </w:t>
      </w:r>
      <w:r w:rsidR="00C70D25">
        <w:t xml:space="preserve">to be met. </w:t>
      </w:r>
    </w:p>
    <w:p w14:paraId="3AE3E9F2" w14:textId="20A8EC0D" w:rsidR="00F64BA5" w:rsidRDefault="00C3165C" w:rsidP="00AD4D76">
      <w:r>
        <w:t>If the surplus was at the lower end of our estimated range</w:t>
      </w:r>
      <w:r w:rsidR="000F1BA8">
        <w:t>,</w:t>
      </w:r>
      <w:r>
        <w:t xml:space="preserve"> we would expect to see </w:t>
      </w:r>
      <w:r w:rsidR="003F6721">
        <w:t xml:space="preserve">greater </w:t>
      </w:r>
      <w:r w:rsidR="000F1BA8">
        <w:t xml:space="preserve">upward pressure on </w:t>
      </w:r>
      <w:r w:rsidR="002F2AEB">
        <w:t>NZU prices</w:t>
      </w:r>
      <w:r w:rsidR="00FD6A02">
        <w:t xml:space="preserve"> – which is not currently occurring</w:t>
      </w:r>
      <w:r w:rsidR="00B66023">
        <w:t xml:space="preserve">. This </w:t>
      </w:r>
      <w:r w:rsidR="007E515C">
        <w:t>supports our view that</w:t>
      </w:r>
      <w:r w:rsidR="00B66023">
        <w:t xml:space="preserve"> </w:t>
      </w:r>
      <w:r w:rsidR="00CF4B7A">
        <w:t xml:space="preserve">it is unlikely that </w:t>
      </w:r>
      <w:r w:rsidR="003916A6">
        <w:t xml:space="preserve">the surplus </w:t>
      </w:r>
      <w:r w:rsidR="00CF4B7A">
        <w:t xml:space="preserve">is </w:t>
      </w:r>
      <w:r w:rsidR="003916A6">
        <w:t xml:space="preserve">at the low end of our estimated range. </w:t>
      </w:r>
    </w:p>
    <w:p w14:paraId="3EC884D2" w14:textId="6FFBBEC4" w:rsidR="002634BD" w:rsidRDefault="003B6667" w:rsidP="002634BD">
      <w:r>
        <w:t xml:space="preserve">If the </w:t>
      </w:r>
      <w:r w:rsidR="00D607EF">
        <w:t xml:space="preserve">surplus </w:t>
      </w:r>
      <w:r w:rsidR="00405C99">
        <w:t>is</w:t>
      </w:r>
      <w:r w:rsidR="00D607EF">
        <w:t xml:space="preserve"> closer to the high estimate, there is still enough auction volume </w:t>
      </w:r>
      <w:r w:rsidR="001C378D">
        <w:t xml:space="preserve">planned for the latter years of the current settings period </w:t>
      </w:r>
      <w:r w:rsidR="000812A2">
        <w:t>that can be reduced</w:t>
      </w:r>
      <w:r w:rsidR="001F30CC">
        <w:t xml:space="preserve"> to allow for higher surplus reduction volumes,</w:t>
      </w:r>
      <w:r w:rsidR="002A4A74">
        <w:t xml:space="preserve"> to </w:t>
      </w:r>
      <w:r w:rsidR="00392A44">
        <w:t>draw down the currently surplus un</w:t>
      </w:r>
      <w:r w:rsidR="002634BD">
        <w:t>i</w:t>
      </w:r>
      <w:r w:rsidR="00392A44">
        <w:t xml:space="preserve">ts by </w:t>
      </w:r>
      <w:r w:rsidR="002634BD">
        <w:t xml:space="preserve">2030. </w:t>
      </w:r>
    </w:p>
    <w:p w14:paraId="6D729DA3" w14:textId="2EE84ADA" w:rsidR="00BF1CBF" w:rsidRDefault="00EA3949" w:rsidP="00487AE4">
      <w:r w:rsidRPr="00EA3949">
        <w:fldChar w:fldCharType="begin"/>
      </w:r>
      <w:r w:rsidRPr="00EA3949">
        <w:instrText xml:space="preserve"> REF _Ref195289076 \h </w:instrText>
      </w:r>
      <w:r>
        <w:instrText xml:space="preserve"> \* MERGEFORMAT </w:instrText>
      </w:r>
      <w:r w:rsidRPr="00EA3949">
        <w:fldChar w:fldCharType="separate"/>
      </w:r>
      <w:r w:rsidRPr="00EA3949">
        <w:rPr>
          <w:b/>
          <w:bCs/>
        </w:rPr>
        <w:t xml:space="preserve">Figure </w:t>
      </w:r>
      <w:r w:rsidRPr="00EA3949">
        <w:rPr>
          <w:b/>
          <w:bCs/>
          <w:noProof/>
        </w:rPr>
        <w:t>12</w:t>
      </w:r>
      <w:r w:rsidRPr="00EA3949">
        <w:fldChar w:fldCharType="end"/>
      </w:r>
      <w:r w:rsidR="00D460A2" w:rsidRPr="00F30FC1">
        <w:rPr>
          <w:b/>
          <w:bCs/>
        </w:rPr>
        <w:fldChar w:fldCharType="begin"/>
      </w:r>
      <w:r w:rsidR="00D460A2" w:rsidRPr="00F30FC1">
        <w:rPr>
          <w:b/>
          <w:bCs/>
        </w:rPr>
        <w:instrText xml:space="preserve"> REF _Ref194415815 \h </w:instrText>
      </w:r>
      <w:r w:rsidR="003034F8">
        <w:rPr>
          <w:b/>
          <w:bCs/>
        </w:rPr>
        <w:instrText xml:space="preserve"> \* MERGEFORMAT </w:instrText>
      </w:r>
      <w:r w:rsidR="00D460A2" w:rsidRPr="00F30FC1">
        <w:rPr>
          <w:b/>
          <w:bCs/>
        </w:rPr>
      </w:r>
      <w:r w:rsidR="00D460A2" w:rsidRPr="00F30FC1">
        <w:rPr>
          <w:b/>
          <w:bCs/>
        </w:rPr>
        <w:fldChar w:fldCharType="separate"/>
      </w:r>
      <w:r w:rsidR="00D460A2" w:rsidRPr="00F30FC1">
        <w:rPr>
          <w:b/>
          <w:bCs/>
        </w:rPr>
        <w:fldChar w:fldCharType="end"/>
      </w:r>
      <w:r w:rsidR="00D460A2">
        <w:t xml:space="preserve"> </w:t>
      </w:r>
      <w:r w:rsidR="00302D1B">
        <w:t xml:space="preserve">compares </w:t>
      </w:r>
      <w:r w:rsidR="007A6A24">
        <w:t xml:space="preserve">the range </w:t>
      </w:r>
      <w:r w:rsidR="00DD5172">
        <w:t xml:space="preserve">of </w:t>
      </w:r>
      <w:r w:rsidR="007A6A24">
        <w:t>surplus estimates from the</w:t>
      </w:r>
      <w:r w:rsidR="00720EA8">
        <w:t xml:space="preserve"> 2024</w:t>
      </w:r>
      <w:r w:rsidR="007A6A24">
        <w:t xml:space="preserve"> EY report, o</w:t>
      </w:r>
      <w:r w:rsidR="00DD5172">
        <w:t>ur 2024 estimate, and our updated</w:t>
      </w:r>
      <w:r w:rsidR="00720EA8">
        <w:t xml:space="preserve"> 2025</w:t>
      </w:r>
      <w:r w:rsidR="00DD5172">
        <w:t xml:space="preserve"> estimate. </w:t>
      </w:r>
      <w:r w:rsidR="000D783F">
        <w:t>To enable comparison, t</w:t>
      </w:r>
      <w:r w:rsidR="00DD5172">
        <w:t xml:space="preserve">he EY and </w:t>
      </w:r>
      <w:r w:rsidR="008E4303">
        <w:t xml:space="preserve">our </w:t>
      </w:r>
      <w:r w:rsidR="00DD5172">
        <w:t xml:space="preserve">2024 estimates </w:t>
      </w:r>
      <w:r w:rsidR="00720EA8">
        <w:t xml:space="preserve">have been adjusted </w:t>
      </w:r>
      <w:r w:rsidR="008E4303">
        <w:t>down by 14.8 million units</w:t>
      </w:r>
      <w:r w:rsidR="000D783F">
        <w:t xml:space="preserve">. This </w:t>
      </w:r>
      <w:r w:rsidR="00720EA8">
        <w:t>reflect</w:t>
      </w:r>
      <w:r w:rsidR="000D783F">
        <w:t>s</w:t>
      </w:r>
      <w:r w:rsidR="00720EA8">
        <w:t xml:space="preserve"> </w:t>
      </w:r>
      <w:r w:rsidR="008E4303">
        <w:t xml:space="preserve">the 2024 </w:t>
      </w:r>
      <w:r w:rsidR="00DD5172">
        <w:t xml:space="preserve">unit surplus reduction volume </w:t>
      </w:r>
      <w:r w:rsidR="00FE2F28">
        <w:t xml:space="preserve">(7.7 million) </w:t>
      </w:r>
      <w:r w:rsidR="00DD5172">
        <w:t xml:space="preserve">and units </w:t>
      </w:r>
      <w:r w:rsidR="006070AD">
        <w:t xml:space="preserve">that </w:t>
      </w:r>
      <w:r w:rsidR="008E4303">
        <w:t xml:space="preserve">went unsold </w:t>
      </w:r>
      <w:r w:rsidR="00DD5172">
        <w:t xml:space="preserve">in 2024 </w:t>
      </w:r>
      <w:r w:rsidR="008E4303">
        <w:t>auctions</w:t>
      </w:r>
      <w:r w:rsidR="00FE2F28">
        <w:t xml:space="preserve"> (7.1 million)</w:t>
      </w:r>
      <w:r w:rsidR="00DD5172">
        <w:t>.</w:t>
      </w:r>
    </w:p>
    <w:p w14:paraId="6798B128" w14:textId="73828A86" w:rsidR="00EA3949" w:rsidRDefault="005E25B3" w:rsidP="00EA3949">
      <w:pPr>
        <w:pStyle w:val="Caption"/>
      </w:pPr>
      <w:bookmarkStart w:id="65" w:name="_Ref195289076"/>
      <w:bookmarkStart w:id="66" w:name="_Ref195289071"/>
      <w:r w:rsidRPr="009B6436">
        <w:t>Figure</w:t>
      </w:r>
      <w:r>
        <w:t xml:space="preserve"> </w:t>
      </w:r>
      <w:r w:rsidR="005A2D42">
        <w:fldChar w:fldCharType="begin"/>
      </w:r>
      <w:r w:rsidR="005A2D42">
        <w:instrText xml:space="preserve"> SEQ Figure \* ARABIC </w:instrText>
      </w:r>
      <w:r w:rsidR="005A2D42">
        <w:fldChar w:fldCharType="separate"/>
      </w:r>
      <w:r w:rsidR="00EA3949">
        <w:rPr>
          <w:noProof/>
        </w:rPr>
        <w:t>12</w:t>
      </w:r>
      <w:r w:rsidR="005A2D42">
        <w:fldChar w:fldCharType="end"/>
      </w:r>
      <w:bookmarkEnd w:id="65"/>
      <w:r w:rsidR="00EA3949">
        <w:t xml:space="preserve">: </w:t>
      </w:r>
      <w:r w:rsidR="00EA3949" w:rsidRPr="00EA3949">
        <w:rPr>
          <w:b w:val="0"/>
          <w:bCs/>
        </w:rPr>
        <w:t>Comparisons of unit surplus estimate ranges</w:t>
      </w:r>
      <w:bookmarkEnd w:id="66"/>
    </w:p>
    <w:p w14:paraId="58E37EAD" w14:textId="6677908D" w:rsidR="00EB0A82" w:rsidRDefault="002A18F5" w:rsidP="00F16257">
      <w:pPr>
        <w:jc w:val="center"/>
      </w:pPr>
      <w:r>
        <w:rPr>
          <w:noProof/>
        </w:rPr>
        <w:drawing>
          <wp:inline distT="0" distB="0" distL="0" distR="0" wp14:anchorId="30D3F7B7" wp14:editId="5CB0D82A">
            <wp:extent cx="5172553" cy="291572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5">
                      <a:extLst>
                        <a:ext uri="{28A0092B-C50C-407E-A947-70E740481C1C}">
                          <a14:useLocalDpi xmlns:a14="http://schemas.microsoft.com/office/drawing/2010/main" val="0"/>
                        </a:ext>
                      </a:extLst>
                    </a:blip>
                    <a:srcRect b="4240"/>
                    <a:stretch/>
                  </pic:blipFill>
                  <pic:spPr bwMode="auto">
                    <a:xfrm>
                      <a:off x="0" y="0"/>
                      <a:ext cx="5178630" cy="2919153"/>
                    </a:xfrm>
                    <a:prstGeom prst="rect">
                      <a:avLst/>
                    </a:prstGeom>
                    <a:noFill/>
                    <a:ln>
                      <a:noFill/>
                    </a:ln>
                    <a:extLst>
                      <a:ext uri="{53640926-AAD7-44D8-BBD7-CCE9431645EC}">
                        <a14:shadowObscured xmlns:a14="http://schemas.microsoft.com/office/drawing/2010/main"/>
                      </a:ext>
                    </a:extLst>
                  </pic:spPr>
                </pic:pic>
              </a:graphicData>
            </a:graphic>
          </wp:inline>
        </w:drawing>
      </w:r>
    </w:p>
    <w:p w14:paraId="23D2539E" w14:textId="2FFAFD13" w:rsidR="00804D13" w:rsidRDefault="00804D13" w:rsidP="003E264E">
      <w:r w:rsidRPr="00225DB4">
        <w:rPr>
          <w:sz w:val="20"/>
          <w:szCs w:val="20"/>
        </w:rPr>
        <w:t>Source: Commission analysis</w:t>
      </w:r>
    </w:p>
    <w:p w14:paraId="7408D6D5" w14:textId="37FE96E9" w:rsidR="00250A92" w:rsidRDefault="00616766" w:rsidP="005074E6">
      <w:pPr>
        <w:pStyle w:val="Heading3"/>
        <w:spacing w:after="120"/>
      </w:pPr>
      <w:bookmarkStart w:id="67" w:name="_Toc195533431"/>
      <w:r>
        <w:t>Annual surplus reduction volume</w:t>
      </w:r>
      <w:r w:rsidR="004C29FD">
        <w:t xml:space="preserve"> calculations</w:t>
      </w:r>
      <w:bookmarkEnd w:id="67"/>
    </w:p>
    <w:p w14:paraId="00DA9C59" w14:textId="20C0F59F" w:rsidR="00CC5823" w:rsidRDefault="00392766" w:rsidP="00616766">
      <w:r>
        <w:t xml:space="preserve">As in previous advice, we continue to aim to draw the surplus down </w:t>
      </w:r>
      <w:r w:rsidR="0005387C">
        <w:t xml:space="preserve">to zero by 2030. </w:t>
      </w:r>
      <w:r w:rsidR="00AC213E">
        <w:t>We do this by implementing surplus reduction</w:t>
      </w:r>
      <w:r w:rsidR="00EE1398">
        <w:t xml:space="preserve">s </w:t>
      </w:r>
      <w:r w:rsidR="00AC213E">
        <w:t xml:space="preserve">to auction volumes </w:t>
      </w:r>
      <w:r w:rsidR="00022F4C">
        <w:t xml:space="preserve">over the years to 2030, so that NZ ETS participants use up the surplus units that are already in the market. </w:t>
      </w:r>
    </w:p>
    <w:p w14:paraId="7745160F" w14:textId="1AE14341" w:rsidR="00907416" w:rsidRDefault="00917039" w:rsidP="00653B96">
      <w:r w:rsidRPr="00AE3876">
        <w:rPr>
          <w:b/>
          <w:bCs/>
        </w:rPr>
        <w:fldChar w:fldCharType="begin"/>
      </w:r>
      <w:r w:rsidRPr="00AE3876">
        <w:rPr>
          <w:b/>
          <w:bCs/>
        </w:rPr>
        <w:instrText xml:space="preserve"> REF _Ref194415840 \h </w:instrText>
      </w:r>
      <w:r>
        <w:rPr>
          <w:b/>
          <w:bCs/>
        </w:rPr>
        <w:instrText xml:space="preserve"> \* MERGEFORMAT </w:instrText>
      </w:r>
      <w:r w:rsidRPr="00AE3876">
        <w:rPr>
          <w:b/>
          <w:bCs/>
        </w:rPr>
      </w:r>
      <w:r w:rsidRPr="00AE3876">
        <w:rPr>
          <w:b/>
          <w:bCs/>
        </w:rPr>
        <w:fldChar w:fldCharType="separate"/>
      </w:r>
      <w:r w:rsidRPr="00AE3876">
        <w:rPr>
          <w:b/>
          <w:bCs/>
        </w:rPr>
        <w:t xml:space="preserve">Table </w:t>
      </w:r>
      <w:r w:rsidR="00EA3949" w:rsidRPr="00EA3949">
        <w:rPr>
          <w:b/>
          <w:bCs/>
          <w:noProof/>
        </w:rPr>
        <w:t>16</w:t>
      </w:r>
      <w:r w:rsidRPr="00AE3876">
        <w:rPr>
          <w:b/>
          <w:bCs/>
        </w:rPr>
        <w:fldChar w:fldCharType="end"/>
      </w:r>
      <w:r>
        <w:t xml:space="preserve"> </w:t>
      </w:r>
      <w:r w:rsidR="00DE2B70">
        <w:t xml:space="preserve">shows </w:t>
      </w:r>
      <w:r w:rsidR="00012534">
        <w:t xml:space="preserve">how </w:t>
      </w:r>
      <w:r w:rsidR="002D1DCF">
        <w:t xml:space="preserve">surplus reductions equating to the </w:t>
      </w:r>
      <w:r w:rsidR="00DE2B70">
        <w:t>updated central</w:t>
      </w:r>
      <w:r w:rsidR="002D1DCF">
        <w:t xml:space="preserve"> surplus</w:t>
      </w:r>
      <w:r w:rsidR="00DE2B70">
        <w:t xml:space="preserve"> estimate</w:t>
      </w:r>
      <w:r w:rsidR="002D1DCF">
        <w:t xml:space="preserve"> </w:t>
      </w:r>
      <w:r w:rsidR="00C66522">
        <w:t xml:space="preserve">(50.2 million) </w:t>
      </w:r>
      <w:r w:rsidR="00943E14">
        <w:t xml:space="preserve">are applied over 2025-2030. </w:t>
      </w:r>
      <w:r w:rsidR="00431F34">
        <w:t xml:space="preserve">As the </w:t>
      </w:r>
      <w:r w:rsidR="00C15BB7">
        <w:t>unit limit settings for 202</w:t>
      </w:r>
      <w:r w:rsidR="00431F34">
        <w:t>5</w:t>
      </w:r>
      <w:r w:rsidR="00C15BB7">
        <w:t xml:space="preserve">-2027 </w:t>
      </w:r>
      <w:r w:rsidR="00431F34">
        <w:t xml:space="preserve">are fixed, </w:t>
      </w:r>
      <w:r w:rsidR="008427A4">
        <w:t xml:space="preserve">the surplus reductions used to determine the settings in regulations are subtracted </w:t>
      </w:r>
      <w:r w:rsidR="00653B96">
        <w:t>from the updated estimate of the base surplus estimate</w:t>
      </w:r>
      <w:r w:rsidR="008427A4">
        <w:t xml:space="preserve">. The </w:t>
      </w:r>
      <w:r w:rsidR="00653B96">
        <w:t xml:space="preserve">remaining surplus volume is </w:t>
      </w:r>
      <w:r>
        <w:t xml:space="preserve">spread </w:t>
      </w:r>
      <w:r w:rsidR="00653B96">
        <w:t xml:space="preserve">over </w:t>
      </w:r>
      <w:r w:rsidR="002C1DB8">
        <w:t xml:space="preserve">2028 – </w:t>
      </w:r>
      <w:r w:rsidR="00653B96">
        <w:t xml:space="preserve">2030 </w:t>
      </w:r>
      <w:r>
        <w:t xml:space="preserve">in proportion to </w:t>
      </w:r>
      <w:r w:rsidR="00653B96">
        <w:t xml:space="preserve">the NZ ETS emissions cap. </w:t>
      </w:r>
    </w:p>
    <w:p w14:paraId="76246481" w14:textId="292AF1AD" w:rsidR="00741D2D" w:rsidRDefault="00741D2D" w:rsidP="00EB101D">
      <w:pPr>
        <w:pStyle w:val="Caption"/>
      </w:pPr>
      <w:bookmarkStart w:id="68" w:name="_Ref194415840"/>
      <w:r w:rsidRPr="00BB7C95">
        <w:t>Table</w:t>
      </w:r>
      <w:r>
        <w:t xml:space="preserve"> </w:t>
      </w:r>
      <w:r w:rsidR="005A2D42">
        <w:fldChar w:fldCharType="begin"/>
      </w:r>
      <w:r w:rsidR="005A2D42">
        <w:instrText xml:space="preserve"> SEQ Table \* ARABIC </w:instrText>
      </w:r>
      <w:r w:rsidR="005A2D42">
        <w:fldChar w:fldCharType="separate"/>
      </w:r>
      <w:r w:rsidR="00EA3949">
        <w:rPr>
          <w:noProof/>
        </w:rPr>
        <w:t>16</w:t>
      </w:r>
      <w:r w:rsidR="005A2D42">
        <w:fldChar w:fldCharType="end"/>
      </w:r>
      <w:bookmarkEnd w:id="68"/>
      <w:r w:rsidR="00EA3949">
        <w:t>:</w:t>
      </w:r>
      <w:r w:rsidR="00E40087">
        <w:t xml:space="preserve"> </w:t>
      </w:r>
      <w:r w:rsidR="00E40087" w:rsidRPr="00EA3949">
        <w:rPr>
          <w:b w:val="0"/>
        </w:rPr>
        <w:t>Annual surplus reduction calculations</w:t>
      </w:r>
    </w:p>
    <w:tbl>
      <w:tblPr>
        <w:tblStyle w:val="TableGrid"/>
        <w:tblW w:w="8978" w:type="dxa"/>
        <w:tblLook w:val="04A0" w:firstRow="1" w:lastRow="0" w:firstColumn="1" w:lastColumn="0" w:noHBand="0" w:noVBand="1"/>
      </w:tblPr>
      <w:tblGrid>
        <w:gridCol w:w="4002"/>
        <w:gridCol w:w="701"/>
        <w:gridCol w:w="701"/>
        <w:gridCol w:w="587"/>
        <w:gridCol w:w="114"/>
        <w:gridCol w:w="701"/>
        <w:gridCol w:w="701"/>
        <w:gridCol w:w="702"/>
        <w:gridCol w:w="769"/>
      </w:tblGrid>
      <w:tr w:rsidR="00E15C5C" w:rsidRPr="00A2295F" w14:paraId="33253192" w14:textId="77777777" w:rsidTr="00F96832">
        <w:tc>
          <w:tcPr>
            <w:tcW w:w="400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2060"/>
            <w:tcMar>
              <w:top w:w="28" w:type="dxa"/>
              <w:bottom w:w="28" w:type="dxa"/>
            </w:tcMar>
          </w:tcPr>
          <w:p w14:paraId="57B33691" w14:textId="77777777" w:rsidR="00CE6097" w:rsidRPr="0095359A" w:rsidRDefault="00CE6097" w:rsidP="00653B96">
            <w:pPr>
              <w:rPr>
                <w:rFonts w:cstheme="minorHAnsi"/>
                <w:b/>
                <w:color w:val="FFFFFF" w:themeColor="background1"/>
                <w:sz w:val="20"/>
                <w:szCs w:val="20"/>
              </w:rPr>
            </w:pPr>
          </w:p>
        </w:tc>
        <w:tc>
          <w:tcPr>
            <w:tcW w:w="198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28" w:type="dxa"/>
              <w:bottom w:w="28" w:type="dxa"/>
            </w:tcMar>
          </w:tcPr>
          <w:p w14:paraId="7D3EBE33" w14:textId="20518F3F" w:rsidR="00CE6097" w:rsidRPr="0095359A" w:rsidRDefault="00CE6097" w:rsidP="009B6436">
            <w:pPr>
              <w:jc w:val="center"/>
              <w:rPr>
                <w:rFonts w:cstheme="minorHAnsi"/>
                <w:b/>
                <w:color w:val="FFFFFF" w:themeColor="background1"/>
                <w:sz w:val="20"/>
                <w:szCs w:val="20"/>
              </w:rPr>
            </w:pPr>
            <w:r w:rsidRPr="0095359A">
              <w:rPr>
                <w:rFonts w:cstheme="minorHAnsi"/>
                <w:b/>
                <w:color w:val="FFFFFF" w:themeColor="background1"/>
                <w:sz w:val="20"/>
                <w:szCs w:val="20"/>
              </w:rPr>
              <w:t>Fixed</w:t>
            </w:r>
          </w:p>
        </w:tc>
        <w:tc>
          <w:tcPr>
            <w:tcW w:w="22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28" w:type="dxa"/>
              <w:bottom w:w="28" w:type="dxa"/>
            </w:tcMar>
          </w:tcPr>
          <w:p w14:paraId="0422ADF3" w14:textId="1F3F8511" w:rsidR="00CE6097" w:rsidRPr="0095359A" w:rsidRDefault="00CE6097" w:rsidP="009B6436">
            <w:pPr>
              <w:jc w:val="center"/>
              <w:rPr>
                <w:rFonts w:cstheme="minorHAnsi"/>
                <w:b/>
                <w:color w:val="FFFFFF" w:themeColor="background1"/>
                <w:sz w:val="20"/>
                <w:szCs w:val="20"/>
              </w:rPr>
            </w:pPr>
            <w:r w:rsidRPr="0095359A">
              <w:rPr>
                <w:rFonts w:cstheme="minorHAnsi"/>
                <w:b/>
                <w:color w:val="FFFFFF" w:themeColor="background1"/>
                <w:sz w:val="20"/>
                <w:szCs w:val="20"/>
              </w:rPr>
              <w:t>Updated</w:t>
            </w:r>
          </w:p>
        </w:tc>
        <w:tc>
          <w:tcPr>
            <w:tcW w:w="769" w:type="dxa"/>
            <w:vMerge w:val="restart"/>
            <w:tcBorders>
              <w:left w:val="single" w:sz="4" w:space="0" w:color="FFFFFF" w:themeColor="background1"/>
            </w:tcBorders>
            <w:shd w:val="clear" w:color="auto" w:fill="002060"/>
            <w:tcMar>
              <w:top w:w="28" w:type="dxa"/>
              <w:bottom w:w="28" w:type="dxa"/>
            </w:tcMar>
          </w:tcPr>
          <w:p w14:paraId="4177FCAC" w14:textId="4AC19426" w:rsidR="00CE6097" w:rsidRPr="0095359A" w:rsidRDefault="00CE6097" w:rsidP="00714EC3">
            <w:pPr>
              <w:rPr>
                <w:rFonts w:cstheme="minorHAnsi"/>
                <w:b/>
                <w:color w:val="FFFFFF" w:themeColor="background1"/>
                <w:sz w:val="20"/>
                <w:szCs w:val="20"/>
              </w:rPr>
            </w:pPr>
            <w:r w:rsidRPr="0095359A">
              <w:rPr>
                <w:rFonts w:cstheme="minorHAnsi"/>
                <w:b/>
                <w:color w:val="FFFFFF" w:themeColor="background1"/>
                <w:sz w:val="20"/>
                <w:szCs w:val="20"/>
              </w:rPr>
              <w:t>Total</w:t>
            </w:r>
          </w:p>
        </w:tc>
      </w:tr>
      <w:tr w:rsidR="00646E92" w:rsidRPr="00A2295F" w14:paraId="2BF3A2C8" w14:textId="77777777" w:rsidTr="00F96832">
        <w:tc>
          <w:tcPr>
            <w:tcW w:w="4002" w:type="dxa"/>
            <w:vMerge/>
            <w:tcBorders>
              <w:left w:val="single" w:sz="4" w:space="0" w:color="FFFFFF" w:themeColor="background1"/>
              <w:bottom w:val="single" w:sz="4" w:space="0" w:color="FFFFFF" w:themeColor="background1"/>
              <w:right w:val="single" w:sz="4" w:space="0" w:color="FFFFFF" w:themeColor="background1"/>
            </w:tcBorders>
            <w:shd w:val="clear" w:color="auto" w:fill="002060"/>
            <w:tcMar>
              <w:top w:w="28" w:type="dxa"/>
              <w:bottom w:w="28" w:type="dxa"/>
            </w:tcMar>
            <w:vAlign w:val="bottom"/>
          </w:tcPr>
          <w:p w14:paraId="34EB74C6" w14:textId="77777777" w:rsidR="00CE6097" w:rsidRPr="0095359A" w:rsidRDefault="00CE6097" w:rsidP="00714EC3">
            <w:pPr>
              <w:rPr>
                <w:rFonts w:cstheme="minorHAnsi"/>
                <w:b/>
                <w:color w:val="FFFFFF" w:themeColor="background1"/>
                <w:sz w:val="20"/>
                <w:szCs w:val="20"/>
              </w:rPr>
            </w:pPr>
          </w:p>
        </w:tc>
        <w:tc>
          <w:tcPr>
            <w:tcW w:w="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28" w:type="dxa"/>
              <w:bottom w:w="28" w:type="dxa"/>
            </w:tcMar>
            <w:vAlign w:val="bottom"/>
          </w:tcPr>
          <w:p w14:paraId="47EB9563" w14:textId="6E4A6A56" w:rsidR="00CE6097" w:rsidRPr="0095359A" w:rsidRDefault="00CE6097" w:rsidP="00714EC3">
            <w:pPr>
              <w:rPr>
                <w:rFonts w:cstheme="minorHAnsi"/>
                <w:b/>
                <w:color w:val="FFFFFF" w:themeColor="background1"/>
                <w:sz w:val="20"/>
                <w:szCs w:val="20"/>
              </w:rPr>
            </w:pPr>
            <w:r w:rsidRPr="0095359A">
              <w:rPr>
                <w:rFonts w:cstheme="minorHAnsi"/>
                <w:b/>
                <w:color w:val="FFFFFF" w:themeColor="background1"/>
                <w:sz w:val="20"/>
                <w:szCs w:val="20"/>
              </w:rPr>
              <w:t>2025</w:t>
            </w:r>
          </w:p>
        </w:tc>
        <w:tc>
          <w:tcPr>
            <w:tcW w:w="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28" w:type="dxa"/>
              <w:bottom w:w="28" w:type="dxa"/>
            </w:tcMar>
            <w:vAlign w:val="bottom"/>
          </w:tcPr>
          <w:p w14:paraId="33CEDF6A" w14:textId="37DE5629" w:rsidR="00CE6097" w:rsidRPr="0095359A" w:rsidRDefault="00CE6097" w:rsidP="00714EC3">
            <w:pPr>
              <w:rPr>
                <w:rFonts w:cstheme="minorHAnsi"/>
                <w:b/>
                <w:color w:val="FFFFFF" w:themeColor="background1"/>
                <w:sz w:val="20"/>
                <w:szCs w:val="20"/>
              </w:rPr>
            </w:pPr>
            <w:r w:rsidRPr="0095359A">
              <w:rPr>
                <w:rFonts w:cstheme="minorHAnsi"/>
                <w:b/>
                <w:color w:val="FFFFFF" w:themeColor="background1"/>
                <w:sz w:val="20"/>
                <w:szCs w:val="20"/>
              </w:rPr>
              <w:t>2026</w:t>
            </w:r>
          </w:p>
        </w:tc>
        <w:tc>
          <w:tcPr>
            <w:tcW w:w="7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28" w:type="dxa"/>
              <w:bottom w:w="28" w:type="dxa"/>
            </w:tcMar>
            <w:vAlign w:val="bottom"/>
          </w:tcPr>
          <w:p w14:paraId="225DC74B" w14:textId="679C328B" w:rsidR="00CE6097" w:rsidRPr="0095359A" w:rsidRDefault="00CE6097" w:rsidP="00714EC3">
            <w:pPr>
              <w:rPr>
                <w:rFonts w:cstheme="minorHAnsi"/>
                <w:b/>
                <w:color w:val="FFFFFF" w:themeColor="background1"/>
                <w:sz w:val="20"/>
                <w:szCs w:val="20"/>
              </w:rPr>
            </w:pPr>
            <w:r w:rsidRPr="0095359A">
              <w:rPr>
                <w:rFonts w:cstheme="minorHAnsi"/>
                <w:b/>
                <w:color w:val="FFFFFF" w:themeColor="background1"/>
                <w:sz w:val="20"/>
                <w:szCs w:val="20"/>
              </w:rPr>
              <w:t>2027</w:t>
            </w:r>
          </w:p>
        </w:tc>
        <w:tc>
          <w:tcPr>
            <w:tcW w:w="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28" w:type="dxa"/>
              <w:bottom w:w="28" w:type="dxa"/>
            </w:tcMar>
            <w:vAlign w:val="bottom"/>
          </w:tcPr>
          <w:p w14:paraId="02B33D4D" w14:textId="6E4BDB8E" w:rsidR="00CE6097" w:rsidRPr="0095359A" w:rsidRDefault="00CE6097" w:rsidP="00714EC3">
            <w:pPr>
              <w:rPr>
                <w:rFonts w:cstheme="minorHAnsi"/>
                <w:b/>
                <w:color w:val="FFFFFF" w:themeColor="background1"/>
                <w:sz w:val="20"/>
                <w:szCs w:val="20"/>
              </w:rPr>
            </w:pPr>
            <w:r w:rsidRPr="0095359A">
              <w:rPr>
                <w:rFonts w:cstheme="minorHAnsi"/>
                <w:b/>
                <w:color w:val="FFFFFF" w:themeColor="background1"/>
                <w:sz w:val="20"/>
                <w:szCs w:val="20"/>
              </w:rPr>
              <w:t>2028</w:t>
            </w:r>
          </w:p>
        </w:tc>
        <w:tc>
          <w:tcPr>
            <w:tcW w:w="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28" w:type="dxa"/>
              <w:bottom w:w="28" w:type="dxa"/>
            </w:tcMar>
            <w:vAlign w:val="bottom"/>
          </w:tcPr>
          <w:p w14:paraId="3143572A" w14:textId="6F32C75A" w:rsidR="00CE6097" w:rsidRPr="0095359A" w:rsidRDefault="00CE6097" w:rsidP="00714EC3">
            <w:pPr>
              <w:rPr>
                <w:rFonts w:cstheme="minorHAnsi"/>
                <w:b/>
                <w:color w:val="FFFFFF" w:themeColor="background1"/>
                <w:sz w:val="20"/>
                <w:szCs w:val="20"/>
              </w:rPr>
            </w:pPr>
            <w:r w:rsidRPr="0095359A">
              <w:rPr>
                <w:rFonts w:cstheme="minorHAnsi"/>
                <w:b/>
                <w:color w:val="FFFFFF" w:themeColor="background1"/>
                <w:sz w:val="20"/>
                <w:szCs w:val="20"/>
              </w:rPr>
              <w:t>2029</w:t>
            </w:r>
          </w:p>
        </w:tc>
        <w:tc>
          <w:tcPr>
            <w:tcW w:w="7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tcMar>
              <w:top w:w="28" w:type="dxa"/>
              <w:bottom w:w="28" w:type="dxa"/>
            </w:tcMar>
            <w:vAlign w:val="bottom"/>
          </w:tcPr>
          <w:p w14:paraId="7F73B5D5" w14:textId="0A16AFC6" w:rsidR="00CE6097" w:rsidRPr="0095359A" w:rsidRDefault="00CE6097" w:rsidP="00714EC3">
            <w:pPr>
              <w:rPr>
                <w:rFonts w:cstheme="minorHAnsi"/>
                <w:b/>
                <w:color w:val="FFFFFF" w:themeColor="background1"/>
                <w:sz w:val="20"/>
                <w:szCs w:val="20"/>
              </w:rPr>
            </w:pPr>
            <w:r w:rsidRPr="0095359A">
              <w:rPr>
                <w:rFonts w:cstheme="minorHAnsi"/>
                <w:b/>
                <w:color w:val="FFFFFF" w:themeColor="background1"/>
                <w:sz w:val="20"/>
                <w:szCs w:val="20"/>
              </w:rPr>
              <w:t>2030</w:t>
            </w:r>
          </w:p>
        </w:tc>
        <w:tc>
          <w:tcPr>
            <w:tcW w:w="769" w:type="dxa"/>
            <w:vMerge/>
            <w:tcBorders>
              <w:left w:val="single" w:sz="4" w:space="0" w:color="FFFFFF" w:themeColor="background1"/>
            </w:tcBorders>
            <w:shd w:val="clear" w:color="auto" w:fill="002060"/>
            <w:tcMar>
              <w:top w:w="28" w:type="dxa"/>
              <w:bottom w:w="28" w:type="dxa"/>
            </w:tcMar>
            <w:vAlign w:val="bottom"/>
          </w:tcPr>
          <w:p w14:paraId="1513997A" w14:textId="73FAFD09" w:rsidR="00CE6097" w:rsidRPr="0095359A" w:rsidRDefault="00CE6097" w:rsidP="00714EC3">
            <w:pPr>
              <w:rPr>
                <w:rFonts w:cstheme="minorHAnsi"/>
                <w:color w:val="FFFFFF" w:themeColor="background1"/>
                <w:sz w:val="20"/>
                <w:szCs w:val="20"/>
              </w:rPr>
            </w:pPr>
          </w:p>
        </w:tc>
      </w:tr>
      <w:tr w:rsidR="00532080" w:rsidRPr="00A2295F" w14:paraId="27EBCE1D" w14:textId="77777777" w:rsidTr="00F96832">
        <w:tc>
          <w:tcPr>
            <w:tcW w:w="4002" w:type="dxa"/>
            <w:tcBorders>
              <w:top w:val="single" w:sz="4" w:space="0" w:color="FFFFFF" w:themeColor="background1"/>
            </w:tcBorders>
            <w:tcMar>
              <w:top w:w="28" w:type="dxa"/>
              <w:bottom w:w="28" w:type="dxa"/>
            </w:tcMar>
            <w:vAlign w:val="bottom"/>
          </w:tcPr>
          <w:p w14:paraId="3CB894BE" w14:textId="73F117A9" w:rsidR="00714EC3" w:rsidRPr="0095359A" w:rsidRDefault="00714EC3" w:rsidP="00714EC3">
            <w:pPr>
              <w:rPr>
                <w:rFonts w:cstheme="minorHAnsi"/>
                <w:sz w:val="20"/>
                <w:szCs w:val="20"/>
              </w:rPr>
            </w:pPr>
            <w:r w:rsidRPr="0095359A">
              <w:rPr>
                <w:rFonts w:cstheme="minorHAnsi"/>
                <w:color w:val="000000"/>
                <w:sz w:val="20"/>
                <w:szCs w:val="20"/>
              </w:rPr>
              <w:t xml:space="preserve">Annual </w:t>
            </w:r>
            <w:r w:rsidR="00D65649" w:rsidRPr="0095359A">
              <w:rPr>
                <w:rFonts w:cstheme="minorHAnsi"/>
                <w:color w:val="000000"/>
                <w:sz w:val="20"/>
                <w:szCs w:val="20"/>
              </w:rPr>
              <w:t xml:space="preserve">surplus </w:t>
            </w:r>
            <w:r w:rsidRPr="0095359A">
              <w:rPr>
                <w:rFonts w:cstheme="minorHAnsi"/>
                <w:color w:val="000000"/>
                <w:sz w:val="20"/>
                <w:szCs w:val="20"/>
              </w:rPr>
              <w:t>reduction volume (million)</w:t>
            </w:r>
          </w:p>
        </w:tc>
        <w:tc>
          <w:tcPr>
            <w:tcW w:w="701" w:type="dxa"/>
            <w:tcBorders>
              <w:top w:val="single" w:sz="4" w:space="0" w:color="FFFFFF" w:themeColor="background1"/>
            </w:tcBorders>
            <w:tcMar>
              <w:top w:w="28" w:type="dxa"/>
              <w:bottom w:w="28" w:type="dxa"/>
            </w:tcMar>
            <w:vAlign w:val="bottom"/>
          </w:tcPr>
          <w:p w14:paraId="102F1ECF" w14:textId="27A65BB2" w:rsidR="00714EC3" w:rsidRPr="0095359A" w:rsidRDefault="00714EC3" w:rsidP="00714EC3">
            <w:pPr>
              <w:rPr>
                <w:rFonts w:cstheme="minorHAnsi"/>
                <w:sz w:val="20"/>
                <w:szCs w:val="20"/>
              </w:rPr>
            </w:pPr>
            <w:r w:rsidRPr="0095359A">
              <w:rPr>
                <w:rFonts w:cstheme="minorHAnsi"/>
                <w:color w:val="000000"/>
                <w:sz w:val="20"/>
                <w:szCs w:val="20"/>
              </w:rPr>
              <w:t>12.5</w:t>
            </w:r>
          </w:p>
        </w:tc>
        <w:tc>
          <w:tcPr>
            <w:tcW w:w="701" w:type="dxa"/>
            <w:tcBorders>
              <w:top w:val="single" w:sz="4" w:space="0" w:color="FFFFFF" w:themeColor="background1"/>
            </w:tcBorders>
            <w:tcMar>
              <w:top w:w="28" w:type="dxa"/>
              <w:bottom w:w="28" w:type="dxa"/>
            </w:tcMar>
            <w:vAlign w:val="bottom"/>
          </w:tcPr>
          <w:p w14:paraId="7ABDA03F" w14:textId="341876DC" w:rsidR="00714EC3" w:rsidRPr="0095359A" w:rsidRDefault="00714EC3" w:rsidP="00714EC3">
            <w:pPr>
              <w:rPr>
                <w:rFonts w:cstheme="minorHAnsi"/>
                <w:sz w:val="20"/>
                <w:szCs w:val="20"/>
              </w:rPr>
            </w:pPr>
            <w:r w:rsidRPr="0095359A">
              <w:rPr>
                <w:rFonts w:cstheme="minorHAnsi"/>
                <w:color w:val="000000"/>
                <w:sz w:val="20"/>
                <w:szCs w:val="20"/>
              </w:rPr>
              <w:t>11.5</w:t>
            </w:r>
          </w:p>
        </w:tc>
        <w:tc>
          <w:tcPr>
            <w:tcW w:w="701" w:type="dxa"/>
            <w:gridSpan w:val="2"/>
            <w:tcBorders>
              <w:top w:val="single" w:sz="4" w:space="0" w:color="FFFFFF" w:themeColor="background1"/>
            </w:tcBorders>
            <w:tcMar>
              <w:top w:w="28" w:type="dxa"/>
              <w:bottom w:w="28" w:type="dxa"/>
            </w:tcMar>
            <w:vAlign w:val="bottom"/>
          </w:tcPr>
          <w:p w14:paraId="57B981CD" w14:textId="2994A7EF" w:rsidR="00714EC3" w:rsidRPr="0095359A" w:rsidRDefault="00714EC3" w:rsidP="00714EC3">
            <w:pPr>
              <w:rPr>
                <w:rFonts w:cstheme="minorHAnsi"/>
                <w:sz w:val="20"/>
                <w:szCs w:val="20"/>
              </w:rPr>
            </w:pPr>
            <w:r w:rsidRPr="0095359A">
              <w:rPr>
                <w:rFonts w:cstheme="minorHAnsi"/>
                <w:color w:val="000000"/>
                <w:sz w:val="20"/>
                <w:szCs w:val="20"/>
              </w:rPr>
              <w:t>10.5</w:t>
            </w:r>
          </w:p>
        </w:tc>
        <w:tc>
          <w:tcPr>
            <w:tcW w:w="701" w:type="dxa"/>
            <w:tcBorders>
              <w:top w:val="single" w:sz="4" w:space="0" w:color="FFFFFF" w:themeColor="background1"/>
            </w:tcBorders>
            <w:tcMar>
              <w:top w:w="28" w:type="dxa"/>
              <w:bottom w:w="28" w:type="dxa"/>
            </w:tcMar>
            <w:vAlign w:val="bottom"/>
          </w:tcPr>
          <w:p w14:paraId="02B58B7D" w14:textId="46FB3B07" w:rsidR="00714EC3" w:rsidRPr="0095359A" w:rsidRDefault="00714EC3" w:rsidP="00714EC3">
            <w:pPr>
              <w:rPr>
                <w:rFonts w:cstheme="minorHAnsi"/>
                <w:sz w:val="20"/>
                <w:szCs w:val="20"/>
              </w:rPr>
            </w:pPr>
            <w:r w:rsidRPr="0095359A">
              <w:rPr>
                <w:rFonts w:cstheme="minorHAnsi"/>
                <w:color w:val="000000"/>
                <w:sz w:val="20"/>
                <w:szCs w:val="20"/>
              </w:rPr>
              <w:t xml:space="preserve">5.4 </w:t>
            </w:r>
          </w:p>
        </w:tc>
        <w:tc>
          <w:tcPr>
            <w:tcW w:w="701" w:type="dxa"/>
            <w:tcBorders>
              <w:top w:val="single" w:sz="4" w:space="0" w:color="FFFFFF" w:themeColor="background1"/>
            </w:tcBorders>
            <w:tcMar>
              <w:top w:w="28" w:type="dxa"/>
              <w:bottom w:w="28" w:type="dxa"/>
            </w:tcMar>
            <w:vAlign w:val="bottom"/>
          </w:tcPr>
          <w:p w14:paraId="09B4F11D" w14:textId="2F144A68" w:rsidR="00714EC3" w:rsidRPr="0095359A" w:rsidRDefault="00714EC3" w:rsidP="00714EC3">
            <w:pPr>
              <w:rPr>
                <w:rFonts w:cstheme="minorHAnsi"/>
                <w:sz w:val="20"/>
                <w:szCs w:val="20"/>
              </w:rPr>
            </w:pPr>
            <w:r w:rsidRPr="0095359A">
              <w:rPr>
                <w:rFonts w:cstheme="minorHAnsi"/>
                <w:color w:val="000000"/>
                <w:sz w:val="20"/>
                <w:szCs w:val="20"/>
              </w:rPr>
              <w:t xml:space="preserve">5.3 </w:t>
            </w:r>
          </w:p>
        </w:tc>
        <w:tc>
          <w:tcPr>
            <w:tcW w:w="702" w:type="dxa"/>
            <w:tcBorders>
              <w:top w:val="single" w:sz="4" w:space="0" w:color="FFFFFF" w:themeColor="background1"/>
            </w:tcBorders>
            <w:tcMar>
              <w:top w:w="28" w:type="dxa"/>
              <w:bottom w:w="28" w:type="dxa"/>
            </w:tcMar>
            <w:vAlign w:val="bottom"/>
          </w:tcPr>
          <w:p w14:paraId="7D928993" w14:textId="38774542" w:rsidR="00714EC3" w:rsidRPr="0095359A" w:rsidRDefault="00714EC3" w:rsidP="00714EC3">
            <w:pPr>
              <w:rPr>
                <w:rFonts w:cstheme="minorHAnsi"/>
                <w:sz w:val="20"/>
                <w:szCs w:val="20"/>
              </w:rPr>
            </w:pPr>
            <w:r w:rsidRPr="0095359A">
              <w:rPr>
                <w:rFonts w:cstheme="minorHAnsi"/>
                <w:color w:val="000000"/>
                <w:sz w:val="20"/>
                <w:szCs w:val="20"/>
              </w:rPr>
              <w:t xml:space="preserve">5.0 </w:t>
            </w:r>
          </w:p>
        </w:tc>
        <w:tc>
          <w:tcPr>
            <w:tcW w:w="769" w:type="dxa"/>
            <w:tcMar>
              <w:top w:w="28" w:type="dxa"/>
              <w:bottom w:w="28" w:type="dxa"/>
            </w:tcMar>
            <w:vAlign w:val="bottom"/>
          </w:tcPr>
          <w:p w14:paraId="79B4CB65" w14:textId="52A8C7C6" w:rsidR="00714EC3" w:rsidRPr="0095359A" w:rsidRDefault="00714EC3" w:rsidP="00714EC3">
            <w:pPr>
              <w:rPr>
                <w:rFonts w:cstheme="minorHAnsi"/>
                <w:sz w:val="20"/>
                <w:szCs w:val="20"/>
              </w:rPr>
            </w:pPr>
            <w:r w:rsidRPr="0095359A">
              <w:rPr>
                <w:rFonts w:cstheme="minorHAnsi"/>
                <w:b/>
                <w:color w:val="000000"/>
                <w:sz w:val="20"/>
                <w:szCs w:val="20"/>
              </w:rPr>
              <w:t xml:space="preserve">50.2 </w:t>
            </w:r>
          </w:p>
        </w:tc>
      </w:tr>
      <w:tr w:rsidR="00532080" w:rsidRPr="00A2295F" w14:paraId="7906B1B9" w14:textId="77777777" w:rsidTr="00F96832">
        <w:tc>
          <w:tcPr>
            <w:tcW w:w="4002" w:type="dxa"/>
            <w:tcMar>
              <w:top w:w="28" w:type="dxa"/>
              <w:bottom w:w="28" w:type="dxa"/>
            </w:tcMar>
            <w:vAlign w:val="bottom"/>
          </w:tcPr>
          <w:p w14:paraId="1C4F0215" w14:textId="3004C5C1" w:rsidR="00714EC3" w:rsidRPr="0095359A" w:rsidRDefault="00714EC3" w:rsidP="00714EC3">
            <w:pPr>
              <w:rPr>
                <w:rFonts w:cstheme="minorHAnsi"/>
                <w:sz w:val="20"/>
                <w:szCs w:val="20"/>
              </w:rPr>
            </w:pPr>
            <w:r w:rsidRPr="0095359A">
              <w:rPr>
                <w:rFonts w:cstheme="minorHAnsi"/>
                <w:color w:val="000000"/>
                <w:sz w:val="20"/>
                <w:szCs w:val="20"/>
              </w:rPr>
              <w:t>% of total surplus estimate</w:t>
            </w:r>
          </w:p>
        </w:tc>
        <w:tc>
          <w:tcPr>
            <w:tcW w:w="701" w:type="dxa"/>
            <w:tcMar>
              <w:top w:w="28" w:type="dxa"/>
              <w:bottom w:w="28" w:type="dxa"/>
            </w:tcMar>
            <w:vAlign w:val="bottom"/>
          </w:tcPr>
          <w:p w14:paraId="1E0FA76A" w14:textId="42235A40" w:rsidR="00714EC3" w:rsidRPr="0095359A" w:rsidRDefault="00714EC3" w:rsidP="00714EC3">
            <w:pPr>
              <w:rPr>
                <w:rFonts w:cstheme="minorHAnsi"/>
                <w:sz w:val="20"/>
                <w:szCs w:val="20"/>
              </w:rPr>
            </w:pPr>
            <w:r w:rsidRPr="0095359A">
              <w:rPr>
                <w:rFonts w:cstheme="minorHAnsi"/>
                <w:color w:val="000000"/>
                <w:sz w:val="20"/>
                <w:szCs w:val="20"/>
              </w:rPr>
              <w:t>25%</w:t>
            </w:r>
          </w:p>
        </w:tc>
        <w:tc>
          <w:tcPr>
            <w:tcW w:w="701" w:type="dxa"/>
            <w:tcMar>
              <w:top w:w="28" w:type="dxa"/>
              <w:bottom w:w="28" w:type="dxa"/>
            </w:tcMar>
            <w:vAlign w:val="bottom"/>
          </w:tcPr>
          <w:p w14:paraId="5996416F" w14:textId="614A1A9F" w:rsidR="00714EC3" w:rsidRPr="0095359A" w:rsidRDefault="00714EC3" w:rsidP="00714EC3">
            <w:pPr>
              <w:rPr>
                <w:rFonts w:cstheme="minorHAnsi"/>
                <w:sz w:val="20"/>
                <w:szCs w:val="20"/>
              </w:rPr>
            </w:pPr>
            <w:r w:rsidRPr="0095359A">
              <w:rPr>
                <w:rFonts w:cstheme="minorHAnsi"/>
                <w:color w:val="000000"/>
                <w:sz w:val="20"/>
                <w:szCs w:val="20"/>
              </w:rPr>
              <w:t>23%</w:t>
            </w:r>
          </w:p>
        </w:tc>
        <w:tc>
          <w:tcPr>
            <w:tcW w:w="701" w:type="dxa"/>
            <w:gridSpan w:val="2"/>
            <w:tcMar>
              <w:top w:w="28" w:type="dxa"/>
              <w:bottom w:w="28" w:type="dxa"/>
            </w:tcMar>
            <w:vAlign w:val="bottom"/>
          </w:tcPr>
          <w:p w14:paraId="74591471" w14:textId="72EC29A3" w:rsidR="00714EC3" w:rsidRPr="0095359A" w:rsidRDefault="00714EC3" w:rsidP="00714EC3">
            <w:pPr>
              <w:rPr>
                <w:rFonts w:cstheme="minorHAnsi"/>
                <w:sz w:val="20"/>
                <w:szCs w:val="20"/>
              </w:rPr>
            </w:pPr>
            <w:r w:rsidRPr="0095359A">
              <w:rPr>
                <w:rFonts w:cstheme="minorHAnsi"/>
                <w:color w:val="000000"/>
                <w:sz w:val="20"/>
                <w:szCs w:val="20"/>
              </w:rPr>
              <w:t>21%</w:t>
            </w:r>
          </w:p>
        </w:tc>
        <w:tc>
          <w:tcPr>
            <w:tcW w:w="701" w:type="dxa"/>
            <w:tcMar>
              <w:top w:w="28" w:type="dxa"/>
              <w:bottom w:w="28" w:type="dxa"/>
            </w:tcMar>
            <w:vAlign w:val="bottom"/>
          </w:tcPr>
          <w:p w14:paraId="18721A14" w14:textId="69065749" w:rsidR="00714EC3" w:rsidRPr="0095359A" w:rsidRDefault="00714EC3" w:rsidP="00714EC3">
            <w:pPr>
              <w:rPr>
                <w:rFonts w:cstheme="minorHAnsi"/>
                <w:sz w:val="20"/>
                <w:szCs w:val="20"/>
              </w:rPr>
            </w:pPr>
            <w:r w:rsidRPr="0095359A">
              <w:rPr>
                <w:rFonts w:cstheme="minorHAnsi"/>
                <w:color w:val="000000"/>
                <w:sz w:val="20"/>
                <w:szCs w:val="20"/>
              </w:rPr>
              <w:t>11%</w:t>
            </w:r>
          </w:p>
        </w:tc>
        <w:tc>
          <w:tcPr>
            <w:tcW w:w="701" w:type="dxa"/>
            <w:tcMar>
              <w:top w:w="28" w:type="dxa"/>
              <w:bottom w:w="28" w:type="dxa"/>
            </w:tcMar>
            <w:vAlign w:val="bottom"/>
          </w:tcPr>
          <w:p w14:paraId="6C5F41D0" w14:textId="334F7C23" w:rsidR="00714EC3" w:rsidRPr="0095359A" w:rsidRDefault="00714EC3" w:rsidP="00714EC3">
            <w:pPr>
              <w:rPr>
                <w:rFonts w:cstheme="minorHAnsi"/>
                <w:sz w:val="20"/>
                <w:szCs w:val="20"/>
              </w:rPr>
            </w:pPr>
            <w:r w:rsidRPr="0095359A">
              <w:rPr>
                <w:rFonts w:cstheme="minorHAnsi"/>
                <w:color w:val="000000"/>
                <w:sz w:val="20"/>
                <w:szCs w:val="20"/>
              </w:rPr>
              <w:t>10%</w:t>
            </w:r>
          </w:p>
        </w:tc>
        <w:tc>
          <w:tcPr>
            <w:tcW w:w="702" w:type="dxa"/>
            <w:tcMar>
              <w:top w:w="28" w:type="dxa"/>
              <w:bottom w:w="28" w:type="dxa"/>
            </w:tcMar>
            <w:vAlign w:val="bottom"/>
          </w:tcPr>
          <w:p w14:paraId="1D6CAC85" w14:textId="0B5A24C8" w:rsidR="00714EC3" w:rsidRPr="0095359A" w:rsidRDefault="00714EC3" w:rsidP="00714EC3">
            <w:pPr>
              <w:rPr>
                <w:rFonts w:cstheme="minorHAnsi"/>
                <w:sz w:val="20"/>
                <w:szCs w:val="20"/>
              </w:rPr>
            </w:pPr>
            <w:r w:rsidRPr="0095359A">
              <w:rPr>
                <w:rFonts w:cstheme="minorHAnsi"/>
                <w:color w:val="000000"/>
                <w:sz w:val="20"/>
                <w:szCs w:val="20"/>
              </w:rPr>
              <w:t>10%</w:t>
            </w:r>
          </w:p>
        </w:tc>
        <w:tc>
          <w:tcPr>
            <w:tcW w:w="769" w:type="dxa"/>
            <w:tcMar>
              <w:top w:w="28" w:type="dxa"/>
              <w:bottom w:w="28" w:type="dxa"/>
            </w:tcMar>
            <w:vAlign w:val="bottom"/>
          </w:tcPr>
          <w:p w14:paraId="6D2329C7" w14:textId="1C41CCDF" w:rsidR="00714EC3" w:rsidRPr="0095359A" w:rsidRDefault="00714EC3" w:rsidP="00714EC3">
            <w:pPr>
              <w:rPr>
                <w:rFonts w:cstheme="minorHAnsi"/>
                <w:sz w:val="20"/>
                <w:szCs w:val="20"/>
              </w:rPr>
            </w:pPr>
            <w:r w:rsidRPr="0095359A">
              <w:rPr>
                <w:rFonts w:cstheme="minorHAnsi"/>
                <w:color w:val="000000"/>
                <w:sz w:val="20"/>
                <w:szCs w:val="20"/>
              </w:rPr>
              <w:t>100%</w:t>
            </w:r>
          </w:p>
        </w:tc>
      </w:tr>
      <w:tr w:rsidR="00532080" w:rsidRPr="00A2295F" w14:paraId="333F7BDA" w14:textId="77777777" w:rsidTr="00F96832">
        <w:tc>
          <w:tcPr>
            <w:tcW w:w="4002" w:type="dxa"/>
            <w:tcMar>
              <w:top w:w="28" w:type="dxa"/>
              <w:bottom w:w="28" w:type="dxa"/>
            </w:tcMar>
            <w:vAlign w:val="bottom"/>
          </w:tcPr>
          <w:p w14:paraId="10DCFEEB" w14:textId="235D540A" w:rsidR="00714EC3" w:rsidRPr="0095359A" w:rsidRDefault="00714EC3" w:rsidP="00714EC3">
            <w:pPr>
              <w:rPr>
                <w:rFonts w:cstheme="minorHAnsi"/>
                <w:sz w:val="20"/>
                <w:szCs w:val="20"/>
              </w:rPr>
            </w:pPr>
            <w:r w:rsidRPr="0095359A">
              <w:rPr>
                <w:rFonts w:cstheme="minorHAnsi"/>
                <w:color w:val="000000"/>
                <w:sz w:val="20"/>
                <w:szCs w:val="20"/>
              </w:rPr>
              <w:t>% of NZ ETS emissions cap allocated to surplus reduction</w:t>
            </w:r>
          </w:p>
        </w:tc>
        <w:tc>
          <w:tcPr>
            <w:tcW w:w="701" w:type="dxa"/>
            <w:tcMar>
              <w:top w:w="28" w:type="dxa"/>
              <w:bottom w:w="28" w:type="dxa"/>
            </w:tcMar>
            <w:vAlign w:val="bottom"/>
          </w:tcPr>
          <w:p w14:paraId="092C48D4" w14:textId="4E6DD2FB" w:rsidR="00714EC3" w:rsidRPr="0095359A" w:rsidRDefault="00714EC3" w:rsidP="00714EC3">
            <w:pPr>
              <w:rPr>
                <w:rFonts w:cstheme="minorHAnsi"/>
                <w:sz w:val="20"/>
                <w:szCs w:val="20"/>
              </w:rPr>
            </w:pPr>
            <w:r w:rsidRPr="0095359A">
              <w:rPr>
                <w:rFonts w:cstheme="minorHAnsi"/>
                <w:color w:val="000000"/>
                <w:sz w:val="20"/>
                <w:szCs w:val="20"/>
              </w:rPr>
              <w:t>49%</w:t>
            </w:r>
          </w:p>
        </w:tc>
        <w:tc>
          <w:tcPr>
            <w:tcW w:w="701" w:type="dxa"/>
            <w:tcMar>
              <w:top w:w="28" w:type="dxa"/>
              <w:bottom w:w="28" w:type="dxa"/>
            </w:tcMar>
            <w:vAlign w:val="bottom"/>
          </w:tcPr>
          <w:p w14:paraId="02F29D20" w14:textId="6643CEBC" w:rsidR="00714EC3" w:rsidRPr="0095359A" w:rsidRDefault="00714EC3" w:rsidP="00714EC3">
            <w:pPr>
              <w:rPr>
                <w:rFonts w:cstheme="minorHAnsi"/>
                <w:sz w:val="20"/>
                <w:szCs w:val="20"/>
              </w:rPr>
            </w:pPr>
            <w:r w:rsidRPr="0095359A">
              <w:rPr>
                <w:rFonts w:cstheme="minorHAnsi"/>
                <w:color w:val="000000"/>
                <w:sz w:val="20"/>
                <w:szCs w:val="20"/>
              </w:rPr>
              <w:t>50%</w:t>
            </w:r>
          </w:p>
        </w:tc>
        <w:tc>
          <w:tcPr>
            <w:tcW w:w="701" w:type="dxa"/>
            <w:gridSpan w:val="2"/>
            <w:tcMar>
              <w:top w:w="28" w:type="dxa"/>
              <w:bottom w:w="28" w:type="dxa"/>
            </w:tcMar>
            <w:vAlign w:val="bottom"/>
          </w:tcPr>
          <w:p w14:paraId="30827944" w14:textId="525EDD2F" w:rsidR="00714EC3" w:rsidRPr="0095359A" w:rsidRDefault="00714EC3" w:rsidP="00714EC3">
            <w:pPr>
              <w:rPr>
                <w:rFonts w:cstheme="minorHAnsi"/>
                <w:sz w:val="20"/>
                <w:szCs w:val="20"/>
              </w:rPr>
            </w:pPr>
            <w:r w:rsidRPr="0095359A">
              <w:rPr>
                <w:rFonts w:cstheme="minorHAnsi"/>
                <w:color w:val="000000"/>
                <w:sz w:val="20"/>
                <w:szCs w:val="20"/>
              </w:rPr>
              <w:t>50%</w:t>
            </w:r>
          </w:p>
        </w:tc>
        <w:tc>
          <w:tcPr>
            <w:tcW w:w="701" w:type="dxa"/>
            <w:tcMar>
              <w:top w:w="28" w:type="dxa"/>
              <w:bottom w:w="28" w:type="dxa"/>
            </w:tcMar>
            <w:vAlign w:val="bottom"/>
          </w:tcPr>
          <w:p w14:paraId="1872F8BB" w14:textId="1C583A94" w:rsidR="00714EC3" w:rsidRPr="0095359A" w:rsidRDefault="00714EC3" w:rsidP="00714EC3">
            <w:pPr>
              <w:rPr>
                <w:rFonts w:cstheme="minorHAnsi"/>
                <w:sz w:val="20"/>
                <w:szCs w:val="20"/>
              </w:rPr>
            </w:pPr>
            <w:r w:rsidRPr="0095359A">
              <w:rPr>
                <w:rFonts w:cstheme="minorHAnsi"/>
                <w:color w:val="000000"/>
                <w:sz w:val="20"/>
                <w:szCs w:val="20"/>
              </w:rPr>
              <w:t>31%</w:t>
            </w:r>
          </w:p>
        </w:tc>
        <w:tc>
          <w:tcPr>
            <w:tcW w:w="701" w:type="dxa"/>
            <w:tcMar>
              <w:top w:w="28" w:type="dxa"/>
              <w:bottom w:w="28" w:type="dxa"/>
            </w:tcMar>
            <w:vAlign w:val="bottom"/>
          </w:tcPr>
          <w:p w14:paraId="0DBCCBF1" w14:textId="7FCC05D2" w:rsidR="00714EC3" w:rsidRPr="0095359A" w:rsidRDefault="00714EC3" w:rsidP="00714EC3">
            <w:pPr>
              <w:rPr>
                <w:rFonts w:cstheme="minorHAnsi"/>
                <w:sz w:val="20"/>
                <w:szCs w:val="20"/>
              </w:rPr>
            </w:pPr>
            <w:r w:rsidRPr="0095359A">
              <w:rPr>
                <w:rFonts w:cstheme="minorHAnsi"/>
                <w:color w:val="000000"/>
                <w:sz w:val="20"/>
                <w:szCs w:val="20"/>
              </w:rPr>
              <w:t>35%</w:t>
            </w:r>
          </w:p>
        </w:tc>
        <w:tc>
          <w:tcPr>
            <w:tcW w:w="702" w:type="dxa"/>
            <w:tcMar>
              <w:top w:w="28" w:type="dxa"/>
              <w:bottom w:w="28" w:type="dxa"/>
            </w:tcMar>
            <w:vAlign w:val="bottom"/>
          </w:tcPr>
          <w:p w14:paraId="1EE8A442" w14:textId="5108431F" w:rsidR="00714EC3" w:rsidRPr="0095359A" w:rsidRDefault="00714EC3" w:rsidP="00714EC3">
            <w:pPr>
              <w:rPr>
                <w:rFonts w:cstheme="minorHAnsi"/>
                <w:sz w:val="20"/>
                <w:szCs w:val="20"/>
              </w:rPr>
            </w:pPr>
            <w:r w:rsidRPr="0095359A">
              <w:rPr>
                <w:rFonts w:cstheme="minorHAnsi"/>
                <w:color w:val="000000"/>
                <w:sz w:val="20"/>
                <w:szCs w:val="20"/>
              </w:rPr>
              <w:t>40%</w:t>
            </w:r>
          </w:p>
        </w:tc>
        <w:tc>
          <w:tcPr>
            <w:tcW w:w="769" w:type="dxa"/>
            <w:tcMar>
              <w:top w:w="28" w:type="dxa"/>
              <w:bottom w:w="28" w:type="dxa"/>
            </w:tcMar>
            <w:vAlign w:val="bottom"/>
          </w:tcPr>
          <w:p w14:paraId="5DF24B4C" w14:textId="4503E396" w:rsidR="00714EC3" w:rsidRPr="0095359A" w:rsidRDefault="00714EC3" w:rsidP="00714EC3">
            <w:pPr>
              <w:rPr>
                <w:rFonts w:cstheme="minorHAnsi"/>
                <w:sz w:val="20"/>
                <w:szCs w:val="20"/>
              </w:rPr>
            </w:pPr>
            <w:r w:rsidRPr="0095359A">
              <w:rPr>
                <w:rFonts w:cstheme="minorHAnsi"/>
                <w:color w:val="000000"/>
                <w:sz w:val="20"/>
                <w:szCs w:val="20"/>
              </w:rPr>
              <w:t>44%</w:t>
            </w:r>
          </w:p>
        </w:tc>
      </w:tr>
    </w:tbl>
    <w:p w14:paraId="1A7118E5" w14:textId="06BB10EC" w:rsidR="00653B96" w:rsidRDefault="00653B96" w:rsidP="00653B96">
      <w:r>
        <w:t xml:space="preserve"> </w:t>
      </w:r>
    </w:p>
    <w:p w14:paraId="4C76C26D" w14:textId="2F2FA175" w:rsidR="009901B2" w:rsidRPr="0014498F" w:rsidRDefault="004157FE" w:rsidP="0014498F">
      <w:pPr>
        <w:pStyle w:val="Heading2"/>
        <w:spacing w:before="120" w:after="120"/>
        <w:rPr>
          <w:lang w:val="en-US"/>
        </w:rPr>
      </w:pPr>
      <w:bookmarkStart w:id="69" w:name="_Toc195533432"/>
      <w:r w:rsidRPr="0014498F">
        <w:rPr>
          <w:lang w:val="en-US"/>
        </w:rPr>
        <w:t>Step 5b: Discrepancy adjustment</w:t>
      </w:r>
      <w:bookmarkEnd w:id="69"/>
    </w:p>
    <w:p w14:paraId="1A46F76F" w14:textId="1F0158F9" w:rsidR="00387073" w:rsidRDefault="0034316D" w:rsidP="00387073">
      <w:r>
        <w:t>Th</w:t>
      </w:r>
      <w:r w:rsidR="001D2E5C">
        <w:t>is step adjust</w:t>
      </w:r>
      <w:r w:rsidR="0045688B">
        <w:t xml:space="preserve">s for </w:t>
      </w:r>
      <w:r w:rsidR="00B65F83">
        <w:t xml:space="preserve">differences in unit volumes relevant to the </w:t>
      </w:r>
      <w:r w:rsidR="00BF6F48">
        <w:t xml:space="preserve">settings for years </w:t>
      </w:r>
      <w:r w:rsidR="0060389B">
        <w:t xml:space="preserve">that cannot be changed, due to the rules </w:t>
      </w:r>
      <w:r w:rsidR="00FB3F4C">
        <w:t xml:space="preserve">limiting how </w:t>
      </w:r>
      <w:r w:rsidR="0060389B">
        <w:t xml:space="preserve">the regulations can be updated. </w:t>
      </w:r>
    </w:p>
    <w:p w14:paraId="4A17829C" w14:textId="41C3D8DF" w:rsidR="00422DD4" w:rsidRDefault="000347D1" w:rsidP="00387073">
      <w:r>
        <w:t xml:space="preserve">In this advice we propose to update </w:t>
      </w:r>
      <w:r w:rsidR="00C47B22">
        <w:t xml:space="preserve">the unit limits </w:t>
      </w:r>
      <w:r w:rsidR="00D65649">
        <w:t xml:space="preserve">only </w:t>
      </w:r>
      <w:r>
        <w:t>from 202</w:t>
      </w:r>
      <w:r w:rsidR="00712848">
        <w:t>8</w:t>
      </w:r>
      <w:r>
        <w:t xml:space="preserve"> onward</w:t>
      </w:r>
      <w:r w:rsidR="00712848">
        <w:t xml:space="preserve">s. This means we need to calculate a discrepancy adjustment </w:t>
      </w:r>
      <w:r w:rsidR="00237AA7">
        <w:t xml:space="preserve">related to </w:t>
      </w:r>
      <w:r w:rsidR="006C3359">
        <w:t xml:space="preserve">unit volumes over </w:t>
      </w:r>
      <w:r w:rsidR="00237AA7">
        <w:t>2025-2027</w:t>
      </w:r>
      <w:r w:rsidR="0057370C">
        <w:t>, as the unit limits for those years are fixed</w:t>
      </w:r>
      <w:r w:rsidR="006C3359">
        <w:t xml:space="preserve">. The discrepancy adjustment is then applied to </w:t>
      </w:r>
      <w:r w:rsidR="00C170B8">
        <w:t xml:space="preserve">the volumes for </w:t>
      </w:r>
      <w:r w:rsidR="006C3359">
        <w:t>20</w:t>
      </w:r>
      <w:r w:rsidR="00C170B8">
        <w:t xml:space="preserve">28-2030. </w:t>
      </w:r>
    </w:p>
    <w:p w14:paraId="40DFA754" w14:textId="1A42E310" w:rsidR="000E057B" w:rsidRDefault="00426F25" w:rsidP="00387073">
      <w:r>
        <w:t xml:space="preserve">The discrepancy adjustment </w:t>
      </w:r>
      <w:r w:rsidR="000E057B">
        <w:t xml:space="preserve">factors in the following differences </w:t>
      </w:r>
      <w:r w:rsidR="00AD0556">
        <w:t>in this year’s updated volume</w:t>
      </w:r>
      <w:r w:rsidR="00B00D7F">
        <w:t>s</w:t>
      </w:r>
      <w:r w:rsidR="00AD0556">
        <w:t xml:space="preserve"> compared to those used to determin</w:t>
      </w:r>
      <w:r w:rsidR="00EA2C3D">
        <w:t>e the unit limits currently in regulations</w:t>
      </w:r>
      <w:r w:rsidR="000E057B">
        <w:t xml:space="preserve">: </w:t>
      </w:r>
    </w:p>
    <w:p w14:paraId="5F302A9B" w14:textId="77777777" w:rsidR="006E011E" w:rsidRDefault="00094B18" w:rsidP="00550C30">
      <w:pPr>
        <w:pStyle w:val="ListParagraph"/>
        <w:numPr>
          <w:ilvl w:val="0"/>
          <w:numId w:val="73"/>
        </w:numPr>
      </w:pPr>
      <w:r>
        <w:t>A lower NZ ETS emissions cap, based on the provisional cap</w:t>
      </w:r>
      <w:r w:rsidR="006E011E">
        <w:t xml:space="preserve"> set out by the Government in ERP2. </w:t>
      </w:r>
    </w:p>
    <w:p w14:paraId="6734A162" w14:textId="3B1D4821" w:rsidR="000E057B" w:rsidRDefault="00A55BCC" w:rsidP="00550C30">
      <w:pPr>
        <w:pStyle w:val="ListParagraph"/>
        <w:numPr>
          <w:ilvl w:val="0"/>
          <w:numId w:val="73"/>
        </w:numPr>
      </w:pPr>
      <w:r>
        <w:t xml:space="preserve">A technical adjustment no longer being applied </w:t>
      </w:r>
      <w:r w:rsidR="00E60BC7">
        <w:t>with</w:t>
      </w:r>
      <w:r>
        <w:t xml:space="preserve"> respect </w:t>
      </w:r>
      <w:r w:rsidR="00E60BC7">
        <w:t>to</w:t>
      </w:r>
      <w:r>
        <w:t xml:space="preserve"> liquid fossil fuels. </w:t>
      </w:r>
    </w:p>
    <w:p w14:paraId="1D0C9B96" w14:textId="53080E2C" w:rsidR="00A55BCC" w:rsidRDefault="00010AFE" w:rsidP="00550C30">
      <w:pPr>
        <w:pStyle w:val="ListParagraph"/>
        <w:numPr>
          <w:ilvl w:val="0"/>
          <w:numId w:val="73"/>
        </w:numPr>
      </w:pPr>
      <w:r>
        <w:t xml:space="preserve">Reduced forecast industrial allocation volumes. </w:t>
      </w:r>
    </w:p>
    <w:p w14:paraId="4DDDBB54" w14:textId="1E644C9F" w:rsidR="00010AFE" w:rsidRDefault="00EA34F6" w:rsidP="009B6436">
      <w:pPr>
        <w:pStyle w:val="ListParagraph"/>
        <w:numPr>
          <w:ilvl w:val="0"/>
          <w:numId w:val="73"/>
        </w:numPr>
      </w:pPr>
      <w:r>
        <w:t xml:space="preserve">A recalculation of the previously applied discrepancy adjustment.  </w:t>
      </w:r>
    </w:p>
    <w:p w14:paraId="6A5CA698" w14:textId="4119525C" w:rsidR="00EF73D2" w:rsidRDefault="00957E4E" w:rsidP="00387073">
      <w:r>
        <w:t xml:space="preserve">The summary of </w:t>
      </w:r>
      <w:r w:rsidR="00DF2F8F">
        <w:t>the discrepancies is shown in</w:t>
      </w:r>
      <w:r>
        <w:t xml:space="preserve"> </w:t>
      </w:r>
      <w:r w:rsidR="00FF3516" w:rsidRPr="00AE3876">
        <w:rPr>
          <w:b/>
          <w:bCs/>
        </w:rPr>
        <w:fldChar w:fldCharType="begin"/>
      </w:r>
      <w:r w:rsidR="00FF3516" w:rsidRPr="00AE3876">
        <w:rPr>
          <w:b/>
          <w:bCs/>
        </w:rPr>
        <w:instrText xml:space="preserve"> REF _Ref194415862 \h </w:instrText>
      </w:r>
      <w:r w:rsidR="004A2BCF">
        <w:rPr>
          <w:b/>
          <w:bCs/>
        </w:rPr>
        <w:instrText xml:space="preserve"> \* MERGEFORMAT </w:instrText>
      </w:r>
      <w:r w:rsidR="00FF3516" w:rsidRPr="00AE3876">
        <w:rPr>
          <w:b/>
          <w:bCs/>
        </w:rPr>
      </w:r>
      <w:r w:rsidR="00FF3516" w:rsidRPr="00AE3876">
        <w:rPr>
          <w:b/>
          <w:bCs/>
        </w:rPr>
        <w:fldChar w:fldCharType="separate"/>
      </w:r>
      <w:r w:rsidR="00AE3876" w:rsidRPr="00AE3876">
        <w:rPr>
          <w:b/>
          <w:bCs/>
        </w:rPr>
        <w:t xml:space="preserve">Table </w:t>
      </w:r>
      <w:r w:rsidR="00EA3949" w:rsidRPr="00EA3949">
        <w:rPr>
          <w:b/>
          <w:bCs/>
          <w:noProof/>
        </w:rPr>
        <w:t>17</w:t>
      </w:r>
      <w:r w:rsidR="00FF3516" w:rsidRPr="00AE3876">
        <w:rPr>
          <w:b/>
          <w:bCs/>
        </w:rPr>
        <w:fldChar w:fldCharType="end"/>
      </w:r>
      <w:r>
        <w:t xml:space="preserve">. </w:t>
      </w:r>
    </w:p>
    <w:p w14:paraId="1967D2C7" w14:textId="777545ED" w:rsidR="006E098B" w:rsidRPr="00FE34CB" w:rsidRDefault="006E098B" w:rsidP="00EB101D">
      <w:pPr>
        <w:pStyle w:val="Caption"/>
        <w:rPr>
          <w:b w:val="0"/>
        </w:rPr>
      </w:pPr>
      <w:bookmarkStart w:id="70" w:name="_Ref194415862"/>
      <w:r>
        <w:t xml:space="preserve">Table </w:t>
      </w:r>
      <w:r w:rsidR="005A2D42">
        <w:fldChar w:fldCharType="begin"/>
      </w:r>
      <w:r w:rsidR="005A2D42">
        <w:instrText xml:space="preserve"> SEQ Table \* ARABIC </w:instrText>
      </w:r>
      <w:r w:rsidR="005A2D42">
        <w:fldChar w:fldCharType="separate"/>
      </w:r>
      <w:r w:rsidR="00EA3949">
        <w:rPr>
          <w:noProof/>
        </w:rPr>
        <w:t>17</w:t>
      </w:r>
      <w:r w:rsidR="005A2D42">
        <w:fldChar w:fldCharType="end"/>
      </w:r>
      <w:bookmarkEnd w:id="70"/>
      <w:r w:rsidR="00EA3949">
        <w:t>:</w:t>
      </w:r>
      <w:r w:rsidR="00B963EF">
        <w:t xml:space="preserve"> </w:t>
      </w:r>
      <w:r w:rsidR="00B963EF" w:rsidRPr="00EA3949">
        <w:rPr>
          <w:b w:val="0"/>
        </w:rPr>
        <w:t xml:space="preserve">Difference in current settings </w:t>
      </w:r>
      <w:r w:rsidR="006D7B5C" w:rsidRPr="00EA3949">
        <w:rPr>
          <w:b w:val="0"/>
        </w:rPr>
        <w:t xml:space="preserve">from </w:t>
      </w:r>
      <w:r w:rsidR="00B963EF" w:rsidRPr="00EA3949">
        <w:rPr>
          <w:b w:val="0"/>
        </w:rPr>
        <w:t>update</w:t>
      </w:r>
      <w:r w:rsidR="006D7B5C" w:rsidRPr="00EA3949">
        <w:rPr>
          <w:b w:val="0"/>
        </w:rPr>
        <w:t>d volumes</w:t>
      </w:r>
      <w:r w:rsidR="00B963EF" w:rsidRPr="00EA3949">
        <w:rPr>
          <w:b w:val="0"/>
        </w:rPr>
        <w:t xml:space="preserve"> across these categories (million units)</w:t>
      </w:r>
    </w:p>
    <w:tbl>
      <w:tblPr>
        <w:tblStyle w:val="TableGrid"/>
        <w:tblW w:w="9072" w:type="dxa"/>
        <w:tblLayout w:type="fixed"/>
        <w:tblLook w:val="04A0" w:firstRow="1" w:lastRow="0" w:firstColumn="1" w:lastColumn="0" w:noHBand="0" w:noVBand="1"/>
      </w:tblPr>
      <w:tblGrid>
        <w:gridCol w:w="3964"/>
        <w:gridCol w:w="698"/>
        <w:gridCol w:w="698"/>
        <w:gridCol w:w="698"/>
        <w:gridCol w:w="1212"/>
        <w:gridCol w:w="1802"/>
      </w:tblGrid>
      <w:tr w:rsidR="00EA3020" w:rsidRPr="006D13A0" w14:paraId="0582CCC3" w14:textId="77777777" w:rsidTr="00E60BC7">
        <w:trPr>
          <w:trHeight w:val="300"/>
        </w:trPr>
        <w:tc>
          <w:tcPr>
            <w:tcW w:w="3964" w:type="dxa"/>
            <w:shd w:val="clear" w:color="auto" w:fill="002060"/>
            <w:noWrap/>
            <w:tcMar>
              <w:top w:w="28" w:type="dxa"/>
              <w:bottom w:w="28" w:type="dxa"/>
            </w:tcMar>
            <w:hideMark/>
          </w:tcPr>
          <w:p w14:paraId="4A7AD3B2" w14:textId="627051B2" w:rsidR="007225A3" w:rsidRPr="0095359A" w:rsidRDefault="00727C7C">
            <w:pPr>
              <w:rPr>
                <w:b/>
                <w:color w:val="FFFFFF" w:themeColor="background1"/>
                <w:sz w:val="20"/>
                <w:szCs w:val="20"/>
              </w:rPr>
            </w:pPr>
            <w:r w:rsidRPr="0095359A">
              <w:rPr>
                <w:b/>
                <w:color w:val="FFFFFF" w:themeColor="background1"/>
                <w:sz w:val="20"/>
                <w:szCs w:val="20"/>
              </w:rPr>
              <w:t>(Million units)</w:t>
            </w:r>
          </w:p>
        </w:tc>
        <w:tc>
          <w:tcPr>
            <w:tcW w:w="698" w:type="dxa"/>
            <w:shd w:val="clear" w:color="auto" w:fill="002060"/>
            <w:noWrap/>
            <w:tcMar>
              <w:top w:w="28" w:type="dxa"/>
              <w:bottom w:w="28" w:type="dxa"/>
            </w:tcMar>
            <w:hideMark/>
          </w:tcPr>
          <w:p w14:paraId="65182DF3" w14:textId="77777777" w:rsidR="007225A3" w:rsidRPr="0095359A" w:rsidRDefault="007225A3" w:rsidP="007225A3">
            <w:pPr>
              <w:rPr>
                <w:b/>
                <w:color w:val="FFFFFF" w:themeColor="background1"/>
                <w:sz w:val="20"/>
                <w:szCs w:val="20"/>
              </w:rPr>
            </w:pPr>
            <w:r w:rsidRPr="0095359A">
              <w:rPr>
                <w:b/>
                <w:color w:val="FFFFFF" w:themeColor="background1"/>
                <w:sz w:val="20"/>
                <w:szCs w:val="20"/>
              </w:rPr>
              <w:t>2025</w:t>
            </w:r>
          </w:p>
        </w:tc>
        <w:tc>
          <w:tcPr>
            <w:tcW w:w="698" w:type="dxa"/>
            <w:shd w:val="clear" w:color="auto" w:fill="002060"/>
            <w:noWrap/>
            <w:tcMar>
              <w:top w:w="28" w:type="dxa"/>
              <w:bottom w:w="28" w:type="dxa"/>
            </w:tcMar>
            <w:hideMark/>
          </w:tcPr>
          <w:p w14:paraId="6BA7BEC2" w14:textId="77777777" w:rsidR="007225A3" w:rsidRPr="0095359A" w:rsidRDefault="007225A3" w:rsidP="007225A3">
            <w:pPr>
              <w:rPr>
                <w:b/>
                <w:color w:val="FFFFFF" w:themeColor="background1"/>
                <w:sz w:val="20"/>
                <w:szCs w:val="20"/>
              </w:rPr>
            </w:pPr>
            <w:r w:rsidRPr="0095359A">
              <w:rPr>
                <w:b/>
                <w:color w:val="FFFFFF" w:themeColor="background1"/>
                <w:sz w:val="20"/>
                <w:szCs w:val="20"/>
              </w:rPr>
              <w:t>2026</w:t>
            </w:r>
          </w:p>
        </w:tc>
        <w:tc>
          <w:tcPr>
            <w:tcW w:w="698" w:type="dxa"/>
            <w:shd w:val="clear" w:color="auto" w:fill="002060"/>
            <w:noWrap/>
            <w:tcMar>
              <w:top w:w="28" w:type="dxa"/>
              <w:bottom w:w="28" w:type="dxa"/>
            </w:tcMar>
            <w:hideMark/>
          </w:tcPr>
          <w:p w14:paraId="1D4DFF81" w14:textId="77777777" w:rsidR="007225A3" w:rsidRPr="0095359A" w:rsidRDefault="007225A3" w:rsidP="007225A3">
            <w:pPr>
              <w:rPr>
                <w:b/>
                <w:color w:val="FFFFFF" w:themeColor="background1"/>
                <w:sz w:val="20"/>
                <w:szCs w:val="20"/>
              </w:rPr>
            </w:pPr>
            <w:r w:rsidRPr="0095359A">
              <w:rPr>
                <w:b/>
                <w:color w:val="FFFFFF" w:themeColor="background1"/>
                <w:sz w:val="20"/>
                <w:szCs w:val="20"/>
              </w:rPr>
              <w:t>2027</w:t>
            </w:r>
          </w:p>
        </w:tc>
        <w:tc>
          <w:tcPr>
            <w:tcW w:w="1212" w:type="dxa"/>
            <w:shd w:val="clear" w:color="auto" w:fill="002060"/>
            <w:noWrap/>
            <w:tcMar>
              <w:top w:w="28" w:type="dxa"/>
              <w:bottom w:w="28" w:type="dxa"/>
            </w:tcMar>
            <w:hideMark/>
          </w:tcPr>
          <w:p w14:paraId="544FC869" w14:textId="77777777" w:rsidR="007225A3" w:rsidRPr="0095359A" w:rsidRDefault="007225A3">
            <w:pPr>
              <w:rPr>
                <w:b/>
                <w:color w:val="FFFFFF" w:themeColor="background1"/>
                <w:sz w:val="20"/>
                <w:szCs w:val="20"/>
              </w:rPr>
            </w:pPr>
            <w:r w:rsidRPr="0095359A">
              <w:rPr>
                <w:b/>
                <w:color w:val="FFFFFF" w:themeColor="background1"/>
                <w:sz w:val="20"/>
                <w:szCs w:val="20"/>
              </w:rPr>
              <w:t>SUM 2025-2027</w:t>
            </w:r>
          </w:p>
        </w:tc>
        <w:tc>
          <w:tcPr>
            <w:tcW w:w="1802" w:type="dxa"/>
            <w:shd w:val="clear" w:color="auto" w:fill="002060"/>
            <w:noWrap/>
            <w:tcMar>
              <w:top w:w="28" w:type="dxa"/>
              <w:bottom w:w="28" w:type="dxa"/>
            </w:tcMar>
            <w:hideMark/>
          </w:tcPr>
          <w:p w14:paraId="13C8481A" w14:textId="68BD84C0" w:rsidR="007225A3" w:rsidRPr="0095359A" w:rsidRDefault="006B14EB">
            <w:pPr>
              <w:rPr>
                <w:b/>
                <w:color w:val="FFFFFF" w:themeColor="background1"/>
                <w:sz w:val="20"/>
                <w:szCs w:val="20"/>
              </w:rPr>
            </w:pPr>
            <w:r w:rsidRPr="0095359A">
              <w:rPr>
                <w:b/>
                <w:color w:val="FFFFFF" w:themeColor="background1"/>
                <w:sz w:val="20"/>
                <w:szCs w:val="20"/>
              </w:rPr>
              <w:t>I</w:t>
            </w:r>
            <w:r w:rsidR="007225A3" w:rsidRPr="0095359A">
              <w:rPr>
                <w:b/>
                <w:color w:val="FFFFFF" w:themeColor="background1"/>
                <w:sz w:val="20"/>
                <w:szCs w:val="20"/>
              </w:rPr>
              <w:t xml:space="preserve">mpact on </w:t>
            </w:r>
            <w:r w:rsidR="008A29A1" w:rsidRPr="0095359A">
              <w:rPr>
                <w:b/>
                <w:color w:val="FFFFFF" w:themeColor="background1"/>
                <w:sz w:val="20"/>
                <w:szCs w:val="20"/>
              </w:rPr>
              <w:t xml:space="preserve">2028-2030 </w:t>
            </w:r>
            <w:r w:rsidR="007225A3" w:rsidRPr="0095359A">
              <w:rPr>
                <w:b/>
                <w:color w:val="FFFFFF" w:themeColor="background1"/>
                <w:sz w:val="20"/>
                <w:szCs w:val="20"/>
              </w:rPr>
              <w:t>auction volumes</w:t>
            </w:r>
          </w:p>
        </w:tc>
      </w:tr>
      <w:tr w:rsidR="00EA3020" w:rsidRPr="006D13A0" w14:paraId="3CDF8E9E" w14:textId="77777777" w:rsidTr="00E60BC7">
        <w:trPr>
          <w:trHeight w:val="300"/>
        </w:trPr>
        <w:tc>
          <w:tcPr>
            <w:tcW w:w="3964" w:type="dxa"/>
            <w:noWrap/>
            <w:tcMar>
              <w:top w:w="28" w:type="dxa"/>
              <w:bottom w:w="28" w:type="dxa"/>
            </w:tcMar>
            <w:hideMark/>
          </w:tcPr>
          <w:p w14:paraId="05F61AFA" w14:textId="77777777" w:rsidR="007225A3" w:rsidRPr="0095359A" w:rsidRDefault="007225A3">
            <w:pPr>
              <w:rPr>
                <w:sz w:val="20"/>
                <w:szCs w:val="20"/>
              </w:rPr>
            </w:pPr>
            <w:r w:rsidRPr="0095359A">
              <w:rPr>
                <w:sz w:val="20"/>
                <w:szCs w:val="20"/>
              </w:rPr>
              <w:t>Step 2. NZ ETS cap</w:t>
            </w:r>
          </w:p>
        </w:tc>
        <w:tc>
          <w:tcPr>
            <w:tcW w:w="698" w:type="dxa"/>
            <w:noWrap/>
            <w:tcMar>
              <w:top w:w="28" w:type="dxa"/>
              <w:bottom w:w="28" w:type="dxa"/>
            </w:tcMar>
            <w:hideMark/>
          </w:tcPr>
          <w:p w14:paraId="4D759CE5" w14:textId="77777777" w:rsidR="007225A3" w:rsidRPr="0095359A" w:rsidRDefault="007225A3" w:rsidP="007225A3">
            <w:pPr>
              <w:rPr>
                <w:sz w:val="20"/>
                <w:szCs w:val="20"/>
              </w:rPr>
            </w:pPr>
            <w:r w:rsidRPr="0095359A">
              <w:rPr>
                <w:sz w:val="20"/>
                <w:szCs w:val="20"/>
              </w:rPr>
              <w:t xml:space="preserve">0.0 </w:t>
            </w:r>
          </w:p>
        </w:tc>
        <w:tc>
          <w:tcPr>
            <w:tcW w:w="698" w:type="dxa"/>
            <w:noWrap/>
            <w:tcMar>
              <w:top w:w="28" w:type="dxa"/>
              <w:bottom w:w="28" w:type="dxa"/>
            </w:tcMar>
            <w:hideMark/>
          </w:tcPr>
          <w:p w14:paraId="3410E03F" w14:textId="77777777" w:rsidR="007225A3" w:rsidRPr="0095359A" w:rsidRDefault="007225A3" w:rsidP="007225A3">
            <w:pPr>
              <w:rPr>
                <w:sz w:val="20"/>
                <w:szCs w:val="20"/>
              </w:rPr>
            </w:pPr>
            <w:r w:rsidRPr="0095359A">
              <w:rPr>
                <w:sz w:val="20"/>
                <w:szCs w:val="20"/>
              </w:rPr>
              <w:t xml:space="preserve">0.2 </w:t>
            </w:r>
          </w:p>
        </w:tc>
        <w:tc>
          <w:tcPr>
            <w:tcW w:w="698" w:type="dxa"/>
            <w:noWrap/>
            <w:tcMar>
              <w:top w:w="28" w:type="dxa"/>
              <w:bottom w:w="28" w:type="dxa"/>
            </w:tcMar>
            <w:hideMark/>
          </w:tcPr>
          <w:p w14:paraId="0677AFAD" w14:textId="77777777" w:rsidR="007225A3" w:rsidRPr="0095359A" w:rsidRDefault="007225A3" w:rsidP="007225A3">
            <w:pPr>
              <w:rPr>
                <w:sz w:val="20"/>
                <w:szCs w:val="20"/>
              </w:rPr>
            </w:pPr>
            <w:r w:rsidRPr="0095359A">
              <w:rPr>
                <w:sz w:val="20"/>
                <w:szCs w:val="20"/>
              </w:rPr>
              <w:t xml:space="preserve">0.6 </w:t>
            </w:r>
          </w:p>
        </w:tc>
        <w:tc>
          <w:tcPr>
            <w:tcW w:w="1212" w:type="dxa"/>
            <w:noWrap/>
            <w:tcMar>
              <w:top w:w="28" w:type="dxa"/>
              <w:bottom w:w="28" w:type="dxa"/>
            </w:tcMar>
            <w:hideMark/>
          </w:tcPr>
          <w:p w14:paraId="389B2AB5" w14:textId="77777777" w:rsidR="007225A3" w:rsidRPr="0095359A" w:rsidRDefault="007225A3" w:rsidP="007225A3">
            <w:pPr>
              <w:rPr>
                <w:sz w:val="20"/>
                <w:szCs w:val="20"/>
              </w:rPr>
            </w:pPr>
            <w:r w:rsidRPr="0095359A">
              <w:rPr>
                <w:sz w:val="20"/>
                <w:szCs w:val="20"/>
              </w:rPr>
              <w:t xml:space="preserve">0.8 </w:t>
            </w:r>
          </w:p>
        </w:tc>
        <w:tc>
          <w:tcPr>
            <w:tcW w:w="1802" w:type="dxa"/>
            <w:noWrap/>
            <w:tcMar>
              <w:top w:w="28" w:type="dxa"/>
              <w:bottom w:w="28" w:type="dxa"/>
            </w:tcMar>
            <w:hideMark/>
          </w:tcPr>
          <w:p w14:paraId="33C237B3" w14:textId="77777777" w:rsidR="007225A3" w:rsidRPr="0095359A" w:rsidRDefault="007225A3">
            <w:pPr>
              <w:rPr>
                <w:sz w:val="20"/>
                <w:szCs w:val="20"/>
              </w:rPr>
            </w:pPr>
            <w:r w:rsidRPr="0095359A">
              <w:rPr>
                <w:sz w:val="20"/>
                <w:szCs w:val="20"/>
              </w:rPr>
              <w:t>Reduce</w:t>
            </w:r>
          </w:p>
        </w:tc>
      </w:tr>
      <w:tr w:rsidR="00EA3020" w:rsidRPr="006D13A0" w14:paraId="0A73D189" w14:textId="77777777" w:rsidTr="00E60BC7">
        <w:trPr>
          <w:trHeight w:val="300"/>
        </w:trPr>
        <w:tc>
          <w:tcPr>
            <w:tcW w:w="3964" w:type="dxa"/>
            <w:noWrap/>
            <w:tcMar>
              <w:top w:w="28" w:type="dxa"/>
              <w:bottom w:w="28" w:type="dxa"/>
            </w:tcMar>
            <w:hideMark/>
          </w:tcPr>
          <w:p w14:paraId="676F0CE7" w14:textId="77777777" w:rsidR="007225A3" w:rsidRPr="0095359A" w:rsidRDefault="007225A3">
            <w:pPr>
              <w:rPr>
                <w:sz w:val="20"/>
                <w:szCs w:val="20"/>
              </w:rPr>
            </w:pPr>
            <w:r w:rsidRPr="0095359A">
              <w:rPr>
                <w:sz w:val="20"/>
                <w:szCs w:val="20"/>
              </w:rPr>
              <w:t>Step 3. Technical adjustments</w:t>
            </w:r>
          </w:p>
        </w:tc>
        <w:tc>
          <w:tcPr>
            <w:tcW w:w="698" w:type="dxa"/>
            <w:noWrap/>
            <w:tcMar>
              <w:top w:w="28" w:type="dxa"/>
              <w:bottom w:w="28" w:type="dxa"/>
            </w:tcMar>
            <w:hideMark/>
          </w:tcPr>
          <w:p w14:paraId="2A4EDB07" w14:textId="77777777" w:rsidR="007225A3" w:rsidRPr="0095359A" w:rsidRDefault="007225A3" w:rsidP="007225A3">
            <w:pPr>
              <w:rPr>
                <w:sz w:val="20"/>
                <w:szCs w:val="20"/>
              </w:rPr>
            </w:pPr>
            <w:r w:rsidRPr="0095359A">
              <w:rPr>
                <w:sz w:val="20"/>
                <w:szCs w:val="20"/>
              </w:rPr>
              <w:t xml:space="preserve">-0.8 </w:t>
            </w:r>
          </w:p>
        </w:tc>
        <w:tc>
          <w:tcPr>
            <w:tcW w:w="698" w:type="dxa"/>
            <w:noWrap/>
            <w:tcMar>
              <w:top w:w="28" w:type="dxa"/>
              <w:bottom w:w="28" w:type="dxa"/>
            </w:tcMar>
            <w:hideMark/>
          </w:tcPr>
          <w:p w14:paraId="2E355E9B" w14:textId="77777777" w:rsidR="007225A3" w:rsidRPr="0095359A" w:rsidRDefault="007225A3" w:rsidP="007225A3">
            <w:pPr>
              <w:rPr>
                <w:sz w:val="20"/>
                <w:szCs w:val="20"/>
              </w:rPr>
            </w:pPr>
            <w:r w:rsidRPr="0095359A">
              <w:rPr>
                <w:sz w:val="20"/>
                <w:szCs w:val="20"/>
              </w:rPr>
              <w:t xml:space="preserve">-0.7 </w:t>
            </w:r>
          </w:p>
        </w:tc>
        <w:tc>
          <w:tcPr>
            <w:tcW w:w="698" w:type="dxa"/>
            <w:noWrap/>
            <w:tcMar>
              <w:top w:w="28" w:type="dxa"/>
              <w:bottom w:w="28" w:type="dxa"/>
            </w:tcMar>
            <w:hideMark/>
          </w:tcPr>
          <w:p w14:paraId="507B2996" w14:textId="77777777" w:rsidR="007225A3" w:rsidRPr="0095359A" w:rsidRDefault="007225A3" w:rsidP="007225A3">
            <w:pPr>
              <w:rPr>
                <w:sz w:val="20"/>
                <w:szCs w:val="20"/>
              </w:rPr>
            </w:pPr>
            <w:r w:rsidRPr="0095359A">
              <w:rPr>
                <w:sz w:val="20"/>
                <w:szCs w:val="20"/>
              </w:rPr>
              <w:t xml:space="preserve">-0.7 </w:t>
            </w:r>
          </w:p>
        </w:tc>
        <w:tc>
          <w:tcPr>
            <w:tcW w:w="1212" w:type="dxa"/>
            <w:noWrap/>
            <w:tcMar>
              <w:top w:w="28" w:type="dxa"/>
              <w:bottom w:w="28" w:type="dxa"/>
            </w:tcMar>
            <w:hideMark/>
          </w:tcPr>
          <w:p w14:paraId="1FF7520F" w14:textId="77777777" w:rsidR="007225A3" w:rsidRPr="0095359A" w:rsidRDefault="007225A3" w:rsidP="007225A3">
            <w:pPr>
              <w:rPr>
                <w:sz w:val="20"/>
                <w:szCs w:val="20"/>
              </w:rPr>
            </w:pPr>
            <w:r w:rsidRPr="0095359A">
              <w:rPr>
                <w:sz w:val="20"/>
                <w:szCs w:val="20"/>
              </w:rPr>
              <w:t xml:space="preserve">-2.2 </w:t>
            </w:r>
          </w:p>
        </w:tc>
        <w:tc>
          <w:tcPr>
            <w:tcW w:w="1802" w:type="dxa"/>
            <w:noWrap/>
            <w:tcMar>
              <w:top w:w="28" w:type="dxa"/>
              <w:bottom w:w="28" w:type="dxa"/>
            </w:tcMar>
            <w:hideMark/>
          </w:tcPr>
          <w:p w14:paraId="6E13D8DF" w14:textId="77777777" w:rsidR="007225A3" w:rsidRPr="0095359A" w:rsidRDefault="007225A3">
            <w:pPr>
              <w:rPr>
                <w:sz w:val="20"/>
                <w:szCs w:val="20"/>
              </w:rPr>
            </w:pPr>
            <w:r w:rsidRPr="0095359A">
              <w:rPr>
                <w:sz w:val="20"/>
                <w:szCs w:val="20"/>
              </w:rPr>
              <w:t>Increase</w:t>
            </w:r>
          </w:p>
        </w:tc>
      </w:tr>
      <w:tr w:rsidR="00EA3020" w:rsidRPr="006D13A0" w14:paraId="2BB12039" w14:textId="77777777" w:rsidTr="00E60BC7">
        <w:trPr>
          <w:trHeight w:val="300"/>
        </w:trPr>
        <w:tc>
          <w:tcPr>
            <w:tcW w:w="3964" w:type="dxa"/>
            <w:noWrap/>
            <w:tcMar>
              <w:top w:w="28" w:type="dxa"/>
              <w:bottom w:w="28" w:type="dxa"/>
            </w:tcMar>
            <w:hideMark/>
          </w:tcPr>
          <w:p w14:paraId="183A2540" w14:textId="77777777" w:rsidR="007225A3" w:rsidRPr="0095359A" w:rsidRDefault="007225A3">
            <w:pPr>
              <w:rPr>
                <w:sz w:val="20"/>
                <w:szCs w:val="20"/>
              </w:rPr>
            </w:pPr>
            <w:r w:rsidRPr="0095359A">
              <w:rPr>
                <w:sz w:val="20"/>
                <w:szCs w:val="20"/>
              </w:rPr>
              <w:t>Step 4. Industrial free allocation forecasts</w:t>
            </w:r>
          </w:p>
        </w:tc>
        <w:tc>
          <w:tcPr>
            <w:tcW w:w="698" w:type="dxa"/>
            <w:noWrap/>
            <w:tcMar>
              <w:top w:w="28" w:type="dxa"/>
              <w:bottom w:w="28" w:type="dxa"/>
            </w:tcMar>
            <w:hideMark/>
          </w:tcPr>
          <w:p w14:paraId="09B3CFBC" w14:textId="77777777" w:rsidR="007225A3" w:rsidRPr="0095359A" w:rsidRDefault="007225A3" w:rsidP="007225A3">
            <w:pPr>
              <w:rPr>
                <w:sz w:val="20"/>
                <w:szCs w:val="20"/>
              </w:rPr>
            </w:pPr>
            <w:r w:rsidRPr="0095359A">
              <w:rPr>
                <w:sz w:val="20"/>
                <w:szCs w:val="20"/>
              </w:rPr>
              <w:t xml:space="preserve">-0.9 </w:t>
            </w:r>
          </w:p>
        </w:tc>
        <w:tc>
          <w:tcPr>
            <w:tcW w:w="698" w:type="dxa"/>
            <w:noWrap/>
            <w:tcMar>
              <w:top w:w="28" w:type="dxa"/>
              <w:bottom w:w="28" w:type="dxa"/>
            </w:tcMar>
            <w:hideMark/>
          </w:tcPr>
          <w:p w14:paraId="52351DB6" w14:textId="77777777" w:rsidR="007225A3" w:rsidRPr="0095359A" w:rsidRDefault="007225A3" w:rsidP="007225A3">
            <w:pPr>
              <w:rPr>
                <w:sz w:val="20"/>
                <w:szCs w:val="20"/>
              </w:rPr>
            </w:pPr>
            <w:r w:rsidRPr="0095359A">
              <w:rPr>
                <w:sz w:val="20"/>
                <w:szCs w:val="20"/>
              </w:rPr>
              <w:t xml:space="preserve">-0.6 </w:t>
            </w:r>
          </w:p>
        </w:tc>
        <w:tc>
          <w:tcPr>
            <w:tcW w:w="698" w:type="dxa"/>
            <w:noWrap/>
            <w:tcMar>
              <w:top w:w="28" w:type="dxa"/>
              <w:bottom w:w="28" w:type="dxa"/>
            </w:tcMar>
            <w:hideMark/>
          </w:tcPr>
          <w:p w14:paraId="5AC1B4B8" w14:textId="77777777" w:rsidR="007225A3" w:rsidRPr="0095359A" w:rsidRDefault="007225A3" w:rsidP="007225A3">
            <w:pPr>
              <w:rPr>
                <w:sz w:val="20"/>
                <w:szCs w:val="20"/>
              </w:rPr>
            </w:pPr>
            <w:r w:rsidRPr="0095359A">
              <w:rPr>
                <w:sz w:val="20"/>
                <w:szCs w:val="20"/>
              </w:rPr>
              <w:t xml:space="preserve">-0.6 </w:t>
            </w:r>
          </w:p>
        </w:tc>
        <w:tc>
          <w:tcPr>
            <w:tcW w:w="1212" w:type="dxa"/>
            <w:noWrap/>
            <w:tcMar>
              <w:top w:w="28" w:type="dxa"/>
              <w:bottom w:w="28" w:type="dxa"/>
            </w:tcMar>
            <w:hideMark/>
          </w:tcPr>
          <w:p w14:paraId="543EDC5F" w14:textId="77777777" w:rsidR="007225A3" w:rsidRPr="0095359A" w:rsidRDefault="007225A3" w:rsidP="007225A3">
            <w:pPr>
              <w:rPr>
                <w:sz w:val="20"/>
                <w:szCs w:val="20"/>
              </w:rPr>
            </w:pPr>
            <w:r w:rsidRPr="0095359A">
              <w:rPr>
                <w:sz w:val="20"/>
                <w:szCs w:val="20"/>
              </w:rPr>
              <w:t xml:space="preserve">-2.0 </w:t>
            </w:r>
          </w:p>
        </w:tc>
        <w:tc>
          <w:tcPr>
            <w:tcW w:w="1802" w:type="dxa"/>
            <w:noWrap/>
            <w:tcMar>
              <w:top w:w="28" w:type="dxa"/>
              <w:bottom w:w="28" w:type="dxa"/>
            </w:tcMar>
            <w:hideMark/>
          </w:tcPr>
          <w:p w14:paraId="0A990713" w14:textId="77777777" w:rsidR="007225A3" w:rsidRPr="0095359A" w:rsidRDefault="007225A3">
            <w:pPr>
              <w:rPr>
                <w:sz w:val="20"/>
                <w:szCs w:val="20"/>
              </w:rPr>
            </w:pPr>
            <w:r w:rsidRPr="0095359A">
              <w:rPr>
                <w:sz w:val="20"/>
                <w:szCs w:val="20"/>
              </w:rPr>
              <w:t>Increase</w:t>
            </w:r>
          </w:p>
        </w:tc>
      </w:tr>
      <w:tr w:rsidR="00EA3020" w:rsidRPr="006D13A0" w14:paraId="6867BC49" w14:textId="77777777" w:rsidTr="00E60BC7">
        <w:trPr>
          <w:trHeight w:val="300"/>
        </w:trPr>
        <w:tc>
          <w:tcPr>
            <w:tcW w:w="3964" w:type="dxa"/>
            <w:noWrap/>
            <w:tcMar>
              <w:top w:w="28" w:type="dxa"/>
              <w:bottom w:w="28" w:type="dxa"/>
            </w:tcMar>
            <w:hideMark/>
          </w:tcPr>
          <w:p w14:paraId="452DE6A6" w14:textId="6420C193" w:rsidR="007225A3" w:rsidRPr="0095359A" w:rsidRDefault="007225A3">
            <w:pPr>
              <w:rPr>
                <w:sz w:val="20"/>
                <w:szCs w:val="20"/>
              </w:rPr>
            </w:pPr>
            <w:r w:rsidRPr="0095359A">
              <w:rPr>
                <w:sz w:val="20"/>
                <w:szCs w:val="20"/>
              </w:rPr>
              <w:t xml:space="preserve">Step 5b. </w:t>
            </w:r>
            <w:r w:rsidR="00F053A3" w:rsidRPr="0095359A">
              <w:rPr>
                <w:sz w:val="20"/>
                <w:szCs w:val="20"/>
              </w:rPr>
              <w:t>Discrepancy</w:t>
            </w:r>
            <w:r w:rsidRPr="0095359A">
              <w:rPr>
                <w:sz w:val="20"/>
                <w:szCs w:val="20"/>
              </w:rPr>
              <w:t xml:space="preserve"> adjustment</w:t>
            </w:r>
          </w:p>
        </w:tc>
        <w:tc>
          <w:tcPr>
            <w:tcW w:w="698" w:type="dxa"/>
            <w:noWrap/>
            <w:tcMar>
              <w:top w:w="28" w:type="dxa"/>
              <w:bottom w:w="28" w:type="dxa"/>
            </w:tcMar>
            <w:hideMark/>
          </w:tcPr>
          <w:p w14:paraId="0CF65423" w14:textId="77777777" w:rsidR="007225A3" w:rsidRPr="0095359A" w:rsidRDefault="007225A3" w:rsidP="007225A3">
            <w:pPr>
              <w:rPr>
                <w:sz w:val="20"/>
                <w:szCs w:val="20"/>
              </w:rPr>
            </w:pPr>
            <w:r w:rsidRPr="0095359A">
              <w:rPr>
                <w:sz w:val="20"/>
                <w:szCs w:val="20"/>
              </w:rPr>
              <w:t xml:space="preserve">-0.3 </w:t>
            </w:r>
          </w:p>
        </w:tc>
        <w:tc>
          <w:tcPr>
            <w:tcW w:w="698" w:type="dxa"/>
            <w:noWrap/>
            <w:tcMar>
              <w:top w:w="28" w:type="dxa"/>
              <w:bottom w:w="28" w:type="dxa"/>
            </w:tcMar>
            <w:hideMark/>
          </w:tcPr>
          <w:p w14:paraId="6106706B" w14:textId="77777777" w:rsidR="007225A3" w:rsidRPr="0095359A" w:rsidRDefault="007225A3" w:rsidP="007225A3">
            <w:pPr>
              <w:rPr>
                <w:sz w:val="20"/>
                <w:szCs w:val="20"/>
              </w:rPr>
            </w:pPr>
            <w:r w:rsidRPr="0095359A">
              <w:rPr>
                <w:sz w:val="20"/>
                <w:szCs w:val="20"/>
              </w:rPr>
              <w:t xml:space="preserve">-0.3 </w:t>
            </w:r>
          </w:p>
        </w:tc>
        <w:tc>
          <w:tcPr>
            <w:tcW w:w="698" w:type="dxa"/>
            <w:noWrap/>
            <w:tcMar>
              <w:top w:w="28" w:type="dxa"/>
              <w:bottom w:w="28" w:type="dxa"/>
            </w:tcMar>
            <w:hideMark/>
          </w:tcPr>
          <w:p w14:paraId="4F13B16E" w14:textId="77777777" w:rsidR="007225A3" w:rsidRPr="0095359A" w:rsidRDefault="007225A3" w:rsidP="007225A3">
            <w:pPr>
              <w:rPr>
                <w:sz w:val="20"/>
                <w:szCs w:val="20"/>
              </w:rPr>
            </w:pPr>
            <w:r w:rsidRPr="0095359A">
              <w:rPr>
                <w:sz w:val="20"/>
                <w:szCs w:val="20"/>
              </w:rPr>
              <w:t xml:space="preserve">-0.3 </w:t>
            </w:r>
          </w:p>
        </w:tc>
        <w:tc>
          <w:tcPr>
            <w:tcW w:w="1212" w:type="dxa"/>
            <w:noWrap/>
            <w:tcMar>
              <w:top w:w="28" w:type="dxa"/>
              <w:bottom w:w="28" w:type="dxa"/>
            </w:tcMar>
            <w:hideMark/>
          </w:tcPr>
          <w:p w14:paraId="418AACC4" w14:textId="77777777" w:rsidR="007225A3" w:rsidRPr="0095359A" w:rsidRDefault="007225A3" w:rsidP="007225A3">
            <w:pPr>
              <w:rPr>
                <w:sz w:val="20"/>
                <w:szCs w:val="20"/>
              </w:rPr>
            </w:pPr>
            <w:r w:rsidRPr="0095359A">
              <w:rPr>
                <w:sz w:val="20"/>
                <w:szCs w:val="20"/>
              </w:rPr>
              <w:t xml:space="preserve">-0.9 </w:t>
            </w:r>
          </w:p>
        </w:tc>
        <w:tc>
          <w:tcPr>
            <w:tcW w:w="1802" w:type="dxa"/>
            <w:noWrap/>
            <w:tcMar>
              <w:top w:w="28" w:type="dxa"/>
              <w:bottom w:w="28" w:type="dxa"/>
            </w:tcMar>
            <w:hideMark/>
          </w:tcPr>
          <w:p w14:paraId="0012B2F3" w14:textId="77777777" w:rsidR="007225A3" w:rsidRPr="0095359A" w:rsidRDefault="007225A3">
            <w:pPr>
              <w:rPr>
                <w:sz w:val="20"/>
                <w:szCs w:val="20"/>
              </w:rPr>
            </w:pPr>
            <w:r w:rsidRPr="0095359A">
              <w:rPr>
                <w:sz w:val="20"/>
                <w:szCs w:val="20"/>
              </w:rPr>
              <w:t>Increase</w:t>
            </w:r>
          </w:p>
        </w:tc>
      </w:tr>
      <w:tr w:rsidR="00EA3020" w:rsidRPr="006D13A0" w14:paraId="6431E5A8" w14:textId="77777777" w:rsidTr="00E60BC7">
        <w:trPr>
          <w:trHeight w:val="300"/>
        </w:trPr>
        <w:tc>
          <w:tcPr>
            <w:tcW w:w="3964" w:type="dxa"/>
            <w:noWrap/>
            <w:tcMar>
              <w:top w:w="28" w:type="dxa"/>
              <w:bottom w:w="28" w:type="dxa"/>
            </w:tcMar>
            <w:hideMark/>
          </w:tcPr>
          <w:p w14:paraId="6EAF3C92" w14:textId="77777777" w:rsidR="007225A3" w:rsidRPr="0095359A" w:rsidRDefault="007225A3">
            <w:pPr>
              <w:rPr>
                <w:b/>
                <w:sz w:val="20"/>
                <w:szCs w:val="20"/>
              </w:rPr>
            </w:pPr>
            <w:r w:rsidRPr="0095359A">
              <w:rPr>
                <w:b/>
                <w:sz w:val="20"/>
                <w:szCs w:val="20"/>
              </w:rPr>
              <w:t>Total net impact</w:t>
            </w:r>
          </w:p>
        </w:tc>
        <w:tc>
          <w:tcPr>
            <w:tcW w:w="698" w:type="dxa"/>
            <w:noWrap/>
            <w:tcMar>
              <w:top w:w="28" w:type="dxa"/>
              <w:bottom w:w="28" w:type="dxa"/>
            </w:tcMar>
            <w:hideMark/>
          </w:tcPr>
          <w:p w14:paraId="53B3A4C6" w14:textId="77777777" w:rsidR="007225A3" w:rsidRPr="0095359A" w:rsidRDefault="007225A3" w:rsidP="007225A3">
            <w:pPr>
              <w:rPr>
                <w:b/>
                <w:sz w:val="20"/>
                <w:szCs w:val="20"/>
              </w:rPr>
            </w:pPr>
            <w:r w:rsidRPr="0095359A">
              <w:rPr>
                <w:b/>
                <w:sz w:val="20"/>
                <w:szCs w:val="20"/>
              </w:rPr>
              <w:t xml:space="preserve">-2.0 </w:t>
            </w:r>
          </w:p>
        </w:tc>
        <w:tc>
          <w:tcPr>
            <w:tcW w:w="698" w:type="dxa"/>
            <w:noWrap/>
            <w:tcMar>
              <w:top w:w="28" w:type="dxa"/>
              <w:bottom w:w="28" w:type="dxa"/>
            </w:tcMar>
            <w:hideMark/>
          </w:tcPr>
          <w:p w14:paraId="2DC523F6" w14:textId="77777777" w:rsidR="007225A3" w:rsidRPr="0095359A" w:rsidRDefault="007225A3" w:rsidP="007225A3">
            <w:pPr>
              <w:rPr>
                <w:b/>
                <w:sz w:val="20"/>
                <w:szCs w:val="20"/>
              </w:rPr>
            </w:pPr>
            <w:r w:rsidRPr="0095359A">
              <w:rPr>
                <w:b/>
                <w:sz w:val="20"/>
                <w:szCs w:val="20"/>
              </w:rPr>
              <w:t xml:space="preserve">-1.4 </w:t>
            </w:r>
          </w:p>
        </w:tc>
        <w:tc>
          <w:tcPr>
            <w:tcW w:w="698" w:type="dxa"/>
            <w:noWrap/>
            <w:tcMar>
              <w:top w:w="28" w:type="dxa"/>
              <w:bottom w:w="28" w:type="dxa"/>
            </w:tcMar>
            <w:hideMark/>
          </w:tcPr>
          <w:p w14:paraId="7F015AA5" w14:textId="77777777" w:rsidR="007225A3" w:rsidRPr="0095359A" w:rsidRDefault="007225A3" w:rsidP="007225A3">
            <w:pPr>
              <w:rPr>
                <w:b/>
                <w:sz w:val="20"/>
                <w:szCs w:val="20"/>
              </w:rPr>
            </w:pPr>
            <w:r w:rsidRPr="0095359A">
              <w:rPr>
                <w:b/>
                <w:sz w:val="20"/>
                <w:szCs w:val="20"/>
              </w:rPr>
              <w:t xml:space="preserve">-1.0 </w:t>
            </w:r>
          </w:p>
        </w:tc>
        <w:tc>
          <w:tcPr>
            <w:tcW w:w="1212" w:type="dxa"/>
            <w:noWrap/>
            <w:tcMar>
              <w:top w:w="28" w:type="dxa"/>
              <w:bottom w:w="28" w:type="dxa"/>
            </w:tcMar>
            <w:hideMark/>
          </w:tcPr>
          <w:p w14:paraId="71FF7AAD" w14:textId="77777777" w:rsidR="007225A3" w:rsidRPr="0095359A" w:rsidRDefault="007225A3" w:rsidP="007225A3">
            <w:pPr>
              <w:rPr>
                <w:b/>
                <w:sz w:val="20"/>
                <w:szCs w:val="20"/>
              </w:rPr>
            </w:pPr>
            <w:r w:rsidRPr="0095359A">
              <w:rPr>
                <w:b/>
                <w:sz w:val="20"/>
                <w:szCs w:val="20"/>
              </w:rPr>
              <w:t xml:space="preserve">-4.4 </w:t>
            </w:r>
          </w:p>
        </w:tc>
        <w:tc>
          <w:tcPr>
            <w:tcW w:w="1802" w:type="dxa"/>
            <w:noWrap/>
            <w:tcMar>
              <w:top w:w="28" w:type="dxa"/>
              <w:bottom w:w="28" w:type="dxa"/>
            </w:tcMar>
            <w:hideMark/>
          </w:tcPr>
          <w:p w14:paraId="71124019" w14:textId="77777777" w:rsidR="007225A3" w:rsidRPr="0095359A" w:rsidRDefault="007225A3">
            <w:pPr>
              <w:rPr>
                <w:b/>
                <w:sz w:val="20"/>
                <w:szCs w:val="20"/>
              </w:rPr>
            </w:pPr>
            <w:r w:rsidRPr="0095359A">
              <w:rPr>
                <w:b/>
                <w:sz w:val="20"/>
                <w:szCs w:val="20"/>
              </w:rPr>
              <w:t>Increase</w:t>
            </w:r>
          </w:p>
        </w:tc>
      </w:tr>
    </w:tbl>
    <w:p w14:paraId="1D9ECEA5" w14:textId="3AEEA78A" w:rsidR="00AD515F" w:rsidRDefault="00327B8D" w:rsidP="008959EB">
      <w:pPr>
        <w:spacing w:before="240" w:after="240"/>
      </w:pPr>
      <w:r>
        <w:t>Th</w:t>
      </w:r>
      <w:r w:rsidR="00C672DE">
        <w:t xml:space="preserve">e total discrepancy </w:t>
      </w:r>
      <w:r w:rsidR="00864C64">
        <w:t xml:space="preserve">2025-2027, </w:t>
      </w:r>
      <w:r w:rsidR="0085673D">
        <w:t xml:space="preserve">4.4 million </w:t>
      </w:r>
      <w:r w:rsidR="00864C64">
        <w:t>units</w:t>
      </w:r>
      <w:r w:rsidR="00476436">
        <w:t xml:space="preserve">, </w:t>
      </w:r>
      <w:r>
        <w:t xml:space="preserve">is </w:t>
      </w:r>
      <w:r w:rsidR="00F053A3">
        <w:t>added to auction volumes</w:t>
      </w:r>
      <w:r>
        <w:t xml:space="preserve"> over 2028-20</w:t>
      </w:r>
      <w:r w:rsidR="00D432C5">
        <w:t xml:space="preserve">30, </w:t>
      </w:r>
      <w:r w:rsidR="0067590F">
        <w:t xml:space="preserve">in proportion to the </w:t>
      </w:r>
      <w:r w:rsidR="00F053A3">
        <w:t xml:space="preserve">NZ ETS emissions cap over this period. </w:t>
      </w:r>
    </w:p>
    <w:p w14:paraId="29FE5A0F" w14:textId="3ECFA9E4" w:rsidR="00FF3278" w:rsidRDefault="00FF3278" w:rsidP="00EB101D">
      <w:pPr>
        <w:pStyle w:val="Caption"/>
      </w:pPr>
      <w:r>
        <w:t xml:space="preserve">Table </w:t>
      </w:r>
      <w:r w:rsidR="005A2D42">
        <w:fldChar w:fldCharType="begin"/>
      </w:r>
      <w:r w:rsidR="005A2D42">
        <w:instrText xml:space="preserve"> SEQ Table \* ARABIC </w:instrText>
      </w:r>
      <w:r w:rsidR="005A2D42">
        <w:fldChar w:fldCharType="separate"/>
      </w:r>
      <w:r w:rsidR="00EA3949">
        <w:rPr>
          <w:noProof/>
        </w:rPr>
        <w:t>18</w:t>
      </w:r>
      <w:r w:rsidR="005A2D42">
        <w:fldChar w:fldCharType="end"/>
      </w:r>
      <w:r w:rsidR="00EA3949">
        <w:t>:</w:t>
      </w:r>
      <w:r>
        <w:t xml:space="preserve"> </w:t>
      </w:r>
      <w:r w:rsidRPr="00EA3949">
        <w:rPr>
          <w:b w:val="0"/>
        </w:rPr>
        <w:t>Annual discrepancy adjustment volumes</w:t>
      </w:r>
    </w:p>
    <w:tbl>
      <w:tblPr>
        <w:tblStyle w:val="TableGrid"/>
        <w:tblW w:w="0" w:type="auto"/>
        <w:tblLook w:val="04A0" w:firstRow="1" w:lastRow="0" w:firstColumn="1" w:lastColumn="0" w:noHBand="0" w:noVBand="1"/>
      </w:tblPr>
      <w:tblGrid>
        <w:gridCol w:w="3967"/>
        <w:gridCol w:w="1683"/>
        <w:gridCol w:w="1683"/>
        <w:gridCol w:w="1683"/>
      </w:tblGrid>
      <w:tr w:rsidR="00FF3278" w:rsidRPr="00A2295F" w14:paraId="15C9610B" w14:textId="77777777" w:rsidTr="00E60BC7">
        <w:trPr>
          <w:trHeight w:val="300"/>
        </w:trPr>
        <w:tc>
          <w:tcPr>
            <w:tcW w:w="3967" w:type="dxa"/>
            <w:shd w:val="clear" w:color="auto" w:fill="002060"/>
            <w:noWrap/>
            <w:tcMar>
              <w:top w:w="28" w:type="dxa"/>
              <w:bottom w:w="28" w:type="dxa"/>
            </w:tcMar>
            <w:hideMark/>
          </w:tcPr>
          <w:p w14:paraId="53BC463F" w14:textId="0A007813" w:rsidR="00FF3278" w:rsidRPr="00FF3278" w:rsidRDefault="00FF3278">
            <w:pPr>
              <w:rPr>
                <w:b/>
                <w:color w:val="FFFFFF" w:themeColor="background1"/>
                <w:sz w:val="22"/>
                <w:szCs w:val="20"/>
              </w:rPr>
            </w:pPr>
            <w:r w:rsidRPr="00FF3278">
              <w:rPr>
                <w:b/>
                <w:color w:val="FFFFFF" w:themeColor="background1"/>
                <w:sz w:val="22"/>
                <w:szCs w:val="20"/>
              </w:rPr>
              <w:t>(Million units)</w:t>
            </w:r>
          </w:p>
        </w:tc>
        <w:tc>
          <w:tcPr>
            <w:tcW w:w="1683" w:type="dxa"/>
            <w:shd w:val="clear" w:color="auto" w:fill="002060"/>
            <w:noWrap/>
            <w:tcMar>
              <w:top w:w="28" w:type="dxa"/>
              <w:bottom w:w="28" w:type="dxa"/>
            </w:tcMar>
            <w:hideMark/>
          </w:tcPr>
          <w:p w14:paraId="78DFBC65" w14:textId="77777777" w:rsidR="00FF3278" w:rsidRPr="00FF3278" w:rsidRDefault="00FF3278" w:rsidP="00FF3278">
            <w:pPr>
              <w:rPr>
                <w:b/>
                <w:color w:val="FFFFFF" w:themeColor="background1"/>
                <w:sz w:val="22"/>
                <w:szCs w:val="20"/>
              </w:rPr>
            </w:pPr>
            <w:r w:rsidRPr="00FF3278">
              <w:rPr>
                <w:b/>
                <w:color w:val="FFFFFF" w:themeColor="background1"/>
                <w:sz w:val="22"/>
                <w:szCs w:val="20"/>
              </w:rPr>
              <w:t>2028</w:t>
            </w:r>
          </w:p>
        </w:tc>
        <w:tc>
          <w:tcPr>
            <w:tcW w:w="1683" w:type="dxa"/>
            <w:shd w:val="clear" w:color="auto" w:fill="002060"/>
            <w:noWrap/>
            <w:tcMar>
              <w:top w:w="28" w:type="dxa"/>
              <w:bottom w:w="28" w:type="dxa"/>
            </w:tcMar>
            <w:hideMark/>
          </w:tcPr>
          <w:p w14:paraId="3A4B62E8" w14:textId="77777777" w:rsidR="00FF3278" w:rsidRPr="00FF3278" w:rsidRDefault="00FF3278" w:rsidP="00FF3278">
            <w:pPr>
              <w:rPr>
                <w:b/>
                <w:color w:val="FFFFFF" w:themeColor="background1"/>
                <w:sz w:val="22"/>
                <w:szCs w:val="20"/>
              </w:rPr>
            </w:pPr>
            <w:r w:rsidRPr="00FF3278">
              <w:rPr>
                <w:b/>
                <w:color w:val="FFFFFF" w:themeColor="background1"/>
                <w:sz w:val="22"/>
                <w:szCs w:val="20"/>
              </w:rPr>
              <w:t>2029</w:t>
            </w:r>
          </w:p>
        </w:tc>
        <w:tc>
          <w:tcPr>
            <w:tcW w:w="1683" w:type="dxa"/>
            <w:shd w:val="clear" w:color="auto" w:fill="002060"/>
            <w:noWrap/>
            <w:tcMar>
              <w:top w:w="28" w:type="dxa"/>
              <w:bottom w:w="28" w:type="dxa"/>
            </w:tcMar>
            <w:hideMark/>
          </w:tcPr>
          <w:p w14:paraId="791E2DA1" w14:textId="77777777" w:rsidR="00FF3278" w:rsidRPr="00FF3278" w:rsidRDefault="00FF3278" w:rsidP="00FF3278">
            <w:pPr>
              <w:rPr>
                <w:b/>
                <w:color w:val="FFFFFF" w:themeColor="background1"/>
                <w:sz w:val="22"/>
                <w:szCs w:val="20"/>
              </w:rPr>
            </w:pPr>
            <w:r w:rsidRPr="00FF3278">
              <w:rPr>
                <w:b/>
                <w:color w:val="FFFFFF" w:themeColor="background1"/>
                <w:sz w:val="22"/>
                <w:szCs w:val="20"/>
              </w:rPr>
              <w:t>2030</w:t>
            </w:r>
          </w:p>
        </w:tc>
      </w:tr>
      <w:tr w:rsidR="00FF3278" w:rsidRPr="00A2295F" w14:paraId="27634C64" w14:textId="77777777" w:rsidTr="00E60BC7">
        <w:trPr>
          <w:trHeight w:val="300"/>
        </w:trPr>
        <w:tc>
          <w:tcPr>
            <w:tcW w:w="3967" w:type="dxa"/>
            <w:noWrap/>
            <w:tcMar>
              <w:top w:w="28" w:type="dxa"/>
              <w:bottom w:w="28" w:type="dxa"/>
            </w:tcMar>
            <w:hideMark/>
          </w:tcPr>
          <w:p w14:paraId="726A7C03" w14:textId="77777777" w:rsidR="00CE267A" w:rsidRDefault="00FF3278">
            <w:pPr>
              <w:rPr>
                <w:sz w:val="22"/>
                <w:szCs w:val="20"/>
              </w:rPr>
            </w:pPr>
            <w:r w:rsidRPr="00FF3278">
              <w:rPr>
                <w:sz w:val="22"/>
                <w:szCs w:val="20"/>
              </w:rPr>
              <w:t xml:space="preserve">Annual discrepancy adjustment </w:t>
            </w:r>
          </w:p>
          <w:p w14:paraId="699C97AB" w14:textId="52CBE058" w:rsidR="00FF3278" w:rsidRPr="00FF3278" w:rsidRDefault="00FF3278">
            <w:pPr>
              <w:rPr>
                <w:sz w:val="22"/>
                <w:szCs w:val="20"/>
              </w:rPr>
            </w:pPr>
            <w:r w:rsidRPr="00FF3278">
              <w:rPr>
                <w:sz w:val="22"/>
                <w:szCs w:val="20"/>
              </w:rPr>
              <w:t>(increase in auction volumes)</w:t>
            </w:r>
          </w:p>
        </w:tc>
        <w:tc>
          <w:tcPr>
            <w:tcW w:w="1683" w:type="dxa"/>
            <w:noWrap/>
            <w:tcMar>
              <w:top w:w="28" w:type="dxa"/>
              <w:bottom w:w="28" w:type="dxa"/>
            </w:tcMar>
            <w:hideMark/>
          </w:tcPr>
          <w:p w14:paraId="37736F8F" w14:textId="77777777" w:rsidR="00FF3278" w:rsidRPr="00FF3278" w:rsidRDefault="00FF3278" w:rsidP="00FF3278">
            <w:pPr>
              <w:rPr>
                <w:sz w:val="22"/>
                <w:szCs w:val="20"/>
              </w:rPr>
            </w:pPr>
            <w:r w:rsidRPr="00FF3278">
              <w:rPr>
                <w:sz w:val="22"/>
                <w:szCs w:val="20"/>
              </w:rPr>
              <w:t>1.7</w:t>
            </w:r>
          </w:p>
        </w:tc>
        <w:tc>
          <w:tcPr>
            <w:tcW w:w="1683" w:type="dxa"/>
            <w:noWrap/>
            <w:tcMar>
              <w:top w:w="28" w:type="dxa"/>
              <w:bottom w:w="28" w:type="dxa"/>
            </w:tcMar>
            <w:hideMark/>
          </w:tcPr>
          <w:p w14:paraId="628BA520" w14:textId="77777777" w:rsidR="00FF3278" w:rsidRPr="00FF3278" w:rsidRDefault="00FF3278" w:rsidP="00FF3278">
            <w:pPr>
              <w:rPr>
                <w:sz w:val="22"/>
                <w:szCs w:val="20"/>
              </w:rPr>
            </w:pPr>
            <w:r w:rsidRPr="00FF3278">
              <w:rPr>
                <w:sz w:val="22"/>
                <w:szCs w:val="20"/>
              </w:rPr>
              <w:t>1.5</w:t>
            </w:r>
          </w:p>
        </w:tc>
        <w:tc>
          <w:tcPr>
            <w:tcW w:w="1683" w:type="dxa"/>
            <w:noWrap/>
            <w:tcMar>
              <w:top w:w="28" w:type="dxa"/>
              <w:bottom w:w="28" w:type="dxa"/>
            </w:tcMar>
            <w:hideMark/>
          </w:tcPr>
          <w:p w14:paraId="224AB736" w14:textId="77777777" w:rsidR="00FF3278" w:rsidRPr="00FF3278" w:rsidRDefault="00FF3278" w:rsidP="00FF3278">
            <w:pPr>
              <w:rPr>
                <w:sz w:val="22"/>
                <w:szCs w:val="20"/>
              </w:rPr>
            </w:pPr>
            <w:r w:rsidRPr="00FF3278">
              <w:rPr>
                <w:sz w:val="22"/>
                <w:szCs w:val="20"/>
              </w:rPr>
              <w:t>1.2</w:t>
            </w:r>
          </w:p>
        </w:tc>
      </w:tr>
    </w:tbl>
    <w:p w14:paraId="37E12B2D" w14:textId="77777777" w:rsidR="008768B6" w:rsidRDefault="008768B6" w:rsidP="00AD515F"/>
    <w:p w14:paraId="5EA0D90F" w14:textId="33D533C0" w:rsidR="00E61C02" w:rsidRPr="0014498F" w:rsidRDefault="00140658" w:rsidP="0014498F">
      <w:pPr>
        <w:pStyle w:val="Heading2"/>
        <w:spacing w:before="120" w:after="120"/>
        <w:rPr>
          <w:lang w:val="en-US"/>
        </w:rPr>
      </w:pPr>
      <w:bookmarkStart w:id="71" w:name="_Toc195533433"/>
      <w:r w:rsidRPr="0014498F">
        <w:rPr>
          <w:lang w:val="en-US"/>
        </w:rPr>
        <w:t xml:space="preserve">Step 7: </w:t>
      </w:r>
      <w:r w:rsidR="00B131F0" w:rsidRPr="0014498F">
        <w:rPr>
          <w:lang w:val="en-US"/>
        </w:rPr>
        <w:t>Calculate a</w:t>
      </w:r>
      <w:r w:rsidR="00285FA2" w:rsidRPr="0014498F">
        <w:rPr>
          <w:lang w:val="en-US"/>
        </w:rPr>
        <w:t>uction volumes</w:t>
      </w:r>
      <w:bookmarkEnd w:id="71"/>
    </w:p>
    <w:p w14:paraId="42C4738D" w14:textId="1E73C7B4" w:rsidR="004900D6" w:rsidRDefault="00E43EBE" w:rsidP="00C01D9B">
      <w:r>
        <w:t xml:space="preserve">Step </w:t>
      </w:r>
      <w:r w:rsidR="00171FA9">
        <w:t>7</w:t>
      </w:r>
      <w:r>
        <w:t xml:space="preserve"> takes the</w:t>
      </w:r>
      <w:r w:rsidDel="00FB7FB6">
        <w:t xml:space="preserve"> </w:t>
      </w:r>
      <w:r>
        <w:t xml:space="preserve">NZ ETS </w:t>
      </w:r>
      <w:r w:rsidR="00FB7FB6">
        <w:t xml:space="preserve">emissions </w:t>
      </w:r>
      <w:r>
        <w:t xml:space="preserve">cap and </w:t>
      </w:r>
      <w:r w:rsidR="00A90761">
        <w:t xml:space="preserve">subtracts volumes estimated in the other steps of the methodology, to </w:t>
      </w:r>
      <w:r w:rsidR="00CD2F23">
        <w:t xml:space="preserve">determine the final proposed </w:t>
      </w:r>
      <w:r w:rsidR="0013643D">
        <w:t xml:space="preserve">auction volumes. </w:t>
      </w:r>
    </w:p>
    <w:p w14:paraId="4FF4A41E" w14:textId="2D96E2FD" w:rsidR="00C01D9B" w:rsidRDefault="0013643D" w:rsidP="00C01D9B">
      <w:r>
        <w:t xml:space="preserve">Base calculations in each step are not rounded until </w:t>
      </w:r>
      <w:r w:rsidR="003858B1">
        <w:t xml:space="preserve">the </w:t>
      </w:r>
      <w:r>
        <w:t>final auction volumes</w:t>
      </w:r>
      <w:r w:rsidR="003858B1">
        <w:t xml:space="preserve"> are calculated</w:t>
      </w:r>
      <w:r>
        <w:t xml:space="preserve">, potentially resulting in some minor inconsistencies with the numbers shown in </w:t>
      </w:r>
      <w:r w:rsidR="0088374C" w:rsidRPr="0088374C">
        <w:rPr>
          <w:b/>
          <w:bCs/>
        </w:rPr>
        <w:fldChar w:fldCharType="begin"/>
      </w:r>
      <w:r w:rsidR="0088374C" w:rsidRPr="0088374C">
        <w:rPr>
          <w:b/>
          <w:bCs/>
        </w:rPr>
        <w:instrText xml:space="preserve"> REF _Ref194996456 \h </w:instrText>
      </w:r>
      <w:r w:rsidR="0088374C">
        <w:rPr>
          <w:b/>
          <w:bCs/>
        </w:rPr>
        <w:instrText xml:space="preserve"> \* MERGEFORMAT </w:instrText>
      </w:r>
      <w:r w:rsidR="0088374C" w:rsidRPr="0088374C">
        <w:rPr>
          <w:b/>
          <w:bCs/>
        </w:rPr>
      </w:r>
      <w:r w:rsidR="0088374C" w:rsidRPr="0088374C">
        <w:rPr>
          <w:b/>
          <w:bCs/>
        </w:rPr>
        <w:fldChar w:fldCharType="separate"/>
      </w:r>
      <w:r w:rsidR="0088374C" w:rsidRPr="0088374C">
        <w:rPr>
          <w:b/>
          <w:bCs/>
        </w:rPr>
        <w:t xml:space="preserve">Table </w:t>
      </w:r>
      <w:r w:rsidR="00EA3949" w:rsidRPr="00EA3949">
        <w:rPr>
          <w:b/>
          <w:bCs/>
          <w:noProof/>
        </w:rPr>
        <w:t>19</w:t>
      </w:r>
      <w:r w:rsidR="0088374C" w:rsidRPr="0088374C">
        <w:rPr>
          <w:b/>
          <w:bCs/>
        </w:rPr>
        <w:fldChar w:fldCharType="end"/>
      </w:r>
      <w:r>
        <w:t xml:space="preserve">. </w:t>
      </w:r>
    </w:p>
    <w:p w14:paraId="53E1E962" w14:textId="5CC51B9B" w:rsidR="002B15EC" w:rsidRPr="00306475" w:rsidRDefault="002B15EC" w:rsidP="00C01D9B">
      <w:pPr>
        <w:rPr>
          <w:sz w:val="18"/>
          <w:szCs w:val="16"/>
        </w:rPr>
      </w:pPr>
      <w:r>
        <w:t xml:space="preserve">See </w:t>
      </w:r>
      <w:r w:rsidRPr="0087320B">
        <w:rPr>
          <w:i/>
          <w:iCs/>
        </w:rPr>
        <w:t>Part 3: Te Herenga utu - Unit limits</w:t>
      </w:r>
      <w:r>
        <w:t xml:space="preserve"> in the main report for information </w:t>
      </w:r>
      <w:r w:rsidR="00EE1C9F">
        <w:t xml:space="preserve">on </w:t>
      </w:r>
      <w:r w:rsidR="005D14D6">
        <w:t xml:space="preserve">our </w:t>
      </w:r>
      <w:r w:rsidR="00DD367B">
        <w:t xml:space="preserve">judgement </w:t>
      </w:r>
      <w:r w:rsidR="00EE1C9F">
        <w:t xml:space="preserve">about </w:t>
      </w:r>
      <w:r w:rsidR="00DD367B">
        <w:t xml:space="preserve">how </w:t>
      </w:r>
      <w:r w:rsidR="00EE1C9F">
        <w:t xml:space="preserve">to distribute </w:t>
      </w:r>
      <w:r w:rsidR="00DD367B">
        <w:t xml:space="preserve">auction volumes </w:t>
      </w:r>
      <w:r w:rsidR="00EE1C9F">
        <w:t xml:space="preserve">across </w:t>
      </w:r>
      <w:r w:rsidR="005D14D6">
        <w:t xml:space="preserve">the </w:t>
      </w:r>
      <w:r w:rsidR="00EE1C9F">
        <w:t>20</w:t>
      </w:r>
      <w:r w:rsidR="005D14D6">
        <w:t>28 – 2030 years</w:t>
      </w:r>
      <w:r>
        <w:t xml:space="preserve">. </w:t>
      </w:r>
    </w:p>
    <w:p w14:paraId="536993E1" w14:textId="77777777" w:rsidR="00B52948" w:rsidRDefault="00B52948">
      <w:pPr>
        <w:rPr>
          <w:rFonts w:ascii="Calibri" w:hAnsi="Calibri"/>
          <w:b/>
          <w:iCs/>
          <w:color w:val="44546A" w:themeColor="text2"/>
          <w:sz w:val="20"/>
          <w:szCs w:val="18"/>
          <w:lang w:val="en-US"/>
        </w:rPr>
      </w:pPr>
      <w:bookmarkStart w:id="72" w:name="_Ref194996456"/>
      <w:r>
        <w:br w:type="page"/>
      </w:r>
    </w:p>
    <w:p w14:paraId="0B5356FC" w14:textId="10C0E6F9" w:rsidR="00933908" w:rsidRDefault="00933908" w:rsidP="00EB101D">
      <w:pPr>
        <w:pStyle w:val="Caption"/>
      </w:pPr>
      <w:r w:rsidRPr="00306475">
        <w:t>Table</w:t>
      </w:r>
      <w:r>
        <w:t xml:space="preserve"> </w:t>
      </w:r>
      <w:r w:rsidR="005A2D42">
        <w:fldChar w:fldCharType="begin"/>
      </w:r>
      <w:r w:rsidR="005A2D42">
        <w:instrText xml:space="preserve"> SEQ Table \* ARABIC </w:instrText>
      </w:r>
      <w:r w:rsidR="005A2D42">
        <w:fldChar w:fldCharType="separate"/>
      </w:r>
      <w:r w:rsidR="00EA3949">
        <w:rPr>
          <w:noProof/>
        </w:rPr>
        <w:t>19</w:t>
      </w:r>
      <w:r w:rsidR="005A2D42">
        <w:fldChar w:fldCharType="end"/>
      </w:r>
      <w:bookmarkEnd w:id="72"/>
      <w:r w:rsidR="00EA3949">
        <w:t>:</w:t>
      </w:r>
      <w:r w:rsidR="00D10E26">
        <w:t xml:space="preserve"> </w:t>
      </w:r>
      <w:r w:rsidR="00A53CFC" w:rsidRPr="00EA3949">
        <w:rPr>
          <w:b w:val="0"/>
        </w:rPr>
        <w:t xml:space="preserve">Unit supply </w:t>
      </w:r>
      <w:r w:rsidR="00512F9F" w:rsidRPr="00EA3949">
        <w:rPr>
          <w:b w:val="0"/>
        </w:rPr>
        <w:t>steps and final proposed annual auction volumes</w:t>
      </w:r>
    </w:p>
    <w:tbl>
      <w:tblPr>
        <w:tblStyle w:val="TableGrid"/>
        <w:tblW w:w="9072" w:type="dxa"/>
        <w:tblLayout w:type="fixed"/>
        <w:tblLook w:val="04A0" w:firstRow="1" w:lastRow="0" w:firstColumn="1" w:lastColumn="0" w:noHBand="0" w:noVBand="1"/>
      </w:tblPr>
      <w:tblGrid>
        <w:gridCol w:w="4106"/>
        <w:gridCol w:w="827"/>
        <w:gridCol w:w="828"/>
        <w:gridCol w:w="43"/>
        <w:gridCol w:w="785"/>
        <w:gridCol w:w="827"/>
        <w:gridCol w:w="22"/>
        <w:gridCol w:w="806"/>
        <w:gridCol w:w="11"/>
        <w:gridCol w:w="817"/>
      </w:tblGrid>
      <w:tr w:rsidR="000A6FE3" w:rsidRPr="0088374C" w14:paraId="7B458B39" w14:textId="77777777" w:rsidTr="008959EB">
        <w:trPr>
          <w:trHeight w:val="232"/>
        </w:trPr>
        <w:tc>
          <w:tcPr>
            <w:tcW w:w="4106" w:type="dxa"/>
            <w:shd w:val="clear" w:color="auto" w:fill="002060"/>
            <w:noWrap/>
            <w:tcMar>
              <w:top w:w="28" w:type="dxa"/>
              <w:bottom w:w="28" w:type="dxa"/>
            </w:tcMar>
            <w:hideMark/>
          </w:tcPr>
          <w:p w14:paraId="19063280" w14:textId="35F9079F" w:rsidR="000A6FE3" w:rsidRPr="00161076" w:rsidRDefault="000A6FE3">
            <w:pPr>
              <w:rPr>
                <w:rFonts w:cstheme="minorHAnsi"/>
                <w:b/>
                <w:color w:val="FFFFFF" w:themeColor="background1"/>
                <w:sz w:val="20"/>
                <w:szCs w:val="20"/>
              </w:rPr>
            </w:pPr>
            <w:r w:rsidRPr="00161076">
              <w:rPr>
                <w:rFonts w:cstheme="minorHAnsi"/>
                <w:b/>
                <w:color w:val="FFFFFF" w:themeColor="background1"/>
                <w:sz w:val="20"/>
                <w:szCs w:val="20"/>
              </w:rPr>
              <w:t> Units (millions)</w:t>
            </w:r>
          </w:p>
        </w:tc>
        <w:tc>
          <w:tcPr>
            <w:tcW w:w="1698" w:type="dxa"/>
            <w:gridSpan w:val="3"/>
            <w:shd w:val="clear" w:color="auto" w:fill="002060"/>
            <w:noWrap/>
            <w:tcMar>
              <w:top w:w="28" w:type="dxa"/>
              <w:bottom w:w="28" w:type="dxa"/>
            </w:tcMar>
            <w:hideMark/>
          </w:tcPr>
          <w:p w14:paraId="5E5D26B3" w14:textId="03CD362E" w:rsidR="000A6FE3" w:rsidRPr="00161076" w:rsidRDefault="000A6FE3" w:rsidP="00DA4470">
            <w:pPr>
              <w:rPr>
                <w:rFonts w:cstheme="minorHAnsi"/>
                <w:b/>
                <w:color w:val="FFFFFF" w:themeColor="background1"/>
                <w:sz w:val="20"/>
                <w:szCs w:val="20"/>
              </w:rPr>
            </w:pPr>
            <w:r w:rsidRPr="00161076">
              <w:rPr>
                <w:rFonts w:cstheme="minorHAnsi"/>
                <w:b/>
                <w:color w:val="FFFFFF" w:themeColor="background1"/>
                <w:sz w:val="20"/>
                <w:szCs w:val="20"/>
              </w:rPr>
              <w:t>Current settings</w:t>
            </w:r>
          </w:p>
        </w:tc>
        <w:tc>
          <w:tcPr>
            <w:tcW w:w="1634" w:type="dxa"/>
            <w:gridSpan w:val="3"/>
            <w:shd w:val="clear" w:color="auto" w:fill="002060"/>
            <w:noWrap/>
            <w:tcMar>
              <w:top w:w="28" w:type="dxa"/>
              <w:bottom w:w="28" w:type="dxa"/>
            </w:tcMar>
            <w:hideMark/>
          </w:tcPr>
          <w:p w14:paraId="14D16B7C" w14:textId="415D1A5D" w:rsidR="000A6FE3" w:rsidRPr="00161076" w:rsidRDefault="000A6FE3" w:rsidP="00DA4470">
            <w:pPr>
              <w:rPr>
                <w:rFonts w:cstheme="minorHAnsi"/>
                <w:b/>
                <w:color w:val="FFFFFF" w:themeColor="background1"/>
                <w:sz w:val="20"/>
                <w:szCs w:val="20"/>
              </w:rPr>
            </w:pPr>
            <w:r w:rsidRPr="00161076">
              <w:rPr>
                <w:rFonts w:cstheme="minorHAnsi"/>
                <w:b/>
                <w:color w:val="FFFFFF" w:themeColor="background1"/>
                <w:sz w:val="20"/>
                <w:szCs w:val="20"/>
              </w:rPr>
              <w:t>Updated</w:t>
            </w:r>
          </w:p>
        </w:tc>
        <w:tc>
          <w:tcPr>
            <w:tcW w:w="817" w:type="dxa"/>
            <w:gridSpan w:val="2"/>
            <w:shd w:val="clear" w:color="auto" w:fill="002060"/>
            <w:noWrap/>
            <w:tcMar>
              <w:top w:w="28" w:type="dxa"/>
              <w:bottom w:w="28" w:type="dxa"/>
            </w:tcMar>
            <w:hideMark/>
          </w:tcPr>
          <w:p w14:paraId="411528CC" w14:textId="3BFA4E66" w:rsidR="000A6FE3" w:rsidRPr="00161076" w:rsidRDefault="000A6FE3">
            <w:pPr>
              <w:rPr>
                <w:rFonts w:cstheme="minorHAnsi"/>
                <w:b/>
                <w:color w:val="FFFFFF" w:themeColor="background1"/>
                <w:sz w:val="20"/>
                <w:szCs w:val="20"/>
              </w:rPr>
            </w:pPr>
            <w:r w:rsidRPr="00161076">
              <w:rPr>
                <w:rFonts w:cstheme="minorHAnsi"/>
                <w:b/>
                <w:color w:val="FFFFFF" w:themeColor="background1"/>
                <w:sz w:val="20"/>
                <w:szCs w:val="20"/>
              </w:rPr>
              <w:t>New</w:t>
            </w:r>
          </w:p>
        </w:tc>
        <w:tc>
          <w:tcPr>
            <w:tcW w:w="817" w:type="dxa"/>
            <w:shd w:val="clear" w:color="auto" w:fill="002060"/>
            <w:noWrap/>
            <w:tcMar>
              <w:top w:w="28" w:type="dxa"/>
              <w:bottom w:w="28" w:type="dxa"/>
            </w:tcMar>
            <w:hideMark/>
          </w:tcPr>
          <w:p w14:paraId="63CAEF27" w14:textId="27B24A57" w:rsidR="000A6FE3" w:rsidRPr="00161076" w:rsidRDefault="000A6FE3" w:rsidP="00DA4470">
            <w:pPr>
              <w:rPr>
                <w:rFonts w:cstheme="minorHAnsi"/>
                <w:b/>
                <w:color w:val="FFFFFF" w:themeColor="background1"/>
                <w:sz w:val="20"/>
                <w:szCs w:val="20"/>
              </w:rPr>
            </w:pPr>
            <w:r w:rsidRPr="00161076">
              <w:rPr>
                <w:rFonts w:cstheme="minorHAnsi"/>
                <w:b/>
                <w:color w:val="FFFFFF" w:themeColor="background1"/>
                <w:sz w:val="20"/>
                <w:szCs w:val="20"/>
              </w:rPr>
              <w:t xml:space="preserve"> Total </w:t>
            </w:r>
          </w:p>
        </w:tc>
      </w:tr>
      <w:tr w:rsidR="002D2A70" w:rsidRPr="0088374C" w14:paraId="6A38D8EC" w14:textId="77777777" w:rsidTr="00E60BC7">
        <w:trPr>
          <w:trHeight w:val="92"/>
        </w:trPr>
        <w:tc>
          <w:tcPr>
            <w:tcW w:w="4106" w:type="dxa"/>
            <w:shd w:val="clear" w:color="auto" w:fill="002060"/>
            <w:noWrap/>
            <w:tcMar>
              <w:top w:w="28" w:type="dxa"/>
              <w:bottom w:w="28" w:type="dxa"/>
            </w:tcMar>
            <w:hideMark/>
          </w:tcPr>
          <w:p w14:paraId="35FB04AA" w14:textId="77777777" w:rsidR="00DA4470" w:rsidRPr="00161076" w:rsidRDefault="00DA4470">
            <w:pPr>
              <w:rPr>
                <w:rFonts w:cstheme="minorHAnsi"/>
                <w:b/>
                <w:color w:val="FFFFFF" w:themeColor="background1"/>
                <w:sz w:val="20"/>
                <w:szCs w:val="20"/>
              </w:rPr>
            </w:pPr>
            <w:r w:rsidRPr="00161076">
              <w:rPr>
                <w:rFonts w:cstheme="minorHAnsi"/>
                <w:b/>
                <w:color w:val="FFFFFF" w:themeColor="background1"/>
                <w:sz w:val="20"/>
                <w:szCs w:val="20"/>
              </w:rPr>
              <w:t> </w:t>
            </w:r>
          </w:p>
        </w:tc>
        <w:tc>
          <w:tcPr>
            <w:tcW w:w="827" w:type="dxa"/>
            <w:shd w:val="clear" w:color="auto" w:fill="002060"/>
            <w:noWrap/>
            <w:tcMar>
              <w:top w:w="28" w:type="dxa"/>
              <w:bottom w:w="28" w:type="dxa"/>
            </w:tcMar>
            <w:hideMark/>
          </w:tcPr>
          <w:p w14:paraId="58D94557" w14:textId="77777777" w:rsidR="00DA4470" w:rsidRPr="00161076" w:rsidRDefault="00DA4470" w:rsidP="00083A3B">
            <w:pPr>
              <w:rPr>
                <w:rFonts w:cstheme="minorHAnsi"/>
                <w:b/>
                <w:color w:val="FFFFFF" w:themeColor="background1"/>
                <w:sz w:val="20"/>
                <w:szCs w:val="20"/>
              </w:rPr>
            </w:pPr>
            <w:r w:rsidRPr="00161076">
              <w:rPr>
                <w:rFonts w:cstheme="minorHAnsi"/>
                <w:b/>
                <w:color w:val="FFFFFF" w:themeColor="background1"/>
                <w:sz w:val="20"/>
                <w:szCs w:val="20"/>
              </w:rPr>
              <w:t>2026</w:t>
            </w:r>
          </w:p>
        </w:tc>
        <w:tc>
          <w:tcPr>
            <w:tcW w:w="828" w:type="dxa"/>
            <w:shd w:val="clear" w:color="auto" w:fill="002060"/>
            <w:noWrap/>
            <w:tcMar>
              <w:top w:w="28" w:type="dxa"/>
              <w:bottom w:w="28" w:type="dxa"/>
            </w:tcMar>
            <w:hideMark/>
          </w:tcPr>
          <w:p w14:paraId="2245F0DA" w14:textId="77777777" w:rsidR="00DA4470" w:rsidRPr="00161076" w:rsidRDefault="00DA4470" w:rsidP="00083A3B">
            <w:pPr>
              <w:rPr>
                <w:rFonts w:cstheme="minorHAnsi"/>
                <w:b/>
                <w:color w:val="FFFFFF" w:themeColor="background1"/>
                <w:sz w:val="20"/>
                <w:szCs w:val="20"/>
              </w:rPr>
            </w:pPr>
            <w:r w:rsidRPr="00161076">
              <w:rPr>
                <w:rFonts w:cstheme="minorHAnsi"/>
                <w:b/>
                <w:color w:val="FFFFFF" w:themeColor="background1"/>
                <w:sz w:val="20"/>
                <w:szCs w:val="20"/>
              </w:rPr>
              <w:t>2027</w:t>
            </w:r>
          </w:p>
        </w:tc>
        <w:tc>
          <w:tcPr>
            <w:tcW w:w="828" w:type="dxa"/>
            <w:gridSpan w:val="2"/>
            <w:shd w:val="clear" w:color="auto" w:fill="002060"/>
            <w:noWrap/>
            <w:tcMar>
              <w:top w:w="28" w:type="dxa"/>
              <w:bottom w:w="28" w:type="dxa"/>
            </w:tcMar>
            <w:hideMark/>
          </w:tcPr>
          <w:p w14:paraId="7035914A" w14:textId="77777777" w:rsidR="00DA4470" w:rsidRPr="00161076" w:rsidRDefault="00DA4470" w:rsidP="00083A3B">
            <w:pPr>
              <w:rPr>
                <w:rFonts w:cstheme="minorHAnsi"/>
                <w:b/>
                <w:color w:val="FFFFFF" w:themeColor="background1"/>
                <w:sz w:val="20"/>
                <w:szCs w:val="20"/>
              </w:rPr>
            </w:pPr>
            <w:r w:rsidRPr="00161076">
              <w:rPr>
                <w:rFonts w:cstheme="minorHAnsi"/>
                <w:b/>
                <w:color w:val="FFFFFF" w:themeColor="background1"/>
                <w:sz w:val="20"/>
                <w:szCs w:val="20"/>
              </w:rPr>
              <w:t>2028</w:t>
            </w:r>
          </w:p>
        </w:tc>
        <w:tc>
          <w:tcPr>
            <w:tcW w:w="827" w:type="dxa"/>
            <w:shd w:val="clear" w:color="auto" w:fill="002060"/>
            <w:noWrap/>
            <w:tcMar>
              <w:top w:w="28" w:type="dxa"/>
              <w:bottom w:w="28" w:type="dxa"/>
            </w:tcMar>
            <w:hideMark/>
          </w:tcPr>
          <w:p w14:paraId="5213C9A1" w14:textId="77777777" w:rsidR="00DA4470" w:rsidRPr="00161076" w:rsidRDefault="00DA4470" w:rsidP="00083A3B">
            <w:pPr>
              <w:rPr>
                <w:rFonts w:cstheme="minorHAnsi"/>
                <w:b/>
                <w:color w:val="FFFFFF" w:themeColor="background1"/>
                <w:sz w:val="20"/>
                <w:szCs w:val="20"/>
              </w:rPr>
            </w:pPr>
            <w:r w:rsidRPr="00161076">
              <w:rPr>
                <w:rFonts w:cstheme="minorHAnsi"/>
                <w:b/>
                <w:color w:val="FFFFFF" w:themeColor="background1"/>
                <w:sz w:val="20"/>
                <w:szCs w:val="20"/>
              </w:rPr>
              <w:t>2029</w:t>
            </w:r>
          </w:p>
        </w:tc>
        <w:tc>
          <w:tcPr>
            <w:tcW w:w="828" w:type="dxa"/>
            <w:gridSpan w:val="2"/>
            <w:shd w:val="clear" w:color="auto" w:fill="002060"/>
            <w:noWrap/>
            <w:tcMar>
              <w:top w:w="28" w:type="dxa"/>
              <w:bottom w:w="28" w:type="dxa"/>
            </w:tcMar>
            <w:hideMark/>
          </w:tcPr>
          <w:p w14:paraId="5C2B082B" w14:textId="77777777" w:rsidR="00DA4470" w:rsidRPr="00161076" w:rsidRDefault="00DA4470" w:rsidP="00083A3B">
            <w:pPr>
              <w:rPr>
                <w:rFonts w:cstheme="minorHAnsi"/>
                <w:b/>
                <w:color w:val="FFFFFF" w:themeColor="background1"/>
                <w:sz w:val="20"/>
                <w:szCs w:val="20"/>
              </w:rPr>
            </w:pPr>
            <w:r w:rsidRPr="00161076">
              <w:rPr>
                <w:rFonts w:cstheme="minorHAnsi"/>
                <w:b/>
                <w:color w:val="FFFFFF" w:themeColor="background1"/>
                <w:sz w:val="20"/>
                <w:szCs w:val="20"/>
              </w:rPr>
              <w:t>2030</w:t>
            </w:r>
          </w:p>
        </w:tc>
        <w:tc>
          <w:tcPr>
            <w:tcW w:w="828" w:type="dxa"/>
            <w:gridSpan w:val="2"/>
            <w:shd w:val="clear" w:color="auto" w:fill="002060"/>
            <w:noWrap/>
            <w:tcMar>
              <w:top w:w="28" w:type="dxa"/>
              <w:bottom w:w="28" w:type="dxa"/>
            </w:tcMar>
            <w:hideMark/>
          </w:tcPr>
          <w:p w14:paraId="79E53BEC" w14:textId="5A157C16" w:rsidR="00DA4470" w:rsidRPr="00161076" w:rsidRDefault="00DA4470">
            <w:pPr>
              <w:rPr>
                <w:rFonts w:cstheme="minorHAnsi"/>
                <w:b/>
                <w:color w:val="FFFFFF" w:themeColor="background1"/>
                <w:sz w:val="20"/>
                <w:szCs w:val="20"/>
              </w:rPr>
            </w:pPr>
          </w:p>
        </w:tc>
      </w:tr>
      <w:tr w:rsidR="002D2A70" w:rsidRPr="0088374C" w14:paraId="2B2851D2" w14:textId="77777777" w:rsidTr="00E60BC7">
        <w:trPr>
          <w:trHeight w:val="300"/>
        </w:trPr>
        <w:tc>
          <w:tcPr>
            <w:tcW w:w="4106" w:type="dxa"/>
            <w:noWrap/>
            <w:tcMar>
              <w:top w:w="28" w:type="dxa"/>
              <w:bottom w:w="28" w:type="dxa"/>
            </w:tcMar>
            <w:hideMark/>
          </w:tcPr>
          <w:p w14:paraId="21E6D03F" w14:textId="77777777" w:rsidR="00083A3B" w:rsidRPr="00161076" w:rsidRDefault="00083A3B">
            <w:pPr>
              <w:rPr>
                <w:rFonts w:cstheme="minorHAnsi"/>
                <w:sz w:val="20"/>
                <w:szCs w:val="20"/>
              </w:rPr>
            </w:pPr>
            <w:r w:rsidRPr="00161076">
              <w:rPr>
                <w:rFonts w:cstheme="minorHAnsi"/>
                <w:sz w:val="20"/>
                <w:szCs w:val="20"/>
              </w:rPr>
              <w:t>Step 1: Align with emissions reduction targets</w:t>
            </w:r>
          </w:p>
        </w:tc>
        <w:tc>
          <w:tcPr>
            <w:tcW w:w="827" w:type="dxa"/>
            <w:noWrap/>
            <w:tcMar>
              <w:top w:w="28" w:type="dxa"/>
              <w:bottom w:w="28" w:type="dxa"/>
            </w:tcMar>
            <w:hideMark/>
          </w:tcPr>
          <w:p w14:paraId="712D469E" w14:textId="77777777" w:rsidR="00083A3B" w:rsidRPr="00161076" w:rsidRDefault="00083A3B" w:rsidP="00306475">
            <w:pPr>
              <w:jc w:val="right"/>
              <w:rPr>
                <w:rFonts w:cstheme="minorHAnsi"/>
                <w:sz w:val="20"/>
                <w:szCs w:val="20"/>
              </w:rPr>
            </w:pPr>
            <w:r w:rsidRPr="00161076">
              <w:rPr>
                <w:rFonts w:cstheme="minorHAnsi"/>
                <w:sz w:val="20"/>
                <w:szCs w:val="20"/>
              </w:rPr>
              <w:t>65.7</w:t>
            </w:r>
          </w:p>
        </w:tc>
        <w:tc>
          <w:tcPr>
            <w:tcW w:w="828" w:type="dxa"/>
            <w:noWrap/>
            <w:tcMar>
              <w:top w:w="28" w:type="dxa"/>
              <w:bottom w:w="28" w:type="dxa"/>
            </w:tcMar>
            <w:hideMark/>
          </w:tcPr>
          <w:p w14:paraId="70FB19E0" w14:textId="77777777" w:rsidR="00083A3B" w:rsidRPr="00161076" w:rsidRDefault="00083A3B" w:rsidP="00306475">
            <w:pPr>
              <w:jc w:val="right"/>
              <w:rPr>
                <w:rFonts w:cstheme="minorHAnsi"/>
                <w:sz w:val="20"/>
                <w:szCs w:val="20"/>
              </w:rPr>
            </w:pPr>
            <w:r w:rsidRPr="00161076">
              <w:rPr>
                <w:rFonts w:cstheme="minorHAnsi"/>
                <w:sz w:val="20"/>
                <w:szCs w:val="20"/>
              </w:rPr>
              <w:t>63.4</w:t>
            </w:r>
          </w:p>
        </w:tc>
        <w:tc>
          <w:tcPr>
            <w:tcW w:w="828" w:type="dxa"/>
            <w:gridSpan w:val="2"/>
            <w:noWrap/>
            <w:tcMar>
              <w:top w:w="28" w:type="dxa"/>
              <w:bottom w:w="28" w:type="dxa"/>
            </w:tcMar>
            <w:hideMark/>
          </w:tcPr>
          <w:p w14:paraId="6C1C9797" w14:textId="77777777" w:rsidR="00083A3B" w:rsidRPr="00161076" w:rsidRDefault="00083A3B" w:rsidP="00306475">
            <w:pPr>
              <w:jc w:val="right"/>
              <w:rPr>
                <w:rFonts w:cstheme="minorHAnsi"/>
                <w:sz w:val="20"/>
                <w:szCs w:val="20"/>
              </w:rPr>
            </w:pPr>
            <w:r w:rsidRPr="00161076">
              <w:rPr>
                <w:rFonts w:cstheme="minorHAnsi"/>
                <w:sz w:val="20"/>
                <w:szCs w:val="20"/>
              </w:rPr>
              <w:t xml:space="preserve">60.4 </w:t>
            </w:r>
          </w:p>
        </w:tc>
        <w:tc>
          <w:tcPr>
            <w:tcW w:w="827" w:type="dxa"/>
            <w:noWrap/>
            <w:tcMar>
              <w:top w:w="28" w:type="dxa"/>
              <w:bottom w:w="28" w:type="dxa"/>
            </w:tcMar>
            <w:hideMark/>
          </w:tcPr>
          <w:p w14:paraId="1FF06761" w14:textId="77777777" w:rsidR="00083A3B" w:rsidRPr="00161076" w:rsidRDefault="00083A3B" w:rsidP="00306475">
            <w:pPr>
              <w:jc w:val="right"/>
              <w:rPr>
                <w:rFonts w:cstheme="minorHAnsi"/>
                <w:sz w:val="20"/>
                <w:szCs w:val="20"/>
              </w:rPr>
            </w:pPr>
            <w:r w:rsidRPr="00161076">
              <w:rPr>
                <w:rFonts w:cstheme="minorHAnsi"/>
                <w:sz w:val="20"/>
                <w:szCs w:val="20"/>
              </w:rPr>
              <w:t xml:space="preserve">57.9 </w:t>
            </w:r>
          </w:p>
        </w:tc>
        <w:tc>
          <w:tcPr>
            <w:tcW w:w="828" w:type="dxa"/>
            <w:gridSpan w:val="2"/>
            <w:noWrap/>
            <w:tcMar>
              <w:top w:w="28" w:type="dxa"/>
              <w:bottom w:w="28" w:type="dxa"/>
            </w:tcMar>
            <w:hideMark/>
          </w:tcPr>
          <w:p w14:paraId="64BAC0E3" w14:textId="77777777" w:rsidR="00083A3B" w:rsidRPr="00161076" w:rsidRDefault="00083A3B" w:rsidP="00306475">
            <w:pPr>
              <w:jc w:val="right"/>
              <w:rPr>
                <w:rFonts w:cstheme="minorHAnsi"/>
                <w:sz w:val="20"/>
                <w:szCs w:val="20"/>
              </w:rPr>
            </w:pPr>
            <w:r w:rsidRPr="00161076">
              <w:rPr>
                <w:rFonts w:cstheme="minorHAnsi"/>
                <w:sz w:val="20"/>
                <w:szCs w:val="20"/>
              </w:rPr>
              <w:t xml:space="preserve">55.2 </w:t>
            </w:r>
          </w:p>
        </w:tc>
        <w:tc>
          <w:tcPr>
            <w:tcW w:w="828" w:type="dxa"/>
            <w:gridSpan w:val="2"/>
            <w:noWrap/>
            <w:tcMar>
              <w:top w:w="28" w:type="dxa"/>
              <w:bottom w:w="28" w:type="dxa"/>
            </w:tcMar>
            <w:hideMark/>
          </w:tcPr>
          <w:p w14:paraId="6B86BDB2" w14:textId="77777777" w:rsidR="00083A3B" w:rsidRPr="00161076" w:rsidRDefault="00083A3B" w:rsidP="00306475">
            <w:pPr>
              <w:jc w:val="right"/>
              <w:rPr>
                <w:rFonts w:cstheme="minorHAnsi"/>
                <w:sz w:val="20"/>
                <w:szCs w:val="20"/>
              </w:rPr>
            </w:pPr>
            <w:r w:rsidRPr="00161076">
              <w:rPr>
                <w:rFonts w:cstheme="minorHAnsi"/>
                <w:sz w:val="20"/>
                <w:szCs w:val="20"/>
              </w:rPr>
              <w:t xml:space="preserve">302.6 </w:t>
            </w:r>
          </w:p>
        </w:tc>
      </w:tr>
      <w:tr w:rsidR="002D2A70" w:rsidRPr="0088374C" w14:paraId="40D8B625" w14:textId="77777777" w:rsidTr="00E60BC7">
        <w:trPr>
          <w:trHeight w:val="300"/>
        </w:trPr>
        <w:tc>
          <w:tcPr>
            <w:tcW w:w="4106" w:type="dxa"/>
            <w:noWrap/>
            <w:tcMar>
              <w:top w:w="28" w:type="dxa"/>
              <w:bottom w:w="28" w:type="dxa"/>
            </w:tcMar>
            <w:hideMark/>
          </w:tcPr>
          <w:p w14:paraId="44D7BE61" w14:textId="77777777" w:rsidR="00083A3B" w:rsidRPr="00161076" w:rsidRDefault="00083A3B">
            <w:pPr>
              <w:rPr>
                <w:rFonts w:cstheme="minorHAnsi"/>
                <w:sz w:val="20"/>
                <w:szCs w:val="20"/>
              </w:rPr>
            </w:pPr>
            <w:r w:rsidRPr="00161076">
              <w:rPr>
                <w:rFonts w:cstheme="minorHAnsi"/>
                <w:sz w:val="20"/>
                <w:szCs w:val="20"/>
              </w:rPr>
              <w:t>Step 2: Allocate volume to sectors outside the NZ ETS</w:t>
            </w:r>
          </w:p>
        </w:tc>
        <w:tc>
          <w:tcPr>
            <w:tcW w:w="827" w:type="dxa"/>
            <w:noWrap/>
            <w:tcMar>
              <w:top w:w="28" w:type="dxa"/>
              <w:bottom w:w="28" w:type="dxa"/>
            </w:tcMar>
            <w:hideMark/>
          </w:tcPr>
          <w:p w14:paraId="1B33D7E1" w14:textId="77777777" w:rsidR="00083A3B" w:rsidRPr="00161076" w:rsidRDefault="00083A3B" w:rsidP="00306475">
            <w:pPr>
              <w:jc w:val="right"/>
              <w:rPr>
                <w:rFonts w:cstheme="minorHAnsi"/>
                <w:sz w:val="20"/>
                <w:szCs w:val="20"/>
              </w:rPr>
            </w:pPr>
            <w:r w:rsidRPr="00161076">
              <w:rPr>
                <w:rFonts w:cstheme="minorHAnsi"/>
                <w:sz w:val="20"/>
                <w:szCs w:val="20"/>
              </w:rPr>
              <w:t>-42.3</w:t>
            </w:r>
          </w:p>
        </w:tc>
        <w:tc>
          <w:tcPr>
            <w:tcW w:w="828" w:type="dxa"/>
            <w:noWrap/>
            <w:tcMar>
              <w:top w:w="28" w:type="dxa"/>
              <w:bottom w:w="28" w:type="dxa"/>
            </w:tcMar>
            <w:hideMark/>
          </w:tcPr>
          <w:p w14:paraId="2EED9D38" w14:textId="77777777" w:rsidR="00083A3B" w:rsidRPr="00161076" w:rsidRDefault="00083A3B" w:rsidP="00306475">
            <w:pPr>
              <w:jc w:val="right"/>
              <w:rPr>
                <w:rFonts w:cstheme="minorHAnsi"/>
                <w:sz w:val="20"/>
                <w:szCs w:val="20"/>
              </w:rPr>
            </w:pPr>
            <w:r w:rsidRPr="00161076">
              <w:rPr>
                <w:rFonts w:cstheme="minorHAnsi"/>
                <w:sz w:val="20"/>
                <w:szCs w:val="20"/>
              </w:rPr>
              <w:t>-41.9</w:t>
            </w:r>
          </w:p>
        </w:tc>
        <w:tc>
          <w:tcPr>
            <w:tcW w:w="828" w:type="dxa"/>
            <w:gridSpan w:val="2"/>
            <w:noWrap/>
            <w:tcMar>
              <w:top w:w="28" w:type="dxa"/>
              <w:bottom w:w="28" w:type="dxa"/>
            </w:tcMar>
            <w:hideMark/>
          </w:tcPr>
          <w:p w14:paraId="6CB535F2" w14:textId="77777777" w:rsidR="00083A3B" w:rsidRPr="00161076" w:rsidRDefault="00083A3B" w:rsidP="00306475">
            <w:pPr>
              <w:jc w:val="right"/>
              <w:rPr>
                <w:rFonts w:cstheme="minorHAnsi"/>
                <w:sz w:val="20"/>
                <w:szCs w:val="20"/>
              </w:rPr>
            </w:pPr>
            <w:r w:rsidRPr="00161076">
              <w:rPr>
                <w:rFonts w:cstheme="minorHAnsi"/>
                <w:sz w:val="20"/>
                <w:szCs w:val="20"/>
              </w:rPr>
              <w:t>-42.8</w:t>
            </w:r>
          </w:p>
        </w:tc>
        <w:tc>
          <w:tcPr>
            <w:tcW w:w="827" w:type="dxa"/>
            <w:noWrap/>
            <w:tcMar>
              <w:top w:w="28" w:type="dxa"/>
              <w:bottom w:w="28" w:type="dxa"/>
            </w:tcMar>
            <w:hideMark/>
          </w:tcPr>
          <w:p w14:paraId="7EE3857D" w14:textId="77777777" w:rsidR="00083A3B" w:rsidRPr="00161076" w:rsidRDefault="00083A3B" w:rsidP="00306475">
            <w:pPr>
              <w:jc w:val="right"/>
              <w:rPr>
                <w:rFonts w:cstheme="minorHAnsi"/>
                <w:sz w:val="20"/>
                <w:szCs w:val="20"/>
              </w:rPr>
            </w:pPr>
            <w:r w:rsidRPr="00161076">
              <w:rPr>
                <w:rFonts w:cstheme="minorHAnsi"/>
                <w:sz w:val="20"/>
                <w:szCs w:val="20"/>
              </w:rPr>
              <w:t>-42.7</w:t>
            </w:r>
          </w:p>
        </w:tc>
        <w:tc>
          <w:tcPr>
            <w:tcW w:w="828" w:type="dxa"/>
            <w:gridSpan w:val="2"/>
            <w:noWrap/>
            <w:tcMar>
              <w:top w:w="28" w:type="dxa"/>
              <w:bottom w:w="28" w:type="dxa"/>
            </w:tcMar>
            <w:hideMark/>
          </w:tcPr>
          <w:p w14:paraId="798500EC" w14:textId="77777777" w:rsidR="00083A3B" w:rsidRPr="00161076" w:rsidRDefault="00083A3B" w:rsidP="00306475">
            <w:pPr>
              <w:jc w:val="right"/>
              <w:rPr>
                <w:rFonts w:cstheme="minorHAnsi"/>
                <w:sz w:val="20"/>
                <w:szCs w:val="20"/>
              </w:rPr>
            </w:pPr>
            <w:r w:rsidRPr="00161076">
              <w:rPr>
                <w:rFonts w:cstheme="minorHAnsi"/>
                <w:sz w:val="20"/>
                <w:szCs w:val="20"/>
              </w:rPr>
              <w:t>-42.6</w:t>
            </w:r>
          </w:p>
        </w:tc>
        <w:tc>
          <w:tcPr>
            <w:tcW w:w="828" w:type="dxa"/>
            <w:gridSpan w:val="2"/>
            <w:noWrap/>
            <w:tcMar>
              <w:top w:w="28" w:type="dxa"/>
              <w:bottom w:w="28" w:type="dxa"/>
            </w:tcMar>
            <w:hideMark/>
          </w:tcPr>
          <w:p w14:paraId="7E8148F4" w14:textId="77777777" w:rsidR="00083A3B" w:rsidRPr="00161076" w:rsidRDefault="00083A3B" w:rsidP="00306475">
            <w:pPr>
              <w:jc w:val="right"/>
              <w:rPr>
                <w:rFonts w:cstheme="minorHAnsi"/>
                <w:sz w:val="20"/>
                <w:szCs w:val="20"/>
              </w:rPr>
            </w:pPr>
            <w:r w:rsidRPr="00161076">
              <w:rPr>
                <w:rFonts w:cstheme="minorHAnsi"/>
                <w:sz w:val="20"/>
                <w:szCs w:val="20"/>
              </w:rPr>
              <w:t xml:space="preserve">-212.4 </w:t>
            </w:r>
          </w:p>
        </w:tc>
      </w:tr>
      <w:tr w:rsidR="002D2A70" w:rsidRPr="0088374C" w14:paraId="3E6CFAD4" w14:textId="77777777" w:rsidTr="00E60BC7">
        <w:trPr>
          <w:trHeight w:val="300"/>
        </w:trPr>
        <w:tc>
          <w:tcPr>
            <w:tcW w:w="4106" w:type="dxa"/>
            <w:noWrap/>
            <w:tcMar>
              <w:top w:w="28" w:type="dxa"/>
              <w:bottom w:w="28" w:type="dxa"/>
            </w:tcMar>
            <w:hideMark/>
          </w:tcPr>
          <w:p w14:paraId="54D08CDF" w14:textId="2E9EDE85" w:rsidR="00083A3B" w:rsidRPr="00161076" w:rsidRDefault="007424BE">
            <w:pPr>
              <w:rPr>
                <w:rFonts w:cstheme="minorHAnsi"/>
                <w:sz w:val="20"/>
                <w:szCs w:val="20"/>
              </w:rPr>
            </w:pPr>
            <w:r w:rsidRPr="00161076">
              <w:rPr>
                <w:rFonts w:cstheme="minorHAnsi"/>
                <w:sz w:val="20"/>
                <w:szCs w:val="20"/>
              </w:rPr>
              <w:t xml:space="preserve">Step 2: </w:t>
            </w:r>
            <w:r w:rsidR="00083A3B" w:rsidRPr="00161076">
              <w:rPr>
                <w:rFonts w:cstheme="minorHAnsi"/>
                <w:sz w:val="20"/>
                <w:szCs w:val="20"/>
              </w:rPr>
              <w:t>Allocate volume to NZ ETS sectors (NZ ETS cap)</w:t>
            </w:r>
          </w:p>
        </w:tc>
        <w:tc>
          <w:tcPr>
            <w:tcW w:w="827" w:type="dxa"/>
            <w:noWrap/>
            <w:tcMar>
              <w:top w:w="28" w:type="dxa"/>
              <w:bottom w:w="28" w:type="dxa"/>
            </w:tcMar>
            <w:hideMark/>
          </w:tcPr>
          <w:p w14:paraId="5C64BA69" w14:textId="77777777" w:rsidR="00083A3B" w:rsidRPr="00161076" w:rsidRDefault="00083A3B" w:rsidP="00306475">
            <w:pPr>
              <w:jc w:val="right"/>
              <w:rPr>
                <w:rFonts w:cstheme="minorHAnsi"/>
                <w:sz w:val="20"/>
                <w:szCs w:val="20"/>
              </w:rPr>
            </w:pPr>
            <w:r w:rsidRPr="00161076">
              <w:rPr>
                <w:rFonts w:cstheme="minorHAnsi"/>
                <w:sz w:val="20"/>
                <w:szCs w:val="20"/>
              </w:rPr>
              <w:t xml:space="preserve">23.4 </w:t>
            </w:r>
          </w:p>
        </w:tc>
        <w:tc>
          <w:tcPr>
            <w:tcW w:w="828" w:type="dxa"/>
            <w:noWrap/>
            <w:tcMar>
              <w:top w:w="28" w:type="dxa"/>
              <w:bottom w:w="28" w:type="dxa"/>
            </w:tcMar>
            <w:hideMark/>
          </w:tcPr>
          <w:p w14:paraId="1F5025F6" w14:textId="77777777" w:rsidR="00083A3B" w:rsidRPr="00161076" w:rsidRDefault="00083A3B" w:rsidP="00306475">
            <w:pPr>
              <w:jc w:val="right"/>
              <w:rPr>
                <w:rFonts w:cstheme="minorHAnsi"/>
                <w:sz w:val="20"/>
                <w:szCs w:val="20"/>
              </w:rPr>
            </w:pPr>
            <w:r w:rsidRPr="00161076">
              <w:rPr>
                <w:rFonts w:cstheme="minorHAnsi"/>
                <w:sz w:val="20"/>
                <w:szCs w:val="20"/>
              </w:rPr>
              <w:t xml:space="preserve">21.4 </w:t>
            </w:r>
          </w:p>
        </w:tc>
        <w:tc>
          <w:tcPr>
            <w:tcW w:w="828" w:type="dxa"/>
            <w:gridSpan w:val="2"/>
            <w:noWrap/>
            <w:tcMar>
              <w:top w:w="28" w:type="dxa"/>
              <w:bottom w:w="28" w:type="dxa"/>
            </w:tcMar>
            <w:hideMark/>
          </w:tcPr>
          <w:p w14:paraId="60CD23B5" w14:textId="77777777" w:rsidR="00083A3B" w:rsidRPr="00161076" w:rsidRDefault="00083A3B" w:rsidP="00306475">
            <w:pPr>
              <w:jc w:val="right"/>
              <w:rPr>
                <w:rFonts w:cstheme="minorHAnsi"/>
                <w:sz w:val="20"/>
                <w:szCs w:val="20"/>
              </w:rPr>
            </w:pPr>
            <w:r w:rsidRPr="00161076">
              <w:rPr>
                <w:rFonts w:cstheme="minorHAnsi"/>
                <w:sz w:val="20"/>
                <w:szCs w:val="20"/>
              </w:rPr>
              <w:t xml:space="preserve">17.6 </w:t>
            </w:r>
          </w:p>
        </w:tc>
        <w:tc>
          <w:tcPr>
            <w:tcW w:w="827" w:type="dxa"/>
            <w:noWrap/>
            <w:tcMar>
              <w:top w:w="28" w:type="dxa"/>
              <w:bottom w:w="28" w:type="dxa"/>
            </w:tcMar>
            <w:hideMark/>
          </w:tcPr>
          <w:p w14:paraId="38DFD2B0" w14:textId="77777777" w:rsidR="00083A3B" w:rsidRPr="00161076" w:rsidRDefault="00083A3B" w:rsidP="00306475">
            <w:pPr>
              <w:jc w:val="right"/>
              <w:rPr>
                <w:rFonts w:cstheme="minorHAnsi"/>
                <w:sz w:val="20"/>
                <w:szCs w:val="20"/>
              </w:rPr>
            </w:pPr>
            <w:r w:rsidRPr="00161076">
              <w:rPr>
                <w:rFonts w:cstheme="minorHAnsi"/>
                <w:sz w:val="20"/>
                <w:szCs w:val="20"/>
              </w:rPr>
              <w:t xml:space="preserve">15.1 </w:t>
            </w:r>
          </w:p>
        </w:tc>
        <w:tc>
          <w:tcPr>
            <w:tcW w:w="828" w:type="dxa"/>
            <w:gridSpan w:val="2"/>
            <w:noWrap/>
            <w:tcMar>
              <w:top w:w="28" w:type="dxa"/>
              <w:bottom w:w="28" w:type="dxa"/>
            </w:tcMar>
            <w:hideMark/>
          </w:tcPr>
          <w:p w14:paraId="7DA26E0B" w14:textId="77777777" w:rsidR="00083A3B" w:rsidRPr="00161076" w:rsidRDefault="00083A3B" w:rsidP="00306475">
            <w:pPr>
              <w:jc w:val="right"/>
              <w:rPr>
                <w:rFonts w:cstheme="minorHAnsi"/>
                <w:sz w:val="20"/>
                <w:szCs w:val="20"/>
              </w:rPr>
            </w:pPr>
            <w:r w:rsidRPr="00161076">
              <w:rPr>
                <w:rFonts w:cstheme="minorHAnsi"/>
                <w:sz w:val="20"/>
                <w:szCs w:val="20"/>
              </w:rPr>
              <w:t xml:space="preserve">12.6 </w:t>
            </w:r>
          </w:p>
        </w:tc>
        <w:tc>
          <w:tcPr>
            <w:tcW w:w="828" w:type="dxa"/>
            <w:gridSpan w:val="2"/>
            <w:noWrap/>
            <w:tcMar>
              <w:top w:w="28" w:type="dxa"/>
              <w:bottom w:w="28" w:type="dxa"/>
            </w:tcMar>
            <w:hideMark/>
          </w:tcPr>
          <w:p w14:paraId="5B64A078" w14:textId="77777777" w:rsidR="00083A3B" w:rsidRPr="00161076" w:rsidRDefault="00083A3B" w:rsidP="00306475">
            <w:pPr>
              <w:jc w:val="right"/>
              <w:rPr>
                <w:rFonts w:cstheme="minorHAnsi"/>
                <w:sz w:val="20"/>
                <w:szCs w:val="20"/>
              </w:rPr>
            </w:pPr>
            <w:r w:rsidRPr="00161076">
              <w:rPr>
                <w:rFonts w:cstheme="minorHAnsi"/>
                <w:sz w:val="20"/>
                <w:szCs w:val="20"/>
              </w:rPr>
              <w:t xml:space="preserve">90.1 </w:t>
            </w:r>
          </w:p>
        </w:tc>
      </w:tr>
      <w:tr w:rsidR="002D2A70" w:rsidRPr="0088374C" w14:paraId="1E842A0B" w14:textId="77777777" w:rsidTr="00E60BC7">
        <w:trPr>
          <w:trHeight w:val="300"/>
        </w:trPr>
        <w:tc>
          <w:tcPr>
            <w:tcW w:w="4106" w:type="dxa"/>
            <w:noWrap/>
            <w:tcMar>
              <w:top w:w="28" w:type="dxa"/>
              <w:bottom w:w="28" w:type="dxa"/>
            </w:tcMar>
            <w:hideMark/>
          </w:tcPr>
          <w:p w14:paraId="75DF6BAE" w14:textId="77777777" w:rsidR="00083A3B" w:rsidRPr="00161076" w:rsidRDefault="00083A3B">
            <w:pPr>
              <w:rPr>
                <w:rFonts w:cstheme="minorHAnsi"/>
                <w:sz w:val="20"/>
                <w:szCs w:val="20"/>
              </w:rPr>
            </w:pPr>
            <w:r w:rsidRPr="00161076">
              <w:rPr>
                <w:rFonts w:cstheme="minorHAnsi"/>
                <w:sz w:val="20"/>
                <w:szCs w:val="20"/>
              </w:rPr>
              <w:t>Step 3: Technical adjustments</w:t>
            </w:r>
          </w:p>
        </w:tc>
        <w:tc>
          <w:tcPr>
            <w:tcW w:w="827" w:type="dxa"/>
            <w:noWrap/>
            <w:tcMar>
              <w:top w:w="28" w:type="dxa"/>
              <w:bottom w:w="28" w:type="dxa"/>
            </w:tcMar>
            <w:hideMark/>
          </w:tcPr>
          <w:p w14:paraId="1A004D72" w14:textId="77777777" w:rsidR="00083A3B" w:rsidRPr="00161076" w:rsidRDefault="00083A3B" w:rsidP="00306475">
            <w:pPr>
              <w:jc w:val="right"/>
              <w:rPr>
                <w:rFonts w:cstheme="minorHAnsi"/>
                <w:sz w:val="20"/>
                <w:szCs w:val="20"/>
              </w:rPr>
            </w:pPr>
            <w:r w:rsidRPr="00161076">
              <w:rPr>
                <w:rFonts w:cstheme="minorHAnsi"/>
                <w:sz w:val="20"/>
                <w:szCs w:val="20"/>
              </w:rPr>
              <w:t xml:space="preserve">0.7 </w:t>
            </w:r>
          </w:p>
        </w:tc>
        <w:tc>
          <w:tcPr>
            <w:tcW w:w="828" w:type="dxa"/>
            <w:noWrap/>
            <w:tcMar>
              <w:top w:w="28" w:type="dxa"/>
              <w:bottom w:w="28" w:type="dxa"/>
            </w:tcMar>
            <w:hideMark/>
          </w:tcPr>
          <w:p w14:paraId="18A7C9C3" w14:textId="77777777" w:rsidR="00083A3B" w:rsidRPr="00161076" w:rsidRDefault="00083A3B" w:rsidP="00306475">
            <w:pPr>
              <w:jc w:val="right"/>
              <w:rPr>
                <w:rFonts w:cstheme="minorHAnsi"/>
                <w:sz w:val="20"/>
                <w:szCs w:val="20"/>
              </w:rPr>
            </w:pPr>
            <w:r w:rsidRPr="00161076">
              <w:rPr>
                <w:rFonts w:cstheme="minorHAnsi"/>
                <w:sz w:val="20"/>
                <w:szCs w:val="20"/>
              </w:rPr>
              <w:t xml:space="preserve">0.7 </w:t>
            </w:r>
          </w:p>
        </w:tc>
        <w:tc>
          <w:tcPr>
            <w:tcW w:w="828" w:type="dxa"/>
            <w:gridSpan w:val="2"/>
            <w:noWrap/>
            <w:tcMar>
              <w:top w:w="28" w:type="dxa"/>
              <w:bottom w:w="28" w:type="dxa"/>
            </w:tcMar>
            <w:hideMark/>
          </w:tcPr>
          <w:p w14:paraId="77F3EBEB" w14:textId="77777777" w:rsidR="00083A3B" w:rsidRPr="00161076" w:rsidRDefault="00083A3B" w:rsidP="00306475">
            <w:pPr>
              <w:jc w:val="right"/>
              <w:rPr>
                <w:rFonts w:cstheme="minorHAnsi"/>
                <w:sz w:val="20"/>
                <w:szCs w:val="20"/>
              </w:rPr>
            </w:pPr>
            <w:r w:rsidRPr="00161076">
              <w:rPr>
                <w:rFonts w:cstheme="minorHAnsi"/>
                <w:sz w:val="20"/>
                <w:szCs w:val="20"/>
              </w:rPr>
              <w:t xml:space="preserve">0.0 </w:t>
            </w:r>
          </w:p>
        </w:tc>
        <w:tc>
          <w:tcPr>
            <w:tcW w:w="827" w:type="dxa"/>
            <w:noWrap/>
            <w:tcMar>
              <w:top w:w="28" w:type="dxa"/>
              <w:bottom w:w="28" w:type="dxa"/>
            </w:tcMar>
            <w:hideMark/>
          </w:tcPr>
          <w:p w14:paraId="63AE8B68" w14:textId="77777777" w:rsidR="00083A3B" w:rsidRPr="00161076" w:rsidRDefault="00083A3B" w:rsidP="00306475">
            <w:pPr>
              <w:jc w:val="right"/>
              <w:rPr>
                <w:rFonts w:cstheme="minorHAnsi"/>
                <w:sz w:val="20"/>
                <w:szCs w:val="20"/>
              </w:rPr>
            </w:pPr>
            <w:r w:rsidRPr="00161076">
              <w:rPr>
                <w:rFonts w:cstheme="minorHAnsi"/>
                <w:sz w:val="20"/>
                <w:szCs w:val="20"/>
              </w:rPr>
              <w:t xml:space="preserve">0.0 </w:t>
            </w:r>
          </w:p>
        </w:tc>
        <w:tc>
          <w:tcPr>
            <w:tcW w:w="828" w:type="dxa"/>
            <w:gridSpan w:val="2"/>
            <w:noWrap/>
            <w:tcMar>
              <w:top w:w="28" w:type="dxa"/>
              <w:bottom w:w="28" w:type="dxa"/>
            </w:tcMar>
            <w:hideMark/>
          </w:tcPr>
          <w:p w14:paraId="3A270A7F" w14:textId="77777777" w:rsidR="00083A3B" w:rsidRPr="00161076" w:rsidRDefault="00083A3B" w:rsidP="00306475">
            <w:pPr>
              <w:jc w:val="right"/>
              <w:rPr>
                <w:rFonts w:cstheme="minorHAnsi"/>
                <w:sz w:val="20"/>
                <w:szCs w:val="20"/>
              </w:rPr>
            </w:pPr>
            <w:r w:rsidRPr="00161076">
              <w:rPr>
                <w:rFonts w:cstheme="minorHAnsi"/>
                <w:sz w:val="20"/>
                <w:szCs w:val="20"/>
              </w:rPr>
              <w:t xml:space="preserve">0.0 </w:t>
            </w:r>
          </w:p>
        </w:tc>
        <w:tc>
          <w:tcPr>
            <w:tcW w:w="828" w:type="dxa"/>
            <w:gridSpan w:val="2"/>
            <w:noWrap/>
            <w:tcMar>
              <w:top w:w="28" w:type="dxa"/>
              <w:bottom w:w="28" w:type="dxa"/>
            </w:tcMar>
            <w:hideMark/>
          </w:tcPr>
          <w:p w14:paraId="06CA6B54" w14:textId="77777777" w:rsidR="00083A3B" w:rsidRPr="00161076" w:rsidRDefault="00083A3B" w:rsidP="00306475">
            <w:pPr>
              <w:jc w:val="right"/>
              <w:rPr>
                <w:rFonts w:cstheme="minorHAnsi"/>
                <w:sz w:val="20"/>
                <w:szCs w:val="20"/>
              </w:rPr>
            </w:pPr>
            <w:r w:rsidRPr="00161076">
              <w:rPr>
                <w:rFonts w:cstheme="minorHAnsi"/>
                <w:sz w:val="20"/>
                <w:szCs w:val="20"/>
              </w:rPr>
              <w:t xml:space="preserve">1.4 </w:t>
            </w:r>
          </w:p>
        </w:tc>
      </w:tr>
      <w:tr w:rsidR="002D2A70" w:rsidRPr="0088374C" w14:paraId="61A9D9C0" w14:textId="77777777" w:rsidTr="00E60BC7">
        <w:trPr>
          <w:trHeight w:val="300"/>
        </w:trPr>
        <w:tc>
          <w:tcPr>
            <w:tcW w:w="4106" w:type="dxa"/>
            <w:noWrap/>
            <w:tcMar>
              <w:top w:w="28" w:type="dxa"/>
              <w:bottom w:w="28" w:type="dxa"/>
            </w:tcMar>
            <w:hideMark/>
          </w:tcPr>
          <w:p w14:paraId="4F4DA822" w14:textId="77777777" w:rsidR="00083A3B" w:rsidRPr="00161076" w:rsidRDefault="00083A3B">
            <w:pPr>
              <w:rPr>
                <w:rFonts w:cstheme="minorHAnsi"/>
                <w:sz w:val="20"/>
                <w:szCs w:val="20"/>
              </w:rPr>
            </w:pPr>
            <w:r w:rsidRPr="00161076">
              <w:rPr>
                <w:rFonts w:cstheme="minorHAnsi"/>
                <w:sz w:val="20"/>
                <w:szCs w:val="20"/>
              </w:rPr>
              <w:t>Step 4: Industrial allocation</w:t>
            </w:r>
          </w:p>
        </w:tc>
        <w:tc>
          <w:tcPr>
            <w:tcW w:w="827" w:type="dxa"/>
            <w:noWrap/>
            <w:tcMar>
              <w:top w:w="28" w:type="dxa"/>
              <w:bottom w:w="28" w:type="dxa"/>
            </w:tcMar>
            <w:hideMark/>
          </w:tcPr>
          <w:p w14:paraId="0E4EDB67" w14:textId="77777777" w:rsidR="00083A3B" w:rsidRPr="00161076" w:rsidRDefault="00083A3B" w:rsidP="00306475">
            <w:pPr>
              <w:jc w:val="right"/>
              <w:rPr>
                <w:rFonts w:cstheme="minorHAnsi"/>
                <w:sz w:val="20"/>
                <w:szCs w:val="20"/>
              </w:rPr>
            </w:pPr>
            <w:r w:rsidRPr="00161076">
              <w:rPr>
                <w:rFonts w:cstheme="minorHAnsi"/>
                <w:sz w:val="20"/>
                <w:szCs w:val="20"/>
              </w:rPr>
              <w:t xml:space="preserve">5.7 </w:t>
            </w:r>
          </w:p>
        </w:tc>
        <w:tc>
          <w:tcPr>
            <w:tcW w:w="828" w:type="dxa"/>
            <w:noWrap/>
            <w:tcMar>
              <w:top w:w="28" w:type="dxa"/>
              <w:bottom w:w="28" w:type="dxa"/>
            </w:tcMar>
            <w:hideMark/>
          </w:tcPr>
          <w:p w14:paraId="0243BF63" w14:textId="77777777" w:rsidR="00083A3B" w:rsidRPr="00161076" w:rsidRDefault="00083A3B" w:rsidP="00306475">
            <w:pPr>
              <w:jc w:val="right"/>
              <w:rPr>
                <w:rFonts w:cstheme="minorHAnsi"/>
                <w:sz w:val="20"/>
                <w:szCs w:val="20"/>
              </w:rPr>
            </w:pPr>
            <w:r w:rsidRPr="00161076">
              <w:rPr>
                <w:rFonts w:cstheme="minorHAnsi"/>
                <w:sz w:val="20"/>
                <w:szCs w:val="20"/>
              </w:rPr>
              <w:t xml:space="preserve">5.7 </w:t>
            </w:r>
          </w:p>
        </w:tc>
        <w:tc>
          <w:tcPr>
            <w:tcW w:w="828" w:type="dxa"/>
            <w:gridSpan w:val="2"/>
            <w:noWrap/>
            <w:tcMar>
              <w:top w:w="28" w:type="dxa"/>
              <w:bottom w:w="28" w:type="dxa"/>
            </w:tcMar>
            <w:hideMark/>
          </w:tcPr>
          <w:p w14:paraId="7C11D895" w14:textId="77777777" w:rsidR="00083A3B" w:rsidRPr="00161076" w:rsidRDefault="00083A3B" w:rsidP="00306475">
            <w:pPr>
              <w:jc w:val="right"/>
              <w:rPr>
                <w:rFonts w:cstheme="minorHAnsi"/>
                <w:sz w:val="20"/>
                <w:szCs w:val="20"/>
              </w:rPr>
            </w:pPr>
            <w:r w:rsidRPr="00161076">
              <w:rPr>
                <w:rFonts w:cstheme="minorHAnsi"/>
                <w:sz w:val="20"/>
                <w:szCs w:val="20"/>
              </w:rPr>
              <w:t xml:space="preserve">4.6 </w:t>
            </w:r>
          </w:p>
        </w:tc>
        <w:tc>
          <w:tcPr>
            <w:tcW w:w="827" w:type="dxa"/>
            <w:noWrap/>
            <w:tcMar>
              <w:top w:w="28" w:type="dxa"/>
              <w:bottom w:w="28" w:type="dxa"/>
            </w:tcMar>
            <w:hideMark/>
          </w:tcPr>
          <w:p w14:paraId="53AEBEFF" w14:textId="77777777" w:rsidR="00083A3B" w:rsidRPr="00161076" w:rsidRDefault="00083A3B" w:rsidP="00306475">
            <w:pPr>
              <w:jc w:val="right"/>
              <w:rPr>
                <w:rFonts w:cstheme="minorHAnsi"/>
                <w:sz w:val="20"/>
                <w:szCs w:val="20"/>
              </w:rPr>
            </w:pPr>
            <w:r w:rsidRPr="00161076">
              <w:rPr>
                <w:rFonts w:cstheme="minorHAnsi"/>
                <w:sz w:val="20"/>
                <w:szCs w:val="20"/>
              </w:rPr>
              <w:t xml:space="preserve">4.5 </w:t>
            </w:r>
          </w:p>
        </w:tc>
        <w:tc>
          <w:tcPr>
            <w:tcW w:w="828" w:type="dxa"/>
            <w:gridSpan w:val="2"/>
            <w:noWrap/>
            <w:tcMar>
              <w:top w:w="28" w:type="dxa"/>
              <w:bottom w:w="28" w:type="dxa"/>
            </w:tcMar>
            <w:hideMark/>
          </w:tcPr>
          <w:p w14:paraId="71E21892" w14:textId="77777777" w:rsidR="00083A3B" w:rsidRPr="00161076" w:rsidRDefault="00083A3B" w:rsidP="00306475">
            <w:pPr>
              <w:jc w:val="right"/>
              <w:rPr>
                <w:rFonts w:cstheme="minorHAnsi"/>
                <w:sz w:val="20"/>
                <w:szCs w:val="20"/>
              </w:rPr>
            </w:pPr>
            <w:r w:rsidRPr="00161076">
              <w:rPr>
                <w:rFonts w:cstheme="minorHAnsi"/>
                <w:sz w:val="20"/>
                <w:szCs w:val="20"/>
              </w:rPr>
              <w:t xml:space="preserve">4.0 </w:t>
            </w:r>
          </w:p>
        </w:tc>
        <w:tc>
          <w:tcPr>
            <w:tcW w:w="828" w:type="dxa"/>
            <w:gridSpan w:val="2"/>
            <w:noWrap/>
            <w:tcMar>
              <w:top w:w="28" w:type="dxa"/>
              <w:bottom w:w="28" w:type="dxa"/>
            </w:tcMar>
            <w:hideMark/>
          </w:tcPr>
          <w:p w14:paraId="09D59460" w14:textId="77777777" w:rsidR="00083A3B" w:rsidRPr="00161076" w:rsidRDefault="00083A3B" w:rsidP="00306475">
            <w:pPr>
              <w:jc w:val="right"/>
              <w:rPr>
                <w:rFonts w:cstheme="minorHAnsi"/>
                <w:sz w:val="20"/>
                <w:szCs w:val="20"/>
              </w:rPr>
            </w:pPr>
            <w:r w:rsidRPr="00161076">
              <w:rPr>
                <w:rFonts w:cstheme="minorHAnsi"/>
                <w:sz w:val="20"/>
                <w:szCs w:val="20"/>
              </w:rPr>
              <w:t xml:space="preserve">24.4 </w:t>
            </w:r>
          </w:p>
        </w:tc>
      </w:tr>
      <w:tr w:rsidR="002D2A70" w:rsidRPr="0088374C" w14:paraId="4832FED1" w14:textId="77777777" w:rsidTr="00E60BC7">
        <w:trPr>
          <w:trHeight w:val="300"/>
        </w:trPr>
        <w:tc>
          <w:tcPr>
            <w:tcW w:w="4106" w:type="dxa"/>
            <w:noWrap/>
            <w:tcMar>
              <w:top w:w="28" w:type="dxa"/>
              <w:bottom w:w="28" w:type="dxa"/>
            </w:tcMar>
            <w:hideMark/>
          </w:tcPr>
          <w:p w14:paraId="4C138167" w14:textId="77777777" w:rsidR="00083A3B" w:rsidRPr="00161076" w:rsidRDefault="00083A3B">
            <w:pPr>
              <w:rPr>
                <w:rFonts w:cstheme="minorHAnsi"/>
                <w:sz w:val="20"/>
                <w:szCs w:val="20"/>
              </w:rPr>
            </w:pPr>
            <w:r w:rsidRPr="00161076">
              <w:rPr>
                <w:rFonts w:cstheme="minorHAnsi"/>
                <w:sz w:val="20"/>
                <w:szCs w:val="20"/>
              </w:rPr>
              <w:t>Step 5a: Surplus reduction</w:t>
            </w:r>
          </w:p>
        </w:tc>
        <w:tc>
          <w:tcPr>
            <w:tcW w:w="827" w:type="dxa"/>
            <w:noWrap/>
            <w:tcMar>
              <w:top w:w="28" w:type="dxa"/>
              <w:bottom w:w="28" w:type="dxa"/>
            </w:tcMar>
            <w:hideMark/>
          </w:tcPr>
          <w:p w14:paraId="06E04DBD" w14:textId="77777777" w:rsidR="00083A3B" w:rsidRPr="00161076" w:rsidRDefault="00083A3B" w:rsidP="00306475">
            <w:pPr>
              <w:jc w:val="right"/>
              <w:rPr>
                <w:rFonts w:cstheme="minorHAnsi"/>
                <w:sz w:val="20"/>
                <w:szCs w:val="20"/>
              </w:rPr>
            </w:pPr>
            <w:r w:rsidRPr="00161076">
              <w:rPr>
                <w:rFonts w:cstheme="minorHAnsi"/>
                <w:sz w:val="20"/>
                <w:szCs w:val="20"/>
              </w:rPr>
              <w:t xml:space="preserve">11.5 </w:t>
            </w:r>
          </w:p>
        </w:tc>
        <w:tc>
          <w:tcPr>
            <w:tcW w:w="828" w:type="dxa"/>
            <w:noWrap/>
            <w:tcMar>
              <w:top w:w="28" w:type="dxa"/>
              <w:bottom w:w="28" w:type="dxa"/>
            </w:tcMar>
            <w:hideMark/>
          </w:tcPr>
          <w:p w14:paraId="66130D38" w14:textId="77777777" w:rsidR="00083A3B" w:rsidRPr="00161076" w:rsidRDefault="00083A3B" w:rsidP="00306475">
            <w:pPr>
              <w:jc w:val="right"/>
              <w:rPr>
                <w:rFonts w:cstheme="minorHAnsi"/>
                <w:sz w:val="20"/>
                <w:szCs w:val="20"/>
              </w:rPr>
            </w:pPr>
            <w:r w:rsidRPr="00161076">
              <w:rPr>
                <w:rFonts w:cstheme="minorHAnsi"/>
                <w:sz w:val="20"/>
                <w:szCs w:val="20"/>
              </w:rPr>
              <w:t xml:space="preserve">10.5 </w:t>
            </w:r>
          </w:p>
        </w:tc>
        <w:tc>
          <w:tcPr>
            <w:tcW w:w="828" w:type="dxa"/>
            <w:gridSpan w:val="2"/>
            <w:noWrap/>
            <w:tcMar>
              <w:top w:w="28" w:type="dxa"/>
              <w:bottom w:w="28" w:type="dxa"/>
            </w:tcMar>
            <w:hideMark/>
          </w:tcPr>
          <w:p w14:paraId="03EF1B14" w14:textId="77777777" w:rsidR="00083A3B" w:rsidRPr="00161076" w:rsidRDefault="00083A3B" w:rsidP="00306475">
            <w:pPr>
              <w:jc w:val="right"/>
              <w:rPr>
                <w:rFonts w:cstheme="minorHAnsi"/>
                <w:sz w:val="20"/>
                <w:szCs w:val="20"/>
              </w:rPr>
            </w:pPr>
            <w:r w:rsidRPr="00161076">
              <w:rPr>
                <w:rFonts w:cstheme="minorHAnsi"/>
                <w:sz w:val="20"/>
                <w:szCs w:val="20"/>
              </w:rPr>
              <w:t xml:space="preserve">5.4 </w:t>
            </w:r>
          </w:p>
        </w:tc>
        <w:tc>
          <w:tcPr>
            <w:tcW w:w="827" w:type="dxa"/>
            <w:noWrap/>
            <w:tcMar>
              <w:top w:w="28" w:type="dxa"/>
              <w:bottom w:w="28" w:type="dxa"/>
            </w:tcMar>
            <w:hideMark/>
          </w:tcPr>
          <w:p w14:paraId="06EE79CE" w14:textId="77777777" w:rsidR="00083A3B" w:rsidRPr="00161076" w:rsidRDefault="00083A3B" w:rsidP="00306475">
            <w:pPr>
              <w:jc w:val="right"/>
              <w:rPr>
                <w:rFonts w:cstheme="minorHAnsi"/>
                <w:sz w:val="20"/>
                <w:szCs w:val="20"/>
              </w:rPr>
            </w:pPr>
            <w:r w:rsidRPr="00161076">
              <w:rPr>
                <w:rFonts w:cstheme="minorHAnsi"/>
                <w:sz w:val="20"/>
                <w:szCs w:val="20"/>
              </w:rPr>
              <w:t xml:space="preserve">5.3 </w:t>
            </w:r>
          </w:p>
        </w:tc>
        <w:tc>
          <w:tcPr>
            <w:tcW w:w="828" w:type="dxa"/>
            <w:gridSpan w:val="2"/>
            <w:noWrap/>
            <w:tcMar>
              <w:top w:w="28" w:type="dxa"/>
              <w:bottom w:w="28" w:type="dxa"/>
            </w:tcMar>
            <w:hideMark/>
          </w:tcPr>
          <w:p w14:paraId="05C37568" w14:textId="77777777" w:rsidR="00083A3B" w:rsidRPr="00161076" w:rsidRDefault="00083A3B" w:rsidP="00306475">
            <w:pPr>
              <w:jc w:val="right"/>
              <w:rPr>
                <w:rFonts w:cstheme="minorHAnsi"/>
                <w:sz w:val="20"/>
                <w:szCs w:val="20"/>
              </w:rPr>
            </w:pPr>
            <w:r w:rsidRPr="00161076">
              <w:rPr>
                <w:rFonts w:cstheme="minorHAnsi"/>
                <w:sz w:val="20"/>
                <w:szCs w:val="20"/>
              </w:rPr>
              <w:t xml:space="preserve">5.0 </w:t>
            </w:r>
          </w:p>
        </w:tc>
        <w:tc>
          <w:tcPr>
            <w:tcW w:w="828" w:type="dxa"/>
            <w:gridSpan w:val="2"/>
            <w:noWrap/>
            <w:tcMar>
              <w:top w:w="28" w:type="dxa"/>
              <w:bottom w:w="28" w:type="dxa"/>
            </w:tcMar>
            <w:hideMark/>
          </w:tcPr>
          <w:p w14:paraId="367BD8A5" w14:textId="77777777" w:rsidR="00083A3B" w:rsidRPr="00161076" w:rsidRDefault="00083A3B" w:rsidP="00306475">
            <w:pPr>
              <w:jc w:val="right"/>
              <w:rPr>
                <w:rFonts w:cstheme="minorHAnsi"/>
                <w:sz w:val="20"/>
                <w:szCs w:val="20"/>
              </w:rPr>
            </w:pPr>
            <w:r w:rsidRPr="00161076">
              <w:rPr>
                <w:rFonts w:cstheme="minorHAnsi"/>
                <w:sz w:val="20"/>
                <w:szCs w:val="20"/>
              </w:rPr>
              <w:t xml:space="preserve">37.7 </w:t>
            </w:r>
          </w:p>
        </w:tc>
      </w:tr>
      <w:tr w:rsidR="002D2A70" w:rsidRPr="0088374C" w14:paraId="6F5A55D2" w14:textId="77777777" w:rsidTr="00E60BC7">
        <w:trPr>
          <w:trHeight w:val="300"/>
        </w:trPr>
        <w:tc>
          <w:tcPr>
            <w:tcW w:w="4106" w:type="dxa"/>
            <w:noWrap/>
            <w:tcMar>
              <w:top w:w="28" w:type="dxa"/>
              <w:bottom w:w="28" w:type="dxa"/>
            </w:tcMar>
            <w:hideMark/>
          </w:tcPr>
          <w:p w14:paraId="67667FB3" w14:textId="77777777" w:rsidR="00083A3B" w:rsidRPr="00161076" w:rsidRDefault="00083A3B">
            <w:pPr>
              <w:rPr>
                <w:rFonts w:cstheme="minorHAnsi"/>
                <w:sz w:val="20"/>
                <w:szCs w:val="20"/>
              </w:rPr>
            </w:pPr>
            <w:r w:rsidRPr="00161076">
              <w:rPr>
                <w:rFonts w:cstheme="minorHAnsi"/>
                <w:sz w:val="20"/>
                <w:szCs w:val="20"/>
              </w:rPr>
              <w:t>Step 5b: Discrepancy adjustment</w:t>
            </w:r>
          </w:p>
        </w:tc>
        <w:tc>
          <w:tcPr>
            <w:tcW w:w="827" w:type="dxa"/>
            <w:noWrap/>
            <w:tcMar>
              <w:top w:w="28" w:type="dxa"/>
              <w:bottom w:w="28" w:type="dxa"/>
            </w:tcMar>
            <w:hideMark/>
          </w:tcPr>
          <w:p w14:paraId="7BA6836D" w14:textId="77777777" w:rsidR="00083A3B" w:rsidRPr="00161076" w:rsidRDefault="00083A3B" w:rsidP="00306475">
            <w:pPr>
              <w:jc w:val="right"/>
              <w:rPr>
                <w:rFonts w:cstheme="minorHAnsi"/>
                <w:sz w:val="20"/>
                <w:szCs w:val="20"/>
              </w:rPr>
            </w:pPr>
            <w:r w:rsidRPr="00161076">
              <w:rPr>
                <w:rFonts w:cstheme="minorHAnsi"/>
                <w:sz w:val="20"/>
                <w:szCs w:val="20"/>
              </w:rPr>
              <w:t xml:space="preserve">0.3 </w:t>
            </w:r>
          </w:p>
        </w:tc>
        <w:tc>
          <w:tcPr>
            <w:tcW w:w="828" w:type="dxa"/>
            <w:noWrap/>
            <w:tcMar>
              <w:top w:w="28" w:type="dxa"/>
              <w:bottom w:w="28" w:type="dxa"/>
            </w:tcMar>
            <w:hideMark/>
          </w:tcPr>
          <w:p w14:paraId="3E0CDA25" w14:textId="77777777" w:rsidR="00083A3B" w:rsidRPr="00161076" w:rsidRDefault="00083A3B" w:rsidP="00306475">
            <w:pPr>
              <w:jc w:val="right"/>
              <w:rPr>
                <w:rFonts w:cstheme="minorHAnsi"/>
                <w:sz w:val="20"/>
                <w:szCs w:val="20"/>
              </w:rPr>
            </w:pPr>
            <w:r w:rsidRPr="00161076">
              <w:rPr>
                <w:rFonts w:cstheme="minorHAnsi"/>
                <w:sz w:val="20"/>
                <w:szCs w:val="20"/>
              </w:rPr>
              <w:t xml:space="preserve">0.3 </w:t>
            </w:r>
          </w:p>
        </w:tc>
        <w:tc>
          <w:tcPr>
            <w:tcW w:w="828" w:type="dxa"/>
            <w:gridSpan w:val="2"/>
            <w:noWrap/>
            <w:tcMar>
              <w:top w:w="28" w:type="dxa"/>
              <w:bottom w:w="28" w:type="dxa"/>
            </w:tcMar>
            <w:hideMark/>
          </w:tcPr>
          <w:p w14:paraId="0E198680" w14:textId="77777777" w:rsidR="00083A3B" w:rsidRPr="00161076" w:rsidRDefault="00083A3B" w:rsidP="00306475">
            <w:pPr>
              <w:jc w:val="right"/>
              <w:rPr>
                <w:rFonts w:cstheme="minorHAnsi"/>
                <w:sz w:val="20"/>
                <w:szCs w:val="20"/>
              </w:rPr>
            </w:pPr>
            <w:r w:rsidRPr="00161076">
              <w:rPr>
                <w:rFonts w:cstheme="minorHAnsi"/>
                <w:sz w:val="20"/>
                <w:szCs w:val="20"/>
              </w:rPr>
              <w:t xml:space="preserve">-1.7 </w:t>
            </w:r>
          </w:p>
        </w:tc>
        <w:tc>
          <w:tcPr>
            <w:tcW w:w="827" w:type="dxa"/>
            <w:noWrap/>
            <w:tcMar>
              <w:top w:w="28" w:type="dxa"/>
              <w:bottom w:w="28" w:type="dxa"/>
            </w:tcMar>
            <w:hideMark/>
          </w:tcPr>
          <w:p w14:paraId="044993CD" w14:textId="77777777" w:rsidR="00083A3B" w:rsidRPr="00161076" w:rsidRDefault="00083A3B" w:rsidP="00306475">
            <w:pPr>
              <w:jc w:val="right"/>
              <w:rPr>
                <w:rFonts w:cstheme="minorHAnsi"/>
                <w:sz w:val="20"/>
                <w:szCs w:val="20"/>
              </w:rPr>
            </w:pPr>
            <w:r w:rsidRPr="00161076">
              <w:rPr>
                <w:rFonts w:cstheme="minorHAnsi"/>
                <w:sz w:val="20"/>
                <w:szCs w:val="20"/>
              </w:rPr>
              <w:t xml:space="preserve">-1.5 </w:t>
            </w:r>
          </w:p>
        </w:tc>
        <w:tc>
          <w:tcPr>
            <w:tcW w:w="828" w:type="dxa"/>
            <w:gridSpan w:val="2"/>
            <w:noWrap/>
            <w:tcMar>
              <w:top w:w="28" w:type="dxa"/>
              <w:bottom w:w="28" w:type="dxa"/>
            </w:tcMar>
            <w:hideMark/>
          </w:tcPr>
          <w:p w14:paraId="15B7D4E6" w14:textId="77777777" w:rsidR="00083A3B" w:rsidRPr="00161076" w:rsidRDefault="00083A3B" w:rsidP="00306475">
            <w:pPr>
              <w:jc w:val="right"/>
              <w:rPr>
                <w:rFonts w:cstheme="minorHAnsi"/>
                <w:sz w:val="20"/>
                <w:szCs w:val="20"/>
              </w:rPr>
            </w:pPr>
            <w:r w:rsidRPr="00161076">
              <w:rPr>
                <w:rFonts w:cstheme="minorHAnsi"/>
                <w:sz w:val="20"/>
                <w:szCs w:val="20"/>
              </w:rPr>
              <w:t xml:space="preserve">-1.2 </w:t>
            </w:r>
          </w:p>
        </w:tc>
        <w:tc>
          <w:tcPr>
            <w:tcW w:w="828" w:type="dxa"/>
            <w:gridSpan w:val="2"/>
            <w:noWrap/>
            <w:tcMar>
              <w:top w:w="28" w:type="dxa"/>
              <w:bottom w:w="28" w:type="dxa"/>
            </w:tcMar>
            <w:hideMark/>
          </w:tcPr>
          <w:p w14:paraId="486F4296" w14:textId="77777777" w:rsidR="00083A3B" w:rsidRPr="00161076" w:rsidRDefault="00083A3B" w:rsidP="00306475">
            <w:pPr>
              <w:jc w:val="right"/>
              <w:rPr>
                <w:rFonts w:cstheme="minorHAnsi"/>
                <w:sz w:val="20"/>
                <w:szCs w:val="20"/>
              </w:rPr>
            </w:pPr>
            <w:r w:rsidRPr="00161076">
              <w:rPr>
                <w:rFonts w:cstheme="minorHAnsi"/>
                <w:sz w:val="20"/>
                <w:szCs w:val="20"/>
              </w:rPr>
              <w:t xml:space="preserve">-3.8 </w:t>
            </w:r>
          </w:p>
        </w:tc>
      </w:tr>
      <w:tr w:rsidR="002D2A70" w:rsidRPr="0088374C" w14:paraId="4932E598" w14:textId="77777777" w:rsidTr="00E60BC7">
        <w:trPr>
          <w:trHeight w:val="300"/>
        </w:trPr>
        <w:tc>
          <w:tcPr>
            <w:tcW w:w="4106" w:type="dxa"/>
            <w:noWrap/>
            <w:tcMar>
              <w:top w:w="28" w:type="dxa"/>
              <w:bottom w:w="28" w:type="dxa"/>
            </w:tcMar>
            <w:hideMark/>
          </w:tcPr>
          <w:p w14:paraId="779B579D" w14:textId="77777777" w:rsidR="00083A3B" w:rsidRPr="00161076" w:rsidRDefault="00083A3B">
            <w:pPr>
              <w:rPr>
                <w:rFonts w:cstheme="minorHAnsi"/>
                <w:sz w:val="20"/>
                <w:szCs w:val="20"/>
              </w:rPr>
            </w:pPr>
            <w:r w:rsidRPr="00161076">
              <w:rPr>
                <w:rFonts w:cstheme="minorHAnsi"/>
                <w:sz w:val="20"/>
                <w:szCs w:val="20"/>
              </w:rPr>
              <w:t>Step 6: Approved overseas units</w:t>
            </w:r>
          </w:p>
        </w:tc>
        <w:tc>
          <w:tcPr>
            <w:tcW w:w="827" w:type="dxa"/>
            <w:noWrap/>
            <w:tcMar>
              <w:top w:w="28" w:type="dxa"/>
              <w:bottom w:w="28" w:type="dxa"/>
            </w:tcMar>
            <w:hideMark/>
          </w:tcPr>
          <w:p w14:paraId="66073F5A" w14:textId="77777777" w:rsidR="00083A3B" w:rsidRPr="00161076" w:rsidRDefault="00083A3B" w:rsidP="00306475">
            <w:pPr>
              <w:jc w:val="right"/>
              <w:rPr>
                <w:rFonts w:cstheme="minorHAnsi"/>
                <w:sz w:val="20"/>
                <w:szCs w:val="20"/>
              </w:rPr>
            </w:pPr>
            <w:r w:rsidRPr="00161076">
              <w:rPr>
                <w:rFonts w:cstheme="minorHAnsi"/>
                <w:sz w:val="20"/>
                <w:szCs w:val="20"/>
              </w:rPr>
              <w:t xml:space="preserve">0.0 </w:t>
            </w:r>
          </w:p>
        </w:tc>
        <w:tc>
          <w:tcPr>
            <w:tcW w:w="828" w:type="dxa"/>
            <w:noWrap/>
            <w:tcMar>
              <w:top w:w="28" w:type="dxa"/>
              <w:bottom w:w="28" w:type="dxa"/>
            </w:tcMar>
            <w:hideMark/>
          </w:tcPr>
          <w:p w14:paraId="3F1649A5" w14:textId="77777777" w:rsidR="00083A3B" w:rsidRPr="00161076" w:rsidRDefault="00083A3B" w:rsidP="00306475">
            <w:pPr>
              <w:jc w:val="right"/>
              <w:rPr>
                <w:rFonts w:cstheme="minorHAnsi"/>
                <w:sz w:val="20"/>
                <w:szCs w:val="20"/>
              </w:rPr>
            </w:pPr>
            <w:r w:rsidRPr="00161076">
              <w:rPr>
                <w:rFonts w:cstheme="minorHAnsi"/>
                <w:sz w:val="20"/>
                <w:szCs w:val="20"/>
              </w:rPr>
              <w:t xml:space="preserve">0.0 </w:t>
            </w:r>
          </w:p>
        </w:tc>
        <w:tc>
          <w:tcPr>
            <w:tcW w:w="828" w:type="dxa"/>
            <w:gridSpan w:val="2"/>
            <w:noWrap/>
            <w:tcMar>
              <w:top w:w="28" w:type="dxa"/>
              <w:bottom w:w="28" w:type="dxa"/>
            </w:tcMar>
            <w:hideMark/>
          </w:tcPr>
          <w:p w14:paraId="551412A3" w14:textId="77777777" w:rsidR="00083A3B" w:rsidRPr="00161076" w:rsidRDefault="00083A3B" w:rsidP="00306475">
            <w:pPr>
              <w:jc w:val="right"/>
              <w:rPr>
                <w:rFonts w:cstheme="minorHAnsi"/>
                <w:sz w:val="20"/>
                <w:szCs w:val="20"/>
              </w:rPr>
            </w:pPr>
            <w:r w:rsidRPr="00161076">
              <w:rPr>
                <w:rFonts w:cstheme="minorHAnsi"/>
                <w:sz w:val="20"/>
                <w:szCs w:val="20"/>
              </w:rPr>
              <w:t xml:space="preserve">0.0 </w:t>
            </w:r>
          </w:p>
        </w:tc>
        <w:tc>
          <w:tcPr>
            <w:tcW w:w="827" w:type="dxa"/>
            <w:noWrap/>
            <w:tcMar>
              <w:top w:w="28" w:type="dxa"/>
              <w:bottom w:w="28" w:type="dxa"/>
            </w:tcMar>
            <w:hideMark/>
          </w:tcPr>
          <w:p w14:paraId="7E1BCCEE" w14:textId="77777777" w:rsidR="00083A3B" w:rsidRPr="00161076" w:rsidRDefault="00083A3B" w:rsidP="00306475">
            <w:pPr>
              <w:jc w:val="right"/>
              <w:rPr>
                <w:rFonts w:cstheme="minorHAnsi"/>
                <w:sz w:val="20"/>
                <w:szCs w:val="20"/>
              </w:rPr>
            </w:pPr>
            <w:r w:rsidRPr="00161076">
              <w:rPr>
                <w:rFonts w:cstheme="minorHAnsi"/>
                <w:sz w:val="20"/>
                <w:szCs w:val="20"/>
              </w:rPr>
              <w:t xml:space="preserve">0.0 </w:t>
            </w:r>
          </w:p>
        </w:tc>
        <w:tc>
          <w:tcPr>
            <w:tcW w:w="828" w:type="dxa"/>
            <w:gridSpan w:val="2"/>
            <w:noWrap/>
            <w:tcMar>
              <w:top w:w="28" w:type="dxa"/>
              <w:bottom w:w="28" w:type="dxa"/>
            </w:tcMar>
            <w:hideMark/>
          </w:tcPr>
          <w:p w14:paraId="0B91BEE0" w14:textId="77777777" w:rsidR="00083A3B" w:rsidRPr="00161076" w:rsidRDefault="00083A3B" w:rsidP="00306475">
            <w:pPr>
              <w:jc w:val="right"/>
              <w:rPr>
                <w:rFonts w:cstheme="minorHAnsi"/>
                <w:sz w:val="20"/>
                <w:szCs w:val="20"/>
              </w:rPr>
            </w:pPr>
            <w:r w:rsidRPr="00161076">
              <w:rPr>
                <w:rFonts w:cstheme="minorHAnsi"/>
                <w:sz w:val="20"/>
                <w:szCs w:val="20"/>
              </w:rPr>
              <w:t xml:space="preserve">0.0 </w:t>
            </w:r>
          </w:p>
        </w:tc>
        <w:tc>
          <w:tcPr>
            <w:tcW w:w="828" w:type="dxa"/>
            <w:gridSpan w:val="2"/>
            <w:noWrap/>
            <w:tcMar>
              <w:top w:w="28" w:type="dxa"/>
              <w:bottom w:w="28" w:type="dxa"/>
            </w:tcMar>
            <w:hideMark/>
          </w:tcPr>
          <w:p w14:paraId="715446F4" w14:textId="77777777" w:rsidR="00083A3B" w:rsidRPr="00161076" w:rsidRDefault="00083A3B" w:rsidP="00306475">
            <w:pPr>
              <w:jc w:val="right"/>
              <w:rPr>
                <w:rFonts w:cstheme="minorHAnsi"/>
                <w:sz w:val="20"/>
                <w:szCs w:val="20"/>
              </w:rPr>
            </w:pPr>
            <w:r w:rsidRPr="00161076">
              <w:rPr>
                <w:rFonts w:cstheme="minorHAnsi"/>
                <w:sz w:val="20"/>
                <w:szCs w:val="20"/>
              </w:rPr>
              <w:t xml:space="preserve">0.0 </w:t>
            </w:r>
          </w:p>
        </w:tc>
      </w:tr>
      <w:tr w:rsidR="002D2A70" w:rsidRPr="0088374C" w14:paraId="5CFEA387" w14:textId="77777777" w:rsidTr="00E60BC7">
        <w:trPr>
          <w:trHeight w:val="300"/>
        </w:trPr>
        <w:tc>
          <w:tcPr>
            <w:tcW w:w="4106" w:type="dxa"/>
            <w:noWrap/>
            <w:tcMar>
              <w:top w:w="28" w:type="dxa"/>
              <w:bottom w:w="28" w:type="dxa"/>
            </w:tcMar>
            <w:hideMark/>
          </w:tcPr>
          <w:p w14:paraId="409EC1E0" w14:textId="0A45D499" w:rsidR="00083A3B" w:rsidRPr="00161076" w:rsidRDefault="00083A3B">
            <w:pPr>
              <w:rPr>
                <w:rFonts w:cstheme="minorHAnsi"/>
                <w:sz w:val="20"/>
                <w:szCs w:val="20"/>
              </w:rPr>
            </w:pPr>
            <w:r w:rsidRPr="00161076">
              <w:rPr>
                <w:rFonts w:cstheme="minorHAnsi"/>
                <w:sz w:val="20"/>
                <w:szCs w:val="20"/>
              </w:rPr>
              <w:t>Step 7</w:t>
            </w:r>
            <w:r w:rsidR="00F42AFB" w:rsidRPr="00161076">
              <w:rPr>
                <w:rFonts w:cstheme="minorHAnsi"/>
                <w:sz w:val="20"/>
                <w:szCs w:val="20"/>
              </w:rPr>
              <w:t>a</w:t>
            </w:r>
            <w:r w:rsidRPr="00161076">
              <w:rPr>
                <w:rFonts w:cstheme="minorHAnsi"/>
                <w:sz w:val="20"/>
                <w:szCs w:val="20"/>
              </w:rPr>
              <w:t>: Auction volumes</w:t>
            </w:r>
            <w:r w:rsidR="00B832E6" w:rsidRPr="00161076">
              <w:rPr>
                <w:rFonts w:cstheme="minorHAnsi"/>
                <w:sz w:val="20"/>
                <w:szCs w:val="20"/>
              </w:rPr>
              <w:t xml:space="preserve"> under linear cap</w:t>
            </w:r>
          </w:p>
        </w:tc>
        <w:tc>
          <w:tcPr>
            <w:tcW w:w="827" w:type="dxa"/>
            <w:noWrap/>
            <w:tcMar>
              <w:top w:w="28" w:type="dxa"/>
              <w:bottom w:w="28" w:type="dxa"/>
            </w:tcMar>
            <w:hideMark/>
          </w:tcPr>
          <w:p w14:paraId="4C643544" w14:textId="77777777" w:rsidR="00083A3B" w:rsidRPr="00161076" w:rsidRDefault="00083A3B" w:rsidP="00306475">
            <w:pPr>
              <w:jc w:val="right"/>
              <w:rPr>
                <w:rFonts w:cstheme="minorHAnsi"/>
                <w:sz w:val="20"/>
                <w:szCs w:val="20"/>
              </w:rPr>
            </w:pPr>
            <w:r w:rsidRPr="00161076">
              <w:rPr>
                <w:rFonts w:cstheme="minorHAnsi"/>
                <w:sz w:val="20"/>
                <w:szCs w:val="20"/>
              </w:rPr>
              <w:t>5.2</w:t>
            </w:r>
          </w:p>
        </w:tc>
        <w:tc>
          <w:tcPr>
            <w:tcW w:w="828" w:type="dxa"/>
            <w:noWrap/>
            <w:tcMar>
              <w:top w:w="28" w:type="dxa"/>
              <w:bottom w:w="28" w:type="dxa"/>
            </w:tcMar>
            <w:hideMark/>
          </w:tcPr>
          <w:p w14:paraId="3B5C6219" w14:textId="77777777" w:rsidR="00083A3B" w:rsidRPr="00161076" w:rsidRDefault="00083A3B" w:rsidP="00306475">
            <w:pPr>
              <w:jc w:val="right"/>
              <w:rPr>
                <w:rFonts w:cstheme="minorHAnsi"/>
                <w:sz w:val="20"/>
                <w:szCs w:val="20"/>
              </w:rPr>
            </w:pPr>
            <w:r w:rsidRPr="00161076">
              <w:rPr>
                <w:rFonts w:cstheme="minorHAnsi"/>
                <w:sz w:val="20"/>
                <w:szCs w:val="20"/>
              </w:rPr>
              <w:t>4.3</w:t>
            </w:r>
          </w:p>
        </w:tc>
        <w:tc>
          <w:tcPr>
            <w:tcW w:w="828" w:type="dxa"/>
            <w:gridSpan w:val="2"/>
            <w:noWrap/>
            <w:tcMar>
              <w:top w:w="28" w:type="dxa"/>
              <w:bottom w:w="28" w:type="dxa"/>
            </w:tcMar>
            <w:hideMark/>
          </w:tcPr>
          <w:p w14:paraId="622C1E3D" w14:textId="4951CDFB" w:rsidR="00083A3B" w:rsidRPr="00161076" w:rsidRDefault="00083A3B" w:rsidP="00306475">
            <w:pPr>
              <w:jc w:val="right"/>
              <w:rPr>
                <w:rFonts w:cstheme="minorHAnsi"/>
                <w:sz w:val="20"/>
                <w:szCs w:val="20"/>
              </w:rPr>
            </w:pPr>
            <w:r w:rsidRPr="00161076">
              <w:rPr>
                <w:rFonts w:cstheme="minorHAnsi"/>
                <w:sz w:val="20"/>
                <w:szCs w:val="20"/>
              </w:rPr>
              <w:t>9.</w:t>
            </w:r>
            <w:r w:rsidR="00C86783" w:rsidRPr="00161076">
              <w:rPr>
                <w:rFonts w:cstheme="minorHAnsi"/>
                <w:sz w:val="20"/>
                <w:szCs w:val="20"/>
              </w:rPr>
              <w:t>2</w:t>
            </w:r>
          </w:p>
        </w:tc>
        <w:tc>
          <w:tcPr>
            <w:tcW w:w="827" w:type="dxa"/>
            <w:noWrap/>
            <w:tcMar>
              <w:top w:w="28" w:type="dxa"/>
              <w:bottom w:w="28" w:type="dxa"/>
            </w:tcMar>
            <w:hideMark/>
          </w:tcPr>
          <w:p w14:paraId="5190FD19" w14:textId="77777777" w:rsidR="00083A3B" w:rsidRPr="00161076" w:rsidRDefault="00083A3B" w:rsidP="00306475">
            <w:pPr>
              <w:jc w:val="right"/>
              <w:rPr>
                <w:rFonts w:cstheme="minorHAnsi"/>
                <w:sz w:val="20"/>
                <w:szCs w:val="20"/>
              </w:rPr>
            </w:pPr>
            <w:r w:rsidRPr="00161076">
              <w:rPr>
                <w:rFonts w:cstheme="minorHAnsi"/>
                <w:sz w:val="20"/>
                <w:szCs w:val="20"/>
              </w:rPr>
              <w:t>6.8</w:t>
            </w:r>
          </w:p>
        </w:tc>
        <w:tc>
          <w:tcPr>
            <w:tcW w:w="828" w:type="dxa"/>
            <w:gridSpan w:val="2"/>
            <w:noWrap/>
            <w:tcMar>
              <w:top w:w="28" w:type="dxa"/>
              <w:bottom w:w="28" w:type="dxa"/>
            </w:tcMar>
            <w:hideMark/>
          </w:tcPr>
          <w:p w14:paraId="424A9A59" w14:textId="4CEDCECC" w:rsidR="00083A3B" w:rsidRPr="00161076" w:rsidRDefault="00C86783" w:rsidP="00306475">
            <w:pPr>
              <w:jc w:val="right"/>
              <w:rPr>
                <w:rFonts w:cstheme="minorHAnsi"/>
                <w:sz w:val="20"/>
                <w:szCs w:val="20"/>
              </w:rPr>
            </w:pPr>
            <w:r w:rsidRPr="00161076">
              <w:rPr>
                <w:rFonts w:cstheme="minorHAnsi"/>
                <w:sz w:val="20"/>
                <w:szCs w:val="20"/>
              </w:rPr>
              <w:t>5.1</w:t>
            </w:r>
          </w:p>
        </w:tc>
        <w:tc>
          <w:tcPr>
            <w:tcW w:w="828" w:type="dxa"/>
            <w:gridSpan w:val="2"/>
            <w:noWrap/>
            <w:tcMar>
              <w:top w:w="28" w:type="dxa"/>
              <w:bottom w:w="28" w:type="dxa"/>
            </w:tcMar>
            <w:hideMark/>
          </w:tcPr>
          <w:p w14:paraId="4310223F" w14:textId="77777777" w:rsidR="00083A3B" w:rsidRPr="00161076" w:rsidRDefault="00083A3B" w:rsidP="00306475">
            <w:pPr>
              <w:jc w:val="right"/>
              <w:rPr>
                <w:rFonts w:cstheme="minorHAnsi"/>
                <w:sz w:val="20"/>
                <w:szCs w:val="20"/>
              </w:rPr>
            </w:pPr>
            <w:r w:rsidRPr="00161076">
              <w:rPr>
                <w:rFonts w:cstheme="minorHAnsi"/>
                <w:sz w:val="20"/>
                <w:szCs w:val="20"/>
              </w:rPr>
              <w:t xml:space="preserve">30.5 </w:t>
            </w:r>
          </w:p>
        </w:tc>
      </w:tr>
      <w:tr w:rsidR="002D2A70" w:rsidRPr="0088374C" w14:paraId="1A9D0C4C" w14:textId="77777777" w:rsidTr="00E60BC7">
        <w:trPr>
          <w:trHeight w:val="300"/>
        </w:trPr>
        <w:tc>
          <w:tcPr>
            <w:tcW w:w="4106" w:type="dxa"/>
            <w:noWrap/>
            <w:tcMar>
              <w:top w:w="28" w:type="dxa"/>
              <w:bottom w:w="28" w:type="dxa"/>
            </w:tcMar>
            <w:hideMark/>
          </w:tcPr>
          <w:p w14:paraId="2FD44750" w14:textId="484F91A4" w:rsidR="00083A3B" w:rsidRPr="00161076" w:rsidRDefault="00F42AFB">
            <w:pPr>
              <w:rPr>
                <w:rFonts w:cstheme="minorHAnsi"/>
                <w:b/>
                <w:sz w:val="20"/>
                <w:szCs w:val="20"/>
              </w:rPr>
            </w:pPr>
            <w:r w:rsidRPr="00161076">
              <w:rPr>
                <w:rFonts w:cstheme="minorHAnsi"/>
                <w:b/>
                <w:sz w:val="20"/>
                <w:szCs w:val="20"/>
              </w:rPr>
              <w:t xml:space="preserve">Step 7b: </w:t>
            </w:r>
            <w:r w:rsidR="00083A3B" w:rsidRPr="00161076">
              <w:rPr>
                <w:rFonts w:cstheme="minorHAnsi"/>
                <w:b/>
                <w:sz w:val="20"/>
                <w:szCs w:val="20"/>
              </w:rPr>
              <w:t xml:space="preserve">Final </w:t>
            </w:r>
            <w:r w:rsidR="004B4F0A" w:rsidRPr="00161076">
              <w:rPr>
                <w:rFonts w:cstheme="minorHAnsi"/>
                <w:b/>
                <w:sz w:val="20"/>
                <w:szCs w:val="20"/>
              </w:rPr>
              <w:t xml:space="preserve">proposed auction </w:t>
            </w:r>
            <w:r w:rsidR="00083A3B" w:rsidRPr="00161076">
              <w:rPr>
                <w:rFonts w:cstheme="minorHAnsi"/>
                <w:b/>
                <w:sz w:val="20"/>
                <w:szCs w:val="20"/>
              </w:rPr>
              <w:t xml:space="preserve">volumes </w:t>
            </w:r>
          </w:p>
        </w:tc>
        <w:tc>
          <w:tcPr>
            <w:tcW w:w="827" w:type="dxa"/>
            <w:noWrap/>
            <w:tcMar>
              <w:top w:w="28" w:type="dxa"/>
              <w:bottom w:w="28" w:type="dxa"/>
            </w:tcMar>
            <w:hideMark/>
          </w:tcPr>
          <w:p w14:paraId="6060BFFD" w14:textId="77777777" w:rsidR="00083A3B" w:rsidRPr="00161076" w:rsidRDefault="00083A3B" w:rsidP="00306475">
            <w:pPr>
              <w:jc w:val="right"/>
              <w:rPr>
                <w:rFonts w:cstheme="minorHAnsi"/>
                <w:b/>
                <w:sz w:val="20"/>
                <w:szCs w:val="20"/>
              </w:rPr>
            </w:pPr>
            <w:r w:rsidRPr="00161076">
              <w:rPr>
                <w:rFonts w:cstheme="minorHAnsi"/>
                <w:b/>
                <w:sz w:val="20"/>
                <w:szCs w:val="20"/>
              </w:rPr>
              <w:t>5.2</w:t>
            </w:r>
          </w:p>
        </w:tc>
        <w:tc>
          <w:tcPr>
            <w:tcW w:w="828" w:type="dxa"/>
            <w:noWrap/>
            <w:tcMar>
              <w:top w:w="28" w:type="dxa"/>
              <w:bottom w:w="28" w:type="dxa"/>
            </w:tcMar>
            <w:hideMark/>
          </w:tcPr>
          <w:p w14:paraId="7AB22AA4" w14:textId="77777777" w:rsidR="00083A3B" w:rsidRPr="00161076" w:rsidRDefault="00083A3B" w:rsidP="00306475">
            <w:pPr>
              <w:jc w:val="right"/>
              <w:rPr>
                <w:rFonts w:cstheme="minorHAnsi"/>
                <w:b/>
                <w:sz w:val="20"/>
                <w:szCs w:val="20"/>
              </w:rPr>
            </w:pPr>
            <w:r w:rsidRPr="00161076">
              <w:rPr>
                <w:rFonts w:cstheme="minorHAnsi"/>
                <w:b/>
                <w:sz w:val="20"/>
                <w:szCs w:val="20"/>
              </w:rPr>
              <w:t>4.3</w:t>
            </w:r>
          </w:p>
        </w:tc>
        <w:tc>
          <w:tcPr>
            <w:tcW w:w="828" w:type="dxa"/>
            <w:gridSpan w:val="2"/>
            <w:noWrap/>
            <w:tcMar>
              <w:top w:w="28" w:type="dxa"/>
              <w:bottom w:w="28" w:type="dxa"/>
            </w:tcMar>
            <w:hideMark/>
          </w:tcPr>
          <w:p w14:paraId="201ADEB3" w14:textId="77777777" w:rsidR="00083A3B" w:rsidRPr="00161076" w:rsidRDefault="00083A3B" w:rsidP="00306475">
            <w:pPr>
              <w:jc w:val="right"/>
              <w:rPr>
                <w:rFonts w:cstheme="minorHAnsi"/>
                <w:b/>
                <w:sz w:val="20"/>
                <w:szCs w:val="20"/>
              </w:rPr>
            </w:pPr>
            <w:r w:rsidRPr="00161076">
              <w:rPr>
                <w:rFonts w:cstheme="minorHAnsi"/>
                <w:b/>
                <w:sz w:val="20"/>
                <w:szCs w:val="20"/>
              </w:rPr>
              <w:t xml:space="preserve">7.0 </w:t>
            </w:r>
          </w:p>
        </w:tc>
        <w:tc>
          <w:tcPr>
            <w:tcW w:w="827" w:type="dxa"/>
            <w:noWrap/>
            <w:tcMar>
              <w:top w:w="28" w:type="dxa"/>
              <w:bottom w:w="28" w:type="dxa"/>
            </w:tcMar>
            <w:hideMark/>
          </w:tcPr>
          <w:p w14:paraId="41DE3C17" w14:textId="77777777" w:rsidR="00083A3B" w:rsidRPr="00161076" w:rsidRDefault="00083A3B" w:rsidP="00306475">
            <w:pPr>
              <w:jc w:val="right"/>
              <w:rPr>
                <w:rFonts w:cstheme="minorHAnsi"/>
                <w:b/>
                <w:sz w:val="20"/>
                <w:szCs w:val="20"/>
              </w:rPr>
            </w:pPr>
            <w:r w:rsidRPr="00161076">
              <w:rPr>
                <w:rFonts w:cstheme="minorHAnsi"/>
                <w:b/>
                <w:sz w:val="20"/>
                <w:szCs w:val="20"/>
              </w:rPr>
              <w:t xml:space="preserve">7.0 </w:t>
            </w:r>
          </w:p>
        </w:tc>
        <w:tc>
          <w:tcPr>
            <w:tcW w:w="828" w:type="dxa"/>
            <w:gridSpan w:val="2"/>
            <w:noWrap/>
            <w:tcMar>
              <w:top w:w="28" w:type="dxa"/>
              <w:bottom w:w="28" w:type="dxa"/>
            </w:tcMar>
            <w:hideMark/>
          </w:tcPr>
          <w:p w14:paraId="05B407A4" w14:textId="77777777" w:rsidR="00083A3B" w:rsidRPr="00161076" w:rsidRDefault="00083A3B" w:rsidP="00306475">
            <w:pPr>
              <w:jc w:val="right"/>
              <w:rPr>
                <w:rFonts w:cstheme="minorHAnsi"/>
                <w:b/>
                <w:sz w:val="20"/>
                <w:szCs w:val="20"/>
              </w:rPr>
            </w:pPr>
            <w:r w:rsidRPr="00161076">
              <w:rPr>
                <w:rFonts w:cstheme="minorHAnsi"/>
                <w:b/>
                <w:sz w:val="20"/>
                <w:szCs w:val="20"/>
              </w:rPr>
              <w:t xml:space="preserve">7.0 </w:t>
            </w:r>
          </w:p>
        </w:tc>
        <w:tc>
          <w:tcPr>
            <w:tcW w:w="828" w:type="dxa"/>
            <w:gridSpan w:val="2"/>
            <w:noWrap/>
            <w:tcMar>
              <w:top w:w="28" w:type="dxa"/>
              <w:bottom w:w="28" w:type="dxa"/>
            </w:tcMar>
            <w:hideMark/>
          </w:tcPr>
          <w:p w14:paraId="6695C46A" w14:textId="77777777" w:rsidR="00083A3B" w:rsidRPr="00161076" w:rsidRDefault="00083A3B" w:rsidP="00306475">
            <w:pPr>
              <w:jc w:val="right"/>
              <w:rPr>
                <w:rFonts w:cstheme="minorHAnsi"/>
                <w:b/>
                <w:sz w:val="20"/>
                <w:szCs w:val="20"/>
              </w:rPr>
            </w:pPr>
            <w:r w:rsidRPr="00161076">
              <w:rPr>
                <w:rFonts w:cstheme="minorHAnsi"/>
                <w:b/>
                <w:sz w:val="20"/>
                <w:szCs w:val="20"/>
              </w:rPr>
              <w:t xml:space="preserve">30.5 </w:t>
            </w:r>
          </w:p>
        </w:tc>
      </w:tr>
    </w:tbl>
    <w:p w14:paraId="2D13436A" w14:textId="3769B5A8" w:rsidR="001434EC" w:rsidRPr="009C43CC" w:rsidRDefault="001434EC" w:rsidP="00E60BC7">
      <w:pPr>
        <w:pStyle w:val="Heading3"/>
        <w:spacing w:before="240" w:after="120" w:line="276" w:lineRule="auto"/>
        <w:rPr>
          <w:rFonts w:ascii="Calibri" w:hAnsi="Calibri"/>
          <w:szCs w:val="28"/>
        </w:rPr>
      </w:pPr>
      <w:bookmarkStart w:id="73" w:name="_Toc195533434"/>
      <w:r w:rsidRPr="009C43CC">
        <w:rPr>
          <w:rFonts w:ascii="Calibri" w:hAnsi="Calibri" w:cstheme="minorBidi"/>
          <w:szCs w:val="28"/>
        </w:rPr>
        <w:t xml:space="preserve">Comparing </w:t>
      </w:r>
      <w:r w:rsidR="004C316C" w:rsidRPr="009C43CC">
        <w:rPr>
          <w:rFonts w:ascii="Calibri" w:hAnsi="Calibri" w:cstheme="minorBidi"/>
          <w:szCs w:val="28"/>
        </w:rPr>
        <w:t xml:space="preserve">the updated </w:t>
      </w:r>
      <w:r w:rsidR="00B3206A" w:rsidRPr="009C43CC">
        <w:rPr>
          <w:rFonts w:ascii="Calibri" w:hAnsi="Calibri" w:cstheme="minorBidi"/>
          <w:szCs w:val="28"/>
        </w:rPr>
        <w:t xml:space="preserve">proposed </w:t>
      </w:r>
      <w:r w:rsidR="003E3E30" w:rsidRPr="009C43CC">
        <w:rPr>
          <w:rFonts w:ascii="Calibri" w:hAnsi="Calibri" w:cstheme="minorBidi"/>
          <w:szCs w:val="28"/>
        </w:rPr>
        <w:t xml:space="preserve">volumes to </w:t>
      </w:r>
      <w:r w:rsidRPr="009C43CC">
        <w:rPr>
          <w:rFonts w:ascii="Calibri" w:hAnsi="Calibri" w:cstheme="minorBidi"/>
          <w:szCs w:val="28"/>
        </w:rPr>
        <w:t>the status quo</w:t>
      </w:r>
      <w:bookmarkEnd w:id="73"/>
      <w:r w:rsidRPr="009C43CC">
        <w:rPr>
          <w:rFonts w:ascii="Calibri" w:hAnsi="Calibri" w:cstheme="minorBidi"/>
          <w:szCs w:val="28"/>
        </w:rPr>
        <w:t xml:space="preserve"> </w:t>
      </w:r>
    </w:p>
    <w:p w14:paraId="4738B7B4" w14:textId="6392C1CE" w:rsidR="006A0185" w:rsidRPr="00F33201" w:rsidRDefault="00EA3949" w:rsidP="00F92339">
      <w:r>
        <w:fldChar w:fldCharType="begin"/>
      </w:r>
      <w:r>
        <w:instrText xml:space="preserve"> REF _Ref195176712 \h  \* MERGEFORMAT </w:instrText>
      </w:r>
      <w:r>
        <w:fldChar w:fldCharType="separate"/>
      </w:r>
      <w:r w:rsidRPr="009C43CC">
        <w:rPr>
          <w:b/>
        </w:rPr>
        <w:t xml:space="preserve">Table </w:t>
      </w:r>
      <w:r w:rsidRPr="00EA3949">
        <w:rPr>
          <w:b/>
          <w:bCs/>
          <w:noProof/>
        </w:rPr>
        <w:t>20</w:t>
      </w:r>
      <w:r>
        <w:fldChar w:fldCharType="end"/>
      </w:r>
      <w:r w:rsidR="0028635A" w:rsidRPr="009C43CC">
        <w:t xml:space="preserve"> </w:t>
      </w:r>
      <w:r w:rsidR="001434EC" w:rsidRPr="00F33201">
        <w:t xml:space="preserve">shows the change </w:t>
      </w:r>
      <w:r w:rsidR="00D3402B" w:rsidRPr="00F33201">
        <w:t xml:space="preserve">for each of the seven steps </w:t>
      </w:r>
      <w:r w:rsidR="001434EC" w:rsidRPr="00F33201">
        <w:t xml:space="preserve">used </w:t>
      </w:r>
      <w:r w:rsidR="008D3E4B" w:rsidRPr="00F33201">
        <w:t xml:space="preserve">to </w:t>
      </w:r>
      <w:r w:rsidR="00FD27B4" w:rsidRPr="009C43CC">
        <w:t xml:space="preserve">determine our updated proposed </w:t>
      </w:r>
      <w:r w:rsidR="001434EC" w:rsidRPr="00F33201">
        <w:t>auction volumes</w:t>
      </w:r>
      <w:r w:rsidR="00A334A4">
        <w:t>,</w:t>
      </w:r>
      <w:r w:rsidR="001434EC" w:rsidRPr="00F33201">
        <w:t xml:space="preserve"> </w:t>
      </w:r>
      <w:r w:rsidR="00FD27B4" w:rsidRPr="009C43CC">
        <w:t xml:space="preserve">compared to </w:t>
      </w:r>
      <w:r w:rsidR="00B3206A" w:rsidRPr="009C43CC">
        <w:t>the auction volu</w:t>
      </w:r>
      <w:r w:rsidR="00296FFA" w:rsidRPr="009C43CC">
        <w:t xml:space="preserve">mes </w:t>
      </w:r>
      <w:r w:rsidR="001434EC" w:rsidRPr="00F33201">
        <w:t>available under current regulations</w:t>
      </w:r>
      <w:r w:rsidR="00296FFA" w:rsidRPr="009C43CC">
        <w:t>.</w:t>
      </w:r>
      <w:r w:rsidR="005167FF" w:rsidRPr="00F33201">
        <w:rPr>
          <w:rStyle w:val="FootnoteReference"/>
        </w:rPr>
        <w:footnoteReference w:id="11"/>
      </w:r>
      <w:r w:rsidR="001434EC" w:rsidRPr="00F33201">
        <w:t xml:space="preserve"> </w:t>
      </w:r>
      <w:r w:rsidR="00296FFA" w:rsidRPr="009C43CC">
        <w:t xml:space="preserve"> </w:t>
      </w:r>
      <w:r w:rsidR="001434EC" w:rsidRPr="00F33201">
        <w:t xml:space="preserve">Only the limits on NZUs available by auction (including cost containment reserve volume) are set in regulations, but this table contains the information used to calculate the auction volumes.  </w:t>
      </w:r>
    </w:p>
    <w:p w14:paraId="354775DF" w14:textId="39E23312" w:rsidR="006A0185" w:rsidRDefault="00C821D9" w:rsidP="00EB101D">
      <w:pPr>
        <w:pStyle w:val="Caption"/>
      </w:pPr>
      <w:bookmarkStart w:id="74" w:name="_Ref195176712"/>
      <w:r w:rsidRPr="009C43CC">
        <w:t xml:space="preserve">Table </w:t>
      </w:r>
      <w:r w:rsidRPr="009C43CC">
        <w:fldChar w:fldCharType="begin"/>
      </w:r>
      <w:r w:rsidRPr="009C43CC">
        <w:instrText xml:space="preserve"> SEQ Table \* ARABIC </w:instrText>
      </w:r>
      <w:r w:rsidRPr="009C43CC">
        <w:fldChar w:fldCharType="separate"/>
      </w:r>
      <w:r w:rsidR="00EA3949">
        <w:rPr>
          <w:noProof/>
        </w:rPr>
        <w:t>20</w:t>
      </w:r>
      <w:r w:rsidRPr="009C43CC">
        <w:fldChar w:fldCharType="end"/>
      </w:r>
      <w:bookmarkEnd w:id="74"/>
      <w:r w:rsidRPr="00F33201">
        <w:t xml:space="preserve">: </w:t>
      </w:r>
      <w:r w:rsidRPr="00EA3949">
        <w:rPr>
          <w:b w:val="0"/>
        </w:rPr>
        <w:t>Differences between calculations for updated auction volumes (2026-2030) and status quo in regulations (2025-2029).</w:t>
      </w:r>
      <w:r w:rsidR="002B01C2" w:rsidRPr="00EA3949">
        <w:rPr>
          <w:rStyle w:val="FootnoteReference"/>
          <w:b w:val="0"/>
        </w:rPr>
        <w:footnoteReference w:id="12"/>
      </w:r>
      <w:r>
        <w:t xml:space="preserve"> </w:t>
      </w:r>
    </w:p>
    <w:tbl>
      <w:tblPr>
        <w:tblW w:w="9067" w:type="dxa"/>
        <w:tblLayout w:type="fixed"/>
        <w:tblLook w:val="04A0" w:firstRow="1" w:lastRow="0" w:firstColumn="1" w:lastColumn="0" w:noHBand="0" w:noVBand="1"/>
      </w:tblPr>
      <w:tblGrid>
        <w:gridCol w:w="3539"/>
        <w:gridCol w:w="1105"/>
        <w:gridCol w:w="1106"/>
        <w:gridCol w:w="1105"/>
        <w:gridCol w:w="1106"/>
        <w:gridCol w:w="1106"/>
      </w:tblGrid>
      <w:tr w:rsidR="00720731" w:rsidRPr="00CF0F3F" w14:paraId="3A182E62" w14:textId="77777777" w:rsidTr="00E60BC7">
        <w:trPr>
          <w:trHeight w:val="300"/>
        </w:trPr>
        <w:tc>
          <w:tcPr>
            <w:tcW w:w="3539" w:type="dxa"/>
            <w:tcBorders>
              <w:top w:val="nil"/>
              <w:left w:val="single" w:sz="4" w:space="0" w:color="auto"/>
              <w:bottom w:val="single" w:sz="4" w:space="0" w:color="auto"/>
              <w:right w:val="nil"/>
            </w:tcBorders>
            <w:shd w:val="clear" w:color="auto" w:fill="002060"/>
            <w:noWrap/>
            <w:tcMar>
              <w:top w:w="28" w:type="dxa"/>
              <w:bottom w:w="28" w:type="dxa"/>
            </w:tcMar>
            <w:vAlign w:val="bottom"/>
          </w:tcPr>
          <w:p w14:paraId="060229FF" w14:textId="27F5DF54" w:rsidR="00720731" w:rsidRPr="00161076" w:rsidRDefault="00720731" w:rsidP="009C43CC">
            <w:pPr>
              <w:pStyle w:val="Tableheading"/>
              <w:rPr>
                <w:rFonts w:cstheme="minorHAnsi"/>
                <w:color w:val="FFFFFF" w:themeColor="background1"/>
                <w:sz w:val="20"/>
                <w:szCs w:val="20"/>
                <w:lang w:eastAsia="en-NZ"/>
              </w:rPr>
            </w:pPr>
            <w:r w:rsidRPr="00161076">
              <w:rPr>
                <w:rFonts w:cstheme="minorHAnsi"/>
                <w:sz w:val="20"/>
                <w:szCs w:val="20"/>
                <w:lang w:eastAsia="en-NZ"/>
              </w:rPr>
              <w:t>Change in units (millions)</w:t>
            </w:r>
          </w:p>
        </w:tc>
        <w:tc>
          <w:tcPr>
            <w:tcW w:w="2211" w:type="dxa"/>
            <w:gridSpan w:val="2"/>
            <w:tcBorders>
              <w:top w:val="single" w:sz="4" w:space="0" w:color="auto"/>
              <w:left w:val="single" w:sz="4" w:space="0" w:color="auto"/>
              <w:bottom w:val="single" w:sz="4" w:space="0" w:color="auto"/>
              <w:right w:val="single" w:sz="4" w:space="0" w:color="auto"/>
            </w:tcBorders>
            <w:shd w:val="clear" w:color="auto" w:fill="002060"/>
            <w:noWrap/>
            <w:tcMar>
              <w:top w:w="28" w:type="dxa"/>
              <w:bottom w:w="28" w:type="dxa"/>
            </w:tcMar>
            <w:vAlign w:val="bottom"/>
          </w:tcPr>
          <w:p w14:paraId="7306D469" w14:textId="63A7AD44" w:rsidR="00720731" w:rsidRPr="00161076" w:rsidRDefault="00720731" w:rsidP="00074421">
            <w:pPr>
              <w:pStyle w:val="Tableheading"/>
              <w:jc w:val="center"/>
              <w:rPr>
                <w:rFonts w:cstheme="minorHAnsi"/>
                <w:color w:val="FFFFFF" w:themeColor="background1"/>
                <w:sz w:val="20"/>
                <w:szCs w:val="20"/>
                <w:lang w:eastAsia="en-NZ"/>
              </w:rPr>
            </w:pPr>
            <w:r w:rsidRPr="00161076">
              <w:rPr>
                <w:rFonts w:cstheme="minorHAnsi"/>
                <w:color w:val="FFFFFF" w:themeColor="background1"/>
                <w:sz w:val="20"/>
                <w:szCs w:val="20"/>
                <w:lang w:eastAsia="en-NZ"/>
              </w:rPr>
              <w:t>Current settings</w:t>
            </w:r>
            <w:r w:rsidR="00BC316E" w:rsidRPr="00161076">
              <w:rPr>
                <w:rFonts w:cstheme="minorHAnsi"/>
                <w:color w:val="FFFFFF" w:themeColor="background1"/>
                <w:sz w:val="20"/>
                <w:szCs w:val="20"/>
                <w:lang w:eastAsia="en-NZ"/>
              </w:rPr>
              <w:t>*</w:t>
            </w:r>
          </w:p>
        </w:tc>
        <w:tc>
          <w:tcPr>
            <w:tcW w:w="2211" w:type="dxa"/>
            <w:gridSpan w:val="2"/>
            <w:tcBorders>
              <w:top w:val="single" w:sz="4" w:space="0" w:color="auto"/>
              <w:left w:val="nil"/>
              <w:bottom w:val="single" w:sz="4" w:space="0" w:color="auto"/>
              <w:right w:val="single" w:sz="4" w:space="0" w:color="auto"/>
            </w:tcBorders>
            <w:shd w:val="clear" w:color="auto" w:fill="002060"/>
            <w:noWrap/>
            <w:tcMar>
              <w:top w:w="28" w:type="dxa"/>
              <w:bottom w:w="28" w:type="dxa"/>
            </w:tcMar>
            <w:vAlign w:val="bottom"/>
          </w:tcPr>
          <w:p w14:paraId="3D813D08" w14:textId="1A9C6A37" w:rsidR="00720731" w:rsidRPr="00161076" w:rsidRDefault="00720731" w:rsidP="00074421">
            <w:pPr>
              <w:pStyle w:val="Tableheading"/>
              <w:jc w:val="center"/>
              <w:rPr>
                <w:rFonts w:cstheme="minorHAnsi"/>
                <w:color w:val="FFFFFF" w:themeColor="background1"/>
                <w:sz w:val="20"/>
                <w:szCs w:val="20"/>
                <w:lang w:eastAsia="en-NZ"/>
              </w:rPr>
            </w:pPr>
            <w:r w:rsidRPr="00161076">
              <w:rPr>
                <w:rFonts w:cstheme="minorHAnsi"/>
                <w:color w:val="FFFFFF" w:themeColor="background1"/>
                <w:sz w:val="20"/>
                <w:szCs w:val="20"/>
                <w:lang w:eastAsia="en-NZ"/>
              </w:rPr>
              <w:t>Updated</w:t>
            </w:r>
          </w:p>
        </w:tc>
        <w:tc>
          <w:tcPr>
            <w:tcW w:w="1106" w:type="dxa"/>
            <w:tcBorders>
              <w:top w:val="single" w:sz="4" w:space="0" w:color="auto"/>
              <w:left w:val="nil"/>
              <w:bottom w:val="single" w:sz="4" w:space="0" w:color="auto"/>
              <w:right w:val="single" w:sz="4" w:space="0" w:color="auto"/>
            </w:tcBorders>
            <w:shd w:val="clear" w:color="auto" w:fill="002060"/>
            <w:noWrap/>
            <w:tcMar>
              <w:top w:w="28" w:type="dxa"/>
              <w:bottom w:w="28" w:type="dxa"/>
            </w:tcMar>
            <w:vAlign w:val="bottom"/>
          </w:tcPr>
          <w:p w14:paraId="220F2557" w14:textId="4086AC6C" w:rsidR="00720731" w:rsidRPr="00161076" w:rsidRDefault="00720731" w:rsidP="00074421">
            <w:pPr>
              <w:pStyle w:val="Tableheading"/>
              <w:jc w:val="center"/>
              <w:rPr>
                <w:rFonts w:cstheme="minorHAnsi"/>
                <w:color w:val="FFFFFF" w:themeColor="background1"/>
                <w:sz w:val="20"/>
                <w:szCs w:val="20"/>
                <w:lang w:eastAsia="en-NZ"/>
              </w:rPr>
            </w:pPr>
            <w:r w:rsidRPr="00161076">
              <w:rPr>
                <w:rFonts w:cstheme="minorHAnsi"/>
                <w:color w:val="FFFFFF" w:themeColor="background1"/>
                <w:sz w:val="20"/>
                <w:szCs w:val="20"/>
                <w:lang w:eastAsia="en-NZ"/>
              </w:rPr>
              <w:t>New</w:t>
            </w:r>
          </w:p>
        </w:tc>
      </w:tr>
      <w:tr w:rsidR="00FE0DD6" w:rsidRPr="00CF0F3F" w14:paraId="31C2C84F" w14:textId="77777777" w:rsidTr="00E60BC7">
        <w:trPr>
          <w:trHeight w:val="300"/>
        </w:trPr>
        <w:tc>
          <w:tcPr>
            <w:tcW w:w="3539" w:type="dxa"/>
            <w:tcBorders>
              <w:top w:val="nil"/>
              <w:left w:val="single" w:sz="4" w:space="0" w:color="auto"/>
              <w:bottom w:val="single" w:sz="4" w:space="0" w:color="auto"/>
              <w:right w:val="nil"/>
            </w:tcBorders>
            <w:shd w:val="clear" w:color="auto" w:fill="002060"/>
            <w:noWrap/>
            <w:tcMar>
              <w:top w:w="28" w:type="dxa"/>
              <w:bottom w:w="28" w:type="dxa"/>
            </w:tcMar>
            <w:vAlign w:val="bottom"/>
            <w:hideMark/>
          </w:tcPr>
          <w:p w14:paraId="03DC2184" w14:textId="77777777" w:rsidR="00CF0F3F" w:rsidRPr="00161076" w:rsidRDefault="00CF0F3F" w:rsidP="009C43CC">
            <w:pPr>
              <w:pStyle w:val="Tableheading"/>
              <w:rPr>
                <w:rFonts w:cstheme="minorHAnsi"/>
                <w:sz w:val="20"/>
                <w:szCs w:val="20"/>
                <w:lang w:eastAsia="en-NZ"/>
              </w:rPr>
            </w:pPr>
            <w:r w:rsidRPr="00161076">
              <w:rPr>
                <w:rFonts w:cstheme="minorHAnsi"/>
                <w:sz w:val="20"/>
                <w:szCs w:val="20"/>
                <w:lang w:eastAsia="en-NZ"/>
              </w:rPr>
              <w:t> </w:t>
            </w:r>
          </w:p>
        </w:tc>
        <w:tc>
          <w:tcPr>
            <w:tcW w:w="1105" w:type="dxa"/>
            <w:tcBorders>
              <w:top w:val="single" w:sz="4" w:space="0" w:color="auto"/>
              <w:left w:val="single" w:sz="4" w:space="0" w:color="auto"/>
              <w:bottom w:val="single" w:sz="4" w:space="0" w:color="auto"/>
              <w:right w:val="single" w:sz="4" w:space="0" w:color="auto"/>
            </w:tcBorders>
            <w:shd w:val="clear" w:color="auto" w:fill="002060"/>
            <w:noWrap/>
            <w:tcMar>
              <w:top w:w="28" w:type="dxa"/>
              <w:bottom w:w="28" w:type="dxa"/>
            </w:tcMar>
            <w:vAlign w:val="bottom"/>
            <w:hideMark/>
          </w:tcPr>
          <w:p w14:paraId="2EFE658C" w14:textId="77777777" w:rsidR="00CF0F3F" w:rsidRPr="00161076" w:rsidRDefault="00CF0F3F" w:rsidP="00074421">
            <w:pPr>
              <w:pStyle w:val="Tableheading"/>
              <w:jc w:val="center"/>
              <w:rPr>
                <w:rFonts w:cstheme="minorHAnsi"/>
                <w:sz w:val="20"/>
                <w:szCs w:val="20"/>
                <w:lang w:eastAsia="en-NZ"/>
              </w:rPr>
            </w:pPr>
            <w:r w:rsidRPr="00161076">
              <w:rPr>
                <w:rFonts w:cstheme="minorHAnsi"/>
                <w:sz w:val="20"/>
                <w:szCs w:val="20"/>
                <w:lang w:eastAsia="en-NZ"/>
              </w:rPr>
              <w:t>2026</w:t>
            </w:r>
          </w:p>
        </w:tc>
        <w:tc>
          <w:tcPr>
            <w:tcW w:w="1106" w:type="dxa"/>
            <w:tcBorders>
              <w:top w:val="single" w:sz="4" w:space="0" w:color="auto"/>
              <w:left w:val="nil"/>
              <w:bottom w:val="single" w:sz="4" w:space="0" w:color="auto"/>
              <w:right w:val="single" w:sz="4" w:space="0" w:color="auto"/>
            </w:tcBorders>
            <w:shd w:val="clear" w:color="auto" w:fill="002060"/>
            <w:noWrap/>
            <w:tcMar>
              <w:top w:w="28" w:type="dxa"/>
              <w:bottom w:w="28" w:type="dxa"/>
            </w:tcMar>
            <w:vAlign w:val="bottom"/>
            <w:hideMark/>
          </w:tcPr>
          <w:p w14:paraId="708A8638" w14:textId="77777777" w:rsidR="00CF0F3F" w:rsidRPr="00161076" w:rsidRDefault="00CF0F3F" w:rsidP="00074421">
            <w:pPr>
              <w:pStyle w:val="Tableheading"/>
              <w:jc w:val="center"/>
              <w:rPr>
                <w:rFonts w:cstheme="minorHAnsi"/>
                <w:sz w:val="20"/>
                <w:szCs w:val="20"/>
                <w:lang w:eastAsia="en-NZ"/>
              </w:rPr>
            </w:pPr>
            <w:r w:rsidRPr="00161076">
              <w:rPr>
                <w:rFonts w:cstheme="minorHAnsi"/>
                <w:sz w:val="20"/>
                <w:szCs w:val="20"/>
                <w:lang w:eastAsia="en-NZ"/>
              </w:rPr>
              <w:t>2027</w:t>
            </w:r>
          </w:p>
        </w:tc>
        <w:tc>
          <w:tcPr>
            <w:tcW w:w="1105" w:type="dxa"/>
            <w:tcBorders>
              <w:top w:val="single" w:sz="4" w:space="0" w:color="auto"/>
              <w:left w:val="nil"/>
              <w:bottom w:val="single" w:sz="4" w:space="0" w:color="auto"/>
              <w:right w:val="single" w:sz="4" w:space="0" w:color="auto"/>
            </w:tcBorders>
            <w:shd w:val="clear" w:color="auto" w:fill="002060"/>
            <w:noWrap/>
            <w:tcMar>
              <w:top w:w="28" w:type="dxa"/>
              <w:bottom w:w="28" w:type="dxa"/>
            </w:tcMar>
            <w:vAlign w:val="bottom"/>
            <w:hideMark/>
          </w:tcPr>
          <w:p w14:paraId="0D4C14CC" w14:textId="77777777" w:rsidR="00CF0F3F" w:rsidRPr="00161076" w:rsidRDefault="00CF0F3F" w:rsidP="00074421">
            <w:pPr>
              <w:pStyle w:val="Tableheading"/>
              <w:jc w:val="center"/>
              <w:rPr>
                <w:rFonts w:cstheme="minorHAnsi"/>
                <w:sz w:val="20"/>
                <w:szCs w:val="20"/>
                <w:lang w:eastAsia="en-NZ"/>
              </w:rPr>
            </w:pPr>
            <w:r w:rsidRPr="00161076">
              <w:rPr>
                <w:rFonts w:cstheme="minorHAnsi"/>
                <w:sz w:val="20"/>
                <w:szCs w:val="20"/>
                <w:lang w:eastAsia="en-NZ"/>
              </w:rPr>
              <w:t>2028</w:t>
            </w:r>
          </w:p>
        </w:tc>
        <w:tc>
          <w:tcPr>
            <w:tcW w:w="1106" w:type="dxa"/>
            <w:tcBorders>
              <w:top w:val="single" w:sz="4" w:space="0" w:color="auto"/>
              <w:left w:val="nil"/>
              <w:bottom w:val="single" w:sz="4" w:space="0" w:color="auto"/>
              <w:right w:val="single" w:sz="4" w:space="0" w:color="auto"/>
            </w:tcBorders>
            <w:shd w:val="clear" w:color="auto" w:fill="002060"/>
            <w:noWrap/>
            <w:tcMar>
              <w:top w:w="28" w:type="dxa"/>
              <w:bottom w:w="28" w:type="dxa"/>
            </w:tcMar>
            <w:vAlign w:val="bottom"/>
            <w:hideMark/>
          </w:tcPr>
          <w:p w14:paraId="3AC692BA" w14:textId="77777777" w:rsidR="00CF0F3F" w:rsidRPr="00161076" w:rsidRDefault="00CF0F3F" w:rsidP="00074421">
            <w:pPr>
              <w:pStyle w:val="Tableheading"/>
              <w:jc w:val="center"/>
              <w:rPr>
                <w:rFonts w:cstheme="minorHAnsi"/>
                <w:sz w:val="20"/>
                <w:szCs w:val="20"/>
                <w:lang w:eastAsia="en-NZ"/>
              </w:rPr>
            </w:pPr>
            <w:r w:rsidRPr="00161076">
              <w:rPr>
                <w:rFonts w:cstheme="minorHAnsi"/>
                <w:sz w:val="20"/>
                <w:szCs w:val="20"/>
                <w:lang w:eastAsia="en-NZ"/>
              </w:rPr>
              <w:t>2029</w:t>
            </w:r>
          </w:p>
        </w:tc>
        <w:tc>
          <w:tcPr>
            <w:tcW w:w="1106" w:type="dxa"/>
            <w:tcBorders>
              <w:top w:val="single" w:sz="4" w:space="0" w:color="auto"/>
              <w:left w:val="nil"/>
              <w:bottom w:val="single" w:sz="4" w:space="0" w:color="auto"/>
              <w:right w:val="single" w:sz="4" w:space="0" w:color="auto"/>
            </w:tcBorders>
            <w:shd w:val="clear" w:color="auto" w:fill="002060"/>
            <w:noWrap/>
            <w:tcMar>
              <w:top w:w="28" w:type="dxa"/>
              <w:bottom w:w="28" w:type="dxa"/>
            </w:tcMar>
            <w:vAlign w:val="bottom"/>
            <w:hideMark/>
          </w:tcPr>
          <w:p w14:paraId="6EF7C162" w14:textId="77777777" w:rsidR="00CF0F3F" w:rsidRPr="00161076" w:rsidRDefault="00CF0F3F" w:rsidP="00074421">
            <w:pPr>
              <w:pStyle w:val="Tableheading"/>
              <w:jc w:val="center"/>
              <w:rPr>
                <w:rFonts w:cstheme="minorHAnsi"/>
                <w:sz w:val="20"/>
                <w:szCs w:val="20"/>
                <w:lang w:eastAsia="en-NZ"/>
              </w:rPr>
            </w:pPr>
            <w:r w:rsidRPr="00161076">
              <w:rPr>
                <w:rFonts w:cstheme="minorHAnsi"/>
                <w:sz w:val="20"/>
                <w:szCs w:val="20"/>
                <w:lang w:eastAsia="en-NZ"/>
              </w:rPr>
              <w:t>2030</w:t>
            </w:r>
          </w:p>
        </w:tc>
      </w:tr>
      <w:tr w:rsidR="00CF0F3F" w:rsidRPr="00CF0F3F" w14:paraId="5486C512" w14:textId="77777777" w:rsidTr="00E60BC7">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188B5458" w14:textId="77777777" w:rsidR="00CF0F3F" w:rsidRPr="00161076" w:rsidRDefault="00CF0F3F" w:rsidP="00CF0F3F">
            <w:pPr>
              <w:spacing w:after="0" w:line="240" w:lineRule="auto"/>
              <w:rPr>
                <w:rFonts w:eastAsia="Times New Roman" w:cstheme="minorHAnsi"/>
                <w:color w:val="000000"/>
                <w:sz w:val="20"/>
                <w:szCs w:val="20"/>
                <w:lang w:eastAsia="en-NZ"/>
              </w:rPr>
            </w:pPr>
            <w:r w:rsidRPr="00161076">
              <w:rPr>
                <w:rFonts w:eastAsia="Times New Roman" w:cstheme="minorHAnsi"/>
                <w:color w:val="000000"/>
                <w:sz w:val="20"/>
                <w:szCs w:val="20"/>
                <w:lang w:eastAsia="en-NZ"/>
              </w:rPr>
              <w:t>Step 1: Align with emissions targets</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42F7F0C"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D29C95A"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71E3AF0"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-0.6</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DC800B4"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-0.7</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CCFA200"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-0.1</w:t>
            </w:r>
          </w:p>
        </w:tc>
      </w:tr>
      <w:tr w:rsidR="00CF0F3F" w:rsidRPr="00CF0F3F" w14:paraId="13580D40" w14:textId="77777777" w:rsidTr="00E60BC7">
        <w:trPr>
          <w:trHeight w:val="300"/>
        </w:trPr>
        <w:tc>
          <w:tcPr>
            <w:tcW w:w="3539"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51433308" w14:textId="77777777" w:rsidR="00CF0F3F" w:rsidRPr="00161076" w:rsidRDefault="00CF0F3F" w:rsidP="00CF0F3F">
            <w:pPr>
              <w:spacing w:after="0" w:line="240" w:lineRule="auto"/>
              <w:rPr>
                <w:rFonts w:eastAsia="Times New Roman" w:cstheme="minorHAnsi"/>
                <w:color w:val="000000"/>
                <w:sz w:val="20"/>
                <w:szCs w:val="20"/>
                <w:lang w:eastAsia="en-NZ"/>
              </w:rPr>
            </w:pPr>
            <w:r w:rsidRPr="00161076">
              <w:rPr>
                <w:rFonts w:eastAsia="Times New Roman" w:cstheme="minorHAnsi"/>
                <w:color w:val="000000"/>
                <w:sz w:val="20"/>
                <w:szCs w:val="20"/>
                <w:lang w:eastAsia="en-NZ"/>
              </w:rPr>
              <w:t>Step 2: Set the NZ ETS cap</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A099E8A"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E13C56F"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78A2118"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-1.2</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924739A"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-1.5</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673CBA3"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-1.8</w:t>
            </w:r>
          </w:p>
        </w:tc>
      </w:tr>
      <w:tr w:rsidR="00CF0F3F" w:rsidRPr="00CF0F3F" w14:paraId="04E7D72D" w14:textId="77777777" w:rsidTr="00E60BC7">
        <w:trPr>
          <w:trHeight w:val="300"/>
        </w:trPr>
        <w:tc>
          <w:tcPr>
            <w:tcW w:w="3539"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34010C58" w14:textId="77777777" w:rsidR="00CF0F3F" w:rsidRPr="00161076" w:rsidRDefault="00CF0F3F" w:rsidP="00CF0F3F">
            <w:pPr>
              <w:spacing w:after="0" w:line="240" w:lineRule="auto"/>
              <w:rPr>
                <w:rFonts w:eastAsia="Times New Roman" w:cstheme="minorHAnsi"/>
                <w:color w:val="000000"/>
                <w:sz w:val="20"/>
                <w:szCs w:val="20"/>
                <w:lang w:eastAsia="en-NZ"/>
              </w:rPr>
            </w:pPr>
            <w:r w:rsidRPr="00161076">
              <w:rPr>
                <w:rFonts w:eastAsia="Times New Roman" w:cstheme="minorHAnsi"/>
                <w:color w:val="000000"/>
                <w:sz w:val="20"/>
                <w:szCs w:val="20"/>
                <w:lang w:eastAsia="en-NZ"/>
              </w:rPr>
              <w:t>Step 3: Technical adjustment</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743595F"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DC85D56"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AB1A58C"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0.7</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C28EEFC"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0.7</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9650E72"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0.6</w:t>
            </w:r>
          </w:p>
        </w:tc>
      </w:tr>
      <w:tr w:rsidR="00CF0F3F" w:rsidRPr="00CF0F3F" w14:paraId="11721EFA" w14:textId="77777777" w:rsidTr="00E60BC7">
        <w:trPr>
          <w:trHeight w:val="300"/>
        </w:trPr>
        <w:tc>
          <w:tcPr>
            <w:tcW w:w="3539"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4D368FD2" w14:textId="77777777" w:rsidR="00CF0F3F" w:rsidRPr="00161076" w:rsidRDefault="00CF0F3F" w:rsidP="00CF0F3F">
            <w:pPr>
              <w:spacing w:after="0" w:line="240" w:lineRule="auto"/>
              <w:rPr>
                <w:rFonts w:eastAsia="Times New Roman" w:cstheme="minorHAnsi"/>
                <w:color w:val="000000"/>
                <w:sz w:val="20"/>
                <w:szCs w:val="20"/>
                <w:lang w:eastAsia="en-NZ"/>
              </w:rPr>
            </w:pPr>
            <w:r w:rsidRPr="00161076">
              <w:rPr>
                <w:rFonts w:eastAsia="Times New Roman" w:cstheme="minorHAnsi"/>
                <w:color w:val="000000"/>
                <w:sz w:val="20"/>
                <w:szCs w:val="20"/>
                <w:lang w:eastAsia="en-NZ"/>
              </w:rPr>
              <w:t>Step 4: Industrial allocation volumes</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1384727"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70E712C"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0185BD4"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1.0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187D2B7"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1.0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2ABBCAE"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1.1</w:t>
            </w:r>
          </w:p>
        </w:tc>
      </w:tr>
      <w:tr w:rsidR="00CF0F3F" w:rsidRPr="00CF0F3F" w14:paraId="6CBFE961" w14:textId="77777777" w:rsidTr="00E60BC7">
        <w:trPr>
          <w:trHeight w:val="300"/>
        </w:trPr>
        <w:tc>
          <w:tcPr>
            <w:tcW w:w="3539"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621B2667" w14:textId="77777777" w:rsidR="00CF0F3F" w:rsidRPr="00161076" w:rsidRDefault="00CF0F3F" w:rsidP="00CF0F3F">
            <w:pPr>
              <w:spacing w:after="0" w:line="240" w:lineRule="auto"/>
              <w:rPr>
                <w:rFonts w:eastAsia="Times New Roman" w:cstheme="minorHAnsi"/>
                <w:color w:val="000000"/>
                <w:sz w:val="20"/>
                <w:szCs w:val="20"/>
                <w:lang w:eastAsia="en-NZ"/>
              </w:rPr>
            </w:pPr>
            <w:r w:rsidRPr="00161076">
              <w:rPr>
                <w:rFonts w:eastAsia="Times New Roman" w:cstheme="minorHAnsi"/>
                <w:color w:val="000000"/>
                <w:sz w:val="20"/>
                <w:szCs w:val="20"/>
                <w:lang w:eastAsia="en-NZ"/>
              </w:rPr>
              <w:t>Step 5a: Surplus reduction volumes</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69D1622"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366F297"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F755555"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4.1</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3578CDA"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3.2</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0C33B1F"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2.1</w:t>
            </w:r>
          </w:p>
        </w:tc>
      </w:tr>
      <w:tr w:rsidR="00CF0F3F" w:rsidRPr="00CF0F3F" w14:paraId="0D4C10B3" w14:textId="77777777" w:rsidTr="00E60BC7">
        <w:trPr>
          <w:trHeight w:val="300"/>
        </w:trPr>
        <w:tc>
          <w:tcPr>
            <w:tcW w:w="3539"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19691544" w14:textId="77777777" w:rsidR="00CF0F3F" w:rsidRPr="00161076" w:rsidRDefault="00CF0F3F" w:rsidP="00CF0F3F">
            <w:pPr>
              <w:spacing w:after="0" w:line="240" w:lineRule="auto"/>
              <w:rPr>
                <w:rFonts w:eastAsia="Times New Roman" w:cstheme="minorHAnsi"/>
                <w:color w:val="000000"/>
                <w:sz w:val="20"/>
                <w:szCs w:val="20"/>
                <w:lang w:eastAsia="en-NZ"/>
              </w:rPr>
            </w:pPr>
            <w:r w:rsidRPr="00161076">
              <w:rPr>
                <w:rFonts w:eastAsia="Times New Roman" w:cstheme="minorHAnsi"/>
                <w:color w:val="000000"/>
                <w:sz w:val="20"/>
                <w:szCs w:val="20"/>
                <w:lang w:eastAsia="en-NZ"/>
              </w:rPr>
              <w:t>Step 5b: Discrepancy adjustment</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F61A240"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F9A5535"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EC391B8"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1.8</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FBA13EA"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1.7</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09ACA34"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1.4</w:t>
            </w:r>
          </w:p>
        </w:tc>
      </w:tr>
      <w:tr w:rsidR="00CF0F3F" w:rsidRPr="00CF0F3F" w14:paraId="36E54685" w14:textId="77777777" w:rsidTr="00E60BC7">
        <w:trPr>
          <w:trHeight w:val="300"/>
        </w:trPr>
        <w:tc>
          <w:tcPr>
            <w:tcW w:w="3539"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3A295468" w14:textId="77777777" w:rsidR="00CF0F3F" w:rsidRPr="00161076" w:rsidRDefault="00CF0F3F" w:rsidP="00CF0F3F">
            <w:pPr>
              <w:spacing w:after="0" w:line="240" w:lineRule="auto"/>
              <w:rPr>
                <w:rFonts w:eastAsia="Times New Roman" w:cstheme="minorHAnsi"/>
                <w:color w:val="000000"/>
                <w:sz w:val="20"/>
                <w:szCs w:val="20"/>
                <w:lang w:eastAsia="en-NZ"/>
              </w:rPr>
            </w:pPr>
            <w:r w:rsidRPr="00161076">
              <w:rPr>
                <w:rFonts w:eastAsia="Times New Roman" w:cstheme="minorHAnsi"/>
                <w:color w:val="000000"/>
                <w:sz w:val="20"/>
                <w:szCs w:val="20"/>
                <w:lang w:eastAsia="en-NZ"/>
              </w:rPr>
              <w:t>Step 7a: Initial auction volumes</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E97E828"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4B22039"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08AEE71"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5.9</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CEA46AF"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4.4</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2A6750D"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3.4</w:t>
            </w:r>
          </w:p>
        </w:tc>
      </w:tr>
      <w:tr w:rsidR="00CF0F3F" w:rsidRPr="00CF0F3F" w14:paraId="65ED7B72" w14:textId="77777777" w:rsidTr="00E60BC7">
        <w:trPr>
          <w:trHeight w:val="300"/>
        </w:trPr>
        <w:tc>
          <w:tcPr>
            <w:tcW w:w="3539"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14CF2B25" w14:textId="77777777" w:rsidR="00CF0F3F" w:rsidRPr="00161076" w:rsidRDefault="00CF0F3F" w:rsidP="00CF0F3F">
            <w:pPr>
              <w:spacing w:after="0" w:line="240" w:lineRule="auto"/>
              <w:rPr>
                <w:rFonts w:eastAsia="Times New Roman" w:cstheme="minorHAnsi"/>
                <w:color w:val="000000"/>
                <w:sz w:val="20"/>
                <w:szCs w:val="20"/>
                <w:lang w:eastAsia="en-NZ"/>
              </w:rPr>
            </w:pPr>
            <w:r w:rsidRPr="00161076">
              <w:rPr>
                <w:rFonts w:eastAsia="Times New Roman" w:cstheme="minorHAnsi"/>
                <w:color w:val="000000"/>
                <w:sz w:val="20"/>
                <w:szCs w:val="20"/>
                <w:lang w:eastAsia="en-NZ"/>
              </w:rPr>
              <w:t>Step7b: Final auction volumes</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AB6E136"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4EACC5B" w14:textId="2B045C3A"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0</w:t>
            </w:r>
          </w:p>
        </w:tc>
        <w:tc>
          <w:tcPr>
            <w:tcW w:w="1105"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EAE7C93"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3.7</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6EDF21D"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4.6</w:t>
            </w:r>
          </w:p>
        </w:tc>
        <w:tc>
          <w:tcPr>
            <w:tcW w:w="1106"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16E0CCA" w14:textId="77777777" w:rsidR="00CF0F3F" w:rsidRPr="00161076" w:rsidRDefault="00CF0F3F" w:rsidP="00CF0F3F">
            <w:pPr>
              <w:spacing w:after="0" w:line="240" w:lineRule="auto"/>
              <w:jc w:val="right"/>
              <w:rPr>
                <w:rFonts w:eastAsia="Times New Roman" w:cstheme="minorHAnsi"/>
                <w:color w:val="000000"/>
                <w:sz w:val="20"/>
                <w:szCs w:val="20"/>
                <w:lang w:eastAsia="en-NZ"/>
              </w:rPr>
            </w:pPr>
            <w:r w:rsidRPr="00161076">
              <w:rPr>
                <w:rFonts w:eastAsia="Times New Roman" w:cstheme="minorHAnsi"/>
                <w:color w:val="000000"/>
                <w:sz w:val="20"/>
                <w:szCs w:val="20"/>
                <w:lang w:eastAsia="en-NZ"/>
              </w:rPr>
              <w:t>5.3</w:t>
            </w:r>
          </w:p>
        </w:tc>
      </w:tr>
    </w:tbl>
    <w:p w14:paraId="55551BC0" w14:textId="518F3D56" w:rsidR="00BC316E" w:rsidRPr="00074421" w:rsidRDefault="00BC316E" w:rsidP="008959EB">
      <w:pPr>
        <w:spacing w:after="0" w:line="240" w:lineRule="auto"/>
        <w:rPr>
          <w:sz w:val="20"/>
          <w:szCs w:val="20"/>
        </w:rPr>
      </w:pPr>
      <w:r w:rsidRPr="00074421">
        <w:rPr>
          <w:sz w:val="20"/>
          <w:szCs w:val="20"/>
        </w:rPr>
        <w:t>*</w:t>
      </w:r>
      <w:r w:rsidR="00970519" w:rsidRPr="00074421">
        <w:rPr>
          <w:sz w:val="20"/>
          <w:szCs w:val="20"/>
        </w:rPr>
        <w:t>Our advice this year d</w:t>
      </w:r>
      <w:r w:rsidR="00D110F2">
        <w:rPr>
          <w:sz w:val="20"/>
          <w:szCs w:val="20"/>
        </w:rPr>
        <w:t>oes</w:t>
      </w:r>
      <w:r w:rsidR="00970519" w:rsidRPr="00074421">
        <w:rPr>
          <w:sz w:val="20"/>
          <w:szCs w:val="20"/>
        </w:rPr>
        <w:t xml:space="preserve"> not propose any changes for unit limits for 2026 or 2027</w:t>
      </w:r>
      <w:r w:rsidR="006173C0">
        <w:rPr>
          <w:sz w:val="20"/>
          <w:szCs w:val="20"/>
        </w:rPr>
        <w:t>,</w:t>
      </w:r>
      <w:r w:rsidR="005D14BF">
        <w:rPr>
          <w:sz w:val="20"/>
          <w:szCs w:val="20"/>
        </w:rPr>
        <w:t xml:space="preserve"> in line with the requirements of the Act</w:t>
      </w:r>
      <w:r w:rsidR="00970519" w:rsidRPr="00074421">
        <w:rPr>
          <w:sz w:val="20"/>
          <w:szCs w:val="20"/>
        </w:rPr>
        <w:t xml:space="preserve">. See </w:t>
      </w:r>
      <w:r w:rsidR="005D14BF" w:rsidRPr="00074421">
        <w:rPr>
          <w:sz w:val="20"/>
          <w:szCs w:val="20"/>
        </w:rPr>
        <w:t>step 5b</w:t>
      </w:r>
      <w:r w:rsidR="005D14BF">
        <w:rPr>
          <w:sz w:val="20"/>
          <w:szCs w:val="20"/>
        </w:rPr>
        <w:t xml:space="preserve"> </w:t>
      </w:r>
      <w:r w:rsidR="005D14BF" w:rsidRPr="00074421">
        <w:rPr>
          <w:sz w:val="20"/>
          <w:szCs w:val="20"/>
        </w:rPr>
        <w:t>in</w:t>
      </w:r>
      <w:r w:rsidR="000D0D59">
        <w:rPr>
          <w:sz w:val="20"/>
          <w:szCs w:val="20"/>
        </w:rPr>
        <w:t xml:space="preserve"> </w:t>
      </w:r>
      <w:r w:rsidR="00074421" w:rsidRPr="00074421">
        <w:rPr>
          <w:i/>
          <w:iCs/>
          <w:sz w:val="20"/>
          <w:szCs w:val="20"/>
        </w:rPr>
        <w:t>Part 2:</w:t>
      </w:r>
      <w:r w:rsidR="000D0D59" w:rsidRPr="00074421">
        <w:rPr>
          <w:i/>
          <w:iCs/>
          <w:sz w:val="20"/>
          <w:szCs w:val="20"/>
        </w:rPr>
        <w:t xml:space="preserve"> </w:t>
      </w:r>
      <w:r w:rsidR="000D0D59" w:rsidRPr="00074421">
        <w:rPr>
          <w:i/>
          <w:sz w:val="20"/>
          <w:szCs w:val="20"/>
        </w:rPr>
        <w:t xml:space="preserve">Te </w:t>
      </w:r>
      <w:r w:rsidR="00A159F4">
        <w:rPr>
          <w:i/>
          <w:sz w:val="20"/>
          <w:szCs w:val="20"/>
        </w:rPr>
        <w:t>h</w:t>
      </w:r>
      <w:r w:rsidR="000D0D59" w:rsidRPr="00074421">
        <w:rPr>
          <w:i/>
          <w:sz w:val="20"/>
          <w:szCs w:val="20"/>
        </w:rPr>
        <w:t>erenga utu – Unit limits</w:t>
      </w:r>
      <w:r w:rsidR="005D14BF" w:rsidRPr="00074421">
        <w:rPr>
          <w:sz w:val="20"/>
          <w:szCs w:val="20"/>
        </w:rPr>
        <w:t xml:space="preserve"> </w:t>
      </w:r>
      <w:r w:rsidR="00074421">
        <w:rPr>
          <w:sz w:val="20"/>
          <w:szCs w:val="20"/>
        </w:rPr>
        <w:t xml:space="preserve">in </w:t>
      </w:r>
      <w:r w:rsidR="005D14BF" w:rsidRPr="00074421">
        <w:rPr>
          <w:sz w:val="20"/>
          <w:szCs w:val="20"/>
        </w:rPr>
        <w:t>the main report</w:t>
      </w:r>
      <w:r w:rsidR="005D14BF">
        <w:rPr>
          <w:sz w:val="20"/>
          <w:szCs w:val="20"/>
        </w:rPr>
        <w:t xml:space="preserve"> for more detail.</w:t>
      </w:r>
      <w:r w:rsidR="00970519" w:rsidRPr="00074421">
        <w:rPr>
          <w:sz w:val="20"/>
          <w:szCs w:val="20"/>
        </w:rPr>
        <w:t xml:space="preserve"> </w:t>
      </w:r>
    </w:p>
    <w:p w14:paraId="149F180C" w14:textId="735A0754" w:rsidR="00257E6C" w:rsidRDefault="00257E6C" w:rsidP="00E93EA1">
      <w:pPr>
        <w:pStyle w:val="Heading1nonumber"/>
        <w:rPr>
          <w:rFonts w:hint="eastAsia"/>
        </w:rPr>
      </w:pPr>
      <w:r w:rsidRPr="001434EC">
        <w:br w:type="page"/>
      </w:r>
      <w:bookmarkStart w:id="75" w:name="_Toc195533435"/>
      <w:r w:rsidR="00FE7D1D" w:rsidRPr="001434EC">
        <w:t>Reference</w:t>
      </w:r>
      <w:bookmarkStart w:id="76" w:name="_Toc194489281"/>
      <w:r w:rsidR="00FE7D1D" w:rsidRPr="001434EC">
        <w:t>s</w:t>
      </w:r>
      <w:bookmarkEnd w:id="76"/>
      <w:bookmarkEnd w:id="75"/>
    </w:p>
    <w:p w14:paraId="243543F5" w14:textId="4E49E9B5" w:rsidR="00C75A83" w:rsidRDefault="00C75A83" w:rsidP="00374251">
      <w:pPr>
        <w:sectPr w:rsidR="00C75A83" w:rsidSect="000418E4">
          <w:footerReference w:type="default" r:id="rId26"/>
          <w:footnotePr>
            <w:numFmt w:val="lowerRoman"/>
          </w:footnotePr>
          <w:endnotePr>
            <w:numFmt w:val="decimal"/>
          </w:endnotePr>
          <w:pgSz w:w="11906" w:h="16838"/>
          <w:pgMar w:top="1276" w:right="1440" w:bottom="1440" w:left="1440" w:header="708" w:footer="708" w:gutter="0"/>
          <w:pgNumType w:start="0"/>
          <w:cols w:space="708"/>
          <w:docGrid w:linePitch="360"/>
        </w:sectPr>
      </w:pPr>
    </w:p>
    <w:p w14:paraId="574E09F1" w14:textId="77777777" w:rsidR="00C75A83" w:rsidRPr="008E28CC" w:rsidRDefault="00C75A83" w:rsidP="00C75A83"/>
    <w:p w14:paraId="67E04873" w14:textId="77777777" w:rsidR="00C75A83" w:rsidRPr="007E67C1" w:rsidRDefault="00C75A83" w:rsidP="00C75A83">
      <w:r>
        <w:rPr>
          <w:noProof/>
        </w:rPr>
        <w:drawing>
          <wp:anchor distT="0" distB="0" distL="0" distR="0" simplePos="0" relativeHeight="251658244" behindDoc="1" locked="0" layoutInCell="1" allowOverlap="1" wp14:anchorId="4E5E63C9" wp14:editId="1626FA34">
            <wp:simplePos x="0" y="0"/>
            <wp:positionH relativeFrom="page">
              <wp:posOffset>-90543</wp:posOffset>
            </wp:positionH>
            <wp:positionV relativeFrom="page">
              <wp:posOffset>4973934</wp:posOffset>
            </wp:positionV>
            <wp:extent cx="7689366" cy="57816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91863" cy="5783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1" locked="0" layoutInCell="1" allowOverlap="1" wp14:anchorId="70594ABE" wp14:editId="2C956185">
                <wp:simplePos x="0" y="0"/>
                <wp:positionH relativeFrom="page">
                  <wp:posOffset>663191</wp:posOffset>
                </wp:positionH>
                <wp:positionV relativeFrom="page">
                  <wp:posOffset>8802356</wp:posOffset>
                </wp:positionV>
                <wp:extent cx="2438400" cy="1953316"/>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195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CC8C0" w14:textId="77777777" w:rsidR="00C75A83" w:rsidRPr="00D95F50" w:rsidRDefault="00C75A83" w:rsidP="00C75A83">
                            <w:pPr>
                              <w:spacing w:line="220" w:lineRule="exact"/>
                              <w:ind w:left="20"/>
                              <w:rPr>
                                <w:b/>
                                <w:color w:val="FFFFFF" w:themeColor="background1"/>
                              </w:rPr>
                            </w:pPr>
                            <w:r w:rsidRPr="00D95F50">
                              <w:rPr>
                                <w:b/>
                                <w:color w:val="FFFFFF" w:themeColor="background1"/>
                              </w:rPr>
                              <w:t>He</w:t>
                            </w:r>
                            <w:r w:rsidRPr="00D95F50">
                              <w:rPr>
                                <w:b/>
                                <w:color w:val="FFFFFF" w:themeColor="background1"/>
                                <w:spacing w:val="-2"/>
                              </w:rPr>
                              <w:t xml:space="preserve"> </w:t>
                            </w:r>
                            <w:r w:rsidRPr="00D95F50">
                              <w:rPr>
                                <w:b/>
                                <w:color w:val="FFFFFF" w:themeColor="background1"/>
                              </w:rPr>
                              <w:t>Pou</w:t>
                            </w:r>
                            <w:r w:rsidRPr="00D95F50">
                              <w:rPr>
                                <w:b/>
                                <w:color w:val="FFFFFF" w:themeColor="background1"/>
                                <w:spacing w:val="-1"/>
                              </w:rPr>
                              <w:t xml:space="preserve"> </w:t>
                            </w:r>
                            <w:r w:rsidRPr="00D95F50">
                              <w:rPr>
                                <w:b/>
                                <w:color w:val="FFFFFF" w:themeColor="background1"/>
                              </w:rPr>
                              <w:t>a</w:t>
                            </w:r>
                            <w:r w:rsidRPr="00D95F50">
                              <w:rPr>
                                <w:b/>
                                <w:color w:val="FFFFFF" w:themeColor="background1"/>
                                <w:spacing w:val="-1"/>
                              </w:rPr>
                              <w:t xml:space="preserve"> </w:t>
                            </w:r>
                            <w:r w:rsidRPr="00D95F50">
                              <w:rPr>
                                <w:b/>
                                <w:color w:val="FFFFFF" w:themeColor="background1"/>
                                <w:spacing w:val="-2"/>
                              </w:rPr>
                              <w:t>Rangi</w:t>
                            </w:r>
                            <w:r w:rsidRPr="00D95F50">
                              <w:rPr>
                                <w:b/>
                                <w:color w:val="FFFFFF" w:themeColor="background1"/>
                              </w:rPr>
                              <w:br/>
                              <w:t>Climate</w:t>
                            </w:r>
                            <w:r w:rsidRPr="00D95F50">
                              <w:rPr>
                                <w:b/>
                                <w:color w:val="FFFFFF" w:themeColor="background1"/>
                                <w:spacing w:val="-9"/>
                              </w:rPr>
                              <w:t xml:space="preserve"> </w:t>
                            </w:r>
                            <w:r w:rsidRPr="00D95F50">
                              <w:rPr>
                                <w:b/>
                                <w:color w:val="FFFFFF" w:themeColor="background1"/>
                              </w:rPr>
                              <w:t>Change</w:t>
                            </w:r>
                            <w:r w:rsidRPr="00D95F50">
                              <w:rPr>
                                <w:b/>
                                <w:color w:val="FFFFFF" w:themeColor="background1"/>
                                <w:spacing w:val="-9"/>
                              </w:rPr>
                              <w:t xml:space="preserve"> </w:t>
                            </w:r>
                            <w:r w:rsidRPr="00D95F50">
                              <w:rPr>
                                <w:b/>
                                <w:color w:val="FFFFFF" w:themeColor="background1"/>
                                <w:spacing w:val="-2"/>
                              </w:rPr>
                              <w:t>Commission</w:t>
                            </w:r>
                          </w:p>
                          <w:p w14:paraId="7C4AC1CC" w14:textId="78561F6A" w:rsidR="00C75A83" w:rsidRPr="004D03E1" w:rsidRDefault="00C75A83" w:rsidP="00C75A83">
                            <w:pPr>
                              <w:rPr>
                                <w:rFonts w:cstheme="minorHAnsi"/>
                                <w:color w:val="FFFFFF" w:themeColor="background1"/>
                              </w:rPr>
                            </w:pPr>
                            <w:r w:rsidRPr="00B935BC">
                              <w:rPr>
                                <w:rFonts w:cstheme="minorHAnsi"/>
                                <w:color w:val="FFFFFF" w:themeColor="background1"/>
                              </w:rPr>
                              <w:t>Level</w:t>
                            </w:r>
                            <w:r w:rsidRPr="00345681">
                              <w:rPr>
                                <w:rFonts w:cstheme="minorHAnsi"/>
                                <w:color w:val="FFFFFF" w:themeColor="background1"/>
                                <w:spacing w:val="-2"/>
                              </w:rPr>
                              <w:t xml:space="preserve"> </w:t>
                            </w:r>
                            <w:r w:rsidRPr="00345681">
                              <w:rPr>
                                <w:rFonts w:cstheme="minorHAnsi"/>
                                <w:color w:val="FFFFFF" w:themeColor="background1"/>
                              </w:rPr>
                              <w:t>21,</w:t>
                            </w:r>
                            <w:r w:rsidRPr="00345681">
                              <w:rPr>
                                <w:rFonts w:cstheme="minorHAnsi"/>
                                <w:color w:val="FFFFFF" w:themeColor="background1"/>
                                <w:spacing w:val="-1"/>
                              </w:rPr>
                              <w:t xml:space="preserve"> </w:t>
                            </w:r>
                            <w:r w:rsidRPr="00345681">
                              <w:rPr>
                                <w:rFonts w:cstheme="minorHAnsi"/>
                                <w:color w:val="FFFFFF" w:themeColor="background1"/>
                              </w:rPr>
                              <w:t>1</w:t>
                            </w:r>
                            <w:r w:rsidRPr="00345681">
                              <w:rPr>
                                <w:rFonts w:cstheme="minorHAnsi"/>
                                <w:color w:val="FFFFFF" w:themeColor="background1"/>
                                <w:spacing w:val="-1"/>
                              </w:rPr>
                              <w:t xml:space="preserve"> </w:t>
                            </w:r>
                            <w:r w:rsidRPr="00345681">
                              <w:rPr>
                                <w:rFonts w:cstheme="minorHAnsi"/>
                                <w:color w:val="FFFFFF" w:themeColor="background1"/>
                              </w:rPr>
                              <w:t>Willis</w:t>
                            </w:r>
                            <w:r w:rsidRPr="00345681">
                              <w:rPr>
                                <w:rFonts w:cstheme="minorHAnsi"/>
                                <w:color w:val="FFFFFF" w:themeColor="background1"/>
                                <w:spacing w:val="-1"/>
                              </w:rPr>
                              <w:t xml:space="preserve"> </w:t>
                            </w:r>
                            <w:r w:rsidRPr="00345681">
                              <w:rPr>
                                <w:rFonts w:cstheme="minorHAnsi"/>
                                <w:color w:val="FFFFFF" w:themeColor="background1"/>
                                <w:spacing w:val="-2"/>
                              </w:rPr>
                              <w:t>Street</w:t>
                            </w:r>
                            <w:r w:rsidR="00B72B1F">
                              <w:rPr>
                                <w:rFonts w:cstheme="minorHAnsi"/>
                                <w:color w:val="FFFFFF" w:themeColor="background1"/>
                                <w:spacing w:val="-2"/>
                              </w:rPr>
                              <w:br/>
                            </w:r>
                            <w:r w:rsidRPr="00B935BC">
                              <w:rPr>
                                <w:rFonts w:cstheme="minorHAnsi"/>
                                <w:color w:val="FFFFFF" w:themeColor="background1"/>
                              </w:rPr>
                              <w:t xml:space="preserve">Wellington </w:t>
                            </w:r>
                            <w:r w:rsidRPr="004D03E1">
                              <w:rPr>
                                <w:rFonts w:cstheme="minorHAnsi"/>
                                <w:color w:val="FFFFFF" w:themeColor="background1"/>
                                <w:spacing w:val="-4"/>
                              </w:rPr>
                              <w:t>6011</w:t>
                            </w:r>
                            <w:r w:rsidR="00B72B1F">
                              <w:rPr>
                                <w:rFonts w:cstheme="minorHAnsi"/>
                                <w:color w:val="FFFFFF" w:themeColor="background1"/>
                              </w:rPr>
                              <w:br/>
                            </w:r>
                            <w:r w:rsidRPr="00B935BC">
                              <w:rPr>
                                <w:rFonts w:cstheme="minorHAnsi"/>
                                <w:color w:val="FFFFFF" w:themeColor="background1"/>
                              </w:rPr>
                              <w:t>PO</w:t>
                            </w:r>
                            <w:r w:rsidRPr="004D03E1">
                              <w:rPr>
                                <w:rFonts w:cstheme="minorHAnsi"/>
                                <w:color w:val="FFFFFF" w:themeColor="background1"/>
                                <w:spacing w:val="-3"/>
                              </w:rPr>
                              <w:t xml:space="preserve"> </w:t>
                            </w:r>
                            <w:r w:rsidRPr="004D03E1">
                              <w:rPr>
                                <w:rFonts w:cstheme="minorHAnsi"/>
                                <w:color w:val="FFFFFF" w:themeColor="background1"/>
                              </w:rPr>
                              <w:t>Box</w:t>
                            </w:r>
                            <w:r w:rsidRPr="004D03E1">
                              <w:rPr>
                                <w:rFonts w:cstheme="minorHAnsi"/>
                                <w:color w:val="FFFFFF" w:themeColor="background1"/>
                                <w:spacing w:val="-3"/>
                              </w:rPr>
                              <w:t xml:space="preserve"> </w:t>
                            </w:r>
                            <w:r w:rsidRPr="004D03E1">
                              <w:rPr>
                                <w:rFonts w:cstheme="minorHAnsi"/>
                                <w:color w:val="FFFFFF" w:themeColor="background1"/>
                                <w:spacing w:val="-2"/>
                              </w:rPr>
                              <w:t>24448</w:t>
                            </w:r>
                            <w:r w:rsidR="00B72B1F">
                              <w:rPr>
                                <w:rFonts w:cstheme="minorHAnsi"/>
                                <w:color w:val="FFFFFF" w:themeColor="background1"/>
                              </w:rPr>
                              <w:br/>
                            </w:r>
                            <w:r w:rsidRPr="00B935BC">
                              <w:rPr>
                                <w:rFonts w:cstheme="minorHAnsi"/>
                                <w:color w:val="FFFFFF" w:themeColor="background1"/>
                              </w:rPr>
                              <w:t xml:space="preserve">Wellington </w:t>
                            </w:r>
                            <w:r w:rsidRPr="004D03E1">
                              <w:rPr>
                                <w:rFonts w:cstheme="minorHAnsi"/>
                                <w:color w:val="FFFFFF" w:themeColor="background1"/>
                                <w:spacing w:val="-4"/>
                              </w:rPr>
                              <w:t>6142</w:t>
                            </w:r>
                            <w:r w:rsidR="00B72B1F">
                              <w:rPr>
                                <w:rFonts w:cstheme="minorHAnsi"/>
                                <w:color w:val="FFFFFF" w:themeColor="background1"/>
                                <w:spacing w:val="-4"/>
                              </w:rPr>
                              <w:br/>
                            </w:r>
                            <w:r w:rsidRPr="00B935BC">
                              <w:rPr>
                                <w:rFonts w:cstheme="minorHAnsi"/>
                                <w:color w:val="FFFFFF" w:themeColor="background1"/>
                              </w:rPr>
                              <w:br/>
                            </w:r>
                            <w:hyperlink r:id="rId27" w:history="1">
                              <w:r w:rsidRPr="004D03E1">
                                <w:rPr>
                                  <w:rStyle w:val="Hyperlink"/>
                                  <w:rFonts w:cstheme="minorHAnsi"/>
                                  <w:color w:val="FFFFFF" w:themeColor="background1"/>
                                  <w:spacing w:val="-2"/>
                                </w:rPr>
                                <w:t>www.climatecommission.govt.nz</w:t>
                              </w:r>
                            </w:hyperlink>
                          </w:p>
                          <w:p w14:paraId="5AF9AC50" w14:textId="77777777" w:rsidR="00C75A83" w:rsidRPr="002445D7" w:rsidRDefault="00C75A83" w:rsidP="00C75A83"/>
                          <w:p w14:paraId="375466FC" w14:textId="77777777" w:rsidR="00C75A83" w:rsidRDefault="00C75A83" w:rsidP="009B488B">
                            <w:pPr>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9" style="position:absolute;margin-left:52.2pt;margin-top:693.1pt;width:192pt;height:153.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aFzAEAAIIDAAAOAAAAZHJzL2Uyb0RvYy54bWysU9uO0zAQfUfiHyy/06QXVkvUdAWsFiEt&#10;F2nhAxzHaSwSj5lxm5SvZ+w0XWDfVrxYk5nx8TlnJtubse/E0SBZcKVcLnIpjNNQW7cv5fdvd6+u&#10;paCgXK06cKaUJ0PyZvfyxXbwhVlBC11tUDCIo2LwpWxD8EWWkW5Nr2gB3jguNoC9CvyJ+6xGNTB6&#10;32WrPL/KBsDaI2hDxNnbqSh3Cb9pjA5fmoZMEF0pmVtIJ6azime226pij8q3Vp9pqGew6JV1/OgF&#10;6lYFJQ5on0D1ViMQNGGhoc+gaaw2SQOrWeb/qHlolTdJC5tD/mIT/T9Y/fn44L+iCOM7GHmASQT5&#10;e9A/iL3JBk/FuSd6SgXF7mr4BDVPUx0CpBtjg32Uz4IEw7DTp4u7ZgxCc3K1WV9vci5pri3fvF6v&#10;l1fR/0wV83WPFD4Y6EUMSok8vgSvjvcUpta5Jb7m4M52XRph5/5KMGbMJPqR8cQ9jNUobF3KTXw3&#10;qqmgPrEehGkxeJE5aAF/STHwUpSSfh4UGim6j45djxs0BzgH1Rwop/lqKYMUU/g+TJt28Gj3LSNP&#10;9jp4y741Nil6ZHGmy4NOnpyXMm7Sn9+p6/HX2f0GAAD//wMAUEsDBBQABgAIAAAAIQAIJ83T4QAA&#10;AA0BAAAPAAAAZHJzL2Rvd25yZXYueG1sTI/BTsMwEETvSPyDtUjcqEMagglxKlRUcUA9tIDE0Y1N&#10;HBGvo9hN3b9nOcFtZ3Y0+7ZeJTew2Uyh9yjhdpEBM9h63WMn4f1tcyOAhahQq8GjkXA2AVbN5UWt&#10;Ku1PuDPzPnaMSjBUSoKNcaw4D601ToWFHw3S7stPTkWSU8f1pE5U7gaeZ1nJneqRLlg1mrU17ff+&#10;6CR8rMfNa/q0ajvf6Zfn/H53ntok5fVVenoEFk2Kf2H4xSd0aIjp4I+oAxtIZ0VBURqWosyBUaQQ&#10;gqwDWeXDUgBvav7/i+YHAAD//wMAUEsBAi0AFAAGAAgAAAAhALaDOJL+AAAA4QEAABMAAAAAAAAA&#10;AAAAAAAAAAAAAFtDb250ZW50X1R5cGVzXS54bWxQSwECLQAUAAYACAAAACEAOP0h/9YAAACUAQAA&#10;CwAAAAAAAAAAAAAAAAAvAQAAX3JlbHMvLnJlbHNQSwECLQAUAAYACAAAACEAPTl2hcwBAACCAwAA&#10;DgAAAAAAAAAAAAAAAAAuAgAAZHJzL2Uyb0RvYy54bWxQSwECLQAUAAYACAAAACEACCfN0+EAAAAN&#10;AQAADwAAAAAAAAAAAAAAAAAmBAAAZHJzL2Rvd25yZXYueG1sUEsFBgAAAAAEAAQA8wAAADQFAAAA&#10;AA==&#10;" w14:anchorId="70594ABE">
                <v:path arrowok="t"/>
                <v:textbox inset="0,0,0,0">
                  <w:txbxContent>
                    <w:p w:rsidRPr="00D95F50" w:rsidR="00C75A83" w:rsidP="00C75A83" w:rsidRDefault="00C75A83" w14:paraId="2A7CC8C0" w14:textId="77777777">
                      <w:pPr>
                        <w:spacing w:line="220" w:lineRule="exact"/>
                        <w:ind w:left="20"/>
                        <w:rPr>
                          <w:b/>
                          <w:color w:val="FFFFFF" w:themeColor="background1"/>
                        </w:rPr>
                      </w:pPr>
                      <w:r w:rsidRPr="00D95F50">
                        <w:rPr>
                          <w:b/>
                          <w:color w:val="FFFFFF" w:themeColor="background1"/>
                        </w:rPr>
                        <w:t>He</w:t>
                      </w:r>
                      <w:r w:rsidRPr="00D95F50">
                        <w:rPr>
                          <w:b/>
                          <w:color w:val="FFFFFF" w:themeColor="background1"/>
                          <w:spacing w:val="-2"/>
                        </w:rPr>
                        <w:t xml:space="preserve"> </w:t>
                      </w:r>
                      <w:r w:rsidRPr="00D95F50">
                        <w:rPr>
                          <w:b/>
                          <w:color w:val="FFFFFF" w:themeColor="background1"/>
                        </w:rPr>
                        <w:t>Pou</w:t>
                      </w:r>
                      <w:r w:rsidRPr="00D95F50">
                        <w:rPr>
                          <w:b/>
                          <w:color w:val="FFFFFF" w:themeColor="background1"/>
                          <w:spacing w:val="-1"/>
                        </w:rPr>
                        <w:t xml:space="preserve"> </w:t>
                      </w:r>
                      <w:r w:rsidRPr="00D95F50">
                        <w:rPr>
                          <w:b/>
                          <w:color w:val="FFFFFF" w:themeColor="background1"/>
                        </w:rPr>
                        <w:t>a</w:t>
                      </w:r>
                      <w:r w:rsidRPr="00D95F50">
                        <w:rPr>
                          <w:b/>
                          <w:color w:val="FFFFFF" w:themeColor="background1"/>
                          <w:spacing w:val="-1"/>
                        </w:rPr>
                        <w:t xml:space="preserve"> </w:t>
                      </w:r>
                      <w:r w:rsidRPr="00D95F50">
                        <w:rPr>
                          <w:b/>
                          <w:color w:val="FFFFFF" w:themeColor="background1"/>
                          <w:spacing w:val="-2"/>
                        </w:rPr>
                        <w:t>Rangi</w:t>
                      </w:r>
                      <w:r w:rsidRPr="00D95F50">
                        <w:rPr>
                          <w:b/>
                          <w:color w:val="FFFFFF" w:themeColor="background1"/>
                        </w:rPr>
                        <w:br/>
                        <w:t>Climate</w:t>
                      </w:r>
                      <w:r w:rsidRPr="00D95F50">
                        <w:rPr>
                          <w:b/>
                          <w:color w:val="FFFFFF" w:themeColor="background1"/>
                          <w:spacing w:val="-9"/>
                        </w:rPr>
                        <w:t xml:space="preserve"> </w:t>
                      </w:r>
                      <w:r w:rsidRPr="00D95F50">
                        <w:rPr>
                          <w:b/>
                          <w:color w:val="FFFFFF" w:themeColor="background1"/>
                        </w:rPr>
                        <w:t>Change</w:t>
                      </w:r>
                      <w:r w:rsidRPr="00D95F50">
                        <w:rPr>
                          <w:b/>
                          <w:color w:val="FFFFFF" w:themeColor="background1"/>
                          <w:spacing w:val="-9"/>
                        </w:rPr>
                        <w:t xml:space="preserve"> </w:t>
                      </w:r>
                      <w:r w:rsidRPr="00D95F50">
                        <w:rPr>
                          <w:b/>
                          <w:color w:val="FFFFFF" w:themeColor="background1"/>
                          <w:spacing w:val="-2"/>
                        </w:rPr>
                        <w:t>Commission</w:t>
                      </w:r>
                    </w:p>
                    <w:p w:rsidRPr="004D03E1" w:rsidR="00C75A83" w:rsidP="00C75A83" w:rsidRDefault="00C75A83" w14:paraId="7C4AC1CC" w14:textId="78561F6A">
                      <w:pPr>
                        <w:rPr>
                          <w:rFonts w:cstheme="minorHAnsi"/>
                          <w:color w:val="FFFFFF" w:themeColor="background1"/>
                        </w:rPr>
                      </w:pPr>
                      <w:r w:rsidRPr="00B935BC">
                        <w:rPr>
                          <w:rFonts w:cstheme="minorHAnsi"/>
                          <w:color w:val="FFFFFF" w:themeColor="background1"/>
                        </w:rPr>
                        <w:t>Level</w:t>
                      </w:r>
                      <w:r w:rsidRPr="00345681">
                        <w:rPr>
                          <w:rFonts w:cstheme="minorHAnsi"/>
                          <w:color w:val="FFFFFF" w:themeColor="background1"/>
                          <w:spacing w:val="-2"/>
                        </w:rPr>
                        <w:t xml:space="preserve"> </w:t>
                      </w:r>
                      <w:r w:rsidRPr="00345681">
                        <w:rPr>
                          <w:rFonts w:cstheme="minorHAnsi"/>
                          <w:color w:val="FFFFFF" w:themeColor="background1"/>
                        </w:rPr>
                        <w:t>21,</w:t>
                      </w:r>
                      <w:r w:rsidRPr="00345681">
                        <w:rPr>
                          <w:rFonts w:cstheme="minorHAnsi"/>
                          <w:color w:val="FFFFFF" w:themeColor="background1"/>
                          <w:spacing w:val="-1"/>
                        </w:rPr>
                        <w:t xml:space="preserve"> </w:t>
                      </w:r>
                      <w:r w:rsidRPr="00345681">
                        <w:rPr>
                          <w:rFonts w:cstheme="minorHAnsi"/>
                          <w:color w:val="FFFFFF" w:themeColor="background1"/>
                        </w:rPr>
                        <w:t>1</w:t>
                      </w:r>
                      <w:r w:rsidRPr="00345681">
                        <w:rPr>
                          <w:rFonts w:cstheme="minorHAnsi"/>
                          <w:color w:val="FFFFFF" w:themeColor="background1"/>
                          <w:spacing w:val="-1"/>
                        </w:rPr>
                        <w:t xml:space="preserve"> </w:t>
                      </w:r>
                      <w:r w:rsidRPr="00345681">
                        <w:rPr>
                          <w:rFonts w:cstheme="minorHAnsi"/>
                          <w:color w:val="FFFFFF" w:themeColor="background1"/>
                        </w:rPr>
                        <w:t>Willis</w:t>
                      </w:r>
                      <w:r w:rsidRPr="00345681">
                        <w:rPr>
                          <w:rFonts w:cstheme="minorHAnsi"/>
                          <w:color w:val="FFFFFF" w:themeColor="background1"/>
                          <w:spacing w:val="-1"/>
                        </w:rPr>
                        <w:t xml:space="preserve"> </w:t>
                      </w:r>
                      <w:r w:rsidRPr="00345681">
                        <w:rPr>
                          <w:rFonts w:cstheme="minorHAnsi"/>
                          <w:color w:val="FFFFFF" w:themeColor="background1"/>
                          <w:spacing w:val="-2"/>
                        </w:rPr>
                        <w:t>Street</w:t>
                      </w:r>
                      <w:r w:rsidR="00B72B1F">
                        <w:rPr>
                          <w:rFonts w:cstheme="minorHAnsi"/>
                          <w:color w:val="FFFFFF" w:themeColor="background1"/>
                          <w:spacing w:val="-2"/>
                        </w:rPr>
                        <w:br/>
                      </w:r>
                      <w:r w:rsidRPr="00B935BC">
                        <w:rPr>
                          <w:rFonts w:cstheme="minorHAnsi"/>
                          <w:color w:val="FFFFFF" w:themeColor="background1"/>
                        </w:rPr>
                        <w:t xml:space="preserve">Wellington </w:t>
                      </w:r>
                      <w:r w:rsidRPr="004D03E1">
                        <w:rPr>
                          <w:rFonts w:cstheme="minorHAnsi"/>
                          <w:color w:val="FFFFFF" w:themeColor="background1"/>
                          <w:spacing w:val="-4"/>
                        </w:rPr>
                        <w:t>6011</w:t>
                      </w:r>
                      <w:r w:rsidR="00B72B1F">
                        <w:rPr>
                          <w:rFonts w:cstheme="minorHAnsi"/>
                          <w:color w:val="FFFFFF" w:themeColor="background1"/>
                        </w:rPr>
                        <w:br/>
                      </w:r>
                      <w:r w:rsidRPr="00B935BC">
                        <w:rPr>
                          <w:rFonts w:cstheme="minorHAnsi"/>
                          <w:color w:val="FFFFFF" w:themeColor="background1"/>
                        </w:rPr>
                        <w:t>PO</w:t>
                      </w:r>
                      <w:r w:rsidRPr="004D03E1">
                        <w:rPr>
                          <w:rFonts w:cstheme="minorHAnsi"/>
                          <w:color w:val="FFFFFF" w:themeColor="background1"/>
                          <w:spacing w:val="-3"/>
                        </w:rPr>
                        <w:t xml:space="preserve"> </w:t>
                      </w:r>
                      <w:r w:rsidRPr="004D03E1">
                        <w:rPr>
                          <w:rFonts w:cstheme="minorHAnsi"/>
                          <w:color w:val="FFFFFF" w:themeColor="background1"/>
                        </w:rPr>
                        <w:t>Box</w:t>
                      </w:r>
                      <w:r w:rsidRPr="004D03E1">
                        <w:rPr>
                          <w:rFonts w:cstheme="minorHAnsi"/>
                          <w:color w:val="FFFFFF" w:themeColor="background1"/>
                          <w:spacing w:val="-3"/>
                        </w:rPr>
                        <w:t xml:space="preserve"> </w:t>
                      </w:r>
                      <w:r w:rsidRPr="004D03E1">
                        <w:rPr>
                          <w:rFonts w:cstheme="minorHAnsi"/>
                          <w:color w:val="FFFFFF" w:themeColor="background1"/>
                          <w:spacing w:val="-2"/>
                        </w:rPr>
                        <w:t>24448</w:t>
                      </w:r>
                      <w:r w:rsidR="00B72B1F">
                        <w:rPr>
                          <w:rFonts w:cstheme="minorHAnsi"/>
                          <w:color w:val="FFFFFF" w:themeColor="background1"/>
                        </w:rPr>
                        <w:br/>
                      </w:r>
                      <w:r w:rsidRPr="00B935BC">
                        <w:rPr>
                          <w:rFonts w:cstheme="minorHAnsi"/>
                          <w:color w:val="FFFFFF" w:themeColor="background1"/>
                        </w:rPr>
                        <w:t xml:space="preserve">Wellington </w:t>
                      </w:r>
                      <w:r w:rsidRPr="004D03E1">
                        <w:rPr>
                          <w:rFonts w:cstheme="minorHAnsi"/>
                          <w:color w:val="FFFFFF" w:themeColor="background1"/>
                          <w:spacing w:val="-4"/>
                        </w:rPr>
                        <w:t>6142</w:t>
                      </w:r>
                      <w:r w:rsidR="00B72B1F">
                        <w:rPr>
                          <w:rFonts w:cstheme="minorHAnsi"/>
                          <w:color w:val="FFFFFF" w:themeColor="background1"/>
                          <w:spacing w:val="-4"/>
                        </w:rPr>
                        <w:br/>
                      </w:r>
                      <w:r w:rsidRPr="00B935BC">
                        <w:rPr>
                          <w:rFonts w:cstheme="minorHAnsi"/>
                          <w:color w:val="FFFFFF" w:themeColor="background1"/>
                        </w:rPr>
                        <w:br/>
                      </w:r>
                      <w:hyperlink w:history="1" r:id="rId28">
                        <w:r w:rsidRPr="004D03E1">
                          <w:rPr>
                            <w:rStyle w:val="Hyperlink"/>
                            <w:rFonts w:cstheme="minorHAnsi"/>
                            <w:color w:val="FFFFFF" w:themeColor="background1"/>
                            <w:spacing w:val="-2"/>
                          </w:rPr>
                          <w:t>www.climatecommission.govt.nz</w:t>
                        </w:r>
                      </w:hyperlink>
                    </w:p>
                    <w:p w:rsidRPr="002445D7" w:rsidR="00C75A83" w:rsidP="00C75A83" w:rsidRDefault="00C75A83" w14:paraId="5AF9AC50" w14:textId="77777777"/>
                    <w:p w:rsidR="00C75A83" w:rsidP="009B488B" w:rsidRDefault="00C75A83" w14:paraId="375466FC" w14:textId="77777777">
                      <w:pPr>
                        <w:ind w:left="20"/>
                        <w:rPr>
                          <w:b/>
                        </w:rPr>
                      </w:pPr>
                    </w:p>
                  </w:txbxContent>
                </v:textbox>
                <w10:wrap anchorx="page" anchory="page"/>
              </v:shape>
            </w:pict>
          </mc:Fallback>
        </mc:AlternateContent>
      </w:r>
    </w:p>
    <w:p w14:paraId="2248652E" w14:textId="77777777" w:rsidR="00C75A83" w:rsidRPr="007E67C1" w:rsidRDefault="00C75A83" w:rsidP="00C75A83"/>
    <w:p w14:paraId="1087222D" w14:textId="77777777" w:rsidR="00374251" w:rsidRDefault="00374251" w:rsidP="00374251"/>
    <w:sectPr w:rsidR="00374251" w:rsidSect="00C75A83">
      <w:footerReference w:type="default" r:id="rId29"/>
      <w:pgSz w:w="11906" w:h="16838"/>
      <w:pgMar w:top="1418" w:right="1418" w:bottom="1418" w:left="1418" w:header="709"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9FF28" w14:textId="77777777" w:rsidR="00417F88" w:rsidRDefault="00C16C79" w:rsidP="00C5005E">
      <w:pPr>
        <w:spacing w:after="0" w:line="240" w:lineRule="auto"/>
      </w:pPr>
      <w:r>
        <w:separator/>
      </w:r>
    </w:p>
    <w:p w14:paraId="357EA209" w14:textId="77777777" w:rsidR="00C16C79" w:rsidRDefault="00C16C79"/>
  </w:endnote>
  <w:endnote w:type="continuationSeparator" w:id="0">
    <w:p w14:paraId="6409DCEA" w14:textId="77777777" w:rsidR="00417F88" w:rsidRDefault="00C16C79" w:rsidP="00C5005E">
      <w:pPr>
        <w:spacing w:after="0" w:line="240" w:lineRule="auto"/>
      </w:pPr>
      <w:r>
        <w:continuationSeparator/>
      </w:r>
    </w:p>
    <w:p w14:paraId="696CEEF9" w14:textId="77777777" w:rsidR="00C16C79" w:rsidRDefault="00C16C79"/>
  </w:endnote>
  <w:endnote w:type="continuationNotice" w:id="1">
    <w:p w14:paraId="345FA30C" w14:textId="77777777" w:rsidR="00417F88" w:rsidRDefault="00417F88">
      <w:pPr>
        <w:spacing w:after="0" w:line="240" w:lineRule="auto"/>
      </w:pPr>
    </w:p>
    <w:p w14:paraId="53FED721" w14:textId="77777777" w:rsidR="00C16C79" w:rsidRDefault="00C16C79"/>
  </w:endnote>
  <w:endnote w:id="2">
    <w:p w14:paraId="131E91A5" w14:textId="74799F7D" w:rsidR="0070502B" w:rsidRPr="009E2942" w:rsidRDefault="0070502B" w:rsidP="005074E6">
      <w:pPr>
        <w:pStyle w:val="EndnoteText"/>
        <w:spacing w:after="120"/>
        <w:rPr>
          <w:lang w:val="mi-NZ"/>
        </w:rPr>
      </w:pPr>
      <w:r>
        <w:rPr>
          <w:rStyle w:val="EndnoteReference"/>
        </w:rPr>
        <w:endnoteRef/>
      </w:r>
      <w:r>
        <w:t xml:space="preserve"> </w:t>
      </w:r>
      <w:r w:rsidRPr="009E2942">
        <w:t>Ministry for the Environment. (2024).</w:t>
      </w:r>
      <w:r>
        <w:rPr>
          <w:i/>
          <w:iCs/>
        </w:rPr>
        <w:t xml:space="preserve"> </w:t>
      </w:r>
      <w:r w:rsidRPr="00CF3BBA">
        <w:rPr>
          <w:i/>
        </w:rPr>
        <w:t>Detailed results for ERP2 projection scenarios.</w:t>
      </w:r>
      <w:r>
        <w:t xml:space="preserve"> </w:t>
      </w:r>
      <w:hyperlink r:id="rId1" w:history="1">
        <w:r w:rsidRPr="004C1096">
          <w:rPr>
            <w:rStyle w:val="Hyperlink"/>
          </w:rPr>
          <w:t>https://environment.govt.nz/assets/publications/climate-change/ERP2/Detailed-results-for-ERP2-projection-scenarios.xlsx</w:t>
        </w:r>
      </w:hyperlink>
    </w:p>
  </w:endnote>
  <w:endnote w:id="3">
    <w:p w14:paraId="429ECF54" w14:textId="40F09574" w:rsidR="00967807" w:rsidRPr="009E2942" w:rsidRDefault="00967807" w:rsidP="005074E6">
      <w:pPr>
        <w:pStyle w:val="EndnoteText"/>
        <w:spacing w:after="120"/>
        <w:rPr>
          <w:lang w:val="mi-NZ"/>
        </w:rPr>
      </w:pPr>
      <w:r>
        <w:rPr>
          <w:rStyle w:val="EndnoteReference"/>
        </w:rPr>
        <w:endnoteRef/>
      </w:r>
      <w:r>
        <w:t xml:space="preserve"> </w:t>
      </w:r>
      <w:r w:rsidR="00A51613">
        <w:t xml:space="preserve">Ministry for the Environment. (2024). </w:t>
      </w:r>
      <w:r w:rsidR="00A51613" w:rsidRPr="00355D0B">
        <w:rPr>
          <w:i/>
          <w:iCs/>
        </w:rPr>
        <w:t>New Zealand’s second emissions reduction plan 2026</w:t>
      </w:r>
      <w:r w:rsidR="00A51613" w:rsidRPr="000A1433">
        <w:rPr>
          <w:b/>
          <w:bCs/>
        </w:rPr>
        <w:t>–</w:t>
      </w:r>
      <w:r w:rsidR="00A51613" w:rsidRPr="00355D0B">
        <w:rPr>
          <w:i/>
          <w:iCs/>
        </w:rPr>
        <w:t>30: Technical annex</w:t>
      </w:r>
      <w:r w:rsidR="00A51613">
        <w:t xml:space="preserve">. Appendix 4, page 90. </w:t>
      </w:r>
      <w:hyperlink r:id="rId2" w:history="1">
        <w:r w:rsidR="00A51613" w:rsidRPr="00EF7E55">
          <w:rPr>
            <w:rStyle w:val="Hyperlink"/>
          </w:rPr>
          <w:t>https://environment.govt.nz/publications/second-emissions-reduction-plan-technical-annex/</w:t>
        </w:r>
      </w:hyperlink>
    </w:p>
  </w:endnote>
  <w:endnote w:id="4">
    <w:p w14:paraId="0C94C251" w14:textId="7E4BDB0E" w:rsidR="00EA13C4" w:rsidRPr="004D009B" w:rsidRDefault="00EA13C4" w:rsidP="005074E6">
      <w:pPr>
        <w:pStyle w:val="EndnoteText"/>
        <w:spacing w:after="120"/>
        <w:rPr>
          <w:rFonts w:cstheme="minorHAnsi"/>
          <w:lang w:val="en-US"/>
        </w:rPr>
      </w:pPr>
      <w:r w:rsidRPr="004D009B">
        <w:rPr>
          <w:rStyle w:val="EndnoteReference"/>
          <w:rFonts w:cstheme="minorHAnsi"/>
        </w:rPr>
        <w:endnoteRef/>
      </w:r>
      <w:r w:rsidRPr="004D009B">
        <w:rPr>
          <w:rFonts w:cstheme="minorHAnsi"/>
        </w:rPr>
        <w:t xml:space="preserve"> </w:t>
      </w:r>
      <w:r w:rsidR="00AD19B2">
        <w:rPr>
          <w:rFonts w:cstheme="minorHAnsi"/>
        </w:rPr>
        <w:t>Ministry for Primary Industries</w:t>
      </w:r>
      <w:r w:rsidR="00667E98">
        <w:rPr>
          <w:rFonts w:cstheme="minorHAnsi"/>
        </w:rPr>
        <w:t xml:space="preserve">. (2023). </w:t>
      </w:r>
      <w:r w:rsidR="00667E98" w:rsidRPr="009E2942">
        <w:rPr>
          <w:rFonts w:cstheme="minorHAnsi"/>
          <w:i/>
          <w:lang w:val="en-US"/>
        </w:rPr>
        <w:t xml:space="preserve">Deforesting </w:t>
      </w:r>
      <w:r w:rsidR="00E83C6C" w:rsidRPr="009E2942">
        <w:rPr>
          <w:rFonts w:cstheme="minorHAnsi"/>
          <w:i/>
          <w:lang w:val="en-US"/>
        </w:rPr>
        <w:t>pre-1990 forest land.</w:t>
      </w:r>
      <w:r w:rsidRPr="009E2942">
        <w:rPr>
          <w:rStyle w:val="cf01"/>
          <w:rFonts w:asciiTheme="minorHAnsi" w:hAnsiTheme="minorHAnsi" w:cstheme="minorHAnsi"/>
          <w:i/>
        </w:rPr>
        <w:t xml:space="preserve"> </w:t>
      </w:r>
      <w:hyperlink r:id="rId3" w:history="1">
        <w:r w:rsidRPr="00D54CCE">
          <w:rPr>
            <w:rStyle w:val="cf01"/>
            <w:rFonts w:asciiTheme="minorHAnsi" w:hAnsiTheme="minorHAnsi" w:cstheme="minorHAnsi"/>
            <w:color w:val="0000FF"/>
            <w:u w:val="single"/>
          </w:rPr>
          <w:t>https://www.</w:t>
        </w:r>
        <w:bookmarkStart w:id="15" w:name="_Hlt195097558"/>
        <w:bookmarkStart w:id="16" w:name="_Hlt195097559"/>
        <w:r w:rsidRPr="00D54CCE">
          <w:rPr>
            <w:rStyle w:val="cf01"/>
            <w:rFonts w:asciiTheme="minorHAnsi" w:hAnsiTheme="minorHAnsi" w:cstheme="minorHAnsi"/>
            <w:color w:val="0000FF"/>
            <w:u w:val="single"/>
          </w:rPr>
          <w:t>m</w:t>
        </w:r>
        <w:bookmarkEnd w:id="15"/>
        <w:bookmarkEnd w:id="16"/>
        <w:r w:rsidRPr="00D54CCE">
          <w:rPr>
            <w:rStyle w:val="cf01"/>
            <w:rFonts w:asciiTheme="minorHAnsi" w:hAnsiTheme="minorHAnsi" w:cstheme="minorHAnsi"/>
            <w:color w:val="0000FF"/>
            <w:u w:val="single"/>
          </w:rPr>
          <w:t>p</w:t>
        </w:r>
        <w:bookmarkStart w:id="17" w:name="_Hlt195195939"/>
        <w:bookmarkStart w:id="18" w:name="_Hlt195195940"/>
        <w:r w:rsidRPr="00D54CCE">
          <w:rPr>
            <w:rStyle w:val="cf01"/>
            <w:rFonts w:asciiTheme="minorHAnsi" w:hAnsiTheme="minorHAnsi" w:cstheme="minorHAnsi"/>
            <w:color w:val="0000FF"/>
            <w:u w:val="single"/>
          </w:rPr>
          <w:t>i</w:t>
        </w:r>
        <w:bookmarkEnd w:id="17"/>
        <w:bookmarkEnd w:id="18"/>
        <w:r w:rsidRPr="00D54CCE">
          <w:rPr>
            <w:rStyle w:val="cf01"/>
            <w:rFonts w:asciiTheme="minorHAnsi" w:hAnsiTheme="minorHAnsi" w:cstheme="minorHAnsi"/>
            <w:color w:val="0000FF"/>
            <w:u w:val="single"/>
          </w:rPr>
          <w:t>.govt.nz/forestry/forestry-in-the-emissions-trading-scheme/deforesting-and-the-ets/deforesting-forest-land/</w:t>
        </w:r>
      </w:hyperlink>
    </w:p>
  </w:endnote>
  <w:endnote w:id="5">
    <w:p w14:paraId="54B39F74" w14:textId="05E20282" w:rsidR="0007605C" w:rsidRPr="00805788" w:rsidRDefault="0007605C" w:rsidP="005074E6">
      <w:pPr>
        <w:pStyle w:val="EndnoteText"/>
        <w:spacing w:after="120"/>
        <w:rPr>
          <w:lang w:val="en-US"/>
        </w:rPr>
      </w:pPr>
      <w:r>
        <w:rPr>
          <w:rStyle w:val="EndnoteReference"/>
        </w:rPr>
        <w:endnoteRef/>
      </w:r>
      <w:r>
        <w:t xml:space="preserve"> </w:t>
      </w:r>
      <w:r w:rsidR="00E83C6C">
        <w:t>Ministry for the Environment.</w:t>
      </w:r>
      <w:r>
        <w:t xml:space="preserve"> </w:t>
      </w:r>
      <w:r w:rsidR="00C14A2F">
        <w:t xml:space="preserve">(2025). </w:t>
      </w:r>
      <w:r w:rsidR="00C14A2F" w:rsidRPr="009E2942">
        <w:rPr>
          <w:i/>
        </w:rPr>
        <w:t>Results of the 2023 data collection process</w:t>
      </w:r>
      <w:r w:rsidR="00C14A2F">
        <w:t>.</w:t>
      </w:r>
      <w:r w:rsidR="00E83C6C">
        <w:t xml:space="preserve"> </w:t>
      </w:r>
      <w:hyperlink r:id="rId4" w:history="1">
        <w:r w:rsidRPr="009E7E98">
          <w:rPr>
            <w:rStyle w:val="cf01"/>
            <w:rFonts w:asciiTheme="minorHAnsi" w:hAnsiTheme="minorHAnsi" w:cstheme="minorHAnsi"/>
            <w:color w:val="0000FF"/>
            <w:sz w:val="20"/>
            <w:szCs w:val="20"/>
            <w:u w:val="single"/>
          </w:rPr>
          <w:t>environment.govt.nz/Ove</w:t>
        </w:r>
        <w:bookmarkStart w:id="32" w:name="_Hlt195196041"/>
        <w:bookmarkStart w:id="33" w:name="_Hlt195196042"/>
        <w:r w:rsidRPr="009E7E98">
          <w:rPr>
            <w:rStyle w:val="cf01"/>
            <w:rFonts w:asciiTheme="minorHAnsi" w:hAnsiTheme="minorHAnsi" w:cstheme="minorHAnsi"/>
            <w:color w:val="0000FF"/>
            <w:sz w:val="20"/>
            <w:szCs w:val="20"/>
            <w:u w:val="single"/>
          </w:rPr>
          <w:t>r</w:t>
        </w:r>
        <w:bookmarkEnd w:id="32"/>
        <w:bookmarkEnd w:id="33"/>
        <w:r w:rsidRPr="009E7E98">
          <w:rPr>
            <w:rStyle w:val="cf01"/>
            <w:rFonts w:asciiTheme="minorHAnsi" w:hAnsiTheme="minorHAnsi" w:cstheme="minorHAnsi"/>
            <w:color w:val="0000FF"/>
            <w:sz w:val="20"/>
            <w:szCs w:val="20"/>
            <w:u w:val="single"/>
          </w:rPr>
          <w:t>view of industrial allocation</w:t>
        </w:r>
      </w:hyperlink>
      <w:r>
        <w:rPr>
          <w:rFonts w:ascii="Yu Mincho" w:hAnsi="Yu Mincho" w:cs="Yu Mincho"/>
        </w:rPr>
        <w:t xml:space="preserve"> </w:t>
      </w:r>
    </w:p>
  </w:endnote>
  <w:endnote w:id="6">
    <w:p w14:paraId="72E44CD6" w14:textId="77777777" w:rsidR="00AD47EA" w:rsidRPr="004C3094" w:rsidRDefault="00AD47EA" w:rsidP="005074E6">
      <w:pPr>
        <w:pStyle w:val="EndnoteText"/>
        <w:spacing w:after="120"/>
        <w:rPr>
          <w:lang w:val="mi-NZ"/>
        </w:rPr>
      </w:pPr>
      <w:r>
        <w:rPr>
          <w:rStyle w:val="EndnoteReference"/>
        </w:rPr>
        <w:endnoteRef/>
      </w:r>
      <w:r>
        <w:t xml:space="preserve"> </w:t>
      </w:r>
      <w:r w:rsidRPr="00FE7D1D">
        <w:t xml:space="preserve">Methanex. (2024). </w:t>
      </w:r>
      <w:r w:rsidRPr="00883A7A">
        <w:rPr>
          <w:i/>
          <w:iCs/>
        </w:rPr>
        <w:t>Methanex Reports Higher Production and Adjusted EBITDA in Fourth Quarter 2024</w:t>
      </w:r>
      <w:r w:rsidRPr="00FE7D1D">
        <w:t xml:space="preserve">. </w:t>
      </w:r>
      <w:hyperlink r:id="rId5" w:history="1">
        <w:r w:rsidRPr="004C1096">
          <w:rPr>
            <w:rStyle w:val="Hyperlink"/>
          </w:rPr>
          <w:t>https://www.methanex.com/news/release/methanex-reports-higher-production-and-adjusted-ebitda-in-fourth-quarter-2024</w:t>
        </w:r>
      </w:hyperlink>
    </w:p>
  </w:endnote>
  <w:endnote w:id="7">
    <w:p w14:paraId="0CE117A3" w14:textId="4608878F" w:rsidR="00D73466" w:rsidRPr="009E2942" w:rsidRDefault="00D73466" w:rsidP="005074E6">
      <w:pPr>
        <w:pStyle w:val="EndnoteText"/>
        <w:spacing w:after="120"/>
        <w:rPr>
          <w:lang w:val="mi-NZ"/>
        </w:rPr>
      </w:pPr>
      <w:r>
        <w:rPr>
          <w:rStyle w:val="EndnoteReference"/>
        </w:rPr>
        <w:endnoteRef/>
      </w:r>
      <w:r>
        <w:t xml:space="preserve"> </w:t>
      </w:r>
      <w:r w:rsidRPr="009D34EC">
        <w:t>Ernst &amp; Young (</w:t>
      </w:r>
      <w:r>
        <w:t>20</w:t>
      </w:r>
      <w:r w:rsidR="002D40E5">
        <w:t>2</w:t>
      </w:r>
      <w:r>
        <w:t>4</w:t>
      </w:r>
      <w:r w:rsidRPr="009D34EC">
        <w:t>)</w:t>
      </w:r>
      <w:r>
        <w:t xml:space="preserve">. </w:t>
      </w:r>
      <w:r w:rsidRPr="00730061">
        <w:rPr>
          <w:i/>
          <w:iCs/>
        </w:rPr>
        <w:t>New Zealand’s Emissions Trading Scheme (ETS) NZU Surplus Advice</w:t>
      </w:r>
      <w:r>
        <w:t>.</w:t>
      </w:r>
      <w:r w:rsidRPr="0051561B">
        <w:t xml:space="preserve"> </w:t>
      </w:r>
      <w:hyperlink r:id="rId6" w:history="1">
        <w:r w:rsidRPr="0051561B">
          <w:rPr>
            <w:rStyle w:val="Hyperlink"/>
          </w:rPr>
          <w:t>https://environment.govt.nz/assets/publications/climate-change/nzets-nzu-surplus-advice.pdf</w:t>
        </w:r>
      </w:hyperlink>
    </w:p>
  </w:endnote>
  <w:endnote w:id="8">
    <w:p w14:paraId="45FE7D08" w14:textId="7B18543F" w:rsidR="00251DAC" w:rsidRDefault="00251DAC" w:rsidP="005074E6">
      <w:pPr>
        <w:spacing w:after="120" w:line="240" w:lineRule="auto"/>
      </w:pPr>
      <w:r w:rsidRPr="009E2942">
        <w:rPr>
          <w:rStyle w:val="EndnoteReference"/>
          <w:sz w:val="20"/>
          <w:szCs w:val="20"/>
        </w:rPr>
        <w:endnoteRef/>
      </w:r>
      <w:r w:rsidR="008D75E6" w:rsidRPr="009E2942">
        <w:rPr>
          <w:sz w:val="20"/>
          <w:szCs w:val="20"/>
        </w:rPr>
        <w:t xml:space="preserve"> Environmental Protection Authority. (2024). </w:t>
      </w:r>
      <w:r w:rsidR="008D75E6" w:rsidRPr="009E2942">
        <w:rPr>
          <w:i/>
          <w:sz w:val="20"/>
          <w:szCs w:val="20"/>
        </w:rPr>
        <w:t>Privately held units</w:t>
      </w:r>
      <w:r w:rsidR="008D75E6" w:rsidRPr="009E2942">
        <w:rPr>
          <w:sz w:val="20"/>
          <w:szCs w:val="20"/>
        </w:rPr>
        <w:t xml:space="preserve">. </w:t>
      </w:r>
      <w:hyperlink r:id="rId7" w:history="1">
        <w:r w:rsidR="008D75E6" w:rsidRPr="009E2942">
          <w:rPr>
            <w:rStyle w:val="Hyperlink"/>
            <w:sz w:val="20"/>
            <w:szCs w:val="20"/>
          </w:rPr>
          <w:t>https://www.epa.govt.nz/industry-areas/emissions-trading-scheme/market-information/privately-held-units/</w:t>
        </w:r>
      </w:hyperlink>
    </w:p>
  </w:endnote>
  <w:endnote w:id="9">
    <w:p w14:paraId="6079E71D" w14:textId="77777777" w:rsidR="00F60977" w:rsidRDefault="00F60977" w:rsidP="005074E6">
      <w:pPr>
        <w:spacing w:after="120" w:line="240" w:lineRule="auto"/>
      </w:pPr>
      <w:r w:rsidRPr="009E2942">
        <w:rPr>
          <w:rStyle w:val="EndnoteReference"/>
          <w:sz w:val="20"/>
          <w:szCs w:val="20"/>
        </w:rPr>
        <w:endnoteRef/>
      </w:r>
      <w:r w:rsidRPr="009E2942">
        <w:rPr>
          <w:sz w:val="20"/>
          <w:szCs w:val="20"/>
        </w:rPr>
        <w:t xml:space="preserve"> M</w:t>
      </w:r>
      <w:r>
        <w:rPr>
          <w:noProof/>
          <w:sz w:val="20"/>
          <w:szCs w:val="20"/>
        </w:rPr>
        <w:t>inistry for Primary Industries</w:t>
      </w:r>
      <w:r w:rsidRPr="009E2942">
        <w:rPr>
          <w:sz w:val="20"/>
          <w:szCs w:val="20"/>
        </w:rPr>
        <w:t xml:space="preserve">. (2018). </w:t>
      </w:r>
      <w:r w:rsidRPr="009E2942">
        <w:rPr>
          <w:i/>
          <w:sz w:val="20"/>
          <w:szCs w:val="20"/>
        </w:rPr>
        <w:t>Deforestation Intentions Survey</w:t>
      </w:r>
      <w:r w:rsidRPr="009E2942">
        <w:rPr>
          <w:sz w:val="20"/>
          <w:szCs w:val="20"/>
        </w:rPr>
        <w:t xml:space="preserve">. </w:t>
      </w:r>
      <w:hyperlink r:id="rId8" w:history="1">
        <w:r w:rsidRPr="009E2942">
          <w:rPr>
            <w:rStyle w:val="Hyperlink"/>
            <w:sz w:val="20"/>
            <w:szCs w:val="20"/>
          </w:rPr>
          <w:t>https://www.mpi.govt.nz/dmsdocument/37110-Deforestation-Intentions-Survey-2018</w:t>
        </w:r>
      </w:hyperlink>
    </w:p>
  </w:endnote>
  <w:endnote w:id="10">
    <w:p w14:paraId="703B2358" w14:textId="15C57AEC" w:rsidR="00DF5E45" w:rsidRPr="005074E6" w:rsidRDefault="00DF5E45" w:rsidP="005074E6">
      <w:pPr>
        <w:pStyle w:val="EndnoteText"/>
        <w:spacing w:after="120"/>
        <w:rPr>
          <w:lang w:val="mi-NZ"/>
        </w:rPr>
      </w:pPr>
      <w:r>
        <w:rPr>
          <w:rStyle w:val="EndnoteReference"/>
        </w:rPr>
        <w:endnoteRef/>
      </w:r>
      <w:r w:rsidRPr="006A43AF">
        <w:t xml:space="preserve"> </w:t>
      </w:r>
      <w:r w:rsidR="006A43AF" w:rsidRPr="009E2942">
        <w:rPr>
          <w:lang w:val="mi-NZ"/>
        </w:rPr>
        <w:t xml:space="preserve">He Pou a Rangi Climate Change Commission. (2024). </w:t>
      </w:r>
      <w:r w:rsidR="00E65BDF" w:rsidRPr="009E2942">
        <w:rPr>
          <w:i/>
          <w:lang w:val="mi-NZ"/>
        </w:rPr>
        <w:t>Advice on NZ ETS unit limits and price control settings for 2025-2029</w:t>
      </w:r>
      <w:r w:rsidR="00AB73C9" w:rsidRPr="009E2942">
        <w:rPr>
          <w:i/>
          <w:lang w:val="mi-NZ"/>
        </w:rPr>
        <w:t>.</w:t>
      </w:r>
      <w:r w:rsidR="00AB73C9">
        <w:rPr>
          <w:lang w:val="mi-NZ"/>
        </w:rPr>
        <w:t xml:space="preserve"> </w:t>
      </w:r>
      <w:hyperlink r:id="rId9" w:history="1">
        <w:r w:rsidR="00701BBB" w:rsidRPr="00AA0703">
          <w:rPr>
            <w:rStyle w:val="Hyperlink"/>
            <w:lang w:val="mi-NZ"/>
          </w:rPr>
          <w:t>https://www.climatecommission.govt.nz/our-work/advice-to-government-topic/nz-ets/our-advice-on-the-nz-ets/nzets-advice-2025-29/</w:t>
        </w:r>
      </w:hyperlink>
      <w:r w:rsidR="00701BBB">
        <w:rPr>
          <w:lang w:val="mi-NZ"/>
        </w:rPr>
        <w:t xml:space="preserve"> </w:t>
      </w:r>
      <w:r w:rsidR="00AB73C9">
        <w:rPr>
          <w:lang w:val="mi-NZ"/>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910069"/>
      <w:docPartObj>
        <w:docPartGallery w:val="Page Numbers (Bottom of Page)"/>
        <w:docPartUnique/>
      </w:docPartObj>
    </w:sdtPr>
    <w:sdtEndPr>
      <w:rPr>
        <w:noProof/>
      </w:rPr>
    </w:sdtEndPr>
    <w:sdtContent>
      <w:p w14:paraId="701572D4" w14:textId="010DA653" w:rsidR="00121F9D" w:rsidRDefault="00121F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F29D0B" w14:textId="77777777" w:rsidR="00121F9D" w:rsidRDefault="00121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06F3" w14:textId="77777777" w:rsidR="00D21604" w:rsidRDefault="00D21604">
    <w:pPr>
      <w:pStyle w:val="Footer"/>
      <w:jc w:val="center"/>
      <w:rPr>
        <w:caps/>
        <w:sz w:val="18"/>
        <w:szCs w:val="18"/>
      </w:rPr>
    </w:pPr>
    <w:r>
      <w:rPr>
        <w:caps/>
        <w:noProof/>
        <w:sz w:val="18"/>
        <w:szCs w:val="18"/>
      </w:rPr>
      <mc:AlternateContent>
        <mc:Choice Requires="wps">
          <w:drawing>
            <wp:anchor distT="0" distB="0" distL="114300" distR="114300" simplePos="0" relativeHeight="251658240" behindDoc="0" locked="0" layoutInCell="1" allowOverlap="1" wp14:anchorId="4250DA10" wp14:editId="32CA80DD">
              <wp:simplePos x="0" y="0"/>
              <wp:positionH relativeFrom="column">
                <wp:posOffset>-59690</wp:posOffset>
              </wp:positionH>
              <wp:positionV relativeFrom="paragraph">
                <wp:posOffset>281305</wp:posOffset>
              </wp:positionV>
              <wp:extent cx="5040000"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2"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4.7pt,22.15pt" to="392.15pt,22.15pt" w14:anchorId="5FF1C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2nsQEAANQDAAAOAAAAZHJzL2Uyb0RvYy54bWysU8Fu3CAQvUfqPyDuXbxRW1XWenNIlF6q&#10;NkqaDyB4WCMBg4CsvX/fgd21o7RSlKo+jBmY92bmMWyuJmfZHmIy6Du+XjWcgVfYG7/r+OOv249f&#10;OUtZ+l5a9NDxAyR+tf1wsRlDC5c4oO0hMiLxqR1Dx4ecQytEUgM4mVYYwNOhxuhkJjfuRB/lSOzO&#10;isum+SJGjH2IqCAl2r05HvJt5dcaVP6pdYLMbMeptlxtrPapWLHdyHYXZRiMOpUh/6EKJ42npDPV&#10;jcySPUfzB5UzKmJCnVcKnUCtjYLaA3Wzbl518zDIALUXEieFWab0/2jVj/21v4skwxhSm8JdLF1M&#10;Orryp/rYVMU6zGLBlJmizc/Np4Y+ztT5TCzAEFP+BuhYWXTcGl/6kK3cf0+ZklHoOaRsW19sQmv6&#10;W2NtdcoEwLWNbC/p7vK0LndFuBdR5BWkWEqvq3ywcGS9B81MT8Wua/Y6VQunVAp8PvNaT9EFpqmC&#10;Gdi8DTzFFyjUiXsPeEbUzOjzDHbGY/xb9kUKfYw/K3Dsu0jwhP2hXmqVhkanKnca8zKbL/0KXx7j&#10;9jcAAAD//wMAUEsDBBQABgAIAAAAIQCoyN8m3gAAAAgBAAAPAAAAZHJzL2Rvd25yZXYueG1sTI9B&#10;T8MwDIXvSPyHyEhc0JbCyhil6YQq7cIBiRVNHLPGayoap2qytfv3eOIAN9vv6fl7+XpynTjhEFpP&#10;Cu7nCQik2puWGgWf1Wa2AhGiJqM7T6jgjAHWxfVVrjPjR/rA0zY2gkMoZFqBjbHPpAy1RafD3PdI&#10;rB384HTkdWikGfTI4a6TD0mylE63xB+s7rG0WH9vj07BV3O32OwqqsYyvh+Wdjrv3h5LpW5vptcX&#10;EBGn+GeGCz6jQ8FMe38kE0SnYPacslNBmi5AsP60ugz734Mscvm/QPEDAAD//wMAUEsBAi0AFAAG&#10;AAgAAAAhALaDOJL+AAAA4QEAABMAAAAAAAAAAAAAAAAAAAAAAFtDb250ZW50X1R5cGVzXS54bWxQ&#10;SwECLQAUAAYACAAAACEAOP0h/9YAAACUAQAACwAAAAAAAAAAAAAAAAAvAQAAX3JlbHMvLnJlbHNQ&#10;SwECLQAUAAYACAAAACEA2gVtp7EBAADUAwAADgAAAAAAAAAAAAAAAAAuAgAAZHJzL2Uyb0RvYy54&#10;bWxQSwECLQAUAAYACAAAACEAqMjfJt4AAAAIAQAADwAAAAAAAAAAAAAAAAALBAAAZHJzL2Rvd25y&#10;ZXYueG1sUEsFBgAAAAAEAAQA8wAAABYFAAAAAA==&#10;">
              <v:stroke joinstyle="miter"/>
            </v:line>
          </w:pict>
        </mc:Fallback>
      </mc:AlternateContent>
    </w:r>
  </w:p>
  <w:p w14:paraId="7CD69E19" w14:textId="77777777" w:rsidR="00121F9D" w:rsidRDefault="00121F9D">
    <w:pPr>
      <w:pStyle w:val="Footer"/>
      <w:jc w:val="center"/>
    </w:pPr>
    <w:r w:rsidRPr="003758AA">
      <w:rPr>
        <w:caps/>
        <w:sz w:val="18"/>
        <w:szCs w:val="18"/>
      </w:rPr>
      <w:fldChar w:fldCharType="begin"/>
    </w:r>
    <w:r w:rsidRPr="003758AA">
      <w:rPr>
        <w:caps/>
        <w:sz w:val="18"/>
        <w:szCs w:val="18"/>
      </w:rPr>
      <w:instrText xml:space="preserve"> PAGE   \* MERGEFORMAT </w:instrText>
    </w:r>
    <w:r w:rsidRPr="003758AA">
      <w:rPr>
        <w:caps/>
        <w:sz w:val="18"/>
        <w:szCs w:val="18"/>
      </w:rPr>
      <w:fldChar w:fldCharType="separate"/>
    </w:r>
    <w:r w:rsidRPr="003758AA">
      <w:rPr>
        <w:caps/>
        <w:sz w:val="18"/>
        <w:szCs w:val="18"/>
      </w:rPr>
      <w:t>2</w:t>
    </w:r>
    <w:r w:rsidRPr="003758AA">
      <w:rPr>
        <w:caps/>
        <w:sz w:val="18"/>
        <w:szCs w:val="18"/>
      </w:rPr>
      <w:fldChar w:fldCharType="end"/>
    </w:r>
  </w:p>
  <w:p w14:paraId="2173BBAA" w14:textId="77777777" w:rsidR="00121F9D" w:rsidRDefault="00121F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64440" w14:textId="77777777" w:rsidR="00417F88" w:rsidRDefault="00C16C79" w:rsidP="00C5005E">
      <w:pPr>
        <w:spacing w:after="0" w:line="240" w:lineRule="auto"/>
      </w:pPr>
      <w:r>
        <w:separator/>
      </w:r>
    </w:p>
    <w:p w14:paraId="327531AE" w14:textId="77777777" w:rsidR="00C16C79" w:rsidRDefault="00C16C79"/>
  </w:footnote>
  <w:footnote w:type="continuationSeparator" w:id="0">
    <w:p w14:paraId="6FB70BBB" w14:textId="77777777" w:rsidR="00417F88" w:rsidRDefault="00C16C79" w:rsidP="00C5005E">
      <w:pPr>
        <w:spacing w:after="0" w:line="240" w:lineRule="auto"/>
      </w:pPr>
      <w:r>
        <w:continuationSeparator/>
      </w:r>
    </w:p>
    <w:p w14:paraId="5C49FA1F" w14:textId="77777777" w:rsidR="00C16C79" w:rsidRDefault="00C16C79"/>
  </w:footnote>
  <w:footnote w:type="continuationNotice" w:id="1">
    <w:p w14:paraId="236B9E6E" w14:textId="77777777" w:rsidR="00417F88" w:rsidRDefault="00417F88">
      <w:pPr>
        <w:spacing w:after="0" w:line="240" w:lineRule="auto"/>
      </w:pPr>
    </w:p>
    <w:p w14:paraId="72A99F79" w14:textId="77777777" w:rsidR="00C16C79" w:rsidRDefault="00C16C79"/>
  </w:footnote>
  <w:footnote w:id="2">
    <w:p w14:paraId="575C1EF0" w14:textId="6BA50B88" w:rsidR="00FE1B3C" w:rsidRDefault="00FE1B3C">
      <w:pPr>
        <w:pStyle w:val="FootnoteText"/>
      </w:pPr>
      <w:r>
        <w:rPr>
          <w:rStyle w:val="FootnoteReference"/>
        </w:rPr>
        <w:footnoteRef/>
      </w:r>
      <w:r>
        <w:t xml:space="preserve"> The emissions pathways from </w:t>
      </w:r>
      <w:r w:rsidRPr="008A7B5E">
        <w:rPr>
          <w:i/>
        </w:rPr>
        <w:t>Ināia tonu nei</w:t>
      </w:r>
      <w:r w:rsidRPr="00FE1B3C">
        <w:t xml:space="preserve"> were updated for </w:t>
      </w:r>
      <w:r w:rsidRPr="008A7B5E">
        <w:rPr>
          <w:rStyle w:val="cf01"/>
          <w:rFonts w:asciiTheme="minorHAnsi" w:hAnsiTheme="minorHAnsi" w:cstheme="minorHAnsi"/>
          <w:sz w:val="20"/>
          <w:szCs w:val="20"/>
        </w:rPr>
        <w:t xml:space="preserve">methodological improvements to </w:t>
      </w:r>
      <w:r w:rsidR="00D16441">
        <w:rPr>
          <w:rStyle w:val="cf01"/>
          <w:rFonts w:asciiTheme="minorHAnsi" w:hAnsiTheme="minorHAnsi" w:cstheme="minorHAnsi"/>
          <w:sz w:val="20"/>
          <w:szCs w:val="20"/>
        </w:rPr>
        <w:t xml:space="preserve">the estimation of </w:t>
      </w:r>
      <w:r w:rsidRPr="008A7B5E">
        <w:rPr>
          <w:rStyle w:val="cf01"/>
          <w:rFonts w:asciiTheme="minorHAnsi" w:hAnsiTheme="minorHAnsi" w:cstheme="minorHAnsi"/>
          <w:sz w:val="20"/>
          <w:szCs w:val="20"/>
        </w:rPr>
        <w:t xml:space="preserve">emissions in </w:t>
      </w:r>
      <w:r w:rsidRPr="008A7B5E">
        <w:t xml:space="preserve">2023. </w:t>
      </w:r>
      <w:r w:rsidR="00012AEE">
        <w:t>T</w:t>
      </w:r>
      <w:r w:rsidRPr="008A7B5E">
        <w:t>his updated path was used</w:t>
      </w:r>
      <w:r>
        <w:t xml:space="preserve"> </w:t>
      </w:r>
      <w:r w:rsidR="00CD472B">
        <w:t>to determine the proportion of biomass emissions.</w:t>
      </w:r>
    </w:p>
  </w:footnote>
  <w:footnote w:id="3">
    <w:p w14:paraId="7BEC7284" w14:textId="21E98AB8" w:rsidR="00A27342" w:rsidRDefault="00A27342">
      <w:pPr>
        <w:pStyle w:val="FootnoteText"/>
      </w:pPr>
      <w:r>
        <w:rPr>
          <w:rStyle w:val="FootnoteReference"/>
        </w:rPr>
        <w:footnoteRef/>
      </w:r>
      <w:r>
        <w:t xml:space="preserve"> Post-1989 forest refers to l</w:t>
      </w:r>
      <w:r>
        <w:rPr>
          <w:lang w:val="en-US"/>
        </w:rPr>
        <w:t>and first planted in forest in New Zealand on or after 1 January 1990.</w:t>
      </w:r>
    </w:p>
  </w:footnote>
  <w:footnote w:id="4">
    <w:p w14:paraId="7F99E20D" w14:textId="4CCA7C75" w:rsidR="00F061AF" w:rsidRPr="00F061AF" w:rsidRDefault="00F061AF">
      <w:pPr>
        <w:pStyle w:val="FootnoteText"/>
        <w:rPr>
          <w:lang w:val="en-US"/>
        </w:rPr>
      </w:pPr>
      <w:r>
        <w:rPr>
          <w:rStyle w:val="FootnoteReference"/>
        </w:rPr>
        <w:footnoteRef/>
      </w:r>
      <w:r>
        <w:t xml:space="preserve"> </w:t>
      </w:r>
      <w:r w:rsidR="004D1D97">
        <w:t xml:space="preserve">MERPs generally cover </w:t>
      </w:r>
      <w:r w:rsidR="00181BC5">
        <w:t>five years, although t</w:t>
      </w:r>
      <w:r w:rsidRPr="00F76698">
        <w:rPr>
          <w:lang w:val="en-US"/>
        </w:rPr>
        <w:t xml:space="preserve">he current </w:t>
      </w:r>
      <w:r w:rsidR="00B51F48">
        <w:rPr>
          <w:lang w:val="en-US"/>
        </w:rPr>
        <w:t>MERP4</w:t>
      </w:r>
      <w:r w:rsidRPr="00F76698">
        <w:rPr>
          <w:lang w:val="en-US"/>
        </w:rPr>
        <w:t xml:space="preserve"> </w:t>
      </w:r>
      <w:r w:rsidR="00181BC5">
        <w:rPr>
          <w:lang w:val="en-US"/>
        </w:rPr>
        <w:t xml:space="preserve">is only </w:t>
      </w:r>
      <w:r>
        <w:rPr>
          <w:lang w:val="en-US"/>
        </w:rPr>
        <w:t>three years</w:t>
      </w:r>
      <w:r w:rsidR="00181BC5">
        <w:rPr>
          <w:lang w:val="en-US"/>
        </w:rPr>
        <w:t xml:space="preserve"> long</w:t>
      </w:r>
      <w:r>
        <w:rPr>
          <w:lang w:val="en-US"/>
        </w:rPr>
        <w:t xml:space="preserve">, </w:t>
      </w:r>
      <w:r w:rsidRPr="00F76698">
        <w:rPr>
          <w:lang w:val="en-US"/>
        </w:rPr>
        <w:t>2023-2025</w:t>
      </w:r>
      <w:r w:rsidR="00181BC5">
        <w:rPr>
          <w:lang w:val="en-US"/>
        </w:rPr>
        <w:t xml:space="preserve">. </w:t>
      </w:r>
    </w:p>
  </w:footnote>
  <w:footnote w:id="5">
    <w:p w14:paraId="7B2C1DAD" w14:textId="235D5393" w:rsidR="009F6E26" w:rsidRPr="009F6E26" w:rsidRDefault="009F6E26" w:rsidP="009F6E26">
      <w:pPr>
        <w:pStyle w:val="FootnoteText"/>
        <w:spacing w:after="120"/>
        <w:rPr>
          <w:lang w:val="en-US"/>
        </w:rPr>
      </w:pPr>
      <w:r>
        <w:rPr>
          <w:rStyle w:val="FootnoteReference"/>
        </w:rPr>
        <w:footnoteRef/>
      </w:r>
      <w:r>
        <w:t xml:space="preserve"> This methodology has only been applied to </w:t>
      </w:r>
      <w:r w:rsidR="007B0882" w:rsidRPr="007B0882">
        <w:rPr>
          <w:i/>
          <w:iCs/>
        </w:rPr>
        <w:t>P</w:t>
      </w:r>
      <w:r w:rsidRPr="007B0882">
        <w:rPr>
          <w:i/>
          <w:iCs/>
        </w:rPr>
        <w:t>inus radiata</w:t>
      </w:r>
      <w:r>
        <w:t>, not all exotic species, as pine makes up the significant majority of approximately 85% of total exotic forest hectares</w:t>
      </w:r>
    </w:p>
  </w:footnote>
  <w:footnote w:id="6">
    <w:p w14:paraId="5E8CA60D" w14:textId="638355A2" w:rsidR="002771BB" w:rsidRDefault="002771BB">
      <w:pPr>
        <w:pStyle w:val="FootnoteText"/>
      </w:pPr>
      <w:r>
        <w:rPr>
          <w:rStyle w:val="FootnoteReference"/>
        </w:rPr>
        <w:footnoteRef/>
      </w:r>
      <w:r>
        <w:t xml:space="preserve"> </w:t>
      </w:r>
      <w:r w:rsidR="00C55D9E">
        <w:t xml:space="preserve">Post-1989 forestry participants are only required to submit an emissions return at the end of a Mandatory Emissions Reporting Period (MERP). </w:t>
      </w:r>
      <w:r w:rsidR="00FC6046">
        <w:t xml:space="preserve">However, on a voluntary basis they can submit </w:t>
      </w:r>
      <w:r w:rsidR="00F229EB">
        <w:t>provisional emissions returns more frequently</w:t>
      </w:r>
      <w:r w:rsidR="00047797">
        <w:t xml:space="preserve">. </w:t>
      </w:r>
      <w:r w:rsidR="00E2565D">
        <w:t xml:space="preserve">Provisional returns can be submitted </w:t>
      </w:r>
      <w:r w:rsidR="00F43AEE">
        <w:t xml:space="preserve">over 1 January – 30 June </w:t>
      </w:r>
      <w:r w:rsidR="00E2565D">
        <w:t xml:space="preserve">in the year </w:t>
      </w:r>
      <w:r w:rsidR="00F43AEE">
        <w:t xml:space="preserve">after the year </w:t>
      </w:r>
      <w:r w:rsidR="000F0F70">
        <w:t xml:space="preserve">covered by the </w:t>
      </w:r>
      <w:r w:rsidR="00F43AEE">
        <w:t xml:space="preserve">return. Note, </w:t>
      </w:r>
      <w:r w:rsidR="00C55D9E">
        <w:t xml:space="preserve">MERPs generally cover five years, although the current MERP (MERP4) covers only 2023-2025. </w:t>
      </w:r>
    </w:p>
  </w:footnote>
  <w:footnote w:id="7">
    <w:p w14:paraId="3520646A" w14:textId="77A47FF6" w:rsidR="00837BE4" w:rsidRPr="001E20DE" w:rsidRDefault="00837BE4">
      <w:pPr>
        <w:pStyle w:val="FootnoteText"/>
      </w:pPr>
      <w:r>
        <w:rPr>
          <w:rStyle w:val="FootnoteReference"/>
        </w:rPr>
        <w:footnoteRef/>
      </w:r>
      <w:r>
        <w:t xml:space="preserve"> </w:t>
      </w:r>
      <w:r w:rsidRPr="00C808FD">
        <w:rPr>
          <w:szCs w:val="18"/>
          <w:lang w:val="en-US"/>
        </w:rPr>
        <w:t xml:space="preserve">This graph does not show the estimated forestry units held for harvest or the annual holding </w:t>
      </w:r>
      <w:r>
        <w:rPr>
          <w:szCs w:val="18"/>
          <w:lang w:val="en-US"/>
        </w:rPr>
        <w:t xml:space="preserve">volume </w:t>
      </w:r>
      <w:r w:rsidRPr="001E20DE">
        <w:rPr>
          <w:szCs w:val="18"/>
          <w:lang w:val="en-US"/>
        </w:rPr>
        <w:t>(described below)</w:t>
      </w:r>
      <w:r w:rsidR="00D61654" w:rsidRPr="001E20DE">
        <w:rPr>
          <w:szCs w:val="18"/>
          <w:lang w:val="en-US"/>
        </w:rPr>
        <w:t xml:space="preserve">. These </w:t>
      </w:r>
      <w:r w:rsidRPr="001E20DE">
        <w:rPr>
          <w:szCs w:val="18"/>
          <w:lang w:val="en-US"/>
        </w:rPr>
        <w:t xml:space="preserve">categories of </w:t>
      </w:r>
      <w:r w:rsidR="00D61654" w:rsidRPr="001E20DE">
        <w:rPr>
          <w:szCs w:val="18"/>
          <w:lang w:val="en-US"/>
        </w:rPr>
        <w:t xml:space="preserve">units </w:t>
      </w:r>
      <w:r w:rsidRPr="001E20DE">
        <w:rPr>
          <w:szCs w:val="18"/>
          <w:lang w:val="en-US"/>
        </w:rPr>
        <w:t xml:space="preserve">are </w:t>
      </w:r>
      <w:r w:rsidR="000E6D3F" w:rsidRPr="001E20DE">
        <w:rPr>
          <w:szCs w:val="18"/>
          <w:lang w:val="en-US"/>
        </w:rPr>
        <w:t xml:space="preserve">directly </w:t>
      </w:r>
      <w:r w:rsidRPr="001E20DE">
        <w:rPr>
          <w:szCs w:val="18"/>
          <w:lang w:val="en-US"/>
        </w:rPr>
        <w:t>associated with surrender obligations</w:t>
      </w:r>
      <w:r w:rsidR="00313152" w:rsidRPr="001E20DE">
        <w:rPr>
          <w:szCs w:val="18"/>
          <w:lang w:val="en-US"/>
        </w:rPr>
        <w:t xml:space="preserve"> </w:t>
      </w:r>
      <w:r w:rsidRPr="001E20DE">
        <w:rPr>
          <w:szCs w:val="18"/>
          <w:lang w:val="en-US"/>
        </w:rPr>
        <w:t xml:space="preserve">and will not contribute to the surplus in the same way.   </w:t>
      </w:r>
    </w:p>
  </w:footnote>
  <w:footnote w:id="8">
    <w:p w14:paraId="4DA1485A" w14:textId="48D7383C" w:rsidR="00EF215F" w:rsidRDefault="00EF215F">
      <w:pPr>
        <w:pStyle w:val="FootnoteText"/>
      </w:pPr>
      <w:r w:rsidRPr="001E20DE">
        <w:rPr>
          <w:rStyle w:val="FootnoteReference"/>
        </w:rPr>
        <w:footnoteRef/>
      </w:r>
      <w:r w:rsidRPr="001E20DE">
        <w:t xml:space="preserve"> The </w:t>
      </w:r>
      <w:r w:rsidR="00F74587" w:rsidRPr="001E20DE">
        <w:t xml:space="preserve">ERP2 </w:t>
      </w:r>
      <w:r w:rsidRPr="001E20DE">
        <w:t xml:space="preserve">emissions projections </w:t>
      </w:r>
      <w:r w:rsidR="003B6212" w:rsidRPr="001E20DE">
        <w:t xml:space="preserve">did not provide a breakdown </w:t>
      </w:r>
      <w:r w:rsidR="00AC1DC5" w:rsidRPr="001E20DE">
        <w:t>of</w:t>
      </w:r>
      <w:r w:rsidR="00986C25" w:rsidRPr="001E20DE">
        <w:t xml:space="preserve"> non-transport energy</w:t>
      </w:r>
      <w:r w:rsidR="00AC1DC5" w:rsidRPr="001E20DE">
        <w:t xml:space="preserve"> emissions </w:t>
      </w:r>
      <w:r w:rsidR="00F84573" w:rsidRPr="001E20DE">
        <w:t>by fuel type</w:t>
      </w:r>
      <w:r w:rsidR="007508FA" w:rsidRPr="00CE420A">
        <w:t xml:space="preserve"> to apportion the emissions reductions by sector.</w:t>
      </w:r>
      <w:r w:rsidR="00AC1DC5" w:rsidRPr="001E20DE">
        <w:t xml:space="preserve"> </w:t>
      </w:r>
      <w:r w:rsidR="007508FA" w:rsidRPr="00CE420A">
        <w:t>S</w:t>
      </w:r>
      <w:r w:rsidR="00AC1DC5" w:rsidRPr="001E20DE">
        <w:t xml:space="preserve">o </w:t>
      </w:r>
      <w:r w:rsidR="00492A7F" w:rsidRPr="001E20DE">
        <w:t>we also applied</w:t>
      </w:r>
      <w:r w:rsidR="000216C2" w:rsidRPr="001E20DE">
        <w:t xml:space="preserve"> an </w:t>
      </w:r>
      <w:r w:rsidR="00216552" w:rsidRPr="001E20DE">
        <w:t>assum</w:t>
      </w:r>
      <w:r w:rsidR="000D67A0" w:rsidRPr="00CE420A">
        <w:t xml:space="preserve">ption </w:t>
      </w:r>
      <w:r w:rsidR="00A31130" w:rsidRPr="00CE420A">
        <w:t xml:space="preserve">that these reductions </w:t>
      </w:r>
      <w:r w:rsidR="00483C26" w:rsidRPr="00CE420A">
        <w:t xml:space="preserve">match the relative shares of those emissions </w:t>
      </w:r>
      <w:r w:rsidR="005F7292" w:rsidRPr="001E20DE">
        <w:t xml:space="preserve">from the Commission’s modelled demonstration path from </w:t>
      </w:r>
      <w:r w:rsidR="00386399" w:rsidRPr="001E20DE">
        <w:t>our advice on the fourth emissions budget.</w:t>
      </w:r>
      <w:r w:rsidR="00386399">
        <w:t xml:space="preserve"> </w:t>
      </w:r>
      <w:r w:rsidR="00CF6F17">
        <w:t xml:space="preserve"> </w:t>
      </w:r>
      <w:r w:rsidR="000216C2">
        <w:t xml:space="preserve"> </w:t>
      </w:r>
      <w:r w:rsidR="00492A7F">
        <w:t xml:space="preserve"> </w:t>
      </w:r>
      <w:r w:rsidR="00F84573">
        <w:t xml:space="preserve"> </w:t>
      </w:r>
      <w:r>
        <w:t xml:space="preserve"> </w:t>
      </w:r>
    </w:p>
  </w:footnote>
  <w:footnote w:id="9">
    <w:p w14:paraId="651EC318" w14:textId="4203E1A7" w:rsidR="00EF7BB0" w:rsidRDefault="00EF7BB0">
      <w:pPr>
        <w:pStyle w:val="FootnoteText"/>
      </w:pPr>
      <w:r>
        <w:rPr>
          <w:rStyle w:val="FootnoteReference"/>
        </w:rPr>
        <w:footnoteRef/>
      </w:r>
      <w:r>
        <w:t xml:space="preserve"> More specifically, we assume that the units to be surrendered exist in the stockpile by the end of the calendar year. Whether they are held by emitters directly, indirectly via third parties, or are yet to be purchased does not affect the overall calculation of the surplus so long as the units are in the registry.</w:t>
      </w:r>
    </w:p>
  </w:footnote>
  <w:footnote w:id="10">
    <w:p w14:paraId="66B447E4" w14:textId="160024E7" w:rsidR="000A087F" w:rsidRDefault="000A087F">
      <w:pPr>
        <w:pStyle w:val="FootnoteText"/>
      </w:pPr>
      <w:r>
        <w:rPr>
          <w:rStyle w:val="FootnoteReference"/>
        </w:rPr>
        <w:footnoteRef/>
      </w:r>
      <w:r>
        <w:t xml:space="preserve"> The data that we have categorises a return as </w:t>
      </w:r>
      <w:r w:rsidR="00E61965">
        <w:t>‘an allocation’ or ‘a surrender’ based on the net impact</w:t>
      </w:r>
      <w:r w:rsidR="004347D0">
        <w:t xml:space="preserve"> </w:t>
      </w:r>
      <w:r w:rsidR="006833AB">
        <w:t>of the return across all of it</w:t>
      </w:r>
      <w:r w:rsidR="004B171A">
        <w:t>s forest areas.</w:t>
      </w:r>
      <w:r w:rsidR="00326613">
        <w:t xml:space="preserve"> </w:t>
      </w:r>
      <w:r w:rsidR="00655FBD">
        <w:t>I</w:t>
      </w:r>
      <w:r w:rsidR="00326613">
        <w:t xml:space="preserve">n an emissions return </w:t>
      </w:r>
      <w:r w:rsidR="009A5A94">
        <w:t>surrender</w:t>
      </w:r>
      <w:r w:rsidR="00C46BEB">
        <w:t xml:space="preserve"> obligations and allocations can be netted of</w:t>
      </w:r>
      <w:r w:rsidR="00380551">
        <w:t>f</w:t>
      </w:r>
      <w:r w:rsidR="00C46BEB">
        <w:t xml:space="preserve"> against one another.</w:t>
      </w:r>
    </w:p>
  </w:footnote>
  <w:footnote w:id="11">
    <w:p w14:paraId="7B016624" w14:textId="7C90E016" w:rsidR="005167FF" w:rsidRDefault="005167FF">
      <w:pPr>
        <w:pStyle w:val="FootnoteText"/>
      </w:pPr>
      <w:r>
        <w:rPr>
          <w:rStyle w:val="FootnoteReference"/>
        </w:rPr>
        <w:footnoteRef/>
      </w:r>
      <w:r>
        <w:t xml:space="preserve"> </w:t>
      </w:r>
      <w:r w:rsidRPr="005167FF">
        <w:t xml:space="preserve">The current unit limit regulations are set out in Schedule 3 of the Climate Change (Auctions, Limits, and Price Controls for Units) Regulations 2020 available on the New Zealand Legislation website: </w:t>
      </w:r>
      <w:hyperlink r:id="rId1" w:history="1">
        <w:r w:rsidR="00FA1427" w:rsidRPr="006D323E">
          <w:rPr>
            <w:rStyle w:val="Hyperlink"/>
          </w:rPr>
          <w:t>https://www.legislation.govt.nz/regulation/public/2020/0264/latest/LMS375230.html?src=qs</w:t>
        </w:r>
      </w:hyperlink>
      <w:r w:rsidRPr="005167FF">
        <w:t>.</w:t>
      </w:r>
      <w:r>
        <w:t xml:space="preserve"> </w:t>
      </w:r>
    </w:p>
  </w:footnote>
  <w:footnote w:id="12">
    <w:p w14:paraId="77C05C72" w14:textId="68D1A073" w:rsidR="002B01C2" w:rsidRDefault="002B01C2">
      <w:pPr>
        <w:pStyle w:val="FootnoteText"/>
      </w:pPr>
      <w:r>
        <w:rPr>
          <w:rStyle w:val="FootnoteReference"/>
        </w:rPr>
        <w:footnoteRef/>
      </w:r>
      <w:r>
        <w:t xml:space="preserve"> Sign convention used to show differences here reflect</w:t>
      </w:r>
      <w:r w:rsidR="004F1191">
        <w:t>s</w:t>
      </w:r>
      <w:r>
        <w:t xml:space="preserve"> the impact of each change on auction volumes. Differences for 2030 are estimated against the </w:t>
      </w:r>
      <w:r w:rsidR="0028635A">
        <w:t xml:space="preserve">forecast </w:t>
      </w:r>
      <w:r w:rsidR="004F1191">
        <w:t xml:space="preserve">values </w:t>
      </w:r>
      <w:r w:rsidR="0028635A">
        <w:t>for 2030 from our</w:t>
      </w:r>
      <w:r w:rsidR="004F1191">
        <w:t xml:space="preserve"> 2024 </w:t>
      </w:r>
      <w:r w:rsidR="0028635A">
        <w:t>advice</w:t>
      </w:r>
      <w:r w:rsidR="004F1191">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4E26"/>
    <w:multiLevelType w:val="hybridMultilevel"/>
    <w:tmpl w:val="9E56E2AC"/>
    <w:lvl w:ilvl="0" w:tplc="14090001">
      <w:start w:val="1"/>
      <w:numFmt w:val="bullet"/>
      <w:lvlText w:val=""/>
      <w:lvlJc w:val="left"/>
      <w:pPr>
        <w:ind w:left="1080" w:hanging="360"/>
      </w:pPr>
      <w:rPr>
        <w:rFonts w:ascii="Calibri Light" w:hAnsi="Calibri Light" w:hint="default"/>
      </w:rPr>
    </w:lvl>
    <w:lvl w:ilvl="1" w:tplc="14090003" w:tentative="1">
      <w:start w:val="1"/>
      <w:numFmt w:val="bullet"/>
      <w:lvlText w:val="o"/>
      <w:lvlJc w:val="left"/>
      <w:pPr>
        <w:ind w:left="1800" w:hanging="360"/>
      </w:pPr>
      <w:rPr>
        <w:rFonts w:ascii="Arial" w:hAnsi="Arial" w:cs="Arial" w:hint="default"/>
      </w:rPr>
    </w:lvl>
    <w:lvl w:ilvl="2" w:tplc="14090005" w:tentative="1">
      <w:start w:val="1"/>
      <w:numFmt w:val="bullet"/>
      <w:lvlText w:val=""/>
      <w:lvlJc w:val="left"/>
      <w:pPr>
        <w:ind w:left="2520" w:hanging="360"/>
      </w:pPr>
      <w:rPr>
        <w:rFonts w:ascii="Segoe UI" w:hAnsi="Segoe UI" w:hint="default"/>
      </w:rPr>
    </w:lvl>
    <w:lvl w:ilvl="3" w:tplc="14090001" w:tentative="1">
      <w:start w:val="1"/>
      <w:numFmt w:val="bullet"/>
      <w:lvlText w:val=""/>
      <w:lvlJc w:val="left"/>
      <w:pPr>
        <w:ind w:left="3240" w:hanging="360"/>
      </w:pPr>
      <w:rPr>
        <w:rFonts w:ascii="Calibri Light" w:hAnsi="Calibri Light" w:hint="default"/>
      </w:rPr>
    </w:lvl>
    <w:lvl w:ilvl="4" w:tplc="14090003" w:tentative="1">
      <w:start w:val="1"/>
      <w:numFmt w:val="bullet"/>
      <w:lvlText w:val="o"/>
      <w:lvlJc w:val="left"/>
      <w:pPr>
        <w:ind w:left="3960" w:hanging="360"/>
      </w:pPr>
      <w:rPr>
        <w:rFonts w:ascii="Arial" w:hAnsi="Arial" w:cs="Arial" w:hint="default"/>
      </w:rPr>
    </w:lvl>
    <w:lvl w:ilvl="5" w:tplc="14090005" w:tentative="1">
      <w:start w:val="1"/>
      <w:numFmt w:val="bullet"/>
      <w:lvlText w:val=""/>
      <w:lvlJc w:val="left"/>
      <w:pPr>
        <w:ind w:left="4680" w:hanging="360"/>
      </w:pPr>
      <w:rPr>
        <w:rFonts w:ascii="Segoe UI" w:hAnsi="Segoe UI" w:hint="default"/>
      </w:rPr>
    </w:lvl>
    <w:lvl w:ilvl="6" w:tplc="14090001" w:tentative="1">
      <w:start w:val="1"/>
      <w:numFmt w:val="bullet"/>
      <w:lvlText w:val=""/>
      <w:lvlJc w:val="left"/>
      <w:pPr>
        <w:ind w:left="5400" w:hanging="360"/>
      </w:pPr>
      <w:rPr>
        <w:rFonts w:ascii="Calibri Light" w:hAnsi="Calibri Light" w:hint="default"/>
      </w:rPr>
    </w:lvl>
    <w:lvl w:ilvl="7" w:tplc="14090003" w:tentative="1">
      <w:start w:val="1"/>
      <w:numFmt w:val="bullet"/>
      <w:lvlText w:val="o"/>
      <w:lvlJc w:val="left"/>
      <w:pPr>
        <w:ind w:left="6120" w:hanging="360"/>
      </w:pPr>
      <w:rPr>
        <w:rFonts w:ascii="Arial" w:hAnsi="Arial" w:cs="Arial" w:hint="default"/>
      </w:rPr>
    </w:lvl>
    <w:lvl w:ilvl="8" w:tplc="14090005" w:tentative="1">
      <w:start w:val="1"/>
      <w:numFmt w:val="bullet"/>
      <w:lvlText w:val=""/>
      <w:lvlJc w:val="left"/>
      <w:pPr>
        <w:ind w:left="6840" w:hanging="360"/>
      </w:pPr>
      <w:rPr>
        <w:rFonts w:ascii="Segoe UI" w:hAnsi="Segoe UI" w:hint="default"/>
      </w:rPr>
    </w:lvl>
  </w:abstractNum>
  <w:abstractNum w:abstractNumId="1" w15:restartNumberingAfterBreak="0">
    <w:nsid w:val="041B3E99"/>
    <w:multiLevelType w:val="hybridMultilevel"/>
    <w:tmpl w:val="6E1A7DF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7FC0E89"/>
    <w:multiLevelType w:val="hybridMultilevel"/>
    <w:tmpl w:val="99608A96"/>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3" w15:restartNumberingAfterBreak="0">
    <w:nsid w:val="09FC3298"/>
    <w:multiLevelType w:val="hybridMultilevel"/>
    <w:tmpl w:val="074665EC"/>
    <w:lvl w:ilvl="0" w:tplc="8796F872">
      <w:start w:val="1"/>
      <w:numFmt w:val="bullet"/>
      <w:pStyle w:val="Bodybullets"/>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4" w15:restartNumberingAfterBreak="0">
    <w:nsid w:val="0A84094E"/>
    <w:multiLevelType w:val="hybridMultilevel"/>
    <w:tmpl w:val="3B06A1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E81ED0"/>
    <w:multiLevelType w:val="hybridMultilevel"/>
    <w:tmpl w:val="90802A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C344936"/>
    <w:multiLevelType w:val="hybridMultilevel"/>
    <w:tmpl w:val="C6F66FE2"/>
    <w:lvl w:ilvl="0" w:tplc="1DCA232A">
      <w:numFmt w:val="bullet"/>
      <w:lvlText w:val="-"/>
      <w:lvlJc w:val="left"/>
      <w:pPr>
        <w:ind w:left="1080" w:hanging="360"/>
      </w:pPr>
      <w:rPr>
        <w:rFonts w:ascii="Calibri-Light" w:eastAsiaTheme="minorHAnsi" w:hAnsi="Calibri-Light" w:cs="Calibri-Light" w:hint="default"/>
      </w:rPr>
    </w:lvl>
    <w:lvl w:ilvl="1" w:tplc="14090003" w:tentative="1">
      <w:start w:val="1"/>
      <w:numFmt w:val="bullet"/>
      <w:lvlText w:val="o"/>
      <w:lvlJc w:val="left"/>
      <w:pPr>
        <w:ind w:left="1800" w:hanging="360"/>
      </w:pPr>
      <w:rPr>
        <w:rFonts w:ascii="Arial" w:hAnsi="Arial" w:cs="Arial" w:hint="default"/>
      </w:rPr>
    </w:lvl>
    <w:lvl w:ilvl="2" w:tplc="14090005" w:tentative="1">
      <w:start w:val="1"/>
      <w:numFmt w:val="bullet"/>
      <w:lvlText w:val=""/>
      <w:lvlJc w:val="left"/>
      <w:pPr>
        <w:ind w:left="2520" w:hanging="360"/>
      </w:pPr>
      <w:rPr>
        <w:rFonts w:ascii="Segoe UI" w:hAnsi="Segoe UI" w:hint="default"/>
      </w:rPr>
    </w:lvl>
    <w:lvl w:ilvl="3" w:tplc="14090001" w:tentative="1">
      <w:start w:val="1"/>
      <w:numFmt w:val="bullet"/>
      <w:lvlText w:val=""/>
      <w:lvlJc w:val="left"/>
      <w:pPr>
        <w:ind w:left="3240" w:hanging="360"/>
      </w:pPr>
      <w:rPr>
        <w:rFonts w:ascii="Calibri Light" w:hAnsi="Calibri Light" w:hint="default"/>
      </w:rPr>
    </w:lvl>
    <w:lvl w:ilvl="4" w:tplc="14090003" w:tentative="1">
      <w:start w:val="1"/>
      <w:numFmt w:val="bullet"/>
      <w:lvlText w:val="o"/>
      <w:lvlJc w:val="left"/>
      <w:pPr>
        <w:ind w:left="3960" w:hanging="360"/>
      </w:pPr>
      <w:rPr>
        <w:rFonts w:ascii="Arial" w:hAnsi="Arial" w:cs="Arial" w:hint="default"/>
      </w:rPr>
    </w:lvl>
    <w:lvl w:ilvl="5" w:tplc="14090005" w:tentative="1">
      <w:start w:val="1"/>
      <w:numFmt w:val="bullet"/>
      <w:lvlText w:val=""/>
      <w:lvlJc w:val="left"/>
      <w:pPr>
        <w:ind w:left="4680" w:hanging="360"/>
      </w:pPr>
      <w:rPr>
        <w:rFonts w:ascii="Segoe UI" w:hAnsi="Segoe UI" w:hint="default"/>
      </w:rPr>
    </w:lvl>
    <w:lvl w:ilvl="6" w:tplc="14090001" w:tentative="1">
      <w:start w:val="1"/>
      <w:numFmt w:val="bullet"/>
      <w:lvlText w:val=""/>
      <w:lvlJc w:val="left"/>
      <w:pPr>
        <w:ind w:left="5400" w:hanging="360"/>
      </w:pPr>
      <w:rPr>
        <w:rFonts w:ascii="Calibri Light" w:hAnsi="Calibri Light" w:hint="default"/>
      </w:rPr>
    </w:lvl>
    <w:lvl w:ilvl="7" w:tplc="14090003" w:tentative="1">
      <w:start w:val="1"/>
      <w:numFmt w:val="bullet"/>
      <w:lvlText w:val="o"/>
      <w:lvlJc w:val="left"/>
      <w:pPr>
        <w:ind w:left="6120" w:hanging="360"/>
      </w:pPr>
      <w:rPr>
        <w:rFonts w:ascii="Arial" w:hAnsi="Arial" w:cs="Arial" w:hint="default"/>
      </w:rPr>
    </w:lvl>
    <w:lvl w:ilvl="8" w:tplc="14090005" w:tentative="1">
      <w:start w:val="1"/>
      <w:numFmt w:val="bullet"/>
      <w:lvlText w:val=""/>
      <w:lvlJc w:val="left"/>
      <w:pPr>
        <w:ind w:left="6840" w:hanging="360"/>
      </w:pPr>
      <w:rPr>
        <w:rFonts w:ascii="Segoe UI" w:hAnsi="Segoe UI" w:hint="default"/>
      </w:rPr>
    </w:lvl>
  </w:abstractNum>
  <w:abstractNum w:abstractNumId="7" w15:restartNumberingAfterBreak="0">
    <w:nsid w:val="10E71FBE"/>
    <w:multiLevelType w:val="hybridMultilevel"/>
    <w:tmpl w:val="D25C9BA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A46981"/>
    <w:multiLevelType w:val="hybridMultilevel"/>
    <w:tmpl w:val="847894CA"/>
    <w:lvl w:ilvl="0" w:tplc="4768C816">
      <w:start w:val="1"/>
      <w:numFmt w:val="bullet"/>
      <w:lvlText w:val="•"/>
      <w:lvlJc w:val="left"/>
      <w:pPr>
        <w:ind w:left="720" w:hanging="360"/>
      </w:pPr>
      <w:rPr>
        <w:rFonts w:ascii="Yu Mincho" w:hAnsi="Yu Mincho"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9" w15:restartNumberingAfterBreak="0">
    <w:nsid w:val="1A850CE0"/>
    <w:multiLevelType w:val="hybridMultilevel"/>
    <w:tmpl w:val="9A6455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B8500CC"/>
    <w:multiLevelType w:val="hybridMultilevel"/>
    <w:tmpl w:val="8D101608"/>
    <w:lvl w:ilvl="0" w:tplc="1DCA232A">
      <w:numFmt w:val="bullet"/>
      <w:lvlText w:val="-"/>
      <w:lvlJc w:val="left"/>
      <w:pPr>
        <w:ind w:left="720" w:hanging="360"/>
      </w:pPr>
      <w:rPr>
        <w:rFonts w:ascii="Calibri-Light" w:eastAsiaTheme="minorHAnsi" w:hAnsi="Calibri-Light" w:cs="Calibri-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11" w15:restartNumberingAfterBreak="0">
    <w:nsid w:val="21D63972"/>
    <w:multiLevelType w:val="hybridMultilevel"/>
    <w:tmpl w:val="1E30668C"/>
    <w:lvl w:ilvl="0" w:tplc="1DCA232A">
      <w:start w:val="6"/>
      <w:numFmt w:val="bullet"/>
      <w:lvlText w:val="-"/>
      <w:lvlJc w:val="left"/>
      <w:pPr>
        <w:ind w:left="720" w:hanging="360"/>
      </w:pPr>
      <w:rPr>
        <w:rFonts w:ascii="Calibri-Light" w:eastAsiaTheme="minorHAnsi" w:hAnsi="Calibri-Light" w:cs="Calibri-Light" w:hint="default"/>
      </w:rPr>
    </w:lvl>
    <w:lvl w:ilvl="1" w:tplc="14090003">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12" w15:restartNumberingAfterBreak="0">
    <w:nsid w:val="21E461D4"/>
    <w:multiLevelType w:val="hybridMultilevel"/>
    <w:tmpl w:val="9CF02C1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23EE0B43"/>
    <w:multiLevelType w:val="hybridMultilevel"/>
    <w:tmpl w:val="ED08F688"/>
    <w:lvl w:ilvl="0" w:tplc="14090001">
      <w:start w:val="1"/>
      <w:numFmt w:val="bullet"/>
      <w:lvlText w:val=""/>
      <w:lvlJc w:val="left"/>
      <w:pPr>
        <w:ind w:left="720" w:hanging="360"/>
      </w:pPr>
      <w:rPr>
        <w:rFonts w:ascii="Calibri Light" w:hAnsi="Calibri Light" w:hint="default"/>
      </w:rPr>
    </w:lvl>
    <w:lvl w:ilvl="1" w:tplc="FFFFFFFF">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14" w15:restartNumberingAfterBreak="0">
    <w:nsid w:val="24645A50"/>
    <w:multiLevelType w:val="hybridMultilevel"/>
    <w:tmpl w:val="D0B42C5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5F437DB"/>
    <w:multiLevelType w:val="hybridMultilevel"/>
    <w:tmpl w:val="211CA48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6" w15:restartNumberingAfterBreak="0">
    <w:nsid w:val="261E0A73"/>
    <w:multiLevelType w:val="hybridMultilevel"/>
    <w:tmpl w:val="3176DD1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2A3B52E8"/>
    <w:multiLevelType w:val="hybridMultilevel"/>
    <w:tmpl w:val="B6FA0C1A"/>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18" w15:restartNumberingAfterBreak="0">
    <w:nsid w:val="2C1D2148"/>
    <w:multiLevelType w:val="hybridMultilevel"/>
    <w:tmpl w:val="D916CCE0"/>
    <w:lvl w:ilvl="0" w:tplc="04810001">
      <w:start w:val="1"/>
      <w:numFmt w:val="bullet"/>
      <w:lvlText w:val=""/>
      <w:lvlJc w:val="left"/>
      <w:pPr>
        <w:ind w:left="720" w:hanging="360"/>
      </w:pPr>
      <w:rPr>
        <w:rFonts w:ascii="Calibri Light" w:hAnsi="Calibri Light" w:hint="default"/>
      </w:rPr>
    </w:lvl>
    <w:lvl w:ilvl="1" w:tplc="04810003" w:tentative="1">
      <w:start w:val="1"/>
      <w:numFmt w:val="bullet"/>
      <w:lvlText w:val="o"/>
      <w:lvlJc w:val="left"/>
      <w:pPr>
        <w:ind w:left="1440" w:hanging="360"/>
      </w:pPr>
      <w:rPr>
        <w:rFonts w:ascii="Arial" w:hAnsi="Arial" w:cs="Arial" w:hint="default"/>
      </w:rPr>
    </w:lvl>
    <w:lvl w:ilvl="2" w:tplc="04810005" w:tentative="1">
      <w:start w:val="1"/>
      <w:numFmt w:val="bullet"/>
      <w:lvlText w:val=""/>
      <w:lvlJc w:val="left"/>
      <w:pPr>
        <w:ind w:left="2160" w:hanging="360"/>
      </w:pPr>
      <w:rPr>
        <w:rFonts w:ascii="Segoe UI" w:hAnsi="Segoe UI" w:hint="default"/>
      </w:rPr>
    </w:lvl>
    <w:lvl w:ilvl="3" w:tplc="04810001" w:tentative="1">
      <w:start w:val="1"/>
      <w:numFmt w:val="bullet"/>
      <w:lvlText w:val=""/>
      <w:lvlJc w:val="left"/>
      <w:pPr>
        <w:ind w:left="2880" w:hanging="360"/>
      </w:pPr>
      <w:rPr>
        <w:rFonts w:ascii="Calibri Light" w:hAnsi="Calibri Light" w:hint="default"/>
      </w:rPr>
    </w:lvl>
    <w:lvl w:ilvl="4" w:tplc="04810003" w:tentative="1">
      <w:start w:val="1"/>
      <w:numFmt w:val="bullet"/>
      <w:lvlText w:val="o"/>
      <w:lvlJc w:val="left"/>
      <w:pPr>
        <w:ind w:left="3600" w:hanging="360"/>
      </w:pPr>
      <w:rPr>
        <w:rFonts w:ascii="Arial" w:hAnsi="Arial" w:cs="Arial" w:hint="default"/>
      </w:rPr>
    </w:lvl>
    <w:lvl w:ilvl="5" w:tplc="04810005" w:tentative="1">
      <w:start w:val="1"/>
      <w:numFmt w:val="bullet"/>
      <w:lvlText w:val=""/>
      <w:lvlJc w:val="left"/>
      <w:pPr>
        <w:ind w:left="4320" w:hanging="360"/>
      </w:pPr>
      <w:rPr>
        <w:rFonts w:ascii="Segoe UI" w:hAnsi="Segoe UI" w:hint="default"/>
      </w:rPr>
    </w:lvl>
    <w:lvl w:ilvl="6" w:tplc="04810001" w:tentative="1">
      <w:start w:val="1"/>
      <w:numFmt w:val="bullet"/>
      <w:lvlText w:val=""/>
      <w:lvlJc w:val="left"/>
      <w:pPr>
        <w:ind w:left="5040" w:hanging="360"/>
      </w:pPr>
      <w:rPr>
        <w:rFonts w:ascii="Calibri Light" w:hAnsi="Calibri Light" w:hint="default"/>
      </w:rPr>
    </w:lvl>
    <w:lvl w:ilvl="7" w:tplc="04810003" w:tentative="1">
      <w:start w:val="1"/>
      <w:numFmt w:val="bullet"/>
      <w:lvlText w:val="o"/>
      <w:lvlJc w:val="left"/>
      <w:pPr>
        <w:ind w:left="5760" w:hanging="360"/>
      </w:pPr>
      <w:rPr>
        <w:rFonts w:ascii="Arial" w:hAnsi="Arial" w:cs="Arial" w:hint="default"/>
      </w:rPr>
    </w:lvl>
    <w:lvl w:ilvl="8" w:tplc="04810005" w:tentative="1">
      <w:start w:val="1"/>
      <w:numFmt w:val="bullet"/>
      <w:lvlText w:val=""/>
      <w:lvlJc w:val="left"/>
      <w:pPr>
        <w:ind w:left="6480" w:hanging="360"/>
      </w:pPr>
      <w:rPr>
        <w:rFonts w:ascii="Segoe UI" w:hAnsi="Segoe UI" w:hint="default"/>
      </w:rPr>
    </w:lvl>
  </w:abstractNum>
  <w:abstractNum w:abstractNumId="19" w15:restartNumberingAfterBreak="0">
    <w:nsid w:val="2C5B5920"/>
    <w:multiLevelType w:val="hybridMultilevel"/>
    <w:tmpl w:val="F4EA7B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2CE74AF5"/>
    <w:multiLevelType w:val="hybridMultilevel"/>
    <w:tmpl w:val="3412F5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F1450C5"/>
    <w:multiLevelType w:val="hybridMultilevel"/>
    <w:tmpl w:val="D03402C4"/>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22" w15:restartNumberingAfterBreak="0">
    <w:nsid w:val="311C3D69"/>
    <w:multiLevelType w:val="hybridMultilevel"/>
    <w:tmpl w:val="EEEC9690"/>
    <w:lvl w:ilvl="0" w:tplc="FFFFFFFF">
      <w:start w:val="1"/>
      <w:numFmt w:val="decimal"/>
      <w:lvlText w:val="%1."/>
      <w:lvlJc w:val="left"/>
      <w:pPr>
        <w:ind w:left="360" w:hanging="360"/>
      </w:pPr>
      <w:rPr>
        <w:b w:val="0"/>
        <w:bCs w:val="0"/>
        <w:i w:val="0"/>
        <w:iCs w:val="0"/>
        <w:color w:val="auto"/>
        <w:sz w:val="22"/>
        <w:szCs w:val="22"/>
      </w:rPr>
    </w:lvl>
    <w:lvl w:ilvl="1" w:tplc="FFFFFFFF">
      <w:start w:val="1"/>
      <w:numFmt w:val="bullet"/>
      <w:lvlText w:val=""/>
      <w:lvlJc w:val="left"/>
      <w:pPr>
        <w:ind w:left="1440" w:hanging="360"/>
      </w:pPr>
      <w:rPr>
        <w:rFonts w:ascii="Calibri Light" w:hAnsi="Calibri Light" w:hint="default"/>
      </w:rPr>
    </w:lvl>
    <w:lvl w:ilvl="2" w:tplc="FFFFFFFF">
      <w:start w:val="1"/>
      <w:numFmt w:val="bullet"/>
      <w:lvlText w:val=""/>
      <w:lvlJc w:val="left"/>
      <w:pPr>
        <w:ind w:left="1440" w:hanging="360"/>
      </w:pPr>
      <w:rPr>
        <w:rFonts w:ascii="Calibri Light" w:hAnsi="Calibri Light" w:hint="default"/>
      </w:rPr>
    </w:lvl>
    <w:lvl w:ilvl="3" w:tplc="FFFFFFFF">
      <w:start w:val="1"/>
      <w:numFmt w:val="bullet"/>
      <w:lvlText w:val="o"/>
      <w:lvlJc w:val="left"/>
      <w:pPr>
        <w:ind w:left="2880" w:hanging="360"/>
      </w:pPr>
      <w:rPr>
        <w:rFonts w:ascii="Arial" w:hAnsi="Arial" w:cs="Aria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A7030E"/>
    <w:multiLevelType w:val="hybridMultilevel"/>
    <w:tmpl w:val="9AE6E106"/>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24" w15:restartNumberingAfterBreak="0">
    <w:nsid w:val="31BC2D2A"/>
    <w:multiLevelType w:val="hybridMultilevel"/>
    <w:tmpl w:val="DC90F9A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33800206"/>
    <w:multiLevelType w:val="hybridMultilevel"/>
    <w:tmpl w:val="B9C8D6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81706BF"/>
    <w:multiLevelType w:val="hybridMultilevel"/>
    <w:tmpl w:val="8F2C227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27" w15:restartNumberingAfterBreak="0">
    <w:nsid w:val="381E06AF"/>
    <w:multiLevelType w:val="hybridMultilevel"/>
    <w:tmpl w:val="2C029E1C"/>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28" w15:restartNumberingAfterBreak="0">
    <w:nsid w:val="396D5225"/>
    <w:multiLevelType w:val="hybridMultilevel"/>
    <w:tmpl w:val="AEC2CE6E"/>
    <w:lvl w:ilvl="0" w:tplc="DE3C1F08">
      <w:start w:val="1"/>
      <w:numFmt w:val="bullet"/>
      <w:lvlText w:val=""/>
      <w:lvlJc w:val="left"/>
      <w:pPr>
        <w:ind w:left="720" w:hanging="360"/>
      </w:pPr>
      <w:rPr>
        <w:rFonts w:ascii="Calibri Light" w:hAnsi="Calibri Light" w:hint="default"/>
        <w:sz w:val="24"/>
        <w:szCs w:val="22"/>
      </w:rPr>
    </w:lvl>
    <w:lvl w:ilvl="1" w:tplc="FFFFFFFF">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29" w15:restartNumberingAfterBreak="0">
    <w:nsid w:val="3A07504C"/>
    <w:multiLevelType w:val="hybridMultilevel"/>
    <w:tmpl w:val="682601F8"/>
    <w:lvl w:ilvl="0" w:tplc="14090001">
      <w:start w:val="1"/>
      <w:numFmt w:val="bullet"/>
      <w:lvlText w:val=""/>
      <w:lvlJc w:val="left"/>
      <w:pPr>
        <w:ind w:left="774" w:hanging="360"/>
      </w:pPr>
      <w:rPr>
        <w:rFonts w:ascii="Calibri Light" w:hAnsi="Calibri Light" w:hint="default"/>
      </w:rPr>
    </w:lvl>
    <w:lvl w:ilvl="1" w:tplc="14090003" w:tentative="1">
      <w:start w:val="1"/>
      <w:numFmt w:val="bullet"/>
      <w:lvlText w:val="o"/>
      <w:lvlJc w:val="left"/>
      <w:pPr>
        <w:ind w:left="1494" w:hanging="360"/>
      </w:pPr>
      <w:rPr>
        <w:rFonts w:ascii="Arial" w:hAnsi="Arial" w:cs="Arial" w:hint="default"/>
      </w:rPr>
    </w:lvl>
    <w:lvl w:ilvl="2" w:tplc="14090005" w:tentative="1">
      <w:start w:val="1"/>
      <w:numFmt w:val="bullet"/>
      <w:lvlText w:val=""/>
      <w:lvlJc w:val="left"/>
      <w:pPr>
        <w:ind w:left="2214" w:hanging="360"/>
      </w:pPr>
      <w:rPr>
        <w:rFonts w:ascii="Segoe UI" w:hAnsi="Segoe UI" w:hint="default"/>
      </w:rPr>
    </w:lvl>
    <w:lvl w:ilvl="3" w:tplc="14090001" w:tentative="1">
      <w:start w:val="1"/>
      <w:numFmt w:val="bullet"/>
      <w:lvlText w:val=""/>
      <w:lvlJc w:val="left"/>
      <w:pPr>
        <w:ind w:left="2934" w:hanging="360"/>
      </w:pPr>
      <w:rPr>
        <w:rFonts w:ascii="Calibri Light" w:hAnsi="Calibri Light" w:hint="default"/>
      </w:rPr>
    </w:lvl>
    <w:lvl w:ilvl="4" w:tplc="14090003" w:tentative="1">
      <w:start w:val="1"/>
      <w:numFmt w:val="bullet"/>
      <w:lvlText w:val="o"/>
      <w:lvlJc w:val="left"/>
      <w:pPr>
        <w:ind w:left="3654" w:hanging="360"/>
      </w:pPr>
      <w:rPr>
        <w:rFonts w:ascii="Arial" w:hAnsi="Arial" w:cs="Arial" w:hint="default"/>
      </w:rPr>
    </w:lvl>
    <w:lvl w:ilvl="5" w:tplc="14090005" w:tentative="1">
      <w:start w:val="1"/>
      <w:numFmt w:val="bullet"/>
      <w:lvlText w:val=""/>
      <w:lvlJc w:val="left"/>
      <w:pPr>
        <w:ind w:left="4374" w:hanging="360"/>
      </w:pPr>
      <w:rPr>
        <w:rFonts w:ascii="Segoe UI" w:hAnsi="Segoe UI" w:hint="default"/>
      </w:rPr>
    </w:lvl>
    <w:lvl w:ilvl="6" w:tplc="14090001" w:tentative="1">
      <w:start w:val="1"/>
      <w:numFmt w:val="bullet"/>
      <w:lvlText w:val=""/>
      <w:lvlJc w:val="left"/>
      <w:pPr>
        <w:ind w:left="5094" w:hanging="360"/>
      </w:pPr>
      <w:rPr>
        <w:rFonts w:ascii="Calibri Light" w:hAnsi="Calibri Light" w:hint="default"/>
      </w:rPr>
    </w:lvl>
    <w:lvl w:ilvl="7" w:tplc="14090003" w:tentative="1">
      <w:start w:val="1"/>
      <w:numFmt w:val="bullet"/>
      <w:lvlText w:val="o"/>
      <w:lvlJc w:val="left"/>
      <w:pPr>
        <w:ind w:left="5814" w:hanging="360"/>
      </w:pPr>
      <w:rPr>
        <w:rFonts w:ascii="Arial" w:hAnsi="Arial" w:cs="Arial" w:hint="default"/>
      </w:rPr>
    </w:lvl>
    <w:lvl w:ilvl="8" w:tplc="14090005" w:tentative="1">
      <w:start w:val="1"/>
      <w:numFmt w:val="bullet"/>
      <w:lvlText w:val=""/>
      <w:lvlJc w:val="left"/>
      <w:pPr>
        <w:ind w:left="6534" w:hanging="360"/>
      </w:pPr>
      <w:rPr>
        <w:rFonts w:ascii="Segoe UI" w:hAnsi="Segoe UI" w:hint="default"/>
      </w:rPr>
    </w:lvl>
  </w:abstractNum>
  <w:abstractNum w:abstractNumId="30" w15:restartNumberingAfterBreak="0">
    <w:nsid w:val="3AFE675C"/>
    <w:multiLevelType w:val="hybridMultilevel"/>
    <w:tmpl w:val="25C2E16E"/>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31" w15:restartNumberingAfterBreak="0">
    <w:nsid w:val="3B6D7D8E"/>
    <w:multiLevelType w:val="hybridMultilevel"/>
    <w:tmpl w:val="3F22600E"/>
    <w:lvl w:ilvl="0" w:tplc="5DC26312">
      <w:start w:val="6"/>
      <w:numFmt w:val="bullet"/>
      <w:lvlText w:val="-"/>
      <w:lvlJc w:val="left"/>
      <w:pPr>
        <w:ind w:left="720" w:hanging="360"/>
      </w:pPr>
      <w:rPr>
        <w:rFonts w:ascii="Calibri-Light" w:eastAsiaTheme="minorHAnsi" w:hAnsi="Calibri-Light" w:cs="Calibri-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32" w15:restartNumberingAfterBreak="0">
    <w:nsid w:val="457F6578"/>
    <w:multiLevelType w:val="hybridMultilevel"/>
    <w:tmpl w:val="42B8020E"/>
    <w:lvl w:ilvl="0" w:tplc="C33C6CFA">
      <w:numFmt w:val="bullet"/>
      <w:lvlText w:val="-"/>
      <w:lvlJc w:val="left"/>
      <w:pPr>
        <w:ind w:left="720" w:hanging="360"/>
      </w:pPr>
      <w:rPr>
        <w:rFonts w:ascii="Calibri-Light" w:eastAsiaTheme="minorHAnsi" w:hAnsi="Calibri-Light" w:cs="Calibri-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33" w15:restartNumberingAfterBreak="0">
    <w:nsid w:val="462D7635"/>
    <w:multiLevelType w:val="hybridMultilevel"/>
    <w:tmpl w:val="5D62E3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816363B"/>
    <w:multiLevelType w:val="hybridMultilevel"/>
    <w:tmpl w:val="45182B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8396A9C"/>
    <w:multiLevelType w:val="hybridMultilevel"/>
    <w:tmpl w:val="576AD778"/>
    <w:lvl w:ilvl="0" w:tplc="5DC26312">
      <w:start w:val="6"/>
      <w:numFmt w:val="bullet"/>
      <w:lvlText w:val="-"/>
      <w:lvlJc w:val="left"/>
      <w:pPr>
        <w:ind w:left="720" w:hanging="360"/>
      </w:pPr>
      <w:rPr>
        <w:rFonts w:ascii="Calibri-Light" w:eastAsiaTheme="minorHAnsi" w:hAnsi="Calibri-Light" w:cs="Calibri-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36" w15:restartNumberingAfterBreak="0">
    <w:nsid w:val="49BD2DB2"/>
    <w:multiLevelType w:val="hybridMultilevel"/>
    <w:tmpl w:val="195A0A22"/>
    <w:lvl w:ilvl="0" w:tplc="14090001">
      <w:start w:val="1"/>
      <w:numFmt w:val="bullet"/>
      <w:lvlText w:val=""/>
      <w:lvlJc w:val="left"/>
      <w:pPr>
        <w:ind w:left="720" w:hanging="360"/>
      </w:pPr>
      <w:rPr>
        <w:rFonts w:ascii="Calibri Light" w:hAnsi="Calibri Light" w:hint="default"/>
      </w:rPr>
    </w:lvl>
    <w:lvl w:ilvl="1" w:tplc="FFFFFFFF" w:tentative="1">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37" w15:restartNumberingAfterBreak="0">
    <w:nsid w:val="4B2927D2"/>
    <w:multiLevelType w:val="hybridMultilevel"/>
    <w:tmpl w:val="4D84515C"/>
    <w:lvl w:ilvl="0" w:tplc="14090001">
      <w:start w:val="1"/>
      <w:numFmt w:val="bullet"/>
      <w:lvlText w:val=""/>
      <w:lvlJc w:val="left"/>
      <w:pPr>
        <w:ind w:left="720" w:hanging="360"/>
      </w:pPr>
      <w:rPr>
        <w:rFonts w:ascii="Calibri Light" w:hAnsi="Calibri Light" w:hint="default"/>
      </w:rPr>
    </w:lvl>
    <w:lvl w:ilvl="1" w:tplc="FFFFFFFF">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38" w15:restartNumberingAfterBreak="0">
    <w:nsid w:val="4DC66B75"/>
    <w:multiLevelType w:val="hybridMultilevel"/>
    <w:tmpl w:val="9F9CADFC"/>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4E5A1636"/>
    <w:multiLevelType w:val="hybridMultilevel"/>
    <w:tmpl w:val="8308317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4E646A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4EF84F90"/>
    <w:multiLevelType w:val="hybridMultilevel"/>
    <w:tmpl w:val="3C862CC8"/>
    <w:lvl w:ilvl="0" w:tplc="6A7C9BE4">
      <w:start w:val="1"/>
      <w:numFmt w:val="bullet"/>
      <w:lvlText w:val=""/>
      <w:lvlJc w:val="left"/>
      <w:pPr>
        <w:ind w:left="1440" w:hanging="360"/>
      </w:pPr>
      <w:rPr>
        <w:rFonts w:ascii="Calibri Light" w:hAnsi="Calibri Light"/>
      </w:rPr>
    </w:lvl>
    <w:lvl w:ilvl="1" w:tplc="EB34AA9A">
      <w:start w:val="1"/>
      <w:numFmt w:val="bullet"/>
      <w:lvlText w:val=""/>
      <w:lvlJc w:val="left"/>
      <w:pPr>
        <w:ind w:left="1440" w:hanging="360"/>
      </w:pPr>
      <w:rPr>
        <w:rFonts w:ascii="Calibri Light" w:hAnsi="Calibri Light"/>
      </w:rPr>
    </w:lvl>
    <w:lvl w:ilvl="2" w:tplc="79FAD2A0">
      <w:start w:val="1"/>
      <w:numFmt w:val="bullet"/>
      <w:lvlText w:val=""/>
      <w:lvlJc w:val="left"/>
      <w:pPr>
        <w:ind w:left="1440" w:hanging="360"/>
      </w:pPr>
      <w:rPr>
        <w:rFonts w:ascii="Calibri Light" w:hAnsi="Calibri Light"/>
      </w:rPr>
    </w:lvl>
    <w:lvl w:ilvl="3" w:tplc="DCF66BC8">
      <w:start w:val="1"/>
      <w:numFmt w:val="bullet"/>
      <w:lvlText w:val=""/>
      <w:lvlJc w:val="left"/>
      <w:pPr>
        <w:ind w:left="1440" w:hanging="360"/>
      </w:pPr>
      <w:rPr>
        <w:rFonts w:ascii="Calibri Light" w:hAnsi="Calibri Light"/>
      </w:rPr>
    </w:lvl>
    <w:lvl w:ilvl="4" w:tplc="5E1CECC4">
      <w:start w:val="1"/>
      <w:numFmt w:val="bullet"/>
      <w:lvlText w:val=""/>
      <w:lvlJc w:val="left"/>
      <w:pPr>
        <w:ind w:left="1440" w:hanging="360"/>
      </w:pPr>
      <w:rPr>
        <w:rFonts w:ascii="Calibri Light" w:hAnsi="Calibri Light"/>
      </w:rPr>
    </w:lvl>
    <w:lvl w:ilvl="5" w:tplc="A7A26BA6">
      <w:start w:val="1"/>
      <w:numFmt w:val="bullet"/>
      <w:lvlText w:val=""/>
      <w:lvlJc w:val="left"/>
      <w:pPr>
        <w:ind w:left="1440" w:hanging="360"/>
      </w:pPr>
      <w:rPr>
        <w:rFonts w:ascii="Calibri Light" w:hAnsi="Calibri Light"/>
      </w:rPr>
    </w:lvl>
    <w:lvl w:ilvl="6" w:tplc="492ED7BA">
      <w:start w:val="1"/>
      <w:numFmt w:val="bullet"/>
      <w:lvlText w:val=""/>
      <w:lvlJc w:val="left"/>
      <w:pPr>
        <w:ind w:left="1440" w:hanging="360"/>
      </w:pPr>
      <w:rPr>
        <w:rFonts w:ascii="Calibri Light" w:hAnsi="Calibri Light"/>
      </w:rPr>
    </w:lvl>
    <w:lvl w:ilvl="7" w:tplc="745A080A">
      <w:start w:val="1"/>
      <w:numFmt w:val="bullet"/>
      <w:lvlText w:val=""/>
      <w:lvlJc w:val="left"/>
      <w:pPr>
        <w:ind w:left="1440" w:hanging="360"/>
      </w:pPr>
      <w:rPr>
        <w:rFonts w:ascii="Calibri Light" w:hAnsi="Calibri Light"/>
      </w:rPr>
    </w:lvl>
    <w:lvl w:ilvl="8" w:tplc="B74C6846">
      <w:start w:val="1"/>
      <w:numFmt w:val="bullet"/>
      <w:lvlText w:val=""/>
      <w:lvlJc w:val="left"/>
      <w:pPr>
        <w:ind w:left="1440" w:hanging="360"/>
      </w:pPr>
      <w:rPr>
        <w:rFonts w:ascii="Calibri Light" w:hAnsi="Calibri Light"/>
      </w:rPr>
    </w:lvl>
  </w:abstractNum>
  <w:abstractNum w:abstractNumId="42" w15:restartNumberingAfterBreak="0">
    <w:nsid w:val="4F9251F3"/>
    <w:multiLevelType w:val="hybridMultilevel"/>
    <w:tmpl w:val="50A66B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1544405"/>
    <w:multiLevelType w:val="hybridMultilevel"/>
    <w:tmpl w:val="8AB47D1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4" w15:restartNumberingAfterBreak="0">
    <w:nsid w:val="528F7686"/>
    <w:multiLevelType w:val="hybridMultilevel"/>
    <w:tmpl w:val="8E249754"/>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45" w15:restartNumberingAfterBreak="0">
    <w:nsid w:val="52C04E85"/>
    <w:multiLevelType w:val="hybridMultilevel"/>
    <w:tmpl w:val="795AD886"/>
    <w:lvl w:ilvl="0" w:tplc="14090001">
      <w:start w:val="1"/>
      <w:numFmt w:val="bullet"/>
      <w:lvlText w:val=""/>
      <w:lvlJc w:val="left"/>
      <w:pPr>
        <w:ind w:left="720" w:hanging="360"/>
      </w:pPr>
      <w:rPr>
        <w:rFonts w:ascii="Calibri Light" w:hAnsi="Calibri Light" w:hint="default"/>
      </w:rPr>
    </w:lvl>
    <w:lvl w:ilvl="1" w:tplc="FFFFFFFF">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46" w15:restartNumberingAfterBreak="0">
    <w:nsid w:val="543E2612"/>
    <w:multiLevelType w:val="hybridMultilevel"/>
    <w:tmpl w:val="BF46809A"/>
    <w:lvl w:ilvl="0" w:tplc="BBF65810">
      <w:numFmt w:val="bullet"/>
      <w:lvlText w:val="-"/>
      <w:lvlJc w:val="left"/>
      <w:pPr>
        <w:ind w:left="720" w:hanging="360"/>
      </w:pPr>
      <w:rPr>
        <w:rFonts w:ascii="Calibri-Light" w:eastAsiaTheme="minorHAnsi" w:hAnsi="Calibri-Light" w:cs="Calibri-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47" w15:restartNumberingAfterBreak="0">
    <w:nsid w:val="57CF63CE"/>
    <w:multiLevelType w:val="hybridMultilevel"/>
    <w:tmpl w:val="6314504E"/>
    <w:lvl w:ilvl="0" w:tplc="FFFFFFFF">
      <w:start w:val="1"/>
      <w:numFmt w:val="decimal"/>
      <w:lvlText w:val="%1."/>
      <w:lvlJc w:val="left"/>
      <w:pPr>
        <w:ind w:left="720" w:hanging="360"/>
      </w:pPr>
      <w:rPr>
        <w:rFonts w:hint="default"/>
      </w:rPr>
    </w:lvl>
    <w:lvl w:ilvl="1" w:tplc="14090001">
      <w:start w:val="1"/>
      <w:numFmt w:val="bullet"/>
      <w:lvlText w:val=""/>
      <w:lvlJc w:val="left"/>
      <w:pPr>
        <w:ind w:left="720" w:hanging="360"/>
      </w:pPr>
      <w:rPr>
        <w:rFonts w:ascii="Calibri Light" w:hAnsi="Calibri Light"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838370C"/>
    <w:multiLevelType w:val="hybridMultilevel"/>
    <w:tmpl w:val="7A04554E"/>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Arial" w:hAnsi="Arial" w:cs="Arial" w:hint="default"/>
      </w:rPr>
    </w:lvl>
    <w:lvl w:ilvl="2" w:tplc="FFFFFFFF" w:tentative="1">
      <w:start w:val="1"/>
      <w:numFmt w:val="bullet"/>
      <w:lvlText w:val=""/>
      <w:lvlJc w:val="left"/>
      <w:pPr>
        <w:ind w:left="2520" w:hanging="360"/>
      </w:pPr>
      <w:rPr>
        <w:rFonts w:ascii="Segoe UI" w:hAnsi="Segoe UI" w:hint="default"/>
      </w:rPr>
    </w:lvl>
    <w:lvl w:ilvl="3" w:tplc="FFFFFFFF" w:tentative="1">
      <w:start w:val="1"/>
      <w:numFmt w:val="bullet"/>
      <w:lvlText w:val=""/>
      <w:lvlJc w:val="left"/>
      <w:pPr>
        <w:ind w:left="3240" w:hanging="360"/>
      </w:pPr>
      <w:rPr>
        <w:rFonts w:ascii="Calibri Light" w:hAnsi="Calibri Light" w:hint="default"/>
      </w:rPr>
    </w:lvl>
    <w:lvl w:ilvl="4" w:tplc="FFFFFFFF" w:tentative="1">
      <w:start w:val="1"/>
      <w:numFmt w:val="bullet"/>
      <w:lvlText w:val="o"/>
      <w:lvlJc w:val="left"/>
      <w:pPr>
        <w:ind w:left="3960" w:hanging="360"/>
      </w:pPr>
      <w:rPr>
        <w:rFonts w:ascii="Arial" w:hAnsi="Arial" w:cs="Arial" w:hint="default"/>
      </w:rPr>
    </w:lvl>
    <w:lvl w:ilvl="5" w:tplc="FFFFFFFF" w:tentative="1">
      <w:start w:val="1"/>
      <w:numFmt w:val="bullet"/>
      <w:lvlText w:val=""/>
      <w:lvlJc w:val="left"/>
      <w:pPr>
        <w:ind w:left="4680" w:hanging="360"/>
      </w:pPr>
      <w:rPr>
        <w:rFonts w:ascii="Segoe UI" w:hAnsi="Segoe UI" w:hint="default"/>
      </w:rPr>
    </w:lvl>
    <w:lvl w:ilvl="6" w:tplc="FFFFFFFF" w:tentative="1">
      <w:start w:val="1"/>
      <w:numFmt w:val="bullet"/>
      <w:lvlText w:val=""/>
      <w:lvlJc w:val="left"/>
      <w:pPr>
        <w:ind w:left="5400" w:hanging="360"/>
      </w:pPr>
      <w:rPr>
        <w:rFonts w:ascii="Calibri Light" w:hAnsi="Calibri Light" w:hint="default"/>
      </w:rPr>
    </w:lvl>
    <w:lvl w:ilvl="7" w:tplc="FFFFFFFF" w:tentative="1">
      <w:start w:val="1"/>
      <w:numFmt w:val="bullet"/>
      <w:lvlText w:val="o"/>
      <w:lvlJc w:val="left"/>
      <w:pPr>
        <w:ind w:left="6120" w:hanging="360"/>
      </w:pPr>
      <w:rPr>
        <w:rFonts w:ascii="Arial" w:hAnsi="Arial" w:cs="Arial" w:hint="default"/>
      </w:rPr>
    </w:lvl>
    <w:lvl w:ilvl="8" w:tplc="FFFFFFFF" w:tentative="1">
      <w:start w:val="1"/>
      <w:numFmt w:val="bullet"/>
      <w:lvlText w:val=""/>
      <w:lvlJc w:val="left"/>
      <w:pPr>
        <w:ind w:left="6840" w:hanging="360"/>
      </w:pPr>
      <w:rPr>
        <w:rFonts w:ascii="Segoe UI" w:hAnsi="Segoe UI" w:hint="default"/>
      </w:rPr>
    </w:lvl>
  </w:abstractNum>
  <w:abstractNum w:abstractNumId="49" w15:restartNumberingAfterBreak="0">
    <w:nsid w:val="597A5DA9"/>
    <w:multiLevelType w:val="hybridMultilevel"/>
    <w:tmpl w:val="109208A8"/>
    <w:lvl w:ilvl="0" w:tplc="1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5C5E4027"/>
    <w:multiLevelType w:val="hybridMultilevel"/>
    <w:tmpl w:val="8A36A2C4"/>
    <w:lvl w:ilvl="0" w:tplc="AFC4A5AE">
      <w:start w:val="1"/>
      <w:numFmt w:val="bullet"/>
      <w:lvlText w:val=""/>
      <w:lvlJc w:val="left"/>
      <w:pPr>
        <w:ind w:left="720" w:hanging="360"/>
      </w:pPr>
      <w:rPr>
        <w:rFonts w:ascii="Calibri Light" w:hAnsi="Calibri Light" w:hint="default"/>
        <w:sz w:val="24"/>
        <w:szCs w:val="24"/>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51" w15:restartNumberingAfterBreak="0">
    <w:nsid w:val="5DDA368A"/>
    <w:multiLevelType w:val="hybridMultilevel"/>
    <w:tmpl w:val="2D600A0A"/>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52" w15:restartNumberingAfterBreak="0">
    <w:nsid w:val="5E036B23"/>
    <w:multiLevelType w:val="hybridMultilevel"/>
    <w:tmpl w:val="1F40451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53" w15:restartNumberingAfterBreak="0">
    <w:nsid w:val="5EC159D6"/>
    <w:multiLevelType w:val="hybridMultilevel"/>
    <w:tmpl w:val="16749E60"/>
    <w:lvl w:ilvl="0" w:tplc="239EC1D8">
      <w:numFmt w:val="bullet"/>
      <w:lvlText w:val="-"/>
      <w:lvlJc w:val="left"/>
      <w:pPr>
        <w:ind w:left="720" w:hanging="360"/>
      </w:pPr>
      <w:rPr>
        <w:rFonts w:ascii="Calibri-Light" w:eastAsiaTheme="minorHAnsi" w:hAnsi="Calibri-Light" w:cs="Calibri-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54" w15:restartNumberingAfterBreak="0">
    <w:nsid w:val="5EC6212E"/>
    <w:multiLevelType w:val="hybridMultilevel"/>
    <w:tmpl w:val="67C8FCB2"/>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55" w15:restartNumberingAfterBreak="0">
    <w:nsid w:val="5EE24CAD"/>
    <w:multiLevelType w:val="hybridMultilevel"/>
    <w:tmpl w:val="FF003C86"/>
    <w:lvl w:ilvl="0" w:tplc="7F8227D8">
      <w:start w:val="3"/>
      <w:numFmt w:val="bullet"/>
      <w:lvlText w:val="-"/>
      <w:lvlJc w:val="left"/>
      <w:pPr>
        <w:ind w:left="720" w:hanging="360"/>
      </w:pPr>
      <w:rPr>
        <w:rFonts w:ascii="Calibri-Light" w:eastAsiaTheme="minorHAnsi" w:hAnsi="Calibri-Light" w:cs="Calibri-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56" w15:restartNumberingAfterBreak="0">
    <w:nsid w:val="6023620B"/>
    <w:multiLevelType w:val="hybridMultilevel"/>
    <w:tmpl w:val="3244D54E"/>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57" w15:restartNumberingAfterBreak="0">
    <w:nsid w:val="62A1160A"/>
    <w:multiLevelType w:val="hybridMultilevel"/>
    <w:tmpl w:val="0E7E45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63AE47BA"/>
    <w:multiLevelType w:val="hybridMultilevel"/>
    <w:tmpl w:val="F3E08CF2"/>
    <w:lvl w:ilvl="0" w:tplc="14090001">
      <w:start w:val="1"/>
      <w:numFmt w:val="bullet"/>
      <w:lvlText w:val=""/>
      <w:lvlJc w:val="left"/>
      <w:pPr>
        <w:ind w:left="720" w:hanging="360"/>
      </w:pPr>
      <w:rPr>
        <w:rFonts w:ascii="Calibri Light" w:hAnsi="Calibri Light" w:hint="default"/>
      </w:rPr>
    </w:lvl>
    <w:lvl w:ilvl="1" w:tplc="FFFFFFFF">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59" w15:restartNumberingAfterBreak="0">
    <w:nsid w:val="65D147C6"/>
    <w:multiLevelType w:val="hybridMultilevel"/>
    <w:tmpl w:val="5E5E90D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0" w15:restartNumberingAfterBreak="0">
    <w:nsid w:val="66162028"/>
    <w:multiLevelType w:val="hybridMultilevel"/>
    <w:tmpl w:val="185C06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67282AA5"/>
    <w:multiLevelType w:val="hybridMultilevel"/>
    <w:tmpl w:val="860C1C82"/>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62" w15:restartNumberingAfterBreak="0">
    <w:nsid w:val="67B84002"/>
    <w:multiLevelType w:val="hybridMultilevel"/>
    <w:tmpl w:val="9F0873A6"/>
    <w:lvl w:ilvl="0" w:tplc="14090001">
      <w:start w:val="1"/>
      <w:numFmt w:val="bullet"/>
      <w:lvlText w:val=""/>
      <w:lvlJc w:val="left"/>
      <w:pPr>
        <w:ind w:left="1080" w:hanging="360"/>
      </w:pPr>
      <w:rPr>
        <w:rFonts w:ascii="Calibri Light" w:hAnsi="Calibri Light" w:hint="default"/>
      </w:rPr>
    </w:lvl>
    <w:lvl w:ilvl="1" w:tplc="14090003" w:tentative="1">
      <w:start w:val="1"/>
      <w:numFmt w:val="bullet"/>
      <w:lvlText w:val="o"/>
      <w:lvlJc w:val="left"/>
      <w:pPr>
        <w:ind w:left="1800" w:hanging="360"/>
      </w:pPr>
      <w:rPr>
        <w:rFonts w:ascii="Arial" w:hAnsi="Arial" w:cs="Arial" w:hint="default"/>
      </w:rPr>
    </w:lvl>
    <w:lvl w:ilvl="2" w:tplc="14090005" w:tentative="1">
      <w:start w:val="1"/>
      <w:numFmt w:val="bullet"/>
      <w:lvlText w:val=""/>
      <w:lvlJc w:val="left"/>
      <w:pPr>
        <w:ind w:left="2520" w:hanging="360"/>
      </w:pPr>
      <w:rPr>
        <w:rFonts w:ascii="Segoe UI" w:hAnsi="Segoe UI" w:hint="default"/>
      </w:rPr>
    </w:lvl>
    <w:lvl w:ilvl="3" w:tplc="14090001" w:tentative="1">
      <w:start w:val="1"/>
      <w:numFmt w:val="bullet"/>
      <w:lvlText w:val=""/>
      <w:lvlJc w:val="left"/>
      <w:pPr>
        <w:ind w:left="3240" w:hanging="360"/>
      </w:pPr>
      <w:rPr>
        <w:rFonts w:ascii="Calibri Light" w:hAnsi="Calibri Light" w:hint="default"/>
      </w:rPr>
    </w:lvl>
    <w:lvl w:ilvl="4" w:tplc="14090003" w:tentative="1">
      <w:start w:val="1"/>
      <w:numFmt w:val="bullet"/>
      <w:lvlText w:val="o"/>
      <w:lvlJc w:val="left"/>
      <w:pPr>
        <w:ind w:left="3960" w:hanging="360"/>
      </w:pPr>
      <w:rPr>
        <w:rFonts w:ascii="Arial" w:hAnsi="Arial" w:cs="Arial" w:hint="default"/>
      </w:rPr>
    </w:lvl>
    <w:lvl w:ilvl="5" w:tplc="14090005" w:tentative="1">
      <w:start w:val="1"/>
      <w:numFmt w:val="bullet"/>
      <w:lvlText w:val=""/>
      <w:lvlJc w:val="left"/>
      <w:pPr>
        <w:ind w:left="4680" w:hanging="360"/>
      </w:pPr>
      <w:rPr>
        <w:rFonts w:ascii="Segoe UI" w:hAnsi="Segoe UI" w:hint="default"/>
      </w:rPr>
    </w:lvl>
    <w:lvl w:ilvl="6" w:tplc="14090001" w:tentative="1">
      <w:start w:val="1"/>
      <w:numFmt w:val="bullet"/>
      <w:lvlText w:val=""/>
      <w:lvlJc w:val="left"/>
      <w:pPr>
        <w:ind w:left="5400" w:hanging="360"/>
      </w:pPr>
      <w:rPr>
        <w:rFonts w:ascii="Calibri Light" w:hAnsi="Calibri Light" w:hint="default"/>
      </w:rPr>
    </w:lvl>
    <w:lvl w:ilvl="7" w:tplc="14090003" w:tentative="1">
      <w:start w:val="1"/>
      <w:numFmt w:val="bullet"/>
      <w:lvlText w:val="o"/>
      <w:lvlJc w:val="left"/>
      <w:pPr>
        <w:ind w:left="6120" w:hanging="360"/>
      </w:pPr>
      <w:rPr>
        <w:rFonts w:ascii="Arial" w:hAnsi="Arial" w:cs="Arial" w:hint="default"/>
      </w:rPr>
    </w:lvl>
    <w:lvl w:ilvl="8" w:tplc="14090005" w:tentative="1">
      <w:start w:val="1"/>
      <w:numFmt w:val="bullet"/>
      <w:lvlText w:val=""/>
      <w:lvlJc w:val="left"/>
      <w:pPr>
        <w:ind w:left="6840" w:hanging="360"/>
      </w:pPr>
      <w:rPr>
        <w:rFonts w:ascii="Segoe UI" w:hAnsi="Segoe UI" w:hint="default"/>
      </w:rPr>
    </w:lvl>
  </w:abstractNum>
  <w:abstractNum w:abstractNumId="63" w15:restartNumberingAfterBreak="0">
    <w:nsid w:val="6BF0142C"/>
    <w:multiLevelType w:val="hybridMultilevel"/>
    <w:tmpl w:val="0ADCE624"/>
    <w:lvl w:ilvl="0" w:tplc="14090001">
      <w:start w:val="1"/>
      <w:numFmt w:val="bullet"/>
      <w:lvlText w:val=""/>
      <w:lvlJc w:val="left"/>
      <w:pPr>
        <w:ind w:left="1080" w:hanging="360"/>
      </w:pPr>
      <w:rPr>
        <w:rFonts w:ascii="Calibri Light" w:hAnsi="Calibri Light" w:hint="default"/>
      </w:rPr>
    </w:lvl>
    <w:lvl w:ilvl="1" w:tplc="FFFFFFFF" w:tentative="1">
      <w:start w:val="1"/>
      <w:numFmt w:val="bullet"/>
      <w:lvlText w:val="o"/>
      <w:lvlJc w:val="left"/>
      <w:pPr>
        <w:ind w:left="1800" w:hanging="360"/>
      </w:pPr>
      <w:rPr>
        <w:rFonts w:ascii="Arial" w:hAnsi="Arial" w:cs="Arial" w:hint="default"/>
      </w:rPr>
    </w:lvl>
    <w:lvl w:ilvl="2" w:tplc="FFFFFFFF" w:tentative="1">
      <w:start w:val="1"/>
      <w:numFmt w:val="bullet"/>
      <w:lvlText w:val=""/>
      <w:lvlJc w:val="left"/>
      <w:pPr>
        <w:ind w:left="2520" w:hanging="360"/>
      </w:pPr>
      <w:rPr>
        <w:rFonts w:ascii="Segoe UI" w:hAnsi="Segoe UI" w:hint="default"/>
      </w:rPr>
    </w:lvl>
    <w:lvl w:ilvl="3" w:tplc="FFFFFFFF" w:tentative="1">
      <w:start w:val="1"/>
      <w:numFmt w:val="bullet"/>
      <w:lvlText w:val=""/>
      <w:lvlJc w:val="left"/>
      <w:pPr>
        <w:ind w:left="3240" w:hanging="360"/>
      </w:pPr>
      <w:rPr>
        <w:rFonts w:ascii="Calibri Light" w:hAnsi="Calibri Light" w:hint="default"/>
      </w:rPr>
    </w:lvl>
    <w:lvl w:ilvl="4" w:tplc="FFFFFFFF" w:tentative="1">
      <w:start w:val="1"/>
      <w:numFmt w:val="bullet"/>
      <w:lvlText w:val="o"/>
      <w:lvlJc w:val="left"/>
      <w:pPr>
        <w:ind w:left="3960" w:hanging="360"/>
      </w:pPr>
      <w:rPr>
        <w:rFonts w:ascii="Arial" w:hAnsi="Arial" w:cs="Arial" w:hint="default"/>
      </w:rPr>
    </w:lvl>
    <w:lvl w:ilvl="5" w:tplc="FFFFFFFF" w:tentative="1">
      <w:start w:val="1"/>
      <w:numFmt w:val="bullet"/>
      <w:lvlText w:val=""/>
      <w:lvlJc w:val="left"/>
      <w:pPr>
        <w:ind w:left="4680" w:hanging="360"/>
      </w:pPr>
      <w:rPr>
        <w:rFonts w:ascii="Segoe UI" w:hAnsi="Segoe UI" w:hint="default"/>
      </w:rPr>
    </w:lvl>
    <w:lvl w:ilvl="6" w:tplc="FFFFFFFF" w:tentative="1">
      <w:start w:val="1"/>
      <w:numFmt w:val="bullet"/>
      <w:lvlText w:val=""/>
      <w:lvlJc w:val="left"/>
      <w:pPr>
        <w:ind w:left="5400" w:hanging="360"/>
      </w:pPr>
      <w:rPr>
        <w:rFonts w:ascii="Calibri Light" w:hAnsi="Calibri Light" w:hint="default"/>
      </w:rPr>
    </w:lvl>
    <w:lvl w:ilvl="7" w:tplc="FFFFFFFF" w:tentative="1">
      <w:start w:val="1"/>
      <w:numFmt w:val="bullet"/>
      <w:lvlText w:val="o"/>
      <w:lvlJc w:val="left"/>
      <w:pPr>
        <w:ind w:left="6120" w:hanging="360"/>
      </w:pPr>
      <w:rPr>
        <w:rFonts w:ascii="Arial" w:hAnsi="Arial" w:cs="Arial" w:hint="default"/>
      </w:rPr>
    </w:lvl>
    <w:lvl w:ilvl="8" w:tplc="FFFFFFFF" w:tentative="1">
      <w:start w:val="1"/>
      <w:numFmt w:val="bullet"/>
      <w:lvlText w:val=""/>
      <w:lvlJc w:val="left"/>
      <w:pPr>
        <w:ind w:left="6840" w:hanging="360"/>
      </w:pPr>
      <w:rPr>
        <w:rFonts w:ascii="Segoe UI" w:hAnsi="Segoe UI" w:hint="default"/>
      </w:rPr>
    </w:lvl>
  </w:abstractNum>
  <w:abstractNum w:abstractNumId="64" w15:restartNumberingAfterBreak="0">
    <w:nsid w:val="6E7F44CA"/>
    <w:multiLevelType w:val="hybridMultilevel"/>
    <w:tmpl w:val="7FF2FCE8"/>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65" w15:restartNumberingAfterBreak="0">
    <w:nsid w:val="76FF5945"/>
    <w:multiLevelType w:val="hybridMultilevel"/>
    <w:tmpl w:val="EC7A9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78B57EB3"/>
    <w:multiLevelType w:val="hybridMultilevel"/>
    <w:tmpl w:val="E9E8F5E0"/>
    <w:lvl w:ilvl="0" w:tplc="626C5778">
      <w:start w:val="2"/>
      <w:numFmt w:val="bullet"/>
      <w:lvlText w:val="-"/>
      <w:lvlJc w:val="left"/>
      <w:pPr>
        <w:ind w:left="720" w:hanging="360"/>
      </w:pPr>
      <w:rPr>
        <w:rFonts w:ascii="Calibri-Light" w:eastAsiaTheme="minorHAnsi" w:hAnsi="Calibri-Light" w:cs="Calibri-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67" w15:restartNumberingAfterBreak="0">
    <w:nsid w:val="79DF25F8"/>
    <w:multiLevelType w:val="hybridMultilevel"/>
    <w:tmpl w:val="9C9EEB0C"/>
    <w:lvl w:ilvl="0" w:tplc="B1BCE68C">
      <w:start w:val="1"/>
      <w:numFmt w:val="bullet"/>
      <w:lvlText w:val=""/>
      <w:lvlJc w:val="left"/>
      <w:pPr>
        <w:ind w:left="1440" w:hanging="360"/>
      </w:pPr>
      <w:rPr>
        <w:rFonts w:ascii="Calibri Light" w:hAnsi="Calibri Light"/>
      </w:rPr>
    </w:lvl>
    <w:lvl w:ilvl="1" w:tplc="0D42107E">
      <w:start w:val="1"/>
      <w:numFmt w:val="bullet"/>
      <w:lvlText w:val=""/>
      <w:lvlJc w:val="left"/>
      <w:pPr>
        <w:ind w:left="1440" w:hanging="360"/>
      </w:pPr>
      <w:rPr>
        <w:rFonts w:ascii="Calibri Light" w:hAnsi="Calibri Light"/>
      </w:rPr>
    </w:lvl>
    <w:lvl w:ilvl="2" w:tplc="1C22BE94">
      <w:start w:val="1"/>
      <w:numFmt w:val="bullet"/>
      <w:lvlText w:val=""/>
      <w:lvlJc w:val="left"/>
      <w:pPr>
        <w:ind w:left="1440" w:hanging="360"/>
      </w:pPr>
      <w:rPr>
        <w:rFonts w:ascii="Calibri Light" w:hAnsi="Calibri Light"/>
      </w:rPr>
    </w:lvl>
    <w:lvl w:ilvl="3" w:tplc="B8507804">
      <w:start w:val="1"/>
      <w:numFmt w:val="bullet"/>
      <w:lvlText w:val=""/>
      <w:lvlJc w:val="left"/>
      <w:pPr>
        <w:ind w:left="1440" w:hanging="360"/>
      </w:pPr>
      <w:rPr>
        <w:rFonts w:ascii="Calibri Light" w:hAnsi="Calibri Light"/>
      </w:rPr>
    </w:lvl>
    <w:lvl w:ilvl="4" w:tplc="CCD4670A">
      <w:start w:val="1"/>
      <w:numFmt w:val="bullet"/>
      <w:lvlText w:val=""/>
      <w:lvlJc w:val="left"/>
      <w:pPr>
        <w:ind w:left="1440" w:hanging="360"/>
      </w:pPr>
      <w:rPr>
        <w:rFonts w:ascii="Calibri Light" w:hAnsi="Calibri Light"/>
      </w:rPr>
    </w:lvl>
    <w:lvl w:ilvl="5" w:tplc="89447E98">
      <w:start w:val="1"/>
      <w:numFmt w:val="bullet"/>
      <w:lvlText w:val=""/>
      <w:lvlJc w:val="left"/>
      <w:pPr>
        <w:ind w:left="1440" w:hanging="360"/>
      </w:pPr>
      <w:rPr>
        <w:rFonts w:ascii="Calibri Light" w:hAnsi="Calibri Light"/>
      </w:rPr>
    </w:lvl>
    <w:lvl w:ilvl="6" w:tplc="27AC4CA4">
      <w:start w:val="1"/>
      <w:numFmt w:val="bullet"/>
      <w:lvlText w:val=""/>
      <w:lvlJc w:val="left"/>
      <w:pPr>
        <w:ind w:left="1440" w:hanging="360"/>
      </w:pPr>
      <w:rPr>
        <w:rFonts w:ascii="Calibri Light" w:hAnsi="Calibri Light"/>
      </w:rPr>
    </w:lvl>
    <w:lvl w:ilvl="7" w:tplc="8B9C44DC">
      <w:start w:val="1"/>
      <w:numFmt w:val="bullet"/>
      <w:lvlText w:val=""/>
      <w:lvlJc w:val="left"/>
      <w:pPr>
        <w:ind w:left="1440" w:hanging="360"/>
      </w:pPr>
      <w:rPr>
        <w:rFonts w:ascii="Calibri Light" w:hAnsi="Calibri Light"/>
      </w:rPr>
    </w:lvl>
    <w:lvl w:ilvl="8" w:tplc="195C5174">
      <w:start w:val="1"/>
      <w:numFmt w:val="bullet"/>
      <w:lvlText w:val=""/>
      <w:lvlJc w:val="left"/>
      <w:pPr>
        <w:ind w:left="1440" w:hanging="360"/>
      </w:pPr>
      <w:rPr>
        <w:rFonts w:ascii="Calibri Light" w:hAnsi="Calibri Light"/>
      </w:rPr>
    </w:lvl>
  </w:abstractNum>
  <w:abstractNum w:abstractNumId="68" w15:restartNumberingAfterBreak="0">
    <w:nsid w:val="79FF060C"/>
    <w:multiLevelType w:val="hybridMultilevel"/>
    <w:tmpl w:val="67DA9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BDF64B7"/>
    <w:multiLevelType w:val="hybridMultilevel"/>
    <w:tmpl w:val="B29A6662"/>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70" w15:restartNumberingAfterBreak="0">
    <w:nsid w:val="7D9D35F8"/>
    <w:multiLevelType w:val="hybridMultilevel"/>
    <w:tmpl w:val="F1B43C3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Arial" w:hAnsi="Arial" w:cs="Arial" w:hint="default"/>
      </w:rPr>
    </w:lvl>
    <w:lvl w:ilvl="2" w:tplc="FFFFFFFF" w:tentative="1">
      <w:start w:val="1"/>
      <w:numFmt w:val="bullet"/>
      <w:lvlText w:val=""/>
      <w:lvlJc w:val="left"/>
      <w:pPr>
        <w:ind w:left="2160" w:hanging="360"/>
      </w:pPr>
      <w:rPr>
        <w:rFonts w:ascii="Segoe UI" w:hAnsi="Segoe UI" w:hint="default"/>
      </w:rPr>
    </w:lvl>
    <w:lvl w:ilvl="3" w:tplc="FFFFFFFF" w:tentative="1">
      <w:start w:val="1"/>
      <w:numFmt w:val="bullet"/>
      <w:lvlText w:val=""/>
      <w:lvlJc w:val="left"/>
      <w:pPr>
        <w:ind w:left="2880" w:hanging="360"/>
      </w:pPr>
      <w:rPr>
        <w:rFonts w:ascii="Calibri Light" w:hAnsi="Calibri Light" w:hint="default"/>
      </w:rPr>
    </w:lvl>
    <w:lvl w:ilvl="4" w:tplc="FFFFFFFF" w:tentative="1">
      <w:start w:val="1"/>
      <w:numFmt w:val="bullet"/>
      <w:lvlText w:val="o"/>
      <w:lvlJc w:val="left"/>
      <w:pPr>
        <w:ind w:left="3600" w:hanging="360"/>
      </w:pPr>
      <w:rPr>
        <w:rFonts w:ascii="Arial" w:hAnsi="Arial" w:cs="Arial" w:hint="default"/>
      </w:rPr>
    </w:lvl>
    <w:lvl w:ilvl="5" w:tplc="FFFFFFFF" w:tentative="1">
      <w:start w:val="1"/>
      <w:numFmt w:val="bullet"/>
      <w:lvlText w:val=""/>
      <w:lvlJc w:val="left"/>
      <w:pPr>
        <w:ind w:left="4320" w:hanging="360"/>
      </w:pPr>
      <w:rPr>
        <w:rFonts w:ascii="Segoe UI" w:hAnsi="Segoe UI" w:hint="default"/>
      </w:rPr>
    </w:lvl>
    <w:lvl w:ilvl="6" w:tplc="FFFFFFFF" w:tentative="1">
      <w:start w:val="1"/>
      <w:numFmt w:val="bullet"/>
      <w:lvlText w:val=""/>
      <w:lvlJc w:val="left"/>
      <w:pPr>
        <w:ind w:left="5040" w:hanging="360"/>
      </w:pPr>
      <w:rPr>
        <w:rFonts w:ascii="Calibri Light" w:hAnsi="Calibri Light" w:hint="default"/>
      </w:rPr>
    </w:lvl>
    <w:lvl w:ilvl="7" w:tplc="FFFFFFFF" w:tentative="1">
      <w:start w:val="1"/>
      <w:numFmt w:val="bullet"/>
      <w:lvlText w:val="o"/>
      <w:lvlJc w:val="left"/>
      <w:pPr>
        <w:ind w:left="5760" w:hanging="360"/>
      </w:pPr>
      <w:rPr>
        <w:rFonts w:ascii="Arial" w:hAnsi="Arial" w:cs="Arial" w:hint="default"/>
      </w:rPr>
    </w:lvl>
    <w:lvl w:ilvl="8" w:tplc="FFFFFFFF" w:tentative="1">
      <w:start w:val="1"/>
      <w:numFmt w:val="bullet"/>
      <w:lvlText w:val=""/>
      <w:lvlJc w:val="left"/>
      <w:pPr>
        <w:ind w:left="6480" w:hanging="360"/>
      </w:pPr>
      <w:rPr>
        <w:rFonts w:ascii="Segoe UI" w:hAnsi="Segoe UI" w:hint="default"/>
      </w:rPr>
    </w:lvl>
  </w:abstractNum>
  <w:abstractNum w:abstractNumId="71" w15:restartNumberingAfterBreak="0">
    <w:nsid w:val="7EB23FB1"/>
    <w:multiLevelType w:val="hybridMultilevel"/>
    <w:tmpl w:val="340E89C2"/>
    <w:lvl w:ilvl="0" w:tplc="14090001">
      <w:start w:val="1"/>
      <w:numFmt w:val="bullet"/>
      <w:lvlText w:val=""/>
      <w:lvlJc w:val="left"/>
      <w:pPr>
        <w:ind w:left="720" w:hanging="360"/>
      </w:pPr>
      <w:rPr>
        <w:rFonts w:ascii="Calibri Light" w:hAnsi="Calibri Light" w:hint="default"/>
      </w:rPr>
    </w:lvl>
    <w:lvl w:ilvl="1" w:tplc="14090003" w:tentative="1">
      <w:start w:val="1"/>
      <w:numFmt w:val="bullet"/>
      <w:lvlText w:val="o"/>
      <w:lvlJc w:val="left"/>
      <w:pPr>
        <w:ind w:left="1440" w:hanging="360"/>
      </w:pPr>
      <w:rPr>
        <w:rFonts w:ascii="Arial" w:hAnsi="Arial" w:cs="Arial" w:hint="default"/>
      </w:rPr>
    </w:lvl>
    <w:lvl w:ilvl="2" w:tplc="14090005" w:tentative="1">
      <w:start w:val="1"/>
      <w:numFmt w:val="bullet"/>
      <w:lvlText w:val=""/>
      <w:lvlJc w:val="left"/>
      <w:pPr>
        <w:ind w:left="2160" w:hanging="360"/>
      </w:pPr>
      <w:rPr>
        <w:rFonts w:ascii="Segoe UI" w:hAnsi="Segoe UI" w:hint="default"/>
      </w:rPr>
    </w:lvl>
    <w:lvl w:ilvl="3" w:tplc="14090001" w:tentative="1">
      <w:start w:val="1"/>
      <w:numFmt w:val="bullet"/>
      <w:lvlText w:val=""/>
      <w:lvlJc w:val="left"/>
      <w:pPr>
        <w:ind w:left="2880" w:hanging="360"/>
      </w:pPr>
      <w:rPr>
        <w:rFonts w:ascii="Calibri Light" w:hAnsi="Calibri Light" w:hint="default"/>
      </w:rPr>
    </w:lvl>
    <w:lvl w:ilvl="4" w:tplc="14090003" w:tentative="1">
      <w:start w:val="1"/>
      <w:numFmt w:val="bullet"/>
      <w:lvlText w:val="o"/>
      <w:lvlJc w:val="left"/>
      <w:pPr>
        <w:ind w:left="3600" w:hanging="360"/>
      </w:pPr>
      <w:rPr>
        <w:rFonts w:ascii="Arial" w:hAnsi="Arial" w:cs="Arial" w:hint="default"/>
      </w:rPr>
    </w:lvl>
    <w:lvl w:ilvl="5" w:tplc="14090005" w:tentative="1">
      <w:start w:val="1"/>
      <w:numFmt w:val="bullet"/>
      <w:lvlText w:val=""/>
      <w:lvlJc w:val="left"/>
      <w:pPr>
        <w:ind w:left="4320" w:hanging="360"/>
      </w:pPr>
      <w:rPr>
        <w:rFonts w:ascii="Segoe UI" w:hAnsi="Segoe UI" w:hint="default"/>
      </w:rPr>
    </w:lvl>
    <w:lvl w:ilvl="6" w:tplc="14090001" w:tentative="1">
      <w:start w:val="1"/>
      <w:numFmt w:val="bullet"/>
      <w:lvlText w:val=""/>
      <w:lvlJc w:val="left"/>
      <w:pPr>
        <w:ind w:left="5040" w:hanging="360"/>
      </w:pPr>
      <w:rPr>
        <w:rFonts w:ascii="Calibri Light" w:hAnsi="Calibri Light" w:hint="default"/>
      </w:rPr>
    </w:lvl>
    <w:lvl w:ilvl="7" w:tplc="14090003" w:tentative="1">
      <w:start w:val="1"/>
      <w:numFmt w:val="bullet"/>
      <w:lvlText w:val="o"/>
      <w:lvlJc w:val="left"/>
      <w:pPr>
        <w:ind w:left="5760" w:hanging="360"/>
      </w:pPr>
      <w:rPr>
        <w:rFonts w:ascii="Arial" w:hAnsi="Arial" w:cs="Arial" w:hint="default"/>
      </w:rPr>
    </w:lvl>
    <w:lvl w:ilvl="8" w:tplc="14090005" w:tentative="1">
      <w:start w:val="1"/>
      <w:numFmt w:val="bullet"/>
      <w:lvlText w:val=""/>
      <w:lvlJc w:val="left"/>
      <w:pPr>
        <w:ind w:left="6480" w:hanging="360"/>
      </w:pPr>
      <w:rPr>
        <w:rFonts w:ascii="Segoe UI" w:hAnsi="Segoe UI" w:hint="default"/>
      </w:rPr>
    </w:lvl>
  </w:abstractNum>
  <w:abstractNum w:abstractNumId="72" w15:restartNumberingAfterBreak="0">
    <w:nsid w:val="7FAD6606"/>
    <w:multiLevelType w:val="hybridMultilevel"/>
    <w:tmpl w:val="701A2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77427185">
    <w:abstractNumId w:val="8"/>
  </w:num>
  <w:num w:numId="2" w16cid:durableId="1541816960">
    <w:abstractNumId w:val="32"/>
  </w:num>
  <w:num w:numId="3" w16cid:durableId="1348871870">
    <w:abstractNumId w:val="53"/>
  </w:num>
  <w:num w:numId="4" w16cid:durableId="1227836717">
    <w:abstractNumId w:val="36"/>
  </w:num>
  <w:num w:numId="5" w16cid:durableId="1022130410">
    <w:abstractNumId w:val="0"/>
  </w:num>
  <w:num w:numId="6" w16cid:durableId="1004626807">
    <w:abstractNumId w:val="10"/>
  </w:num>
  <w:num w:numId="7" w16cid:durableId="1715038675">
    <w:abstractNumId w:val="6"/>
  </w:num>
  <w:num w:numId="8" w16cid:durableId="588543230">
    <w:abstractNumId w:val="63"/>
  </w:num>
  <w:num w:numId="9" w16cid:durableId="1616256990">
    <w:abstractNumId w:val="44"/>
  </w:num>
  <w:num w:numId="10" w16cid:durableId="2099710630">
    <w:abstractNumId w:val="11"/>
  </w:num>
  <w:num w:numId="11" w16cid:durableId="942498477">
    <w:abstractNumId w:val="55"/>
  </w:num>
  <w:num w:numId="12" w16cid:durableId="505750380">
    <w:abstractNumId w:val="60"/>
  </w:num>
  <w:num w:numId="13" w16cid:durableId="1787120381">
    <w:abstractNumId w:val="20"/>
  </w:num>
  <w:num w:numId="14" w16cid:durableId="2005862404">
    <w:abstractNumId w:val="45"/>
  </w:num>
  <w:num w:numId="15" w16cid:durableId="874268360">
    <w:abstractNumId w:val="31"/>
  </w:num>
  <w:num w:numId="16" w16cid:durableId="791750951">
    <w:abstractNumId w:val="57"/>
  </w:num>
  <w:num w:numId="17" w16cid:durableId="841048812">
    <w:abstractNumId w:val="35"/>
  </w:num>
  <w:num w:numId="18" w16cid:durableId="1647583570">
    <w:abstractNumId w:val="58"/>
  </w:num>
  <w:num w:numId="19" w16cid:durableId="1473667944">
    <w:abstractNumId w:val="46"/>
  </w:num>
  <w:num w:numId="20" w16cid:durableId="1428119696">
    <w:abstractNumId w:val="66"/>
  </w:num>
  <w:num w:numId="21" w16cid:durableId="1782454060">
    <w:abstractNumId w:val="4"/>
  </w:num>
  <w:num w:numId="22" w16cid:durableId="174881655">
    <w:abstractNumId w:val="7"/>
  </w:num>
  <w:num w:numId="23" w16cid:durableId="555507389">
    <w:abstractNumId w:val="47"/>
  </w:num>
  <w:num w:numId="24" w16cid:durableId="1705279232">
    <w:abstractNumId w:val="62"/>
  </w:num>
  <w:num w:numId="25" w16cid:durableId="1386218998">
    <w:abstractNumId w:val="61"/>
  </w:num>
  <w:num w:numId="26" w16cid:durableId="525287411">
    <w:abstractNumId w:val="71"/>
  </w:num>
  <w:num w:numId="27" w16cid:durableId="1210995623">
    <w:abstractNumId w:val="13"/>
  </w:num>
  <w:num w:numId="28" w16cid:durableId="1616255537">
    <w:abstractNumId w:val="41"/>
  </w:num>
  <w:num w:numId="29" w16cid:durableId="73627344">
    <w:abstractNumId w:val="56"/>
  </w:num>
  <w:num w:numId="30" w16cid:durableId="1398625339">
    <w:abstractNumId w:val="37"/>
  </w:num>
  <w:num w:numId="31" w16cid:durableId="158159249">
    <w:abstractNumId w:val="50"/>
  </w:num>
  <w:num w:numId="32" w16cid:durableId="457407668">
    <w:abstractNumId w:val="67"/>
  </w:num>
  <w:num w:numId="33" w16cid:durableId="253713081">
    <w:abstractNumId w:val="29"/>
  </w:num>
  <w:num w:numId="34" w16cid:durableId="121657307">
    <w:abstractNumId w:val="23"/>
  </w:num>
  <w:num w:numId="35" w16cid:durableId="423065118">
    <w:abstractNumId w:val="27"/>
  </w:num>
  <w:num w:numId="36" w16cid:durableId="1028872976">
    <w:abstractNumId w:val="30"/>
  </w:num>
  <w:num w:numId="37" w16cid:durableId="451215473">
    <w:abstractNumId w:val="17"/>
  </w:num>
  <w:num w:numId="38" w16cid:durableId="1313876120">
    <w:abstractNumId w:val="5"/>
  </w:num>
  <w:num w:numId="39" w16cid:durableId="525677956">
    <w:abstractNumId w:val="9"/>
  </w:num>
  <w:num w:numId="40" w16cid:durableId="291445684">
    <w:abstractNumId w:val="34"/>
  </w:num>
  <w:num w:numId="41" w16cid:durableId="1636334663">
    <w:abstractNumId w:val="22"/>
  </w:num>
  <w:num w:numId="42" w16cid:durableId="386340946">
    <w:abstractNumId w:val="28"/>
  </w:num>
  <w:num w:numId="43" w16cid:durableId="1707750336">
    <w:abstractNumId w:val="18"/>
  </w:num>
  <w:num w:numId="44" w16cid:durableId="192505236">
    <w:abstractNumId w:val="21"/>
  </w:num>
  <w:num w:numId="45" w16cid:durableId="1040783671">
    <w:abstractNumId w:val="40"/>
  </w:num>
  <w:num w:numId="46" w16cid:durableId="229657998">
    <w:abstractNumId w:val="51"/>
  </w:num>
  <w:num w:numId="47" w16cid:durableId="135949143">
    <w:abstractNumId w:val="33"/>
  </w:num>
  <w:num w:numId="48" w16cid:durableId="695275561">
    <w:abstractNumId w:val="25"/>
  </w:num>
  <w:num w:numId="49" w16cid:durableId="2063359016">
    <w:abstractNumId w:val="15"/>
  </w:num>
  <w:num w:numId="50" w16cid:durableId="1010714807">
    <w:abstractNumId w:val="39"/>
  </w:num>
  <w:num w:numId="51" w16cid:durableId="1386103779">
    <w:abstractNumId w:val="16"/>
  </w:num>
  <w:num w:numId="52" w16cid:durableId="1377467677">
    <w:abstractNumId w:val="2"/>
  </w:num>
  <w:num w:numId="53" w16cid:durableId="1026174852">
    <w:abstractNumId w:val="12"/>
  </w:num>
  <w:num w:numId="54" w16cid:durableId="335499376">
    <w:abstractNumId w:val="24"/>
  </w:num>
  <w:num w:numId="55" w16cid:durableId="399518102">
    <w:abstractNumId w:val="14"/>
  </w:num>
  <w:num w:numId="56" w16cid:durableId="25450170">
    <w:abstractNumId w:val="59"/>
  </w:num>
  <w:num w:numId="57" w16cid:durableId="345138235">
    <w:abstractNumId w:val="1"/>
  </w:num>
  <w:num w:numId="58" w16cid:durableId="12541215">
    <w:abstractNumId w:val="48"/>
  </w:num>
  <w:num w:numId="59" w16cid:durableId="283923473">
    <w:abstractNumId w:val="69"/>
  </w:num>
  <w:num w:numId="60" w16cid:durableId="215355808">
    <w:abstractNumId w:val="26"/>
  </w:num>
  <w:num w:numId="61" w16cid:durableId="777486006">
    <w:abstractNumId w:val="38"/>
  </w:num>
  <w:num w:numId="62" w16cid:durableId="1602834266">
    <w:abstractNumId w:val="49"/>
  </w:num>
  <w:num w:numId="63" w16cid:durableId="754087190">
    <w:abstractNumId w:val="19"/>
  </w:num>
  <w:num w:numId="64" w16cid:durableId="834955752">
    <w:abstractNumId w:val="64"/>
  </w:num>
  <w:num w:numId="65" w16cid:durableId="1519536773">
    <w:abstractNumId w:val="52"/>
  </w:num>
  <w:num w:numId="66" w16cid:durableId="711459951">
    <w:abstractNumId w:val="54"/>
  </w:num>
  <w:num w:numId="67" w16cid:durableId="1326937174">
    <w:abstractNumId w:val="42"/>
  </w:num>
  <w:num w:numId="68" w16cid:durableId="1097093949">
    <w:abstractNumId w:val="72"/>
  </w:num>
  <w:num w:numId="69" w16cid:durableId="1166088047">
    <w:abstractNumId w:val="3"/>
  </w:num>
  <w:num w:numId="70" w16cid:durableId="1001279130">
    <w:abstractNumId w:val="70"/>
  </w:num>
  <w:num w:numId="71" w16cid:durableId="2086873069">
    <w:abstractNumId w:val="68"/>
  </w:num>
  <w:num w:numId="72" w16cid:durableId="1565408773">
    <w:abstractNumId w:val="65"/>
  </w:num>
  <w:num w:numId="73" w16cid:durableId="1338190965">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38"/>
    <w:rsid w:val="00000226"/>
    <w:rsid w:val="000005D8"/>
    <w:rsid w:val="00000A00"/>
    <w:rsid w:val="00000AD2"/>
    <w:rsid w:val="00000C16"/>
    <w:rsid w:val="00000FCA"/>
    <w:rsid w:val="0000167F"/>
    <w:rsid w:val="000017A7"/>
    <w:rsid w:val="00001842"/>
    <w:rsid w:val="00002237"/>
    <w:rsid w:val="000022E8"/>
    <w:rsid w:val="0000230E"/>
    <w:rsid w:val="00002592"/>
    <w:rsid w:val="000027E0"/>
    <w:rsid w:val="00002C3D"/>
    <w:rsid w:val="00002D8C"/>
    <w:rsid w:val="0000383F"/>
    <w:rsid w:val="00003C47"/>
    <w:rsid w:val="0000427A"/>
    <w:rsid w:val="0000540F"/>
    <w:rsid w:val="000056CE"/>
    <w:rsid w:val="0000570A"/>
    <w:rsid w:val="00005760"/>
    <w:rsid w:val="00005DFE"/>
    <w:rsid w:val="000061F6"/>
    <w:rsid w:val="00006398"/>
    <w:rsid w:val="0000661C"/>
    <w:rsid w:val="00006EB5"/>
    <w:rsid w:val="00007392"/>
    <w:rsid w:val="00007454"/>
    <w:rsid w:val="00007932"/>
    <w:rsid w:val="000079F4"/>
    <w:rsid w:val="00007E01"/>
    <w:rsid w:val="00010724"/>
    <w:rsid w:val="00010AFE"/>
    <w:rsid w:val="00010BBF"/>
    <w:rsid w:val="00010FAB"/>
    <w:rsid w:val="000111D9"/>
    <w:rsid w:val="000111E6"/>
    <w:rsid w:val="000113A2"/>
    <w:rsid w:val="000116C9"/>
    <w:rsid w:val="000118A5"/>
    <w:rsid w:val="00011ADC"/>
    <w:rsid w:val="00011C7A"/>
    <w:rsid w:val="00012534"/>
    <w:rsid w:val="00012753"/>
    <w:rsid w:val="00012AEE"/>
    <w:rsid w:val="00012DB7"/>
    <w:rsid w:val="00012F6D"/>
    <w:rsid w:val="000132B9"/>
    <w:rsid w:val="0001384A"/>
    <w:rsid w:val="0001397A"/>
    <w:rsid w:val="00013AE9"/>
    <w:rsid w:val="00013C26"/>
    <w:rsid w:val="00013CA7"/>
    <w:rsid w:val="00013F3B"/>
    <w:rsid w:val="000142C2"/>
    <w:rsid w:val="000143C3"/>
    <w:rsid w:val="000143E6"/>
    <w:rsid w:val="000147E0"/>
    <w:rsid w:val="00014C18"/>
    <w:rsid w:val="00014EDA"/>
    <w:rsid w:val="00014FD5"/>
    <w:rsid w:val="000151D6"/>
    <w:rsid w:val="000154E8"/>
    <w:rsid w:val="00015AA8"/>
    <w:rsid w:val="00015CE5"/>
    <w:rsid w:val="00015D55"/>
    <w:rsid w:val="00015EF7"/>
    <w:rsid w:val="0001618D"/>
    <w:rsid w:val="00016422"/>
    <w:rsid w:val="000168E4"/>
    <w:rsid w:val="00016932"/>
    <w:rsid w:val="00016D0A"/>
    <w:rsid w:val="00016E37"/>
    <w:rsid w:val="00017246"/>
    <w:rsid w:val="000176F0"/>
    <w:rsid w:val="0002003A"/>
    <w:rsid w:val="000200FA"/>
    <w:rsid w:val="0002027A"/>
    <w:rsid w:val="0002040E"/>
    <w:rsid w:val="00020762"/>
    <w:rsid w:val="000208EF"/>
    <w:rsid w:val="00020963"/>
    <w:rsid w:val="000209BD"/>
    <w:rsid w:val="000211F5"/>
    <w:rsid w:val="0002133B"/>
    <w:rsid w:val="00021598"/>
    <w:rsid w:val="000215E2"/>
    <w:rsid w:val="000216C2"/>
    <w:rsid w:val="00021B95"/>
    <w:rsid w:val="00021DF8"/>
    <w:rsid w:val="000223BC"/>
    <w:rsid w:val="0002256E"/>
    <w:rsid w:val="00022612"/>
    <w:rsid w:val="00022B19"/>
    <w:rsid w:val="00022E91"/>
    <w:rsid w:val="00022F4C"/>
    <w:rsid w:val="0002356E"/>
    <w:rsid w:val="00023854"/>
    <w:rsid w:val="00023A4E"/>
    <w:rsid w:val="00023FCE"/>
    <w:rsid w:val="00024161"/>
    <w:rsid w:val="0002464D"/>
    <w:rsid w:val="00024806"/>
    <w:rsid w:val="00024DDA"/>
    <w:rsid w:val="00024F59"/>
    <w:rsid w:val="000256ED"/>
    <w:rsid w:val="0002570E"/>
    <w:rsid w:val="00026412"/>
    <w:rsid w:val="000268F9"/>
    <w:rsid w:val="000269F6"/>
    <w:rsid w:val="00026DD8"/>
    <w:rsid w:val="00026E24"/>
    <w:rsid w:val="00027183"/>
    <w:rsid w:val="000273CC"/>
    <w:rsid w:val="000278C9"/>
    <w:rsid w:val="00027B9E"/>
    <w:rsid w:val="00027C14"/>
    <w:rsid w:val="00027FD7"/>
    <w:rsid w:val="00030364"/>
    <w:rsid w:val="0003056A"/>
    <w:rsid w:val="00030764"/>
    <w:rsid w:val="00030937"/>
    <w:rsid w:val="00030ABF"/>
    <w:rsid w:val="00030BF6"/>
    <w:rsid w:val="00031010"/>
    <w:rsid w:val="0003137B"/>
    <w:rsid w:val="00031490"/>
    <w:rsid w:val="00031825"/>
    <w:rsid w:val="00031ACF"/>
    <w:rsid w:val="00031AFD"/>
    <w:rsid w:val="00031CAD"/>
    <w:rsid w:val="00031DE8"/>
    <w:rsid w:val="00031E94"/>
    <w:rsid w:val="00031F36"/>
    <w:rsid w:val="00031FC9"/>
    <w:rsid w:val="00032247"/>
    <w:rsid w:val="00032424"/>
    <w:rsid w:val="00032576"/>
    <w:rsid w:val="0003257E"/>
    <w:rsid w:val="00032AEF"/>
    <w:rsid w:val="00032CBF"/>
    <w:rsid w:val="000334F0"/>
    <w:rsid w:val="000335DD"/>
    <w:rsid w:val="00033739"/>
    <w:rsid w:val="0003392E"/>
    <w:rsid w:val="00033FEA"/>
    <w:rsid w:val="00034029"/>
    <w:rsid w:val="00034204"/>
    <w:rsid w:val="000343F7"/>
    <w:rsid w:val="000347D1"/>
    <w:rsid w:val="000349AE"/>
    <w:rsid w:val="00034F72"/>
    <w:rsid w:val="00035015"/>
    <w:rsid w:val="000350F8"/>
    <w:rsid w:val="00035922"/>
    <w:rsid w:val="00035DA2"/>
    <w:rsid w:val="000366D0"/>
    <w:rsid w:val="00036C62"/>
    <w:rsid w:val="00037174"/>
    <w:rsid w:val="000371EE"/>
    <w:rsid w:val="00037371"/>
    <w:rsid w:val="00037707"/>
    <w:rsid w:val="00037ACB"/>
    <w:rsid w:val="0004022C"/>
    <w:rsid w:val="000402DD"/>
    <w:rsid w:val="000402F3"/>
    <w:rsid w:val="000405F6"/>
    <w:rsid w:val="0004066D"/>
    <w:rsid w:val="0004075B"/>
    <w:rsid w:val="00040AA5"/>
    <w:rsid w:val="00040B2E"/>
    <w:rsid w:val="00040F1F"/>
    <w:rsid w:val="0004125C"/>
    <w:rsid w:val="000412AF"/>
    <w:rsid w:val="0004174E"/>
    <w:rsid w:val="00041757"/>
    <w:rsid w:val="000418E4"/>
    <w:rsid w:val="00042001"/>
    <w:rsid w:val="00042131"/>
    <w:rsid w:val="000423F7"/>
    <w:rsid w:val="000424D1"/>
    <w:rsid w:val="00042957"/>
    <w:rsid w:val="00042BD3"/>
    <w:rsid w:val="00042CC8"/>
    <w:rsid w:val="00042F34"/>
    <w:rsid w:val="00043507"/>
    <w:rsid w:val="00043B41"/>
    <w:rsid w:val="00043BF6"/>
    <w:rsid w:val="0004409A"/>
    <w:rsid w:val="000444E9"/>
    <w:rsid w:val="000448B3"/>
    <w:rsid w:val="00044B8A"/>
    <w:rsid w:val="00044EB9"/>
    <w:rsid w:val="00044FF9"/>
    <w:rsid w:val="0004559A"/>
    <w:rsid w:val="00045BCB"/>
    <w:rsid w:val="00045FEF"/>
    <w:rsid w:val="00046166"/>
    <w:rsid w:val="00046968"/>
    <w:rsid w:val="00047054"/>
    <w:rsid w:val="00047436"/>
    <w:rsid w:val="00047565"/>
    <w:rsid w:val="000476D6"/>
    <w:rsid w:val="00047797"/>
    <w:rsid w:val="00047806"/>
    <w:rsid w:val="00047AE8"/>
    <w:rsid w:val="00047E53"/>
    <w:rsid w:val="00050484"/>
    <w:rsid w:val="000505E7"/>
    <w:rsid w:val="000507FC"/>
    <w:rsid w:val="00050F0D"/>
    <w:rsid w:val="0005127B"/>
    <w:rsid w:val="00051314"/>
    <w:rsid w:val="000514FE"/>
    <w:rsid w:val="00051C01"/>
    <w:rsid w:val="00051CA4"/>
    <w:rsid w:val="00051CFC"/>
    <w:rsid w:val="00051E14"/>
    <w:rsid w:val="00051E84"/>
    <w:rsid w:val="000522B4"/>
    <w:rsid w:val="000523D5"/>
    <w:rsid w:val="000526FE"/>
    <w:rsid w:val="00052B50"/>
    <w:rsid w:val="00052CB0"/>
    <w:rsid w:val="00052EA3"/>
    <w:rsid w:val="00052FB9"/>
    <w:rsid w:val="0005387C"/>
    <w:rsid w:val="00053B34"/>
    <w:rsid w:val="00053E9C"/>
    <w:rsid w:val="000543E8"/>
    <w:rsid w:val="0005488A"/>
    <w:rsid w:val="00054FB6"/>
    <w:rsid w:val="00054FC9"/>
    <w:rsid w:val="000553D4"/>
    <w:rsid w:val="00055C75"/>
    <w:rsid w:val="00055CAC"/>
    <w:rsid w:val="00055CE8"/>
    <w:rsid w:val="00055F2D"/>
    <w:rsid w:val="000560E3"/>
    <w:rsid w:val="0005672B"/>
    <w:rsid w:val="00056889"/>
    <w:rsid w:val="00056F47"/>
    <w:rsid w:val="000572EF"/>
    <w:rsid w:val="00057A77"/>
    <w:rsid w:val="00057D67"/>
    <w:rsid w:val="00057DAD"/>
    <w:rsid w:val="00057DBE"/>
    <w:rsid w:val="00060217"/>
    <w:rsid w:val="00060DD4"/>
    <w:rsid w:val="00060F66"/>
    <w:rsid w:val="00061083"/>
    <w:rsid w:val="000614CB"/>
    <w:rsid w:val="00061667"/>
    <w:rsid w:val="0006193A"/>
    <w:rsid w:val="00061E01"/>
    <w:rsid w:val="00061EA8"/>
    <w:rsid w:val="00062206"/>
    <w:rsid w:val="00062243"/>
    <w:rsid w:val="0006271F"/>
    <w:rsid w:val="00062744"/>
    <w:rsid w:val="000628B0"/>
    <w:rsid w:val="00062938"/>
    <w:rsid w:val="00062B5B"/>
    <w:rsid w:val="00062D70"/>
    <w:rsid w:val="0006307A"/>
    <w:rsid w:val="00063120"/>
    <w:rsid w:val="000633FF"/>
    <w:rsid w:val="00063F74"/>
    <w:rsid w:val="00064254"/>
    <w:rsid w:val="000643C5"/>
    <w:rsid w:val="00064810"/>
    <w:rsid w:val="000649EB"/>
    <w:rsid w:val="00064A8C"/>
    <w:rsid w:val="00064C85"/>
    <w:rsid w:val="00064D8B"/>
    <w:rsid w:val="00064E71"/>
    <w:rsid w:val="00065179"/>
    <w:rsid w:val="000651FA"/>
    <w:rsid w:val="00065252"/>
    <w:rsid w:val="000652E8"/>
    <w:rsid w:val="000653C2"/>
    <w:rsid w:val="0006554B"/>
    <w:rsid w:val="0006564F"/>
    <w:rsid w:val="000658F8"/>
    <w:rsid w:val="00065951"/>
    <w:rsid w:val="000659FD"/>
    <w:rsid w:val="00065CB9"/>
    <w:rsid w:val="00065F78"/>
    <w:rsid w:val="00065FC7"/>
    <w:rsid w:val="0006635A"/>
    <w:rsid w:val="0006654F"/>
    <w:rsid w:val="00066586"/>
    <w:rsid w:val="00066688"/>
    <w:rsid w:val="00066827"/>
    <w:rsid w:val="00066954"/>
    <w:rsid w:val="00066A70"/>
    <w:rsid w:val="0006722A"/>
    <w:rsid w:val="00067BFE"/>
    <w:rsid w:val="00067C99"/>
    <w:rsid w:val="00067FD8"/>
    <w:rsid w:val="00070047"/>
    <w:rsid w:val="00070108"/>
    <w:rsid w:val="0007050F"/>
    <w:rsid w:val="00070601"/>
    <w:rsid w:val="0007087E"/>
    <w:rsid w:val="00070C17"/>
    <w:rsid w:val="0007115E"/>
    <w:rsid w:val="000712A8"/>
    <w:rsid w:val="0007130D"/>
    <w:rsid w:val="000714A3"/>
    <w:rsid w:val="000714D2"/>
    <w:rsid w:val="00071880"/>
    <w:rsid w:val="00071BBB"/>
    <w:rsid w:val="00071CAE"/>
    <w:rsid w:val="000720C4"/>
    <w:rsid w:val="00072134"/>
    <w:rsid w:val="00072508"/>
    <w:rsid w:val="00072A08"/>
    <w:rsid w:val="00072B7E"/>
    <w:rsid w:val="00072B90"/>
    <w:rsid w:val="00072C3E"/>
    <w:rsid w:val="00072FDD"/>
    <w:rsid w:val="000730EF"/>
    <w:rsid w:val="00073FB7"/>
    <w:rsid w:val="00074421"/>
    <w:rsid w:val="00074518"/>
    <w:rsid w:val="0007469E"/>
    <w:rsid w:val="0007473C"/>
    <w:rsid w:val="000749B0"/>
    <w:rsid w:val="00074B4B"/>
    <w:rsid w:val="00074BA5"/>
    <w:rsid w:val="00074C1A"/>
    <w:rsid w:val="00074DAD"/>
    <w:rsid w:val="00074DC8"/>
    <w:rsid w:val="000750CA"/>
    <w:rsid w:val="00075202"/>
    <w:rsid w:val="00075640"/>
    <w:rsid w:val="0007581C"/>
    <w:rsid w:val="0007585F"/>
    <w:rsid w:val="0007593B"/>
    <w:rsid w:val="0007604C"/>
    <w:rsid w:val="0007605C"/>
    <w:rsid w:val="00076536"/>
    <w:rsid w:val="00076D90"/>
    <w:rsid w:val="00076F62"/>
    <w:rsid w:val="00077261"/>
    <w:rsid w:val="00077309"/>
    <w:rsid w:val="00077344"/>
    <w:rsid w:val="000774CC"/>
    <w:rsid w:val="00077757"/>
    <w:rsid w:val="000778F2"/>
    <w:rsid w:val="000779F8"/>
    <w:rsid w:val="00077D0F"/>
    <w:rsid w:val="00080005"/>
    <w:rsid w:val="0008009F"/>
    <w:rsid w:val="00080A08"/>
    <w:rsid w:val="00080A57"/>
    <w:rsid w:val="00080D87"/>
    <w:rsid w:val="00080DC0"/>
    <w:rsid w:val="00081142"/>
    <w:rsid w:val="00081222"/>
    <w:rsid w:val="000812A2"/>
    <w:rsid w:val="000812FA"/>
    <w:rsid w:val="0008176C"/>
    <w:rsid w:val="00081D78"/>
    <w:rsid w:val="00081F20"/>
    <w:rsid w:val="00081FE6"/>
    <w:rsid w:val="000820BD"/>
    <w:rsid w:val="00082378"/>
    <w:rsid w:val="00082433"/>
    <w:rsid w:val="00082599"/>
    <w:rsid w:val="00082A2B"/>
    <w:rsid w:val="00082C64"/>
    <w:rsid w:val="00082EA3"/>
    <w:rsid w:val="0008320D"/>
    <w:rsid w:val="000836C4"/>
    <w:rsid w:val="00083A3B"/>
    <w:rsid w:val="00083A61"/>
    <w:rsid w:val="00083A94"/>
    <w:rsid w:val="00083C60"/>
    <w:rsid w:val="00084181"/>
    <w:rsid w:val="00084492"/>
    <w:rsid w:val="00084615"/>
    <w:rsid w:val="0008477F"/>
    <w:rsid w:val="000847E7"/>
    <w:rsid w:val="000849FA"/>
    <w:rsid w:val="00084A3D"/>
    <w:rsid w:val="00084BB6"/>
    <w:rsid w:val="00084D06"/>
    <w:rsid w:val="00084DAD"/>
    <w:rsid w:val="00084DE2"/>
    <w:rsid w:val="0008501B"/>
    <w:rsid w:val="00085175"/>
    <w:rsid w:val="00085229"/>
    <w:rsid w:val="000852FC"/>
    <w:rsid w:val="0008547A"/>
    <w:rsid w:val="00085E65"/>
    <w:rsid w:val="00085FA2"/>
    <w:rsid w:val="00086108"/>
    <w:rsid w:val="00086152"/>
    <w:rsid w:val="00086931"/>
    <w:rsid w:val="00086F34"/>
    <w:rsid w:val="0008772B"/>
    <w:rsid w:val="00087859"/>
    <w:rsid w:val="00087AC5"/>
    <w:rsid w:val="00087AC6"/>
    <w:rsid w:val="00087B86"/>
    <w:rsid w:val="00087BEE"/>
    <w:rsid w:val="00087FFC"/>
    <w:rsid w:val="00090085"/>
    <w:rsid w:val="0009008A"/>
    <w:rsid w:val="00090217"/>
    <w:rsid w:val="000908F4"/>
    <w:rsid w:val="00090FE8"/>
    <w:rsid w:val="0009103C"/>
    <w:rsid w:val="00091375"/>
    <w:rsid w:val="00091844"/>
    <w:rsid w:val="00091A14"/>
    <w:rsid w:val="00091F03"/>
    <w:rsid w:val="00091FB2"/>
    <w:rsid w:val="0009206F"/>
    <w:rsid w:val="00092141"/>
    <w:rsid w:val="0009245C"/>
    <w:rsid w:val="000926A6"/>
    <w:rsid w:val="00092D26"/>
    <w:rsid w:val="00092DAC"/>
    <w:rsid w:val="00093080"/>
    <w:rsid w:val="000930D0"/>
    <w:rsid w:val="00093190"/>
    <w:rsid w:val="00093472"/>
    <w:rsid w:val="000936C9"/>
    <w:rsid w:val="0009371A"/>
    <w:rsid w:val="00093FBB"/>
    <w:rsid w:val="000940A3"/>
    <w:rsid w:val="000941A8"/>
    <w:rsid w:val="000949AB"/>
    <w:rsid w:val="00094A4E"/>
    <w:rsid w:val="00094B18"/>
    <w:rsid w:val="00094E38"/>
    <w:rsid w:val="00094FC4"/>
    <w:rsid w:val="00095586"/>
    <w:rsid w:val="000955D0"/>
    <w:rsid w:val="00095882"/>
    <w:rsid w:val="00095B18"/>
    <w:rsid w:val="00095C7C"/>
    <w:rsid w:val="00095E85"/>
    <w:rsid w:val="00095ED9"/>
    <w:rsid w:val="00095FD5"/>
    <w:rsid w:val="000969D3"/>
    <w:rsid w:val="00096B06"/>
    <w:rsid w:val="00096C7C"/>
    <w:rsid w:val="00096E3A"/>
    <w:rsid w:val="00097176"/>
    <w:rsid w:val="0009747B"/>
    <w:rsid w:val="00097732"/>
    <w:rsid w:val="000979DE"/>
    <w:rsid w:val="00097D22"/>
    <w:rsid w:val="000A0233"/>
    <w:rsid w:val="000A0625"/>
    <w:rsid w:val="000A087F"/>
    <w:rsid w:val="000A08CD"/>
    <w:rsid w:val="000A1096"/>
    <w:rsid w:val="000A16E2"/>
    <w:rsid w:val="000A1865"/>
    <w:rsid w:val="000A1931"/>
    <w:rsid w:val="000A1975"/>
    <w:rsid w:val="000A1B8E"/>
    <w:rsid w:val="000A1F7F"/>
    <w:rsid w:val="000A215B"/>
    <w:rsid w:val="000A24FA"/>
    <w:rsid w:val="000A2776"/>
    <w:rsid w:val="000A289F"/>
    <w:rsid w:val="000A28CB"/>
    <w:rsid w:val="000A28D7"/>
    <w:rsid w:val="000A2C8B"/>
    <w:rsid w:val="000A343E"/>
    <w:rsid w:val="000A3777"/>
    <w:rsid w:val="000A3B5A"/>
    <w:rsid w:val="000A41CF"/>
    <w:rsid w:val="000A458C"/>
    <w:rsid w:val="000A4694"/>
    <w:rsid w:val="000A4E7A"/>
    <w:rsid w:val="000A4F6E"/>
    <w:rsid w:val="000A563C"/>
    <w:rsid w:val="000A5765"/>
    <w:rsid w:val="000A58E1"/>
    <w:rsid w:val="000A5C84"/>
    <w:rsid w:val="000A5D2A"/>
    <w:rsid w:val="000A6421"/>
    <w:rsid w:val="000A67F0"/>
    <w:rsid w:val="000A6A08"/>
    <w:rsid w:val="000A6A49"/>
    <w:rsid w:val="000A6BBF"/>
    <w:rsid w:val="000A6C86"/>
    <w:rsid w:val="000A6CA4"/>
    <w:rsid w:val="000A6FE3"/>
    <w:rsid w:val="000A7113"/>
    <w:rsid w:val="000A73A5"/>
    <w:rsid w:val="000A73E5"/>
    <w:rsid w:val="000A74AA"/>
    <w:rsid w:val="000A755B"/>
    <w:rsid w:val="000A77E4"/>
    <w:rsid w:val="000A78C5"/>
    <w:rsid w:val="000A7995"/>
    <w:rsid w:val="000A79A3"/>
    <w:rsid w:val="000A7A7F"/>
    <w:rsid w:val="000A7AAC"/>
    <w:rsid w:val="000A7B5E"/>
    <w:rsid w:val="000A7CFF"/>
    <w:rsid w:val="000A7DB0"/>
    <w:rsid w:val="000A7EC2"/>
    <w:rsid w:val="000B025A"/>
    <w:rsid w:val="000B049D"/>
    <w:rsid w:val="000B0B13"/>
    <w:rsid w:val="000B0E7F"/>
    <w:rsid w:val="000B0EBE"/>
    <w:rsid w:val="000B0ED7"/>
    <w:rsid w:val="000B1032"/>
    <w:rsid w:val="000B10CD"/>
    <w:rsid w:val="000B122B"/>
    <w:rsid w:val="000B1275"/>
    <w:rsid w:val="000B1902"/>
    <w:rsid w:val="000B1CDD"/>
    <w:rsid w:val="000B1FFC"/>
    <w:rsid w:val="000B2085"/>
    <w:rsid w:val="000B31C2"/>
    <w:rsid w:val="000B32BC"/>
    <w:rsid w:val="000B34F3"/>
    <w:rsid w:val="000B3B2D"/>
    <w:rsid w:val="000B4205"/>
    <w:rsid w:val="000B42E7"/>
    <w:rsid w:val="000B4641"/>
    <w:rsid w:val="000B47F7"/>
    <w:rsid w:val="000B4851"/>
    <w:rsid w:val="000B49AC"/>
    <w:rsid w:val="000B49B0"/>
    <w:rsid w:val="000B4E42"/>
    <w:rsid w:val="000B5081"/>
    <w:rsid w:val="000B5422"/>
    <w:rsid w:val="000B5612"/>
    <w:rsid w:val="000B5B26"/>
    <w:rsid w:val="000B5EFF"/>
    <w:rsid w:val="000B6360"/>
    <w:rsid w:val="000B6814"/>
    <w:rsid w:val="000B6BFA"/>
    <w:rsid w:val="000C02BF"/>
    <w:rsid w:val="000C0302"/>
    <w:rsid w:val="000C037F"/>
    <w:rsid w:val="000C054F"/>
    <w:rsid w:val="000C0FB0"/>
    <w:rsid w:val="000C19C9"/>
    <w:rsid w:val="000C1B4F"/>
    <w:rsid w:val="000C1BDE"/>
    <w:rsid w:val="000C1CD1"/>
    <w:rsid w:val="000C2AAF"/>
    <w:rsid w:val="000C2C26"/>
    <w:rsid w:val="000C2E47"/>
    <w:rsid w:val="000C2FA8"/>
    <w:rsid w:val="000C3804"/>
    <w:rsid w:val="000C3968"/>
    <w:rsid w:val="000C3A43"/>
    <w:rsid w:val="000C3A58"/>
    <w:rsid w:val="000C3C00"/>
    <w:rsid w:val="000C3CCE"/>
    <w:rsid w:val="000C4303"/>
    <w:rsid w:val="000C45DB"/>
    <w:rsid w:val="000C5628"/>
    <w:rsid w:val="000C57AD"/>
    <w:rsid w:val="000C5A11"/>
    <w:rsid w:val="000C5F12"/>
    <w:rsid w:val="000C5F8E"/>
    <w:rsid w:val="000C63C5"/>
    <w:rsid w:val="000C64F1"/>
    <w:rsid w:val="000C667C"/>
    <w:rsid w:val="000C67A8"/>
    <w:rsid w:val="000C68E5"/>
    <w:rsid w:val="000C68E7"/>
    <w:rsid w:val="000C691C"/>
    <w:rsid w:val="000C6B3E"/>
    <w:rsid w:val="000C6BE2"/>
    <w:rsid w:val="000C6D76"/>
    <w:rsid w:val="000C6E19"/>
    <w:rsid w:val="000C71A8"/>
    <w:rsid w:val="000C71B6"/>
    <w:rsid w:val="000C7458"/>
    <w:rsid w:val="000C7A11"/>
    <w:rsid w:val="000C7A78"/>
    <w:rsid w:val="000C7CEA"/>
    <w:rsid w:val="000C7D29"/>
    <w:rsid w:val="000D00EC"/>
    <w:rsid w:val="000D04F1"/>
    <w:rsid w:val="000D0626"/>
    <w:rsid w:val="000D0D58"/>
    <w:rsid w:val="000D0D59"/>
    <w:rsid w:val="000D0DD5"/>
    <w:rsid w:val="000D174D"/>
    <w:rsid w:val="000D1965"/>
    <w:rsid w:val="000D1A58"/>
    <w:rsid w:val="000D1BF2"/>
    <w:rsid w:val="000D1EDB"/>
    <w:rsid w:val="000D1F56"/>
    <w:rsid w:val="000D224E"/>
    <w:rsid w:val="000D23E9"/>
    <w:rsid w:val="000D29DC"/>
    <w:rsid w:val="000D2A2B"/>
    <w:rsid w:val="000D2C9E"/>
    <w:rsid w:val="000D2CE7"/>
    <w:rsid w:val="000D3124"/>
    <w:rsid w:val="000D324B"/>
    <w:rsid w:val="000D3346"/>
    <w:rsid w:val="000D3982"/>
    <w:rsid w:val="000D3A92"/>
    <w:rsid w:val="000D3F94"/>
    <w:rsid w:val="000D4061"/>
    <w:rsid w:val="000D42F5"/>
    <w:rsid w:val="000D45DA"/>
    <w:rsid w:val="000D57FD"/>
    <w:rsid w:val="000D5A7E"/>
    <w:rsid w:val="000D5B70"/>
    <w:rsid w:val="000D5E28"/>
    <w:rsid w:val="000D67A0"/>
    <w:rsid w:val="000D6A0A"/>
    <w:rsid w:val="000D6DF7"/>
    <w:rsid w:val="000D6F59"/>
    <w:rsid w:val="000D783F"/>
    <w:rsid w:val="000D7B83"/>
    <w:rsid w:val="000D7BDD"/>
    <w:rsid w:val="000D7D9F"/>
    <w:rsid w:val="000D7E1D"/>
    <w:rsid w:val="000E038A"/>
    <w:rsid w:val="000E055B"/>
    <w:rsid w:val="000E057B"/>
    <w:rsid w:val="000E05EA"/>
    <w:rsid w:val="000E0A4B"/>
    <w:rsid w:val="000E129D"/>
    <w:rsid w:val="000E132E"/>
    <w:rsid w:val="000E1385"/>
    <w:rsid w:val="000E140C"/>
    <w:rsid w:val="000E14FD"/>
    <w:rsid w:val="000E15CF"/>
    <w:rsid w:val="000E1A15"/>
    <w:rsid w:val="000E1E1D"/>
    <w:rsid w:val="000E1FC9"/>
    <w:rsid w:val="000E24FB"/>
    <w:rsid w:val="000E2B02"/>
    <w:rsid w:val="000E2FD6"/>
    <w:rsid w:val="000E305A"/>
    <w:rsid w:val="000E3068"/>
    <w:rsid w:val="000E311E"/>
    <w:rsid w:val="000E3336"/>
    <w:rsid w:val="000E3588"/>
    <w:rsid w:val="000E3F6F"/>
    <w:rsid w:val="000E4750"/>
    <w:rsid w:val="000E4ACD"/>
    <w:rsid w:val="000E4B39"/>
    <w:rsid w:val="000E4C80"/>
    <w:rsid w:val="000E50AD"/>
    <w:rsid w:val="000E50DB"/>
    <w:rsid w:val="000E515A"/>
    <w:rsid w:val="000E537D"/>
    <w:rsid w:val="000E61DF"/>
    <w:rsid w:val="000E64B1"/>
    <w:rsid w:val="000E6751"/>
    <w:rsid w:val="000E6825"/>
    <w:rsid w:val="000E6947"/>
    <w:rsid w:val="000E6D3F"/>
    <w:rsid w:val="000E6E51"/>
    <w:rsid w:val="000E6F62"/>
    <w:rsid w:val="000E7148"/>
    <w:rsid w:val="000E78CB"/>
    <w:rsid w:val="000E7EA3"/>
    <w:rsid w:val="000E7EB2"/>
    <w:rsid w:val="000E7F07"/>
    <w:rsid w:val="000F099F"/>
    <w:rsid w:val="000F09B3"/>
    <w:rsid w:val="000F0B69"/>
    <w:rsid w:val="000F0C57"/>
    <w:rsid w:val="000F0EC7"/>
    <w:rsid w:val="000F0F70"/>
    <w:rsid w:val="000F1521"/>
    <w:rsid w:val="000F1537"/>
    <w:rsid w:val="000F17C3"/>
    <w:rsid w:val="000F18CD"/>
    <w:rsid w:val="000F197F"/>
    <w:rsid w:val="000F1BA8"/>
    <w:rsid w:val="000F1EC1"/>
    <w:rsid w:val="000F204A"/>
    <w:rsid w:val="000F2523"/>
    <w:rsid w:val="000F26D5"/>
    <w:rsid w:val="000F2829"/>
    <w:rsid w:val="000F2852"/>
    <w:rsid w:val="000F2C20"/>
    <w:rsid w:val="000F2C2F"/>
    <w:rsid w:val="000F2CA2"/>
    <w:rsid w:val="000F2E29"/>
    <w:rsid w:val="000F31AC"/>
    <w:rsid w:val="000F38AA"/>
    <w:rsid w:val="000F3CFF"/>
    <w:rsid w:val="000F4441"/>
    <w:rsid w:val="000F44ED"/>
    <w:rsid w:val="000F48B5"/>
    <w:rsid w:val="000F50E3"/>
    <w:rsid w:val="000F51B3"/>
    <w:rsid w:val="000F578D"/>
    <w:rsid w:val="000F623E"/>
    <w:rsid w:val="000F6791"/>
    <w:rsid w:val="000F6C36"/>
    <w:rsid w:val="000F7283"/>
    <w:rsid w:val="000F751E"/>
    <w:rsid w:val="000F7673"/>
    <w:rsid w:val="000F7BAC"/>
    <w:rsid w:val="000F7C89"/>
    <w:rsid w:val="00100597"/>
    <w:rsid w:val="0010059D"/>
    <w:rsid w:val="00101962"/>
    <w:rsid w:val="001019E5"/>
    <w:rsid w:val="00101ADD"/>
    <w:rsid w:val="00101E2A"/>
    <w:rsid w:val="001020BD"/>
    <w:rsid w:val="001021C2"/>
    <w:rsid w:val="001022A1"/>
    <w:rsid w:val="0010309D"/>
    <w:rsid w:val="001031F3"/>
    <w:rsid w:val="0010328D"/>
    <w:rsid w:val="00103323"/>
    <w:rsid w:val="001034FD"/>
    <w:rsid w:val="00103B09"/>
    <w:rsid w:val="00103C35"/>
    <w:rsid w:val="001042FC"/>
    <w:rsid w:val="001045D9"/>
    <w:rsid w:val="00104A73"/>
    <w:rsid w:val="00104CAC"/>
    <w:rsid w:val="00104D70"/>
    <w:rsid w:val="00104DD6"/>
    <w:rsid w:val="001053A4"/>
    <w:rsid w:val="0010565C"/>
    <w:rsid w:val="00105C0B"/>
    <w:rsid w:val="00105E0A"/>
    <w:rsid w:val="0010662A"/>
    <w:rsid w:val="0010662E"/>
    <w:rsid w:val="00106658"/>
    <w:rsid w:val="001067CB"/>
    <w:rsid w:val="00106FE3"/>
    <w:rsid w:val="00107205"/>
    <w:rsid w:val="00107766"/>
    <w:rsid w:val="00107BC8"/>
    <w:rsid w:val="00107DAE"/>
    <w:rsid w:val="00107E5F"/>
    <w:rsid w:val="001101AF"/>
    <w:rsid w:val="001105C9"/>
    <w:rsid w:val="00110711"/>
    <w:rsid w:val="001109B0"/>
    <w:rsid w:val="0011123B"/>
    <w:rsid w:val="0011150C"/>
    <w:rsid w:val="0011171C"/>
    <w:rsid w:val="00111926"/>
    <w:rsid w:val="001119B3"/>
    <w:rsid w:val="00112268"/>
    <w:rsid w:val="00112467"/>
    <w:rsid w:val="00112A9F"/>
    <w:rsid w:val="00112CAB"/>
    <w:rsid w:val="0011317F"/>
    <w:rsid w:val="00113219"/>
    <w:rsid w:val="001138C0"/>
    <w:rsid w:val="00113A41"/>
    <w:rsid w:val="00113EC8"/>
    <w:rsid w:val="001141D4"/>
    <w:rsid w:val="0011486A"/>
    <w:rsid w:val="00114A22"/>
    <w:rsid w:val="00114C26"/>
    <w:rsid w:val="00114D0B"/>
    <w:rsid w:val="00114DDA"/>
    <w:rsid w:val="00115208"/>
    <w:rsid w:val="00115248"/>
    <w:rsid w:val="001156B7"/>
    <w:rsid w:val="00115C0E"/>
    <w:rsid w:val="00115CEA"/>
    <w:rsid w:val="00115D80"/>
    <w:rsid w:val="00116013"/>
    <w:rsid w:val="0011663D"/>
    <w:rsid w:val="00116B29"/>
    <w:rsid w:val="00117992"/>
    <w:rsid w:val="00117CB6"/>
    <w:rsid w:val="00117EE9"/>
    <w:rsid w:val="001203FE"/>
    <w:rsid w:val="00120515"/>
    <w:rsid w:val="001206E6"/>
    <w:rsid w:val="00120745"/>
    <w:rsid w:val="001207EA"/>
    <w:rsid w:val="00120B81"/>
    <w:rsid w:val="0012105D"/>
    <w:rsid w:val="00121224"/>
    <w:rsid w:val="00121773"/>
    <w:rsid w:val="001218DD"/>
    <w:rsid w:val="00121942"/>
    <w:rsid w:val="001219F3"/>
    <w:rsid w:val="00121AA5"/>
    <w:rsid w:val="00121F9D"/>
    <w:rsid w:val="001220C2"/>
    <w:rsid w:val="0012212B"/>
    <w:rsid w:val="0012218A"/>
    <w:rsid w:val="001221C7"/>
    <w:rsid w:val="00122388"/>
    <w:rsid w:val="0012256D"/>
    <w:rsid w:val="0012295B"/>
    <w:rsid w:val="00122F08"/>
    <w:rsid w:val="00123100"/>
    <w:rsid w:val="001232A0"/>
    <w:rsid w:val="001233C2"/>
    <w:rsid w:val="0012343D"/>
    <w:rsid w:val="00123A63"/>
    <w:rsid w:val="00123EC6"/>
    <w:rsid w:val="00123F7F"/>
    <w:rsid w:val="001240DA"/>
    <w:rsid w:val="00124457"/>
    <w:rsid w:val="001247FE"/>
    <w:rsid w:val="00124B74"/>
    <w:rsid w:val="00124BE9"/>
    <w:rsid w:val="001257FD"/>
    <w:rsid w:val="0012581C"/>
    <w:rsid w:val="00125AAF"/>
    <w:rsid w:val="00125C9F"/>
    <w:rsid w:val="00125E9A"/>
    <w:rsid w:val="00126001"/>
    <w:rsid w:val="0012648C"/>
    <w:rsid w:val="001264AF"/>
    <w:rsid w:val="001265EC"/>
    <w:rsid w:val="001269D6"/>
    <w:rsid w:val="001269ED"/>
    <w:rsid w:val="00126D3D"/>
    <w:rsid w:val="00127082"/>
    <w:rsid w:val="0012712D"/>
    <w:rsid w:val="00127AF3"/>
    <w:rsid w:val="00127D14"/>
    <w:rsid w:val="0013053E"/>
    <w:rsid w:val="00130648"/>
    <w:rsid w:val="001306D5"/>
    <w:rsid w:val="00130764"/>
    <w:rsid w:val="00130822"/>
    <w:rsid w:val="00130BBF"/>
    <w:rsid w:val="00130C84"/>
    <w:rsid w:val="00130CC2"/>
    <w:rsid w:val="00130D10"/>
    <w:rsid w:val="00131133"/>
    <w:rsid w:val="00131135"/>
    <w:rsid w:val="00131758"/>
    <w:rsid w:val="00131B14"/>
    <w:rsid w:val="00131C50"/>
    <w:rsid w:val="00132166"/>
    <w:rsid w:val="00132216"/>
    <w:rsid w:val="00132332"/>
    <w:rsid w:val="001323D4"/>
    <w:rsid w:val="00132546"/>
    <w:rsid w:val="001328E3"/>
    <w:rsid w:val="001328ED"/>
    <w:rsid w:val="00132A3B"/>
    <w:rsid w:val="00132B7E"/>
    <w:rsid w:val="00132D99"/>
    <w:rsid w:val="0013301B"/>
    <w:rsid w:val="00133622"/>
    <w:rsid w:val="00133AD5"/>
    <w:rsid w:val="001340C9"/>
    <w:rsid w:val="001341BD"/>
    <w:rsid w:val="00134284"/>
    <w:rsid w:val="00134490"/>
    <w:rsid w:val="001347A4"/>
    <w:rsid w:val="00134D08"/>
    <w:rsid w:val="00134F6B"/>
    <w:rsid w:val="0013547E"/>
    <w:rsid w:val="00135539"/>
    <w:rsid w:val="001355EE"/>
    <w:rsid w:val="0013589E"/>
    <w:rsid w:val="00135BDE"/>
    <w:rsid w:val="00135C2F"/>
    <w:rsid w:val="0013604A"/>
    <w:rsid w:val="00136164"/>
    <w:rsid w:val="0013629E"/>
    <w:rsid w:val="001362D8"/>
    <w:rsid w:val="00136361"/>
    <w:rsid w:val="0013643D"/>
    <w:rsid w:val="0013654E"/>
    <w:rsid w:val="00136751"/>
    <w:rsid w:val="00136B96"/>
    <w:rsid w:val="00137004"/>
    <w:rsid w:val="0013706E"/>
    <w:rsid w:val="00137933"/>
    <w:rsid w:val="00137949"/>
    <w:rsid w:val="00137B0D"/>
    <w:rsid w:val="00137CA6"/>
    <w:rsid w:val="00137D90"/>
    <w:rsid w:val="001401EC"/>
    <w:rsid w:val="00140546"/>
    <w:rsid w:val="00140658"/>
    <w:rsid w:val="00140A66"/>
    <w:rsid w:val="00140F12"/>
    <w:rsid w:val="00141226"/>
    <w:rsid w:val="001413B0"/>
    <w:rsid w:val="00141B31"/>
    <w:rsid w:val="00141C8C"/>
    <w:rsid w:val="00141CA4"/>
    <w:rsid w:val="00141D7D"/>
    <w:rsid w:val="001424B2"/>
    <w:rsid w:val="001425D8"/>
    <w:rsid w:val="00142685"/>
    <w:rsid w:val="0014281D"/>
    <w:rsid w:val="00142E0C"/>
    <w:rsid w:val="00142EDC"/>
    <w:rsid w:val="001434EC"/>
    <w:rsid w:val="00143B0F"/>
    <w:rsid w:val="00143EC4"/>
    <w:rsid w:val="001441C4"/>
    <w:rsid w:val="0014428E"/>
    <w:rsid w:val="0014498F"/>
    <w:rsid w:val="00144BA6"/>
    <w:rsid w:val="00144E97"/>
    <w:rsid w:val="00144FB0"/>
    <w:rsid w:val="0014541F"/>
    <w:rsid w:val="00145CB3"/>
    <w:rsid w:val="00145EDB"/>
    <w:rsid w:val="00146247"/>
    <w:rsid w:val="001462FC"/>
    <w:rsid w:val="001466A3"/>
    <w:rsid w:val="00146933"/>
    <w:rsid w:val="00146A4D"/>
    <w:rsid w:val="0014720E"/>
    <w:rsid w:val="001473CB"/>
    <w:rsid w:val="001474A6"/>
    <w:rsid w:val="00147658"/>
    <w:rsid w:val="00147720"/>
    <w:rsid w:val="00147726"/>
    <w:rsid w:val="001479AC"/>
    <w:rsid w:val="001479F5"/>
    <w:rsid w:val="00147CE9"/>
    <w:rsid w:val="00147ED2"/>
    <w:rsid w:val="001503C7"/>
    <w:rsid w:val="0015055D"/>
    <w:rsid w:val="00150700"/>
    <w:rsid w:val="00150735"/>
    <w:rsid w:val="00150AB8"/>
    <w:rsid w:val="00150BDC"/>
    <w:rsid w:val="00150CF0"/>
    <w:rsid w:val="00150EEC"/>
    <w:rsid w:val="0015149B"/>
    <w:rsid w:val="001514F8"/>
    <w:rsid w:val="0015151F"/>
    <w:rsid w:val="0015155B"/>
    <w:rsid w:val="001516D6"/>
    <w:rsid w:val="00151714"/>
    <w:rsid w:val="001518D6"/>
    <w:rsid w:val="00151A52"/>
    <w:rsid w:val="00151C8A"/>
    <w:rsid w:val="001520DC"/>
    <w:rsid w:val="001524E0"/>
    <w:rsid w:val="001527F9"/>
    <w:rsid w:val="001528E0"/>
    <w:rsid w:val="00152979"/>
    <w:rsid w:val="00152998"/>
    <w:rsid w:val="00152B6B"/>
    <w:rsid w:val="00152D15"/>
    <w:rsid w:val="00152D8F"/>
    <w:rsid w:val="00152E3B"/>
    <w:rsid w:val="00153180"/>
    <w:rsid w:val="001532B9"/>
    <w:rsid w:val="0015372E"/>
    <w:rsid w:val="00153793"/>
    <w:rsid w:val="00153AA5"/>
    <w:rsid w:val="00153C39"/>
    <w:rsid w:val="00154466"/>
    <w:rsid w:val="00154703"/>
    <w:rsid w:val="001548EB"/>
    <w:rsid w:val="00154BA3"/>
    <w:rsid w:val="00155279"/>
    <w:rsid w:val="0015585B"/>
    <w:rsid w:val="00155A89"/>
    <w:rsid w:val="00155BA6"/>
    <w:rsid w:val="00155C41"/>
    <w:rsid w:val="00155FE4"/>
    <w:rsid w:val="00156088"/>
    <w:rsid w:val="00156445"/>
    <w:rsid w:val="001566DC"/>
    <w:rsid w:val="00156CB0"/>
    <w:rsid w:val="00156CD9"/>
    <w:rsid w:val="00156E23"/>
    <w:rsid w:val="00156E25"/>
    <w:rsid w:val="00156E34"/>
    <w:rsid w:val="00157077"/>
    <w:rsid w:val="00157192"/>
    <w:rsid w:val="0015725F"/>
    <w:rsid w:val="00157321"/>
    <w:rsid w:val="0015749B"/>
    <w:rsid w:val="001579BE"/>
    <w:rsid w:val="00160059"/>
    <w:rsid w:val="00160073"/>
    <w:rsid w:val="00160773"/>
    <w:rsid w:val="0016091F"/>
    <w:rsid w:val="00160A7B"/>
    <w:rsid w:val="00160E1D"/>
    <w:rsid w:val="00160EEC"/>
    <w:rsid w:val="00161076"/>
    <w:rsid w:val="001610E3"/>
    <w:rsid w:val="00161800"/>
    <w:rsid w:val="00161899"/>
    <w:rsid w:val="001618F4"/>
    <w:rsid w:val="00161D6F"/>
    <w:rsid w:val="00162F95"/>
    <w:rsid w:val="001630ED"/>
    <w:rsid w:val="0016334C"/>
    <w:rsid w:val="00163423"/>
    <w:rsid w:val="001636BF"/>
    <w:rsid w:val="00163ADD"/>
    <w:rsid w:val="00163B49"/>
    <w:rsid w:val="00163EA6"/>
    <w:rsid w:val="0016433B"/>
    <w:rsid w:val="00164B52"/>
    <w:rsid w:val="00164D16"/>
    <w:rsid w:val="00164F1D"/>
    <w:rsid w:val="0016508E"/>
    <w:rsid w:val="001652E6"/>
    <w:rsid w:val="001653BA"/>
    <w:rsid w:val="0016586C"/>
    <w:rsid w:val="00165BAA"/>
    <w:rsid w:val="001660D2"/>
    <w:rsid w:val="001663A1"/>
    <w:rsid w:val="001663DD"/>
    <w:rsid w:val="00166476"/>
    <w:rsid w:val="001664D3"/>
    <w:rsid w:val="00166687"/>
    <w:rsid w:val="00166A00"/>
    <w:rsid w:val="00166D35"/>
    <w:rsid w:val="00166E58"/>
    <w:rsid w:val="00166EB2"/>
    <w:rsid w:val="00166F1F"/>
    <w:rsid w:val="00167177"/>
    <w:rsid w:val="001672AA"/>
    <w:rsid w:val="00167765"/>
    <w:rsid w:val="00167CE8"/>
    <w:rsid w:val="00167EFA"/>
    <w:rsid w:val="00170047"/>
    <w:rsid w:val="00170168"/>
    <w:rsid w:val="001701D2"/>
    <w:rsid w:val="0017080D"/>
    <w:rsid w:val="00170933"/>
    <w:rsid w:val="00170976"/>
    <w:rsid w:val="00170B4E"/>
    <w:rsid w:val="00170DD1"/>
    <w:rsid w:val="00171091"/>
    <w:rsid w:val="001710D7"/>
    <w:rsid w:val="00171286"/>
    <w:rsid w:val="001712EC"/>
    <w:rsid w:val="00171566"/>
    <w:rsid w:val="001716D3"/>
    <w:rsid w:val="00171934"/>
    <w:rsid w:val="00171B64"/>
    <w:rsid w:val="00171CCC"/>
    <w:rsid w:val="00171EC7"/>
    <w:rsid w:val="00171FA9"/>
    <w:rsid w:val="0017222A"/>
    <w:rsid w:val="00172B4C"/>
    <w:rsid w:val="00172CFE"/>
    <w:rsid w:val="001731FA"/>
    <w:rsid w:val="00173330"/>
    <w:rsid w:val="0017374F"/>
    <w:rsid w:val="00173961"/>
    <w:rsid w:val="00173989"/>
    <w:rsid w:val="00173D30"/>
    <w:rsid w:val="001745D9"/>
    <w:rsid w:val="0017460F"/>
    <w:rsid w:val="001746A8"/>
    <w:rsid w:val="001749DB"/>
    <w:rsid w:val="00174BE8"/>
    <w:rsid w:val="00174C14"/>
    <w:rsid w:val="001751DD"/>
    <w:rsid w:val="001754D8"/>
    <w:rsid w:val="0017563B"/>
    <w:rsid w:val="00175685"/>
    <w:rsid w:val="0017576D"/>
    <w:rsid w:val="001758F0"/>
    <w:rsid w:val="00175F60"/>
    <w:rsid w:val="00175FDD"/>
    <w:rsid w:val="00176008"/>
    <w:rsid w:val="001760FB"/>
    <w:rsid w:val="001766E1"/>
    <w:rsid w:val="00176DC7"/>
    <w:rsid w:val="00176E69"/>
    <w:rsid w:val="00176F8E"/>
    <w:rsid w:val="0017727F"/>
    <w:rsid w:val="0017740D"/>
    <w:rsid w:val="001803AE"/>
    <w:rsid w:val="001804EC"/>
    <w:rsid w:val="0018069F"/>
    <w:rsid w:val="00180791"/>
    <w:rsid w:val="0018095D"/>
    <w:rsid w:val="00180B65"/>
    <w:rsid w:val="00180DCD"/>
    <w:rsid w:val="00180E51"/>
    <w:rsid w:val="00180E6F"/>
    <w:rsid w:val="00180FCE"/>
    <w:rsid w:val="00180FDA"/>
    <w:rsid w:val="00181251"/>
    <w:rsid w:val="00181282"/>
    <w:rsid w:val="001814AD"/>
    <w:rsid w:val="00181538"/>
    <w:rsid w:val="0018168B"/>
    <w:rsid w:val="00181BC5"/>
    <w:rsid w:val="00181CD3"/>
    <w:rsid w:val="00182033"/>
    <w:rsid w:val="0018242D"/>
    <w:rsid w:val="0018268C"/>
    <w:rsid w:val="00182E66"/>
    <w:rsid w:val="001830D2"/>
    <w:rsid w:val="0018388A"/>
    <w:rsid w:val="00183C16"/>
    <w:rsid w:val="00183C35"/>
    <w:rsid w:val="00183C9B"/>
    <w:rsid w:val="001840E0"/>
    <w:rsid w:val="00184631"/>
    <w:rsid w:val="00184CB8"/>
    <w:rsid w:val="00185725"/>
    <w:rsid w:val="00185782"/>
    <w:rsid w:val="00185AC2"/>
    <w:rsid w:val="00185F73"/>
    <w:rsid w:val="0018618B"/>
    <w:rsid w:val="001863D1"/>
    <w:rsid w:val="00186630"/>
    <w:rsid w:val="001867E7"/>
    <w:rsid w:val="00186993"/>
    <w:rsid w:val="00186A17"/>
    <w:rsid w:val="00186CAC"/>
    <w:rsid w:val="00186EBD"/>
    <w:rsid w:val="0018709F"/>
    <w:rsid w:val="00187AA4"/>
    <w:rsid w:val="00187EE6"/>
    <w:rsid w:val="0019089D"/>
    <w:rsid w:val="0019093E"/>
    <w:rsid w:val="00190BE2"/>
    <w:rsid w:val="00190C73"/>
    <w:rsid w:val="00191339"/>
    <w:rsid w:val="0019176E"/>
    <w:rsid w:val="00191CA7"/>
    <w:rsid w:val="00191E8F"/>
    <w:rsid w:val="0019217E"/>
    <w:rsid w:val="00192305"/>
    <w:rsid w:val="00192A65"/>
    <w:rsid w:val="00192A99"/>
    <w:rsid w:val="00193407"/>
    <w:rsid w:val="0019399A"/>
    <w:rsid w:val="001939EA"/>
    <w:rsid w:val="00194835"/>
    <w:rsid w:val="00194D40"/>
    <w:rsid w:val="00194E5A"/>
    <w:rsid w:val="00194F05"/>
    <w:rsid w:val="00195DF7"/>
    <w:rsid w:val="00195F78"/>
    <w:rsid w:val="00195F7C"/>
    <w:rsid w:val="001963ED"/>
    <w:rsid w:val="001968B2"/>
    <w:rsid w:val="00196BBA"/>
    <w:rsid w:val="00196FAF"/>
    <w:rsid w:val="00197027"/>
    <w:rsid w:val="001976FE"/>
    <w:rsid w:val="00197778"/>
    <w:rsid w:val="001A00FC"/>
    <w:rsid w:val="001A04D0"/>
    <w:rsid w:val="001A0680"/>
    <w:rsid w:val="001A08E0"/>
    <w:rsid w:val="001A0C74"/>
    <w:rsid w:val="001A0CF8"/>
    <w:rsid w:val="001A0D76"/>
    <w:rsid w:val="001A1454"/>
    <w:rsid w:val="001A1717"/>
    <w:rsid w:val="001A1718"/>
    <w:rsid w:val="001A19F8"/>
    <w:rsid w:val="001A2718"/>
    <w:rsid w:val="001A2A5D"/>
    <w:rsid w:val="001A3437"/>
    <w:rsid w:val="001A3530"/>
    <w:rsid w:val="001A3541"/>
    <w:rsid w:val="001A38F4"/>
    <w:rsid w:val="001A3B37"/>
    <w:rsid w:val="001A3B49"/>
    <w:rsid w:val="001A3B4C"/>
    <w:rsid w:val="001A3C50"/>
    <w:rsid w:val="001A4206"/>
    <w:rsid w:val="001A4228"/>
    <w:rsid w:val="001A4696"/>
    <w:rsid w:val="001A4CF9"/>
    <w:rsid w:val="001A515B"/>
    <w:rsid w:val="001A522F"/>
    <w:rsid w:val="001A5368"/>
    <w:rsid w:val="001A53C8"/>
    <w:rsid w:val="001A5CE5"/>
    <w:rsid w:val="001A5E62"/>
    <w:rsid w:val="001A5F93"/>
    <w:rsid w:val="001A6100"/>
    <w:rsid w:val="001A6143"/>
    <w:rsid w:val="001A6532"/>
    <w:rsid w:val="001A6626"/>
    <w:rsid w:val="001A6A07"/>
    <w:rsid w:val="001A7196"/>
    <w:rsid w:val="001A71CF"/>
    <w:rsid w:val="001A72C8"/>
    <w:rsid w:val="001A7334"/>
    <w:rsid w:val="001A7572"/>
    <w:rsid w:val="001A7573"/>
    <w:rsid w:val="001A7607"/>
    <w:rsid w:val="001A76C7"/>
    <w:rsid w:val="001A7793"/>
    <w:rsid w:val="001A7A78"/>
    <w:rsid w:val="001A7D4F"/>
    <w:rsid w:val="001A7D8C"/>
    <w:rsid w:val="001B024D"/>
    <w:rsid w:val="001B0340"/>
    <w:rsid w:val="001B0647"/>
    <w:rsid w:val="001B07C2"/>
    <w:rsid w:val="001B0865"/>
    <w:rsid w:val="001B0A22"/>
    <w:rsid w:val="001B0AF4"/>
    <w:rsid w:val="001B0BA0"/>
    <w:rsid w:val="001B0CE0"/>
    <w:rsid w:val="001B12E1"/>
    <w:rsid w:val="001B1605"/>
    <w:rsid w:val="001B1663"/>
    <w:rsid w:val="001B191D"/>
    <w:rsid w:val="001B1943"/>
    <w:rsid w:val="001B197E"/>
    <w:rsid w:val="001B1D9C"/>
    <w:rsid w:val="001B1E5F"/>
    <w:rsid w:val="001B272A"/>
    <w:rsid w:val="001B273E"/>
    <w:rsid w:val="001B278B"/>
    <w:rsid w:val="001B28B0"/>
    <w:rsid w:val="001B2C11"/>
    <w:rsid w:val="001B2D7B"/>
    <w:rsid w:val="001B2F52"/>
    <w:rsid w:val="001B2F75"/>
    <w:rsid w:val="001B3026"/>
    <w:rsid w:val="001B3397"/>
    <w:rsid w:val="001B34F1"/>
    <w:rsid w:val="001B37A2"/>
    <w:rsid w:val="001B39B7"/>
    <w:rsid w:val="001B3B01"/>
    <w:rsid w:val="001B3CAB"/>
    <w:rsid w:val="001B3E59"/>
    <w:rsid w:val="001B3FC6"/>
    <w:rsid w:val="001B410D"/>
    <w:rsid w:val="001B427F"/>
    <w:rsid w:val="001B4525"/>
    <w:rsid w:val="001B48C9"/>
    <w:rsid w:val="001B4942"/>
    <w:rsid w:val="001B5085"/>
    <w:rsid w:val="001B51C6"/>
    <w:rsid w:val="001B5890"/>
    <w:rsid w:val="001B58C2"/>
    <w:rsid w:val="001B5997"/>
    <w:rsid w:val="001B5999"/>
    <w:rsid w:val="001B5AD0"/>
    <w:rsid w:val="001B5C51"/>
    <w:rsid w:val="001B5C6E"/>
    <w:rsid w:val="001B5F81"/>
    <w:rsid w:val="001B5FFB"/>
    <w:rsid w:val="001B6EED"/>
    <w:rsid w:val="001B6F8C"/>
    <w:rsid w:val="001B70AD"/>
    <w:rsid w:val="001B7127"/>
    <w:rsid w:val="001B74E9"/>
    <w:rsid w:val="001B777E"/>
    <w:rsid w:val="001B784C"/>
    <w:rsid w:val="001B797C"/>
    <w:rsid w:val="001B7D11"/>
    <w:rsid w:val="001B7DAF"/>
    <w:rsid w:val="001B7E1E"/>
    <w:rsid w:val="001C0567"/>
    <w:rsid w:val="001C079C"/>
    <w:rsid w:val="001C0A2D"/>
    <w:rsid w:val="001C0ABC"/>
    <w:rsid w:val="001C0D92"/>
    <w:rsid w:val="001C0E98"/>
    <w:rsid w:val="001C1023"/>
    <w:rsid w:val="001C1061"/>
    <w:rsid w:val="001C11C6"/>
    <w:rsid w:val="001C16D5"/>
    <w:rsid w:val="001C1F9F"/>
    <w:rsid w:val="001C1FEF"/>
    <w:rsid w:val="001C214B"/>
    <w:rsid w:val="001C2751"/>
    <w:rsid w:val="001C2B7D"/>
    <w:rsid w:val="001C2C8B"/>
    <w:rsid w:val="001C2F72"/>
    <w:rsid w:val="001C318F"/>
    <w:rsid w:val="001C32B0"/>
    <w:rsid w:val="001C33B4"/>
    <w:rsid w:val="001C3778"/>
    <w:rsid w:val="001C378D"/>
    <w:rsid w:val="001C3803"/>
    <w:rsid w:val="001C3E7C"/>
    <w:rsid w:val="001C4124"/>
    <w:rsid w:val="001C425A"/>
    <w:rsid w:val="001C4850"/>
    <w:rsid w:val="001C48E2"/>
    <w:rsid w:val="001C4BAC"/>
    <w:rsid w:val="001C4C36"/>
    <w:rsid w:val="001C4EC4"/>
    <w:rsid w:val="001C5423"/>
    <w:rsid w:val="001C5886"/>
    <w:rsid w:val="001C5C6E"/>
    <w:rsid w:val="001C5E8C"/>
    <w:rsid w:val="001C6677"/>
    <w:rsid w:val="001C6988"/>
    <w:rsid w:val="001C6B24"/>
    <w:rsid w:val="001C6E16"/>
    <w:rsid w:val="001C7977"/>
    <w:rsid w:val="001C7DD6"/>
    <w:rsid w:val="001C7E8D"/>
    <w:rsid w:val="001D0E7D"/>
    <w:rsid w:val="001D0F1F"/>
    <w:rsid w:val="001D119D"/>
    <w:rsid w:val="001D153C"/>
    <w:rsid w:val="001D1602"/>
    <w:rsid w:val="001D18B8"/>
    <w:rsid w:val="001D1CCB"/>
    <w:rsid w:val="001D1ECB"/>
    <w:rsid w:val="001D2248"/>
    <w:rsid w:val="001D2555"/>
    <w:rsid w:val="001D2829"/>
    <w:rsid w:val="001D291C"/>
    <w:rsid w:val="001D295E"/>
    <w:rsid w:val="001D29D4"/>
    <w:rsid w:val="001D2E5C"/>
    <w:rsid w:val="001D30AF"/>
    <w:rsid w:val="001D33BE"/>
    <w:rsid w:val="001D3604"/>
    <w:rsid w:val="001D37F5"/>
    <w:rsid w:val="001D3EE0"/>
    <w:rsid w:val="001D4001"/>
    <w:rsid w:val="001D41D8"/>
    <w:rsid w:val="001D42A4"/>
    <w:rsid w:val="001D490B"/>
    <w:rsid w:val="001D4A9F"/>
    <w:rsid w:val="001D4BA8"/>
    <w:rsid w:val="001D4D95"/>
    <w:rsid w:val="001D5128"/>
    <w:rsid w:val="001D54C7"/>
    <w:rsid w:val="001D5662"/>
    <w:rsid w:val="001D5912"/>
    <w:rsid w:val="001D5AF6"/>
    <w:rsid w:val="001D5C33"/>
    <w:rsid w:val="001D5E34"/>
    <w:rsid w:val="001D5FED"/>
    <w:rsid w:val="001D65D8"/>
    <w:rsid w:val="001D668D"/>
    <w:rsid w:val="001D6720"/>
    <w:rsid w:val="001D6770"/>
    <w:rsid w:val="001D6DD1"/>
    <w:rsid w:val="001D73AD"/>
    <w:rsid w:val="001D73D9"/>
    <w:rsid w:val="001D78E1"/>
    <w:rsid w:val="001D7BF2"/>
    <w:rsid w:val="001E0073"/>
    <w:rsid w:val="001E02F3"/>
    <w:rsid w:val="001E067F"/>
    <w:rsid w:val="001E0C76"/>
    <w:rsid w:val="001E0D36"/>
    <w:rsid w:val="001E0F09"/>
    <w:rsid w:val="001E0F69"/>
    <w:rsid w:val="001E1DE3"/>
    <w:rsid w:val="001E20CE"/>
    <w:rsid w:val="001E20DE"/>
    <w:rsid w:val="001E2242"/>
    <w:rsid w:val="001E2340"/>
    <w:rsid w:val="001E26E8"/>
    <w:rsid w:val="001E2A51"/>
    <w:rsid w:val="001E2DF6"/>
    <w:rsid w:val="001E3053"/>
    <w:rsid w:val="001E3197"/>
    <w:rsid w:val="001E3594"/>
    <w:rsid w:val="001E3AEB"/>
    <w:rsid w:val="001E4196"/>
    <w:rsid w:val="001E4728"/>
    <w:rsid w:val="001E4B97"/>
    <w:rsid w:val="001E4D4C"/>
    <w:rsid w:val="001E4D51"/>
    <w:rsid w:val="001E4DCF"/>
    <w:rsid w:val="001E4EE8"/>
    <w:rsid w:val="001E55AD"/>
    <w:rsid w:val="001E5672"/>
    <w:rsid w:val="001E56AE"/>
    <w:rsid w:val="001E5921"/>
    <w:rsid w:val="001E5F80"/>
    <w:rsid w:val="001E63C8"/>
    <w:rsid w:val="001E6DA2"/>
    <w:rsid w:val="001E6EA0"/>
    <w:rsid w:val="001E7239"/>
    <w:rsid w:val="001E78D7"/>
    <w:rsid w:val="001E7B8A"/>
    <w:rsid w:val="001E7CE8"/>
    <w:rsid w:val="001E7FC7"/>
    <w:rsid w:val="001F01F5"/>
    <w:rsid w:val="001F0367"/>
    <w:rsid w:val="001F039A"/>
    <w:rsid w:val="001F05F5"/>
    <w:rsid w:val="001F09DF"/>
    <w:rsid w:val="001F0FE7"/>
    <w:rsid w:val="001F1228"/>
    <w:rsid w:val="001F124B"/>
    <w:rsid w:val="001F12A0"/>
    <w:rsid w:val="001F1565"/>
    <w:rsid w:val="001F15B8"/>
    <w:rsid w:val="001F188B"/>
    <w:rsid w:val="001F1964"/>
    <w:rsid w:val="001F1B26"/>
    <w:rsid w:val="001F1C2B"/>
    <w:rsid w:val="001F1C4D"/>
    <w:rsid w:val="001F1C8A"/>
    <w:rsid w:val="001F2023"/>
    <w:rsid w:val="001F2138"/>
    <w:rsid w:val="001F219C"/>
    <w:rsid w:val="001F21D8"/>
    <w:rsid w:val="001F2428"/>
    <w:rsid w:val="001F27EB"/>
    <w:rsid w:val="001F2F21"/>
    <w:rsid w:val="001F303D"/>
    <w:rsid w:val="001F30CC"/>
    <w:rsid w:val="001F30E2"/>
    <w:rsid w:val="001F3397"/>
    <w:rsid w:val="001F3641"/>
    <w:rsid w:val="001F39D2"/>
    <w:rsid w:val="001F3B8C"/>
    <w:rsid w:val="001F40B9"/>
    <w:rsid w:val="001F435E"/>
    <w:rsid w:val="001F43B8"/>
    <w:rsid w:val="001F484D"/>
    <w:rsid w:val="001F495C"/>
    <w:rsid w:val="001F49E4"/>
    <w:rsid w:val="001F4BFA"/>
    <w:rsid w:val="001F4CB5"/>
    <w:rsid w:val="001F4D17"/>
    <w:rsid w:val="001F4F26"/>
    <w:rsid w:val="001F523D"/>
    <w:rsid w:val="001F5321"/>
    <w:rsid w:val="001F53BB"/>
    <w:rsid w:val="001F54B7"/>
    <w:rsid w:val="001F54DF"/>
    <w:rsid w:val="001F5BFB"/>
    <w:rsid w:val="001F612E"/>
    <w:rsid w:val="001F6B74"/>
    <w:rsid w:val="001F6F0C"/>
    <w:rsid w:val="001F6F3F"/>
    <w:rsid w:val="001F7111"/>
    <w:rsid w:val="001F74F7"/>
    <w:rsid w:val="001F76C9"/>
    <w:rsid w:val="001F78AC"/>
    <w:rsid w:val="001F7BDD"/>
    <w:rsid w:val="001F7BEC"/>
    <w:rsid w:val="001F7E5B"/>
    <w:rsid w:val="00200097"/>
    <w:rsid w:val="0020041E"/>
    <w:rsid w:val="0020053C"/>
    <w:rsid w:val="002005E6"/>
    <w:rsid w:val="00200E9B"/>
    <w:rsid w:val="002013AA"/>
    <w:rsid w:val="0020184E"/>
    <w:rsid w:val="00201C82"/>
    <w:rsid w:val="002025B5"/>
    <w:rsid w:val="00202F5E"/>
    <w:rsid w:val="00202F71"/>
    <w:rsid w:val="002032EF"/>
    <w:rsid w:val="0020344A"/>
    <w:rsid w:val="00203632"/>
    <w:rsid w:val="00203A87"/>
    <w:rsid w:val="00203D48"/>
    <w:rsid w:val="00203F37"/>
    <w:rsid w:val="002047A6"/>
    <w:rsid w:val="0020485F"/>
    <w:rsid w:val="00204A76"/>
    <w:rsid w:val="00204CB5"/>
    <w:rsid w:val="00204EDD"/>
    <w:rsid w:val="002053EA"/>
    <w:rsid w:val="00205606"/>
    <w:rsid w:val="002057F1"/>
    <w:rsid w:val="002058BD"/>
    <w:rsid w:val="00205907"/>
    <w:rsid w:val="0020590F"/>
    <w:rsid w:val="00205995"/>
    <w:rsid w:val="002059AE"/>
    <w:rsid w:val="00205D50"/>
    <w:rsid w:val="002060BB"/>
    <w:rsid w:val="0020610E"/>
    <w:rsid w:val="00206B77"/>
    <w:rsid w:val="00206BA5"/>
    <w:rsid w:val="00206CB0"/>
    <w:rsid w:val="00206FB9"/>
    <w:rsid w:val="00207086"/>
    <w:rsid w:val="0020712B"/>
    <w:rsid w:val="00207350"/>
    <w:rsid w:val="0020756F"/>
    <w:rsid w:val="002075A1"/>
    <w:rsid w:val="002079CF"/>
    <w:rsid w:val="00207AE9"/>
    <w:rsid w:val="00207F1C"/>
    <w:rsid w:val="00207FE1"/>
    <w:rsid w:val="00210291"/>
    <w:rsid w:val="00210614"/>
    <w:rsid w:val="00210966"/>
    <w:rsid w:val="002119A5"/>
    <w:rsid w:val="00211A88"/>
    <w:rsid w:val="00211BCC"/>
    <w:rsid w:val="00211FAB"/>
    <w:rsid w:val="00212787"/>
    <w:rsid w:val="002128D8"/>
    <w:rsid w:val="00212DA3"/>
    <w:rsid w:val="00213450"/>
    <w:rsid w:val="00213BC1"/>
    <w:rsid w:val="00213F44"/>
    <w:rsid w:val="0021410D"/>
    <w:rsid w:val="0021411E"/>
    <w:rsid w:val="002147BB"/>
    <w:rsid w:val="002147C5"/>
    <w:rsid w:val="002148DE"/>
    <w:rsid w:val="00214B7A"/>
    <w:rsid w:val="00215002"/>
    <w:rsid w:val="002153E5"/>
    <w:rsid w:val="00215549"/>
    <w:rsid w:val="00215B30"/>
    <w:rsid w:val="00215F19"/>
    <w:rsid w:val="00216552"/>
    <w:rsid w:val="00216555"/>
    <w:rsid w:val="00216801"/>
    <w:rsid w:val="00216B9C"/>
    <w:rsid w:val="00216C50"/>
    <w:rsid w:val="00216E03"/>
    <w:rsid w:val="00216E92"/>
    <w:rsid w:val="00217022"/>
    <w:rsid w:val="0021758C"/>
    <w:rsid w:val="002176A2"/>
    <w:rsid w:val="00217C07"/>
    <w:rsid w:val="00217D21"/>
    <w:rsid w:val="0022010F"/>
    <w:rsid w:val="00220236"/>
    <w:rsid w:val="002207BD"/>
    <w:rsid w:val="00220D1D"/>
    <w:rsid w:val="00221623"/>
    <w:rsid w:val="0022170E"/>
    <w:rsid w:val="00221935"/>
    <w:rsid w:val="00221C41"/>
    <w:rsid w:val="00221C65"/>
    <w:rsid w:val="00222191"/>
    <w:rsid w:val="002221D2"/>
    <w:rsid w:val="002221EE"/>
    <w:rsid w:val="00222290"/>
    <w:rsid w:val="002222DE"/>
    <w:rsid w:val="002224D2"/>
    <w:rsid w:val="002225FB"/>
    <w:rsid w:val="00222BBA"/>
    <w:rsid w:val="00222E9E"/>
    <w:rsid w:val="00222EAE"/>
    <w:rsid w:val="00222FAE"/>
    <w:rsid w:val="002234CB"/>
    <w:rsid w:val="00223A58"/>
    <w:rsid w:val="00223C3F"/>
    <w:rsid w:val="00223CA6"/>
    <w:rsid w:val="00223D0E"/>
    <w:rsid w:val="00224034"/>
    <w:rsid w:val="002245A1"/>
    <w:rsid w:val="002245FF"/>
    <w:rsid w:val="00224641"/>
    <w:rsid w:val="002246BB"/>
    <w:rsid w:val="00224822"/>
    <w:rsid w:val="00224AF9"/>
    <w:rsid w:val="002252C8"/>
    <w:rsid w:val="002256DD"/>
    <w:rsid w:val="00226202"/>
    <w:rsid w:val="00226260"/>
    <w:rsid w:val="002262C4"/>
    <w:rsid w:val="002263DB"/>
    <w:rsid w:val="00226460"/>
    <w:rsid w:val="00226478"/>
    <w:rsid w:val="0022680F"/>
    <w:rsid w:val="00227329"/>
    <w:rsid w:val="00227845"/>
    <w:rsid w:val="00227B27"/>
    <w:rsid w:val="00227CBC"/>
    <w:rsid w:val="00227ECC"/>
    <w:rsid w:val="00227F24"/>
    <w:rsid w:val="00230136"/>
    <w:rsid w:val="00230510"/>
    <w:rsid w:val="002308F2"/>
    <w:rsid w:val="00230A92"/>
    <w:rsid w:val="00230C21"/>
    <w:rsid w:val="00230D06"/>
    <w:rsid w:val="00230D91"/>
    <w:rsid w:val="00231059"/>
    <w:rsid w:val="00231180"/>
    <w:rsid w:val="002312BD"/>
    <w:rsid w:val="002314A4"/>
    <w:rsid w:val="0023150B"/>
    <w:rsid w:val="0023157D"/>
    <w:rsid w:val="00231728"/>
    <w:rsid w:val="00231830"/>
    <w:rsid w:val="0023185F"/>
    <w:rsid w:val="00231AE3"/>
    <w:rsid w:val="00231C90"/>
    <w:rsid w:val="00231E49"/>
    <w:rsid w:val="002320F4"/>
    <w:rsid w:val="00232202"/>
    <w:rsid w:val="00232280"/>
    <w:rsid w:val="0023282D"/>
    <w:rsid w:val="002328A8"/>
    <w:rsid w:val="00232ABF"/>
    <w:rsid w:val="00232D98"/>
    <w:rsid w:val="00232F70"/>
    <w:rsid w:val="002331DF"/>
    <w:rsid w:val="00233474"/>
    <w:rsid w:val="0023357D"/>
    <w:rsid w:val="00233627"/>
    <w:rsid w:val="00233720"/>
    <w:rsid w:val="00233B50"/>
    <w:rsid w:val="0023401B"/>
    <w:rsid w:val="002346F6"/>
    <w:rsid w:val="0023484C"/>
    <w:rsid w:val="00234A07"/>
    <w:rsid w:val="00234AF0"/>
    <w:rsid w:val="00234E6C"/>
    <w:rsid w:val="0023511A"/>
    <w:rsid w:val="00235721"/>
    <w:rsid w:val="0023591F"/>
    <w:rsid w:val="00235A33"/>
    <w:rsid w:val="00235AE3"/>
    <w:rsid w:val="00235C64"/>
    <w:rsid w:val="00235DE5"/>
    <w:rsid w:val="002366C3"/>
    <w:rsid w:val="00236BC2"/>
    <w:rsid w:val="00236E2B"/>
    <w:rsid w:val="00236FF2"/>
    <w:rsid w:val="002375E6"/>
    <w:rsid w:val="0023767D"/>
    <w:rsid w:val="00237778"/>
    <w:rsid w:val="002377B4"/>
    <w:rsid w:val="00237949"/>
    <w:rsid w:val="00237A4D"/>
    <w:rsid w:val="00237AA7"/>
    <w:rsid w:val="00237DD1"/>
    <w:rsid w:val="00237FD3"/>
    <w:rsid w:val="00240121"/>
    <w:rsid w:val="002404AB"/>
    <w:rsid w:val="0024081F"/>
    <w:rsid w:val="00240874"/>
    <w:rsid w:val="002411B4"/>
    <w:rsid w:val="00241359"/>
    <w:rsid w:val="0024193F"/>
    <w:rsid w:val="002419BD"/>
    <w:rsid w:val="00241B2F"/>
    <w:rsid w:val="00241C42"/>
    <w:rsid w:val="002420F0"/>
    <w:rsid w:val="00242244"/>
    <w:rsid w:val="002422B7"/>
    <w:rsid w:val="00242447"/>
    <w:rsid w:val="00242753"/>
    <w:rsid w:val="0024284C"/>
    <w:rsid w:val="002428FE"/>
    <w:rsid w:val="00242991"/>
    <w:rsid w:val="00242A0B"/>
    <w:rsid w:val="00242DEB"/>
    <w:rsid w:val="00242FBE"/>
    <w:rsid w:val="0024305C"/>
    <w:rsid w:val="00243B0C"/>
    <w:rsid w:val="0024402C"/>
    <w:rsid w:val="00244352"/>
    <w:rsid w:val="002443F4"/>
    <w:rsid w:val="00244457"/>
    <w:rsid w:val="00244B38"/>
    <w:rsid w:val="00244C50"/>
    <w:rsid w:val="002450EA"/>
    <w:rsid w:val="00245183"/>
    <w:rsid w:val="0024523D"/>
    <w:rsid w:val="0024532F"/>
    <w:rsid w:val="002456E8"/>
    <w:rsid w:val="0024589E"/>
    <w:rsid w:val="00245AEA"/>
    <w:rsid w:val="00245F11"/>
    <w:rsid w:val="002462E0"/>
    <w:rsid w:val="0024677C"/>
    <w:rsid w:val="00246780"/>
    <w:rsid w:val="00246BD0"/>
    <w:rsid w:val="00246DD9"/>
    <w:rsid w:val="002470BE"/>
    <w:rsid w:val="0024734A"/>
    <w:rsid w:val="002474C1"/>
    <w:rsid w:val="00247585"/>
    <w:rsid w:val="00247603"/>
    <w:rsid w:val="002478A2"/>
    <w:rsid w:val="00247B29"/>
    <w:rsid w:val="00247F7E"/>
    <w:rsid w:val="00250373"/>
    <w:rsid w:val="00250512"/>
    <w:rsid w:val="002506AA"/>
    <w:rsid w:val="00250781"/>
    <w:rsid w:val="00250A92"/>
    <w:rsid w:val="00250B53"/>
    <w:rsid w:val="002518C9"/>
    <w:rsid w:val="00251DAC"/>
    <w:rsid w:val="00251FC0"/>
    <w:rsid w:val="0025208D"/>
    <w:rsid w:val="00252165"/>
    <w:rsid w:val="00252198"/>
    <w:rsid w:val="002522C4"/>
    <w:rsid w:val="00252570"/>
    <w:rsid w:val="002526C9"/>
    <w:rsid w:val="002526F9"/>
    <w:rsid w:val="00252997"/>
    <w:rsid w:val="002534CC"/>
    <w:rsid w:val="002539CA"/>
    <w:rsid w:val="00253ABE"/>
    <w:rsid w:val="00253B31"/>
    <w:rsid w:val="00253C82"/>
    <w:rsid w:val="00253F63"/>
    <w:rsid w:val="00254B16"/>
    <w:rsid w:val="00254CD5"/>
    <w:rsid w:val="00254ED1"/>
    <w:rsid w:val="0025507C"/>
    <w:rsid w:val="002552A9"/>
    <w:rsid w:val="00255508"/>
    <w:rsid w:val="002557D2"/>
    <w:rsid w:val="002559B0"/>
    <w:rsid w:val="00255B1D"/>
    <w:rsid w:val="00256323"/>
    <w:rsid w:val="00256467"/>
    <w:rsid w:val="00256957"/>
    <w:rsid w:val="00256E16"/>
    <w:rsid w:val="00256F04"/>
    <w:rsid w:val="00256F5E"/>
    <w:rsid w:val="00257533"/>
    <w:rsid w:val="0025782C"/>
    <w:rsid w:val="00257AA3"/>
    <w:rsid w:val="00257CFD"/>
    <w:rsid w:val="00257E6C"/>
    <w:rsid w:val="00257ECD"/>
    <w:rsid w:val="0026007A"/>
    <w:rsid w:val="002603C5"/>
    <w:rsid w:val="002605D0"/>
    <w:rsid w:val="00260604"/>
    <w:rsid w:val="00260758"/>
    <w:rsid w:val="00260DA5"/>
    <w:rsid w:val="00260E07"/>
    <w:rsid w:val="00260E9A"/>
    <w:rsid w:val="0026126E"/>
    <w:rsid w:val="00261604"/>
    <w:rsid w:val="002616D1"/>
    <w:rsid w:val="002618FF"/>
    <w:rsid w:val="00261AAF"/>
    <w:rsid w:val="00261AE2"/>
    <w:rsid w:val="00261EBD"/>
    <w:rsid w:val="002622F7"/>
    <w:rsid w:val="002624DA"/>
    <w:rsid w:val="002627FE"/>
    <w:rsid w:val="00262979"/>
    <w:rsid w:val="00262ABA"/>
    <w:rsid w:val="00262D90"/>
    <w:rsid w:val="00262E1F"/>
    <w:rsid w:val="00262FC4"/>
    <w:rsid w:val="002634BD"/>
    <w:rsid w:val="00263E2C"/>
    <w:rsid w:val="0026422C"/>
    <w:rsid w:val="00264259"/>
    <w:rsid w:val="00264279"/>
    <w:rsid w:val="00264304"/>
    <w:rsid w:val="002644C0"/>
    <w:rsid w:val="002647D0"/>
    <w:rsid w:val="00264913"/>
    <w:rsid w:val="002649F2"/>
    <w:rsid w:val="00264A90"/>
    <w:rsid w:val="00264AC1"/>
    <w:rsid w:val="00264B93"/>
    <w:rsid w:val="00264C61"/>
    <w:rsid w:val="00264EFC"/>
    <w:rsid w:val="00264F55"/>
    <w:rsid w:val="00265965"/>
    <w:rsid w:val="00265D89"/>
    <w:rsid w:val="00265ECD"/>
    <w:rsid w:val="002662CD"/>
    <w:rsid w:val="002663AD"/>
    <w:rsid w:val="002663BA"/>
    <w:rsid w:val="00266745"/>
    <w:rsid w:val="002667BC"/>
    <w:rsid w:val="002667D5"/>
    <w:rsid w:val="00266923"/>
    <w:rsid w:val="00266A13"/>
    <w:rsid w:val="00266D62"/>
    <w:rsid w:val="00266F67"/>
    <w:rsid w:val="00267017"/>
    <w:rsid w:val="002671F4"/>
    <w:rsid w:val="002672BB"/>
    <w:rsid w:val="00267362"/>
    <w:rsid w:val="0026738A"/>
    <w:rsid w:val="00267415"/>
    <w:rsid w:val="0026764B"/>
    <w:rsid w:val="00267D9D"/>
    <w:rsid w:val="00267F6F"/>
    <w:rsid w:val="0027006C"/>
    <w:rsid w:val="00270A0D"/>
    <w:rsid w:val="00270AD5"/>
    <w:rsid w:val="00271097"/>
    <w:rsid w:val="002710DD"/>
    <w:rsid w:val="002714E0"/>
    <w:rsid w:val="00271BAE"/>
    <w:rsid w:val="00271C2E"/>
    <w:rsid w:val="00271D7C"/>
    <w:rsid w:val="00272078"/>
    <w:rsid w:val="00272128"/>
    <w:rsid w:val="002724B9"/>
    <w:rsid w:val="002725AE"/>
    <w:rsid w:val="002727E2"/>
    <w:rsid w:val="00273013"/>
    <w:rsid w:val="002730E8"/>
    <w:rsid w:val="002734E6"/>
    <w:rsid w:val="0027354E"/>
    <w:rsid w:val="002735BE"/>
    <w:rsid w:val="002738CA"/>
    <w:rsid w:val="00273C88"/>
    <w:rsid w:val="00273E6C"/>
    <w:rsid w:val="00274B3D"/>
    <w:rsid w:val="0027512C"/>
    <w:rsid w:val="0027554D"/>
    <w:rsid w:val="00275640"/>
    <w:rsid w:val="002762A9"/>
    <w:rsid w:val="0027654C"/>
    <w:rsid w:val="00276A45"/>
    <w:rsid w:val="00276DE0"/>
    <w:rsid w:val="00276EDF"/>
    <w:rsid w:val="00277088"/>
    <w:rsid w:val="00277187"/>
    <w:rsid w:val="002771BB"/>
    <w:rsid w:val="002771E9"/>
    <w:rsid w:val="00277249"/>
    <w:rsid w:val="00277571"/>
    <w:rsid w:val="002775EF"/>
    <w:rsid w:val="00277855"/>
    <w:rsid w:val="0028000E"/>
    <w:rsid w:val="00280267"/>
    <w:rsid w:val="00280382"/>
    <w:rsid w:val="002805E3"/>
    <w:rsid w:val="00280603"/>
    <w:rsid w:val="0028069B"/>
    <w:rsid w:val="0028080F"/>
    <w:rsid w:val="002810C1"/>
    <w:rsid w:val="0028130B"/>
    <w:rsid w:val="002813EF"/>
    <w:rsid w:val="0028179A"/>
    <w:rsid w:val="00281E87"/>
    <w:rsid w:val="00282104"/>
    <w:rsid w:val="00282197"/>
    <w:rsid w:val="00282201"/>
    <w:rsid w:val="002822F1"/>
    <w:rsid w:val="00282586"/>
    <w:rsid w:val="002826D4"/>
    <w:rsid w:val="00282935"/>
    <w:rsid w:val="002829C9"/>
    <w:rsid w:val="002829EF"/>
    <w:rsid w:val="00282DC1"/>
    <w:rsid w:val="00282FB0"/>
    <w:rsid w:val="002831A3"/>
    <w:rsid w:val="0028326C"/>
    <w:rsid w:val="00283702"/>
    <w:rsid w:val="0028377C"/>
    <w:rsid w:val="00283EBD"/>
    <w:rsid w:val="0028438B"/>
    <w:rsid w:val="002844CF"/>
    <w:rsid w:val="00284877"/>
    <w:rsid w:val="00284AB6"/>
    <w:rsid w:val="00284B1F"/>
    <w:rsid w:val="00284FC1"/>
    <w:rsid w:val="002852CE"/>
    <w:rsid w:val="0028557A"/>
    <w:rsid w:val="00285A3F"/>
    <w:rsid w:val="00285BAC"/>
    <w:rsid w:val="00285FA2"/>
    <w:rsid w:val="0028608F"/>
    <w:rsid w:val="002862D0"/>
    <w:rsid w:val="0028635A"/>
    <w:rsid w:val="002863B4"/>
    <w:rsid w:val="00286419"/>
    <w:rsid w:val="002866FC"/>
    <w:rsid w:val="00286CC0"/>
    <w:rsid w:val="00286F2B"/>
    <w:rsid w:val="0028701D"/>
    <w:rsid w:val="002870B6"/>
    <w:rsid w:val="0028730A"/>
    <w:rsid w:val="00287359"/>
    <w:rsid w:val="002874F4"/>
    <w:rsid w:val="002876B1"/>
    <w:rsid w:val="002878BB"/>
    <w:rsid w:val="00287A45"/>
    <w:rsid w:val="00287BA1"/>
    <w:rsid w:val="00287ED6"/>
    <w:rsid w:val="00290453"/>
    <w:rsid w:val="00290EAA"/>
    <w:rsid w:val="0029114C"/>
    <w:rsid w:val="00291170"/>
    <w:rsid w:val="00291502"/>
    <w:rsid w:val="0029214D"/>
    <w:rsid w:val="0029230E"/>
    <w:rsid w:val="0029253C"/>
    <w:rsid w:val="00292A22"/>
    <w:rsid w:val="00292A6F"/>
    <w:rsid w:val="00292C8B"/>
    <w:rsid w:val="00292CD1"/>
    <w:rsid w:val="00293318"/>
    <w:rsid w:val="002933C3"/>
    <w:rsid w:val="002937E8"/>
    <w:rsid w:val="00293806"/>
    <w:rsid w:val="00293E1C"/>
    <w:rsid w:val="002940B0"/>
    <w:rsid w:val="00294328"/>
    <w:rsid w:val="0029457D"/>
    <w:rsid w:val="0029465F"/>
    <w:rsid w:val="00294A00"/>
    <w:rsid w:val="00295A06"/>
    <w:rsid w:val="00295BC2"/>
    <w:rsid w:val="0029694E"/>
    <w:rsid w:val="0029699F"/>
    <w:rsid w:val="00296DC8"/>
    <w:rsid w:val="00296ED6"/>
    <w:rsid w:val="00296FFA"/>
    <w:rsid w:val="002971C6"/>
    <w:rsid w:val="002972DA"/>
    <w:rsid w:val="002972EE"/>
    <w:rsid w:val="00297662"/>
    <w:rsid w:val="00297879"/>
    <w:rsid w:val="00297B39"/>
    <w:rsid w:val="00297BCC"/>
    <w:rsid w:val="00297D4F"/>
    <w:rsid w:val="00297F77"/>
    <w:rsid w:val="002A0238"/>
    <w:rsid w:val="002A0320"/>
    <w:rsid w:val="002A052D"/>
    <w:rsid w:val="002A0619"/>
    <w:rsid w:val="002A0633"/>
    <w:rsid w:val="002A0847"/>
    <w:rsid w:val="002A08A2"/>
    <w:rsid w:val="002A08FB"/>
    <w:rsid w:val="002A0ABC"/>
    <w:rsid w:val="002A172B"/>
    <w:rsid w:val="002A18F5"/>
    <w:rsid w:val="002A1B2D"/>
    <w:rsid w:val="002A1C68"/>
    <w:rsid w:val="002A1D93"/>
    <w:rsid w:val="002A1E4A"/>
    <w:rsid w:val="002A1EA2"/>
    <w:rsid w:val="002A213B"/>
    <w:rsid w:val="002A2181"/>
    <w:rsid w:val="002A222E"/>
    <w:rsid w:val="002A23B7"/>
    <w:rsid w:val="002A25FD"/>
    <w:rsid w:val="002A2704"/>
    <w:rsid w:val="002A284E"/>
    <w:rsid w:val="002A30A3"/>
    <w:rsid w:val="002A30B2"/>
    <w:rsid w:val="002A331E"/>
    <w:rsid w:val="002A3333"/>
    <w:rsid w:val="002A356E"/>
    <w:rsid w:val="002A365D"/>
    <w:rsid w:val="002A3908"/>
    <w:rsid w:val="002A3CC2"/>
    <w:rsid w:val="002A3D38"/>
    <w:rsid w:val="002A3EBB"/>
    <w:rsid w:val="002A404F"/>
    <w:rsid w:val="002A4105"/>
    <w:rsid w:val="002A4178"/>
    <w:rsid w:val="002A41EE"/>
    <w:rsid w:val="002A4382"/>
    <w:rsid w:val="002A475A"/>
    <w:rsid w:val="002A4765"/>
    <w:rsid w:val="002A4919"/>
    <w:rsid w:val="002A4A74"/>
    <w:rsid w:val="002A4DBB"/>
    <w:rsid w:val="002A511F"/>
    <w:rsid w:val="002A5427"/>
    <w:rsid w:val="002A5429"/>
    <w:rsid w:val="002A542E"/>
    <w:rsid w:val="002A55BC"/>
    <w:rsid w:val="002A5D93"/>
    <w:rsid w:val="002A5E5B"/>
    <w:rsid w:val="002A60A3"/>
    <w:rsid w:val="002A60C1"/>
    <w:rsid w:val="002A6292"/>
    <w:rsid w:val="002A6358"/>
    <w:rsid w:val="002A689E"/>
    <w:rsid w:val="002A79D5"/>
    <w:rsid w:val="002A7A74"/>
    <w:rsid w:val="002B01C2"/>
    <w:rsid w:val="002B025E"/>
    <w:rsid w:val="002B0308"/>
    <w:rsid w:val="002B03A1"/>
    <w:rsid w:val="002B0815"/>
    <w:rsid w:val="002B0886"/>
    <w:rsid w:val="002B08FB"/>
    <w:rsid w:val="002B0A8F"/>
    <w:rsid w:val="002B0C3A"/>
    <w:rsid w:val="002B0DEC"/>
    <w:rsid w:val="002B0E3A"/>
    <w:rsid w:val="002B10F7"/>
    <w:rsid w:val="002B123D"/>
    <w:rsid w:val="002B12C2"/>
    <w:rsid w:val="002B1342"/>
    <w:rsid w:val="002B13DE"/>
    <w:rsid w:val="002B1561"/>
    <w:rsid w:val="002B15EC"/>
    <w:rsid w:val="002B163B"/>
    <w:rsid w:val="002B1928"/>
    <w:rsid w:val="002B1A8E"/>
    <w:rsid w:val="002B1B53"/>
    <w:rsid w:val="002B1BB8"/>
    <w:rsid w:val="002B1CD1"/>
    <w:rsid w:val="002B1D02"/>
    <w:rsid w:val="002B20AD"/>
    <w:rsid w:val="002B2250"/>
    <w:rsid w:val="002B2267"/>
    <w:rsid w:val="002B2353"/>
    <w:rsid w:val="002B2576"/>
    <w:rsid w:val="002B26C0"/>
    <w:rsid w:val="002B3B7C"/>
    <w:rsid w:val="002B48BA"/>
    <w:rsid w:val="002B4E58"/>
    <w:rsid w:val="002B5938"/>
    <w:rsid w:val="002B5AFD"/>
    <w:rsid w:val="002B5BB5"/>
    <w:rsid w:val="002B5CDE"/>
    <w:rsid w:val="002B5D8E"/>
    <w:rsid w:val="002B601A"/>
    <w:rsid w:val="002B66E6"/>
    <w:rsid w:val="002B6A2B"/>
    <w:rsid w:val="002B6AEB"/>
    <w:rsid w:val="002B71CB"/>
    <w:rsid w:val="002B7360"/>
    <w:rsid w:val="002B7463"/>
    <w:rsid w:val="002B76BC"/>
    <w:rsid w:val="002C022F"/>
    <w:rsid w:val="002C0308"/>
    <w:rsid w:val="002C0414"/>
    <w:rsid w:val="002C0D6C"/>
    <w:rsid w:val="002C0DBD"/>
    <w:rsid w:val="002C0F81"/>
    <w:rsid w:val="002C11AB"/>
    <w:rsid w:val="002C14ED"/>
    <w:rsid w:val="002C159E"/>
    <w:rsid w:val="002C16B8"/>
    <w:rsid w:val="002C1DB8"/>
    <w:rsid w:val="002C1E94"/>
    <w:rsid w:val="002C1F35"/>
    <w:rsid w:val="002C2412"/>
    <w:rsid w:val="002C2474"/>
    <w:rsid w:val="002C2AFA"/>
    <w:rsid w:val="002C3204"/>
    <w:rsid w:val="002C34E6"/>
    <w:rsid w:val="002C3891"/>
    <w:rsid w:val="002C40B5"/>
    <w:rsid w:val="002C4128"/>
    <w:rsid w:val="002C42E9"/>
    <w:rsid w:val="002C4399"/>
    <w:rsid w:val="002C43EA"/>
    <w:rsid w:val="002C4641"/>
    <w:rsid w:val="002C4710"/>
    <w:rsid w:val="002C4DC3"/>
    <w:rsid w:val="002C4F8E"/>
    <w:rsid w:val="002C50EC"/>
    <w:rsid w:val="002C53B7"/>
    <w:rsid w:val="002C5F0E"/>
    <w:rsid w:val="002C5F2D"/>
    <w:rsid w:val="002C5F69"/>
    <w:rsid w:val="002C625B"/>
    <w:rsid w:val="002C6B65"/>
    <w:rsid w:val="002C7080"/>
    <w:rsid w:val="002C743C"/>
    <w:rsid w:val="002C74D1"/>
    <w:rsid w:val="002C7C04"/>
    <w:rsid w:val="002C7E3B"/>
    <w:rsid w:val="002D0050"/>
    <w:rsid w:val="002D0394"/>
    <w:rsid w:val="002D05CC"/>
    <w:rsid w:val="002D07D7"/>
    <w:rsid w:val="002D0AFD"/>
    <w:rsid w:val="002D1013"/>
    <w:rsid w:val="002D13E1"/>
    <w:rsid w:val="002D1692"/>
    <w:rsid w:val="002D1DCF"/>
    <w:rsid w:val="002D2235"/>
    <w:rsid w:val="002D23D0"/>
    <w:rsid w:val="002D23DA"/>
    <w:rsid w:val="002D2486"/>
    <w:rsid w:val="002D25DD"/>
    <w:rsid w:val="002D25FA"/>
    <w:rsid w:val="002D28F6"/>
    <w:rsid w:val="002D2A70"/>
    <w:rsid w:val="002D2AF3"/>
    <w:rsid w:val="002D2AF9"/>
    <w:rsid w:val="002D2BBD"/>
    <w:rsid w:val="002D3058"/>
    <w:rsid w:val="002D31C0"/>
    <w:rsid w:val="002D3C6C"/>
    <w:rsid w:val="002D3D50"/>
    <w:rsid w:val="002D4004"/>
    <w:rsid w:val="002D40E5"/>
    <w:rsid w:val="002D4588"/>
    <w:rsid w:val="002D4830"/>
    <w:rsid w:val="002D4839"/>
    <w:rsid w:val="002D4A10"/>
    <w:rsid w:val="002D4C82"/>
    <w:rsid w:val="002D5130"/>
    <w:rsid w:val="002D52E8"/>
    <w:rsid w:val="002D580B"/>
    <w:rsid w:val="002D61B3"/>
    <w:rsid w:val="002D61F5"/>
    <w:rsid w:val="002D62BE"/>
    <w:rsid w:val="002D6340"/>
    <w:rsid w:val="002D6354"/>
    <w:rsid w:val="002D65E9"/>
    <w:rsid w:val="002D6782"/>
    <w:rsid w:val="002D68BA"/>
    <w:rsid w:val="002D69D0"/>
    <w:rsid w:val="002D69EF"/>
    <w:rsid w:val="002D6C15"/>
    <w:rsid w:val="002D6E67"/>
    <w:rsid w:val="002D7026"/>
    <w:rsid w:val="002D715F"/>
    <w:rsid w:val="002D734F"/>
    <w:rsid w:val="002D7351"/>
    <w:rsid w:val="002D73F6"/>
    <w:rsid w:val="002D74C1"/>
    <w:rsid w:val="002D7524"/>
    <w:rsid w:val="002D7645"/>
    <w:rsid w:val="002D77BB"/>
    <w:rsid w:val="002D79B3"/>
    <w:rsid w:val="002D7B82"/>
    <w:rsid w:val="002D7DD9"/>
    <w:rsid w:val="002E0216"/>
    <w:rsid w:val="002E037A"/>
    <w:rsid w:val="002E0BB8"/>
    <w:rsid w:val="002E0D0B"/>
    <w:rsid w:val="002E1088"/>
    <w:rsid w:val="002E12E2"/>
    <w:rsid w:val="002E15BE"/>
    <w:rsid w:val="002E1994"/>
    <w:rsid w:val="002E1AD7"/>
    <w:rsid w:val="002E1C4A"/>
    <w:rsid w:val="002E1C93"/>
    <w:rsid w:val="002E1CA3"/>
    <w:rsid w:val="002E2426"/>
    <w:rsid w:val="002E264D"/>
    <w:rsid w:val="002E2741"/>
    <w:rsid w:val="002E2842"/>
    <w:rsid w:val="002E2946"/>
    <w:rsid w:val="002E2BBA"/>
    <w:rsid w:val="002E2EA7"/>
    <w:rsid w:val="002E2EF7"/>
    <w:rsid w:val="002E300F"/>
    <w:rsid w:val="002E34AE"/>
    <w:rsid w:val="002E3560"/>
    <w:rsid w:val="002E3AE5"/>
    <w:rsid w:val="002E3C9C"/>
    <w:rsid w:val="002E3D00"/>
    <w:rsid w:val="002E3E42"/>
    <w:rsid w:val="002E400D"/>
    <w:rsid w:val="002E4131"/>
    <w:rsid w:val="002E4194"/>
    <w:rsid w:val="002E427A"/>
    <w:rsid w:val="002E4632"/>
    <w:rsid w:val="002E46D2"/>
    <w:rsid w:val="002E485C"/>
    <w:rsid w:val="002E4A38"/>
    <w:rsid w:val="002E50AF"/>
    <w:rsid w:val="002E5114"/>
    <w:rsid w:val="002E5137"/>
    <w:rsid w:val="002E51B6"/>
    <w:rsid w:val="002E56E6"/>
    <w:rsid w:val="002E57DA"/>
    <w:rsid w:val="002E5907"/>
    <w:rsid w:val="002E5EB6"/>
    <w:rsid w:val="002E5FB8"/>
    <w:rsid w:val="002E6599"/>
    <w:rsid w:val="002E6609"/>
    <w:rsid w:val="002E6645"/>
    <w:rsid w:val="002E6681"/>
    <w:rsid w:val="002E66C8"/>
    <w:rsid w:val="002E6B96"/>
    <w:rsid w:val="002E76D4"/>
    <w:rsid w:val="002E7CD7"/>
    <w:rsid w:val="002E7F68"/>
    <w:rsid w:val="002F0354"/>
    <w:rsid w:val="002F0503"/>
    <w:rsid w:val="002F0706"/>
    <w:rsid w:val="002F0744"/>
    <w:rsid w:val="002F0D7A"/>
    <w:rsid w:val="002F1012"/>
    <w:rsid w:val="002F1170"/>
    <w:rsid w:val="002F15B6"/>
    <w:rsid w:val="002F171A"/>
    <w:rsid w:val="002F1CE0"/>
    <w:rsid w:val="002F1E94"/>
    <w:rsid w:val="002F2250"/>
    <w:rsid w:val="002F2690"/>
    <w:rsid w:val="002F26F2"/>
    <w:rsid w:val="002F2734"/>
    <w:rsid w:val="002F2976"/>
    <w:rsid w:val="002F2AEB"/>
    <w:rsid w:val="002F2D2E"/>
    <w:rsid w:val="002F2D3C"/>
    <w:rsid w:val="002F2E92"/>
    <w:rsid w:val="002F305B"/>
    <w:rsid w:val="002F33D6"/>
    <w:rsid w:val="002F3565"/>
    <w:rsid w:val="002F38A2"/>
    <w:rsid w:val="002F3AEA"/>
    <w:rsid w:val="002F3C49"/>
    <w:rsid w:val="002F3D43"/>
    <w:rsid w:val="002F3D6C"/>
    <w:rsid w:val="002F3F14"/>
    <w:rsid w:val="002F3F85"/>
    <w:rsid w:val="002F4051"/>
    <w:rsid w:val="002F455B"/>
    <w:rsid w:val="002F4BBF"/>
    <w:rsid w:val="002F4D11"/>
    <w:rsid w:val="002F4D8B"/>
    <w:rsid w:val="002F4F1A"/>
    <w:rsid w:val="002F4F52"/>
    <w:rsid w:val="002F5886"/>
    <w:rsid w:val="002F5B4B"/>
    <w:rsid w:val="002F632B"/>
    <w:rsid w:val="002F64CB"/>
    <w:rsid w:val="002F653D"/>
    <w:rsid w:val="002F6583"/>
    <w:rsid w:val="002F6918"/>
    <w:rsid w:val="002F6D99"/>
    <w:rsid w:val="002F6E4C"/>
    <w:rsid w:val="002F7155"/>
    <w:rsid w:val="002F7313"/>
    <w:rsid w:val="002F7317"/>
    <w:rsid w:val="002F7519"/>
    <w:rsid w:val="002F7570"/>
    <w:rsid w:val="002F75EF"/>
    <w:rsid w:val="002F78C4"/>
    <w:rsid w:val="002F7C11"/>
    <w:rsid w:val="002F7C35"/>
    <w:rsid w:val="00300425"/>
    <w:rsid w:val="00300868"/>
    <w:rsid w:val="00300A2A"/>
    <w:rsid w:val="00300B49"/>
    <w:rsid w:val="00300D30"/>
    <w:rsid w:val="00301064"/>
    <w:rsid w:val="003011A8"/>
    <w:rsid w:val="00301293"/>
    <w:rsid w:val="003012A2"/>
    <w:rsid w:val="00301441"/>
    <w:rsid w:val="00301845"/>
    <w:rsid w:val="00301E35"/>
    <w:rsid w:val="003024DA"/>
    <w:rsid w:val="00302667"/>
    <w:rsid w:val="00302BB3"/>
    <w:rsid w:val="00302C07"/>
    <w:rsid w:val="00302D06"/>
    <w:rsid w:val="00302D1B"/>
    <w:rsid w:val="003034BF"/>
    <w:rsid w:val="003034F8"/>
    <w:rsid w:val="00303536"/>
    <w:rsid w:val="00303F79"/>
    <w:rsid w:val="00304169"/>
    <w:rsid w:val="00304499"/>
    <w:rsid w:val="00304E77"/>
    <w:rsid w:val="00305400"/>
    <w:rsid w:val="00305621"/>
    <w:rsid w:val="00305B21"/>
    <w:rsid w:val="00305BFF"/>
    <w:rsid w:val="003061ED"/>
    <w:rsid w:val="00306475"/>
    <w:rsid w:val="003069B6"/>
    <w:rsid w:val="00306C96"/>
    <w:rsid w:val="00306DAB"/>
    <w:rsid w:val="00306EF6"/>
    <w:rsid w:val="00306F80"/>
    <w:rsid w:val="00307026"/>
    <w:rsid w:val="00307055"/>
    <w:rsid w:val="00307325"/>
    <w:rsid w:val="0030766F"/>
    <w:rsid w:val="00307CB7"/>
    <w:rsid w:val="00307F8F"/>
    <w:rsid w:val="0031006E"/>
    <w:rsid w:val="0031064A"/>
    <w:rsid w:val="003106FA"/>
    <w:rsid w:val="0031098F"/>
    <w:rsid w:val="00311005"/>
    <w:rsid w:val="0031120D"/>
    <w:rsid w:val="003113A4"/>
    <w:rsid w:val="00311B61"/>
    <w:rsid w:val="00311DCE"/>
    <w:rsid w:val="00311F1C"/>
    <w:rsid w:val="0031209B"/>
    <w:rsid w:val="003124BD"/>
    <w:rsid w:val="00313011"/>
    <w:rsid w:val="00313152"/>
    <w:rsid w:val="00313346"/>
    <w:rsid w:val="00313434"/>
    <w:rsid w:val="00313478"/>
    <w:rsid w:val="00313718"/>
    <w:rsid w:val="00313D8D"/>
    <w:rsid w:val="00314949"/>
    <w:rsid w:val="00314BC6"/>
    <w:rsid w:val="003159F2"/>
    <w:rsid w:val="00315BC3"/>
    <w:rsid w:val="00315CE2"/>
    <w:rsid w:val="00315DD2"/>
    <w:rsid w:val="00315F41"/>
    <w:rsid w:val="003160FC"/>
    <w:rsid w:val="0031621F"/>
    <w:rsid w:val="00316821"/>
    <w:rsid w:val="00316F31"/>
    <w:rsid w:val="00316FDC"/>
    <w:rsid w:val="003170CC"/>
    <w:rsid w:val="00317316"/>
    <w:rsid w:val="003173DC"/>
    <w:rsid w:val="0031778E"/>
    <w:rsid w:val="0031793E"/>
    <w:rsid w:val="00317A26"/>
    <w:rsid w:val="00317A71"/>
    <w:rsid w:val="003200C6"/>
    <w:rsid w:val="00320331"/>
    <w:rsid w:val="00320992"/>
    <w:rsid w:val="00320D72"/>
    <w:rsid w:val="00320F45"/>
    <w:rsid w:val="003210E5"/>
    <w:rsid w:val="00321300"/>
    <w:rsid w:val="00321429"/>
    <w:rsid w:val="00321ACE"/>
    <w:rsid w:val="0032289B"/>
    <w:rsid w:val="00322A18"/>
    <w:rsid w:val="00322ADC"/>
    <w:rsid w:val="00322B55"/>
    <w:rsid w:val="00323359"/>
    <w:rsid w:val="00323478"/>
    <w:rsid w:val="003251A9"/>
    <w:rsid w:val="003256DA"/>
    <w:rsid w:val="003257C7"/>
    <w:rsid w:val="003259FA"/>
    <w:rsid w:val="00325BA9"/>
    <w:rsid w:val="0032658B"/>
    <w:rsid w:val="00326613"/>
    <w:rsid w:val="00326697"/>
    <w:rsid w:val="00326A1A"/>
    <w:rsid w:val="00327538"/>
    <w:rsid w:val="0032767D"/>
    <w:rsid w:val="00327B8D"/>
    <w:rsid w:val="00327C31"/>
    <w:rsid w:val="00327D01"/>
    <w:rsid w:val="0033008E"/>
    <w:rsid w:val="003302F4"/>
    <w:rsid w:val="0033045B"/>
    <w:rsid w:val="00330C72"/>
    <w:rsid w:val="00330D05"/>
    <w:rsid w:val="0033104F"/>
    <w:rsid w:val="003311D6"/>
    <w:rsid w:val="0033134F"/>
    <w:rsid w:val="00331441"/>
    <w:rsid w:val="0033146F"/>
    <w:rsid w:val="003314C4"/>
    <w:rsid w:val="00331740"/>
    <w:rsid w:val="003317DE"/>
    <w:rsid w:val="00331A2E"/>
    <w:rsid w:val="00331A5B"/>
    <w:rsid w:val="0033202C"/>
    <w:rsid w:val="003324B8"/>
    <w:rsid w:val="003326D3"/>
    <w:rsid w:val="00332B8C"/>
    <w:rsid w:val="00332BE6"/>
    <w:rsid w:val="00333562"/>
    <w:rsid w:val="00333716"/>
    <w:rsid w:val="00333A1E"/>
    <w:rsid w:val="00333CB5"/>
    <w:rsid w:val="00333E53"/>
    <w:rsid w:val="00334523"/>
    <w:rsid w:val="0033484E"/>
    <w:rsid w:val="00334A2F"/>
    <w:rsid w:val="00334AAE"/>
    <w:rsid w:val="00334AEA"/>
    <w:rsid w:val="003353DB"/>
    <w:rsid w:val="00335714"/>
    <w:rsid w:val="00335719"/>
    <w:rsid w:val="00335C6A"/>
    <w:rsid w:val="00335F2B"/>
    <w:rsid w:val="0033609A"/>
    <w:rsid w:val="00336154"/>
    <w:rsid w:val="00336F56"/>
    <w:rsid w:val="00336F6A"/>
    <w:rsid w:val="003372E6"/>
    <w:rsid w:val="00337F1F"/>
    <w:rsid w:val="00337FF9"/>
    <w:rsid w:val="00340070"/>
    <w:rsid w:val="00340280"/>
    <w:rsid w:val="003406C6"/>
    <w:rsid w:val="00340954"/>
    <w:rsid w:val="00340A2F"/>
    <w:rsid w:val="00340B82"/>
    <w:rsid w:val="00340C47"/>
    <w:rsid w:val="00340DC5"/>
    <w:rsid w:val="00340E06"/>
    <w:rsid w:val="00340E0A"/>
    <w:rsid w:val="00340E8C"/>
    <w:rsid w:val="003410C3"/>
    <w:rsid w:val="0034144E"/>
    <w:rsid w:val="003414B0"/>
    <w:rsid w:val="00341674"/>
    <w:rsid w:val="003417CE"/>
    <w:rsid w:val="00341A66"/>
    <w:rsid w:val="00341E8F"/>
    <w:rsid w:val="0034203D"/>
    <w:rsid w:val="00342219"/>
    <w:rsid w:val="003425BC"/>
    <w:rsid w:val="00342709"/>
    <w:rsid w:val="00342921"/>
    <w:rsid w:val="00342A69"/>
    <w:rsid w:val="00342FA3"/>
    <w:rsid w:val="0034316D"/>
    <w:rsid w:val="0034328B"/>
    <w:rsid w:val="00343F87"/>
    <w:rsid w:val="00344280"/>
    <w:rsid w:val="00344448"/>
    <w:rsid w:val="0034445C"/>
    <w:rsid w:val="00344733"/>
    <w:rsid w:val="0034474E"/>
    <w:rsid w:val="00344887"/>
    <w:rsid w:val="00344AC9"/>
    <w:rsid w:val="00344CEA"/>
    <w:rsid w:val="003452DE"/>
    <w:rsid w:val="00345681"/>
    <w:rsid w:val="003457B3"/>
    <w:rsid w:val="00345C1F"/>
    <w:rsid w:val="00345C43"/>
    <w:rsid w:val="00346030"/>
    <w:rsid w:val="00346035"/>
    <w:rsid w:val="00346053"/>
    <w:rsid w:val="0034695E"/>
    <w:rsid w:val="00347485"/>
    <w:rsid w:val="003474C5"/>
    <w:rsid w:val="00347801"/>
    <w:rsid w:val="0034785D"/>
    <w:rsid w:val="00347B0B"/>
    <w:rsid w:val="00347F81"/>
    <w:rsid w:val="00347FCA"/>
    <w:rsid w:val="003500B7"/>
    <w:rsid w:val="00350196"/>
    <w:rsid w:val="0035048D"/>
    <w:rsid w:val="0035062F"/>
    <w:rsid w:val="00350A6D"/>
    <w:rsid w:val="00350CD3"/>
    <w:rsid w:val="00350F27"/>
    <w:rsid w:val="00350FC4"/>
    <w:rsid w:val="00351148"/>
    <w:rsid w:val="00351370"/>
    <w:rsid w:val="00351374"/>
    <w:rsid w:val="003515B3"/>
    <w:rsid w:val="00351934"/>
    <w:rsid w:val="00351964"/>
    <w:rsid w:val="00351F3E"/>
    <w:rsid w:val="00352B1B"/>
    <w:rsid w:val="00352EFD"/>
    <w:rsid w:val="00352FC3"/>
    <w:rsid w:val="003530A5"/>
    <w:rsid w:val="003530A6"/>
    <w:rsid w:val="003532DA"/>
    <w:rsid w:val="003539CA"/>
    <w:rsid w:val="00353B38"/>
    <w:rsid w:val="00353BA6"/>
    <w:rsid w:val="00353DB8"/>
    <w:rsid w:val="00354610"/>
    <w:rsid w:val="003548A3"/>
    <w:rsid w:val="00354CC8"/>
    <w:rsid w:val="0035551E"/>
    <w:rsid w:val="00355F84"/>
    <w:rsid w:val="00355FD4"/>
    <w:rsid w:val="003568E4"/>
    <w:rsid w:val="00356F2F"/>
    <w:rsid w:val="003579C5"/>
    <w:rsid w:val="00357B52"/>
    <w:rsid w:val="00357D1B"/>
    <w:rsid w:val="00357EB0"/>
    <w:rsid w:val="00360547"/>
    <w:rsid w:val="00360716"/>
    <w:rsid w:val="003608B2"/>
    <w:rsid w:val="00360D5D"/>
    <w:rsid w:val="00361098"/>
    <w:rsid w:val="003612A3"/>
    <w:rsid w:val="003616B0"/>
    <w:rsid w:val="00361A95"/>
    <w:rsid w:val="00362186"/>
    <w:rsid w:val="0036254C"/>
    <w:rsid w:val="003626BF"/>
    <w:rsid w:val="0036284E"/>
    <w:rsid w:val="003628BC"/>
    <w:rsid w:val="003628DA"/>
    <w:rsid w:val="00362B46"/>
    <w:rsid w:val="00363207"/>
    <w:rsid w:val="00363322"/>
    <w:rsid w:val="003635D1"/>
    <w:rsid w:val="0036369C"/>
    <w:rsid w:val="0036385E"/>
    <w:rsid w:val="00363BDF"/>
    <w:rsid w:val="00364347"/>
    <w:rsid w:val="00364373"/>
    <w:rsid w:val="00364689"/>
    <w:rsid w:val="00364824"/>
    <w:rsid w:val="00364C21"/>
    <w:rsid w:val="00364ED2"/>
    <w:rsid w:val="003650D9"/>
    <w:rsid w:val="003656D2"/>
    <w:rsid w:val="003658DA"/>
    <w:rsid w:val="00365BAD"/>
    <w:rsid w:val="003660F6"/>
    <w:rsid w:val="003665F4"/>
    <w:rsid w:val="003666E6"/>
    <w:rsid w:val="00366850"/>
    <w:rsid w:val="003669DC"/>
    <w:rsid w:val="00366B27"/>
    <w:rsid w:val="0036748A"/>
    <w:rsid w:val="003676C7"/>
    <w:rsid w:val="00367B16"/>
    <w:rsid w:val="00367CB9"/>
    <w:rsid w:val="00367E56"/>
    <w:rsid w:val="00367ECF"/>
    <w:rsid w:val="00367EEA"/>
    <w:rsid w:val="00367F8E"/>
    <w:rsid w:val="0037024E"/>
    <w:rsid w:val="00370294"/>
    <w:rsid w:val="003705B7"/>
    <w:rsid w:val="003705FB"/>
    <w:rsid w:val="00370AD4"/>
    <w:rsid w:val="00371075"/>
    <w:rsid w:val="00371562"/>
    <w:rsid w:val="003717DE"/>
    <w:rsid w:val="00371858"/>
    <w:rsid w:val="00371D10"/>
    <w:rsid w:val="00371F50"/>
    <w:rsid w:val="00372015"/>
    <w:rsid w:val="0037262C"/>
    <w:rsid w:val="00372667"/>
    <w:rsid w:val="0037276F"/>
    <w:rsid w:val="0037278C"/>
    <w:rsid w:val="00372AB2"/>
    <w:rsid w:val="00372B5E"/>
    <w:rsid w:val="00372C06"/>
    <w:rsid w:val="00372F2A"/>
    <w:rsid w:val="00373537"/>
    <w:rsid w:val="003737A6"/>
    <w:rsid w:val="00373945"/>
    <w:rsid w:val="00373C6B"/>
    <w:rsid w:val="00373CC1"/>
    <w:rsid w:val="00373FE2"/>
    <w:rsid w:val="00374251"/>
    <w:rsid w:val="003746A3"/>
    <w:rsid w:val="003746E0"/>
    <w:rsid w:val="00374915"/>
    <w:rsid w:val="00374AED"/>
    <w:rsid w:val="00374EC1"/>
    <w:rsid w:val="0037503E"/>
    <w:rsid w:val="003750A5"/>
    <w:rsid w:val="00375281"/>
    <w:rsid w:val="00375365"/>
    <w:rsid w:val="0037544D"/>
    <w:rsid w:val="003759B6"/>
    <w:rsid w:val="00375C06"/>
    <w:rsid w:val="00375C16"/>
    <w:rsid w:val="00375E76"/>
    <w:rsid w:val="0037620B"/>
    <w:rsid w:val="003763E9"/>
    <w:rsid w:val="0037676E"/>
    <w:rsid w:val="00376FFE"/>
    <w:rsid w:val="0037722D"/>
    <w:rsid w:val="003773F3"/>
    <w:rsid w:val="00377A64"/>
    <w:rsid w:val="00377B6D"/>
    <w:rsid w:val="00377F79"/>
    <w:rsid w:val="00380348"/>
    <w:rsid w:val="003803FF"/>
    <w:rsid w:val="00380416"/>
    <w:rsid w:val="0038045E"/>
    <w:rsid w:val="003804F8"/>
    <w:rsid w:val="00380551"/>
    <w:rsid w:val="003805D5"/>
    <w:rsid w:val="003809C0"/>
    <w:rsid w:val="00380DAE"/>
    <w:rsid w:val="00381651"/>
    <w:rsid w:val="00381748"/>
    <w:rsid w:val="003819D9"/>
    <w:rsid w:val="00381A87"/>
    <w:rsid w:val="00381CC3"/>
    <w:rsid w:val="00381E60"/>
    <w:rsid w:val="00381EF8"/>
    <w:rsid w:val="003822BE"/>
    <w:rsid w:val="003825D8"/>
    <w:rsid w:val="00382660"/>
    <w:rsid w:val="00382696"/>
    <w:rsid w:val="00382914"/>
    <w:rsid w:val="00382B53"/>
    <w:rsid w:val="00382C9F"/>
    <w:rsid w:val="00382CFD"/>
    <w:rsid w:val="00382DF7"/>
    <w:rsid w:val="00382FB9"/>
    <w:rsid w:val="00383018"/>
    <w:rsid w:val="00383184"/>
    <w:rsid w:val="00383576"/>
    <w:rsid w:val="003835D8"/>
    <w:rsid w:val="00383D58"/>
    <w:rsid w:val="003840E2"/>
    <w:rsid w:val="00384BA9"/>
    <w:rsid w:val="00385147"/>
    <w:rsid w:val="0038540F"/>
    <w:rsid w:val="003858B1"/>
    <w:rsid w:val="00385AED"/>
    <w:rsid w:val="00386399"/>
    <w:rsid w:val="0038650B"/>
    <w:rsid w:val="00386739"/>
    <w:rsid w:val="0038697B"/>
    <w:rsid w:val="00386C58"/>
    <w:rsid w:val="00386E80"/>
    <w:rsid w:val="00386FEC"/>
    <w:rsid w:val="0038706C"/>
    <w:rsid w:val="00387073"/>
    <w:rsid w:val="00387270"/>
    <w:rsid w:val="00387476"/>
    <w:rsid w:val="00387A10"/>
    <w:rsid w:val="00387C41"/>
    <w:rsid w:val="003900FA"/>
    <w:rsid w:val="003901C7"/>
    <w:rsid w:val="003904F7"/>
    <w:rsid w:val="003905EF"/>
    <w:rsid w:val="0039094F"/>
    <w:rsid w:val="00390E5C"/>
    <w:rsid w:val="00391061"/>
    <w:rsid w:val="003910C2"/>
    <w:rsid w:val="0039113A"/>
    <w:rsid w:val="00391502"/>
    <w:rsid w:val="0039153C"/>
    <w:rsid w:val="003916A6"/>
    <w:rsid w:val="0039179E"/>
    <w:rsid w:val="003917D4"/>
    <w:rsid w:val="003918C1"/>
    <w:rsid w:val="00391D9B"/>
    <w:rsid w:val="00392483"/>
    <w:rsid w:val="00392766"/>
    <w:rsid w:val="00392A44"/>
    <w:rsid w:val="00392D09"/>
    <w:rsid w:val="00393075"/>
    <w:rsid w:val="003931AC"/>
    <w:rsid w:val="00393449"/>
    <w:rsid w:val="00393602"/>
    <w:rsid w:val="00393678"/>
    <w:rsid w:val="003938BD"/>
    <w:rsid w:val="00393CC4"/>
    <w:rsid w:val="0039431C"/>
    <w:rsid w:val="00394730"/>
    <w:rsid w:val="00394757"/>
    <w:rsid w:val="00395576"/>
    <w:rsid w:val="003955F2"/>
    <w:rsid w:val="003956E6"/>
    <w:rsid w:val="00395834"/>
    <w:rsid w:val="0039594C"/>
    <w:rsid w:val="00395A9A"/>
    <w:rsid w:val="0039634B"/>
    <w:rsid w:val="00396656"/>
    <w:rsid w:val="0039688F"/>
    <w:rsid w:val="003968CE"/>
    <w:rsid w:val="00396B30"/>
    <w:rsid w:val="00396F55"/>
    <w:rsid w:val="0039711A"/>
    <w:rsid w:val="003973BA"/>
    <w:rsid w:val="003976FE"/>
    <w:rsid w:val="003977FE"/>
    <w:rsid w:val="00397C4B"/>
    <w:rsid w:val="00397E56"/>
    <w:rsid w:val="003A0824"/>
    <w:rsid w:val="003A0E06"/>
    <w:rsid w:val="003A14A4"/>
    <w:rsid w:val="003A180B"/>
    <w:rsid w:val="003A1B63"/>
    <w:rsid w:val="003A1B7E"/>
    <w:rsid w:val="003A1C2C"/>
    <w:rsid w:val="003A1C33"/>
    <w:rsid w:val="003A226D"/>
    <w:rsid w:val="003A29BE"/>
    <w:rsid w:val="003A29C9"/>
    <w:rsid w:val="003A2BC6"/>
    <w:rsid w:val="003A2E44"/>
    <w:rsid w:val="003A310C"/>
    <w:rsid w:val="003A313E"/>
    <w:rsid w:val="003A3378"/>
    <w:rsid w:val="003A33A2"/>
    <w:rsid w:val="003A351A"/>
    <w:rsid w:val="003A3661"/>
    <w:rsid w:val="003A3A70"/>
    <w:rsid w:val="003A3EF7"/>
    <w:rsid w:val="003A3F41"/>
    <w:rsid w:val="003A4354"/>
    <w:rsid w:val="003A442D"/>
    <w:rsid w:val="003A46B4"/>
    <w:rsid w:val="003A46EC"/>
    <w:rsid w:val="003A4B15"/>
    <w:rsid w:val="003A4FFD"/>
    <w:rsid w:val="003A5415"/>
    <w:rsid w:val="003A54C6"/>
    <w:rsid w:val="003A5AFD"/>
    <w:rsid w:val="003A5BF3"/>
    <w:rsid w:val="003A5EFF"/>
    <w:rsid w:val="003A6026"/>
    <w:rsid w:val="003A610F"/>
    <w:rsid w:val="003A61E2"/>
    <w:rsid w:val="003A68A3"/>
    <w:rsid w:val="003A6E78"/>
    <w:rsid w:val="003A723F"/>
    <w:rsid w:val="003A743D"/>
    <w:rsid w:val="003A77FD"/>
    <w:rsid w:val="003A78FE"/>
    <w:rsid w:val="003A7BC8"/>
    <w:rsid w:val="003A7E98"/>
    <w:rsid w:val="003B0422"/>
    <w:rsid w:val="003B079C"/>
    <w:rsid w:val="003B0B56"/>
    <w:rsid w:val="003B0CF5"/>
    <w:rsid w:val="003B0E1C"/>
    <w:rsid w:val="003B0F42"/>
    <w:rsid w:val="003B101A"/>
    <w:rsid w:val="003B1219"/>
    <w:rsid w:val="003B1745"/>
    <w:rsid w:val="003B1C51"/>
    <w:rsid w:val="003B1CE5"/>
    <w:rsid w:val="003B2CA1"/>
    <w:rsid w:val="003B311C"/>
    <w:rsid w:val="003B344F"/>
    <w:rsid w:val="003B3628"/>
    <w:rsid w:val="003B40A4"/>
    <w:rsid w:val="003B4167"/>
    <w:rsid w:val="003B4528"/>
    <w:rsid w:val="003B45EE"/>
    <w:rsid w:val="003B4704"/>
    <w:rsid w:val="003B4B58"/>
    <w:rsid w:val="003B4BF4"/>
    <w:rsid w:val="003B4DBD"/>
    <w:rsid w:val="003B51C9"/>
    <w:rsid w:val="003B52DC"/>
    <w:rsid w:val="003B531C"/>
    <w:rsid w:val="003B5395"/>
    <w:rsid w:val="003B54E5"/>
    <w:rsid w:val="003B5984"/>
    <w:rsid w:val="003B5D84"/>
    <w:rsid w:val="003B5D86"/>
    <w:rsid w:val="003B5DCB"/>
    <w:rsid w:val="003B6212"/>
    <w:rsid w:val="003B6357"/>
    <w:rsid w:val="003B6667"/>
    <w:rsid w:val="003B66A7"/>
    <w:rsid w:val="003B66DC"/>
    <w:rsid w:val="003B6A06"/>
    <w:rsid w:val="003B6B50"/>
    <w:rsid w:val="003B6B72"/>
    <w:rsid w:val="003B6BE7"/>
    <w:rsid w:val="003B6DC0"/>
    <w:rsid w:val="003B6F9E"/>
    <w:rsid w:val="003B76EE"/>
    <w:rsid w:val="003B77F4"/>
    <w:rsid w:val="003B7C77"/>
    <w:rsid w:val="003B7D52"/>
    <w:rsid w:val="003C03CB"/>
    <w:rsid w:val="003C0530"/>
    <w:rsid w:val="003C05A2"/>
    <w:rsid w:val="003C089E"/>
    <w:rsid w:val="003C093B"/>
    <w:rsid w:val="003C09AF"/>
    <w:rsid w:val="003C10B1"/>
    <w:rsid w:val="003C17E5"/>
    <w:rsid w:val="003C17EB"/>
    <w:rsid w:val="003C19EF"/>
    <w:rsid w:val="003C1B04"/>
    <w:rsid w:val="003C1C2E"/>
    <w:rsid w:val="003C1E9F"/>
    <w:rsid w:val="003C24C3"/>
    <w:rsid w:val="003C273E"/>
    <w:rsid w:val="003C2887"/>
    <w:rsid w:val="003C2A01"/>
    <w:rsid w:val="003C2AAC"/>
    <w:rsid w:val="003C2B55"/>
    <w:rsid w:val="003C2C18"/>
    <w:rsid w:val="003C2C2E"/>
    <w:rsid w:val="003C2D7C"/>
    <w:rsid w:val="003C2DCB"/>
    <w:rsid w:val="003C365C"/>
    <w:rsid w:val="003C3740"/>
    <w:rsid w:val="003C3756"/>
    <w:rsid w:val="003C37E7"/>
    <w:rsid w:val="003C3C77"/>
    <w:rsid w:val="003C3E76"/>
    <w:rsid w:val="003C412A"/>
    <w:rsid w:val="003C4393"/>
    <w:rsid w:val="003C44BD"/>
    <w:rsid w:val="003C4666"/>
    <w:rsid w:val="003C48BA"/>
    <w:rsid w:val="003C49E0"/>
    <w:rsid w:val="003C4E25"/>
    <w:rsid w:val="003C53FC"/>
    <w:rsid w:val="003C56E2"/>
    <w:rsid w:val="003C5732"/>
    <w:rsid w:val="003C6005"/>
    <w:rsid w:val="003C6276"/>
    <w:rsid w:val="003C6391"/>
    <w:rsid w:val="003C69CE"/>
    <w:rsid w:val="003C6BC2"/>
    <w:rsid w:val="003C6DC8"/>
    <w:rsid w:val="003C74F8"/>
    <w:rsid w:val="003C752B"/>
    <w:rsid w:val="003C76A3"/>
    <w:rsid w:val="003C786F"/>
    <w:rsid w:val="003D0072"/>
    <w:rsid w:val="003D00B7"/>
    <w:rsid w:val="003D04E2"/>
    <w:rsid w:val="003D0637"/>
    <w:rsid w:val="003D08FB"/>
    <w:rsid w:val="003D0AAD"/>
    <w:rsid w:val="003D0B56"/>
    <w:rsid w:val="003D101A"/>
    <w:rsid w:val="003D10C4"/>
    <w:rsid w:val="003D1372"/>
    <w:rsid w:val="003D18D4"/>
    <w:rsid w:val="003D1B1A"/>
    <w:rsid w:val="003D1CB1"/>
    <w:rsid w:val="003D1D44"/>
    <w:rsid w:val="003D22EB"/>
    <w:rsid w:val="003D237D"/>
    <w:rsid w:val="003D27B2"/>
    <w:rsid w:val="003D27B8"/>
    <w:rsid w:val="003D2A15"/>
    <w:rsid w:val="003D2BE0"/>
    <w:rsid w:val="003D2C9A"/>
    <w:rsid w:val="003D2DE8"/>
    <w:rsid w:val="003D3179"/>
    <w:rsid w:val="003D3440"/>
    <w:rsid w:val="003D3493"/>
    <w:rsid w:val="003D364E"/>
    <w:rsid w:val="003D3B15"/>
    <w:rsid w:val="003D416A"/>
    <w:rsid w:val="003D428D"/>
    <w:rsid w:val="003D4314"/>
    <w:rsid w:val="003D4364"/>
    <w:rsid w:val="003D43A6"/>
    <w:rsid w:val="003D4BCF"/>
    <w:rsid w:val="003D5BA4"/>
    <w:rsid w:val="003D5D0F"/>
    <w:rsid w:val="003D5E96"/>
    <w:rsid w:val="003D5F9A"/>
    <w:rsid w:val="003D628C"/>
    <w:rsid w:val="003D7359"/>
    <w:rsid w:val="003D740C"/>
    <w:rsid w:val="003D7709"/>
    <w:rsid w:val="003D779B"/>
    <w:rsid w:val="003D7AF3"/>
    <w:rsid w:val="003D7CE3"/>
    <w:rsid w:val="003E0064"/>
    <w:rsid w:val="003E0816"/>
    <w:rsid w:val="003E0C53"/>
    <w:rsid w:val="003E0C64"/>
    <w:rsid w:val="003E1305"/>
    <w:rsid w:val="003E19B8"/>
    <w:rsid w:val="003E233C"/>
    <w:rsid w:val="003E264E"/>
    <w:rsid w:val="003E299B"/>
    <w:rsid w:val="003E2BD7"/>
    <w:rsid w:val="003E303E"/>
    <w:rsid w:val="003E37B3"/>
    <w:rsid w:val="003E3BA9"/>
    <w:rsid w:val="003E3BD8"/>
    <w:rsid w:val="003E3DC8"/>
    <w:rsid w:val="003E3E30"/>
    <w:rsid w:val="003E4331"/>
    <w:rsid w:val="003E43DD"/>
    <w:rsid w:val="003E46BD"/>
    <w:rsid w:val="003E48F1"/>
    <w:rsid w:val="003E4A8C"/>
    <w:rsid w:val="003E4B40"/>
    <w:rsid w:val="003E4B5B"/>
    <w:rsid w:val="003E4CA4"/>
    <w:rsid w:val="003E4EDF"/>
    <w:rsid w:val="003E532B"/>
    <w:rsid w:val="003E53F8"/>
    <w:rsid w:val="003E544C"/>
    <w:rsid w:val="003E5562"/>
    <w:rsid w:val="003E5764"/>
    <w:rsid w:val="003E5862"/>
    <w:rsid w:val="003E5909"/>
    <w:rsid w:val="003E60DD"/>
    <w:rsid w:val="003E6107"/>
    <w:rsid w:val="003E7269"/>
    <w:rsid w:val="003E72C9"/>
    <w:rsid w:val="003E73A5"/>
    <w:rsid w:val="003E76C9"/>
    <w:rsid w:val="003E771F"/>
    <w:rsid w:val="003E78C8"/>
    <w:rsid w:val="003F0B93"/>
    <w:rsid w:val="003F11DC"/>
    <w:rsid w:val="003F1507"/>
    <w:rsid w:val="003F2384"/>
    <w:rsid w:val="003F2440"/>
    <w:rsid w:val="003F2753"/>
    <w:rsid w:val="003F281E"/>
    <w:rsid w:val="003F2862"/>
    <w:rsid w:val="003F2A51"/>
    <w:rsid w:val="003F2C29"/>
    <w:rsid w:val="003F2C6B"/>
    <w:rsid w:val="003F2CD2"/>
    <w:rsid w:val="003F328B"/>
    <w:rsid w:val="003F336D"/>
    <w:rsid w:val="003F3445"/>
    <w:rsid w:val="003F364A"/>
    <w:rsid w:val="003F3831"/>
    <w:rsid w:val="003F39D9"/>
    <w:rsid w:val="003F3B40"/>
    <w:rsid w:val="003F3D54"/>
    <w:rsid w:val="003F42AA"/>
    <w:rsid w:val="003F44B9"/>
    <w:rsid w:val="003F4837"/>
    <w:rsid w:val="003F4B07"/>
    <w:rsid w:val="003F4CEB"/>
    <w:rsid w:val="003F4FED"/>
    <w:rsid w:val="003F51E8"/>
    <w:rsid w:val="003F54E9"/>
    <w:rsid w:val="003F5514"/>
    <w:rsid w:val="003F569B"/>
    <w:rsid w:val="003F57F1"/>
    <w:rsid w:val="003F5F9F"/>
    <w:rsid w:val="003F606B"/>
    <w:rsid w:val="003F6721"/>
    <w:rsid w:val="003F6A76"/>
    <w:rsid w:val="003F6A9C"/>
    <w:rsid w:val="003F76B2"/>
    <w:rsid w:val="003F786C"/>
    <w:rsid w:val="003F7980"/>
    <w:rsid w:val="003F7AD2"/>
    <w:rsid w:val="003F7E9C"/>
    <w:rsid w:val="00400181"/>
    <w:rsid w:val="00400219"/>
    <w:rsid w:val="0040061D"/>
    <w:rsid w:val="004009F4"/>
    <w:rsid w:val="00400AD1"/>
    <w:rsid w:val="00400C5C"/>
    <w:rsid w:val="00400F1A"/>
    <w:rsid w:val="004012C0"/>
    <w:rsid w:val="004012C6"/>
    <w:rsid w:val="004013D1"/>
    <w:rsid w:val="0040155E"/>
    <w:rsid w:val="004019B3"/>
    <w:rsid w:val="00401A17"/>
    <w:rsid w:val="00401FB7"/>
    <w:rsid w:val="004022B3"/>
    <w:rsid w:val="00402692"/>
    <w:rsid w:val="00402DEA"/>
    <w:rsid w:val="00403168"/>
    <w:rsid w:val="00403EE7"/>
    <w:rsid w:val="004041C4"/>
    <w:rsid w:val="0040427A"/>
    <w:rsid w:val="004043C1"/>
    <w:rsid w:val="004043C4"/>
    <w:rsid w:val="004043F9"/>
    <w:rsid w:val="004045CB"/>
    <w:rsid w:val="004046A7"/>
    <w:rsid w:val="0040496F"/>
    <w:rsid w:val="00404F76"/>
    <w:rsid w:val="00405249"/>
    <w:rsid w:val="004055D1"/>
    <w:rsid w:val="0040563B"/>
    <w:rsid w:val="004058E5"/>
    <w:rsid w:val="004059B7"/>
    <w:rsid w:val="00405C18"/>
    <w:rsid w:val="00405C99"/>
    <w:rsid w:val="0040611C"/>
    <w:rsid w:val="0040617C"/>
    <w:rsid w:val="00406505"/>
    <w:rsid w:val="004065AB"/>
    <w:rsid w:val="00406642"/>
    <w:rsid w:val="00406714"/>
    <w:rsid w:val="004068EE"/>
    <w:rsid w:val="00406A27"/>
    <w:rsid w:val="004070E8"/>
    <w:rsid w:val="0040713E"/>
    <w:rsid w:val="004074D2"/>
    <w:rsid w:val="004075FD"/>
    <w:rsid w:val="00407A6F"/>
    <w:rsid w:val="00407C51"/>
    <w:rsid w:val="00407E22"/>
    <w:rsid w:val="0041003D"/>
    <w:rsid w:val="00410163"/>
    <w:rsid w:val="004104D5"/>
    <w:rsid w:val="00410812"/>
    <w:rsid w:val="00410A75"/>
    <w:rsid w:val="00410B9D"/>
    <w:rsid w:val="00410D74"/>
    <w:rsid w:val="00410F81"/>
    <w:rsid w:val="00411170"/>
    <w:rsid w:val="00411220"/>
    <w:rsid w:val="00411226"/>
    <w:rsid w:val="0041123B"/>
    <w:rsid w:val="0041140C"/>
    <w:rsid w:val="00411543"/>
    <w:rsid w:val="0041170E"/>
    <w:rsid w:val="004121F0"/>
    <w:rsid w:val="00412221"/>
    <w:rsid w:val="00412531"/>
    <w:rsid w:val="004127BC"/>
    <w:rsid w:val="00412C8E"/>
    <w:rsid w:val="004130F0"/>
    <w:rsid w:val="00413345"/>
    <w:rsid w:val="004135CD"/>
    <w:rsid w:val="004137C5"/>
    <w:rsid w:val="004138C5"/>
    <w:rsid w:val="004138EE"/>
    <w:rsid w:val="00413928"/>
    <w:rsid w:val="00414332"/>
    <w:rsid w:val="00414B36"/>
    <w:rsid w:val="00415031"/>
    <w:rsid w:val="00415148"/>
    <w:rsid w:val="004151F7"/>
    <w:rsid w:val="0041524B"/>
    <w:rsid w:val="00415287"/>
    <w:rsid w:val="004157B0"/>
    <w:rsid w:val="004157FE"/>
    <w:rsid w:val="00415B43"/>
    <w:rsid w:val="0041609E"/>
    <w:rsid w:val="004163D7"/>
    <w:rsid w:val="00416A1E"/>
    <w:rsid w:val="00416A48"/>
    <w:rsid w:val="00416C19"/>
    <w:rsid w:val="004172DC"/>
    <w:rsid w:val="004174D4"/>
    <w:rsid w:val="00417707"/>
    <w:rsid w:val="00417941"/>
    <w:rsid w:val="004179DF"/>
    <w:rsid w:val="00417F21"/>
    <w:rsid w:val="00417F88"/>
    <w:rsid w:val="00420663"/>
    <w:rsid w:val="004207E3"/>
    <w:rsid w:val="00420967"/>
    <w:rsid w:val="00420A23"/>
    <w:rsid w:val="004211EF"/>
    <w:rsid w:val="00421465"/>
    <w:rsid w:val="00421730"/>
    <w:rsid w:val="00421A0D"/>
    <w:rsid w:val="00421AAB"/>
    <w:rsid w:val="00421F43"/>
    <w:rsid w:val="00421F86"/>
    <w:rsid w:val="00421F94"/>
    <w:rsid w:val="004223CE"/>
    <w:rsid w:val="00422820"/>
    <w:rsid w:val="00422959"/>
    <w:rsid w:val="00422D16"/>
    <w:rsid w:val="00422DD4"/>
    <w:rsid w:val="00422E3D"/>
    <w:rsid w:val="004230DB"/>
    <w:rsid w:val="004232DB"/>
    <w:rsid w:val="0042352A"/>
    <w:rsid w:val="00423646"/>
    <w:rsid w:val="00423973"/>
    <w:rsid w:val="00423BDF"/>
    <w:rsid w:val="00423C9C"/>
    <w:rsid w:val="00423F2F"/>
    <w:rsid w:val="00423F5F"/>
    <w:rsid w:val="0042468B"/>
    <w:rsid w:val="0042486A"/>
    <w:rsid w:val="00424D43"/>
    <w:rsid w:val="00425026"/>
    <w:rsid w:val="004256CD"/>
    <w:rsid w:val="00425836"/>
    <w:rsid w:val="00425879"/>
    <w:rsid w:val="00425951"/>
    <w:rsid w:val="00426AFF"/>
    <w:rsid w:val="00426CD1"/>
    <w:rsid w:val="00426D4F"/>
    <w:rsid w:val="00426F25"/>
    <w:rsid w:val="004274C5"/>
    <w:rsid w:val="00427580"/>
    <w:rsid w:val="0042798F"/>
    <w:rsid w:val="00427A74"/>
    <w:rsid w:val="00427D15"/>
    <w:rsid w:val="00427D52"/>
    <w:rsid w:val="00430398"/>
    <w:rsid w:val="004307F8"/>
    <w:rsid w:val="004309A1"/>
    <w:rsid w:val="00430A47"/>
    <w:rsid w:val="00430A52"/>
    <w:rsid w:val="004318A3"/>
    <w:rsid w:val="00431C10"/>
    <w:rsid w:val="00431C64"/>
    <w:rsid w:val="00431F34"/>
    <w:rsid w:val="00432600"/>
    <w:rsid w:val="00432ABF"/>
    <w:rsid w:val="004330F6"/>
    <w:rsid w:val="004333C4"/>
    <w:rsid w:val="004336F2"/>
    <w:rsid w:val="00433771"/>
    <w:rsid w:val="00433811"/>
    <w:rsid w:val="00433873"/>
    <w:rsid w:val="004338F1"/>
    <w:rsid w:val="0043416A"/>
    <w:rsid w:val="0043418B"/>
    <w:rsid w:val="00434756"/>
    <w:rsid w:val="004347D0"/>
    <w:rsid w:val="00434923"/>
    <w:rsid w:val="00435446"/>
    <w:rsid w:val="00435748"/>
    <w:rsid w:val="00435918"/>
    <w:rsid w:val="00435B11"/>
    <w:rsid w:val="00435C0F"/>
    <w:rsid w:val="00435F19"/>
    <w:rsid w:val="00436242"/>
    <w:rsid w:val="00436306"/>
    <w:rsid w:val="00436360"/>
    <w:rsid w:val="0043645A"/>
    <w:rsid w:val="0043672F"/>
    <w:rsid w:val="00436B6A"/>
    <w:rsid w:val="00436B73"/>
    <w:rsid w:val="0043757D"/>
    <w:rsid w:val="00437602"/>
    <w:rsid w:val="0043782D"/>
    <w:rsid w:val="00437842"/>
    <w:rsid w:val="00437945"/>
    <w:rsid w:val="00437B7B"/>
    <w:rsid w:val="00437E52"/>
    <w:rsid w:val="00437E7C"/>
    <w:rsid w:val="00440276"/>
    <w:rsid w:val="004402FA"/>
    <w:rsid w:val="0044082C"/>
    <w:rsid w:val="00440C34"/>
    <w:rsid w:val="00440F50"/>
    <w:rsid w:val="00441183"/>
    <w:rsid w:val="00441396"/>
    <w:rsid w:val="0044163C"/>
    <w:rsid w:val="0044185E"/>
    <w:rsid w:val="004418F3"/>
    <w:rsid w:val="00441EFD"/>
    <w:rsid w:val="00442062"/>
    <w:rsid w:val="004421F7"/>
    <w:rsid w:val="00442249"/>
    <w:rsid w:val="00442416"/>
    <w:rsid w:val="0044273B"/>
    <w:rsid w:val="00442D6A"/>
    <w:rsid w:val="00444006"/>
    <w:rsid w:val="00444C62"/>
    <w:rsid w:val="00444C9F"/>
    <w:rsid w:val="00444D70"/>
    <w:rsid w:val="00445F7F"/>
    <w:rsid w:val="00445F86"/>
    <w:rsid w:val="00445FC7"/>
    <w:rsid w:val="004462E9"/>
    <w:rsid w:val="00446370"/>
    <w:rsid w:val="00446572"/>
    <w:rsid w:val="0044669E"/>
    <w:rsid w:val="0044697B"/>
    <w:rsid w:val="00446A11"/>
    <w:rsid w:val="00446C2D"/>
    <w:rsid w:val="00446F95"/>
    <w:rsid w:val="00446F9D"/>
    <w:rsid w:val="00446FE0"/>
    <w:rsid w:val="004476E6"/>
    <w:rsid w:val="004476EC"/>
    <w:rsid w:val="00450047"/>
    <w:rsid w:val="00450128"/>
    <w:rsid w:val="00450435"/>
    <w:rsid w:val="00450BDE"/>
    <w:rsid w:val="00450C53"/>
    <w:rsid w:val="00451494"/>
    <w:rsid w:val="004515EF"/>
    <w:rsid w:val="00451679"/>
    <w:rsid w:val="00451BD7"/>
    <w:rsid w:val="00451DBA"/>
    <w:rsid w:val="00451E09"/>
    <w:rsid w:val="0045204B"/>
    <w:rsid w:val="00452233"/>
    <w:rsid w:val="004522D8"/>
    <w:rsid w:val="00452460"/>
    <w:rsid w:val="0045248A"/>
    <w:rsid w:val="00453052"/>
    <w:rsid w:val="0045356E"/>
    <w:rsid w:val="0045368F"/>
    <w:rsid w:val="00453894"/>
    <w:rsid w:val="00453A80"/>
    <w:rsid w:val="00453D57"/>
    <w:rsid w:val="00453F7A"/>
    <w:rsid w:val="00454258"/>
    <w:rsid w:val="0045426E"/>
    <w:rsid w:val="0045427A"/>
    <w:rsid w:val="00454665"/>
    <w:rsid w:val="00454EFA"/>
    <w:rsid w:val="004550EF"/>
    <w:rsid w:val="00455989"/>
    <w:rsid w:val="00455ABC"/>
    <w:rsid w:val="0045606D"/>
    <w:rsid w:val="00456292"/>
    <w:rsid w:val="004563EE"/>
    <w:rsid w:val="004567C3"/>
    <w:rsid w:val="0045688B"/>
    <w:rsid w:val="00456AC5"/>
    <w:rsid w:val="00457454"/>
    <w:rsid w:val="0045799F"/>
    <w:rsid w:val="004579A8"/>
    <w:rsid w:val="00457A07"/>
    <w:rsid w:val="00457E7A"/>
    <w:rsid w:val="00457F0A"/>
    <w:rsid w:val="00460829"/>
    <w:rsid w:val="00460BD5"/>
    <w:rsid w:val="00460BEC"/>
    <w:rsid w:val="0046126D"/>
    <w:rsid w:val="00461297"/>
    <w:rsid w:val="00461386"/>
    <w:rsid w:val="0046143B"/>
    <w:rsid w:val="00461609"/>
    <w:rsid w:val="00461726"/>
    <w:rsid w:val="004618BE"/>
    <w:rsid w:val="004619D8"/>
    <w:rsid w:val="00461A71"/>
    <w:rsid w:val="00461BC4"/>
    <w:rsid w:val="0046201E"/>
    <w:rsid w:val="00462200"/>
    <w:rsid w:val="00462309"/>
    <w:rsid w:val="0046230C"/>
    <w:rsid w:val="004623AB"/>
    <w:rsid w:val="0046240D"/>
    <w:rsid w:val="00462507"/>
    <w:rsid w:val="004626E6"/>
    <w:rsid w:val="00462777"/>
    <w:rsid w:val="00462C58"/>
    <w:rsid w:val="004634B9"/>
    <w:rsid w:val="0046385E"/>
    <w:rsid w:val="00463C9D"/>
    <w:rsid w:val="004647D3"/>
    <w:rsid w:val="004647E1"/>
    <w:rsid w:val="00464875"/>
    <w:rsid w:val="00464957"/>
    <w:rsid w:val="00464B6A"/>
    <w:rsid w:val="004658D6"/>
    <w:rsid w:val="0046595E"/>
    <w:rsid w:val="004659EF"/>
    <w:rsid w:val="00465BAD"/>
    <w:rsid w:val="00465CD6"/>
    <w:rsid w:val="004660D1"/>
    <w:rsid w:val="004661B7"/>
    <w:rsid w:val="004663C6"/>
    <w:rsid w:val="004665C3"/>
    <w:rsid w:val="004665D2"/>
    <w:rsid w:val="00466928"/>
    <w:rsid w:val="00466ABF"/>
    <w:rsid w:val="00466BAF"/>
    <w:rsid w:val="0046742B"/>
    <w:rsid w:val="00467587"/>
    <w:rsid w:val="0046774A"/>
    <w:rsid w:val="004677C6"/>
    <w:rsid w:val="004679EE"/>
    <w:rsid w:val="00467E48"/>
    <w:rsid w:val="00470161"/>
    <w:rsid w:val="0047016D"/>
    <w:rsid w:val="00470349"/>
    <w:rsid w:val="0047044E"/>
    <w:rsid w:val="0047127F"/>
    <w:rsid w:val="004712B5"/>
    <w:rsid w:val="00471321"/>
    <w:rsid w:val="00471424"/>
    <w:rsid w:val="0047171D"/>
    <w:rsid w:val="00471A6B"/>
    <w:rsid w:val="00472155"/>
    <w:rsid w:val="004723F2"/>
    <w:rsid w:val="004724A2"/>
    <w:rsid w:val="004729F9"/>
    <w:rsid w:val="00472EF8"/>
    <w:rsid w:val="00472FC0"/>
    <w:rsid w:val="00473146"/>
    <w:rsid w:val="00473718"/>
    <w:rsid w:val="00473938"/>
    <w:rsid w:val="00473D0E"/>
    <w:rsid w:val="00473E7D"/>
    <w:rsid w:val="00474064"/>
    <w:rsid w:val="00474215"/>
    <w:rsid w:val="00474313"/>
    <w:rsid w:val="004744E0"/>
    <w:rsid w:val="004745F0"/>
    <w:rsid w:val="00474C51"/>
    <w:rsid w:val="00474C62"/>
    <w:rsid w:val="00474DD8"/>
    <w:rsid w:val="00474FFF"/>
    <w:rsid w:val="004751B3"/>
    <w:rsid w:val="0047596B"/>
    <w:rsid w:val="00475CDE"/>
    <w:rsid w:val="004762AC"/>
    <w:rsid w:val="00476421"/>
    <w:rsid w:val="00476436"/>
    <w:rsid w:val="00476613"/>
    <w:rsid w:val="004767A9"/>
    <w:rsid w:val="00476AFA"/>
    <w:rsid w:val="004770F6"/>
    <w:rsid w:val="004772FE"/>
    <w:rsid w:val="00477959"/>
    <w:rsid w:val="004779E0"/>
    <w:rsid w:val="00477B71"/>
    <w:rsid w:val="00477C8B"/>
    <w:rsid w:val="00480074"/>
    <w:rsid w:val="0048033B"/>
    <w:rsid w:val="00480C3A"/>
    <w:rsid w:val="00480C43"/>
    <w:rsid w:val="00480E3A"/>
    <w:rsid w:val="00480F49"/>
    <w:rsid w:val="0048114C"/>
    <w:rsid w:val="0048121B"/>
    <w:rsid w:val="0048140C"/>
    <w:rsid w:val="00481AE1"/>
    <w:rsid w:val="0048227F"/>
    <w:rsid w:val="00482D70"/>
    <w:rsid w:val="00482E9F"/>
    <w:rsid w:val="00482FC4"/>
    <w:rsid w:val="00483011"/>
    <w:rsid w:val="0048308D"/>
    <w:rsid w:val="0048329C"/>
    <w:rsid w:val="00483A61"/>
    <w:rsid w:val="00483C26"/>
    <w:rsid w:val="00483CA0"/>
    <w:rsid w:val="00483D73"/>
    <w:rsid w:val="00483E15"/>
    <w:rsid w:val="0048409A"/>
    <w:rsid w:val="004847E1"/>
    <w:rsid w:val="0048494E"/>
    <w:rsid w:val="00484968"/>
    <w:rsid w:val="00484AC1"/>
    <w:rsid w:val="00484FA3"/>
    <w:rsid w:val="004851BB"/>
    <w:rsid w:val="00485A28"/>
    <w:rsid w:val="00485D14"/>
    <w:rsid w:val="00485E32"/>
    <w:rsid w:val="00486200"/>
    <w:rsid w:val="00486520"/>
    <w:rsid w:val="004867DD"/>
    <w:rsid w:val="0048691E"/>
    <w:rsid w:val="00486C48"/>
    <w:rsid w:val="00486F3A"/>
    <w:rsid w:val="00487765"/>
    <w:rsid w:val="0048796E"/>
    <w:rsid w:val="004879D3"/>
    <w:rsid w:val="00487AE4"/>
    <w:rsid w:val="00487EA2"/>
    <w:rsid w:val="004900D6"/>
    <w:rsid w:val="004901CE"/>
    <w:rsid w:val="004903EF"/>
    <w:rsid w:val="00490400"/>
    <w:rsid w:val="004905EE"/>
    <w:rsid w:val="0049060E"/>
    <w:rsid w:val="004908EC"/>
    <w:rsid w:val="0049140C"/>
    <w:rsid w:val="004914F8"/>
    <w:rsid w:val="004918E4"/>
    <w:rsid w:val="0049190B"/>
    <w:rsid w:val="00491944"/>
    <w:rsid w:val="00491E2F"/>
    <w:rsid w:val="00492439"/>
    <w:rsid w:val="00492681"/>
    <w:rsid w:val="004926DF"/>
    <w:rsid w:val="0049293F"/>
    <w:rsid w:val="00492A7F"/>
    <w:rsid w:val="00492F97"/>
    <w:rsid w:val="0049306F"/>
    <w:rsid w:val="0049341C"/>
    <w:rsid w:val="0049397F"/>
    <w:rsid w:val="004939DE"/>
    <w:rsid w:val="00493B9A"/>
    <w:rsid w:val="00493C44"/>
    <w:rsid w:val="00493FAA"/>
    <w:rsid w:val="004943FC"/>
    <w:rsid w:val="004947E2"/>
    <w:rsid w:val="00494C37"/>
    <w:rsid w:val="004950A1"/>
    <w:rsid w:val="004956BF"/>
    <w:rsid w:val="00495B8D"/>
    <w:rsid w:val="00495C3E"/>
    <w:rsid w:val="00496132"/>
    <w:rsid w:val="00496555"/>
    <w:rsid w:val="00496A0F"/>
    <w:rsid w:val="00496AFC"/>
    <w:rsid w:val="00496CE5"/>
    <w:rsid w:val="004975B7"/>
    <w:rsid w:val="00497609"/>
    <w:rsid w:val="00497897"/>
    <w:rsid w:val="004978FF"/>
    <w:rsid w:val="00497901"/>
    <w:rsid w:val="00497923"/>
    <w:rsid w:val="00497C7E"/>
    <w:rsid w:val="00497C7F"/>
    <w:rsid w:val="00497DB5"/>
    <w:rsid w:val="004A04AB"/>
    <w:rsid w:val="004A04F9"/>
    <w:rsid w:val="004A05B6"/>
    <w:rsid w:val="004A071F"/>
    <w:rsid w:val="004A075D"/>
    <w:rsid w:val="004A09D5"/>
    <w:rsid w:val="004A0AD7"/>
    <w:rsid w:val="004A0ADD"/>
    <w:rsid w:val="004A0DFA"/>
    <w:rsid w:val="004A102C"/>
    <w:rsid w:val="004A177D"/>
    <w:rsid w:val="004A1FE4"/>
    <w:rsid w:val="004A201C"/>
    <w:rsid w:val="004A20D7"/>
    <w:rsid w:val="004A23D4"/>
    <w:rsid w:val="004A2675"/>
    <w:rsid w:val="004A2833"/>
    <w:rsid w:val="004A28CC"/>
    <w:rsid w:val="004A2BCF"/>
    <w:rsid w:val="004A2C35"/>
    <w:rsid w:val="004A2F06"/>
    <w:rsid w:val="004A2F68"/>
    <w:rsid w:val="004A32CF"/>
    <w:rsid w:val="004A3591"/>
    <w:rsid w:val="004A37D3"/>
    <w:rsid w:val="004A3A5C"/>
    <w:rsid w:val="004A3AD8"/>
    <w:rsid w:val="004A42B0"/>
    <w:rsid w:val="004A4781"/>
    <w:rsid w:val="004A49B7"/>
    <w:rsid w:val="004A4CD3"/>
    <w:rsid w:val="004A5288"/>
    <w:rsid w:val="004A5575"/>
    <w:rsid w:val="004A5872"/>
    <w:rsid w:val="004A5A20"/>
    <w:rsid w:val="004A5DDF"/>
    <w:rsid w:val="004A5E66"/>
    <w:rsid w:val="004A63A3"/>
    <w:rsid w:val="004A64D0"/>
    <w:rsid w:val="004A677E"/>
    <w:rsid w:val="004A683B"/>
    <w:rsid w:val="004A6990"/>
    <w:rsid w:val="004A6A8F"/>
    <w:rsid w:val="004A6BDD"/>
    <w:rsid w:val="004A6C60"/>
    <w:rsid w:val="004A6F83"/>
    <w:rsid w:val="004A711C"/>
    <w:rsid w:val="004A71C2"/>
    <w:rsid w:val="004A72A7"/>
    <w:rsid w:val="004A7501"/>
    <w:rsid w:val="004A76E4"/>
    <w:rsid w:val="004A7761"/>
    <w:rsid w:val="004A7766"/>
    <w:rsid w:val="004A776C"/>
    <w:rsid w:val="004A787F"/>
    <w:rsid w:val="004A7DC4"/>
    <w:rsid w:val="004A7E76"/>
    <w:rsid w:val="004B0437"/>
    <w:rsid w:val="004B05D4"/>
    <w:rsid w:val="004B06F8"/>
    <w:rsid w:val="004B0C94"/>
    <w:rsid w:val="004B0C9E"/>
    <w:rsid w:val="004B0E4C"/>
    <w:rsid w:val="004B116F"/>
    <w:rsid w:val="004B11D1"/>
    <w:rsid w:val="004B13A5"/>
    <w:rsid w:val="004B171A"/>
    <w:rsid w:val="004B174D"/>
    <w:rsid w:val="004B194F"/>
    <w:rsid w:val="004B1CF6"/>
    <w:rsid w:val="004B1EF9"/>
    <w:rsid w:val="004B2413"/>
    <w:rsid w:val="004B27C0"/>
    <w:rsid w:val="004B2826"/>
    <w:rsid w:val="004B2883"/>
    <w:rsid w:val="004B2B6A"/>
    <w:rsid w:val="004B2BE2"/>
    <w:rsid w:val="004B2BEF"/>
    <w:rsid w:val="004B3101"/>
    <w:rsid w:val="004B3591"/>
    <w:rsid w:val="004B36C6"/>
    <w:rsid w:val="004B375F"/>
    <w:rsid w:val="004B38BD"/>
    <w:rsid w:val="004B38D8"/>
    <w:rsid w:val="004B39E8"/>
    <w:rsid w:val="004B3B5D"/>
    <w:rsid w:val="004B3D90"/>
    <w:rsid w:val="004B3E3E"/>
    <w:rsid w:val="004B4264"/>
    <w:rsid w:val="004B4684"/>
    <w:rsid w:val="004B4857"/>
    <w:rsid w:val="004B4D08"/>
    <w:rsid w:val="004B4F05"/>
    <w:rsid w:val="004B4F0A"/>
    <w:rsid w:val="004B506A"/>
    <w:rsid w:val="004B5120"/>
    <w:rsid w:val="004B52E8"/>
    <w:rsid w:val="004B581C"/>
    <w:rsid w:val="004B598B"/>
    <w:rsid w:val="004B6094"/>
    <w:rsid w:val="004B613A"/>
    <w:rsid w:val="004B614D"/>
    <w:rsid w:val="004B6496"/>
    <w:rsid w:val="004B6609"/>
    <w:rsid w:val="004B67CA"/>
    <w:rsid w:val="004B6A10"/>
    <w:rsid w:val="004B6B5E"/>
    <w:rsid w:val="004B6FA0"/>
    <w:rsid w:val="004B72B1"/>
    <w:rsid w:val="004B79CE"/>
    <w:rsid w:val="004B7A24"/>
    <w:rsid w:val="004B7A4C"/>
    <w:rsid w:val="004B7EAC"/>
    <w:rsid w:val="004C0ACC"/>
    <w:rsid w:val="004C0FAE"/>
    <w:rsid w:val="004C115A"/>
    <w:rsid w:val="004C17EE"/>
    <w:rsid w:val="004C19C0"/>
    <w:rsid w:val="004C2494"/>
    <w:rsid w:val="004C24E5"/>
    <w:rsid w:val="004C2627"/>
    <w:rsid w:val="004C29FD"/>
    <w:rsid w:val="004C2FFD"/>
    <w:rsid w:val="004C316C"/>
    <w:rsid w:val="004C32B7"/>
    <w:rsid w:val="004C3344"/>
    <w:rsid w:val="004C358E"/>
    <w:rsid w:val="004C370D"/>
    <w:rsid w:val="004C382C"/>
    <w:rsid w:val="004C3B63"/>
    <w:rsid w:val="004C3CEC"/>
    <w:rsid w:val="004C4179"/>
    <w:rsid w:val="004C422C"/>
    <w:rsid w:val="004C43E9"/>
    <w:rsid w:val="004C44DC"/>
    <w:rsid w:val="004C46C8"/>
    <w:rsid w:val="004C48F9"/>
    <w:rsid w:val="004C4935"/>
    <w:rsid w:val="004C4CE1"/>
    <w:rsid w:val="004C4DFD"/>
    <w:rsid w:val="004C4F20"/>
    <w:rsid w:val="004C4FF2"/>
    <w:rsid w:val="004C5A47"/>
    <w:rsid w:val="004C5C36"/>
    <w:rsid w:val="004C5CC1"/>
    <w:rsid w:val="004C676E"/>
    <w:rsid w:val="004C6870"/>
    <w:rsid w:val="004C6AAC"/>
    <w:rsid w:val="004C6BDE"/>
    <w:rsid w:val="004C7442"/>
    <w:rsid w:val="004C7594"/>
    <w:rsid w:val="004C77E4"/>
    <w:rsid w:val="004C7E7E"/>
    <w:rsid w:val="004C7FB5"/>
    <w:rsid w:val="004D009B"/>
    <w:rsid w:val="004D01DA"/>
    <w:rsid w:val="004D0201"/>
    <w:rsid w:val="004D03BD"/>
    <w:rsid w:val="004D03D8"/>
    <w:rsid w:val="004D03E1"/>
    <w:rsid w:val="004D0750"/>
    <w:rsid w:val="004D07D3"/>
    <w:rsid w:val="004D0E85"/>
    <w:rsid w:val="004D11BD"/>
    <w:rsid w:val="004D131E"/>
    <w:rsid w:val="004D1C05"/>
    <w:rsid w:val="004D1D97"/>
    <w:rsid w:val="004D1E4C"/>
    <w:rsid w:val="004D1F7F"/>
    <w:rsid w:val="004D2114"/>
    <w:rsid w:val="004D275D"/>
    <w:rsid w:val="004D2F5B"/>
    <w:rsid w:val="004D3279"/>
    <w:rsid w:val="004D3411"/>
    <w:rsid w:val="004D360C"/>
    <w:rsid w:val="004D3708"/>
    <w:rsid w:val="004D37F6"/>
    <w:rsid w:val="004D39C0"/>
    <w:rsid w:val="004D3CA7"/>
    <w:rsid w:val="004D3D36"/>
    <w:rsid w:val="004D413D"/>
    <w:rsid w:val="004D46EA"/>
    <w:rsid w:val="004D488C"/>
    <w:rsid w:val="004D4920"/>
    <w:rsid w:val="004D4927"/>
    <w:rsid w:val="004D53A5"/>
    <w:rsid w:val="004D54B6"/>
    <w:rsid w:val="004D56DC"/>
    <w:rsid w:val="004D56E3"/>
    <w:rsid w:val="004D6499"/>
    <w:rsid w:val="004D6893"/>
    <w:rsid w:val="004D6A0F"/>
    <w:rsid w:val="004D6AB5"/>
    <w:rsid w:val="004D6C40"/>
    <w:rsid w:val="004D7015"/>
    <w:rsid w:val="004E01D5"/>
    <w:rsid w:val="004E0D36"/>
    <w:rsid w:val="004E0F8A"/>
    <w:rsid w:val="004E11F8"/>
    <w:rsid w:val="004E13FF"/>
    <w:rsid w:val="004E1625"/>
    <w:rsid w:val="004E199D"/>
    <w:rsid w:val="004E1AF6"/>
    <w:rsid w:val="004E1D34"/>
    <w:rsid w:val="004E1E0D"/>
    <w:rsid w:val="004E1FAA"/>
    <w:rsid w:val="004E242D"/>
    <w:rsid w:val="004E2762"/>
    <w:rsid w:val="004E29F6"/>
    <w:rsid w:val="004E2B19"/>
    <w:rsid w:val="004E2CD5"/>
    <w:rsid w:val="004E2DBB"/>
    <w:rsid w:val="004E3256"/>
    <w:rsid w:val="004E3309"/>
    <w:rsid w:val="004E3606"/>
    <w:rsid w:val="004E374F"/>
    <w:rsid w:val="004E39A9"/>
    <w:rsid w:val="004E3BE8"/>
    <w:rsid w:val="004E3DF3"/>
    <w:rsid w:val="004E41F9"/>
    <w:rsid w:val="004E42F6"/>
    <w:rsid w:val="004E465B"/>
    <w:rsid w:val="004E46F3"/>
    <w:rsid w:val="004E47BC"/>
    <w:rsid w:val="004E4EBC"/>
    <w:rsid w:val="004E4EEB"/>
    <w:rsid w:val="004E54D6"/>
    <w:rsid w:val="004E54F8"/>
    <w:rsid w:val="004E5802"/>
    <w:rsid w:val="004E580E"/>
    <w:rsid w:val="004E5A3C"/>
    <w:rsid w:val="004E5B58"/>
    <w:rsid w:val="004E5B5F"/>
    <w:rsid w:val="004E5C1C"/>
    <w:rsid w:val="004E5CD8"/>
    <w:rsid w:val="004E5E8F"/>
    <w:rsid w:val="004E61C8"/>
    <w:rsid w:val="004E7467"/>
    <w:rsid w:val="004E7582"/>
    <w:rsid w:val="004E769D"/>
    <w:rsid w:val="004E7CA8"/>
    <w:rsid w:val="004F01F5"/>
    <w:rsid w:val="004F03EA"/>
    <w:rsid w:val="004F0930"/>
    <w:rsid w:val="004F0B23"/>
    <w:rsid w:val="004F0BC9"/>
    <w:rsid w:val="004F0E2C"/>
    <w:rsid w:val="004F10F7"/>
    <w:rsid w:val="004F1191"/>
    <w:rsid w:val="004F11C7"/>
    <w:rsid w:val="004F13B9"/>
    <w:rsid w:val="004F185B"/>
    <w:rsid w:val="004F2F9A"/>
    <w:rsid w:val="004F3326"/>
    <w:rsid w:val="004F3497"/>
    <w:rsid w:val="004F36D4"/>
    <w:rsid w:val="004F373E"/>
    <w:rsid w:val="004F37CE"/>
    <w:rsid w:val="004F3A19"/>
    <w:rsid w:val="004F3D19"/>
    <w:rsid w:val="004F3FC9"/>
    <w:rsid w:val="004F402F"/>
    <w:rsid w:val="004F4116"/>
    <w:rsid w:val="004F499B"/>
    <w:rsid w:val="004F4A00"/>
    <w:rsid w:val="004F4A57"/>
    <w:rsid w:val="004F4C53"/>
    <w:rsid w:val="004F4E77"/>
    <w:rsid w:val="004F5042"/>
    <w:rsid w:val="004F5169"/>
    <w:rsid w:val="004F57CC"/>
    <w:rsid w:val="004F5C4E"/>
    <w:rsid w:val="004F5E48"/>
    <w:rsid w:val="004F6139"/>
    <w:rsid w:val="004F6224"/>
    <w:rsid w:val="004F653F"/>
    <w:rsid w:val="004F6656"/>
    <w:rsid w:val="004F6F9D"/>
    <w:rsid w:val="004F715B"/>
    <w:rsid w:val="004F76D4"/>
    <w:rsid w:val="004F776D"/>
    <w:rsid w:val="004F77F3"/>
    <w:rsid w:val="004F7853"/>
    <w:rsid w:val="004F7AAF"/>
    <w:rsid w:val="004F7D02"/>
    <w:rsid w:val="0050015B"/>
    <w:rsid w:val="00500272"/>
    <w:rsid w:val="00500276"/>
    <w:rsid w:val="005009C5"/>
    <w:rsid w:val="00500A80"/>
    <w:rsid w:val="00500B66"/>
    <w:rsid w:val="00500C89"/>
    <w:rsid w:val="00501411"/>
    <w:rsid w:val="00501B06"/>
    <w:rsid w:val="00501FD3"/>
    <w:rsid w:val="0050208B"/>
    <w:rsid w:val="005021D9"/>
    <w:rsid w:val="00502223"/>
    <w:rsid w:val="005026E6"/>
    <w:rsid w:val="0050273E"/>
    <w:rsid w:val="00502B1E"/>
    <w:rsid w:val="005031BB"/>
    <w:rsid w:val="005033C7"/>
    <w:rsid w:val="00503471"/>
    <w:rsid w:val="005039ED"/>
    <w:rsid w:val="00503D5C"/>
    <w:rsid w:val="00503F72"/>
    <w:rsid w:val="00503FD8"/>
    <w:rsid w:val="005040D9"/>
    <w:rsid w:val="00504237"/>
    <w:rsid w:val="005045B9"/>
    <w:rsid w:val="005045F0"/>
    <w:rsid w:val="005048C8"/>
    <w:rsid w:val="00504BFC"/>
    <w:rsid w:val="00504E5C"/>
    <w:rsid w:val="00504EDC"/>
    <w:rsid w:val="00505329"/>
    <w:rsid w:val="005053A1"/>
    <w:rsid w:val="00505513"/>
    <w:rsid w:val="0050579C"/>
    <w:rsid w:val="00505966"/>
    <w:rsid w:val="00505AB3"/>
    <w:rsid w:val="00505F56"/>
    <w:rsid w:val="005062D1"/>
    <w:rsid w:val="00506385"/>
    <w:rsid w:val="00506508"/>
    <w:rsid w:val="00506534"/>
    <w:rsid w:val="005067C7"/>
    <w:rsid w:val="005069F9"/>
    <w:rsid w:val="00507171"/>
    <w:rsid w:val="00507415"/>
    <w:rsid w:val="005074E6"/>
    <w:rsid w:val="00507BB3"/>
    <w:rsid w:val="00507CEE"/>
    <w:rsid w:val="005102F4"/>
    <w:rsid w:val="00510B19"/>
    <w:rsid w:val="005110AA"/>
    <w:rsid w:val="00511119"/>
    <w:rsid w:val="005113F0"/>
    <w:rsid w:val="00511516"/>
    <w:rsid w:val="005116FD"/>
    <w:rsid w:val="00511825"/>
    <w:rsid w:val="005118C6"/>
    <w:rsid w:val="0051190A"/>
    <w:rsid w:val="00511A95"/>
    <w:rsid w:val="00511C9D"/>
    <w:rsid w:val="00511F19"/>
    <w:rsid w:val="00512109"/>
    <w:rsid w:val="0051212B"/>
    <w:rsid w:val="00512203"/>
    <w:rsid w:val="00512574"/>
    <w:rsid w:val="00512F9F"/>
    <w:rsid w:val="0051330E"/>
    <w:rsid w:val="00513422"/>
    <w:rsid w:val="00513A21"/>
    <w:rsid w:val="005140D6"/>
    <w:rsid w:val="00514521"/>
    <w:rsid w:val="0051462F"/>
    <w:rsid w:val="005147C4"/>
    <w:rsid w:val="00514842"/>
    <w:rsid w:val="005148E9"/>
    <w:rsid w:val="005153B7"/>
    <w:rsid w:val="00515488"/>
    <w:rsid w:val="00515735"/>
    <w:rsid w:val="00515745"/>
    <w:rsid w:val="00515B6E"/>
    <w:rsid w:val="00515BB3"/>
    <w:rsid w:val="00515E02"/>
    <w:rsid w:val="00516623"/>
    <w:rsid w:val="005167FF"/>
    <w:rsid w:val="0051692C"/>
    <w:rsid w:val="00516CAB"/>
    <w:rsid w:val="00516E55"/>
    <w:rsid w:val="005171F4"/>
    <w:rsid w:val="005173C5"/>
    <w:rsid w:val="00517A11"/>
    <w:rsid w:val="00517BE7"/>
    <w:rsid w:val="00517EBA"/>
    <w:rsid w:val="00517FFD"/>
    <w:rsid w:val="0052017E"/>
    <w:rsid w:val="00520240"/>
    <w:rsid w:val="005202A8"/>
    <w:rsid w:val="005202EC"/>
    <w:rsid w:val="00520987"/>
    <w:rsid w:val="00520CC1"/>
    <w:rsid w:val="0052121F"/>
    <w:rsid w:val="00521E56"/>
    <w:rsid w:val="00522160"/>
    <w:rsid w:val="00522220"/>
    <w:rsid w:val="0052247D"/>
    <w:rsid w:val="005226E4"/>
    <w:rsid w:val="00522981"/>
    <w:rsid w:val="00522C13"/>
    <w:rsid w:val="00522CD0"/>
    <w:rsid w:val="00522DD5"/>
    <w:rsid w:val="00522DE7"/>
    <w:rsid w:val="005230CD"/>
    <w:rsid w:val="00523215"/>
    <w:rsid w:val="0052334F"/>
    <w:rsid w:val="005234E4"/>
    <w:rsid w:val="005238B9"/>
    <w:rsid w:val="005238F1"/>
    <w:rsid w:val="005239BF"/>
    <w:rsid w:val="00523A7B"/>
    <w:rsid w:val="0052414B"/>
    <w:rsid w:val="00524627"/>
    <w:rsid w:val="005247B9"/>
    <w:rsid w:val="00524F4B"/>
    <w:rsid w:val="00524FF9"/>
    <w:rsid w:val="00525015"/>
    <w:rsid w:val="005251EB"/>
    <w:rsid w:val="0052525F"/>
    <w:rsid w:val="00525278"/>
    <w:rsid w:val="005253A5"/>
    <w:rsid w:val="00525768"/>
    <w:rsid w:val="00525AD1"/>
    <w:rsid w:val="00525D2D"/>
    <w:rsid w:val="00525D9E"/>
    <w:rsid w:val="00525E50"/>
    <w:rsid w:val="005260E6"/>
    <w:rsid w:val="00526422"/>
    <w:rsid w:val="00526435"/>
    <w:rsid w:val="00526B03"/>
    <w:rsid w:val="00526EDD"/>
    <w:rsid w:val="00526F71"/>
    <w:rsid w:val="00527466"/>
    <w:rsid w:val="0052773D"/>
    <w:rsid w:val="00527C65"/>
    <w:rsid w:val="00530316"/>
    <w:rsid w:val="00530CC2"/>
    <w:rsid w:val="0053101A"/>
    <w:rsid w:val="005316FA"/>
    <w:rsid w:val="00531706"/>
    <w:rsid w:val="00531918"/>
    <w:rsid w:val="00531C74"/>
    <w:rsid w:val="00531DF4"/>
    <w:rsid w:val="00532080"/>
    <w:rsid w:val="005324F4"/>
    <w:rsid w:val="005325A0"/>
    <w:rsid w:val="0053265B"/>
    <w:rsid w:val="00532807"/>
    <w:rsid w:val="00532ABD"/>
    <w:rsid w:val="00532BEF"/>
    <w:rsid w:val="00533127"/>
    <w:rsid w:val="0053315F"/>
    <w:rsid w:val="005335A7"/>
    <w:rsid w:val="00533A3B"/>
    <w:rsid w:val="00533D93"/>
    <w:rsid w:val="00533F65"/>
    <w:rsid w:val="00534057"/>
    <w:rsid w:val="0053426A"/>
    <w:rsid w:val="00534300"/>
    <w:rsid w:val="00534C13"/>
    <w:rsid w:val="00534C28"/>
    <w:rsid w:val="00535049"/>
    <w:rsid w:val="00535200"/>
    <w:rsid w:val="00535F1E"/>
    <w:rsid w:val="00536A7B"/>
    <w:rsid w:val="00536B67"/>
    <w:rsid w:val="00536BD7"/>
    <w:rsid w:val="00536F36"/>
    <w:rsid w:val="00537004"/>
    <w:rsid w:val="0053751A"/>
    <w:rsid w:val="00537B14"/>
    <w:rsid w:val="00537CB1"/>
    <w:rsid w:val="00540070"/>
    <w:rsid w:val="0054012C"/>
    <w:rsid w:val="005401F7"/>
    <w:rsid w:val="00540644"/>
    <w:rsid w:val="0054086E"/>
    <w:rsid w:val="005408E4"/>
    <w:rsid w:val="00540C5E"/>
    <w:rsid w:val="00540CB4"/>
    <w:rsid w:val="00540DEC"/>
    <w:rsid w:val="00541024"/>
    <w:rsid w:val="0054114D"/>
    <w:rsid w:val="0054123F"/>
    <w:rsid w:val="00541379"/>
    <w:rsid w:val="005413ED"/>
    <w:rsid w:val="00541467"/>
    <w:rsid w:val="005416B0"/>
    <w:rsid w:val="00541E68"/>
    <w:rsid w:val="00541F8E"/>
    <w:rsid w:val="0054203E"/>
    <w:rsid w:val="00542774"/>
    <w:rsid w:val="0054282E"/>
    <w:rsid w:val="00542AB4"/>
    <w:rsid w:val="00542CBC"/>
    <w:rsid w:val="00542E37"/>
    <w:rsid w:val="00543409"/>
    <w:rsid w:val="00543643"/>
    <w:rsid w:val="00543A9B"/>
    <w:rsid w:val="00543C3E"/>
    <w:rsid w:val="00543C86"/>
    <w:rsid w:val="00544355"/>
    <w:rsid w:val="00544908"/>
    <w:rsid w:val="00545116"/>
    <w:rsid w:val="00545138"/>
    <w:rsid w:val="0054525E"/>
    <w:rsid w:val="0054535C"/>
    <w:rsid w:val="0054538F"/>
    <w:rsid w:val="0054586A"/>
    <w:rsid w:val="00545DDB"/>
    <w:rsid w:val="00545E57"/>
    <w:rsid w:val="00545E8F"/>
    <w:rsid w:val="0054605E"/>
    <w:rsid w:val="0054609B"/>
    <w:rsid w:val="005460E1"/>
    <w:rsid w:val="00546193"/>
    <w:rsid w:val="005461A9"/>
    <w:rsid w:val="00546524"/>
    <w:rsid w:val="00546987"/>
    <w:rsid w:val="005471C7"/>
    <w:rsid w:val="00547BF6"/>
    <w:rsid w:val="00547D16"/>
    <w:rsid w:val="00547EA5"/>
    <w:rsid w:val="00550065"/>
    <w:rsid w:val="0055049A"/>
    <w:rsid w:val="00550561"/>
    <w:rsid w:val="0055071D"/>
    <w:rsid w:val="00550764"/>
    <w:rsid w:val="00550C30"/>
    <w:rsid w:val="00550D97"/>
    <w:rsid w:val="00550F87"/>
    <w:rsid w:val="00551105"/>
    <w:rsid w:val="00551335"/>
    <w:rsid w:val="0055139E"/>
    <w:rsid w:val="0055207F"/>
    <w:rsid w:val="005521CF"/>
    <w:rsid w:val="00552284"/>
    <w:rsid w:val="005523CA"/>
    <w:rsid w:val="005525CE"/>
    <w:rsid w:val="005527FC"/>
    <w:rsid w:val="005528A0"/>
    <w:rsid w:val="00552D71"/>
    <w:rsid w:val="00552FB1"/>
    <w:rsid w:val="0055311B"/>
    <w:rsid w:val="00553894"/>
    <w:rsid w:val="00553B70"/>
    <w:rsid w:val="00553BC5"/>
    <w:rsid w:val="00553D40"/>
    <w:rsid w:val="00553F30"/>
    <w:rsid w:val="00554B6B"/>
    <w:rsid w:val="00554BBB"/>
    <w:rsid w:val="005550FB"/>
    <w:rsid w:val="005555C9"/>
    <w:rsid w:val="005558EB"/>
    <w:rsid w:val="00556400"/>
    <w:rsid w:val="00556433"/>
    <w:rsid w:val="00556587"/>
    <w:rsid w:val="005565B8"/>
    <w:rsid w:val="00556773"/>
    <w:rsid w:val="0055729C"/>
    <w:rsid w:val="00557308"/>
    <w:rsid w:val="00557339"/>
    <w:rsid w:val="005575FF"/>
    <w:rsid w:val="00557660"/>
    <w:rsid w:val="00557E6C"/>
    <w:rsid w:val="00557EB2"/>
    <w:rsid w:val="00557F92"/>
    <w:rsid w:val="00560315"/>
    <w:rsid w:val="005609D1"/>
    <w:rsid w:val="00560ADD"/>
    <w:rsid w:val="00560AF1"/>
    <w:rsid w:val="00560EAD"/>
    <w:rsid w:val="0056101F"/>
    <w:rsid w:val="005611C4"/>
    <w:rsid w:val="0056147D"/>
    <w:rsid w:val="005616A7"/>
    <w:rsid w:val="00561966"/>
    <w:rsid w:val="00561F2E"/>
    <w:rsid w:val="005621F5"/>
    <w:rsid w:val="005623C4"/>
    <w:rsid w:val="005625C9"/>
    <w:rsid w:val="005625EB"/>
    <w:rsid w:val="00562CB2"/>
    <w:rsid w:val="00562DDC"/>
    <w:rsid w:val="00562E53"/>
    <w:rsid w:val="00562FEC"/>
    <w:rsid w:val="00563349"/>
    <w:rsid w:val="0056393D"/>
    <w:rsid w:val="005641B1"/>
    <w:rsid w:val="00564267"/>
    <w:rsid w:val="005642A2"/>
    <w:rsid w:val="005644B3"/>
    <w:rsid w:val="005650B9"/>
    <w:rsid w:val="00565420"/>
    <w:rsid w:val="005657E0"/>
    <w:rsid w:val="00565933"/>
    <w:rsid w:val="00565BC7"/>
    <w:rsid w:val="005660FE"/>
    <w:rsid w:val="0056644C"/>
    <w:rsid w:val="00566C67"/>
    <w:rsid w:val="00566FF3"/>
    <w:rsid w:val="00567428"/>
    <w:rsid w:val="0056774D"/>
    <w:rsid w:val="00567810"/>
    <w:rsid w:val="0056789A"/>
    <w:rsid w:val="00567CC4"/>
    <w:rsid w:val="00567DF3"/>
    <w:rsid w:val="00567F9C"/>
    <w:rsid w:val="00570756"/>
    <w:rsid w:val="00570B8A"/>
    <w:rsid w:val="00570E9D"/>
    <w:rsid w:val="0057115F"/>
    <w:rsid w:val="00571F7F"/>
    <w:rsid w:val="005724AD"/>
    <w:rsid w:val="00572534"/>
    <w:rsid w:val="00572879"/>
    <w:rsid w:val="005728A7"/>
    <w:rsid w:val="00572943"/>
    <w:rsid w:val="00572BB9"/>
    <w:rsid w:val="00573208"/>
    <w:rsid w:val="00573222"/>
    <w:rsid w:val="005732C4"/>
    <w:rsid w:val="0057370C"/>
    <w:rsid w:val="00573B68"/>
    <w:rsid w:val="00573F26"/>
    <w:rsid w:val="00574021"/>
    <w:rsid w:val="005741B4"/>
    <w:rsid w:val="0057436F"/>
    <w:rsid w:val="00574751"/>
    <w:rsid w:val="00574A79"/>
    <w:rsid w:val="00574B84"/>
    <w:rsid w:val="00574C84"/>
    <w:rsid w:val="00574F0B"/>
    <w:rsid w:val="00574F10"/>
    <w:rsid w:val="00574F73"/>
    <w:rsid w:val="00574F9F"/>
    <w:rsid w:val="00574FFB"/>
    <w:rsid w:val="00575037"/>
    <w:rsid w:val="0057570B"/>
    <w:rsid w:val="0057582C"/>
    <w:rsid w:val="00575FD0"/>
    <w:rsid w:val="005760EE"/>
    <w:rsid w:val="00576586"/>
    <w:rsid w:val="0057682B"/>
    <w:rsid w:val="00576D41"/>
    <w:rsid w:val="005771D4"/>
    <w:rsid w:val="00577C93"/>
    <w:rsid w:val="00577F1F"/>
    <w:rsid w:val="00580C45"/>
    <w:rsid w:val="0058106D"/>
    <w:rsid w:val="005813AF"/>
    <w:rsid w:val="0058145E"/>
    <w:rsid w:val="00581560"/>
    <w:rsid w:val="00581626"/>
    <w:rsid w:val="00581B95"/>
    <w:rsid w:val="00581E2A"/>
    <w:rsid w:val="00581EAA"/>
    <w:rsid w:val="00582191"/>
    <w:rsid w:val="0058233D"/>
    <w:rsid w:val="005823A3"/>
    <w:rsid w:val="00582D7E"/>
    <w:rsid w:val="00582F07"/>
    <w:rsid w:val="00583B45"/>
    <w:rsid w:val="00583E59"/>
    <w:rsid w:val="00583F8F"/>
    <w:rsid w:val="00584C2F"/>
    <w:rsid w:val="00584C72"/>
    <w:rsid w:val="00584D31"/>
    <w:rsid w:val="00584FD3"/>
    <w:rsid w:val="0058546D"/>
    <w:rsid w:val="00585516"/>
    <w:rsid w:val="005859CE"/>
    <w:rsid w:val="00585A52"/>
    <w:rsid w:val="00585A83"/>
    <w:rsid w:val="00585EC7"/>
    <w:rsid w:val="005869AC"/>
    <w:rsid w:val="00586BF8"/>
    <w:rsid w:val="00586FFC"/>
    <w:rsid w:val="005877F4"/>
    <w:rsid w:val="0059000E"/>
    <w:rsid w:val="00590421"/>
    <w:rsid w:val="00590AA8"/>
    <w:rsid w:val="00590BE7"/>
    <w:rsid w:val="00590F04"/>
    <w:rsid w:val="00590FE0"/>
    <w:rsid w:val="00591382"/>
    <w:rsid w:val="00591892"/>
    <w:rsid w:val="005919F3"/>
    <w:rsid w:val="00591E3E"/>
    <w:rsid w:val="005920A9"/>
    <w:rsid w:val="00592324"/>
    <w:rsid w:val="00592543"/>
    <w:rsid w:val="005929F4"/>
    <w:rsid w:val="00592DE6"/>
    <w:rsid w:val="00592DE8"/>
    <w:rsid w:val="00592E96"/>
    <w:rsid w:val="005930B2"/>
    <w:rsid w:val="005930E2"/>
    <w:rsid w:val="0059333A"/>
    <w:rsid w:val="00593470"/>
    <w:rsid w:val="00593547"/>
    <w:rsid w:val="005937AF"/>
    <w:rsid w:val="00593B4D"/>
    <w:rsid w:val="00593E82"/>
    <w:rsid w:val="0059402B"/>
    <w:rsid w:val="0059447F"/>
    <w:rsid w:val="00594569"/>
    <w:rsid w:val="00594BD0"/>
    <w:rsid w:val="00594C0E"/>
    <w:rsid w:val="00594CF4"/>
    <w:rsid w:val="00594D68"/>
    <w:rsid w:val="00594DDD"/>
    <w:rsid w:val="0059527C"/>
    <w:rsid w:val="005952ED"/>
    <w:rsid w:val="005953B4"/>
    <w:rsid w:val="00595414"/>
    <w:rsid w:val="00595453"/>
    <w:rsid w:val="005956D2"/>
    <w:rsid w:val="00595712"/>
    <w:rsid w:val="00595E15"/>
    <w:rsid w:val="00596111"/>
    <w:rsid w:val="0059616D"/>
    <w:rsid w:val="005961DF"/>
    <w:rsid w:val="0059625A"/>
    <w:rsid w:val="00596367"/>
    <w:rsid w:val="005963BD"/>
    <w:rsid w:val="0059648E"/>
    <w:rsid w:val="005968A0"/>
    <w:rsid w:val="005969EF"/>
    <w:rsid w:val="00596BBB"/>
    <w:rsid w:val="00597136"/>
    <w:rsid w:val="00597299"/>
    <w:rsid w:val="00597337"/>
    <w:rsid w:val="00597563"/>
    <w:rsid w:val="005978BC"/>
    <w:rsid w:val="00597E5A"/>
    <w:rsid w:val="005A0146"/>
    <w:rsid w:val="005A02A6"/>
    <w:rsid w:val="005A0311"/>
    <w:rsid w:val="005A0387"/>
    <w:rsid w:val="005A0401"/>
    <w:rsid w:val="005A0A90"/>
    <w:rsid w:val="005A0E7E"/>
    <w:rsid w:val="005A0FCC"/>
    <w:rsid w:val="005A13D5"/>
    <w:rsid w:val="005A1491"/>
    <w:rsid w:val="005A154E"/>
    <w:rsid w:val="005A15CC"/>
    <w:rsid w:val="005A1F61"/>
    <w:rsid w:val="005A21DB"/>
    <w:rsid w:val="005A240C"/>
    <w:rsid w:val="005A26B5"/>
    <w:rsid w:val="005A293C"/>
    <w:rsid w:val="005A2A11"/>
    <w:rsid w:val="005A2BF6"/>
    <w:rsid w:val="005A2D42"/>
    <w:rsid w:val="005A2F05"/>
    <w:rsid w:val="005A332E"/>
    <w:rsid w:val="005A33AB"/>
    <w:rsid w:val="005A39F4"/>
    <w:rsid w:val="005A4011"/>
    <w:rsid w:val="005A40BD"/>
    <w:rsid w:val="005A4343"/>
    <w:rsid w:val="005A443E"/>
    <w:rsid w:val="005A48F1"/>
    <w:rsid w:val="005A4E43"/>
    <w:rsid w:val="005A4FB5"/>
    <w:rsid w:val="005A529C"/>
    <w:rsid w:val="005A5F00"/>
    <w:rsid w:val="005A6340"/>
    <w:rsid w:val="005A6D17"/>
    <w:rsid w:val="005A6EBF"/>
    <w:rsid w:val="005A6EEC"/>
    <w:rsid w:val="005A6FE3"/>
    <w:rsid w:val="005A7042"/>
    <w:rsid w:val="005A760F"/>
    <w:rsid w:val="005A7EC7"/>
    <w:rsid w:val="005A7FA1"/>
    <w:rsid w:val="005B0002"/>
    <w:rsid w:val="005B02D2"/>
    <w:rsid w:val="005B0A17"/>
    <w:rsid w:val="005B0E3B"/>
    <w:rsid w:val="005B11CE"/>
    <w:rsid w:val="005B12E1"/>
    <w:rsid w:val="005B1609"/>
    <w:rsid w:val="005B1897"/>
    <w:rsid w:val="005B1C2D"/>
    <w:rsid w:val="005B23A1"/>
    <w:rsid w:val="005B277C"/>
    <w:rsid w:val="005B2858"/>
    <w:rsid w:val="005B290A"/>
    <w:rsid w:val="005B29F3"/>
    <w:rsid w:val="005B2AB9"/>
    <w:rsid w:val="005B3851"/>
    <w:rsid w:val="005B3951"/>
    <w:rsid w:val="005B3A31"/>
    <w:rsid w:val="005B3E08"/>
    <w:rsid w:val="005B4828"/>
    <w:rsid w:val="005B5193"/>
    <w:rsid w:val="005B51BD"/>
    <w:rsid w:val="005B51F8"/>
    <w:rsid w:val="005B5258"/>
    <w:rsid w:val="005B53A5"/>
    <w:rsid w:val="005B54D1"/>
    <w:rsid w:val="005B55F1"/>
    <w:rsid w:val="005B5DEB"/>
    <w:rsid w:val="005B6032"/>
    <w:rsid w:val="005B664F"/>
    <w:rsid w:val="005B66DE"/>
    <w:rsid w:val="005B72AD"/>
    <w:rsid w:val="005B7427"/>
    <w:rsid w:val="005B76DB"/>
    <w:rsid w:val="005B7970"/>
    <w:rsid w:val="005B79A0"/>
    <w:rsid w:val="005B7C91"/>
    <w:rsid w:val="005B7E84"/>
    <w:rsid w:val="005C00C3"/>
    <w:rsid w:val="005C0CCD"/>
    <w:rsid w:val="005C0D5A"/>
    <w:rsid w:val="005C0E8F"/>
    <w:rsid w:val="005C0EDE"/>
    <w:rsid w:val="005C1194"/>
    <w:rsid w:val="005C11F1"/>
    <w:rsid w:val="005C128D"/>
    <w:rsid w:val="005C13C2"/>
    <w:rsid w:val="005C153F"/>
    <w:rsid w:val="005C1AFE"/>
    <w:rsid w:val="005C1B3F"/>
    <w:rsid w:val="005C21E3"/>
    <w:rsid w:val="005C2D32"/>
    <w:rsid w:val="005C2E15"/>
    <w:rsid w:val="005C32F5"/>
    <w:rsid w:val="005C343B"/>
    <w:rsid w:val="005C367A"/>
    <w:rsid w:val="005C39EB"/>
    <w:rsid w:val="005C3B5B"/>
    <w:rsid w:val="005C3C48"/>
    <w:rsid w:val="005C3E7C"/>
    <w:rsid w:val="005C4694"/>
    <w:rsid w:val="005C47B8"/>
    <w:rsid w:val="005C482B"/>
    <w:rsid w:val="005C48A9"/>
    <w:rsid w:val="005C4964"/>
    <w:rsid w:val="005C4A81"/>
    <w:rsid w:val="005C4B54"/>
    <w:rsid w:val="005C4DE9"/>
    <w:rsid w:val="005C50B9"/>
    <w:rsid w:val="005C51C0"/>
    <w:rsid w:val="005C53D2"/>
    <w:rsid w:val="005C54DC"/>
    <w:rsid w:val="005C57E9"/>
    <w:rsid w:val="005C580F"/>
    <w:rsid w:val="005C5AEC"/>
    <w:rsid w:val="005C5B1E"/>
    <w:rsid w:val="005C64EB"/>
    <w:rsid w:val="005C653F"/>
    <w:rsid w:val="005C66A6"/>
    <w:rsid w:val="005C6842"/>
    <w:rsid w:val="005C69AA"/>
    <w:rsid w:val="005C6C54"/>
    <w:rsid w:val="005C7018"/>
    <w:rsid w:val="005C7134"/>
    <w:rsid w:val="005C7809"/>
    <w:rsid w:val="005C7B27"/>
    <w:rsid w:val="005D00B1"/>
    <w:rsid w:val="005D0634"/>
    <w:rsid w:val="005D0B13"/>
    <w:rsid w:val="005D0CB1"/>
    <w:rsid w:val="005D14BF"/>
    <w:rsid w:val="005D14D6"/>
    <w:rsid w:val="005D17BF"/>
    <w:rsid w:val="005D17E6"/>
    <w:rsid w:val="005D18C7"/>
    <w:rsid w:val="005D1914"/>
    <w:rsid w:val="005D1B11"/>
    <w:rsid w:val="005D2086"/>
    <w:rsid w:val="005D211C"/>
    <w:rsid w:val="005D243A"/>
    <w:rsid w:val="005D263F"/>
    <w:rsid w:val="005D292E"/>
    <w:rsid w:val="005D2BC6"/>
    <w:rsid w:val="005D2D15"/>
    <w:rsid w:val="005D2D8A"/>
    <w:rsid w:val="005D2FFA"/>
    <w:rsid w:val="005D30D5"/>
    <w:rsid w:val="005D3AE5"/>
    <w:rsid w:val="005D3B15"/>
    <w:rsid w:val="005D3DBA"/>
    <w:rsid w:val="005D424F"/>
    <w:rsid w:val="005D440E"/>
    <w:rsid w:val="005D4AC1"/>
    <w:rsid w:val="005D4C17"/>
    <w:rsid w:val="005D50AF"/>
    <w:rsid w:val="005D5EF1"/>
    <w:rsid w:val="005D5F37"/>
    <w:rsid w:val="005D6300"/>
    <w:rsid w:val="005D641B"/>
    <w:rsid w:val="005D6521"/>
    <w:rsid w:val="005D6522"/>
    <w:rsid w:val="005D6688"/>
    <w:rsid w:val="005D680D"/>
    <w:rsid w:val="005D693C"/>
    <w:rsid w:val="005D6C2E"/>
    <w:rsid w:val="005D6CE2"/>
    <w:rsid w:val="005D6F45"/>
    <w:rsid w:val="005D7228"/>
    <w:rsid w:val="005D7238"/>
    <w:rsid w:val="005D7C0D"/>
    <w:rsid w:val="005E0418"/>
    <w:rsid w:val="005E0658"/>
    <w:rsid w:val="005E0788"/>
    <w:rsid w:val="005E0F5C"/>
    <w:rsid w:val="005E11E7"/>
    <w:rsid w:val="005E13C7"/>
    <w:rsid w:val="005E163F"/>
    <w:rsid w:val="005E173C"/>
    <w:rsid w:val="005E1CFE"/>
    <w:rsid w:val="005E1DA2"/>
    <w:rsid w:val="005E1E25"/>
    <w:rsid w:val="005E235E"/>
    <w:rsid w:val="005E25B3"/>
    <w:rsid w:val="005E289B"/>
    <w:rsid w:val="005E29DE"/>
    <w:rsid w:val="005E2C83"/>
    <w:rsid w:val="005E2F50"/>
    <w:rsid w:val="005E3116"/>
    <w:rsid w:val="005E31F6"/>
    <w:rsid w:val="005E33F6"/>
    <w:rsid w:val="005E35C4"/>
    <w:rsid w:val="005E38AE"/>
    <w:rsid w:val="005E3A3E"/>
    <w:rsid w:val="005E3ACD"/>
    <w:rsid w:val="005E3DB7"/>
    <w:rsid w:val="005E4B30"/>
    <w:rsid w:val="005E4BE2"/>
    <w:rsid w:val="005E4D04"/>
    <w:rsid w:val="005E4E4B"/>
    <w:rsid w:val="005E4F84"/>
    <w:rsid w:val="005E51DB"/>
    <w:rsid w:val="005E5427"/>
    <w:rsid w:val="005E5661"/>
    <w:rsid w:val="005E5EA5"/>
    <w:rsid w:val="005E618F"/>
    <w:rsid w:val="005E687B"/>
    <w:rsid w:val="005E6A57"/>
    <w:rsid w:val="005E6CB9"/>
    <w:rsid w:val="005E6E0F"/>
    <w:rsid w:val="005E6E73"/>
    <w:rsid w:val="005E7335"/>
    <w:rsid w:val="005E7647"/>
    <w:rsid w:val="005E78A1"/>
    <w:rsid w:val="005E79B2"/>
    <w:rsid w:val="005E7C0E"/>
    <w:rsid w:val="005E7C3C"/>
    <w:rsid w:val="005E7D92"/>
    <w:rsid w:val="005F00BA"/>
    <w:rsid w:val="005F0856"/>
    <w:rsid w:val="005F0967"/>
    <w:rsid w:val="005F09BF"/>
    <w:rsid w:val="005F0BD5"/>
    <w:rsid w:val="005F0C5A"/>
    <w:rsid w:val="005F0D29"/>
    <w:rsid w:val="005F149F"/>
    <w:rsid w:val="005F1F33"/>
    <w:rsid w:val="005F246A"/>
    <w:rsid w:val="005F29C3"/>
    <w:rsid w:val="005F2C83"/>
    <w:rsid w:val="005F320B"/>
    <w:rsid w:val="005F3808"/>
    <w:rsid w:val="005F3840"/>
    <w:rsid w:val="005F3A88"/>
    <w:rsid w:val="005F3D39"/>
    <w:rsid w:val="005F3D9B"/>
    <w:rsid w:val="005F3F68"/>
    <w:rsid w:val="005F4CA0"/>
    <w:rsid w:val="005F4F6D"/>
    <w:rsid w:val="005F501C"/>
    <w:rsid w:val="005F50BC"/>
    <w:rsid w:val="005F5147"/>
    <w:rsid w:val="005F53FA"/>
    <w:rsid w:val="005F557D"/>
    <w:rsid w:val="005F5A38"/>
    <w:rsid w:val="005F5ADF"/>
    <w:rsid w:val="005F5B60"/>
    <w:rsid w:val="005F5D7D"/>
    <w:rsid w:val="005F60F9"/>
    <w:rsid w:val="005F619F"/>
    <w:rsid w:val="005F6230"/>
    <w:rsid w:val="005F6254"/>
    <w:rsid w:val="005F6385"/>
    <w:rsid w:val="005F666A"/>
    <w:rsid w:val="005F6844"/>
    <w:rsid w:val="005F6849"/>
    <w:rsid w:val="005F6AE4"/>
    <w:rsid w:val="005F6BD9"/>
    <w:rsid w:val="005F6DF7"/>
    <w:rsid w:val="005F6E36"/>
    <w:rsid w:val="005F70D5"/>
    <w:rsid w:val="005F7292"/>
    <w:rsid w:val="005F74CA"/>
    <w:rsid w:val="005F775C"/>
    <w:rsid w:val="005F7899"/>
    <w:rsid w:val="005F7B70"/>
    <w:rsid w:val="005F7DDE"/>
    <w:rsid w:val="0060006D"/>
    <w:rsid w:val="00600153"/>
    <w:rsid w:val="0060039A"/>
    <w:rsid w:val="006003B4"/>
    <w:rsid w:val="00600823"/>
    <w:rsid w:val="0060103F"/>
    <w:rsid w:val="00601078"/>
    <w:rsid w:val="0060114D"/>
    <w:rsid w:val="00601890"/>
    <w:rsid w:val="006019C1"/>
    <w:rsid w:val="006019F7"/>
    <w:rsid w:val="00601BEF"/>
    <w:rsid w:val="00601FC8"/>
    <w:rsid w:val="00602064"/>
    <w:rsid w:val="006021CC"/>
    <w:rsid w:val="006022F0"/>
    <w:rsid w:val="0060233C"/>
    <w:rsid w:val="006024F1"/>
    <w:rsid w:val="00602CBA"/>
    <w:rsid w:val="00602ED1"/>
    <w:rsid w:val="006036E2"/>
    <w:rsid w:val="0060389B"/>
    <w:rsid w:val="00603D05"/>
    <w:rsid w:val="00603D20"/>
    <w:rsid w:val="00603D34"/>
    <w:rsid w:val="00603ECA"/>
    <w:rsid w:val="00604072"/>
    <w:rsid w:val="0060411D"/>
    <w:rsid w:val="006043CA"/>
    <w:rsid w:val="006045EC"/>
    <w:rsid w:val="0060477B"/>
    <w:rsid w:val="0060487B"/>
    <w:rsid w:val="00604958"/>
    <w:rsid w:val="00604C11"/>
    <w:rsid w:val="006050ED"/>
    <w:rsid w:val="00605105"/>
    <w:rsid w:val="0060546B"/>
    <w:rsid w:val="0060596B"/>
    <w:rsid w:val="00605E2F"/>
    <w:rsid w:val="00605FCA"/>
    <w:rsid w:val="0060629D"/>
    <w:rsid w:val="006062F4"/>
    <w:rsid w:val="00606592"/>
    <w:rsid w:val="0060671D"/>
    <w:rsid w:val="0060686E"/>
    <w:rsid w:val="00606969"/>
    <w:rsid w:val="00606C5E"/>
    <w:rsid w:val="00606DBD"/>
    <w:rsid w:val="00606FDC"/>
    <w:rsid w:val="006070AD"/>
    <w:rsid w:val="006070CF"/>
    <w:rsid w:val="00607231"/>
    <w:rsid w:val="00607549"/>
    <w:rsid w:val="00607B7B"/>
    <w:rsid w:val="00607F3F"/>
    <w:rsid w:val="0061006D"/>
    <w:rsid w:val="0061043F"/>
    <w:rsid w:val="00610464"/>
    <w:rsid w:val="006112D3"/>
    <w:rsid w:val="006114A9"/>
    <w:rsid w:val="006114D9"/>
    <w:rsid w:val="00611960"/>
    <w:rsid w:val="00611CA0"/>
    <w:rsid w:val="00611CCF"/>
    <w:rsid w:val="006120C5"/>
    <w:rsid w:val="0061243D"/>
    <w:rsid w:val="00612818"/>
    <w:rsid w:val="00612A6A"/>
    <w:rsid w:val="00612AA3"/>
    <w:rsid w:val="00612BE5"/>
    <w:rsid w:val="00612F21"/>
    <w:rsid w:val="00612FDF"/>
    <w:rsid w:val="0061305B"/>
    <w:rsid w:val="0061327E"/>
    <w:rsid w:val="00613572"/>
    <w:rsid w:val="00613989"/>
    <w:rsid w:val="006139EC"/>
    <w:rsid w:val="00613C00"/>
    <w:rsid w:val="00613CCA"/>
    <w:rsid w:val="00613D57"/>
    <w:rsid w:val="00613D5A"/>
    <w:rsid w:val="0061442B"/>
    <w:rsid w:val="0061447B"/>
    <w:rsid w:val="0061452E"/>
    <w:rsid w:val="00614607"/>
    <w:rsid w:val="00614A90"/>
    <w:rsid w:val="00614B58"/>
    <w:rsid w:val="00614C8F"/>
    <w:rsid w:val="00615168"/>
    <w:rsid w:val="0061557F"/>
    <w:rsid w:val="0061590C"/>
    <w:rsid w:val="00615A86"/>
    <w:rsid w:val="00615C69"/>
    <w:rsid w:val="00615DF5"/>
    <w:rsid w:val="00616689"/>
    <w:rsid w:val="006166DF"/>
    <w:rsid w:val="00616766"/>
    <w:rsid w:val="00616826"/>
    <w:rsid w:val="006168B2"/>
    <w:rsid w:val="00616B21"/>
    <w:rsid w:val="00617078"/>
    <w:rsid w:val="006173C0"/>
    <w:rsid w:val="00617434"/>
    <w:rsid w:val="006175C8"/>
    <w:rsid w:val="006175E2"/>
    <w:rsid w:val="0061764E"/>
    <w:rsid w:val="00617692"/>
    <w:rsid w:val="006177D4"/>
    <w:rsid w:val="006177D6"/>
    <w:rsid w:val="00617D35"/>
    <w:rsid w:val="00617D84"/>
    <w:rsid w:val="0062028D"/>
    <w:rsid w:val="00620514"/>
    <w:rsid w:val="00620550"/>
    <w:rsid w:val="0062055E"/>
    <w:rsid w:val="00620B03"/>
    <w:rsid w:val="00620C40"/>
    <w:rsid w:val="0062107E"/>
    <w:rsid w:val="006215A9"/>
    <w:rsid w:val="006218F0"/>
    <w:rsid w:val="00621E29"/>
    <w:rsid w:val="00622136"/>
    <w:rsid w:val="00622C25"/>
    <w:rsid w:val="00622C43"/>
    <w:rsid w:val="006231B1"/>
    <w:rsid w:val="00623418"/>
    <w:rsid w:val="006234D1"/>
    <w:rsid w:val="00623892"/>
    <w:rsid w:val="00623EF6"/>
    <w:rsid w:val="0062405E"/>
    <w:rsid w:val="006241D6"/>
    <w:rsid w:val="006243FE"/>
    <w:rsid w:val="00624429"/>
    <w:rsid w:val="00624826"/>
    <w:rsid w:val="00624ACB"/>
    <w:rsid w:val="00624AFF"/>
    <w:rsid w:val="00624C04"/>
    <w:rsid w:val="00624CC3"/>
    <w:rsid w:val="0062530B"/>
    <w:rsid w:val="006253B6"/>
    <w:rsid w:val="00625DA9"/>
    <w:rsid w:val="0062608C"/>
    <w:rsid w:val="0062651E"/>
    <w:rsid w:val="00626745"/>
    <w:rsid w:val="00626C93"/>
    <w:rsid w:val="00626DD4"/>
    <w:rsid w:val="00627693"/>
    <w:rsid w:val="006278C1"/>
    <w:rsid w:val="006278E2"/>
    <w:rsid w:val="00627960"/>
    <w:rsid w:val="00627AF4"/>
    <w:rsid w:val="00627B37"/>
    <w:rsid w:val="00627B43"/>
    <w:rsid w:val="00630004"/>
    <w:rsid w:val="006300EA"/>
    <w:rsid w:val="006306D0"/>
    <w:rsid w:val="00631324"/>
    <w:rsid w:val="0063177C"/>
    <w:rsid w:val="006319C4"/>
    <w:rsid w:val="00631B1B"/>
    <w:rsid w:val="00631B7D"/>
    <w:rsid w:val="00631C17"/>
    <w:rsid w:val="00631D79"/>
    <w:rsid w:val="00631EF0"/>
    <w:rsid w:val="006323F0"/>
    <w:rsid w:val="00632568"/>
    <w:rsid w:val="00632723"/>
    <w:rsid w:val="00632BDD"/>
    <w:rsid w:val="00632DEF"/>
    <w:rsid w:val="00632E3A"/>
    <w:rsid w:val="00632F73"/>
    <w:rsid w:val="00632FD7"/>
    <w:rsid w:val="00633196"/>
    <w:rsid w:val="006335F9"/>
    <w:rsid w:val="0063395F"/>
    <w:rsid w:val="00633C6A"/>
    <w:rsid w:val="00633E92"/>
    <w:rsid w:val="00634102"/>
    <w:rsid w:val="00634191"/>
    <w:rsid w:val="006341B8"/>
    <w:rsid w:val="006344AE"/>
    <w:rsid w:val="0063461F"/>
    <w:rsid w:val="006348E6"/>
    <w:rsid w:val="00634ACD"/>
    <w:rsid w:val="00634B7C"/>
    <w:rsid w:val="00635285"/>
    <w:rsid w:val="0063564D"/>
    <w:rsid w:val="00635C17"/>
    <w:rsid w:val="006361AE"/>
    <w:rsid w:val="00636D1E"/>
    <w:rsid w:val="00636D28"/>
    <w:rsid w:val="00636D36"/>
    <w:rsid w:val="00636ED2"/>
    <w:rsid w:val="00636F87"/>
    <w:rsid w:val="00637893"/>
    <w:rsid w:val="00637B2F"/>
    <w:rsid w:val="00640535"/>
    <w:rsid w:val="00640560"/>
    <w:rsid w:val="00640A76"/>
    <w:rsid w:val="00640ACD"/>
    <w:rsid w:val="00640DBE"/>
    <w:rsid w:val="00641076"/>
    <w:rsid w:val="00641599"/>
    <w:rsid w:val="00641744"/>
    <w:rsid w:val="006418C7"/>
    <w:rsid w:val="00641916"/>
    <w:rsid w:val="00641BD9"/>
    <w:rsid w:val="00641E54"/>
    <w:rsid w:val="00642234"/>
    <w:rsid w:val="006424FF"/>
    <w:rsid w:val="00642572"/>
    <w:rsid w:val="0064286E"/>
    <w:rsid w:val="0064289C"/>
    <w:rsid w:val="00642DC8"/>
    <w:rsid w:val="006431AD"/>
    <w:rsid w:val="006432C8"/>
    <w:rsid w:val="00643332"/>
    <w:rsid w:val="0064339E"/>
    <w:rsid w:val="006438A6"/>
    <w:rsid w:val="00643AA1"/>
    <w:rsid w:val="00643B25"/>
    <w:rsid w:val="00643B31"/>
    <w:rsid w:val="006440AC"/>
    <w:rsid w:val="006440F2"/>
    <w:rsid w:val="006447F4"/>
    <w:rsid w:val="00644880"/>
    <w:rsid w:val="00644D8F"/>
    <w:rsid w:val="00644DAA"/>
    <w:rsid w:val="00644EB0"/>
    <w:rsid w:val="00645265"/>
    <w:rsid w:val="006458DA"/>
    <w:rsid w:val="00645915"/>
    <w:rsid w:val="00645AA0"/>
    <w:rsid w:val="00645F7D"/>
    <w:rsid w:val="00645FF8"/>
    <w:rsid w:val="00646437"/>
    <w:rsid w:val="006465B7"/>
    <w:rsid w:val="00646D74"/>
    <w:rsid w:val="00646E92"/>
    <w:rsid w:val="00646E9F"/>
    <w:rsid w:val="006475BC"/>
    <w:rsid w:val="006475C2"/>
    <w:rsid w:val="00647CBA"/>
    <w:rsid w:val="00647DF4"/>
    <w:rsid w:val="006503DB"/>
    <w:rsid w:val="00650521"/>
    <w:rsid w:val="006505E3"/>
    <w:rsid w:val="006505FB"/>
    <w:rsid w:val="0065060D"/>
    <w:rsid w:val="00650747"/>
    <w:rsid w:val="00650A0B"/>
    <w:rsid w:val="00651742"/>
    <w:rsid w:val="00651AA6"/>
    <w:rsid w:val="00651CC1"/>
    <w:rsid w:val="00651F0A"/>
    <w:rsid w:val="0065224A"/>
    <w:rsid w:val="006524AD"/>
    <w:rsid w:val="006526D8"/>
    <w:rsid w:val="00652A2E"/>
    <w:rsid w:val="00652BF4"/>
    <w:rsid w:val="00652E51"/>
    <w:rsid w:val="0065367D"/>
    <w:rsid w:val="006536CD"/>
    <w:rsid w:val="00653A92"/>
    <w:rsid w:val="00653B96"/>
    <w:rsid w:val="00653D01"/>
    <w:rsid w:val="00653DC2"/>
    <w:rsid w:val="00653E31"/>
    <w:rsid w:val="00654018"/>
    <w:rsid w:val="0065406A"/>
    <w:rsid w:val="006542C9"/>
    <w:rsid w:val="00654498"/>
    <w:rsid w:val="0065456D"/>
    <w:rsid w:val="00654A70"/>
    <w:rsid w:val="00654CD0"/>
    <w:rsid w:val="00655033"/>
    <w:rsid w:val="00655178"/>
    <w:rsid w:val="006552A3"/>
    <w:rsid w:val="006552CD"/>
    <w:rsid w:val="00655320"/>
    <w:rsid w:val="00655B8A"/>
    <w:rsid w:val="00655C88"/>
    <w:rsid w:val="00655FBD"/>
    <w:rsid w:val="006560B2"/>
    <w:rsid w:val="0065653B"/>
    <w:rsid w:val="006567E8"/>
    <w:rsid w:val="00656C87"/>
    <w:rsid w:val="00656DB3"/>
    <w:rsid w:val="00656FF4"/>
    <w:rsid w:val="0065746E"/>
    <w:rsid w:val="00657628"/>
    <w:rsid w:val="00657766"/>
    <w:rsid w:val="00657866"/>
    <w:rsid w:val="006579AA"/>
    <w:rsid w:val="00660220"/>
    <w:rsid w:val="0066029D"/>
    <w:rsid w:val="006604F0"/>
    <w:rsid w:val="00660581"/>
    <w:rsid w:val="0066099B"/>
    <w:rsid w:val="00660AEF"/>
    <w:rsid w:val="00660BAE"/>
    <w:rsid w:val="00660D2D"/>
    <w:rsid w:val="006610EB"/>
    <w:rsid w:val="00661464"/>
    <w:rsid w:val="006619DF"/>
    <w:rsid w:val="00661E18"/>
    <w:rsid w:val="00661E80"/>
    <w:rsid w:val="00661FFC"/>
    <w:rsid w:val="00662934"/>
    <w:rsid w:val="00662D22"/>
    <w:rsid w:val="00662D37"/>
    <w:rsid w:val="00662EA8"/>
    <w:rsid w:val="006634CC"/>
    <w:rsid w:val="0066357B"/>
    <w:rsid w:val="00663A56"/>
    <w:rsid w:val="00663D05"/>
    <w:rsid w:val="00663D28"/>
    <w:rsid w:val="006641FF"/>
    <w:rsid w:val="006642FF"/>
    <w:rsid w:val="00664343"/>
    <w:rsid w:val="006645C7"/>
    <w:rsid w:val="00664695"/>
    <w:rsid w:val="006649BD"/>
    <w:rsid w:val="00664DC4"/>
    <w:rsid w:val="00664F67"/>
    <w:rsid w:val="0066515F"/>
    <w:rsid w:val="006659A3"/>
    <w:rsid w:val="00665A00"/>
    <w:rsid w:val="00665C0A"/>
    <w:rsid w:val="00665CE4"/>
    <w:rsid w:val="00666124"/>
    <w:rsid w:val="0066619B"/>
    <w:rsid w:val="00666B31"/>
    <w:rsid w:val="00666D41"/>
    <w:rsid w:val="00666F3E"/>
    <w:rsid w:val="00666F7E"/>
    <w:rsid w:val="0066737A"/>
    <w:rsid w:val="00667847"/>
    <w:rsid w:val="00667D4C"/>
    <w:rsid w:val="00667E98"/>
    <w:rsid w:val="006700C9"/>
    <w:rsid w:val="00670748"/>
    <w:rsid w:val="00670775"/>
    <w:rsid w:val="006708B8"/>
    <w:rsid w:val="006708E1"/>
    <w:rsid w:val="00670AA3"/>
    <w:rsid w:val="00670B0E"/>
    <w:rsid w:val="00670ED8"/>
    <w:rsid w:val="006718E8"/>
    <w:rsid w:val="00671D24"/>
    <w:rsid w:val="00671D9D"/>
    <w:rsid w:val="00671EBF"/>
    <w:rsid w:val="00672188"/>
    <w:rsid w:val="006721AB"/>
    <w:rsid w:val="006725E1"/>
    <w:rsid w:val="006727FC"/>
    <w:rsid w:val="00672944"/>
    <w:rsid w:val="00672BC3"/>
    <w:rsid w:val="00672C9C"/>
    <w:rsid w:val="00672D43"/>
    <w:rsid w:val="00672DF3"/>
    <w:rsid w:val="006732B3"/>
    <w:rsid w:val="006733A4"/>
    <w:rsid w:val="006735AA"/>
    <w:rsid w:val="006735AE"/>
    <w:rsid w:val="006735D7"/>
    <w:rsid w:val="00673720"/>
    <w:rsid w:val="006738C3"/>
    <w:rsid w:val="0067397E"/>
    <w:rsid w:val="00673BF8"/>
    <w:rsid w:val="006741FB"/>
    <w:rsid w:val="00674F48"/>
    <w:rsid w:val="00675023"/>
    <w:rsid w:val="00675245"/>
    <w:rsid w:val="0067543B"/>
    <w:rsid w:val="00675667"/>
    <w:rsid w:val="0067590F"/>
    <w:rsid w:val="00675AB2"/>
    <w:rsid w:val="00675B0F"/>
    <w:rsid w:val="00675B74"/>
    <w:rsid w:val="00675ED1"/>
    <w:rsid w:val="00676518"/>
    <w:rsid w:val="006768DD"/>
    <w:rsid w:val="00677372"/>
    <w:rsid w:val="00677484"/>
    <w:rsid w:val="00677A70"/>
    <w:rsid w:val="00677B75"/>
    <w:rsid w:val="00677B76"/>
    <w:rsid w:val="00677D2C"/>
    <w:rsid w:val="00677E44"/>
    <w:rsid w:val="0068014E"/>
    <w:rsid w:val="006801DC"/>
    <w:rsid w:val="00680BED"/>
    <w:rsid w:val="00680EA1"/>
    <w:rsid w:val="00680F5E"/>
    <w:rsid w:val="00681370"/>
    <w:rsid w:val="006813E6"/>
    <w:rsid w:val="006815A6"/>
    <w:rsid w:val="006815E8"/>
    <w:rsid w:val="00681827"/>
    <w:rsid w:val="00681A68"/>
    <w:rsid w:val="00681B2E"/>
    <w:rsid w:val="00681BC2"/>
    <w:rsid w:val="00681D20"/>
    <w:rsid w:val="006821AD"/>
    <w:rsid w:val="0068231F"/>
    <w:rsid w:val="0068276D"/>
    <w:rsid w:val="006827AA"/>
    <w:rsid w:val="00682829"/>
    <w:rsid w:val="00682CF1"/>
    <w:rsid w:val="00683042"/>
    <w:rsid w:val="006833AB"/>
    <w:rsid w:val="00683E89"/>
    <w:rsid w:val="00683F5E"/>
    <w:rsid w:val="00683FF9"/>
    <w:rsid w:val="0068407A"/>
    <w:rsid w:val="006841BB"/>
    <w:rsid w:val="00684469"/>
    <w:rsid w:val="0068496D"/>
    <w:rsid w:val="00685197"/>
    <w:rsid w:val="00685536"/>
    <w:rsid w:val="00685567"/>
    <w:rsid w:val="006855D0"/>
    <w:rsid w:val="00685979"/>
    <w:rsid w:val="00685AC4"/>
    <w:rsid w:val="006860A6"/>
    <w:rsid w:val="0068641A"/>
    <w:rsid w:val="006864CF"/>
    <w:rsid w:val="00686653"/>
    <w:rsid w:val="006869F9"/>
    <w:rsid w:val="00686D59"/>
    <w:rsid w:val="0068719D"/>
    <w:rsid w:val="00687F60"/>
    <w:rsid w:val="0069060C"/>
    <w:rsid w:val="0069070B"/>
    <w:rsid w:val="00690D94"/>
    <w:rsid w:val="0069102A"/>
    <w:rsid w:val="0069161D"/>
    <w:rsid w:val="00691749"/>
    <w:rsid w:val="00691E4C"/>
    <w:rsid w:val="00691E9F"/>
    <w:rsid w:val="00692234"/>
    <w:rsid w:val="00692752"/>
    <w:rsid w:val="00692AF4"/>
    <w:rsid w:val="00692C8B"/>
    <w:rsid w:val="00692DF2"/>
    <w:rsid w:val="0069306F"/>
    <w:rsid w:val="0069314D"/>
    <w:rsid w:val="00693AB4"/>
    <w:rsid w:val="00693BC0"/>
    <w:rsid w:val="00693BE3"/>
    <w:rsid w:val="0069478D"/>
    <w:rsid w:val="00694EB8"/>
    <w:rsid w:val="006950A8"/>
    <w:rsid w:val="0069536D"/>
    <w:rsid w:val="006955E6"/>
    <w:rsid w:val="00695973"/>
    <w:rsid w:val="006959B4"/>
    <w:rsid w:val="00695F2D"/>
    <w:rsid w:val="00696093"/>
    <w:rsid w:val="006961A1"/>
    <w:rsid w:val="006963BC"/>
    <w:rsid w:val="00696A6D"/>
    <w:rsid w:val="00696E4E"/>
    <w:rsid w:val="00696F1C"/>
    <w:rsid w:val="006973A0"/>
    <w:rsid w:val="006978A0"/>
    <w:rsid w:val="00697EA1"/>
    <w:rsid w:val="006A0181"/>
    <w:rsid w:val="006A0185"/>
    <w:rsid w:val="006A034F"/>
    <w:rsid w:val="006A06BD"/>
    <w:rsid w:val="006A083B"/>
    <w:rsid w:val="006A0955"/>
    <w:rsid w:val="006A0A62"/>
    <w:rsid w:val="006A0A73"/>
    <w:rsid w:val="006A0D40"/>
    <w:rsid w:val="006A0D8D"/>
    <w:rsid w:val="006A0E6B"/>
    <w:rsid w:val="006A0FA7"/>
    <w:rsid w:val="006A1521"/>
    <w:rsid w:val="006A15DF"/>
    <w:rsid w:val="006A1696"/>
    <w:rsid w:val="006A1AE7"/>
    <w:rsid w:val="006A1BEA"/>
    <w:rsid w:val="006A2066"/>
    <w:rsid w:val="006A212C"/>
    <w:rsid w:val="006A2408"/>
    <w:rsid w:val="006A2688"/>
    <w:rsid w:val="006A2C16"/>
    <w:rsid w:val="006A2E77"/>
    <w:rsid w:val="006A3035"/>
    <w:rsid w:val="006A34DE"/>
    <w:rsid w:val="006A34E4"/>
    <w:rsid w:val="006A3F42"/>
    <w:rsid w:val="006A3F9D"/>
    <w:rsid w:val="006A427E"/>
    <w:rsid w:val="006A4285"/>
    <w:rsid w:val="006A43AF"/>
    <w:rsid w:val="006A43BA"/>
    <w:rsid w:val="006A43C5"/>
    <w:rsid w:val="006A49CB"/>
    <w:rsid w:val="006A5026"/>
    <w:rsid w:val="006A513C"/>
    <w:rsid w:val="006A5225"/>
    <w:rsid w:val="006A52EF"/>
    <w:rsid w:val="006A5557"/>
    <w:rsid w:val="006A5AB9"/>
    <w:rsid w:val="006A5BBF"/>
    <w:rsid w:val="006A5FEA"/>
    <w:rsid w:val="006A62BD"/>
    <w:rsid w:val="006A6376"/>
    <w:rsid w:val="006A6399"/>
    <w:rsid w:val="006A7334"/>
    <w:rsid w:val="006A75B6"/>
    <w:rsid w:val="006A7984"/>
    <w:rsid w:val="006A79AB"/>
    <w:rsid w:val="006A7A73"/>
    <w:rsid w:val="006A7E04"/>
    <w:rsid w:val="006A7F21"/>
    <w:rsid w:val="006B0545"/>
    <w:rsid w:val="006B06A4"/>
    <w:rsid w:val="006B0C46"/>
    <w:rsid w:val="006B0D0D"/>
    <w:rsid w:val="006B14C5"/>
    <w:rsid w:val="006B14EB"/>
    <w:rsid w:val="006B1638"/>
    <w:rsid w:val="006B1F1F"/>
    <w:rsid w:val="006B2254"/>
    <w:rsid w:val="006B22FF"/>
    <w:rsid w:val="006B2A11"/>
    <w:rsid w:val="006B2A63"/>
    <w:rsid w:val="006B2C02"/>
    <w:rsid w:val="006B2C12"/>
    <w:rsid w:val="006B2FEA"/>
    <w:rsid w:val="006B3197"/>
    <w:rsid w:val="006B31B3"/>
    <w:rsid w:val="006B372D"/>
    <w:rsid w:val="006B3791"/>
    <w:rsid w:val="006B3B42"/>
    <w:rsid w:val="006B3B4F"/>
    <w:rsid w:val="006B3E04"/>
    <w:rsid w:val="006B3EEA"/>
    <w:rsid w:val="006B3F85"/>
    <w:rsid w:val="006B4326"/>
    <w:rsid w:val="006B4583"/>
    <w:rsid w:val="006B45A1"/>
    <w:rsid w:val="006B4626"/>
    <w:rsid w:val="006B48C7"/>
    <w:rsid w:val="006B48CE"/>
    <w:rsid w:val="006B496E"/>
    <w:rsid w:val="006B5571"/>
    <w:rsid w:val="006B559A"/>
    <w:rsid w:val="006B5670"/>
    <w:rsid w:val="006B56E3"/>
    <w:rsid w:val="006B5B5D"/>
    <w:rsid w:val="006B5B88"/>
    <w:rsid w:val="006B5C97"/>
    <w:rsid w:val="006B6053"/>
    <w:rsid w:val="006B6963"/>
    <w:rsid w:val="006B6E1F"/>
    <w:rsid w:val="006B72E7"/>
    <w:rsid w:val="006B76D2"/>
    <w:rsid w:val="006B796F"/>
    <w:rsid w:val="006B79E0"/>
    <w:rsid w:val="006B7C8A"/>
    <w:rsid w:val="006B7D26"/>
    <w:rsid w:val="006B7DC5"/>
    <w:rsid w:val="006C0067"/>
    <w:rsid w:val="006C0481"/>
    <w:rsid w:val="006C07AC"/>
    <w:rsid w:val="006C0C49"/>
    <w:rsid w:val="006C0D4E"/>
    <w:rsid w:val="006C15E5"/>
    <w:rsid w:val="006C17B5"/>
    <w:rsid w:val="006C17D4"/>
    <w:rsid w:val="006C2006"/>
    <w:rsid w:val="006C2219"/>
    <w:rsid w:val="006C246D"/>
    <w:rsid w:val="006C2625"/>
    <w:rsid w:val="006C27C9"/>
    <w:rsid w:val="006C2C8E"/>
    <w:rsid w:val="006C2FE6"/>
    <w:rsid w:val="006C3123"/>
    <w:rsid w:val="006C3152"/>
    <w:rsid w:val="006C3359"/>
    <w:rsid w:val="006C351D"/>
    <w:rsid w:val="006C3526"/>
    <w:rsid w:val="006C3B54"/>
    <w:rsid w:val="006C3B6A"/>
    <w:rsid w:val="006C3FD6"/>
    <w:rsid w:val="006C43F0"/>
    <w:rsid w:val="006C4826"/>
    <w:rsid w:val="006C49E8"/>
    <w:rsid w:val="006C4AB9"/>
    <w:rsid w:val="006C4C3F"/>
    <w:rsid w:val="006C5099"/>
    <w:rsid w:val="006C588D"/>
    <w:rsid w:val="006C5E6A"/>
    <w:rsid w:val="006C6320"/>
    <w:rsid w:val="006C64C2"/>
    <w:rsid w:val="006C69FB"/>
    <w:rsid w:val="006C6CAB"/>
    <w:rsid w:val="006C6FA0"/>
    <w:rsid w:val="006C704E"/>
    <w:rsid w:val="006C709C"/>
    <w:rsid w:val="006C73D7"/>
    <w:rsid w:val="006C7589"/>
    <w:rsid w:val="006C76AA"/>
    <w:rsid w:val="006C7B9D"/>
    <w:rsid w:val="006C7D1F"/>
    <w:rsid w:val="006D0180"/>
    <w:rsid w:val="006D0391"/>
    <w:rsid w:val="006D0586"/>
    <w:rsid w:val="006D0DE8"/>
    <w:rsid w:val="006D10AB"/>
    <w:rsid w:val="006D13A0"/>
    <w:rsid w:val="006D156E"/>
    <w:rsid w:val="006D1574"/>
    <w:rsid w:val="006D1613"/>
    <w:rsid w:val="006D19D3"/>
    <w:rsid w:val="006D1DF2"/>
    <w:rsid w:val="006D2065"/>
    <w:rsid w:val="006D2705"/>
    <w:rsid w:val="006D2D90"/>
    <w:rsid w:val="006D2D92"/>
    <w:rsid w:val="006D30A6"/>
    <w:rsid w:val="006D317B"/>
    <w:rsid w:val="006D345B"/>
    <w:rsid w:val="006D35B0"/>
    <w:rsid w:val="006D3AD5"/>
    <w:rsid w:val="006D3C43"/>
    <w:rsid w:val="006D4521"/>
    <w:rsid w:val="006D4648"/>
    <w:rsid w:val="006D4822"/>
    <w:rsid w:val="006D4D09"/>
    <w:rsid w:val="006D4D1B"/>
    <w:rsid w:val="006D4DD3"/>
    <w:rsid w:val="006D4F41"/>
    <w:rsid w:val="006D516C"/>
    <w:rsid w:val="006D5455"/>
    <w:rsid w:val="006D561E"/>
    <w:rsid w:val="006D5A27"/>
    <w:rsid w:val="006D5AEF"/>
    <w:rsid w:val="006D5E5A"/>
    <w:rsid w:val="006D60E6"/>
    <w:rsid w:val="006D610F"/>
    <w:rsid w:val="006D63E1"/>
    <w:rsid w:val="006D7062"/>
    <w:rsid w:val="006D7406"/>
    <w:rsid w:val="006D778F"/>
    <w:rsid w:val="006D795B"/>
    <w:rsid w:val="006D7B3F"/>
    <w:rsid w:val="006D7B5C"/>
    <w:rsid w:val="006D7DF4"/>
    <w:rsid w:val="006D7E3B"/>
    <w:rsid w:val="006D7F55"/>
    <w:rsid w:val="006E011E"/>
    <w:rsid w:val="006E050B"/>
    <w:rsid w:val="006E082E"/>
    <w:rsid w:val="006E098B"/>
    <w:rsid w:val="006E1189"/>
    <w:rsid w:val="006E14D4"/>
    <w:rsid w:val="006E14D6"/>
    <w:rsid w:val="006E1586"/>
    <w:rsid w:val="006E1AA6"/>
    <w:rsid w:val="006E1BE6"/>
    <w:rsid w:val="006E1FA1"/>
    <w:rsid w:val="006E2373"/>
    <w:rsid w:val="006E25ED"/>
    <w:rsid w:val="006E2DC4"/>
    <w:rsid w:val="006E3386"/>
    <w:rsid w:val="006E37EA"/>
    <w:rsid w:val="006E3B60"/>
    <w:rsid w:val="006E3D90"/>
    <w:rsid w:val="006E3F89"/>
    <w:rsid w:val="006E4316"/>
    <w:rsid w:val="006E4491"/>
    <w:rsid w:val="006E4D90"/>
    <w:rsid w:val="006E587D"/>
    <w:rsid w:val="006E59C7"/>
    <w:rsid w:val="006E6483"/>
    <w:rsid w:val="006E6656"/>
    <w:rsid w:val="006E66A2"/>
    <w:rsid w:val="006E6DDD"/>
    <w:rsid w:val="006E6E36"/>
    <w:rsid w:val="006E6F54"/>
    <w:rsid w:val="006E731F"/>
    <w:rsid w:val="006E7447"/>
    <w:rsid w:val="006E75B0"/>
    <w:rsid w:val="006E761F"/>
    <w:rsid w:val="006E7CC9"/>
    <w:rsid w:val="006E7CEF"/>
    <w:rsid w:val="006F03F9"/>
    <w:rsid w:val="006F0998"/>
    <w:rsid w:val="006F11FE"/>
    <w:rsid w:val="006F13E2"/>
    <w:rsid w:val="006F152A"/>
    <w:rsid w:val="006F15B6"/>
    <w:rsid w:val="006F15EA"/>
    <w:rsid w:val="006F18E3"/>
    <w:rsid w:val="006F193B"/>
    <w:rsid w:val="006F2178"/>
    <w:rsid w:val="006F21DC"/>
    <w:rsid w:val="006F2B66"/>
    <w:rsid w:val="006F2C67"/>
    <w:rsid w:val="006F35D8"/>
    <w:rsid w:val="006F3EB9"/>
    <w:rsid w:val="006F4332"/>
    <w:rsid w:val="006F49F3"/>
    <w:rsid w:val="006F4AB4"/>
    <w:rsid w:val="006F4B23"/>
    <w:rsid w:val="006F4BC6"/>
    <w:rsid w:val="006F4D23"/>
    <w:rsid w:val="006F4DD3"/>
    <w:rsid w:val="006F4E9B"/>
    <w:rsid w:val="006F4F0B"/>
    <w:rsid w:val="006F5265"/>
    <w:rsid w:val="006F54FC"/>
    <w:rsid w:val="006F5FB2"/>
    <w:rsid w:val="006F630D"/>
    <w:rsid w:val="006F64C3"/>
    <w:rsid w:val="006F678E"/>
    <w:rsid w:val="006F6979"/>
    <w:rsid w:val="006F72C0"/>
    <w:rsid w:val="006F73EB"/>
    <w:rsid w:val="006F74AD"/>
    <w:rsid w:val="006F76AF"/>
    <w:rsid w:val="006F76F8"/>
    <w:rsid w:val="006F7922"/>
    <w:rsid w:val="006F7A4D"/>
    <w:rsid w:val="006F7C72"/>
    <w:rsid w:val="006F7F17"/>
    <w:rsid w:val="00700076"/>
    <w:rsid w:val="007004E2"/>
    <w:rsid w:val="007008B6"/>
    <w:rsid w:val="00700A07"/>
    <w:rsid w:val="00700A6D"/>
    <w:rsid w:val="00700BD5"/>
    <w:rsid w:val="00701488"/>
    <w:rsid w:val="00701567"/>
    <w:rsid w:val="007016DA"/>
    <w:rsid w:val="007018CD"/>
    <w:rsid w:val="00701BBB"/>
    <w:rsid w:val="00701CD8"/>
    <w:rsid w:val="00701F72"/>
    <w:rsid w:val="00702304"/>
    <w:rsid w:val="00702518"/>
    <w:rsid w:val="00702990"/>
    <w:rsid w:val="00702E59"/>
    <w:rsid w:val="00702F70"/>
    <w:rsid w:val="007031C4"/>
    <w:rsid w:val="00703225"/>
    <w:rsid w:val="0070331E"/>
    <w:rsid w:val="00703B73"/>
    <w:rsid w:val="0070415F"/>
    <w:rsid w:val="0070450A"/>
    <w:rsid w:val="00704711"/>
    <w:rsid w:val="00704D13"/>
    <w:rsid w:val="0070502B"/>
    <w:rsid w:val="00705416"/>
    <w:rsid w:val="007057CB"/>
    <w:rsid w:val="00705A2D"/>
    <w:rsid w:val="00705B26"/>
    <w:rsid w:val="00705E5D"/>
    <w:rsid w:val="00705F7D"/>
    <w:rsid w:val="00706131"/>
    <w:rsid w:val="007061B3"/>
    <w:rsid w:val="007062E7"/>
    <w:rsid w:val="007068E6"/>
    <w:rsid w:val="0070690E"/>
    <w:rsid w:val="00707470"/>
    <w:rsid w:val="0070749E"/>
    <w:rsid w:val="0070751C"/>
    <w:rsid w:val="007079BE"/>
    <w:rsid w:val="00707ACD"/>
    <w:rsid w:val="007100B3"/>
    <w:rsid w:val="007107B3"/>
    <w:rsid w:val="0071087E"/>
    <w:rsid w:val="00710C41"/>
    <w:rsid w:val="00710C94"/>
    <w:rsid w:val="007110E1"/>
    <w:rsid w:val="0071122C"/>
    <w:rsid w:val="0071125B"/>
    <w:rsid w:val="0071169F"/>
    <w:rsid w:val="00711A30"/>
    <w:rsid w:val="00711CDE"/>
    <w:rsid w:val="00712848"/>
    <w:rsid w:val="00712DAF"/>
    <w:rsid w:val="00712EBA"/>
    <w:rsid w:val="007130CF"/>
    <w:rsid w:val="007133D0"/>
    <w:rsid w:val="00713412"/>
    <w:rsid w:val="00713427"/>
    <w:rsid w:val="00713697"/>
    <w:rsid w:val="00713854"/>
    <w:rsid w:val="00713A4F"/>
    <w:rsid w:val="00713A6B"/>
    <w:rsid w:val="00713C5B"/>
    <w:rsid w:val="0071428C"/>
    <w:rsid w:val="0071432D"/>
    <w:rsid w:val="007149CE"/>
    <w:rsid w:val="00714EC3"/>
    <w:rsid w:val="007153F4"/>
    <w:rsid w:val="007156D0"/>
    <w:rsid w:val="007159AD"/>
    <w:rsid w:val="00715E1A"/>
    <w:rsid w:val="007161D4"/>
    <w:rsid w:val="007169F3"/>
    <w:rsid w:val="00716EE8"/>
    <w:rsid w:val="00717401"/>
    <w:rsid w:val="007176D1"/>
    <w:rsid w:val="00717746"/>
    <w:rsid w:val="00717A09"/>
    <w:rsid w:val="00717A88"/>
    <w:rsid w:val="00717CF6"/>
    <w:rsid w:val="007204D7"/>
    <w:rsid w:val="00720731"/>
    <w:rsid w:val="00720867"/>
    <w:rsid w:val="00720B19"/>
    <w:rsid w:val="00720B47"/>
    <w:rsid w:val="00720EA8"/>
    <w:rsid w:val="00721469"/>
    <w:rsid w:val="00721483"/>
    <w:rsid w:val="007214C7"/>
    <w:rsid w:val="007216A4"/>
    <w:rsid w:val="00721DD6"/>
    <w:rsid w:val="00721F26"/>
    <w:rsid w:val="00721FEA"/>
    <w:rsid w:val="00722549"/>
    <w:rsid w:val="007225A3"/>
    <w:rsid w:val="007225F4"/>
    <w:rsid w:val="007226B7"/>
    <w:rsid w:val="00722ACE"/>
    <w:rsid w:val="00722B58"/>
    <w:rsid w:val="00722D1E"/>
    <w:rsid w:val="00722E8E"/>
    <w:rsid w:val="0072314C"/>
    <w:rsid w:val="00723480"/>
    <w:rsid w:val="00723912"/>
    <w:rsid w:val="00723BB4"/>
    <w:rsid w:val="00723C0D"/>
    <w:rsid w:val="00723D30"/>
    <w:rsid w:val="00723DC0"/>
    <w:rsid w:val="00723E50"/>
    <w:rsid w:val="007241C2"/>
    <w:rsid w:val="0072442F"/>
    <w:rsid w:val="007244ED"/>
    <w:rsid w:val="0072483C"/>
    <w:rsid w:val="007249C9"/>
    <w:rsid w:val="00724A84"/>
    <w:rsid w:val="00724AEE"/>
    <w:rsid w:val="00724EFE"/>
    <w:rsid w:val="00725505"/>
    <w:rsid w:val="007258F0"/>
    <w:rsid w:val="007259D2"/>
    <w:rsid w:val="00725C6C"/>
    <w:rsid w:val="0072618C"/>
    <w:rsid w:val="00726260"/>
    <w:rsid w:val="00726436"/>
    <w:rsid w:val="00726599"/>
    <w:rsid w:val="00726603"/>
    <w:rsid w:val="007266F6"/>
    <w:rsid w:val="007278FC"/>
    <w:rsid w:val="00727B8D"/>
    <w:rsid w:val="00727C7C"/>
    <w:rsid w:val="00727F17"/>
    <w:rsid w:val="007302D1"/>
    <w:rsid w:val="007304C8"/>
    <w:rsid w:val="00730ABF"/>
    <w:rsid w:val="00730CC8"/>
    <w:rsid w:val="00730E3F"/>
    <w:rsid w:val="007311C3"/>
    <w:rsid w:val="00731259"/>
    <w:rsid w:val="0073146C"/>
    <w:rsid w:val="007315F9"/>
    <w:rsid w:val="007316A7"/>
    <w:rsid w:val="00731869"/>
    <w:rsid w:val="00731AD7"/>
    <w:rsid w:val="00731F58"/>
    <w:rsid w:val="00731FEC"/>
    <w:rsid w:val="00732289"/>
    <w:rsid w:val="007323C3"/>
    <w:rsid w:val="00732464"/>
    <w:rsid w:val="00732684"/>
    <w:rsid w:val="007328DC"/>
    <w:rsid w:val="00732DF9"/>
    <w:rsid w:val="00732E55"/>
    <w:rsid w:val="00733453"/>
    <w:rsid w:val="00733662"/>
    <w:rsid w:val="00733752"/>
    <w:rsid w:val="00733955"/>
    <w:rsid w:val="00733AF7"/>
    <w:rsid w:val="00733B11"/>
    <w:rsid w:val="00733DA1"/>
    <w:rsid w:val="00733E8A"/>
    <w:rsid w:val="00733F45"/>
    <w:rsid w:val="00734198"/>
    <w:rsid w:val="00734BB4"/>
    <w:rsid w:val="00734DE4"/>
    <w:rsid w:val="00734F0D"/>
    <w:rsid w:val="00735149"/>
    <w:rsid w:val="00735234"/>
    <w:rsid w:val="0073527A"/>
    <w:rsid w:val="00735520"/>
    <w:rsid w:val="00735577"/>
    <w:rsid w:val="00735792"/>
    <w:rsid w:val="0073599E"/>
    <w:rsid w:val="00735C38"/>
    <w:rsid w:val="007362F7"/>
    <w:rsid w:val="007364B1"/>
    <w:rsid w:val="0073670E"/>
    <w:rsid w:val="00736795"/>
    <w:rsid w:val="00736915"/>
    <w:rsid w:val="00736DAE"/>
    <w:rsid w:val="0073708D"/>
    <w:rsid w:val="007376D0"/>
    <w:rsid w:val="0073789E"/>
    <w:rsid w:val="0073796E"/>
    <w:rsid w:val="00737FEB"/>
    <w:rsid w:val="007401C5"/>
    <w:rsid w:val="0074020D"/>
    <w:rsid w:val="00740462"/>
    <w:rsid w:val="007406FD"/>
    <w:rsid w:val="00740794"/>
    <w:rsid w:val="0074090D"/>
    <w:rsid w:val="007410C7"/>
    <w:rsid w:val="007411AC"/>
    <w:rsid w:val="00741354"/>
    <w:rsid w:val="00741360"/>
    <w:rsid w:val="007417DC"/>
    <w:rsid w:val="00741D2D"/>
    <w:rsid w:val="00741E41"/>
    <w:rsid w:val="00741EB7"/>
    <w:rsid w:val="00742023"/>
    <w:rsid w:val="007424BE"/>
    <w:rsid w:val="007424EC"/>
    <w:rsid w:val="007428E8"/>
    <w:rsid w:val="00742946"/>
    <w:rsid w:val="00743514"/>
    <w:rsid w:val="00743D00"/>
    <w:rsid w:val="00743FC4"/>
    <w:rsid w:val="007440CB"/>
    <w:rsid w:val="00744483"/>
    <w:rsid w:val="00744841"/>
    <w:rsid w:val="00744ECA"/>
    <w:rsid w:val="00744F3B"/>
    <w:rsid w:val="00745A1C"/>
    <w:rsid w:val="00745A3A"/>
    <w:rsid w:val="00746781"/>
    <w:rsid w:val="007468DB"/>
    <w:rsid w:val="007469B0"/>
    <w:rsid w:val="007469FD"/>
    <w:rsid w:val="00746AB2"/>
    <w:rsid w:val="00746DFA"/>
    <w:rsid w:val="00746EF7"/>
    <w:rsid w:val="00747287"/>
    <w:rsid w:val="0074748E"/>
    <w:rsid w:val="00750639"/>
    <w:rsid w:val="007507C4"/>
    <w:rsid w:val="00750887"/>
    <w:rsid w:val="007508FA"/>
    <w:rsid w:val="00750BA4"/>
    <w:rsid w:val="00750E6D"/>
    <w:rsid w:val="0075118F"/>
    <w:rsid w:val="00751306"/>
    <w:rsid w:val="0075143D"/>
    <w:rsid w:val="00751663"/>
    <w:rsid w:val="00751730"/>
    <w:rsid w:val="00751852"/>
    <w:rsid w:val="00751B1F"/>
    <w:rsid w:val="00751EAC"/>
    <w:rsid w:val="00751FC5"/>
    <w:rsid w:val="00752AC0"/>
    <w:rsid w:val="00752B95"/>
    <w:rsid w:val="007533C1"/>
    <w:rsid w:val="00753450"/>
    <w:rsid w:val="00753574"/>
    <w:rsid w:val="007537EA"/>
    <w:rsid w:val="00753974"/>
    <w:rsid w:val="00753AB4"/>
    <w:rsid w:val="00753B47"/>
    <w:rsid w:val="00753EB9"/>
    <w:rsid w:val="00754170"/>
    <w:rsid w:val="007541C3"/>
    <w:rsid w:val="007541DF"/>
    <w:rsid w:val="0075438E"/>
    <w:rsid w:val="007543C4"/>
    <w:rsid w:val="007544EF"/>
    <w:rsid w:val="00754745"/>
    <w:rsid w:val="007547B5"/>
    <w:rsid w:val="007547E7"/>
    <w:rsid w:val="00754A34"/>
    <w:rsid w:val="00754BA7"/>
    <w:rsid w:val="00754D26"/>
    <w:rsid w:val="00754E4C"/>
    <w:rsid w:val="00755231"/>
    <w:rsid w:val="00755E71"/>
    <w:rsid w:val="00755E88"/>
    <w:rsid w:val="00755F4E"/>
    <w:rsid w:val="0075631E"/>
    <w:rsid w:val="0075637D"/>
    <w:rsid w:val="007565D7"/>
    <w:rsid w:val="00756C91"/>
    <w:rsid w:val="00756CF8"/>
    <w:rsid w:val="00757125"/>
    <w:rsid w:val="007571D7"/>
    <w:rsid w:val="0075736C"/>
    <w:rsid w:val="0075756B"/>
    <w:rsid w:val="00757996"/>
    <w:rsid w:val="00757F3A"/>
    <w:rsid w:val="007600D1"/>
    <w:rsid w:val="00760161"/>
    <w:rsid w:val="0076046E"/>
    <w:rsid w:val="00760713"/>
    <w:rsid w:val="00760CD5"/>
    <w:rsid w:val="00760D8C"/>
    <w:rsid w:val="0076151F"/>
    <w:rsid w:val="00761844"/>
    <w:rsid w:val="00761E53"/>
    <w:rsid w:val="00761F40"/>
    <w:rsid w:val="00763007"/>
    <w:rsid w:val="00763719"/>
    <w:rsid w:val="007637A1"/>
    <w:rsid w:val="007638E4"/>
    <w:rsid w:val="007639B5"/>
    <w:rsid w:val="00763B88"/>
    <w:rsid w:val="00763CCE"/>
    <w:rsid w:val="00763E2B"/>
    <w:rsid w:val="0076426C"/>
    <w:rsid w:val="0076459C"/>
    <w:rsid w:val="00764B03"/>
    <w:rsid w:val="00764F14"/>
    <w:rsid w:val="007650F0"/>
    <w:rsid w:val="00765182"/>
    <w:rsid w:val="007652EC"/>
    <w:rsid w:val="007655B5"/>
    <w:rsid w:val="00765AFA"/>
    <w:rsid w:val="00765C24"/>
    <w:rsid w:val="00765CF1"/>
    <w:rsid w:val="00765D46"/>
    <w:rsid w:val="00766106"/>
    <w:rsid w:val="0076624D"/>
    <w:rsid w:val="007665AD"/>
    <w:rsid w:val="00766613"/>
    <w:rsid w:val="007666B4"/>
    <w:rsid w:val="00766705"/>
    <w:rsid w:val="00766C85"/>
    <w:rsid w:val="00766F85"/>
    <w:rsid w:val="00766FB7"/>
    <w:rsid w:val="0076730A"/>
    <w:rsid w:val="0076798A"/>
    <w:rsid w:val="007679A9"/>
    <w:rsid w:val="00767A87"/>
    <w:rsid w:val="00767CC7"/>
    <w:rsid w:val="0077017C"/>
    <w:rsid w:val="00770365"/>
    <w:rsid w:val="0077036B"/>
    <w:rsid w:val="007703A3"/>
    <w:rsid w:val="007706A8"/>
    <w:rsid w:val="0077071D"/>
    <w:rsid w:val="007708CA"/>
    <w:rsid w:val="00771182"/>
    <w:rsid w:val="00771553"/>
    <w:rsid w:val="0077172D"/>
    <w:rsid w:val="0077190B"/>
    <w:rsid w:val="00771BC4"/>
    <w:rsid w:val="00771BC8"/>
    <w:rsid w:val="00771F07"/>
    <w:rsid w:val="00772211"/>
    <w:rsid w:val="0077231F"/>
    <w:rsid w:val="00772340"/>
    <w:rsid w:val="00772849"/>
    <w:rsid w:val="00772AC6"/>
    <w:rsid w:val="00773169"/>
    <w:rsid w:val="0077316F"/>
    <w:rsid w:val="00773384"/>
    <w:rsid w:val="0077359D"/>
    <w:rsid w:val="0077365D"/>
    <w:rsid w:val="00773854"/>
    <w:rsid w:val="00773C2B"/>
    <w:rsid w:val="0077447B"/>
    <w:rsid w:val="00774B1C"/>
    <w:rsid w:val="00774C94"/>
    <w:rsid w:val="00774ED8"/>
    <w:rsid w:val="00775076"/>
    <w:rsid w:val="0077518B"/>
    <w:rsid w:val="007753EE"/>
    <w:rsid w:val="007756CF"/>
    <w:rsid w:val="007758C0"/>
    <w:rsid w:val="00775B83"/>
    <w:rsid w:val="007762B5"/>
    <w:rsid w:val="00776438"/>
    <w:rsid w:val="007764EF"/>
    <w:rsid w:val="00776806"/>
    <w:rsid w:val="00776999"/>
    <w:rsid w:val="007769F8"/>
    <w:rsid w:val="00776ACB"/>
    <w:rsid w:val="0077747E"/>
    <w:rsid w:val="00777834"/>
    <w:rsid w:val="0078027C"/>
    <w:rsid w:val="00780475"/>
    <w:rsid w:val="00780593"/>
    <w:rsid w:val="007807CF"/>
    <w:rsid w:val="00780882"/>
    <w:rsid w:val="00780B7E"/>
    <w:rsid w:val="00780F2B"/>
    <w:rsid w:val="00781087"/>
    <w:rsid w:val="00781B5B"/>
    <w:rsid w:val="007821FB"/>
    <w:rsid w:val="007822F8"/>
    <w:rsid w:val="0078239F"/>
    <w:rsid w:val="007823CC"/>
    <w:rsid w:val="0078242A"/>
    <w:rsid w:val="007826A0"/>
    <w:rsid w:val="0078293D"/>
    <w:rsid w:val="00782E61"/>
    <w:rsid w:val="00782E76"/>
    <w:rsid w:val="0078305F"/>
    <w:rsid w:val="00783604"/>
    <w:rsid w:val="0078373C"/>
    <w:rsid w:val="0078398C"/>
    <w:rsid w:val="00783B36"/>
    <w:rsid w:val="00783E33"/>
    <w:rsid w:val="00783E91"/>
    <w:rsid w:val="00783F91"/>
    <w:rsid w:val="0078405D"/>
    <w:rsid w:val="0078480B"/>
    <w:rsid w:val="007848E4"/>
    <w:rsid w:val="007849EE"/>
    <w:rsid w:val="00784A4C"/>
    <w:rsid w:val="00784B1E"/>
    <w:rsid w:val="00784E6B"/>
    <w:rsid w:val="00784F0A"/>
    <w:rsid w:val="007852C1"/>
    <w:rsid w:val="007856D6"/>
    <w:rsid w:val="00785737"/>
    <w:rsid w:val="0078584B"/>
    <w:rsid w:val="00785CBE"/>
    <w:rsid w:val="00785D42"/>
    <w:rsid w:val="00785F28"/>
    <w:rsid w:val="00786503"/>
    <w:rsid w:val="007865B3"/>
    <w:rsid w:val="0078689C"/>
    <w:rsid w:val="00786BCE"/>
    <w:rsid w:val="00787179"/>
    <w:rsid w:val="007871D7"/>
    <w:rsid w:val="00787308"/>
    <w:rsid w:val="00787393"/>
    <w:rsid w:val="007873C0"/>
    <w:rsid w:val="007874E0"/>
    <w:rsid w:val="007875F6"/>
    <w:rsid w:val="00787C8C"/>
    <w:rsid w:val="00787E32"/>
    <w:rsid w:val="00790154"/>
    <w:rsid w:val="007902A0"/>
    <w:rsid w:val="00790644"/>
    <w:rsid w:val="0079081A"/>
    <w:rsid w:val="00790A95"/>
    <w:rsid w:val="00790AB6"/>
    <w:rsid w:val="00790B38"/>
    <w:rsid w:val="00790D51"/>
    <w:rsid w:val="00790FEC"/>
    <w:rsid w:val="00791019"/>
    <w:rsid w:val="007912A2"/>
    <w:rsid w:val="00791758"/>
    <w:rsid w:val="007917CF"/>
    <w:rsid w:val="0079184B"/>
    <w:rsid w:val="0079190B"/>
    <w:rsid w:val="00791B99"/>
    <w:rsid w:val="00791ED0"/>
    <w:rsid w:val="00791FEF"/>
    <w:rsid w:val="0079237F"/>
    <w:rsid w:val="007923D5"/>
    <w:rsid w:val="007923E2"/>
    <w:rsid w:val="0079280C"/>
    <w:rsid w:val="0079324B"/>
    <w:rsid w:val="00793964"/>
    <w:rsid w:val="00793D97"/>
    <w:rsid w:val="00794017"/>
    <w:rsid w:val="0079415C"/>
    <w:rsid w:val="00794199"/>
    <w:rsid w:val="00794264"/>
    <w:rsid w:val="007945DA"/>
    <w:rsid w:val="0079481D"/>
    <w:rsid w:val="00794A0B"/>
    <w:rsid w:val="00794A2D"/>
    <w:rsid w:val="00794EBD"/>
    <w:rsid w:val="00794F39"/>
    <w:rsid w:val="00795515"/>
    <w:rsid w:val="0079552C"/>
    <w:rsid w:val="007956ED"/>
    <w:rsid w:val="007958EB"/>
    <w:rsid w:val="00795982"/>
    <w:rsid w:val="00795BF1"/>
    <w:rsid w:val="00795D02"/>
    <w:rsid w:val="00795D50"/>
    <w:rsid w:val="00796095"/>
    <w:rsid w:val="00796232"/>
    <w:rsid w:val="00796258"/>
    <w:rsid w:val="00796527"/>
    <w:rsid w:val="00796806"/>
    <w:rsid w:val="0079688E"/>
    <w:rsid w:val="00797015"/>
    <w:rsid w:val="00797048"/>
    <w:rsid w:val="007971B5"/>
    <w:rsid w:val="00797406"/>
    <w:rsid w:val="00797A62"/>
    <w:rsid w:val="00797E29"/>
    <w:rsid w:val="007A00A4"/>
    <w:rsid w:val="007A0410"/>
    <w:rsid w:val="007A0BE5"/>
    <w:rsid w:val="007A0E72"/>
    <w:rsid w:val="007A226C"/>
    <w:rsid w:val="007A23BA"/>
    <w:rsid w:val="007A24A8"/>
    <w:rsid w:val="007A26AB"/>
    <w:rsid w:val="007A27DE"/>
    <w:rsid w:val="007A30B8"/>
    <w:rsid w:val="007A31D1"/>
    <w:rsid w:val="007A35D4"/>
    <w:rsid w:val="007A362A"/>
    <w:rsid w:val="007A39C7"/>
    <w:rsid w:val="007A3B3E"/>
    <w:rsid w:val="007A3DD2"/>
    <w:rsid w:val="007A3F79"/>
    <w:rsid w:val="007A4066"/>
    <w:rsid w:val="007A40C1"/>
    <w:rsid w:val="007A4229"/>
    <w:rsid w:val="007A46B4"/>
    <w:rsid w:val="007A48FA"/>
    <w:rsid w:val="007A4A86"/>
    <w:rsid w:val="007A4D17"/>
    <w:rsid w:val="007A5224"/>
    <w:rsid w:val="007A561E"/>
    <w:rsid w:val="007A5F02"/>
    <w:rsid w:val="007A6763"/>
    <w:rsid w:val="007A67E4"/>
    <w:rsid w:val="007A6955"/>
    <w:rsid w:val="007A695D"/>
    <w:rsid w:val="007A6A24"/>
    <w:rsid w:val="007A6BD4"/>
    <w:rsid w:val="007A6C1E"/>
    <w:rsid w:val="007A7089"/>
    <w:rsid w:val="007A7149"/>
    <w:rsid w:val="007A7AF5"/>
    <w:rsid w:val="007A7D18"/>
    <w:rsid w:val="007B001F"/>
    <w:rsid w:val="007B061D"/>
    <w:rsid w:val="007B06EE"/>
    <w:rsid w:val="007B07D6"/>
    <w:rsid w:val="007B0882"/>
    <w:rsid w:val="007B09E2"/>
    <w:rsid w:val="007B0B72"/>
    <w:rsid w:val="007B0D78"/>
    <w:rsid w:val="007B0EFC"/>
    <w:rsid w:val="007B161E"/>
    <w:rsid w:val="007B1873"/>
    <w:rsid w:val="007B1DB0"/>
    <w:rsid w:val="007B1F39"/>
    <w:rsid w:val="007B2357"/>
    <w:rsid w:val="007B2379"/>
    <w:rsid w:val="007B254F"/>
    <w:rsid w:val="007B2B4A"/>
    <w:rsid w:val="007B2E69"/>
    <w:rsid w:val="007B2F39"/>
    <w:rsid w:val="007B3494"/>
    <w:rsid w:val="007B3D7B"/>
    <w:rsid w:val="007B41A4"/>
    <w:rsid w:val="007B42D8"/>
    <w:rsid w:val="007B4CC8"/>
    <w:rsid w:val="007B4EF1"/>
    <w:rsid w:val="007B51AB"/>
    <w:rsid w:val="007B5516"/>
    <w:rsid w:val="007B5E9A"/>
    <w:rsid w:val="007B6048"/>
    <w:rsid w:val="007B6701"/>
    <w:rsid w:val="007B6CE7"/>
    <w:rsid w:val="007B71CF"/>
    <w:rsid w:val="007B71FF"/>
    <w:rsid w:val="007B7708"/>
    <w:rsid w:val="007B78BB"/>
    <w:rsid w:val="007B7B6B"/>
    <w:rsid w:val="007B7D2C"/>
    <w:rsid w:val="007B7E85"/>
    <w:rsid w:val="007B7EA8"/>
    <w:rsid w:val="007C019F"/>
    <w:rsid w:val="007C09AD"/>
    <w:rsid w:val="007C0B74"/>
    <w:rsid w:val="007C116B"/>
    <w:rsid w:val="007C122F"/>
    <w:rsid w:val="007C16E0"/>
    <w:rsid w:val="007C1B52"/>
    <w:rsid w:val="007C2790"/>
    <w:rsid w:val="007C27D6"/>
    <w:rsid w:val="007C297F"/>
    <w:rsid w:val="007C2FB5"/>
    <w:rsid w:val="007C35A4"/>
    <w:rsid w:val="007C3B8A"/>
    <w:rsid w:val="007C4176"/>
    <w:rsid w:val="007C435D"/>
    <w:rsid w:val="007C4798"/>
    <w:rsid w:val="007C49A7"/>
    <w:rsid w:val="007C4ED6"/>
    <w:rsid w:val="007C538F"/>
    <w:rsid w:val="007C57E0"/>
    <w:rsid w:val="007C597B"/>
    <w:rsid w:val="007C61D5"/>
    <w:rsid w:val="007C6267"/>
    <w:rsid w:val="007C6691"/>
    <w:rsid w:val="007C6A1F"/>
    <w:rsid w:val="007C6C36"/>
    <w:rsid w:val="007C6E2B"/>
    <w:rsid w:val="007C7585"/>
    <w:rsid w:val="007C7919"/>
    <w:rsid w:val="007C7DB1"/>
    <w:rsid w:val="007C7F76"/>
    <w:rsid w:val="007D03EF"/>
    <w:rsid w:val="007D06A4"/>
    <w:rsid w:val="007D077B"/>
    <w:rsid w:val="007D0A61"/>
    <w:rsid w:val="007D0A74"/>
    <w:rsid w:val="007D111B"/>
    <w:rsid w:val="007D122F"/>
    <w:rsid w:val="007D1310"/>
    <w:rsid w:val="007D1325"/>
    <w:rsid w:val="007D142F"/>
    <w:rsid w:val="007D1680"/>
    <w:rsid w:val="007D1916"/>
    <w:rsid w:val="007D1B8E"/>
    <w:rsid w:val="007D1DCA"/>
    <w:rsid w:val="007D2003"/>
    <w:rsid w:val="007D2109"/>
    <w:rsid w:val="007D21D1"/>
    <w:rsid w:val="007D230A"/>
    <w:rsid w:val="007D2886"/>
    <w:rsid w:val="007D2AC4"/>
    <w:rsid w:val="007D2C7A"/>
    <w:rsid w:val="007D307D"/>
    <w:rsid w:val="007D3634"/>
    <w:rsid w:val="007D375D"/>
    <w:rsid w:val="007D3D38"/>
    <w:rsid w:val="007D3F67"/>
    <w:rsid w:val="007D416B"/>
    <w:rsid w:val="007D48D2"/>
    <w:rsid w:val="007D4F7F"/>
    <w:rsid w:val="007D5467"/>
    <w:rsid w:val="007D5883"/>
    <w:rsid w:val="007D5B9A"/>
    <w:rsid w:val="007D5E21"/>
    <w:rsid w:val="007D5F67"/>
    <w:rsid w:val="007D5F7F"/>
    <w:rsid w:val="007D61CE"/>
    <w:rsid w:val="007D61EA"/>
    <w:rsid w:val="007D64D0"/>
    <w:rsid w:val="007D68D7"/>
    <w:rsid w:val="007D6D8E"/>
    <w:rsid w:val="007D70BA"/>
    <w:rsid w:val="007D727B"/>
    <w:rsid w:val="007D75ED"/>
    <w:rsid w:val="007D77E7"/>
    <w:rsid w:val="007D79C6"/>
    <w:rsid w:val="007D7E86"/>
    <w:rsid w:val="007E0296"/>
    <w:rsid w:val="007E0825"/>
    <w:rsid w:val="007E084F"/>
    <w:rsid w:val="007E08F9"/>
    <w:rsid w:val="007E09F3"/>
    <w:rsid w:val="007E0B20"/>
    <w:rsid w:val="007E0BE9"/>
    <w:rsid w:val="007E134D"/>
    <w:rsid w:val="007E2100"/>
    <w:rsid w:val="007E22C6"/>
    <w:rsid w:val="007E22FF"/>
    <w:rsid w:val="007E2617"/>
    <w:rsid w:val="007E2D2F"/>
    <w:rsid w:val="007E2F1E"/>
    <w:rsid w:val="007E2F30"/>
    <w:rsid w:val="007E31AD"/>
    <w:rsid w:val="007E324B"/>
    <w:rsid w:val="007E3317"/>
    <w:rsid w:val="007E34F8"/>
    <w:rsid w:val="007E3D82"/>
    <w:rsid w:val="007E3FFD"/>
    <w:rsid w:val="007E4046"/>
    <w:rsid w:val="007E46DB"/>
    <w:rsid w:val="007E4F3F"/>
    <w:rsid w:val="007E50CB"/>
    <w:rsid w:val="007E5105"/>
    <w:rsid w:val="007E515C"/>
    <w:rsid w:val="007E5323"/>
    <w:rsid w:val="007E54F4"/>
    <w:rsid w:val="007E58EE"/>
    <w:rsid w:val="007E5975"/>
    <w:rsid w:val="007E5BD9"/>
    <w:rsid w:val="007E5EDF"/>
    <w:rsid w:val="007E6409"/>
    <w:rsid w:val="007E64DB"/>
    <w:rsid w:val="007E6891"/>
    <w:rsid w:val="007E6BD1"/>
    <w:rsid w:val="007E6CC9"/>
    <w:rsid w:val="007E6F0E"/>
    <w:rsid w:val="007E701E"/>
    <w:rsid w:val="007E7264"/>
    <w:rsid w:val="007E72AF"/>
    <w:rsid w:val="007E7671"/>
    <w:rsid w:val="007E79D9"/>
    <w:rsid w:val="007E7E1A"/>
    <w:rsid w:val="007F0250"/>
    <w:rsid w:val="007F02E0"/>
    <w:rsid w:val="007F062F"/>
    <w:rsid w:val="007F0A2E"/>
    <w:rsid w:val="007F11BC"/>
    <w:rsid w:val="007F1468"/>
    <w:rsid w:val="007F15F7"/>
    <w:rsid w:val="007F1F9D"/>
    <w:rsid w:val="007F2304"/>
    <w:rsid w:val="007F231B"/>
    <w:rsid w:val="007F237C"/>
    <w:rsid w:val="007F27D7"/>
    <w:rsid w:val="007F2BA7"/>
    <w:rsid w:val="007F2CF4"/>
    <w:rsid w:val="007F3035"/>
    <w:rsid w:val="007F31E4"/>
    <w:rsid w:val="007F3609"/>
    <w:rsid w:val="007F3835"/>
    <w:rsid w:val="007F389D"/>
    <w:rsid w:val="007F43C8"/>
    <w:rsid w:val="007F49A4"/>
    <w:rsid w:val="007F4E50"/>
    <w:rsid w:val="007F512D"/>
    <w:rsid w:val="007F58FF"/>
    <w:rsid w:val="007F5A16"/>
    <w:rsid w:val="007F6618"/>
    <w:rsid w:val="007F66EE"/>
    <w:rsid w:val="007F67A7"/>
    <w:rsid w:val="007F6F4E"/>
    <w:rsid w:val="007F70A5"/>
    <w:rsid w:val="007F7485"/>
    <w:rsid w:val="007F7638"/>
    <w:rsid w:val="007F7790"/>
    <w:rsid w:val="007F7B15"/>
    <w:rsid w:val="008002F1"/>
    <w:rsid w:val="008003AA"/>
    <w:rsid w:val="0080099E"/>
    <w:rsid w:val="00800B49"/>
    <w:rsid w:val="00800BFD"/>
    <w:rsid w:val="00800D48"/>
    <w:rsid w:val="00801018"/>
    <w:rsid w:val="00801307"/>
    <w:rsid w:val="00801742"/>
    <w:rsid w:val="008018AE"/>
    <w:rsid w:val="00801B48"/>
    <w:rsid w:val="00801BBC"/>
    <w:rsid w:val="008025F9"/>
    <w:rsid w:val="00802C55"/>
    <w:rsid w:val="00802E1B"/>
    <w:rsid w:val="00803001"/>
    <w:rsid w:val="00803133"/>
    <w:rsid w:val="008036CA"/>
    <w:rsid w:val="00803F2E"/>
    <w:rsid w:val="0080464A"/>
    <w:rsid w:val="0080467B"/>
    <w:rsid w:val="0080495F"/>
    <w:rsid w:val="00804D13"/>
    <w:rsid w:val="00805037"/>
    <w:rsid w:val="0080514E"/>
    <w:rsid w:val="00805184"/>
    <w:rsid w:val="008056EC"/>
    <w:rsid w:val="00805788"/>
    <w:rsid w:val="008057C3"/>
    <w:rsid w:val="00805A8F"/>
    <w:rsid w:val="00805B67"/>
    <w:rsid w:val="00805CC5"/>
    <w:rsid w:val="00805EF1"/>
    <w:rsid w:val="00805F6D"/>
    <w:rsid w:val="008066B0"/>
    <w:rsid w:val="008066DD"/>
    <w:rsid w:val="00806BBA"/>
    <w:rsid w:val="00806BEC"/>
    <w:rsid w:val="00806C36"/>
    <w:rsid w:val="00806F3A"/>
    <w:rsid w:val="00807070"/>
    <w:rsid w:val="008075E5"/>
    <w:rsid w:val="00807BBD"/>
    <w:rsid w:val="00807BDE"/>
    <w:rsid w:val="00807E62"/>
    <w:rsid w:val="008100AC"/>
    <w:rsid w:val="008111CC"/>
    <w:rsid w:val="00811487"/>
    <w:rsid w:val="0081148A"/>
    <w:rsid w:val="00811845"/>
    <w:rsid w:val="008119AB"/>
    <w:rsid w:val="00811C32"/>
    <w:rsid w:val="00811FAC"/>
    <w:rsid w:val="00812003"/>
    <w:rsid w:val="00812420"/>
    <w:rsid w:val="00812697"/>
    <w:rsid w:val="00812BCE"/>
    <w:rsid w:val="00812DBA"/>
    <w:rsid w:val="00813174"/>
    <w:rsid w:val="008131B7"/>
    <w:rsid w:val="008131D9"/>
    <w:rsid w:val="00813752"/>
    <w:rsid w:val="00813AE6"/>
    <w:rsid w:val="00814246"/>
    <w:rsid w:val="0081429E"/>
    <w:rsid w:val="008144BA"/>
    <w:rsid w:val="0081467A"/>
    <w:rsid w:val="0081477B"/>
    <w:rsid w:val="0081483B"/>
    <w:rsid w:val="00814BB7"/>
    <w:rsid w:val="00814C9C"/>
    <w:rsid w:val="00814D3E"/>
    <w:rsid w:val="00814DDE"/>
    <w:rsid w:val="0081557F"/>
    <w:rsid w:val="0081578F"/>
    <w:rsid w:val="008158AD"/>
    <w:rsid w:val="008158C1"/>
    <w:rsid w:val="00815E55"/>
    <w:rsid w:val="00816345"/>
    <w:rsid w:val="00816823"/>
    <w:rsid w:val="00816A07"/>
    <w:rsid w:val="00816E77"/>
    <w:rsid w:val="00816EFA"/>
    <w:rsid w:val="00816FB5"/>
    <w:rsid w:val="0081730A"/>
    <w:rsid w:val="00817652"/>
    <w:rsid w:val="008177CA"/>
    <w:rsid w:val="00817808"/>
    <w:rsid w:val="00817AFA"/>
    <w:rsid w:val="00817BA4"/>
    <w:rsid w:val="00817C1B"/>
    <w:rsid w:val="00817FA5"/>
    <w:rsid w:val="00817FFD"/>
    <w:rsid w:val="00820454"/>
    <w:rsid w:val="00820679"/>
    <w:rsid w:val="00820693"/>
    <w:rsid w:val="00820AB8"/>
    <w:rsid w:val="00820C74"/>
    <w:rsid w:val="00821320"/>
    <w:rsid w:val="008213D8"/>
    <w:rsid w:val="00821656"/>
    <w:rsid w:val="00821A6B"/>
    <w:rsid w:val="00821B47"/>
    <w:rsid w:val="00822052"/>
    <w:rsid w:val="0082229B"/>
    <w:rsid w:val="008222DC"/>
    <w:rsid w:val="00822439"/>
    <w:rsid w:val="008225DE"/>
    <w:rsid w:val="008225E1"/>
    <w:rsid w:val="008226C2"/>
    <w:rsid w:val="00822BBD"/>
    <w:rsid w:val="00823DC1"/>
    <w:rsid w:val="00823E4E"/>
    <w:rsid w:val="00824305"/>
    <w:rsid w:val="008243B1"/>
    <w:rsid w:val="0082469C"/>
    <w:rsid w:val="0082475F"/>
    <w:rsid w:val="00824997"/>
    <w:rsid w:val="00824AF8"/>
    <w:rsid w:val="00824ED9"/>
    <w:rsid w:val="008252AA"/>
    <w:rsid w:val="0082539B"/>
    <w:rsid w:val="00825709"/>
    <w:rsid w:val="008258A9"/>
    <w:rsid w:val="00825AA4"/>
    <w:rsid w:val="00825CBF"/>
    <w:rsid w:val="00825E1F"/>
    <w:rsid w:val="00826061"/>
    <w:rsid w:val="00826207"/>
    <w:rsid w:val="008265E7"/>
    <w:rsid w:val="00826645"/>
    <w:rsid w:val="008267F6"/>
    <w:rsid w:val="00826D82"/>
    <w:rsid w:val="00827288"/>
    <w:rsid w:val="00827774"/>
    <w:rsid w:val="0082780D"/>
    <w:rsid w:val="0082785F"/>
    <w:rsid w:val="008278CC"/>
    <w:rsid w:val="00827ABC"/>
    <w:rsid w:val="0083016E"/>
    <w:rsid w:val="00831342"/>
    <w:rsid w:val="0083190B"/>
    <w:rsid w:val="00831A32"/>
    <w:rsid w:val="00831A62"/>
    <w:rsid w:val="00831AA3"/>
    <w:rsid w:val="00831BC0"/>
    <w:rsid w:val="00831C31"/>
    <w:rsid w:val="00832212"/>
    <w:rsid w:val="00832643"/>
    <w:rsid w:val="008326AF"/>
    <w:rsid w:val="00832ADA"/>
    <w:rsid w:val="00832D2C"/>
    <w:rsid w:val="00832F4F"/>
    <w:rsid w:val="00833144"/>
    <w:rsid w:val="008335BC"/>
    <w:rsid w:val="00833B54"/>
    <w:rsid w:val="008347E1"/>
    <w:rsid w:val="0083517E"/>
    <w:rsid w:val="0083525E"/>
    <w:rsid w:val="00835A03"/>
    <w:rsid w:val="00835AAC"/>
    <w:rsid w:val="00835B26"/>
    <w:rsid w:val="00835E22"/>
    <w:rsid w:val="00835E7F"/>
    <w:rsid w:val="00836073"/>
    <w:rsid w:val="008364F6"/>
    <w:rsid w:val="00836707"/>
    <w:rsid w:val="00836A83"/>
    <w:rsid w:val="00836A9C"/>
    <w:rsid w:val="00836ACE"/>
    <w:rsid w:val="00836D4A"/>
    <w:rsid w:val="00836E34"/>
    <w:rsid w:val="00837496"/>
    <w:rsid w:val="008374D4"/>
    <w:rsid w:val="008376EC"/>
    <w:rsid w:val="008377F4"/>
    <w:rsid w:val="00837BE4"/>
    <w:rsid w:val="00837D12"/>
    <w:rsid w:val="00837D56"/>
    <w:rsid w:val="008405DA"/>
    <w:rsid w:val="0084080E"/>
    <w:rsid w:val="00840AA5"/>
    <w:rsid w:val="00840AF2"/>
    <w:rsid w:val="00840D99"/>
    <w:rsid w:val="00840DB5"/>
    <w:rsid w:val="00840F59"/>
    <w:rsid w:val="008410AF"/>
    <w:rsid w:val="008410F7"/>
    <w:rsid w:val="008411A9"/>
    <w:rsid w:val="0084143C"/>
    <w:rsid w:val="00841950"/>
    <w:rsid w:val="00841C64"/>
    <w:rsid w:val="00841DBA"/>
    <w:rsid w:val="00841FA0"/>
    <w:rsid w:val="00841FA7"/>
    <w:rsid w:val="00842083"/>
    <w:rsid w:val="008427A4"/>
    <w:rsid w:val="00843139"/>
    <w:rsid w:val="0084357B"/>
    <w:rsid w:val="008435E1"/>
    <w:rsid w:val="008436EC"/>
    <w:rsid w:val="008438C2"/>
    <w:rsid w:val="00843C57"/>
    <w:rsid w:val="00843D71"/>
    <w:rsid w:val="00843FC8"/>
    <w:rsid w:val="00844261"/>
    <w:rsid w:val="0084426D"/>
    <w:rsid w:val="008447C9"/>
    <w:rsid w:val="0084485C"/>
    <w:rsid w:val="00844923"/>
    <w:rsid w:val="00844BAA"/>
    <w:rsid w:val="00844CC3"/>
    <w:rsid w:val="00844E96"/>
    <w:rsid w:val="00844EEC"/>
    <w:rsid w:val="00845760"/>
    <w:rsid w:val="0084590C"/>
    <w:rsid w:val="00845931"/>
    <w:rsid w:val="00846162"/>
    <w:rsid w:val="008464E3"/>
    <w:rsid w:val="008468A0"/>
    <w:rsid w:val="008470A0"/>
    <w:rsid w:val="0084747B"/>
    <w:rsid w:val="008478C0"/>
    <w:rsid w:val="00847B25"/>
    <w:rsid w:val="00847BBF"/>
    <w:rsid w:val="00847D78"/>
    <w:rsid w:val="00847F9F"/>
    <w:rsid w:val="0085052B"/>
    <w:rsid w:val="0085063F"/>
    <w:rsid w:val="00850BAC"/>
    <w:rsid w:val="00850BD1"/>
    <w:rsid w:val="00850CB2"/>
    <w:rsid w:val="0085132B"/>
    <w:rsid w:val="008513EF"/>
    <w:rsid w:val="0085163B"/>
    <w:rsid w:val="00851725"/>
    <w:rsid w:val="00851AD8"/>
    <w:rsid w:val="00851B5F"/>
    <w:rsid w:val="00851DF0"/>
    <w:rsid w:val="00852166"/>
    <w:rsid w:val="00852646"/>
    <w:rsid w:val="00852722"/>
    <w:rsid w:val="0085277B"/>
    <w:rsid w:val="00852AE3"/>
    <w:rsid w:val="00853065"/>
    <w:rsid w:val="008531AB"/>
    <w:rsid w:val="008533AB"/>
    <w:rsid w:val="008536EF"/>
    <w:rsid w:val="00853AE0"/>
    <w:rsid w:val="00853C1E"/>
    <w:rsid w:val="00854042"/>
    <w:rsid w:val="008542BA"/>
    <w:rsid w:val="0085441A"/>
    <w:rsid w:val="0085442E"/>
    <w:rsid w:val="0085452F"/>
    <w:rsid w:val="0085459D"/>
    <w:rsid w:val="0085483E"/>
    <w:rsid w:val="00854BE4"/>
    <w:rsid w:val="00854D37"/>
    <w:rsid w:val="008554FE"/>
    <w:rsid w:val="008555D8"/>
    <w:rsid w:val="00855FB9"/>
    <w:rsid w:val="0085619A"/>
    <w:rsid w:val="00856321"/>
    <w:rsid w:val="0085667B"/>
    <w:rsid w:val="0085673D"/>
    <w:rsid w:val="00856A66"/>
    <w:rsid w:val="00856FB3"/>
    <w:rsid w:val="00857266"/>
    <w:rsid w:val="00857723"/>
    <w:rsid w:val="008579AD"/>
    <w:rsid w:val="008579B2"/>
    <w:rsid w:val="00857AB8"/>
    <w:rsid w:val="00857ED4"/>
    <w:rsid w:val="00857F33"/>
    <w:rsid w:val="008603E2"/>
    <w:rsid w:val="00860435"/>
    <w:rsid w:val="008606A9"/>
    <w:rsid w:val="00860BBA"/>
    <w:rsid w:val="00860BE0"/>
    <w:rsid w:val="00860D7B"/>
    <w:rsid w:val="00861187"/>
    <w:rsid w:val="0086154A"/>
    <w:rsid w:val="00861930"/>
    <w:rsid w:val="00861A71"/>
    <w:rsid w:val="00861BD0"/>
    <w:rsid w:val="00862045"/>
    <w:rsid w:val="0086215A"/>
    <w:rsid w:val="008622D6"/>
    <w:rsid w:val="008627B9"/>
    <w:rsid w:val="008628A2"/>
    <w:rsid w:val="00862901"/>
    <w:rsid w:val="00862DD3"/>
    <w:rsid w:val="00862E29"/>
    <w:rsid w:val="00863080"/>
    <w:rsid w:val="0086357A"/>
    <w:rsid w:val="00863BC6"/>
    <w:rsid w:val="00863C2B"/>
    <w:rsid w:val="00863C94"/>
    <w:rsid w:val="0086422E"/>
    <w:rsid w:val="0086433F"/>
    <w:rsid w:val="00864463"/>
    <w:rsid w:val="00864571"/>
    <w:rsid w:val="0086463B"/>
    <w:rsid w:val="008649CF"/>
    <w:rsid w:val="00864C64"/>
    <w:rsid w:val="00864CB3"/>
    <w:rsid w:val="00864D17"/>
    <w:rsid w:val="00864D5E"/>
    <w:rsid w:val="00864DA1"/>
    <w:rsid w:val="008650ED"/>
    <w:rsid w:val="0086534B"/>
    <w:rsid w:val="008656F5"/>
    <w:rsid w:val="0086593F"/>
    <w:rsid w:val="00865BAE"/>
    <w:rsid w:val="00865D0B"/>
    <w:rsid w:val="00865E98"/>
    <w:rsid w:val="00866723"/>
    <w:rsid w:val="0086672A"/>
    <w:rsid w:val="0086675C"/>
    <w:rsid w:val="00866843"/>
    <w:rsid w:val="00866883"/>
    <w:rsid w:val="00866905"/>
    <w:rsid w:val="00867931"/>
    <w:rsid w:val="00867940"/>
    <w:rsid w:val="00867B0D"/>
    <w:rsid w:val="00867B31"/>
    <w:rsid w:val="00867CBF"/>
    <w:rsid w:val="00867FDD"/>
    <w:rsid w:val="0087030E"/>
    <w:rsid w:val="00870933"/>
    <w:rsid w:val="008709D4"/>
    <w:rsid w:val="00870C1F"/>
    <w:rsid w:val="00870E45"/>
    <w:rsid w:val="008710D4"/>
    <w:rsid w:val="00871334"/>
    <w:rsid w:val="0087138F"/>
    <w:rsid w:val="0087172A"/>
    <w:rsid w:val="00871C72"/>
    <w:rsid w:val="00871F74"/>
    <w:rsid w:val="008727AA"/>
    <w:rsid w:val="00872956"/>
    <w:rsid w:val="00872E3A"/>
    <w:rsid w:val="00873019"/>
    <w:rsid w:val="008730AF"/>
    <w:rsid w:val="00873110"/>
    <w:rsid w:val="008731DC"/>
    <w:rsid w:val="0087332E"/>
    <w:rsid w:val="008735D3"/>
    <w:rsid w:val="00873A2B"/>
    <w:rsid w:val="00874189"/>
    <w:rsid w:val="008744F5"/>
    <w:rsid w:val="00874747"/>
    <w:rsid w:val="008747F0"/>
    <w:rsid w:val="00874811"/>
    <w:rsid w:val="008749DE"/>
    <w:rsid w:val="00874D4F"/>
    <w:rsid w:val="008755EE"/>
    <w:rsid w:val="008756FB"/>
    <w:rsid w:val="00875896"/>
    <w:rsid w:val="00875EF3"/>
    <w:rsid w:val="00876041"/>
    <w:rsid w:val="00876081"/>
    <w:rsid w:val="008763F7"/>
    <w:rsid w:val="008765E8"/>
    <w:rsid w:val="008766E0"/>
    <w:rsid w:val="00876884"/>
    <w:rsid w:val="008768B6"/>
    <w:rsid w:val="00876E04"/>
    <w:rsid w:val="00877050"/>
    <w:rsid w:val="00877069"/>
    <w:rsid w:val="00877217"/>
    <w:rsid w:val="0087744D"/>
    <w:rsid w:val="00877BAA"/>
    <w:rsid w:val="00880091"/>
    <w:rsid w:val="00880329"/>
    <w:rsid w:val="00880CE2"/>
    <w:rsid w:val="00880E16"/>
    <w:rsid w:val="0088107D"/>
    <w:rsid w:val="0088136D"/>
    <w:rsid w:val="00881709"/>
    <w:rsid w:val="00881B52"/>
    <w:rsid w:val="00881C7F"/>
    <w:rsid w:val="008820E3"/>
    <w:rsid w:val="008829FF"/>
    <w:rsid w:val="00882A1D"/>
    <w:rsid w:val="00882A22"/>
    <w:rsid w:val="00882B5D"/>
    <w:rsid w:val="00882C39"/>
    <w:rsid w:val="00882DC1"/>
    <w:rsid w:val="00882E42"/>
    <w:rsid w:val="00882FF3"/>
    <w:rsid w:val="00883420"/>
    <w:rsid w:val="00883744"/>
    <w:rsid w:val="0088374C"/>
    <w:rsid w:val="00883827"/>
    <w:rsid w:val="00883A7A"/>
    <w:rsid w:val="00883AF3"/>
    <w:rsid w:val="00884074"/>
    <w:rsid w:val="0088486F"/>
    <w:rsid w:val="008849F8"/>
    <w:rsid w:val="00884AC3"/>
    <w:rsid w:val="00884E37"/>
    <w:rsid w:val="00885142"/>
    <w:rsid w:val="00885481"/>
    <w:rsid w:val="00885492"/>
    <w:rsid w:val="0088558E"/>
    <w:rsid w:val="008857BF"/>
    <w:rsid w:val="00885C57"/>
    <w:rsid w:val="0088603A"/>
    <w:rsid w:val="00886047"/>
    <w:rsid w:val="00886086"/>
    <w:rsid w:val="00886351"/>
    <w:rsid w:val="0088643B"/>
    <w:rsid w:val="008869FB"/>
    <w:rsid w:val="00886A53"/>
    <w:rsid w:val="00886A61"/>
    <w:rsid w:val="00886D38"/>
    <w:rsid w:val="00886EDA"/>
    <w:rsid w:val="00887069"/>
    <w:rsid w:val="00887B78"/>
    <w:rsid w:val="00887DB6"/>
    <w:rsid w:val="00887EBF"/>
    <w:rsid w:val="00890124"/>
    <w:rsid w:val="00890795"/>
    <w:rsid w:val="0089082C"/>
    <w:rsid w:val="00890CA5"/>
    <w:rsid w:val="00890DAE"/>
    <w:rsid w:val="00891247"/>
    <w:rsid w:val="008912D4"/>
    <w:rsid w:val="0089135C"/>
    <w:rsid w:val="0089169E"/>
    <w:rsid w:val="008919B1"/>
    <w:rsid w:val="00891A39"/>
    <w:rsid w:val="00891AF2"/>
    <w:rsid w:val="00891B0E"/>
    <w:rsid w:val="00891B1F"/>
    <w:rsid w:val="00891E6E"/>
    <w:rsid w:val="00891FE5"/>
    <w:rsid w:val="0089261F"/>
    <w:rsid w:val="008928DD"/>
    <w:rsid w:val="00893011"/>
    <w:rsid w:val="00893036"/>
    <w:rsid w:val="008935C2"/>
    <w:rsid w:val="00893AF7"/>
    <w:rsid w:val="00893C1A"/>
    <w:rsid w:val="00893CDB"/>
    <w:rsid w:val="00894056"/>
    <w:rsid w:val="00894264"/>
    <w:rsid w:val="008949B6"/>
    <w:rsid w:val="00894B76"/>
    <w:rsid w:val="00894EC3"/>
    <w:rsid w:val="00894ED1"/>
    <w:rsid w:val="00895212"/>
    <w:rsid w:val="00895300"/>
    <w:rsid w:val="008956A2"/>
    <w:rsid w:val="0089579E"/>
    <w:rsid w:val="008959EB"/>
    <w:rsid w:val="00895D68"/>
    <w:rsid w:val="00895F39"/>
    <w:rsid w:val="00895FE8"/>
    <w:rsid w:val="008962C8"/>
    <w:rsid w:val="0089655E"/>
    <w:rsid w:val="00896EF9"/>
    <w:rsid w:val="00896FBA"/>
    <w:rsid w:val="0089702D"/>
    <w:rsid w:val="008975B8"/>
    <w:rsid w:val="00897C4A"/>
    <w:rsid w:val="00897DC1"/>
    <w:rsid w:val="00897FDA"/>
    <w:rsid w:val="008A0090"/>
    <w:rsid w:val="008A031F"/>
    <w:rsid w:val="008A0847"/>
    <w:rsid w:val="008A0CBA"/>
    <w:rsid w:val="008A0D5A"/>
    <w:rsid w:val="008A0FB4"/>
    <w:rsid w:val="008A103B"/>
    <w:rsid w:val="008A1120"/>
    <w:rsid w:val="008A11D5"/>
    <w:rsid w:val="008A1839"/>
    <w:rsid w:val="008A20AB"/>
    <w:rsid w:val="008A2226"/>
    <w:rsid w:val="008A23D3"/>
    <w:rsid w:val="008A274C"/>
    <w:rsid w:val="008A2871"/>
    <w:rsid w:val="008A28BD"/>
    <w:rsid w:val="008A29A1"/>
    <w:rsid w:val="008A2E32"/>
    <w:rsid w:val="008A2FE6"/>
    <w:rsid w:val="008A3157"/>
    <w:rsid w:val="008A34FB"/>
    <w:rsid w:val="008A35DC"/>
    <w:rsid w:val="008A39FD"/>
    <w:rsid w:val="008A3FAC"/>
    <w:rsid w:val="008A402F"/>
    <w:rsid w:val="008A4408"/>
    <w:rsid w:val="008A4807"/>
    <w:rsid w:val="008A4989"/>
    <w:rsid w:val="008A4C15"/>
    <w:rsid w:val="008A56DD"/>
    <w:rsid w:val="008A598B"/>
    <w:rsid w:val="008A5FE8"/>
    <w:rsid w:val="008A625C"/>
    <w:rsid w:val="008A6B4B"/>
    <w:rsid w:val="008A6CD8"/>
    <w:rsid w:val="008A7A60"/>
    <w:rsid w:val="008A7AB3"/>
    <w:rsid w:val="008A7B5E"/>
    <w:rsid w:val="008A7D92"/>
    <w:rsid w:val="008A7E68"/>
    <w:rsid w:val="008A7E79"/>
    <w:rsid w:val="008A7EA0"/>
    <w:rsid w:val="008A7F7B"/>
    <w:rsid w:val="008B04EA"/>
    <w:rsid w:val="008B0723"/>
    <w:rsid w:val="008B099E"/>
    <w:rsid w:val="008B0AB8"/>
    <w:rsid w:val="008B0D86"/>
    <w:rsid w:val="008B0E19"/>
    <w:rsid w:val="008B0F43"/>
    <w:rsid w:val="008B0F95"/>
    <w:rsid w:val="008B1494"/>
    <w:rsid w:val="008B195F"/>
    <w:rsid w:val="008B1CD3"/>
    <w:rsid w:val="008B2108"/>
    <w:rsid w:val="008B21FB"/>
    <w:rsid w:val="008B2668"/>
    <w:rsid w:val="008B2739"/>
    <w:rsid w:val="008B2BDF"/>
    <w:rsid w:val="008B2E42"/>
    <w:rsid w:val="008B3061"/>
    <w:rsid w:val="008B31D8"/>
    <w:rsid w:val="008B3856"/>
    <w:rsid w:val="008B3A85"/>
    <w:rsid w:val="008B455A"/>
    <w:rsid w:val="008B45ED"/>
    <w:rsid w:val="008B468E"/>
    <w:rsid w:val="008B4919"/>
    <w:rsid w:val="008B4BB0"/>
    <w:rsid w:val="008B4E94"/>
    <w:rsid w:val="008B4EA2"/>
    <w:rsid w:val="008B573D"/>
    <w:rsid w:val="008B60FE"/>
    <w:rsid w:val="008B6163"/>
    <w:rsid w:val="008B61DD"/>
    <w:rsid w:val="008B62B0"/>
    <w:rsid w:val="008B6B30"/>
    <w:rsid w:val="008B6BEA"/>
    <w:rsid w:val="008B6C91"/>
    <w:rsid w:val="008B6D22"/>
    <w:rsid w:val="008B6ED3"/>
    <w:rsid w:val="008B7043"/>
    <w:rsid w:val="008B7735"/>
    <w:rsid w:val="008B7B21"/>
    <w:rsid w:val="008B7B4F"/>
    <w:rsid w:val="008B7C21"/>
    <w:rsid w:val="008C0093"/>
    <w:rsid w:val="008C04AC"/>
    <w:rsid w:val="008C053F"/>
    <w:rsid w:val="008C091B"/>
    <w:rsid w:val="008C0B21"/>
    <w:rsid w:val="008C0E19"/>
    <w:rsid w:val="008C0FFE"/>
    <w:rsid w:val="008C10D0"/>
    <w:rsid w:val="008C165B"/>
    <w:rsid w:val="008C18EC"/>
    <w:rsid w:val="008C1D7C"/>
    <w:rsid w:val="008C1FFC"/>
    <w:rsid w:val="008C2449"/>
    <w:rsid w:val="008C25C7"/>
    <w:rsid w:val="008C2DB8"/>
    <w:rsid w:val="008C2DE1"/>
    <w:rsid w:val="008C339E"/>
    <w:rsid w:val="008C34DE"/>
    <w:rsid w:val="008C360A"/>
    <w:rsid w:val="008C3B1D"/>
    <w:rsid w:val="008C3DAD"/>
    <w:rsid w:val="008C40EA"/>
    <w:rsid w:val="008C43A3"/>
    <w:rsid w:val="008C43C5"/>
    <w:rsid w:val="008C446C"/>
    <w:rsid w:val="008C4612"/>
    <w:rsid w:val="008C471D"/>
    <w:rsid w:val="008C4768"/>
    <w:rsid w:val="008C4CEA"/>
    <w:rsid w:val="008C4ED5"/>
    <w:rsid w:val="008C5155"/>
    <w:rsid w:val="008C5B89"/>
    <w:rsid w:val="008C5CE6"/>
    <w:rsid w:val="008C60C6"/>
    <w:rsid w:val="008C63C0"/>
    <w:rsid w:val="008C6768"/>
    <w:rsid w:val="008C682A"/>
    <w:rsid w:val="008C686B"/>
    <w:rsid w:val="008C6AEB"/>
    <w:rsid w:val="008C72C1"/>
    <w:rsid w:val="008C74C4"/>
    <w:rsid w:val="008C760E"/>
    <w:rsid w:val="008C77CF"/>
    <w:rsid w:val="008C7A46"/>
    <w:rsid w:val="008D032B"/>
    <w:rsid w:val="008D03EB"/>
    <w:rsid w:val="008D059D"/>
    <w:rsid w:val="008D0C89"/>
    <w:rsid w:val="008D0DAD"/>
    <w:rsid w:val="008D0FEB"/>
    <w:rsid w:val="008D1146"/>
    <w:rsid w:val="008D19E0"/>
    <w:rsid w:val="008D1B30"/>
    <w:rsid w:val="008D1F53"/>
    <w:rsid w:val="008D2113"/>
    <w:rsid w:val="008D21AF"/>
    <w:rsid w:val="008D21CC"/>
    <w:rsid w:val="008D2374"/>
    <w:rsid w:val="008D250B"/>
    <w:rsid w:val="008D2DEA"/>
    <w:rsid w:val="008D3078"/>
    <w:rsid w:val="008D33F2"/>
    <w:rsid w:val="008D35AC"/>
    <w:rsid w:val="008D3603"/>
    <w:rsid w:val="008D37F0"/>
    <w:rsid w:val="008D3C1E"/>
    <w:rsid w:val="008D3E4B"/>
    <w:rsid w:val="008D3F69"/>
    <w:rsid w:val="008D406C"/>
    <w:rsid w:val="008D430E"/>
    <w:rsid w:val="008D43AF"/>
    <w:rsid w:val="008D43B8"/>
    <w:rsid w:val="008D4785"/>
    <w:rsid w:val="008D4BC8"/>
    <w:rsid w:val="008D4C03"/>
    <w:rsid w:val="008D4C62"/>
    <w:rsid w:val="008D50F1"/>
    <w:rsid w:val="008D562F"/>
    <w:rsid w:val="008D5D81"/>
    <w:rsid w:val="008D5FAA"/>
    <w:rsid w:val="008D5FE0"/>
    <w:rsid w:val="008D6042"/>
    <w:rsid w:val="008D61C4"/>
    <w:rsid w:val="008D6278"/>
    <w:rsid w:val="008D664B"/>
    <w:rsid w:val="008D67A9"/>
    <w:rsid w:val="008D69AF"/>
    <w:rsid w:val="008D6BDE"/>
    <w:rsid w:val="008D6F31"/>
    <w:rsid w:val="008D74FE"/>
    <w:rsid w:val="008D75CF"/>
    <w:rsid w:val="008D75E6"/>
    <w:rsid w:val="008D7BF5"/>
    <w:rsid w:val="008D7BFE"/>
    <w:rsid w:val="008D7DCA"/>
    <w:rsid w:val="008E038D"/>
    <w:rsid w:val="008E06A7"/>
    <w:rsid w:val="008E0C77"/>
    <w:rsid w:val="008E0CC3"/>
    <w:rsid w:val="008E0D86"/>
    <w:rsid w:val="008E0F8B"/>
    <w:rsid w:val="008E1BA2"/>
    <w:rsid w:val="008E1BBC"/>
    <w:rsid w:val="008E2200"/>
    <w:rsid w:val="008E2556"/>
    <w:rsid w:val="008E26DD"/>
    <w:rsid w:val="008E2BA3"/>
    <w:rsid w:val="008E2BE0"/>
    <w:rsid w:val="008E3736"/>
    <w:rsid w:val="008E386C"/>
    <w:rsid w:val="008E3EA2"/>
    <w:rsid w:val="008E42DF"/>
    <w:rsid w:val="008E4303"/>
    <w:rsid w:val="008E4379"/>
    <w:rsid w:val="008E4BF1"/>
    <w:rsid w:val="008E4F22"/>
    <w:rsid w:val="008E559F"/>
    <w:rsid w:val="008E56D6"/>
    <w:rsid w:val="008E5BA6"/>
    <w:rsid w:val="008E5C6B"/>
    <w:rsid w:val="008E5F16"/>
    <w:rsid w:val="008E6277"/>
    <w:rsid w:val="008E630B"/>
    <w:rsid w:val="008E6432"/>
    <w:rsid w:val="008E6503"/>
    <w:rsid w:val="008E6511"/>
    <w:rsid w:val="008E682A"/>
    <w:rsid w:val="008E68CB"/>
    <w:rsid w:val="008E6C2A"/>
    <w:rsid w:val="008E71C0"/>
    <w:rsid w:val="008E7530"/>
    <w:rsid w:val="008E788E"/>
    <w:rsid w:val="008E7F6A"/>
    <w:rsid w:val="008F0088"/>
    <w:rsid w:val="008F0139"/>
    <w:rsid w:val="008F100F"/>
    <w:rsid w:val="008F109E"/>
    <w:rsid w:val="008F1289"/>
    <w:rsid w:val="008F1DAF"/>
    <w:rsid w:val="008F1F2A"/>
    <w:rsid w:val="008F2165"/>
    <w:rsid w:val="008F221F"/>
    <w:rsid w:val="008F2257"/>
    <w:rsid w:val="008F23BA"/>
    <w:rsid w:val="008F27CB"/>
    <w:rsid w:val="008F27FD"/>
    <w:rsid w:val="008F288E"/>
    <w:rsid w:val="008F2A1C"/>
    <w:rsid w:val="008F2BB7"/>
    <w:rsid w:val="008F2EB3"/>
    <w:rsid w:val="008F37EB"/>
    <w:rsid w:val="008F3887"/>
    <w:rsid w:val="008F3890"/>
    <w:rsid w:val="008F3F56"/>
    <w:rsid w:val="008F3F85"/>
    <w:rsid w:val="008F42B2"/>
    <w:rsid w:val="008F42C3"/>
    <w:rsid w:val="008F43B1"/>
    <w:rsid w:val="008F4506"/>
    <w:rsid w:val="008F4625"/>
    <w:rsid w:val="008F46E3"/>
    <w:rsid w:val="008F4FBD"/>
    <w:rsid w:val="008F516D"/>
    <w:rsid w:val="008F536F"/>
    <w:rsid w:val="008F55C9"/>
    <w:rsid w:val="008F5BBE"/>
    <w:rsid w:val="008F6796"/>
    <w:rsid w:val="008F68AA"/>
    <w:rsid w:val="008F6A1B"/>
    <w:rsid w:val="008F6C1A"/>
    <w:rsid w:val="008F6FBA"/>
    <w:rsid w:val="008F77DF"/>
    <w:rsid w:val="008F79CB"/>
    <w:rsid w:val="008F7B80"/>
    <w:rsid w:val="008F7ED2"/>
    <w:rsid w:val="00900255"/>
    <w:rsid w:val="009004B7"/>
    <w:rsid w:val="0090098D"/>
    <w:rsid w:val="009009E1"/>
    <w:rsid w:val="00900A2D"/>
    <w:rsid w:val="00900A78"/>
    <w:rsid w:val="00900EB6"/>
    <w:rsid w:val="009015B5"/>
    <w:rsid w:val="00901936"/>
    <w:rsid w:val="00901BF5"/>
    <w:rsid w:val="00901CF9"/>
    <w:rsid w:val="009024DF"/>
    <w:rsid w:val="00902586"/>
    <w:rsid w:val="009025F9"/>
    <w:rsid w:val="0090273C"/>
    <w:rsid w:val="00902750"/>
    <w:rsid w:val="00902A0C"/>
    <w:rsid w:val="00902B92"/>
    <w:rsid w:val="00902D7F"/>
    <w:rsid w:val="00902D99"/>
    <w:rsid w:val="00902FB9"/>
    <w:rsid w:val="0090326B"/>
    <w:rsid w:val="009032EA"/>
    <w:rsid w:val="00903399"/>
    <w:rsid w:val="00903451"/>
    <w:rsid w:val="009041B2"/>
    <w:rsid w:val="009046DF"/>
    <w:rsid w:val="009047A5"/>
    <w:rsid w:val="009047F9"/>
    <w:rsid w:val="00904920"/>
    <w:rsid w:val="00904E0E"/>
    <w:rsid w:val="00905067"/>
    <w:rsid w:val="00905A07"/>
    <w:rsid w:val="00905C5D"/>
    <w:rsid w:val="00906160"/>
    <w:rsid w:val="0090732E"/>
    <w:rsid w:val="00907416"/>
    <w:rsid w:val="00907737"/>
    <w:rsid w:val="00907B61"/>
    <w:rsid w:val="00910271"/>
    <w:rsid w:val="00910586"/>
    <w:rsid w:val="00910764"/>
    <w:rsid w:val="00910896"/>
    <w:rsid w:val="009110AA"/>
    <w:rsid w:val="0091184E"/>
    <w:rsid w:val="00912324"/>
    <w:rsid w:val="00912D16"/>
    <w:rsid w:val="00913335"/>
    <w:rsid w:val="00913D11"/>
    <w:rsid w:val="00913EED"/>
    <w:rsid w:val="009140E4"/>
    <w:rsid w:val="009141F1"/>
    <w:rsid w:val="009144BF"/>
    <w:rsid w:val="009145BD"/>
    <w:rsid w:val="009149B9"/>
    <w:rsid w:val="00914AB4"/>
    <w:rsid w:val="00914B2C"/>
    <w:rsid w:val="00914C2D"/>
    <w:rsid w:val="009152F2"/>
    <w:rsid w:val="00915744"/>
    <w:rsid w:val="009157B4"/>
    <w:rsid w:val="0091580F"/>
    <w:rsid w:val="00915ADF"/>
    <w:rsid w:val="00915B12"/>
    <w:rsid w:val="00915E3F"/>
    <w:rsid w:val="00915EC4"/>
    <w:rsid w:val="0091620F"/>
    <w:rsid w:val="009162F6"/>
    <w:rsid w:val="00916393"/>
    <w:rsid w:val="00916935"/>
    <w:rsid w:val="009169B6"/>
    <w:rsid w:val="00917039"/>
    <w:rsid w:val="009170F9"/>
    <w:rsid w:val="009173EC"/>
    <w:rsid w:val="00917450"/>
    <w:rsid w:val="00917DC6"/>
    <w:rsid w:val="00917E57"/>
    <w:rsid w:val="00920002"/>
    <w:rsid w:val="0092030E"/>
    <w:rsid w:val="00920651"/>
    <w:rsid w:val="00920658"/>
    <w:rsid w:val="009207A1"/>
    <w:rsid w:val="00920BB9"/>
    <w:rsid w:val="00920E67"/>
    <w:rsid w:val="00921675"/>
    <w:rsid w:val="00921743"/>
    <w:rsid w:val="00921AEE"/>
    <w:rsid w:val="0092256C"/>
    <w:rsid w:val="009229FF"/>
    <w:rsid w:val="009233C3"/>
    <w:rsid w:val="00923547"/>
    <w:rsid w:val="009235E8"/>
    <w:rsid w:val="00924203"/>
    <w:rsid w:val="009243D0"/>
    <w:rsid w:val="00924C88"/>
    <w:rsid w:val="00924EF6"/>
    <w:rsid w:val="00924FCD"/>
    <w:rsid w:val="00925CF8"/>
    <w:rsid w:val="0092648A"/>
    <w:rsid w:val="00926808"/>
    <w:rsid w:val="00926F13"/>
    <w:rsid w:val="00926F29"/>
    <w:rsid w:val="00927007"/>
    <w:rsid w:val="00927108"/>
    <w:rsid w:val="00927111"/>
    <w:rsid w:val="00927640"/>
    <w:rsid w:val="009278BE"/>
    <w:rsid w:val="00927DFE"/>
    <w:rsid w:val="00927E9D"/>
    <w:rsid w:val="00927F2D"/>
    <w:rsid w:val="00927F54"/>
    <w:rsid w:val="00927FE8"/>
    <w:rsid w:val="009307E1"/>
    <w:rsid w:val="00930B72"/>
    <w:rsid w:val="00930C41"/>
    <w:rsid w:val="009311DC"/>
    <w:rsid w:val="00931A41"/>
    <w:rsid w:val="00931C90"/>
    <w:rsid w:val="00931D22"/>
    <w:rsid w:val="00931F2C"/>
    <w:rsid w:val="00932069"/>
    <w:rsid w:val="0093210C"/>
    <w:rsid w:val="00932816"/>
    <w:rsid w:val="00932ABF"/>
    <w:rsid w:val="00932B5D"/>
    <w:rsid w:val="00932F1C"/>
    <w:rsid w:val="009333C9"/>
    <w:rsid w:val="0093342D"/>
    <w:rsid w:val="009338AB"/>
    <w:rsid w:val="00933908"/>
    <w:rsid w:val="00933C1F"/>
    <w:rsid w:val="009346F8"/>
    <w:rsid w:val="00934A3B"/>
    <w:rsid w:val="00934C18"/>
    <w:rsid w:val="00934C26"/>
    <w:rsid w:val="009352E6"/>
    <w:rsid w:val="009353A3"/>
    <w:rsid w:val="009356A3"/>
    <w:rsid w:val="00935763"/>
    <w:rsid w:val="009359F7"/>
    <w:rsid w:val="00935A05"/>
    <w:rsid w:val="00935A9A"/>
    <w:rsid w:val="00935BB2"/>
    <w:rsid w:val="00935CD5"/>
    <w:rsid w:val="00935FB9"/>
    <w:rsid w:val="00936154"/>
    <w:rsid w:val="009363CF"/>
    <w:rsid w:val="00936431"/>
    <w:rsid w:val="00936702"/>
    <w:rsid w:val="00936B60"/>
    <w:rsid w:val="00936BEE"/>
    <w:rsid w:val="00937146"/>
    <w:rsid w:val="00937250"/>
    <w:rsid w:val="00937341"/>
    <w:rsid w:val="00937702"/>
    <w:rsid w:val="00937AB2"/>
    <w:rsid w:val="00940346"/>
    <w:rsid w:val="00940355"/>
    <w:rsid w:val="0094049B"/>
    <w:rsid w:val="0094050F"/>
    <w:rsid w:val="009407D2"/>
    <w:rsid w:val="00940993"/>
    <w:rsid w:val="00940DB8"/>
    <w:rsid w:val="00940EC9"/>
    <w:rsid w:val="009411A9"/>
    <w:rsid w:val="00941350"/>
    <w:rsid w:val="00941549"/>
    <w:rsid w:val="0094184C"/>
    <w:rsid w:val="00941B50"/>
    <w:rsid w:val="00942029"/>
    <w:rsid w:val="009420A5"/>
    <w:rsid w:val="009421EE"/>
    <w:rsid w:val="009422F9"/>
    <w:rsid w:val="00942579"/>
    <w:rsid w:val="00942877"/>
    <w:rsid w:val="009429F6"/>
    <w:rsid w:val="00942A5E"/>
    <w:rsid w:val="00943488"/>
    <w:rsid w:val="009437A2"/>
    <w:rsid w:val="00943873"/>
    <w:rsid w:val="00943E14"/>
    <w:rsid w:val="009440D8"/>
    <w:rsid w:val="009442D1"/>
    <w:rsid w:val="00944AA3"/>
    <w:rsid w:val="00944CF0"/>
    <w:rsid w:val="00944DDB"/>
    <w:rsid w:val="009451C1"/>
    <w:rsid w:val="00945504"/>
    <w:rsid w:val="009455C3"/>
    <w:rsid w:val="009457D3"/>
    <w:rsid w:val="00945899"/>
    <w:rsid w:val="0094591E"/>
    <w:rsid w:val="00945AA3"/>
    <w:rsid w:val="00945EAA"/>
    <w:rsid w:val="00946534"/>
    <w:rsid w:val="009467FF"/>
    <w:rsid w:val="00946988"/>
    <w:rsid w:val="00946C5B"/>
    <w:rsid w:val="00946C61"/>
    <w:rsid w:val="00946EFA"/>
    <w:rsid w:val="00946FFF"/>
    <w:rsid w:val="00947174"/>
    <w:rsid w:val="009474AB"/>
    <w:rsid w:val="00947606"/>
    <w:rsid w:val="009479D9"/>
    <w:rsid w:val="009479FC"/>
    <w:rsid w:val="00947B25"/>
    <w:rsid w:val="00947C93"/>
    <w:rsid w:val="00947CB1"/>
    <w:rsid w:val="0095017F"/>
    <w:rsid w:val="00950184"/>
    <w:rsid w:val="00950315"/>
    <w:rsid w:val="00950841"/>
    <w:rsid w:val="00950953"/>
    <w:rsid w:val="00950C71"/>
    <w:rsid w:val="00950D43"/>
    <w:rsid w:val="009510F7"/>
    <w:rsid w:val="0095152F"/>
    <w:rsid w:val="00951826"/>
    <w:rsid w:val="00951EA8"/>
    <w:rsid w:val="00951F58"/>
    <w:rsid w:val="009525C8"/>
    <w:rsid w:val="00952AE5"/>
    <w:rsid w:val="00952CED"/>
    <w:rsid w:val="00953082"/>
    <w:rsid w:val="0095335F"/>
    <w:rsid w:val="009533FF"/>
    <w:rsid w:val="0095359A"/>
    <w:rsid w:val="009537DC"/>
    <w:rsid w:val="009538A1"/>
    <w:rsid w:val="00953BD6"/>
    <w:rsid w:val="00953D9D"/>
    <w:rsid w:val="00953E5B"/>
    <w:rsid w:val="00953FF9"/>
    <w:rsid w:val="009542A7"/>
    <w:rsid w:val="00954C49"/>
    <w:rsid w:val="00955C6C"/>
    <w:rsid w:val="00955CE9"/>
    <w:rsid w:val="00955E64"/>
    <w:rsid w:val="009562D2"/>
    <w:rsid w:val="00956698"/>
    <w:rsid w:val="00956767"/>
    <w:rsid w:val="00956CB7"/>
    <w:rsid w:val="00956EEF"/>
    <w:rsid w:val="00956F71"/>
    <w:rsid w:val="00956F82"/>
    <w:rsid w:val="009572DA"/>
    <w:rsid w:val="0095750F"/>
    <w:rsid w:val="00957E4E"/>
    <w:rsid w:val="00957E5F"/>
    <w:rsid w:val="00957EF9"/>
    <w:rsid w:val="00957F88"/>
    <w:rsid w:val="0096003E"/>
    <w:rsid w:val="00960387"/>
    <w:rsid w:val="00960602"/>
    <w:rsid w:val="009606E4"/>
    <w:rsid w:val="00960876"/>
    <w:rsid w:val="0096098A"/>
    <w:rsid w:val="00960AA5"/>
    <w:rsid w:val="009611F7"/>
    <w:rsid w:val="00961379"/>
    <w:rsid w:val="0096174F"/>
    <w:rsid w:val="00961CC9"/>
    <w:rsid w:val="00961EA2"/>
    <w:rsid w:val="0096273F"/>
    <w:rsid w:val="00962989"/>
    <w:rsid w:val="00962FA0"/>
    <w:rsid w:val="009633CF"/>
    <w:rsid w:val="009636B3"/>
    <w:rsid w:val="009636F2"/>
    <w:rsid w:val="0096374E"/>
    <w:rsid w:val="00963837"/>
    <w:rsid w:val="009638EA"/>
    <w:rsid w:val="009639C7"/>
    <w:rsid w:val="00964608"/>
    <w:rsid w:val="00964619"/>
    <w:rsid w:val="00964827"/>
    <w:rsid w:val="00964AE9"/>
    <w:rsid w:val="00964EA5"/>
    <w:rsid w:val="00965170"/>
    <w:rsid w:val="009651E8"/>
    <w:rsid w:val="009653A4"/>
    <w:rsid w:val="009654EE"/>
    <w:rsid w:val="009657DC"/>
    <w:rsid w:val="009669C6"/>
    <w:rsid w:val="00966C3A"/>
    <w:rsid w:val="00966C48"/>
    <w:rsid w:val="00966D12"/>
    <w:rsid w:val="00966FF7"/>
    <w:rsid w:val="00967163"/>
    <w:rsid w:val="009672CE"/>
    <w:rsid w:val="00967471"/>
    <w:rsid w:val="00967519"/>
    <w:rsid w:val="00967536"/>
    <w:rsid w:val="009675E2"/>
    <w:rsid w:val="00967807"/>
    <w:rsid w:val="00967AC2"/>
    <w:rsid w:val="009703A8"/>
    <w:rsid w:val="0097041D"/>
    <w:rsid w:val="00970519"/>
    <w:rsid w:val="0097053A"/>
    <w:rsid w:val="009705AA"/>
    <w:rsid w:val="0097061D"/>
    <w:rsid w:val="0097068B"/>
    <w:rsid w:val="00970A38"/>
    <w:rsid w:val="00970AF3"/>
    <w:rsid w:val="00970B16"/>
    <w:rsid w:val="00970BDE"/>
    <w:rsid w:val="00970BF8"/>
    <w:rsid w:val="00970C1F"/>
    <w:rsid w:val="00970E21"/>
    <w:rsid w:val="00970E7E"/>
    <w:rsid w:val="009710F5"/>
    <w:rsid w:val="00971384"/>
    <w:rsid w:val="00971456"/>
    <w:rsid w:val="009717B4"/>
    <w:rsid w:val="009718F2"/>
    <w:rsid w:val="00972428"/>
    <w:rsid w:val="009725EA"/>
    <w:rsid w:val="009733C9"/>
    <w:rsid w:val="009739C0"/>
    <w:rsid w:val="00973B0A"/>
    <w:rsid w:val="00973E6E"/>
    <w:rsid w:val="00974004"/>
    <w:rsid w:val="0097408E"/>
    <w:rsid w:val="0097411D"/>
    <w:rsid w:val="009742D6"/>
    <w:rsid w:val="009744A7"/>
    <w:rsid w:val="0097464D"/>
    <w:rsid w:val="00974780"/>
    <w:rsid w:val="00974A2E"/>
    <w:rsid w:val="00974F5B"/>
    <w:rsid w:val="00975233"/>
    <w:rsid w:val="00975878"/>
    <w:rsid w:val="00975956"/>
    <w:rsid w:val="00975A93"/>
    <w:rsid w:val="00975FE4"/>
    <w:rsid w:val="009763F4"/>
    <w:rsid w:val="00976852"/>
    <w:rsid w:val="00977005"/>
    <w:rsid w:val="00977382"/>
    <w:rsid w:val="00977CFC"/>
    <w:rsid w:val="009800BC"/>
    <w:rsid w:val="0098053A"/>
    <w:rsid w:val="00980AE0"/>
    <w:rsid w:val="00980B4C"/>
    <w:rsid w:val="00980C34"/>
    <w:rsid w:val="00980E5B"/>
    <w:rsid w:val="00981061"/>
    <w:rsid w:val="00981331"/>
    <w:rsid w:val="00981541"/>
    <w:rsid w:val="0098188B"/>
    <w:rsid w:val="009818FE"/>
    <w:rsid w:val="00981FE3"/>
    <w:rsid w:val="009820C2"/>
    <w:rsid w:val="00982157"/>
    <w:rsid w:val="009823D7"/>
    <w:rsid w:val="0098267F"/>
    <w:rsid w:val="00982C77"/>
    <w:rsid w:val="00983683"/>
    <w:rsid w:val="00983A6D"/>
    <w:rsid w:val="00983B98"/>
    <w:rsid w:val="00983BB3"/>
    <w:rsid w:val="00983C57"/>
    <w:rsid w:val="00983F0A"/>
    <w:rsid w:val="009842ED"/>
    <w:rsid w:val="00984BAD"/>
    <w:rsid w:val="00984DCB"/>
    <w:rsid w:val="0098543C"/>
    <w:rsid w:val="0098559F"/>
    <w:rsid w:val="00985626"/>
    <w:rsid w:val="009858E2"/>
    <w:rsid w:val="00985AA2"/>
    <w:rsid w:val="00985BD7"/>
    <w:rsid w:val="00985BD9"/>
    <w:rsid w:val="00985E3B"/>
    <w:rsid w:val="00985F6B"/>
    <w:rsid w:val="00986217"/>
    <w:rsid w:val="00986366"/>
    <w:rsid w:val="009864BF"/>
    <w:rsid w:val="00986520"/>
    <w:rsid w:val="00986652"/>
    <w:rsid w:val="009867C4"/>
    <w:rsid w:val="009868AC"/>
    <w:rsid w:val="00986A37"/>
    <w:rsid w:val="00986B72"/>
    <w:rsid w:val="00986C25"/>
    <w:rsid w:val="00986E78"/>
    <w:rsid w:val="00986E99"/>
    <w:rsid w:val="00987176"/>
    <w:rsid w:val="00987292"/>
    <w:rsid w:val="00987401"/>
    <w:rsid w:val="009876E7"/>
    <w:rsid w:val="00987745"/>
    <w:rsid w:val="00987E45"/>
    <w:rsid w:val="009901B2"/>
    <w:rsid w:val="009902DF"/>
    <w:rsid w:val="00990374"/>
    <w:rsid w:val="009904CE"/>
    <w:rsid w:val="009907A7"/>
    <w:rsid w:val="0099084E"/>
    <w:rsid w:val="00990BC0"/>
    <w:rsid w:val="00990E9F"/>
    <w:rsid w:val="00990FB1"/>
    <w:rsid w:val="00991242"/>
    <w:rsid w:val="00991748"/>
    <w:rsid w:val="00991B19"/>
    <w:rsid w:val="00991F07"/>
    <w:rsid w:val="009923AE"/>
    <w:rsid w:val="00992AD7"/>
    <w:rsid w:val="00992CBC"/>
    <w:rsid w:val="00992E48"/>
    <w:rsid w:val="00992F0C"/>
    <w:rsid w:val="009933D9"/>
    <w:rsid w:val="009936AB"/>
    <w:rsid w:val="00993868"/>
    <w:rsid w:val="009938B0"/>
    <w:rsid w:val="00993BD9"/>
    <w:rsid w:val="00993E02"/>
    <w:rsid w:val="00994492"/>
    <w:rsid w:val="009948D5"/>
    <w:rsid w:val="00994AF7"/>
    <w:rsid w:val="00995251"/>
    <w:rsid w:val="0099535C"/>
    <w:rsid w:val="009956D6"/>
    <w:rsid w:val="00995A26"/>
    <w:rsid w:val="00995F82"/>
    <w:rsid w:val="00996131"/>
    <w:rsid w:val="0099625E"/>
    <w:rsid w:val="0099641A"/>
    <w:rsid w:val="00996918"/>
    <w:rsid w:val="0099692F"/>
    <w:rsid w:val="0099710C"/>
    <w:rsid w:val="0099729A"/>
    <w:rsid w:val="009972AA"/>
    <w:rsid w:val="0099743C"/>
    <w:rsid w:val="009979B0"/>
    <w:rsid w:val="009A03E5"/>
    <w:rsid w:val="009A0642"/>
    <w:rsid w:val="009A06B0"/>
    <w:rsid w:val="009A143F"/>
    <w:rsid w:val="009A15B1"/>
    <w:rsid w:val="009A1758"/>
    <w:rsid w:val="009A17C8"/>
    <w:rsid w:val="009A1EAA"/>
    <w:rsid w:val="009A1F98"/>
    <w:rsid w:val="009A2182"/>
    <w:rsid w:val="009A271B"/>
    <w:rsid w:val="009A2CF8"/>
    <w:rsid w:val="009A3235"/>
    <w:rsid w:val="009A46E1"/>
    <w:rsid w:val="009A4B65"/>
    <w:rsid w:val="009A50A7"/>
    <w:rsid w:val="009A53D7"/>
    <w:rsid w:val="009A5497"/>
    <w:rsid w:val="009A5A7C"/>
    <w:rsid w:val="009A5A94"/>
    <w:rsid w:val="009A5C55"/>
    <w:rsid w:val="009A5D7B"/>
    <w:rsid w:val="009A66DD"/>
    <w:rsid w:val="009A70B8"/>
    <w:rsid w:val="009A7104"/>
    <w:rsid w:val="009A73FF"/>
    <w:rsid w:val="009A74CB"/>
    <w:rsid w:val="009A7669"/>
    <w:rsid w:val="009A7770"/>
    <w:rsid w:val="009A7803"/>
    <w:rsid w:val="009A7834"/>
    <w:rsid w:val="009B00E7"/>
    <w:rsid w:val="009B07D3"/>
    <w:rsid w:val="009B09CC"/>
    <w:rsid w:val="009B0B5F"/>
    <w:rsid w:val="009B0C7E"/>
    <w:rsid w:val="009B1087"/>
    <w:rsid w:val="009B1152"/>
    <w:rsid w:val="009B11FA"/>
    <w:rsid w:val="009B1B62"/>
    <w:rsid w:val="009B1CA7"/>
    <w:rsid w:val="009B1D3A"/>
    <w:rsid w:val="009B22E8"/>
    <w:rsid w:val="009B23E8"/>
    <w:rsid w:val="009B2510"/>
    <w:rsid w:val="009B2CDB"/>
    <w:rsid w:val="009B2D9F"/>
    <w:rsid w:val="009B3012"/>
    <w:rsid w:val="009B32EF"/>
    <w:rsid w:val="009B33F3"/>
    <w:rsid w:val="009B38CE"/>
    <w:rsid w:val="009B3914"/>
    <w:rsid w:val="009B3975"/>
    <w:rsid w:val="009B3E1D"/>
    <w:rsid w:val="009B41DC"/>
    <w:rsid w:val="009B423A"/>
    <w:rsid w:val="009B4573"/>
    <w:rsid w:val="009B45D2"/>
    <w:rsid w:val="009B488B"/>
    <w:rsid w:val="009B4973"/>
    <w:rsid w:val="009B4D2A"/>
    <w:rsid w:val="009B4D9A"/>
    <w:rsid w:val="009B4E23"/>
    <w:rsid w:val="009B57A5"/>
    <w:rsid w:val="009B57D3"/>
    <w:rsid w:val="009B613C"/>
    <w:rsid w:val="009B63B9"/>
    <w:rsid w:val="009B6436"/>
    <w:rsid w:val="009B662C"/>
    <w:rsid w:val="009B6838"/>
    <w:rsid w:val="009B6D42"/>
    <w:rsid w:val="009B6E0C"/>
    <w:rsid w:val="009B701F"/>
    <w:rsid w:val="009B720C"/>
    <w:rsid w:val="009B730A"/>
    <w:rsid w:val="009B733C"/>
    <w:rsid w:val="009B791B"/>
    <w:rsid w:val="009B7A00"/>
    <w:rsid w:val="009B7B02"/>
    <w:rsid w:val="009B7F25"/>
    <w:rsid w:val="009C0237"/>
    <w:rsid w:val="009C068B"/>
    <w:rsid w:val="009C0A51"/>
    <w:rsid w:val="009C13D4"/>
    <w:rsid w:val="009C13E6"/>
    <w:rsid w:val="009C1497"/>
    <w:rsid w:val="009C170E"/>
    <w:rsid w:val="009C186D"/>
    <w:rsid w:val="009C1A59"/>
    <w:rsid w:val="009C1A77"/>
    <w:rsid w:val="009C1BC3"/>
    <w:rsid w:val="009C1F30"/>
    <w:rsid w:val="009C1F79"/>
    <w:rsid w:val="009C22FE"/>
    <w:rsid w:val="009C23DF"/>
    <w:rsid w:val="009C246C"/>
    <w:rsid w:val="009C247C"/>
    <w:rsid w:val="009C2A48"/>
    <w:rsid w:val="009C2BBD"/>
    <w:rsid w:val="009C2C1E"/>
    <w:rsid w:val="009C2C42"/>
    <w:rsid w:val="009C2F86"/>
    <w:rsid w:val="009C2FA9"/>
    <w:rsid w:val="009C3920"/>
    <w:rsid w:val="009C3B15"/>
    <w:rsid w:val="009C3C12"/>
    <w:rsid w:val="009C43CC"/>
    <w:rsid w:val="009C44C5"/>
    <w:rsid w:val="009C4820"/>
    <w:rsid w:val="009C4B0F"/>
    <w:rsid w:val="009C4DBC"/>
    <w:rsid w:val="009C4E0F"/>
    <w:rsid w:val="009C4E57"/>
    <w:rsid w:val="009C5C13"/>
    <w:rsid w:val="009C5D95"/>
    <w:rsid w:val="009C6A0A"/>
    <w:rsid w:val="009C6A50"/>
    <w:rsid w:val="009C6B75"/>
    <w:rsid w:val="009C6DC3"/>
    <w:rsid w:val="009C71C1"/>
    <w:rsid w:val="009C737C"/>
    <w:rsid w:val="009C7AE9"/>
    <w:rsid w:val="009C7F24"/>
    <w:rsid w:val="009D0624"/>
    <w:rsid w:val="009D0863"/>
    <w:rsid w:val="009D0A02"/>
    <w:rsid w:val="009D0B8B"/>
    <w:rsid w:val="009D1363"/>
    <w:rsid w:val="009D1371"/>
    <w:rsid w:val="009D194A"/>
    <w:rsid w:val="009D1FCA"/>
    <w:rsid w:val="009D21F0"/>
    <w:rsid w:val="009D2401"/>
    <w:rsid w:val="009D271F"/>
    <w:rsid w:val="009D29EE"/>
    <w:rsid w:val="009D2B6F"/>
    <w:rsid w:val="009D2F59"/>
    <w:rsid w:val="009D30A7"/>
    <w:rsid w:val="009D325D"/>
    <w:rsid w:val="009D41D5"/>
    <w:rsid w:val="009D4346"/>
    <w:rsid w:val="009D4518"/>
    <w:rsid w:val="009D4564"/>
    <w:rsid w:val="009D4662"/>
    <w:rsid w:val="009D4DB4"/>
    <w:rsid w:val="009D4DD3"/>
    <w:rsid w:val="009D5047"/>
    <w:rsid w:val="009D52AE"/>
    <w:rsid w:val="009D53B4"/>
    <w:rsid w:val="009D5556"/>
    <w:rsid w:val="009D5A06"/>
    <w:rsid w:val="009D5F64"/>
    <w:rsid w:val="009D606D"/>
    <w:rsid w:val="009D6351"/>
    <w:rsid w:val="009D6E75"/>
    <w:rsid w:val="009D6FFA"/>
    <w:rsid w:val="009D7022"/>
    <w:rsid w:val="009D7040"/>
    <w:rsid w:val="009D7486"/>
    <w:rsid w:val="009D74E8"/>
    <w:rsid w:val="009D7677"/>
    <w:rsid w:val="009D7717"/>
    <w:rsid w:val="009D7B6A"/>
    <w:rsid w:val="009D7D95"/>
    <w:rsid w:val="009E0036"/>
    <w:rsid w:val="009E00F8"/>
    <w:rsid w:val="009E0223"/>
    <w:rsid w:val="009E03A9"/>
    <w:rsid w:val="009E057C"/>
    <w:rsid w:val="009E07F7"/>
    <w:rsid w:val="009E0E15"/>
    <w:rsid w:val="009E10CF"/>
    <w:rsid w:val="009E113C"/>
    <w:rsid w:val="009E1ADA"/>
    <w:rsid w:val="009E1D20"/>
    <w:rsid w:val="009E227E"/>
    <w:rsid w:val="009E2942"/>
    <w:rsid w:val="009E2EB7"/>
    <w:rsid w:val="009E3035"/>
    <w:rsid w:val="009E3587"/>
    <w:rsid w:val="009E3980"/>
    <w:rsid w:val="009E3ABD"/>
    <w:rsid w:val="009E46C3"/>
    <w:rsid w:val="009E46CA"/>
    <w:rsid w:val="009E49B6"/>
    <w:rsid w:val="009E4A55"/>
    <w:rsid w:val="009E4AB3"/>
    <w:rsid w:val="009E4EB7"/>
    <w:rsid w:val="009E4F3C"/>
    <w:rsid w:val="009E51F1"/>
    <w:rsid w:val="009E539D"/>
    <w:rsid w:val="009E5813"/>
    <w:rsid w:val="009E5D0E"/>
    <w:rsid w:val="009E5FEF"/>
    <w:rsid w:val="009E5FF7"/>
    <w:rsid w:val="009E6138"/>
    <w:rsid w:val="009E61FF"/>
    <w:rsid w:val="009E654C"/>
    <w:rsid w:val="009E69EF"/>
    <w:rsid w:val="009E6B06"/>
    <w:rsid w:val="009E6D0B"/>
    <w:rsid w:val="009E75DD"/>
    <w:rsid w:val="009E7A24"/>
    <w:rsid w:val="009E7C26"/>
    <w:rsid w:val="009E7E98"/>
    <w:rsid w:val="009E7FC5"/>
    <w:rsid w:val="009F0052"/>
    <w:rsid w:val="009F02A7"/>
    <w:rsid w:val="009F03AC"/>
    <w:rsid w:val="009F05D3"/>
    <w:rsid w:val="009F081F"/>
    <w:rsid w:val="009F09BB"/>
    <w:rsid w:val="009F0A1E"/>
    <w:rsid w:val="009F0C29"/>
    <w:rsid w:val="009F0C84"/>
    <w:rsid w:val="009F0CBE"/>
    <w:rsid w:val="009F0EFB"/>
    <w:rsid w:val="009F1347"/>
    <w:rsid w:val="009F1CB3"/>
    <w:rsid w:val="009F1EAD"/>
    <w:rsid w:val="009F219B"/>
    <w:rsid w:val="009F21D7"/>
    <w:rsid w:val="009F2374"/>
    <w:rsid w:val="009F24F7"/>
    <w:rsid w:val="009F261C"/>
    <w:rsid w:val="009F2696"/>
    <w:rsid w:val="009F2AFF"/>
    <w:rsid w:val="009F3130"/>
    <w:rsid w:val="009F3492"/>
    <w:rsid w:val="009F39DB"/>
    <w:rsid w:val="009F3A0E"/>
    <w:rsid w:val="009F3D1A"/>
    <w:rsid w:val="009F3FF4"/>
    <w:rsid w:val="009F406D"/>
    <w:rsid w:val="009F4101"/>
    <w:rsid w:val="009F41F8"/>
    <w:rsid w:val="009F436F"/>
    <w:rsid w:val="009F47BA"/>
    <w:rsid w:val="009F4BC7"/>
    <w:rsid w:val="009F4C87"/>
    <w:rsid w:val="009F5884"/>
    <w:rsid w:val="009F59ED"/>
    <w:rsid w:val="009F5FC7"/>
    <w:rsid w:val="009F6145"/>
    <w:rsid w:val="009F6399"/>
    <w:rsid w:val="009F6B78"/>
    <w:rsid w:val="009F6CE6"/>
    <w:rsid w:val="009F6E26"/>
    <w:rsid w:val="009F6F85"/>
    <w:rsid w:val="009F7245"/>
    <w:rsid w:val="009F7594"/>
    <w:rsid w:val="009F77CF"/>
    <w:rsid w:val="009F7854"/>
    <w:rsid w:val="009F7C22"/>
    <w:rsid w:val="009F7E27"/>
    <w:rsid w:val="009F7EC1"/>
    <w:rsid w:val="009F7FAB"/>
    <w:rsid w:val="00A00014"/>
    <w:rsid w:val="00A01865"/>
    <w:rsid w:val="00A01B75"/>
    <w:rsid w:val="00A0227F"/>
    <w:rsid w:val="00A0231E"/>
    <w:rsid w:val="00A0256D"/>
    <w:rsid w:val="00A02761"/>
    <w:rsid w:val="00A02BA6"/>
    <w:rsid w:val="00A0328F"/>
    <w:rsid w:val="00A0329D"/>
    <w:rsid w:val="00A03430"/>
    <w:rsid w:val="00A034E9"/>
    <w:rsid w:val="00A0352D"/>
    <w:rsid w:val="00A03E2E"/>
    <w:rsid w:val="00A03EAA"/>
    <w:rsid w:val="00A03FE5"/>
    <w:rsid w:val="00A049AC"/>
    <w:rsid w:val="00A04AD7"/>
    <w:rsid w:val="00A04D3D"/>
    <w:rsid w:val="00A055D0"/>
    <w:rsid w:val="00A05B8A"/>
    <w:rsid w:val="00A05F2E"/>
    <w:rsid w:val="00A06097"/>
    <w:rsid w:val="00A0659B"/>
    <w:rsid w:val="00A06709"/>
    <w:rsid w:val="00A069A7"/>
    <w:rsid w:val="00A06FEC"/>
    <w:rsid w:val="00A0729C"/>
    <w:rsid w:val="00A074DC"/>
    <w:rsid w:val="00A076A2"/>
    <w:rsid w:val="00A07C1C"/>
    <w:rsid w:val="00A07E00"/>
    <w:rsid w:val="00A07E01"/>
    <w:rsid w:val="00A07E51"/>
    <w:rsid w:val="00A07F40"/>
    <w:rsid w:val="00A103D3"/>
    <w:rsid w:val="00A106F4"/>
    <w:rsid w:val="00A109C8"/>
    <w:rsid w:val="00A10A45"/>
    <w:rsid w:val="00A112C6"/>
    <w:rsid w:val="00A117B0"/>
    <w:rsid w:val="00A119AD"/>
    <w:rsid w:val="00A11B57"/>
    <w:rsid w:val="00A11D23"/>
    <w:rsid w:val="00A11E0E"/>
    <w:rsid w:val="00A11EB1"/>
    <w:rsid w:val="00A12A4C"/>
    <w:rsid w:val="00A12B81"/>
    <w:rsid w:val="00A12D76"/>
    <w:rsid w:val="00A12F07"/>
    <w:rsid w:val="00A131C0"/>
    <w:rsid w:val="00A1327F"/>
    <w:rsid w:val="00A138EB"/>
    <w:rsid w:val="00A13943"/>
    <w:rsid w:val="00A139A4"/>
    <w:rsid w:val="00A13AD2"/>
    <w:rsid w:val="00A141DF"/>
    <w:rsid w:val="00A1457F"/>
    <w:rsid w:val="00A1464A"/>
    <w:rsid w:val="00A14A7F"/>
    <w:rsid w:val="00A14A87"/>
    <w:rsid w:val="00A14ABA"/>
    <w:rsid w:val="00A14B45"/>
    <w:rsid w:val="00A15393"/>
    <w:rsid w:val="00A159F4"/>
    <w:rsid w:val="00A15BF5"/>
    <w:rsid w:val="00A15CC7"/>
    <w:rsid w:val="00A15CD7"/>
    <w:rsid w:val="00A1607C"/>
    <w:rsid w:val="00A1696D"/>
    <w:rsid w:val="00A16CB6"/>
    <w:rsid w:val="00A16CF3"/>
    <w:rsid w:val="00A16E79"/>
    <w:rsid w:val="00A16EF2"/>
    <w:rsid w:val="00A170F7"/>
    <w:rsid w:val="00A17413"/>
    <w:rsid w:val="00A175BA"/>
    <w:rsid w:val="00A17600"/>
    <w:rsid w:val="00A17651"/>
    <w:rsid w:val="00A177F5"/>
    <w:rsid w:val="00A17BB0"/>
    <w:rsid w:val="00A17C52"/>
    <w:rsid w:val="00A17D44"/>
    <w:rsid w:val="00A2002F"/>
    <w:rsid w:val="00A20608"/>
    <w:rsid w:val="00A2088F"/>
    <w:rsid w:val="00A20991"/>
    <w:rsid w:val="00A20A6D"/>
    <w:rsid w:val="00A20C7D"/>
    <w:rsid w:val="00A20E47"/>
    <w:rsid w:val="00A212BB"/>
    <w:rsid w:val="00A212E7"/>
    <w:rsid w:val="00A2161E"/>
    <w:rsid w:val="00A21934"/>
    <w:rsid w:val="00A21E8C"/>
    <w:rsid w:val="00A220C3"/>
    <w:rsid w:val="00A223FA"/>
    <w:rsid w:val="00A225D3"/>
    <w:rsid w:val="00A2295F"/>
    <w:rsid w:val="00A22CBE"/>
    <w:rsid w:val="00A22FE5"/>
    <w:rsid w:val="00A2305C"/>
    <w:rsid w:val="00A233E2"/>
    <w:rsid w:val="00A236AA"/>
    <w:rsid w:val="00A2382E"/>
    <w:rsid w:val="00A23A48"/>
    <w:rsid w:val="00A23F97"/>
    <w:rsid w:val="00A240B5"/>
    <w:rsid w:val="00A241B8"/>
    <w:rsid w:val="00A244A4"/>
    <w:rsid w:val="00A24C1B"/>
    <w:rsid w:val="00A24CAD"/>
    <w:rsid w:val="00A25205"/>
    <w:rsid w:val="00A257FB"/>
    <w:rsid w:val="00A259FE"/>
    <w:rsid w:val="00A25CB5"/>
    <w:rsid w:val="00A25DC3"/>
    <w:rsid w:val="00A25F69"/>
    <w:rsid w:val="00A26167"/>
    <w:rsid w:val="00A26173"/>
    <w:rsid w:val="00A26B61"/>
    <w:rsid w:val="00A26DAA"/>
    <w:rsid w:val="00A27342"/>
    <w:rsid w:val="00A27434"/>
    <w:rsid w:val="00A27605"/>
    <w:rsid w:val="00A276FC"/>
    <w:rsid w:val="00A27913"/>
    <w:rsid w:val="00A27AE4"/>
    <w:rsid w:val="00A27B08"/>
    <w:rsid w:val="00A27B4D"/>
    <w:rsid w:val="00A309E1"/>
    <w:rsid w:val="00A30FD1"/>
    <w:rsid w:val="00A31130"/>
    <w:rsid w:val="00A31366"/>
    <w:rsid w:val="00A31464"/>
    <w:rsid w:val="00A31652"/>
    <w:rsid w:val="00A3168C"/>
    <w:rsid w:val="00A31853"/>
    <w:rsid w:val="00A31A5C"/>
    <w:rsid w:val="00A31AAE"/>
    <w:rsid w:val="00A31D8B"/>
    <w:rsid w:val="00A31FA5"/>
    <w:rsid w:val="00A320C3"/>
    <w:rsid w:val="00A32160"/>
    <w:rsid w:val="00A3274F"/>
    <w:rsid w:val="00A32A80"/>
    <w:rsid w:val="00A33089"/>
    <w:rsid w:val="00A33090"/>
    <w:rsid w:val="00A3328D"/>
    <w:rsid w:val="00A334A4"/>
    <w:rsid w:val="00A337D1"/>
    <w:rsid w:val="00A337F8"/>
    <w:rsid w:val="00A338B7"/>
    <w:rsid w:val="00A33E74"/>
    <w:rsid w:val="00A34737"/>
    <w:rsid w:val="00A34791"/>
    <w:rsid w:val="00A34B36"/>
    <w:rsid w:val="00A35104"/>
    <w:rsid w:val="00A35277"/>
    <w:rsid w:val="00A35504"/>
    <w:rsid w:val="00A355E0"/>
    <w:rsid w:val="00A3599C"/>
    <w:rsid w:val="00A359CA"/>
    <w:rsid w:val="00A363EC"/>
    <w:rsid w:val="00A366C4"/>
    <w:rsid w:val="00A366F0"/>
    <w:rsid w:val="00A36AB4"/>
    <w:rsid w:val="00A36EEC"/>
    <w:rsid w:val="00A36FF1"/>
    <w:rsid w:val="00A370E2"/>
    <w:rsid w:val="00A372CE"/>
    <w:rsid w:val="00A37315"/>
    <w:rsid w:val="00A37355"/>
    <w:rsid w:val="00A3753C"/>
    <w:rsid w:val="00A4049F"/>
    <w:rsid w:val="00A407B9"/>
    <w:rsid w:val="00A409A0"/>
    <w:rsid w:val="00A40FED"/>
    <w:rsid w:val="00A41026"/>
    <w:rsid w:val="00A411E6"/>
    <w:rsid w:val="00A4149D"/>
    <w:rsid w:val="00A4166B"/>
    <w:rsid w:val="00A41AF5"/>
    <w:rsid w:val="00A41DB0"/>
    <w:rsid w:val="00A41EF2"/>
    <w:rsid w:val="00A41FAA"/>
    <w:rsid w:val="00A42657"/>
    <w:rsid w:val="00A4277A"/>
    <w:rsid w:val="00A4280E"/>
    <w:rsid w:val="00A42A12"/>
    <w:rsid w:val="00A432C0"/>
    <w:rsid w:val="00A4361D"/>
    <w:rsid w:val="00A437A1"/>
    <w:rsid w:val="00A437C9"/>
    <w:rsid w:val="00A43A16"/>
    <w:rsid w:val="00A43B7D"/>
    <w:rsid w:val="00A43E44"/>
    <w:rsid w:val="00A441AC"/>
    <w:rsid w:val="00A441F9"/>
    <w:rsid w:val="00A4422D"/>
    <w:rsid w:val="00A4464D"/>
    <w:rsid w:val="00A44C59"/>
    <w:rsid w:val="00A4577A"/>
    <w:rsid w:val="00A46056"/>
    <w:rsid w:val="00A46492"/>
    <w:rsid w:val="00A466EB"/>
    <w:rsid w:val="00A46842"/>
    <w:rsid w:val="00A469EC"/>
    <w:rsid w:val="00A46A13"/>
    <w:rsid w:val="00A46D52"/>
    <w:rsid w:val="00A47186"/>
    <w:rsid w:val="00A472F9"/>
    <w:rsid w:val="00A4740F"/>
    <w:rsid w:val="00A47685"/>
    <w:rsid w:val="00A4784A"/>
    <w:rsid w:val="00A479C2"/>
    <w:rsid w:val="00A501A8"/>
    <w:rsid w:val="00A50547"/>
    <w:rsid w:val="00A509C9"/>
    <w:rsid w:val="00A510B0"/>
    <w:rsid w:val="00A51148"/>
    <w:rsid w:val="00A514EC"/>
    <w:rsid w:val="00A514EF"/>
    <w:rsid w:val="00A51613"/>
    <w:rsid w:val="00A51AE1"/>
    <w:rsid w:val="00A51EB4"/>
    <w:rsid w:val="00A5205E"/>
    <w:rsid w:val="00A527D3"/>
    <w:rsid w:val="00A52970"/>
    <w:rsid w:val="00A52B42"/>
    <w:rsid w:val="00A52C90"/>
    <w:rsid w:val="00A5365E"/>
    <w:rsid w:val="00A537FA"/>
    <w:rsid w:val="00A53A82"/>
    <w:rsid w:val="00A53CFC"/>
    <w:rsid w:val="00A53E93"/>
    <w:rsid w:val="00A53EFC"/>
    <w:rsid w:val="00A53F19"/>
    <w:rsid w:val="00A542F6"/>
    <w:rsid w:val="00A545AF"/>
    <w:rsid w:val="00A5466C"/>
    <w:rsid w:val="00A54779"/>
    <w:rsid w:val="00A547AE"/>
    <w:rsid w:val="00A547D4"/>
    <w:rsid w:val="00A54A84"/>
    <w:rsid w:val="00A54BFA"/>
    <w:rsid w:val="00A54C4C"/>
    <w:rsid w:val="00A54E2E"/>
    <w:rsid w:val="00A5560E"/>
    <w:rsid w:val="00A55BCC"/>
    <w:rsid w:val="00A5617A"/>
    <w:rsid w:val="00A561F5"/>
    <w:rsid w:val="00A56397"/>
    <w:rsid w:val="00A56AC1"/>
    <w:rsid w:val="00A56AEF"/>
    <w:rsid w:val="00A56D80"/>
    <w:rsid w:val="00A57691"/>
    <w:rsid w:val="00A57ABD"/>
    <w:rsid w:val="00A57FB8"/>
    <w:rsid w:val="00A60855"/>
    <w:rsid w:val="00A60D93"/>
    <w:rsid w:val="00A6103E"/>
    <w:rsid w:val="00A61301"/>
    <w:rsid w:val="00A6142A"/>
    <w:rsid w:val="00A61599"/>
    <w:rsid w:val="00A61BA1"/>
    <w:rsid w:val="00A61D8E"/>
    <w:rsid w:val="00A61E1E"/>
    <w:rsid w:val="00A620CE"/>
    <w:rsid w:val="00A621AB"/>
    <w:rsid w:val="00A62526"/>
    <w:rsid w:val="00A63356"/>
    <w:rsid w:val="00A63415"/>
    <w:rsid w:val="00A63BC1"/>
    <w:rsid w:val="00A63CF7"/>
    <w:rsid w:val="00A64003"/>
    <w:rsid w:val="00A6407B"/>
    <w:rsid w:val="00A6441E"/>
    <w:rsid w:val="00A64BB5"/>
    <w:rsid w:val="00A64C1C"/>
    <w:rsid w:val="00A64D4C"/>
    <w:rsid w:val="00A64F1D"/>
    <w:rsid w:val="00A65057"/>
    <w:rsid w:val="00A65269"/>
    <w:rsid w:val="00A652A7"/>
    <w:rsid w:val="00A655DF"/>
    <w:rsid w:val="00A65727"/>
    <w:rsid w:val="00A65740"/>
    <w:rsid w:val="00A65841"/>
    <w:rsid w:val="00A6615A"/>
    <w:rsid w:val="00A661CD"/>
    <w:rsid w:val="00A6683D"/>
    <w:rsid w:val="00A6690B"/>
    <w:rsid w:val="00A669F0"/>
    <w:rsid w:val="00A66D1B"/>
    <w:rsid w:val="00A66D9B"/>
    <w:rsid w:val="00A66DEA"/>
    <w:rsid w:val="00A66E48"/>
    <w:rsid w:val="00A674B9"/>
    <w:rsid w:val="00A67547"/>
    <w:rsid w:val="00A6788D"/>
    <w:rsid w:val="00A67949"/>
    <w:rsid w:val="00A67CD5"/>
    <w:rsid w:val="00A67D09"/>
    <w:rsid w:val="00A70121"/>
    <w:rsid w:val="00A7019C"/>
    <w:rsid w:val="00A7026D"/>
    <w:rsid w:val="00A704FF"/>
    <w:rsid w:val="00A705CB"/>
    <w:rsid w:val="00A70601"/>
    <w:rsid w:val="00A70DBF"/>
    <w:rsid w:val="00A71206"/>
    <w:rsid w:val="00A712D0"/>
    <w:rsid w:val="00A71385"/>
    <w:rsid w:val="00A715FC"/>
    <w:rsid w:val="00A718A2"/>
    <w:rsid w:val="00A71944"/>
    <w:rsid w:val="00A7202C"/>
    <w:rsid w:val="00A72197"/>
    <w:rsid w:val="00A72FE1"/>
    <w:rsid w:val="00A73283"/>
    <w:rsid w:val="00A7368D"/>
    <w:rsid w:val="00A736C6"/>
    <w:rsid w:val="00A73BB5"/>
    <w:rsid w:val="00A73E3E"/>
    <w:rsid w:val="00A73F6A"/>
    <w:rsid w:val="00A740E9"/>
    <w:rsid w:val="00A7463C"/>
    <w:rsid w:val="00A7478E"/>
    <w:rsid w:val="00A747A5"/>
    <w:rsid w:val="00A74F7B"/>
    <w:rsid w:val="00A751B7"/>
    <w:rsid w:val="00A75291"/>
    <w:rsid w:val="00A752D1"/>
    <w:rsid w:val="00A75582"/>
    <w:rsid w:val="00A75C25"/>
    <w:rsid w:val="00A75E4F"/>
    <w:rsid w:val="00A761D6"/>
    <w:rsid w:val="00A7663C"/>
    <w:rsid w:val="00A76642"/>
    <w:rsid w:val="00A76745"/>
    <w:rsid w:val="00A76ADB"/>
    <w:rsid w:val="00A76C40"/>
    <w:rsid w:val="00A77051"/>
    <w:rsid w:val="00A774C6"/>
    <w:rsid w:val="00A7771A"/>
    <w:rsid w:val="00A77EFF"/>
    <w:rsid w:val="00A77F0B"/>
    <w:rsid w:val="00A800A8"/>
    <w:rsid w:val="00A802F8"/>
    <w:rsid w:val="00A80720"/>
    <w:rsid w:val="00A80BB5"/>
    <w:rsid w:val="00A80BDF"/>
    <w:rsid w:val="00A80E32"/>
    <w:rsid w:val="00A80F73"/>
    <w:rsid w:val="00A80F86"/>
    <w:rsid w:val="00A8114C"/>
    <w:rsid w:val="00A814A3"/>
    <w:rsid w:val="00A8150E"/>
    <w:rsid w:val="00A815FA"/>
    <w:rsid w:val="00A81A3F"/>
    <w:rsid w:val="00A81F82"/>
    <w:rsid w:val="00A824B1"/>
    <w:rsid w:val="00A8273E"/>
    <w:rsid w:val="00A82FE7"/>
    <w:rsid w:val="00A837FB"/>
    <w:rsid w:val="00A838D0"/>
    <w:rsid w:val="00A83BB7"/>
    <w:rsid w:val="00A83D24"/>
    <w:rsid w:val="00A83FFD"/>
    <w:rsid w:val="00A840C2"/>
    <w:rsid w:val="00A8453A"/>
    <w:rsid w:val="00A846DB"/>
    <w:rsid w:val="00A84DC9"/>
    <w:rsid w:val="00A852B3"/>
    <w:rsid w:val="00A8540E"/>
    <w:rsid w:val="00A85581"/>
    <w:rsid w:val="00A8562A"/>
    <w:rsid w:val="00A8595B"/>
    <w:rsid w:val="00A85C19"/>
    <w:rsid w:val="00A85D6C"/>
    <w:rsid w:val="00A85F86"/>
    <w:rsid w:val="00A8624A"/>
    <w:rsid w:val="00A8652A"/>
    <w:rsid w:val="00A86A74"/>
    <w:rsid w:val="00A86B2D"/>
    <w:rsid w:val="00A86C41"/>
    <w:rsid w:val="00A86C8A"/>
    <w:rsid w:val="00A86E00"/>
    <w:rsid w:val="00A87582"/>
    <w:rsid w:val="00A8768E"/>
    <w:rsid w:val="00A8784D"/>
    <w:rsid w:val="00A87B08"/>
    <w:rsid w:val="00A87CF6"/>
    <w:rsid w:val="00A87D6B"/>
    <w:rsid w:val="00A87FE2"/>
    <w:rsid w:val="00A90761"/>
    <w:rsid w:val="00A90F09"/>
    <w:rsid w:val="00A913CA"/>
    <w:rsid w:val="00A91675"/>
    <w:rsid w:val="00A916C3"/>
    <w:rsid w:val="00A9199F"/>
    <w:rsid w:val="00A91BFA"/>
    <w:rsid w:val="00A91C7E"/>
    <w:rsid w:val="00A91C97"/>
    <w:rsid w:val="00A91D13"/>
    <w:rsid w:val="00A921B3"/>
    <w:rsid w:val="00A92612"/>
    <w:rsid w:val="00A9270E"/>
    <w:rsid w:val="00A92748"/>
    <w:rsid w:val="00A92B98"/>
    <w:rsid w:val="00A9348C"/>
    <w:rsid w:val="00A935BC"/>
    <w:rsid w:val="00A937DB"/>
    <w:rsid w:val="00A93B71"/>
    <w:rsid w:val="00A93FB6"/>
    <w:rsid w:val="00A93FEE"/>
    <w:rsid w:val="00A940B0"/>
    <w:rsid w:val="00A9442A"/>
    <w:rsid w:val="00A94475"/>
    <w:rsid w:val="00A94544"/>
    <w:rsid w:val="00A94941"/>
    <w:rsid w:val="00A94B2D"/>
    <w:rsid w:val="00A94D5E"/>
    <w:rsid w:val="00A94FE8"/>
    <w:rsid w:val="00A951EA"/>
    <w:rsid w:val="00A958A7"/>
    <w:rsid w:val="00A958E1"/>
    <w:rsid w:val="00A95ADB"/>
    <w:rsid w:val="00A95DA8"/>
    <w:rsid w:val="00A95F02"/>
    <w:rsid w:val="00A9673B"/>
    <w:rsid w:val="00A968EE"/>
    <w:rsid w:val="00A9698A"/>
    <w:rsid w:val="00A96E06"/>
    <w:rsid w:val="00A96ED7"/>
    <w:rsid w:val="00A972C9"/>
    <w:rsid w:val="00A97573"/>
    <w:rsid w:val="00A97683"/>
    <w:rsid w:val="00A97B24"/>
    <w:rsid w:val="00A97E6B"/>
    <w:rsid w:val="00AA00CB"/>
    <w:rsid w:val="00AA02D4"/>
    <w:rsid w:val="00AA0420"/>
    <w:rsid w:val="00AA0EB6"/>
    <w:rsid w:val="00AA0FF9"/>
    <w:rsid w:val="00AA116D"/>
    <w:rsid w:val="00AA159C"/>
    <w:rsid w:val="00AA17A0"/>
    <w:rsid w:val="00AA18FD"/>
    <w:rsid w:val="00AA291F"/>
    <w:rsid w:val="00AA29E0"/>
    <w:rsid w:val="00AA2CD4"/>
    <w:rsid w:val="00AA2DE4"/>
    <w:rsid w:val="00AA2E9D"/>
    <w:rsid w:val="00AA2EF1"/>
    <w:rsid w:val="00AA325F"/>
    <w:rsid w:val="00AA327A"/>
    <w:rsid w:val="00AA3407"/>
    <w:rsid w:val="00AA3459"/>
    <w:rsid w:val="00AA35D5"/>
    <w:rsid w:val="00AA36C7"/>
    <w:rsid w:val="00AA4175"/>
    <w:rsid w:val="00AA4347"/>
    <w:rsid w:val="00AA439D"/>
    <w:rsid w:val="00AA47A3"/>
    <w:rsid w:val="00AA4AFA"/>
    <w:rsid w:val="00AA4BEA"/>
    <w:rsid w:val="00AA4F48"/>
    <w:rsid w:val="00AA4FF8"/>
    <w:rsid w:val="00AA5889"/>
    <w:rsid w:val="00AA5DAE"/>
    <w:rsid w:val="00AA63D9"/>
    <w:rsid w:val="00AA63ED"/>
    <w:rsid w:val="00AA675B"/>
    <w:rsid w:val="00AA6ABE"/>
    <w:rsid w:val="00AA6D62"/>
    <w:rsid w:val="00AA6DB2"/>
    <w:rsid w:val="00AA743F"/>
    <w:rsid w:val="00AA74E1"/>
    <w:rsid w:val="00AA751C"/>
    <w:rsid w:val="00AA7618"/>
    <w:rsid w:val="00AA7913"/>
    <w:rsid w:val="00AA7A0C"/>
    <w:rsid w:val="00AA7BAB"/>
    <w:rsid w:val="00AB01BB"/>
    <w:rsid w:val="00AB0390"/>
    <w:rsid w:val="00AB047D"/>
    <w:rsid w:val="00AB0987"/>
    <w:rsid w:val="00AB0AFE"/>
    <w:rsid w:val="00AB113E"/>
    <w:rsid w:val="00AB115A"/>
    <w:rsid w:val="00AB11CD"/>
    <w:rsid w:val="00AB1383"/>
    <w:rsid w:val="00AB15D5"/>
    <w:rsid w:val="00AB17A8"/>
    <w:rsid w:val="00AB1AE2"/>
    <w:rsid w:val="00AB1BBA"/>
    <w:rsid w:val="00AB1CDA"/>
    <w:rsid w:val="00AB2044"/>
    <w:rsid w:val="00AB20DA"/>
    <w:rsid w:val="00AB23E0"/>
    <w:rsid w:val="00AB24E8"/>
    <w:rsid w:val="00AB24FA"/>
    <w:rsid w:val="00AB26CB"/>
    <w:rsid w:val="00AB2A93"/>
    <w:rsid w:val="00AB2CED"/>
    <w:rsid w:val="00AB30BF"/>
    <w:rsid w:val="00AB3152"/>
    <w:rsid w:val="00AB31AA"/>
    <w:rsid w:val="00AB3210"/>
    <w:rsid w:val="00AB3316"/>
    <w:rsid w:val="00AB3B10"/>
    <w:rsid w:val="00AB3D94"/>
    <w:rsid w:val="00AB3E13"/>
    <w:rsid w:val="00AB4127"/>
    <w:rsid w:val="00AB44AD"/>
    <w:rsid w:val="00AB4822"/>
    <w:rsid w:val="00AB48E7"/>
    <w:rsid w:val="00AB4ABB"/>
    <w:rsid w:val="00AB4AEC"/>
    <w:rsid w:val="00AB51D3"/>
    <w:rsid w:val="00AB5506"/>
    <w:rsid w:val="00AB5734"/>
    <w:rsid w:val="00AB5BAC"/>
    <w:rsid w:val="00AB5F93"/>
    <w:rsid w:val="00AB5F95"/>
    <w:rsid w:val="00AB605F"/>
    <w:rsid w:val="00AB63FF"/>
    <w:rsid w:val="00AB6472"/>
    <w:rsid w:val="00AB6DA0"/>
    <w:rsid w:val="00AB7099"/>
    <w:rsid w:val="00AB73C9"/>
    <w:rsid w:val="00AB791C"/>
    <w:rsid w:val="00AB7A94"/>
    <w:rsid w:val="00AC0165"/>
    <w:rsid w:val="00AC02F2"/>
    <w:rsid w:val="00AC06D6"/>
    <w:rsid w:val="00AC0A94"/>
    <w:rsid w:val="00AC13C3"/>
    <w:rsid w:val="00AC14EA"/>
    <w:rsid w:val="00AC1853"/>
    <w:rsid w:val="00AC1872"/>
    <w:rsid w:val="00AC1BA0"/>
    <w:rsid w:val="00AC1BFE"/>
    <w:rsid w:val="00AC1CAF"/>
    <w:rsid w:val="00AC1DC5"/>
    <w:rsid w:val="00AC1E7F"/>
    <w:rsid w:val="00AC20D2"/>
    <w:rsid w:val="00AC213E"/>
    <w:rsid w:val="00AC21FE"/>
    <w:rsid w:val="00AC22D5"/>
    <w:rsid w:val="00AC29BF"/>
    <w:rsid w:val="00AC2B04"/>
    <w:rsid w:val="00AC2E5E"/>
    <w:rsid w:val="00AC36F3"/>
    <w:rsid w:val="00AC3C44"/>
    <w:rsid w:val="00AC3D92"/>
    <w:rsid w:val="00AC3EBA"/>
    <w:rsid w:val="00AC42E3"/>
    <w:rsid w:val="00AC4672"/>
    <w:rsid w:val="00AC49A8"/>
    <w:rsid w:val="00AC49C9"/>
    <w:rsid w:val="00AC4E2C"/>
    <w:rsid w:val="00AC4F62"/>
    <w:rsid w:val="00AC517C"/>
    <w:rsid w:val="00AC5760"/>
    <w:rsid w:val="00AC5CC2"/>
    <w:rsid w:val="00AC6071"/>
    <w:rsid w:val="00AC618D"/>
    <w:rsid w:val="00AC6192"/>
    <w:rsid w:val="00AC6383"/>
    <w:rsid w:val="00AC6573"/>
    <w:rsid w:val="00AC673E"/>
    <w:rsid w:val="00AC6C85"/>
    <w:rsid w:val="00AC6C9C"/>
    <w:rsid w:val="00AC6DA9"/>
    <w:rsid w:val="00AC6E26"/>
    <w:rsid w:val="00AC6EBC"/>
    <w:rsid w:val="00AC6FA7"/>
    <w:rsid w:val="00AC727F"/>
    <w:rsid w:val="00AC741C"/>
    <w:rsid w:val="00AC7658"/>
    <w:rsid w:val="00AC7F95"/>
    <w:rsid w:val="00AD00F1"/>
    <w:rsid w:val="00AD046A"/>
    <w:rsid w:val="00AD0556"/>
    <w:rsid w:val="00AD168E"/>
    <w:rsid w:val="00AD1701"/>
    <w:rsid w:val="00AD1915"/>
    <w:rsid w:val="00AD19B2"/>
    <w:rsid w:val="00AD19DB"/>
    <w:rsid w:val="00AD1A45"/>
    <w:rsid w:val="00AD1B91"/>
    <w:rsid w:val="00AD1EAA"/>
    <w:rsid w:val="00AD1FEF"/>
    <w:rsid w:val="00AD204A"/>
    <w:rsid w:val="00AD20DF"/>
    <w:rsid w:val="00AD21DD"/>
    <w:rsid w:val="00AD2582"/>
    <w:rsid w:val="00AD25AE"/>
    <w:rsid w:val="00AD2727"/>
    <w:rsid w:val="00AD2875"/>
    <w:rsid w:val="00AD2937"/>
    <w:rsid w:val="00AD2FD6"/>
    <w:rsid w:val="00AD30D6"/>
    <w:rsid w:val="00AD36DA"/>
    <w:rsid w:val="00AD3A45"/>
    <w:rsid w:val="00AD3A71"/>
    <w:rsid w:val="00AD40CD"/>
    <w:rsid w:val="00AD4322"/>
    <w:rsid w:val="00AD442F"/>
    <w:rsid w:val="00AD46A3"/>
    <w:rsid w:val="00AD47EA"/>
    <w:rsid w:val="00AD480F"/>
    <w:rsid w:val="00AD49C6"/>
    <w:rsid w:val="00AD4D76"/>
    <w:rsid w:val="00AD4DB4"/>
    <w:rsid w:val="00AD4EAF"/>
    <w:rsid w:val="00AD515F"/>
    <w:rsid w:val="00AD5200"/>
    <w:rsid w:val="00AD5474"/>
    <w:rsid w:val="00AD57F3"/>
    <w:rsid w:val="00AD5839"/>
    <w:rsid w:val="00AD5893"/>
    <w:rsid w:val="00AD5A0C"/>
    <w:rsid w:val="00AD5DE5"/>
    <w:rsid w:val="00AD5E34"/>
    <w:rsid w:val="00AD6419"/>
    <w:rsid w:val="00AD645E"/>
    <w:rsid w:val="00AD673D"/>
    <w:rsid w:val="00AD6AE4"/>
    <w:rsid w:val="00AD6E5E"/>
    <w:rsid w:val="00AD73B7"/>
    <w:rsid w:val="00AD7491"/>
    <w:rsid w:val="00AD77C3"/>
    <w:rsid w:val="00AD78B0"/>
    <w:rsid w:val="00AD7B63"/>
    <w:rsid w:val="00AD7BB1"/>
    <w:rsid w:val="00AD7BB7"/>
    <w:rsid w:val="00AD7F23"/>
    <w:rsid w:val="00AE0056"/>
    <w:rsid w:val="00AE0101"/>
    <w:rsid w:val="00AE03C5"/>
    <w:rsid w:val="00AE06C6"/>
    <w:rsid w:val="00AE0753"/>
    <w:rsid w:val="00AE0D39"/>
    <w:rsid w:val="00AE11B4"/>
    <w:rsid w:val="00AE121E"/>
    <w:rsid w:val="00AE1A1D"/>
    <w:rsid w:val="00AE1FC4"/>
    <w:rsid w:val="00AE2297"/>
    <w:rsid w:val="00AE22C5"/>
    <w:rsid w:val="00AE271E"/>
    <w:rsid w:val="00AE2B70"/>
    <w:rsid w:val="00AE2D64"/>
    <w:rsid w:val="00AE2E85"/>
    <w:rsid w:val="00AE3033"/>
    <w:rsid w:val="00AE316F"/>
    <w:rsid w:val="00AE3229"/>
    <w:rsid w:val="00AE34A5"/>
    <w:rsid w:val="00AE34C5"/>
    <w:rsid w:val="00AE3694"/>
    <w:rsid w:val="00AE36CC"/>
    <w:rsid w:val="00AE3876"/>
    <w:rsid w:val="00AE3CAD"/>
    <w:rsid w:val="00AE4ABE"/>
    <w:rsid w:val="00AE4E47"/>
    <w:rsid w:val="00AE4FB4"/>
    <w:rsid w:val="00AE5B38"/>
    <w:rsid w:val="00AE5D29"/>
    <w:rsid w:val="00AE5D62"/>
    <w:rsid w:val="00AE5EA3"/>
    <w:rsid w:val="00AE6E01"/>
    <w:rsid w:val="00AE6FB5"/>
    <w:rsid w:val="00AE7138"/>
    <w:rsid w:val="00AE71AB"/>
    <w:rsid w:val="00AE7521"/>
    <w:rsid w:val="00AE76B9"/>
    <w:rsid w:val="00AE7EA6"/>
    <w:rsid w:val="00AF0387"/>
    <w:rsid w:val="00AF0B91"/>
    <w:rsid w:val="00AF120A"/>
    <w:rsid w:val="00AF139C"/>
    <w:rsid w:val="00AF14A6"/>
    <w:rsid w:val="00AF166F"/>
    <w:rsid w:val="00AF1845"/>
    <w:rsid w:val="00AF1A73"/>
    <w:rsid w:val="00AF1C4F"/>
    <w:rsid w:val="00AF1C87"/>
    <w:rsid w:val="00AF21B2"/>
    <w:rsid w:val="00AF23DC"/>
    <w:rsid w:val="00AF24A7"/>
    <w:rsid w:val="00AF26EB"/>
    <w:rsid w:val="00AF2E5C"/>
    <w:rsid w:val="00AF2F6B"/>
    <w:rsid w:val="00AF359E"/>
    <w:rsid w:val="00AF3788"/>
    <w:rsid w:val="00AF3A67"/>
    <w:rsid w:val="00AF3BC6"/>
    <w:rsid w:val="00AF3C96"/>
    <w:rsid w:val="00AF4173"/>
    <w:rsid w:val="00AF4838"/>
    <w:rsid w:val="00AF4B04"/>
    <w:rsid w:val="00AF4BE9"/>
    <w:rsid w:val="00AF4DFF"/>
    <w:rsid w:val="00AF5319"/>
    <w:rsid w:val="00AF555B"/>
    <w:rsid w:val="00AF580C"/>
    <w:rsid w:val="00AF5911"/>
    <w:rsid w:val="00AF59F3"/>
    <w:rsid w:val="00AF5C88"/>
    <w:rsid w:val="00AF5D49"/>
    <w:rsid w:val="00AF64DF"/>
    <w:rsid w:val="00AF6CAF"/>
    <w:rsid w:val="00AF6E9B"/>
    <w:rsid w:val="00AF757F"/>
    <w:rsid w:val="00AF75B1"/>
    <w:rsid w:val="00AF76EE"/>
    <w:rsid w:val="00AF773C"/>
    <w:rsid w:val="00AF7806"/>
    <w:rsid w:val="00AF7F21"/>
    <w:rsid w:val="00B0006B"/>
    <w:rsid w:val="00B00239"/>
    <w:rsid w:val="00B00D7F"/>
    <w:rsid w:val="00B00DD3"/>
    <w:rsid w:val="00B014B6"/>
    <w:rsid w:val="00B01657"/>
    <w:rsid w:val="00B01912"/>
    <w:rsid w:val="00B01AD4"/>
    <w:rsid w:val="00B01E22"/>
    <w:rsid w:val="00B01F47"/>
    <w:rsid w:val="00B0209B"/>
    <w:rsid w:val="00B02457"/>
    <w:rsid w:val="00B02FE5"/>
    <w:rsid w:val="00B038A2"/>
    <w:rsid w:val="00B03AED"/>
    <w:rsid w:val="00B04836"/>
    <w:rsid w:val="00B04A08"/>
    <w:rsid w:val="00B052BF"/>
    <w:rsid w:val="00B05541"/>
    <w:rsid w:val="00B05EE4"/>
    <w:rsid w:val="00B060C8"/>
    <w:rsid w:val="00B0621B"/>
    <w:rsid w:val="00B0633A"/>
    <w:rsid w:val="00B06361"/>
    <w:rsid w:val="00B068E1"/>
    <w:rsid w:val="00B06B3D"/>
    <w:rsid w:val="00B07606"/>
    <w:rsid w:val="00B07BE9"/>
    <w:rsid w:val="00B1051C"/>
    <w:rsid w:val="00B10AD8"/>
    <w:rsid w:val="00B10E0A"/>
    <w:rsid w:val="00B11006"/>
    <w:rsid w:val="00B110F4"/>
    <w:rsid w:val="00B11922"/>
    <w:rsid w:val="00B11B02"/>
    <w:rsid w:val="00B11CE9"/>
    <w:rsid w:val="00B12596"/>
    <w:rsid w:val="00B127F8"/>
    <w:rsid w:val="00B12877"/>
    <w:rsid w:val="00B12E36"/>
    <w:rsid w:val="00B12F8F"/>
    <w:rsid w:val="00B130AA"/>
    <w:rsid w:val="00B131F0"/>
    <w:rsid w:val="00B13C80"/>
    <w:rsid w:val="00B13F15"/>
    <w:rsid w:val="00B1474D"/>
    <w:rsid w:val="00B149C8"/>
    <w:rsid w:val="00B14A59"/>
    <w:rsid w:val="00B14AE6"/>
    <w:rsid w:val="00B14BD3"/>
    <w:rsid w:val="00B14E73"/>
    <w:rsid w:val="00B14FE5"/>
    <w:rsid w:val="00B150A3"/>
    <w:rsid w:val="00B153F2"/>
    <w:rsid w:val="00B154DE"/>
    <w:rsid w:val="00B1561F"/>
    <w:rsid w:val="00B15EB1"/>
    <w:rsid w:val="00B16821"/>
    <w:rsid w:val="00B168A2"/>
    <w:rsid w:val="00B16B23"/>
    <w:rsid w:val="00B17133"/>
    <w:rsid w:val="00B1735D"/>
    <w:rsid w:val="00B1758F"/>
    <w:rsid w:val="00B17901"/>
    <w:rsid w:val="00B17A89"/>
    <w:rsid w:val="00B17AFA"/>
    <w:rsid w:val="00B17BE9"/>
    <w:rsid w:val="00B17EA7"/>
    <w:rsid w:val="00B20754"/>
    <w:rsid w:val="00B209E5"/>
    <w:rsid w:val="00B20A8A"/>
    <w:rsid w:val="00B20E84"/>
    <w:rsid w:val="00B210B1"/>
    <w:rsid w:val="00B213EA"/>
    <w:rsid w:val="00B21719"/>
    <w:rsid w:val="00B21784"/>
    <w:rsid w:val="00B2182E"/>
    <w:rsid w:val="00B21883"/>
    <w:rsid w:val="00B21D51"/>
    <w:rsid w:val="00B21E94"/>
    <w:rsid w:val="00B22003"/>
    <w:rsid w:val="00B221E4"/>
    <w:rsid w:val="00B222F8"/>
    <w:rsid w:val="00B22483"/>
    <w:rsid w:val="00B22A1C"/>
    <w:rsid w:val="00B22B0A"/>
    <w:rsid w:val="00B22CBA"/>
    <w:rsid w:val="00B233D8"/>
    <w:rsid w:val="00B23461"/>
    <w:rsid w:val="00B2378F"/>
    <w:rsid w:val="00B238FB"/>
    <w:rsid w:val="00B23D60"/>
    <w:rsid w:val="00B2456A"/>
    <w:rsid w:val="00B24578"/>
    <w:rsid w:val="00B245BC"/>
    <w:rsid w:val="00B248BD"/>
    <w:rsid w:val="00B24A81"/>
    <w:rsid w:val="00B24B09"/>
    <w:rsid w:val="00B24B68"/>
    <w:rsid w:val="00B24EFB"/>
    <w:rsid w:val="00B25EC5"/>
    <w:rsid w:val="00B25F5D"/>
    <w:rsid w:val="00B26013"/>
    <w:rsid w:val="00B26B19"/>
    <w:rsid w:val="00B26C38"/>
    <w:rsid w:val="00B26C48"/>
    <w:rsid w:val="00B26CBA"/>
    <w:rsid w:val="00B27F3A"/>
    <w:rsid w:val="00B303AC"/>
    <w:rsid w:val="00B307B9"/>
    <w:rsid w:val="00B30B88"/>
    <w:rsid w:val="00B30C9B"/>
    <w:rsid w:val="00B30D9A"/>
    <w:rsid w:val="00B316DF"/>
    <w:rsid w:val="00B31A3B"/>
    <w:rsid w:val="00B31A7D"/>
    <w:rsid w:val="00B31ADF"/>
    <w:rsid w:val="00B31E00"/>
    <w:rsid w:val="00B31F8B"/>
    <w:rsid w:val="00B3204F"/>
    <w:rsid w:val="00B3206A"/>
    <w:rsid w:val="00B320D0"/>
    <w:rsid w:val="00B3219B"/>
    <w:rsid w:val="00B327CC"/>
    <w:rsid w:val="00B329B8"/>
    <w:rsid w:val="00B32FB3"/>
    <w:rsid w:val="00B33310"/>
    <w:rsid w:val="00B3397C"/>
    <w:rsid w:val="00B33B2A"/>
    <w:rsid w:val="00B33E4E"/>
    <w:rsid w:val="00B33E5D"/>
    <w:rsid w:val="00B34091"/>
    <w:rsid w:val="00B348C5"/>
    <w:rsid w:val="00B34D8E"/>
    <w:rsid w:val="00B35588"/>
    <w:rsid w:val="00B35F63"/>
    <w:rsid w:val="00B365E7"/>
    <w:rsid w:val="00B3669B"/>
    <w:rsid w:val="00B36F19"/>
    <w:rsid w:val="00B373EE"/>
    <w:rsid w:val="00B37402"/>
    <w:rsid w:val="00B3755D"/>
    <w:rsid w:val="00B377E0"/>
    <w:rsid w:val="00B37885"/>
    <w:rsid w:val="00B379ED"/>
    <w:rsid w:val="00B37D1C"/>
    <w:rsid w:val="00B37E11"/>
    <w:rsid w:val="00B37F77"/>
    <w:rsid w:val="00B41289"/>
    <w:rsid w:val="00B425E8"/>
    <w:rsid w:val="00B42BF8"/>
    <w:rsid w:val="00B42CA6"/>
    <w:rsid w:val="00B431DF"/>
    <w:rsid w:val="00B43E12"/>
    <w:rsid w:val="00B44210"/>
    <w:rsid w:val="00B444B7"/>
    <w:rsid w:val="00B447CF"/>
    <w:rsid w:val="00B447F8"/>
    <w:rsid w:val="00B449F5"/>
    <w:rsid w:val="00B44B03"/>
    <w:rsid w:val="00B44F1C"/>
    <w:rsid w:val="00B45018"/>
    <w:rsid w:val="00B450D5"/>
    <w:rsid w:val="00B451D8"/>
    <w:rsid w:val="00B45256"/>
    <w:rsid w:val="00B452A6"/>
    <w:rsid w:val="00B452C1"/>
    <w:rsid w:val="00B45510"/>
    <w:rsid w:val="00B45702"/>
    <w:rsid w:val="00B457C0"/>
    <w:rsid w:val="00B458D8"/>
    <w:rsid w:val="00B45BC9"/>
    <w:rsid w:val="00B45D5A"/>
    <w:rsid w:val="00B45DFA"/>
    <w:rsid w:val="00B45EF2"/>
    <w:rsid w:val="00B460F0"/>
    <w:rsid w:val="00B46582"/>
    <w:rsid w:val="00B4673E"/>
    <w:rsid w:val="00B46AA4"/>
    <w:rsid w:val="00B47014"/>
    <w:rsid w:val="00B4770F"/>
    <w:rsid w:val="00B47854"/>
    <w:rsid w:val="00B50103"/>
    <w:rsid w:val="00B5039C"/>
    <w:rsid w:val="00B507D8"/>
    <w:rsid w:val="00B50993"/>
    <w:rsid w:val="00B50A33"/>
    <w:rsid w:val="00B50B6F"/>
    <w:rsid w:val="00B50BFC"/>
    <w:rsid w:val="00B50C31"/>
    <w:rsid w:val="00B50D5D"/>
    <w:rsid w:val="00B5137D"/>
    <w:rsid w:val="00B516F1"/>
    <w:rsid w:val="00B51C3B"/>
    <w:rsid w:val="00B51F48"/>
    <w:rsid w:val="00B52078"/>
    <w:rsid w:val="00B520F7"/>
    <w:rsid w:val="00B527B6"/>
    <w:rsid w:val="00B52948"/>
    <w:rsid w:val="00B52ADA"/>
    <w:rsid w:val="00B52C95"/>
    <w:rsid w:val="00B52D43"/>
    <w:rsid w:val="00B52F3B"/>
    <w:rsid w:val="00B52F92"/>
    <w:rsid w:val="00B531FD"/>
    <w:rsid w:val="00B53514"/>
    <w:rsid w:val="00B53779"/>
    <w:rsid w:val="00B53B21"/>
    <w:rsid w:val="00B5410C"/>
    <w:rsid w:val="00B54147"/>
    <w:rsid w:val="00B5448E"/>
    <w:rsid w:val="00B54790"/>
    <w:rsid w:val="00B54ACF"/>
    <w:rsid w:val="00B54C49"/>
    <w:rsid w:val="00B551B3"/>
    <w:rsid w:val="00B553E4"/>
    <w:rsid w:val="00B5549E"/>
    <w:rsid w:val="00B55A62"/>
    <w:rsid w:val="00B55CC3"/>
    <w:rsid w:val="00B5621C"/>
    <w:rsid w:val="00B563E9"/>
    <w:rsid w:val="00B564D7"/>
    <w:rsid w:val="00B56932"/>
    <w:rsid w:val="00B56C5D"/>
    <w:rsid w:val="00B57295"/>
    <w:rsid w:val="00B57339"/>
    <w:rsid w:val="00B577AB"/>
    <w:rsid w:val="00B5790E"/>
    <w:rsid w:val="00B60377"/>
    <w:rsid w:val="00B60F7B"/>
    <w:rsid w:val="00B61341"/>
    <w:rsid w:val="00B617DB"/>
    <w:rsid w:val="00B619AF"/>
    <w:rsid w:val="00B619DE"/>
    <w:rsid w:val="00B61E0E"/>
    <w:rsid w:val="00B622F3"/>
    <w:rsid w:val="00B62487"/>
    <w:rsid w:val="00B62645"/>
    <w:rsid w:val="00B627A2"/>
    <w:rsid w:val="00B630E7"/>
    <w:rsid w:val="00B6312E"/>
    <w:rsid w:val="00B632E7"/>
    <w:rsid w:val="00B633F3"/>
    <w:rsid w:val="00B63464"/>
    <w:rsid w:val="00B63690"/>
    <w:rsid w:val="00B637C0"/>
    <w:rsid w:val="00B63CE9"/>
    <w:rsid w:val="00B63D16"/>
    <w:rsid w:val="00B64B70"/>
    <w:rsid w:val="00B64DB3"/>
    <w:rsid w:val="00B64F08"/>
    <w:rsid w:val="00B65189"/>
    <w:rsid w:val="00B651D7"/>
    <w:rsid w:val="00B656E3"/>
    <w:rsid w:val="00B65CB3"/>
    <w:rsid w:val="00B65D9A"/>
    <w:rsid w:val="00B65F83"/>
    <w:rsid w:val="00B66023"/>
    <w:rsid w:val="00B663AD"/>
    <w:rsid w:val="00B665D1"/>
    <w:rsid w:val="00B66E7A"/>
    <w:rsid w:val="00B670BB"/>
    <w:rsid w:val="00B673F1"/>
    <w:rsid w:val="00B6770E"/>
    <w:rsid w:val="00B677BD"/>
    <w:rsid w:val="00B67A0F"/>
    <w:rsid w:val="00B67DE0"/>
    <w:rsid w:val="00B704DE"/>
    <w:rsid w:val="00B70ED1"/>
    <w:rsid w:val="00B711CE"/>
    <w:rsid w:val="00B7140D"/>
    <w:rsid w:val="00B72046"/>
    <w:rsid w:val="00B7209E"/>
    <w:rsid w:val="00B726A1"/>
    <w:rsid w:val="00B7288D"/>
    <w:rsid w:val="00B72A0B"/>
    <w:rsid w:val="00B72AA0"/>
    <w:rsid w:val="00B72B08"/>
    <w:rsid w:val="00B72B1F"/>
    <w:rsid w:val="00B736E7"/>
    <w:rsid w:val="00B73BEA"/>
    <w:rsid w:val="00B73D10"/>
    <w:rsid w:val="00B73D81"/>
    <w:rsid w:val="00B74486"/>
    <w:rsid w:val="00B74719"/>
    <w:rsid w:val="00B74987"/>
    <w:rsid w:val="00B749B3"/>
    <w:rsid w:val="00B74C9E"/>
    <w:rsid w:val="00B74DD3"/>
    <w:rsid w:val="00B74DE5"/>
    <w:rsid w:val="00B75675"/>
    <w:rsid w:val="00B75716"/>
    <w:rsid w:val="00B7574F"/>
    <w:rsid w:val="00B75ACF"/>
    <w:rsid w:val="00B75B99"/>
    <w:rsid w:val="00B75D08"/>
    <w:rsid w:val="00B75D6D"/>
    <w:rsid w:val="00B761F2"/>
    <w:rsid w:val="00B76553"/>
    <w:rsid w:val="00B765AF"/>
    <w:rsid w:val="00B76C6E"/>
    <w:rsid w:val="00B76EBB"/>
    <w:rsid w:val="00B771B4"/>
    <w:rsid w:val="00B77951"/>
    <w:rsid w:val="00B77A15"/>
    <w:rsid w:val="00B77B33"/>
    <w:rsid w:val="00B77D2C"/>
    <w:rsid w:val="00B77EB4"/>
    <w:rsid w:val="00B8041E"/>
    <w:rsid w:val="00B80641"/>
    <w:rsid w:val="00B807E1"/>
    <w:rsid w:val="00B80AEF"/>
    <w:rsid w:val="00B80CB8"/>
    <w:rsid w:val="00B80F47"/>
    <w:rsid w:val="00B813D4"/>
    <w:rsid w:val="00B81C83"/>
    <w:rsid w:val="00B81FB0"/>
    <w:rsid w:val="00B820FE"/>
    <w:rsid w:val="00B82549"/>
    <w:rsid w:val="00B828F4"/>
    <w:rsid w:val="00B82D91"/>
    <w:rsid w:val="00B8315D"/>
    <w:rsid w:val="00B832E6"/>
    <w:rsid w:val="00B83BC1"/>
    <w:rsid w:val="00B83EBA"/>
    <w:rsid w:val="00B83F7C"/>
    <w:rsid w:val="00B83FEE"/>
    <w:rsid w:val="00B842A7"/>
    <w:rsid w:val="00B8472D"/>
    <w:rsid w:val="00B848E4"/>
    <w:rsid w:val="00B84B80"/>
    <w:rsid w:val="00B84D9E"/>
    <w:rsid w:val="00B85110"/>
    <w:rsid w:val="00B85458"/>
    <w:rsid w:val="00B854A4"/>
    <w:rsid w:val="00B8550C"/>
    <w:rsid w:val="00B85890"/>
    <w:rsid w:val="00B8595A"/>
    <w:rsid w:val="00B85B09"/>
    <w:rsid w:val="00B85BAF"/>
    <w:rsid w:val="00B8621E"/>
    <w:rsid w:val="00B8633B"/>
    <w:rsid w:val="00B86497"/>
    <w:rsid w:val="00B86C0D"/>
    <w:rsid w:val="00B87379"/>
    <w:rsid w:val="00B8740D"/>
    <w:rsid w:val="00B87759"/>
    <w:rsid w:val="00B90501"/>
    <w:rsid w:val="00B9064C"/>
    <w:rsid w:val="00B911E1"/>
    <w:rsid w:val="00B91831"/>
    <w:rsid w:val="00B91ADC"/>
    <w:rsid w:val="00B91C20"/>
    <w:rsid w:val="00B91C38"/>
    <w:rsid w:val="00B921D3"/>
    <w:rsid w:val="00B9258A"/>
    <w:rsid w:val="00B92935"/>
    <w:rsid w:val="00B92A9E"/>
    <w:rsid w:val="00B92BC5"/>
    <w:rsid w:val="00B935BC"/>
    <w:rsid w:val="00B938D8"/>
    <w:rsid w:val="00B9391A"/>
    <w:rsid w:val="00B93EBD"/>
    <w:rsid w:val="00B93F58"/>
    <w:rsid w:val="00B94A91"/>
    <w:rsid w:val="00B94C0C"/>
    <w:rsid w:val="00B94C62"/>
    <w:rsid w:val="00B94F5A"/>
    <w:rsid w:val="00B95142"/>
    <w:rsid w:val="00B95194"/>
    <w:rsid w:val="00B953D8"/>
    <w:rsid w:val="00B95808"/>
    <w:rsid w:val="00B95CEB"/>
    <w:rsid w:val="00B95D45"/>
    <w:rsid w:val="00B95E0D"/>
    <w:rsid w:val="00B963B6"/>
    <w:rsid w:val="00B963EF"/>
    <w:rsid w:val="00B9642C"/>
    <w:rsid w:val="00B96747"/>
    <w:rsid w:val="00B969C2"/>
    <w:rsid w:val="00B96A67"/>
    <w:rsid w:val="00B96E1B"/>
    <w:rsid w:val="00B97155"/>
    <w:rsid w:val="00B9717A"/>
    <w:rsid w:val="00B973A1"/>
    <w:rsid w:val="00B97D06"/>
    <w:rsid w:val="00B97E77"/>
    <w:rsid w:val="00BA014E"/>
    <w:rsid w:val="00BA023C"/>
    <w:rsid w:val="00BA069D"/>
    <w:rsid w:val="00BA06C7"/>
    <w:rsid w:val="00BA07B4"/>
    <w:rsid w:val="00BA0920"/>
    <w:rsid w:val="00BA0933"/>
    <w:rsid w:val="00BA0B4D"/>
    <w:rsid w:val="00BA0F3B"/>
    <w:rsid w:val="00BA1121"/>
    <w:rsid w:val="00BA162C"/>
    <w:rsid w:val="00BA1865"/>
    <w:rsid w:val="00BA187F"/>
    <w:rsid w:val="00BA19DB"/>
    <w:rsid w:val="00BA1C49"/>
    <w:rsid w:val="00BA1DBB"/>
    <w:rsid w:val="00BA1E7D"/>
    <w:rsid w:val="00BA1EB9"/>
    <w:rsid w:val="00BA1F62"/>
    <w:rsid w:val="00BA24F4"/>
    <w:rsid w:val="00BA2598"/>
    <w:rsid w:val="00BA25C2"/>
    <w:rsid w:val="00BA2EA7"/>
    <w:rsid w:val="00BA40D4"/>
    <w:rsid w:val="00BA41E6"/>
    <w:rsid w:val="00BA432E"/>
    <w:rsid w:val="00BA4368"/>
    <w:rsid w:val="00BA4833"/>
    <w:rsid w:val="00BA4D18"/>
    <w:rsid w:val="00BA4FCC"/>
    <w:rsid w:val="00BA5203"/>
    <w:rsid w:val="00BA56D5"/>
    <w:rsid w:val="00BA5D6D"/>
    <w:rsid w:val="00BA6293"/>
    <w:rsid w:val="00BA6803"/>
    <w:rsid w:val="00BA707C"/>
    <w:rsid w:val="00BA7250"/>
    <w:rsid w:val="00BA727F"/>
    <w:rsid w:val="00BA784B"/>
    <w:rsid w:val="00BA7B2B"/>
    <w:rsid w:val="00BB03C9"/>
    <w:rsid w:val="00BB0538"/>
    <w:rsid w:val="00BB0BB8"/>
    <w:rsid w:val="00BB0FA6"/>
    <w:rsid w:val="00BB1013"/>
    <w:rsid w:val="00BB194E"/>
    <w:rsid w:val="00BB1B88"/>
    <w:rsid w:val="00BB1FBF"/>
    <w:rsid w:val="00BB20ED"/>
    <w:rsid w:val="00BB245D"/>
    <w:rsid w:val="00BB2541"/>
    <w:rsid w:val="00BB2D19"/>
    <w:rsid w:val="00BB2EE6"/>
    <w:rsid w:val="00BB3426"/>
    <w:rsid w:val="00BB3888"/>
    <w:rsid w:val="00BB3A4E"/>
    <w:rsid w:val="00BB3B36"/>
    <w:rsid w:val="00BB3E46"/>
    <w:rsid w:val="00BB4016"/>
    <w:rsid w:val="00BB4377"/>
    <w:rsid w:val="00BB4CB3"/>
    <w:rsid w:val="00BB4DFB"/>
    <w:rsid w:val="00BB4E41"/>
    <w:rsid w:val="00BB4FAC"/>
    <w:rsid w:val="00BB5120"/>
    <w:rsid w:val="00BB51A6"/>
    <w:rsid w:val="00BB551E"/>
    <w:rsid w:val="00BB5BC6"/>
    <w:rsid w:val="00BB5C3B"/>
    <w:rsid w:val="00BB647D"/>
    <w:rsid w:val="00BB651E"/>
    <w:rsid w:val="00BB659B"/>
    <w:rsid w:val="00BB666B"/>
    <w:rsid w:val="00BB68B3"/>
    <w:rsid w:val="00BB6990"/>
    <w:rsid w:val="00BB6D01"/>
    <w:rsid w:val="00BB6D69"/>
    <w:rsid w:val="00BB6F75"/>
    <w:rsid w:val="00BB7BDC"/>
    <w:rsid w:val="00BB7BFA"/>
    <w:rsid w:val="00BB7C95"/>
    <w:rsid w:val="00BB7CC6"/>
    <w:rsid w:val="00BB7D37"/>
    <w:rsid w:val="00BB7DFE"/>
    <w:rsid w:val="00BC0092"/>
    <w:rsid w:val="00BC09E9"/>
    <w:rsid w:val="00BC0A06"/>
    <w:rsid w:val="00BC0A84"/>
    <w:rsid w:val="00BC0B32"/>
    <w:rsid w:val="00BC0BA3"/>
    <w:rsid w:val="00BC1311"/>
    <w:rsid w:val="00BC1349"/>
    <w:rsid w:val="00BC158D"/>
    <w:rsid w:val="00BC15D2"/>
    <w:rsid w:val="00BC19B9"/>
    <w:rsid w:val="00BC19BE"/>
    <w:rsid w:val="00BC1BA1"/>
    <w:rsid w:val="00BC1E90"/>
    <w:rsid w:val="00BC1EF4"/>
    <w:rsid w:val="00BC214C"/>
    <w:rsid w:val="00BC2623"/>
    <w:rsid w:val="00BC28C4"/>
    <w:rsid w:val="00BC309A"/>
    <w:rsid w:val="00BC316E"/>
    <w:rsid w:val="00BC3201"/>
    <w:rsid w:val="00BC3635"/>
    <w:rsid w:val="00BC3F53"/>
    <w:rsid w:val="00BC41CA"/>
    <w:rsid w:val="00BC426F"/>
    <w:rsid w:val="00BC44EC"/>
    <w:rsid w:val="00BC4BA3"/>
    <w:rsid w:val="00BC4DB5"/>
    <w:rsid w:val="00BC4DC3"/>
    <w:rsid w:val="00BC4F72"/>
    <w:rsid w:val="00BC5098"/>
    <w:rsid w:val="00BC515B"/>
    <w:rsid w:val="00BC52B5"/>
    <w:rsid w:val="00BC55F6"/>
    <w:rsid w:val="00BC5693"/>
    <w:rsid w:val="00BC56C1"/>
    <w:rsid w:val="00BC5D29"/>
    <w:rsid w:val="00BC5ECB"/>
    <w:rsid w:val="00BC603A"/>
    <w:rsid w:val="00BC640F"/>
    <w:rsid w:val="00BC65E6"/>
    <w:rsid w:val="00BC67A7"/>
    <w:rsid w:val="00BC6CFE"/>
    <w:rsid w:val="00BC7036"/>
    <w:rsid w:val="00BC7743"/>
    <w:rsid w:val="00BC789B"/>
    <w:rsid w:val="00BC7A69"/>
    <w:rsid w:val="00BC7DD4"/>
    <w:rsid w:val="00BD0144"/>
    <w:rsid w:val="00BD0A4C"/>
    <w:rsid w:val="00BD0AF8"/>
    <w:rsid w:val="00BD0C72"/>
    <w:rsid w:val="00BD0D17"/>
    <w:rsid w:val="00BD0DDC"/>
    <w:rsid w:val="00BD0FE3"/>
    <w:rsid w:val="00BD0FEE"/>
    <w:rsid w:val="00BD1836"/>
    <w:rsid w:val="00BD1BBF"/>
    <w:rsid w:val="00BD1DE5"/>
    <w:rsid w:val="00BD20DE"/>
    <w:rsid w:val="00BD22AD"/>
    <w:rsid w:val="00BD2496"/>
    <w:rsid w:val="00BD2771"/>
    <w:rsid w:val="00BD31F4"/>
    <w:rsid w:val="00BD35EE"/>
    <w:rsid w:val="00BD3783"/>
    <w:rsid w:val="00BD3CB7"/>
    <w:rsid w:val="00BD4545"/>
    <w:rsid w:val="00BD4548"/>
    <w:rsid w:val="00BD46DE"/>
    <w:rsid w:val="00BD4CB1"/>
    <w:rsid w:val="00BD4DA4"/>
    <w:rsid w:val="00BD54A9"/>
    <w:rsid w:val="00BD58F8"/>
    <w:rsid w:val="00BD5A33"/>
    <w:rsid w:val="00BD5A52"/>
    <w:rsid w:val="00BD5D69"/>
    <w:rsid w:val="00BD60A8"/>
    <w:rsid w:val="00BD6228"/>
    <w:rsid w:val="00BD626B"/>
    <w:rsid w:val="00BD63B1"/>
    <w:rsid w:val="00BD6418"/>
    <w:rsid w:val="00BD699F"/>
    <w:rsid w:val="00BD6B92"/>
    <w:rsid w:val="00BD6D63"/>
    <w:rsid w:val="00BD6F18"/>
    <w:rsid w:val="00BD7358"/>
    <w:rsid w:val="00BD774A"/>
    <w:rsid w:val="00BE0337"/>
    <w:rsid w:val="00BE0367"/>
    <w:rsid w:val="00BE0929"/>
    <w:rsid w:val="00BE096D"/>
    <w:rsid w:val="00BE0A9B"/>
    <w:rsid w:val="00BE0BC9"/>
    <w:rsid w:val="00BE10B4"/>
    <w:rsid w:val="00BE1512"/>
    <w:rsid w:val="00BE16D6"/>
    <w:rsid w:val="00BE1708"/>
    <w:rsid w:val="00BE17EC"/>
    <w:rsid w:val="00BE1889"/>
    <w:rsid w:val="00BE1CE2"/>
    <w:rsid w:val="00BE2381"/>
    <w:rsid w:val="00BE23BD"/>
    <w:rsid w:val="00BE26D5"/>
    <w:rsid w:val="00BE27AA"/>
    <w:rsid w:val="00BE28CC"/>
    <w:rsid w:val="00BE2A42"/>
    <w:rsid w:val="00BE2F78"/>
    <w:rsid w:val="00BE3001"/>
    <w:rsid w:val="00BE32FB"/>
    <w:rsid w:val="00BE339E"/>
    <w:rsid w:val="00BE33EC"/>
    <w:rsid w:val="00BE365E"/>
    <w:rsid w:val="00BE3673"/>
    <w:rsid w:val="00BE370C"/>
    <w:rsid w:val="00BE3847"/>
    <w:rsid w:val="00BE3A27"/>
    <w:rsid w:val="00BE3BE3"/>
    <w:rsid w:val="00BE3E76"/>
    <w:rsid w:val="00BE3EF1"/>
    <w:rsid w:val="00BE3FD5"/>
    <w:rsid w:val="00BE41F5"/>
    <w:rsid w:val="00BE42E0"/>
    <w:rsid w:val="00BE445A"/>
    <w:rsid w:val="00BE47B8"/>
    <w:rsid w:val="00BE496F"/>
    <w:rsid w:val="00BE4BDB"/>
    <w:rsid w:val="00BE4D51"/>
    <w:rsid w:val="00BE4D63"/>
    <w:rsid w:val="00BE4E75"/>
    <w:rsid w:val="00BE4FC0"/>
    <w:rsid w:val="00BE50B6"/>
    <w:rsid w:val="00BE5453"/>
    <w:rsid w:val="00BE553F"/>
    <w:rsid w:val="00BE5C38"/>
    <w:rsid w:val="00BE5D0D"/>
    <w:rsid w:val="00BE5EE7"/>
    <w:rsid w:val="00BE67C9"/>
    <w:rsid w:val="00BE6D29"/>
    <w:rsid w:val="00BE6D57"/>
    <w:rsid w:val="00BE6E6C"/>
    <w:rsid w:val="00BE7132"/>
    <w:rsid w:val="00BE7C84"/>
    <w:rsid w:val="00BE7D1F"/>
    <w:rsid w:val="00BE7EDE"/>
    <w:rsid w:val="00BE7F84"/>
    <w:rsid w:val="00BE7F9B"/>
    <w:rsid w:val="00BF0131"/>
    <w:rsid w:val="00BF047D"/>
    <w:rsid w:val="00BF049A"/>
    <w:rsid w:val="00BF09B3"/>
    <w:rsid w:val="00BF0BEB"/>
    <w:rsid w:val="00BF14DB"/>
    <w:rsid w:val="00BF158F"/>
    <w:rsid w:val="00BF1C39"/>
    <w:rsid w:val="00BF1CBF"/>
    <w:rsid w:val="00BF1D90"/>
    <w:rsid w:val="00BF1DEF"/>
    <w:rsid w:val="00BF1E51"/>
    <w:rsid w:val="00BF1FB8"/>
    <w:rsid w:val="00BF264C"/>
    <w:rsid w:val="00BF26A9"/>
    <w:rsid w:val="00BF2794"/>
    <w:rsid w:val="00BF28C1"/>
    <w:rsid w:val="00BF2998"/>
    <w:rsid w:val="00BF2BA6"/>
    <w:rsid w:val="00BF2D21"/>
    <w:rsid w:val="00BF2E20"/>
    <w:rsid w:val="00BF2F22"/>
    <w:rsid w:val="00BF3017"/>
    <w:rsid w:val="00BF3381"/>
    <w:rsid w:val="00BF346D"/>
    <w:rsid w:val="00BF34C7"/>
    <w:rsid w:val="00BF38EA"/>
    <w:rsid w:val="00BF3A63"/>
    <w:rsid w:val="00BF3C3A"/>
    <w:rsid w:val="00BF4168"/>
    <w:rsid w:val="00BF4194"/>
    <w:rsid w:val="00BF4289"/>
    <w:rsid w:val="00BF4691"/>
    <w:rsid w:val="00BF4BDD"/>
    <w:rsid w:val="00BF4BFB"/>
    <w:rsid w:val="00BF4D8A"/>
    <w:rsid w:val="00BF4F5B"/>
    <w:rsid w:val="00BF5124"/>
    <w:rsid w:val="00BF5469"/>
    <w:rsid w:val="00BF5BAD"/>
    <w:rsid w:val="00BF6117"/>
    <w:rsid w:val="00BF6C67"/>
    <w:rsid w:val="00BF6E1E"/>
    <w:rsid w:val="00BF6F48"/>
    <w:rsid w:val="00BF72CC"/>
    <w:rsid w:val="00BF7862"/>
    <w:rsid w:val="00BF7883"/>
    <w:rsid w:val="00BF7B68"/>
    <w:rsid w:val="00BF7BCF"/>
    <w:rsid w:val="00BF7CEA"/>
    <w:rsid w:val="00C00107"/>
    <w:rsid w:val="00C00373"/>
    <w:rsid w:val="00C004FD"/>
    <w:rsid w:val="00C0058F"/>
    <w:rsid w:val="00C00A00"/>
    <w:rsid w:val="00C00B87"/>
    <w:rsid w:val="00C00B8F"/>
    <w:rsid w:val="00C00CFD"/>
    <w:rsid w:val="00C00D33"/>
    <w:rsid w:val="00C01144"/>
    <w:rsid w:val="00C01176"/>
    <w:rsid w:val="00C012AD"/>
    <w:rsid w:val="00C013B6"/>
    <w:rsid w:val="00C01532"/>
    <w:rsid w:val="00C018AF"/>
    <w:rsid w:val="00C018F1"/>
    <w:rsid w:val="00C01D9B"/>
    <w:rsid w:val="00C01DF0"/>
    <w:rsid w:val="00C02346"/>
    <w:rsid w:val="00C0236E"/>
    <w:rsid w:val="00C025CC"/>
    <w:rsid w:val="00C0312C"/>
    <w:rsid w:val="00C033BE"/>
    <w:rsid w:val="00C03455"/>
    <w:rsid w:val="00C03456"/>
    <w:rsid w:val="00C03464"/>
    <w:rsid w:val="00C0347B"/>
    <w:rsid w:val="00C03AB2"/>
    <w:rsid w:val="00C03C38"/>
    <w:rsid w:val="00C03E79"/>
    <w:rsid w:val="00C0404A"/>
    <w:rsid w:val="00C041C4"/>
    <w:rsid w:val="00C042DC"/>
    <w:rsid w:val="00C04380"/>
    <w:rsid w:val="00C04452"/>
    <w:rsid w:val="00C045A8"/>
    <w:rsid w:val="00C04B22"/>
    <w:rsid w:val="00C04B79"/>
    <w:rsid w:val="00C04D6F"/>
    <w:rsid w:val="00C04E9D"/>
    <w:rsid w:val="00C05328"/>
    <w:rsid w:val="00C05430"/>
    <w:rsid w:val="00C05465"/>
    <w:rsid w:val="00C05624"/>
    <w:rsid w:val="00C058D8"/>
    <w:rsid w:val="00C05960"/>
    <w:rsid w:val="00C059FC"/>
    <w:rsid w:val="00C05AFE"/>
    <w:rsid w:val="00C05D59"/>
    <w:rsid w:val="00C05E59"/>
    <w:rsid w:val="00C0616F"/>
    <w:rsid w:val="00C0638C"/>
    <w:rsid w:val="00C06492"/>
    <w:rsid w:val="00C072CE"/>
    <w:rsid w:val="00C07572"/>
    <w:rsid w:val="00C07A1A"/>
    <w:rsid w:val="00C07C24"/>
    <w:rsid w:val="00C108B2"/>
    <w:rsid w:val="00C109E0"/>
    <w:rsid w:val="00C10C47"/>
    <w:rsid w:val="00C11171"/>
    <w:rsid w:val="00C111CE"/>
    <w:rsid w:val="00C12865"/>
    <w:rsid w:val="00C12C5E"/>
    <w:rsid w:val="00C12D45"/>
    <w:rsid w:val="00C12D47"/>
    <w:rsid w:val="00C12F96"/>
    <w:rsid w:val="00C1310A"/>
    <w:rsid w:val="00C132F4"/>
    <w:rsid w:val="00C13579"/>
    <w:rsid w:val="00C13C80"/>
    <w:rsid w:val="00C14003"/>
    <w:rsid w:val="00C141E7"/>
    <w:rsid w:val="00C14207"/>
    <w:rsid w:val="00C142B1"/>
    <w:rsid w:val="00C143B5"/>
    <w:rsid w:val="00C144AE"/>
    <w:rsid w:val="00C145AD"/>
    <w:rsid w:val="00C1465D"/>
    <w:rsid w:val="00C14757"/>
    <w:rsid w:val="00C14984"/>
    <w:rsid w:val="00C149A2"/>
    <w:rsid w:val="00C14A2F"/>
    <w:rsid w:val="00C14A87"/>
    <w:rsid w:val="00C14E79"/>
    <w:rsid w:val="00C15034"/>
    <w:rsid w:val="00C151A0"/>
    <w:rsid w:val="00C1525A"/>
    <w:rsid w:val="00C153AB"/>
    <w:rsid w:val="00C1567D"/>
    <w:rsid w:val="00C1589F"/>
    <w:rsid w:val="00C15A76"/>
    <w:rsid w:val="00C15BB7"/>
    <w:rsid w:val="00C15EA8"/>
    <w:rsid w:val="00C160F2"/>
    <w:rsid w:val="00C16165"/>
    <w:rsid w:val="00C161C0"/>
    <w:rsid w:val="00C163D9"/>
    <w:rsid w:val="00C16911"/>
    <w:rsid w:val="00C16A40"/>
    <w:rsid w:val="00C16C79"/>
    <w:rsid w:val="00C170B8"/>
    <w:rsid w:val="00C175BE"/>
    <w:rsid w:val="00C177DF"/>
    <w:rsid w:val="00C179AE"/>
    <w:rsid w:val="00C17AA5"/>
    <w:rsid w:val="00C20097"/>
    <w:rsid w:val="00C2041B"/>
    <w:rsid w:val="00C20970"/>
    <w:rsid w:val="00C20DC6"/>
    <w:rsid w:val="00C21075"/>
    <w:rsid w:val="00C210C1"/>
    <w:rsid w:val="00C212D5"/>
    <w:rsid w:val="00C213A4"/>
    <w:rsid w:val="00C21BCD"/>
    <w:rsid w:val="00C21EBA"/>
    <w:rsid w:val="00C21FB1"/>
    <w:rsid w:val="00C22056"/>
    <w:rsid w:val="00C22134"/>
    <w:rsid w:val="00C222BA"/>
    <w:rsid w:val="00C22397"/>
    <w:rsid w:val="00C2278E"/>
    <w:rsid w:val="00C230BD"/>
    <w:rsid w:val="00C23620"/>
    <w:rsid w:val="00C23A40"/>
    <w:rsid w:val="00C2403A"/>
    <w:rsid w:val="00C2408D"/>
    <w:rsid w:val="00C24584"/>
    <w:rsid w:val="00C2460A"/>
    <w:rsid w:val="00C24796"/>
    <w:rsid w:val="00C24A8A"/>
    <w:rsid w:val="00C24B5C"/>
    <w:rsid w:val="00C24C6C"/>
    <w:rsid w:val="00C24D13"/>
    <w:rsid w:val="00C24D7A"/>
    <w:rsid w:val="00C24E31"/>
    <w:rsid w:val="00C25602"/>
    <w:rsid w:val="00C25759"/>
    <w:rsid w:val="00C25E75"/>
    <w:rsid w:val="00C25E77"/>
    <w:rsid w:val="00C2622D"/>
    <w:rsid w:val="00C265CC"/>
    <w:rsid w:val="00C2677D"/>
    <w:rsid w:val="00C26B35"/>
    <w:rsid w:val="00C26E53"/>
    <w:rsid w:val="00C26F5B"/>
    <w:rsid w:val="00C27248"/>
    <w:rsid w:val="00C27424"/>
    <w:rsid w:val="00C274EC"/>
    <w:rsid w:val="00C27787"/>
    <w:rsid w:val="00C27B06"/>
    <w:rsid w:val="00C27CE1"/>
    <w:rsid w:val="00C27E45"/>
    <w:rsid w:val="00C27F8F"/>
    <w:rsid w:val="00C27FAB"/>
    <w:rsid w:val="00C302E2"/>
    <w:rsid w:val="00C30594"/>
    <w:rsid w:val="00C30820"/>
    <w:rsid w:val="00C30823"/>
    <w:rsid w:val="00C3084D"/>
    <w:rsid w:val="00C308DC"/>
    <w:rsid w:val="00C314DC"/>
    <w:rsid w:val="00C3165C"/>
    <w:rsid w:val="00C3178B"/>
    <w:rsid w:val="00C31D01"/>
    <w:rsid w:val="00C31F14"/>
    <w:rsid w:val="00C322F0"/>
    <w:rsid w:val="00C3250F"/>
    <w:rsid w:val="00C3285E"/>
    <w:rsid w:val="00C32F17"/>
    <w:rsid w:val="00C332C8"/>
    <w:rsid w:val="00C333E3"/>
    <w:rsid w:val="00C33762"/>
    <w:rsid w:val="00C33867"/>
    <w:rsid w:val="00C33932"/>
    <w:rsid w:val="00C33AFF"/>
    <w:rsid w:val="00C33E1F"/>
    <w:rsid w:val="00C340E6"/>
    <w:rsid w:val="00C341E3"/>
    <w:rsid w:val="00C34236"/>
    <w:rsid w:val="00C342DB"/>
    <w:rsid w:val="00C3536E"/>
    <w:rsid w:val="00C3540F"/>
    <w:rsid w:val="00C354AB"/>
    <w:rsid w:val="00C357AF"/>
    <w:rsid w:val="00C35E03"/>
    <w:rsid w:val="00C35E8B"/>
    <w:rsid w:val="00C35FB3"/>
    <w:rsid w:val="00C363D6"/>
    <w:rsid w:val="00C3641E"/>
    <w:rsid w:val="00C36C14"/>
    <w:rsid w:val="00C36CB6"/>
    <w:rsid w:val="00C372D2"/>
    <w:rsid w:val="00C37456"/>
    <w:rsid w:val="00C375F1"/>
    <w:rsid w:val="00C37682"/>
    <w:rsid w:val="00C3789D"/>
    <w:rsid w:val="00C37AC0"/>
    <w:rsid w:val="00C37E9E"/>
    <w:rsid w:val="00C4034C"/>
    <w:rsid w:val="00C405D8"/>
    <w:rsid w:val="00C4061E"/>
    <w:rsid w:val="00C4096E"/>
    <w:rsid w:val="00C40A2F"/>
    <w:rsid w:val="00C40F0E"/>
    <w:rsid w:val="00C40FC7"/>
    <w:rsid w:val="00C41670"/>
    <w:rsid w:val="00C419A5"/>
    <w:rsid w:val="00C419F4"/>
    <w:rsid w:val="00C422B3"/>
    <w:rsid w:val="00C42319"/>
    <w:rsid w:val="00C42C3C"/>
    <w:rsid w:val="00C42EE8"/>
    <w:rsid w:val="00C42F6F"/>
    <w:rsid w:val="00C42FF8"/>
    <w:rsid w:val="00C430A0"/>
    <w:rsid w:val="00C43206"/>
    <w:rsid w:val="00C434AB"/>
    <w:rsid w:val="00C4358C"/>
    <w:rsid w:val="00C43590"/>
    <w:rsid w:val="00C436D9"/>
    <w:rsid w:val="00C4376F"/>
    <w:rsid w:val="00C43A2F"/>
    <w:rsid w:val="00C43A84"/>
    <w:rsid w:val="00C43A85"/>
    <w:rsid w:val="00C43C6F"/>
    <w:rsid w:val="00C43E4F"/>
    <w:rsid w:val="00C43F83"/>
    <w:rsid w:val="00C440FF"/>
    <w:rsid w:val="00C44847"/>
    <w:rsid w:val="00C44D6A"/>
    <w:rsid w:val="00C44EDF"/>
    <w:rsid w:val="00C4502C"/>
    <w:rsid w:val="00C45256"/>
    <w:rsid w:val="00C4559F"/>
    <w:rsid w:val="00C4577E"/>
    <w:rsid w:val="00C45906"/>
    <w:rsid w:val="00C45AB7"/>
    <w:rsid w:val="00C45DB4"/>
    <w:rsid w:val="00C45ECA"/>
    <w:rsid w:val="00C4636C"/>
    <w:rsid w:val="00C464CF"/>
    <w:rsid w:val="00C465F8"/>
    <w:rsid w:val="00C46888"/>
    <w:rsid w:val="00C46BEB"/>
    <w:rsid w:val="00C46BFB"/>
    <w:rsid w:val="00C47143"/>
    <w:rsid w:val="00C475ED"/>
    <w:rsid w:val="00C47B22"/>
    <w:rsid w:val="00C47B26"/>
    <w:rsid w:val="00C47C38"/>
    <w:rsid w:val="00C47D59"/>
    <w:rsid w:val="00C47F6E"/>
    <w:rsid w:val="00C5005E"/>
    <w:rsid w:val="00C50474"/>
    <w:rsid w:val="00C5085C"/>
    <w:rsid w:val="00C50BAC"/>
    <w:rsid w:val="00C511F2"/>
    <w:rsid w:val="00C51586"/>
    <w:rsid w:val="00C515E7"/>
    <w:rsid w:val="00C51635"/>
    <w:rsid w:val="00C51819"/>
    <w:rsid w:val="00C51914"/>
    <w:rsid w:val="00C51ED1"/>
    <w:rsid w:val="00C521A4"/>
    <w:rsid w:val="00C523EA"/>
    <w:rsid w:val="00C5244E"/>
    <w:rsid w:val="00C52688"/>
    <w:rsid w:val="00C52A3C"/>
    <w:rsid w:val="00C5303C"/>
    <w:rsid w:val="00C5307A"/>
    <w:rsid w:val="00C53215"/>
    <w:rsid w:val="00C536C8"/>
    <w:rsid w:val="00C538D8"/>
    <w:rsid w:val="00C539BC"/>
    <w:rsid w:val="00C539DD"/>
    <w:rsid w:val="00C53ADE"/>
    <w:rsid w:val="00C53B2E"/>
    <w:rsid w:val="00C53DD2"/>
    <w:rsid w:val="00C541B4"/>
    <w:rsid w:val="00C5450C"/>
    <w:rsid w:val="00C546D6"/>
    <w:rsid w:val="00C54D03"/>
    <w:rsid w:val="00C54DA1"/>
    <w:rsid w:val="00C5507C"/>
    <w:rsid w:val="00C55210"/>
    <w:rsid w:val="00C5544B"/>
    <w:rsid w:val="00C5546F"/>
    <w:rsid w:val="00C557F1"/>
    <w:rsid w:val="00C55A43"/>
    <w:rsid w:val="00C55C48"/>
    <w:rsid w:val="00C55D9E"/>
    <w:rsid w:val="00C5699A"/>
    <w:rsid w:val="00C569F9"/>
    <w:rsid w:val="00C56F4E"/>
    <w:rsid w:val="00C56FA9"/>
    <w:rsid w:val="00C5790D"/>
    <w:rsid w:val="00C57AB4"/>
    <w:rsid w:val="00C57DE5"/>
    <w:rsid w:val="00C602F6"/>
    <w:rsid w:val="00C603EA"/>
    <w:rsid w:val="00C605E7"/>
    <w:rsid w:val="00C605EF"/>
    <w:rsid w:val="00C606EB"/>
    <w:rsid w:val="00C6080E"/>
    <w:rsid w:val="00C60ACA"/>
    <w:rsid w:val="00C60D21"/>
    <w:rsid w:val="00C6136F"/>
    <w:rsid w:val="00C6149B"/>
    <w:rsid w:val="00C61657"/>
    <w:rsid w:val="00C6184B"/>
    <w:rsid w:val="00C61861"/>
    <w:rsid w:val="00C61A9B"/>
    <w:rsid w:val="00C61C5E"/>
    <w:rsid w:val="00C61DAD"/>
    <w:rsid w:val="00C620B4"/>
    <w:rsid w:val="00C623FF"/>
    <w:rsid w:val="00C62436"/>
    <w:rsid w:val="00C62FA0"/>
    <w:rsid w:val="00C6360A"/>
    <w:rsid w:val="00C63902"/>
    <w:rsid w:val="00C63A2A"/>
    <w:rsid w:val="00C63CFF"/>
    <w:rsid w:val="00C64166"/>
    <w:rsid w:val="00C641EC"/>
    <w:rsid w:val="00C641FF"/>
    <w:rsid w:val="00C64660"/>
    <w:rsid w:val="00C648A2"/>
    <w:rsid w:val="00C648E7"/>
    <w:rsid w:val="00C64BC7"/>
    <w:rsid w:val="00C6544B"/>
    <w:rsid w:val="00C65815"/>
    <w:rsid w:val="00C65A8E"/>
    <w:rsid w:val="00C65BEB"/>
    <w:rsid w:val="00C65EB7"/>
    <w:rsid w:val="00C66479"/>
    <w:rsid w:val="00C66522"/>
    <w:rsid w:val="00C6685B"/>
    <w:rsid w:val="00C66A64"/>
    <w:rsid w:val="00C66B38"/>
    <w:rsid w:val="00C66C39"/>
    <w:rsid w:val="00C67108"/>
    <w:rsid w:val="00C67178"/>
    <w:rsid w:val="00C672DE"/>
    <w:rsid w:val="00C67591"/>
    <w:rsid w:val="00C67A55"/>
    <w:rsid w:val="00C67C77"/>
    <w:rsid w:val="00C67FFE"/>
    <w:rsid w:val="00C707F3"/>
    <w:rsid w:val="00C70D25"/>
    <w:rsid w:val="00C710D8"/>
    <w:rsid w:val="00C713FE"/>
    <w:rsid w:val="00C71E76"/>
    <w:rsid w:val="00C71FB0"/>
    <w:rsid w:val="00C720A3"/>
    <w:rsid w:val="00C72353"/>
    <w:rsid w:val="00C723E6"/>
    <w:rsid w:val="00C72903"/>
    <w:rsid w:val="00C72A9A"/>
    <w:rsid w:val="00C72AFA"/>
    <w:rsid w:val="00C72B70"/>
    <w:rsid w:val="00C72B76"/>
    <w:rsid w:val="00C72BFB"/>
    <w:rsid w:val="00C72EA0"/>
    <w:rsid w:val="00C736DC"/>
    <w:rsid w:val="00C73A76"/>
    <w:rsid w:val="00C7436B"/>
    <w:rsid w:val="00C743E9"/>
    <w:rsid w:val="00C7441B"/>
    <w:rsid w:val="00C747D8"/>
    <w:rsid w:val="00C74CEF"/>
    <w:rsid w:val="00C75450"/>
    <w:rsid w:val="00C754D8"/>
    <w:rsid w:val="00C7562F"/>
    <w:rsid w:val="00C75782"/>
    <w:rsid w:val="00C7586C"/>
    <w:rsid w:val="00C75A83"/>
    <w:rsid w:val="00C75B22"/>
    <w:rsid w:val="00C75B63"/>
    <w:rsid w:val="00C75B64"/>
    <w:rsid w:val="00C75F42"/>
    <w:rsid w:val="00C75FBB"/>
    <w:rsid w:val="00C7642F"/>
    <w:rsid w:val="00C76BE0"/>
    <w:rsid w:val="00C76CAA"/>
    <w:rsid w:val="00C76D3A"/>
    <w:rsid w:val="00C76E59"/>
    <w:rsid w:val="00C77198"/>
    <w:rsid w:val="00C77596"/>
    <w:rsid w:val="00C776A4"/>
    <w:rsid w:val="00C77BD6"/>
    <w:rsid w:val="00C804B2"/>
    <w:rsid w:val="00C80517"/>
    <w:rsid w:val="00C808FD"/>
    <w:rsid w:val="00C8115A"/>
    <w:rsid w:val="00C815E8"/>
    <w:rsid w:val="00C81877"/>
    <w:rsid w:val="00C81DBA"/>
    <w:rsid w:val="00C81FE0"/>
    <w:rsid w:val="00C82050"/>
    <w:rsid w:val="00C82132"/>
    <w:rsid w:val="00C8213A"/>
    <w:rsid w:val="00C821D9"/>
    <w:rsid w:val="00C82910"/>
    <w:rsid w:val="00C82D8E"/>
    <w:rsid w:val="00C82FE6"/>
    <w:rsid w:val="00C83577"/>
    <w:rsid w:val="00C83E76"/>
    <w:rsid w:val="00C840AA"/>
    <w:rsid w:val="00C8458F"/>
    <w:rsid w:val="00C84717"/>
    <w:rsid w:val="00C8483C"/>
    <w:rsid w:val="00C848CC"/>
    <w:rsid w:val="00C84B73"/>
    <w:rsid w:val="00C84F92"/>
    <w:rsid w:val="00C85873"/>
    <w:rsid w:val="00C85879"/>
    <w:rsid w:val="00C858A3"/>
    <w:rsid w:val="00C85C74"/>
    <w:rsid w:val="00C85D9E"/>
    <w:rsid w:val="00C85F1A"/>
    <w:rsid w:val="00C86127"/>
    <w:rsid w:val="00C866EE"/>
    <w:rsid w:val="00C86783"/>
    <w:rsid w:val="00C86C48"/>
    <w:rsid w:val="00C86D91"/>
    <w:rsid w:val="00C87397"/>
    <w:rsid w:val="00C87D47"/>
    <w:rsid w:val="00C900D1"/>
    <w:rsid w:val="00C90671"/>
    <w:rsid w:val="00C90998"/>
    <w:rsid w:val="00C90B89"/>
    <w:rsid w:val="00C90D6E"/>
    <w:rsid w:val="00C90E61"/>
    <w:rsid w:val="00C90EBB"/>
    <w:rsid w:val="00C910FD"/>
    <w:rsid w:val="00C91857"/>
    <w:rsid w:val="00C918D0"/>
    <w:rsid w:val="00C91B0A"/>
    <w:rsid w:val="00C91BB8"/>
    <w:rsid w:val="00C91E28"/>
    <w:rsid w:val="00C91EDC"/>
    <w:rsid w:val="00C91FE2"/>
    <w:rsid w:val="00C92003"/>
    <w:rsid w:val="00C9276A"/>
    <w:rsid w:val="00C92C8E"/>
    <w:rsid w:val="00C9342F"/>
    <w:rsid w:val="00C938A9"/>
    <w:rsid w:val="00C938EC"/>
    <w:rsid w:val="00C93B7C"/>
    <w:rsid w:val="00C93C5C"/>
    <w:rsid w:val="00C93E06"/>
    <w:rsid w:val="00C93E71"/>
    <w:rsid w:val="00C941B0"/>
    <w:rsid w:val="00C947BE"/>
    <w:rsid w:val="00C949CC"/>
    <w:rsid w:val="00C956A9"/>
    <w:rsid w:val="00C959E5"/>
    <w:rsid w:val="00C95A5E"/>
    <w:rsid w:val="00C95A86"/>
    <w:rsid w:val="00C95B1F"/>
    <w:rsid w:val="00C95D25"/>
    <w:rsid w:val="00C96105"/>
    <w:rsid w:val="00C96146"/>
    <w:rsid w:val="00C96369"/>
    <w:rsid w:val="00C965BF"/>
    <w:rsid w:val="00C96826"/>
    <w:rsid w:val="00C96894"/>
    <w:rsid w:val="00C96B88"/>
    <w:rsid w:val="00C96E5E"/>
    <w:rsid w:val="00C97158"/>
    <w:rsid w:val="00CA07E7"/>
    <w:rsid w:val="00CA0AE4"/>
    <w:rsid w:val="00CA10F1"/>
    <w:rsid w:val="00CA118E"/>
    <w:rsid w:val="00CA1216"/>
    <w:rsid w:val="00CA1553"/>
    <w:rsid w:val="00CA1A4E"/>
    <w:rsid w:val="00CA1E18"/>
    <w:rsid w:val="00CA2160"/>
    <w:rsid w:val="00CA216D"/>
    <w:rsid w:val="00CA218B"/>
    <w:rsid w:val="00CA21D9"/>
    <w:rsid w:val="00CA2697"/>
    <w:rsid w:val="00CA2D8B"/>
    <w:rsid w:val="00CA2DA4"/>
    <w:rsid w:val="00CA3265"/>
    <w:rsid w:val="00CA3387"/>
    <w:rsid w:val="00CA36F2"/>
    <w:rsid w:val="00CA3C1D"/>
    <w:rsid w:val="00CA3F0E"/>
    <w:rsid w:val="00CA423A"/>
    <w:rsid w:val="00CA49C5"/>
    <w:rsid w:val="00CA4A23"/>
    <w:rsid w:val="00CA4B6F"/>
    <w:rsid w:val="00CA4F2D"/>
    <w:rsid w:val="00CA632E"/>
    <w:rsid w:val="00CA63BB"/>
    <w:rsid w:val="00CA64DD"/>
    <w:rsid w:val="00CA6C9F"/>
    <w:rsid w:val="00CA6D15"/>
    <w:rsid w:val="00CA6D26"/>
    <w:rsid w:val="00CA7288"/>
    <w:rsid w:val="00CA75FB"/>
    <w:rsid w:val="00CA773F"/>
    <w:rsid w:val="00CA7C81"/>
    <w:rsid w:val="00CB0048"/>
    <w:rsid w:val="00CB0473"/>
    <w:rsid w:val="00CB05E3"/>
    <w:rsid w:val="00CB0A33"/>
    <w:rsid w:val="00CB0DFB"/>
    <w:rsid w:val="00CB0EAB"/>
    <w:rsid w:val="00CB1363"/>
    <w:rsid w:val="00CB150E"/>
    <w:rsid w:val="00CB1BE8"/>
    <w:rsid w:val="00CB1E01"/>
    <w:rsid w:val="00CB1F9C"/>
    <w:rsid w:val="00CB20F1"/>
    <w:rsid w:val="00CB22A0"/>
    <w:rsid w:val="00CB23B5"/>
    <w:rsid w:val="00CB24E0"/>
    <w:rsid w:val="00CB259B"/>
    <w:rsid w:val="00CB2894"/>
    <w:rsid w:val="00CB2C3D"/>
    <w:rsid w:val="00CB2C79"/>
    <w:rsid w:val="00CB2E0C"/>
    <w:rsid w:val="00CB319A"/>
    <w:rsid w:val="00CB3550"/>
    <w:rsid w:val="00CB392C"/>
    <w:rsid w:val="00CB39A9"/>
    <w:rsid w:val="00CB39EB"/>
    <w:rsid w:val="00CB4678"/>
    <w:rsid w:val="00CB498E"/>
    <w:rsid w:val="00CB4BD3"/>
    <w:rsid w:val="00CB4E9F"/>
    <w:rsid w:val="00CB4ECA"/>
    <w:rsid w:val="00CB4F58"/>
    <w:rsid w:val="00CB5071"/>
    <w:rsid w:val="00CB5200"/>
    <w:rsid w:val="00CB5734"/>
    <w:rsid w:val="00CB5875"/>
    <w:rsid w:val="00CB5B77"/>
    <w:rsid w:val="00CB5DA6"/>
    <w:rsid w:val="00CB5FA2"/>
    <w:rsid w:val="00CB60E1"/>
    <w:rsid w:val="00CB62BC"/>
    <w:rsid w:val="00CB6504"/>
    <w:rsid w:val="00CB6545"/>
    <w:rsid w:val="00CB658F"/>
    <w:rsid w:val="00CB6714"/>
    <w:rsid w:val="00CB6B72"/>
    <w:rsid w:val="00CB6D79"/>
    <w:rsid w:val="00CB74DA"/>
    <w:rsid w:val="00CB7702"/>
    <w:rsid w:val="00CB770C"/>
    <w:rsid w:val="00CB7BB2"/>
    <w:rsid w:val="00CC002D"/>
    <w:rsid w:val="00CC0139"/>
    <w:rsid w:val="00CC01CA"/>
    <w:rsid w:val="00CC01DD"/>
    <w:rsid w:val="00CC0249"/>
    <w:rsid w:val="00CC0402"/>
    <w:rsid w:val="00CC0489"/>
    <w:rsid w:val="00CC0B43"/>
    <w:rsid w:val="00CC0E60"/>
    <w:rsid w:val="00CC0FA1"/>
    <w:rsid w:val="00CC1126"/>
    <w:rsid w:val="00CC1C1B"/>
    <w:rsid w:val="00CC20E1"/>
    <w:rsid w:val="00CC2241"/>
    <w:rsid w:val="00CC23C4"/>
    <w:rsid w:val="00CC23E2"/>
    <w:rsid w:val="00CC252A"/>
    <w:rsid w:val="00CC28AA"/>
    <w:rsid w:val="00CC2915"/>
    <w:rsid w:val="00CC2931"/>
    <w:rsid w:val="00CC2A2C"/>
    <w:rsid w:val="00CC2C26"/>
    <w:rsid w:val="00CC2D32"/>
    <w:rsid w:val="00CC2FD9"/>
    <w:rsid w:val="00CC3AB0"/>
    <w:rsid w:val="00CC3C39"/>
    <w:rsid w:val="00CC4405"/>
    <w:rsid w:val="00CC4561"/>
    <w:rsid w:val="00CC49F9"/>
    <w:rsid w:val="00CC4BCA"/>
    <w:rsid w:val="00CC51A2"/>
    <w:rsid w:val="00CC51AB"/>
    <w:rsid w:val="00CC51B1"/>
    <w:rsid w:val="00CC5445"/>
    <w:rsid w:val="00CC5823"/>
    <w:rsid w:val="00CC5C40"/>
    <w:rsid w:val="00CC5C8B"/>
    <w:rsid w:val="00CC5D62"/>
    <w:rsid w:val="00CC60CA"/>
    <w:rsid w:val="00CC612A"/>
    <w:rsid w:val="00CC62E3"/>
    <w:rsid w:val="00CC6541"/>
    <w:rsid w:val="00CC6577"/>
    <w:rsid w:val="00CC6F3A"/>
    <w:rsid w:val="00CC6FEF"/>
    <w:rsid w:val="00CC748F"/>
    <w:rsid w:val="00CC7B18"/>
    <w:rsid w:val="00CC7CBD"/>
    <w:rsid w:val="00CC7FAC"/>
    <w:rsid w:val="00CD009B"/>
    <w:rsid w:val="00CD0547"/>
    <w:rsid w:val="00CD09ED"/>
    <w:rsid w:val="00CD0D3D"/>
    <w:rsid w:val="00CD1732"/>
    <w:rsid w:val="00CD1A40"/>
    <w:rsid w:val="00CD1A56"/>
    <w:rsid w:val="00CD1C99"/>
    <w:rsid w:val="00CD1CC3"/>
    <w:rsid w:val="00CD1CEF"/>
    <w:rsid w:val="00CD1ED5"/>
    <w:rsid w:val="00CD28A4"/>
    <w:rsid w:val="00CD2AB3"/>
    <w:rsid w:val="00CD2BC0"/>
    <w:rsid w:val="00CD2F23"/>
    <w:rsid w:val="00CD31C6"/>
    <w:rsid w:val="00CD324D"/>
    <w:rsid w:val="00CD3468"/>
    <w:rsid w:val="00CD353F"/>
    <w:rsid w:val="00CD4313"/>
    <w:rsid w:val="00CD43DE"/>
    <w:rsid w:val="00CD4704"/>
    <w:rsid w:val="00CD472B"/>
    <w:rsid w:val="00CD4761"/>
    <w:rsid w:val="00CD4924"/>
    <w:rsid w:val="00CD4C4A"/>
    <w:rsid w:val="00CD4CEF"/>
    <w:rsid w:val="00CD4DEA"/>
    <w:rsid w:val="00CD5020"/>
    <w:rsid w:val="00CD50DB"/>
    <w:rsid w:val="00CD52F5"/>
    <w:rsid w:val="00CD5C4A"/>
    <w:rsid w:val="00CD5F67"/>
    <w:rsid w:val="00CD5F9C"/>
    <w:rsid w:val="00CD6D98"/>
    <w:rsid w:val="00CD7360"/>
    <w:rsid w:val="00CD7376"/>
    <w:rsid w:val="00CD74CE"/>
    <w:rsid w:val="00CD74F6"/>
    <w:rsid w:val="00CD7566"/>
    <w:rsid w:val="00CD7B2E"/>
    <w:rsid w:val="00CD7BDD"/>
    <w:rsid w:val="00CD7C5A"/>
    <w:rsid w:val="00CE032E"/>
    <w:rsid w:val="00CE0414"/>
    <w:rsid w:val="00CE047F"/>
    <w:rsid w:val="00CE05BA"/>
    <w:rsid w:val="00CE0623"/>
    <w:rsid w:val="00CE0895"/>
    <w:rsid w:val="00CE0BF8"/>
    <w:rsid w:val="00CE0DEB"/>
    <w:rsid w:val="00CE0E51"/>
    <w:rsid w:val="00CE0F61"/>
    <w:rsid w:val="00CE11B7"/>
    <w:rsid w:val="00CE1508"/>
    <w:rsid w:val="00CE174E"/>
    <w:rsid w:val="00CE183B"/>
    <w:rsid w:val="00CE200F"/>
    <w:rsid w:val="00CE267A"/>
    <w:rsid w:val="00CE267D"/>
    <w:rsid w:val="00CE28E9"/>
    <w:rsid w:val="00CE2FF5"/>
    <w:rsid w:val="00CE313D"/>
    <w:rsid w:val="00CE3379"/>
    <w:rsid w:val="00CE3649"/>
    <w:rsid w:val="00CE3951"/>
    <w:rsid w:val="00CE39BD"/>
    <w:rsid w:val="00CE3C58"/>
    <w:rsid w:val="00CE4044"/>
    <w:rsid w:val="00CE420A"/>
    <w:rsid w:val="00CE4ACC"/>
    <w:rsid w:val="00CE4AD6"/>
    <w:rsid w:val="00CE4AEB"/>
    <w:rsid w:val="00CE4E6D"/>
    <w:rsid w:val="00CE4F9F"/>
    <w:rsid w:val="00CE5241"/>
    <w:rsid w:val="00CE56D1"/>
    <w:rsid w:val="00CE56F5"/>
    <w:rsid w:val="00CE5D00"/>
    <w:rsid w:val="00CE5E78"/>
    <w:rsid w:val="00CE5F0E"/>
    <w:rsid w:val="00CE5FA2"/>
    <w:rsid w:val="00CE6097"/>
    <w:rsid w:val="00CE60E4"/>
    <w:rsid w:val="00CE64DB"/>
    <w:rsid w:val="00CE67A4"/>
    <w:rsid w:val="00CE68B4"/>
    <w:rsid w:val="00CE69B6"/>
    <w:rsid w:val="00CE6A1B"/>
    <w:rsid w:val="00CE6B59"/>
    <w:rsid w:val="00CE6F27"/>
    <w:rsid w:val="00CE6FE9"/>
    <w:rsid w:val="00CE7112"/>
    <w:rsid w:val="00CE7248"/>
    <w:rsid w:val="00CE7A91"/>
    <w:rsid w:val="00CE7FFE"/>
    <w:rsid w:val="00CF008B"/>
    <w:rsid w:val="00CF0456"/>
    <w:rsid w:val="00CF0466"/>
    <w:rsid w:val="00CF0479"/>
    <w:rsid w:val="00CF0B63"/>
    <w:rsid w:val="00CF0BDC"/>
    <w:rsid w:val="00CF0D90"/>
    <w:rsid w:val="00CF0F3F"/>
    <w:rsid w:val="00CF12D5"/>
    <w:rsid w:val="00CF1405"/>
    <w:rsid w:val="00CF14D0"/>
    <w:rsid w:val="00CF160B"/>
    <w:rsid w:val="00CF1C0F"/>
    <w:rsid w:val="00CF1D50"/>
    <w:rsid w:val="00CF1DE3"/>
    <w:rsid w:val="00CF22B4"/>
    <w:rsid w:val="00CF24FA"/>
    <w:rsid w:val="00CF2583"/>
    <w:rsid w:val="00CF26B8"/>
    <w:rsid w:val="00CF26ED"/>
    <w:rsid w:val="00CF27B5"/>
    <w:rsid w:val="00CF2C10"/>
    <w:rsid w:val="00CF2D47"/>
    <w:rsid w:val="00CF2DAD"/>
    <w:rsid w:val="00CF2E94"/>
    <w:rsid w:val="00CF3010"/>
    <w:rsid w:val="00CF306F"/>
    <w:rsid w:val="00CF3867"/>
    <w:rsid w:val="00CF4424"/>
    <w:rsid w:val="00CF4606"/>
    <w:rsid w:val="00CF4838"/>
    <w:rsid w:val="00CF4A0E"/>
    <w:rsid w:val="00CF4A2C"/>
    <w:rsid w:val="00CF4A94"/>
    <w:rsid w:val="00CF4B7A"/>
    <w:rsid w:val="00CF4D21"/>
    <w:rsid w:val="00CF4FFE"/>
    <w:rsid w:val="00CF523E"/>
    <w:rsid w:val="00CF5331"/>
    <w:rsid w:val="00CF5A20"/>
    <w:rsid w:val="00CF5BB7"/>
    <w:rsid w:val="00CF6B82"/>
    <w:rsid w:val="00CF6C03"/>
    <w:rsid w:val="00CF6C83"/>
    <w:rsid w:val="00CF6EFB"/>
    <w:rsid w:val="00CF6F17"/>
    <w:rsid w:val="00CF7419"/>
    <w:rsid w:val="00CF7B11"/>
    <w:rsid w:val="00CF7C1D"/>
    <w:rsid w:val="00CF7D61"/>
    <w:rsid w:val="00D000E8"/>
    <w:rsid w:val="00D001B7"/>
    <w:rsid w:val="00D0045E"/>
    <w:rsid w:val="00D0078E"/>
    <w:rsid w:val="00D00909"/>
    <w:rsid w:val="00D00BD6"/>
    <w:rsid w:val="00D00C74"/>
    <w:rsid w:val="00D00CBC"/>
    <w:rsid w:val="00D00D8E"/>
    <w:rsid w:val="00D00F26"/>
    <w:rsid w:val="00D01041"/>
    <w:rsid w:val="00D01170"/>
    <w:rsid w:val="00D011F3"/>
    <w:rsid w:val="00D01296"/>
    <w:rsid w:val="00D01333"/>
    <w:rsid w:val="00D013F7"/>
    <w:rsid w:val="00D01B63"/>
    <w:rsid w:val="00D01FA5"/>
    <w:rsid w:val="00D01FDD"/>
    <w:rsid w:val="00D01FE3"/>
    <w:rsid w:val="00D0242D"/>
    <w:rsid w:val="00D02557"/>
    <w:rsid w:val="00D02AEE"/>
    <w:rsid w:val="00D02D88"/>
    <w:rsid w:val="00D02E9C"/>
    <w:rsid w:val="00D030E6"/>
    <w:rsid w:val="00D031E5"/>
    <w:rsid w:val="00D03242"/>
    <w:rsid w:val="00D03269"/>
    <w:rsid w:val="00D032B3"/>
    <w:rsid w:val="00D033DB"/>
    <w:rsid w:val="00D03447"/>
    <w:rsid w:val="00D036A5"/>
    <w:rsid w:val="00D03860"/>
    <w:rsid w:val="00D03A33"/>
    <w:rsid w:val="00D03A7B"/>
    <w:rsid w:val="00D03C71"/>
    <w:rsid w:val="00D03D34"/>
    <w:rsid w:val="00D03F0D"/>
    <w:rsid w:val="00D04121"/>
    <w:rsid w:val="00D045EE"/>
    <w:rsid w:val="00D052C4"/>
    <w:rsid w:val="00D0581E"/>
    <w:rsid w:val="00D05892"/>
    <w:rsid w:val="00D0596D"/>
    <w:rsid w:val="00D05A9D"/>
    <w:rsid w:val="00D05D64"/>
    <w:rsid w:val="00D06125"/>
    <w:rsid w:val="00D064E7"/>
    <w:rsid w:val="00D06503"/>
    <w:rsid w:val="00D065ED"/>
    <w:rsid w:val="00D06D02"/>
    <w:rsid w:val="00D0704A"/>
    <w:rsid w:val="00D07210"/>
    <w:rsid w:val="00D073FD"/>
    <w:rsid w:val="00D07452"/>
    <w:rsid w:val="00D07A20"/>
    <w:rsid w:val="00D07B2F"/>
    <w:rsid w:val="00D07CED"/>
    <w:rsid w:val="00D07E1A"/>
    <w:rsid w:val="00D07EB9"/>
    <w:rsid w:val="00D1016C"/>
    <w:rsid w:val="00D102AB"/>
    <w:rsid w:val="00D1054D"/>
    <w:rsid w:val="00D107DC"/>
    <w:rsid w:val="00D10B3C"/>
    <w:rsid w:val="00D10D5D"/>
    <w:rsid w:val="00D10E26"/>
    <w:rsid w:val="00D110F2"/>
    <w:rsid w:val="00D111B0"/>
    <w:rsid w:val="00D11585"/>
    <w:rsid w:val="00D1193C"/>
    <w:rsid w:val="00D121BB"/>
    <w:rsid w:val="00D122F6"/>
    <w:rsid w:val="00D1260D"/>
    <w:rsid w:val="00D1276E"/>
    <w:rsid w:val="00D12AF0"/>
    <w:rsid w:val="00D12BAC"/>
    <w:rsid w:val="00D1388A"/>
    <w:rsid w:val="00D1394B"/>
    <w:rsid w:val="00D13999"/>
    <w:rsid w:val="00D13DB1"/>
    <w:rsid w:val="00D13FAA"/>
    <w:rsid w:val="00D14307"/>
    <w:rsid w:val="00D145E3"/>
    <w:rsid w:val="00D14C79"/>
    <w:rsid w:val="00D14CB1"/>
    <w:rsid w:val="00D14D6D"/>
    <w:rsid w:val="00D15253"/>
    <w:rsid w:val="00D15851"/>
    <w:rsid w:val="00D159A5"/>
    <w:rsid w:val="00D16441"/>
    <w:rsid w:val="00D165B5"/>
    <w:rsid w:val="00D16690"/>
    <w:rsid w:val="00D1672C"/>
    <w:rsid w:val="00D16920"/>
    <w:rsid w:val="00D16A0E"/>
    <w:rsid w:val="00D16EC7"/>
    <w:rsid w:val="00D16F70"/>
    <w:rsid w:val="00D17275"/>
    <w:rsid w:val="00D176B5"/>
    <w:rsid w:val="00D17CC9"/>
    <w:rsid w:val="00D17DE5"/>
    <w:rsid w:val="00D17FE4"/>
    <w:rsid w:val="00D20030"/>
    <w:rsid w:val="00D20090"/>
    <w:rsid w:val="00D200FF"/>
    <w:rsid w:val="00D20638"/>
    <w:rsid w:val="00D2070C"/>
    <w:rsid w:val="00D207B8"/>
    <w:rsid w:val="00D20C50"/>
    <w:rsid w:val="00D21037"/>
    <w:rsid w:val="00D21083"/>
    <w:rsid w:val="00D210AB"/>
    <w:rsid w:val="00D21285"/>
    <w:rsid w:val="00D21604"/>
    <w:rsid w:val="00D21EC4"/>
    <w:rsid w:val="00D22039"/>
    <w:rsid w:val="00D2252C"/>
    <w:rsid w:val="00D2259A"/>
    <w:rsid w:val="00D225F9"/>
    <w:rsid w:val="00D227EF"/>
    <w:rsid w:val="00D22E3F"/>
    <w:rsid w:val="00D23058"/>
    <w:rsid w:val="00D2318C"/>
    <w:rsid w:val="00D23631"/>
    <w:rsid w:val="00D236A3"/>
    <w:rsid w:val="00D23835"/>
    <w:rsid w:val="00D23886"/>
    <w:rsid w:val="00D23996"/>
    <w:rsid w:val="00D239DB"/>
    <w:rsid w:val="00D23D3A"/>
    <w:rsid w:val="00D24501"/>
    <w:rsid w:val="00D24584"/>
    <w:rsid w:val="00D24CDD"/>
    <w:rsid w:val="00D24D84"/>
    <w:rsid w:val="00D25028"/>
    <w:rsid w:val="00D250A7"/>
    <w:rsid w:val="00D2575B"/>
    <w:rsid w:val="00D25857"/>
    <w:rsid w:val="00D259AF"/>
    <w:rsid w:val="00D25B75"/>
    <w:rsid w:val="00D25DCB"/>
    <w:rsid w:val="00D262FC"/>
    <w:rsid w:val="00D2631B"/>
    <w:rsid w:val="00D264A8"/>
    <w:rsid w:val="00D26589"/>
    <w:rsid w:val="00D2681B"/>
    <w:rsid w:val="00D26A07"/>
    <w:rsid w:val="00D26BA9"/>
    <w:rsid w:val="00D26C79"/>
    <w:rsid w:val="00D26DEB"/>
    <w:rsid w:val="00D26EE8"/>
    <w:rsid w:val="00D274C2"/>
    <w:rsid w:val="00D2797F"/>
    <w:rsid w:val="00D27A64"/>
    <w:rsid w:val="00D27F86"/>
    <w:rsid w:val="00D300DD"/>
    <w:rsid w:val="00D30538"/>
    <w:rsid w:val="00D307E3"/>
    <w:rsid w:val="00D30AFB"/>
    <w:rsid w:val="00D31430"/>
    <w:rsid w:val="00D31694"/>
    <w:rsid w:val="00D3192A"/>
    <w:rsid w:val="00D31A05"/>
    <w:rsid w:val="00D31A75"/>
    <w:rsid w:val="00D31B1C"/>
    <w:rsid w:val="00D31BC2"/>
    <w:rsid w:val="00D31C50"/>
    <w:rsid w:val="00D31D37"/>
    <w:rsid w:val="00D322C3"/>
    <w:rsid w:val="00D323EB"/>
    <w:rsid w:val="00D324DB"/>
    <w:rsid w:val="00D3263F"/>
    <w:rsid w:val="00D328AD"/>
    <w:rsid w:val="00D331C5"/>
    <w:rsid w:val="00D33267"/>
    <w:rsid w:val="00D33271"/>
    <w:rsid w:val="00D3375D"/>
    <w:rsid w:val="00D3383F"/>
    <w:rsid w:val="00D33C11"/>
    <w:rsid w:val="00D33F44"/>
    <w:rsid w:val="00D3402B"/>
    <w:rsid w:val="00D342AE"/>
    <w:rsid w:val="00D34A18"/>
    <w:rsid w:val="00D34B0E"/>
    <w:rsid w:val="00D34BD9"/>
    <w:rsid w:val="00D34D6B"/>
    <w:rsid w:val="00D34F1C"/>
    <w:rsid w:val="00D353A0"/>
    <w:rsid w:val="00D353CF"/>
    <w:rsid w:val="00D35B92"/>
    <w:rsid w:val="00D35E20"/>
    <w:rsid w:val="00D35F6F"/>
    <w:rsid w:val="00D35FF2"/>
    <w:rsid w:val="00D36119"/>
    <w:rsid w:val="00D36372"/>
    <w:rsid w:val="00D3733D"/>
    <w:rsid w:val="00D374AB"/>
    <w:rsid w:val="00D37563"/>
    <w:rsid w:val="00D37706"/>
    <w:rsid w:val="00D405B7"/>
    <w:rsid w:val="00D40C53"/>
    <w:rsid w:val="00D40D2F"/>
    <w:rsid w:val="00D411B1"/>
    <w:rsid w:val="00D41516"/>
    <w:rsid w:val="00D418F0"/>
    <w:rsid w:val="00D419C4"/>
    <w:rsid w:val="00D41D4F"/>
    <w:rsid w:val="00D42047"/>
    <w:rsid w:val="00D42119"/>
    <w:rsid w:val="00D42189"/>
    <w:rsid w:val="00D423B2"/>
    <w:rsid w:val="00D423C9"/>
    <w:rsid w:val="00D425F6"/>
    <w:rsid w:val="00D42849"/>
    <w:rsid w:val="00D42B0E"/>
    <w:rsid w:val="00D43069"/>
    <w:rsid w:val="00D432C5"/>
    <w:rsid w:val="00D43405"/>
    <w:rsid w:val="00D4370B"/>
    <w:rsid w:val="00D438FD"/>
    <w:rsid w:val="00D43BB7"/>
    <w:rsid w:val="00D43E86"/>
    <w:rsid w:val="00D440B1"/>
    <w:rsid w:val="00D443D2"/>
    <w:rsid w:val="00D44660"/>
    <w:rsid w:val="00D448E9"/>
    <w:rsid w:val="00D44C33"/>
    <w:rsid w:val="00D44C6D"/>
    <w:rsid w:val="00D44D45"/>
    <w:rsid w:val="00D44F95"/>
    <w:rsid w:val="00D450C2"/>
    <w:rsid w:val="00D455D2"/>
    <w:rsid w:val="00D460A2"/>
    <w:rsid w:val="00D46A6D"/>
    <w:rsid w:val="00D47220"/>
    <w:rsid w:val="00D4746F"/>
    <w:rsid w:val="00D474AA"/>
    <w:rsid w:val="00D47902"/>
    <w:rsid w:val="00D47A50"/>
    <w:rsid w:val="00D47AC5"/>
    <w:rsid w:val="00D47BA1"/>
    <w:rsid w:val="00D47BD4"/>
    <w:rsid w:val="00D47CA5"/>
    <w:rsid w:val="00D47F6F"/>
    <w:rsid w:val="00D502AA"/>
    <w:rsid w:val="00D50575"/>
    <w:rsid w:val="00D50AFA"/>
    <w:rsid w:val="00D50CAF"/>
    <w:rsid w:val="00D50DF4"/>
    <w:rsid w:val="00D51650"/>
    <w:rsid w:val="00D51B9B"/>
    <w:rsid w:val="00D51C7E"/>
    <w:rsid w:val="00D51FD0"/>
    <w:rsid w:val="00D5226A"/>
    <w:rsid w:val="00D5249B"/>
    <w:rsid w:val="00D52538"/>
    <w:rsid w:val="00D52677"/>
    <w:rsid w:val="00D526AD"/>
    <w:rsid w:val="00D52773"/>
    <w:rsid w:val="00D52A4A"/>
    <w:rsid w:val="00D52E0A"/>
    <w:rsid w:val="00D5330F"/>
    <w:rsid w:val="00D53524"/>
    <w:rsid w:val="00D5368C"/>
    <w:rsid w:val="00D539B7"/>
    <w:rsid w:val="00D540D0"/>
    <w:rsid w:val="00D54147"/>
    <w:rsid w:val="00D544E8"/>
    <w:rsid w:val="00D547F6"/>
    <w:rsid w:val="00D5483D"/>
    <w:rsid w:val="00D54A68"/>
    <w:rsid w:val="00D54AF9"/>
    <w:rsid w:val="00D54B42"/>
    <w:rsid w:val="00D54CCE"/>
    <w:rsid w:val="00D54F93"/>
    <w:rsid w:val="00D56051"/>
    <w:rsid w:val="00D56070"/>
    <w:rsid w:val="00D561D7"/>
    <w:rsid w:val="00D56219"/>
    <w:rsid w:val="00D56D0B"/>
    <w:rsid w:val="00D56F06"/>
    <w:rsid w:val="00D5761A"/>
    <w:rsid w:val="00D5796E"/>
    <w:rsid w:val="00D57EDD"/>
    <w:rsid w:val="00D57FC8"/>
    <w:rsid w:val="00D600AC"/>
    <w:rsid w:val="00D607EF"/>
    <w:rsid w:val="00D608DC"/>
    <w:rsid w:val="00D6093F"/>
    <w:rsid w:val="00D60B14"/>
    <w:rsid w:val="00D60BF7"/>
    <w:rsid w:val="00D60D3E"/>
    <w:rsid w:val="00D60FC2"/>
    <w:rsid w:val="00D61130"/>
    <w:rsid w:val="00D61178"/>
    <w:rsid w:val="00D614CD"/>
    <w:rsid w:val="00D61654"/>
    <w:rsid w:val="00D6181F"/>
    <w:rsid w:val="00D61AF0"/>
    <w:rsid w:val="00D61DFC"/>
    <w:rsid w:val="00D62322"/>
    <w:rsid w:val="00D626EB"/>
    <w:rsid w:val="00D6287B"/>
    <w:rsid w:val="00D629CA"/>
    <w:rsid w:val="00D62F74"/>
    <w:rsid w:val="00D632B0"/>
    <w:rsid w:val="00D632E4"/>
    <w:rsid w:val="00D63373"/>
    <w:rsid w:val="00D634B7"/>
    <w:rsid w:val="00D636D1"/>
    <w:rsid w:val="00D63CEF"/>
    <w:rsid w:val="00D63DEA"/>
    <w:rsid w:val="00D64A2A"/>
    <w:rsid w:val="00D65228"/>
    <w:rsid w:val="00D65424"/>
    <w:rsid w:val="00D65494"/>
    <w:rsid w:val="00D6551C"/>
    <w:rsid w:val="00D655E7"/>
    <w:rsid w:val="00D65649"/>
    <w:rsid w:val="00D659E2"/>
    <w:rsid w:val="00D65D4E"/>
    <w:rsid w:val="00D65E30"/>
    <w:rsid w:val="00D66A7A"/>
    <w:rsid w:val="00D66B6F"/>
    <w:rsid w:val="00D66B95"/>
    <w:rsid w:val="00D67526"/>
    <w:rsid w:val="00D67A1B"/>
    <w:rsid w:val="00D67DC0"/>
    <w:rsid w:val="00D67E47"/>
    <w:rsid w:val="00D67F31"/>
    <w:rsid w:val="00D7068A"/>
    <w:rsid w:val="00D706B4"/>
    <w:rsid w:val="00D7093D"/>
    <w:rsid w:val="00D70969"/>
    <w:rsid w:val="00D70FFC"/>
    <w:rsid w:val="00D71001"/>
    <w:rsid w:val="00D7192C"/>
    <w:rsid w:val="00D71AFA"/>
    <w:rsid w:val="00D71BC0"/>
    <w:rsid w:val="00D71C8E"/>
    <w:rsid w:val="00D71EA0"/>
    <w:rsid w:val="00D71F04"/>
    <w:rsid w:val="00D7203B"/>
    <w:rsid w:val="00D727A7"/>
    <w:rsid w:val="00D72AC3"/>
    <w:rsid w:val="00D730C7"/>
    <w:rsid w:val="00D7318F"/>
    <w:rsid w:val="00D732B0"/>
    <w:rsid w:val="00D73466"/>
    <w:rsid w:val="00D73671"/>
    <w:rsid w:val="00D73AA7"/>
    <w:rsid w:val="00D742C4"/>
    <w:rsid w:val="00D74B96"/>
    <w:rsid w:val="00D74F1E"/>
    <w:rsid w:val="00D7505C"/>
    <w:rsid w:val="00D7555D"/>
    <w:rsid w:val="00D75D96"/>
    <w:rsid w:val="00D7627B"/>
    <w:rsid w:val="00D763A9"/>
    <w:rsid w:val="00D7653A"/>
    <w:rsid w:val="00D765F0"/>
    <w:rsid w:val="00D769FD"/>
    <w:rsid w:val="00D76C97"/>
    <w:rsid w:val="00D77518"/>
    <w:rsid w:val="00D77C6D"/>
    <w:rsid w:val="00D77D3A"/>
    <w:rsid w:val="00D77EC8"/>
    <w:rsid w:val="00D803D4"/>
    <w:rsid w:val="00D80463"/>
    <w:rsid w:val="00D80E4A"/>
    <w:rsid w:val="00D80F7F"/>
    <w:rsid w:val="00D81286"/>
    <w:rsid w:val="00D813A0"/>
    <w:rsid w:val="00D815E0"/>
    <w:rsid w:val="00D81734"/>
    <w:rsid w:val="00D817D1"/>
    <w:rsid w:val="00D81A79"/>
    <w:rsid w:val="00D81F53"/>
    <w:rsid w:val="00D81FA0"/>
    <w:rsid w:val="00D81FA9"/>
    <w:rsid w:val="00D82101"/>
    <w:rsid w:val="00D8259B"/>
    <w:rsid w:val="00D82640"/>
    <w:rsid w:val="00D826D6"/>
    <w:rsid w:val="00D83286"/>
    <w:rsid w:val="00D83325"/>
    <w:rsid w:val="00D8377F"/>
    <w:rsid w:val="00D83828"/>
    <w:rsid w:val="00D83996"/>
    <w:rsid w:val="00D83E31"/>
    <w:rsid w:val="00D83FF9"/>
    <w:rsid w:val="00D843BD"/>
    <w:rsid w:val="00D843CD"/>
    <w:rsid w:val="00D84A03"/>
    <w:rsid w:val="00D84F26"/>
    <w:rsid w:val="00D85212"/>
    <w:rsid w:val="00D85B18"/>
    <w:rsid w:val="00D85D1B"/>
    <w:rsid w:val="00D85D62"/>
    <w:rsid w:val="00D86098"/>
    <w:rsid w:val="00D8623F"/>
    <w:rsid w:val="00D86643"/>
    <w:rsid w:val="00D86756"/>
    <w:rsid w:val="00D86787"/>
    <w:rsid w:val="00D867EB"/>
    <w:rsid w:val="00D86CB8"/>
    <w:rsid w:val="00D87937"/>
    <w:rsid w:val="00D879BF"/>
    <w:rsid w:val="00D87A3E"/>
    <w:rsid w:val="00D87E27"/>
    <w:rsid w:val="00D9019A"/>
    <w:rsid w:val="00D904B6"/>
    <w:rsid w:val="00D90503"/>
    <w:rsid w:val="00D90553"/>
    <w:rsid w:val="00D9076C"/>
    <w:rsid w:val="00D908A7"/>
    <w:rsid w:val="00D909DF"/>
    <w:rsid w:val="00D90AC1"/>
    <w:rsid w:val="00D90F7B"/>
    <w:rsid w:val="00D911DB"/>
    <w:rsid w:val="00D918CC"/>
    <w:rsid w:val="00D92364"/>
    <w:rsid w:val="00D92435"/>
    <w:rsid w:val="00D92442"/>
    <w:rsid w:val="00D9250C"/>
    <w:rsid w:val="00D9254C"/>
    <w:rsid w:val="00D9264F"/>
    <w:rsid w:val="00D927E9"/>
    <w:rsid w:val="00D92B1A"/>
    <w:rsid w:val="00D92CE3"/>
    <w:rsid w:val="00D9305A"/>
    <w:rsid w:val="00D930B6"/>
    <w:rsid w:val="00D93123"/>
    <w:rsid w:val="00D932AF"/>
    <w:rsid w:val="00D9339D"/>
    <w:rsid w:val="00D938E4"/>
    <w:rsid w:val="00D938FF"/>
    <w:rsid w:val="00D93C62"/>
    <w:rsid w:val="00D93FBA"/>
    <w:rsid w:val="00D941D5"/>
    <w:rsid w:val="00D94A6C"/>
    <w:rsid w:val="00D94A7B"/>
    <w:rsid w:val="00D95146"/>
    <w:rsid w:val="00D95205"/>
    <w:rsid w:val="00D953FF"/>
    <w:rsid w:val="00D957E0"/>
    <w:rsid w:val="00D959A4"/>
    <w:rsid w:val="00D96780"/>
    <w:rsid w:val="00D967A4"/>
    <w:rsid w:val="00D96935"/>
    <w:rsid w:val="00D969B4"/>
    <w:rsid w:val="00D969F3"/>
    <w:rsid w:val="00D96B51"/>
    <w:rsid w:val="00D97059"/>
    <w:rsid w:val="00D97115"/>
    <w:rsid w:val="00D97626"/>
    <w:rsid w:val="00D97677"/>
    <w:rsid w:val="00D97B95"/>
    <w:rsid w:val="00D97BA2"/>
    <w:rsid w:val="00DA0161"/>
    <w:rsid w:val="00DA030E"/>
    <w:rsid w:val="00DA049C"/>
    <w:rsid w:val="00DA0A24"/>
    <w:rsid w:val="00DA0C43"/>
    <w:rsid w:val="00DA0C6F"/>
    <w:rsid w:val="00DA0F1A"/>
    <w:rsid w:val="00DA14BB"/>
    <w:rsid w:val="00DA1537"/>
    <w:rsid w:val="00DA158D"/>
    <w:rsid w:val="00DA1694"/>
    <w:rsid w:val="00DA1AC1"/>
    <w:rsid w:val="00DA1BA1"/>
    <w:rsid w:val="00DA1D6D"/>
    <w:rsid w:val="00DA209A"/>
    <w:rsid w:val="00DA21D9"/>
    <w:rsid w:val="00DA2205"/>
    <w:rsid w:val="00DA2320"/>
    <w:rsid w:val="00DA2644"/>
    <w:rsid w:val="00DA26DB"/>
    <w:rsid w:val="00DA2784"/>
    <w:rsid w:val="00DA2844"/>
    <w:rsid w:val="00DA2BCE"/>
    <w:rsid w:val="00DA2CA9"/>
    <w:rsid w:val="00DA2F7A"/>
    <w:rsid w:val="00DA322E"/>
    <w:rsid w:val="00DA33E6"/>
    <w:rsid w:val="00DA36C5"/>
    <w:rsid w:val="00DA3A8B"/>
    <w:rsid w:val="00DA3D3C"/>
    <w:rsid w:val="00DA3EF5"/>
    <w:rsid w:val="00DA3FE5"/>
    <w:rsid w:val="00DA4470"/>
    <w:rsid w:val="00DA4471"/>
    <w:rsid w:val="00DA4D57"/>
    <w:rsid w:val="00DA4E0A"/>
    <w:rsid w:val="00DA555A"/>
    <w:rsid w:val="00DA5E2F"/>
    <w:rsid w:val="00DA6A69"/>
    <w:rsid w:val="00DA6C32"/>
    <w:rsid w:val="00DA6CBD"/>
    <w:rsid w:val="00DA6FBF"/>
    <w:rsid w:val="00DA763D"/>
    <w:rsid w:val="00DA7760"/>
    <w:rsid w:val="00DA7C9E"/>
    <w:rsid w:val="00DA7DA4"/>
    <w:rsid w:val="00DB01AE"/>
    <w:rsid w:val="00DB02D4"/>
    <w:rsid w:val="00DB07A5"/>
    <w:rsid w:val="00DB09E8"/>
    <w:rsid w:val="00DB0A22"/>
    <w:rsid w:val="00DB0FDE"/>
    <w:rsid w:val="00DB12A9"/>
    <w:rsid w:val="00DB1BC5"/>
    <w:rsid w:val="00DB21A5"/>
    <w:rsid w:val="00DB21D5"/>
    <w:rsid w:val="00DB23B5"/>
    <w:rsid w:val="00DB2EA2"/>
    <w:rsid w:val="00DB33F2"/>
    <w:rsid w:val="00DB3D17"/>
    <w:rsid w:val="00DB3F1C"/>
    <w:rsid w:val="00DB413F"/>
    <w:rsid w:val="00DB442D"/>
    <w:rsid w:val="00DB4C46"/>
    <w:rsid w:val="00DB54A6"/>
    <w:rsid w:val="00DB58B8"/>
    <w:rsid w:val="00DB5D4A"/>
    <w:rsid w:val="00DB5DC4"/>
    <w:rsid w:val="00DB61EA"/>
    <w:rsid w:val="00DB61F3"/>
    <w:rsid w:val="00DB6642"/>
    <w:rsid w:val="00DB6674"/>
    <w:rsid w:val="00DB66A3"/>
    <w:rsid w:val="00DB696F"/>
    <w:rsid w:val="00DB6B1A"/>
    <w:rsid w:val="00DB6BAE"/>
    <w:rsid w:val="00DB7E28"/>
    <w:rsid w:val="00DC02C9"/>
    <w:rsid w:val="00DC02FA"/>
    <w:rsid w:val="00DC036A"/>
    <w:rsid w:val="00DC03C3"/>
    <w:rsid w:val="00DC0DF2"/>
    <w:rsid w:val="00DC137D"/>
    <w:rsid w:val="00DC13DC"/>
    <w:rsid w:val="00DC13E6"/>
    <w:rsid w:val="00DC15E9"/>
    <w:rsid w:val="00DC1702"/>
    <w:rsid w:val="00DC1ABB"/>
    <w:rsid w:val="00DC1D6B"/>
    <w:rsid w:val="00DC1E8C"/>
    <w:rsid w:val="00DC22F4"/>
    <w:rsid w:val="00DC27F4"/>
    <w:rsid w:val="00DC2B0D"/>
    <w:rsid w:val="00DC2D23"/>
    <w:rsid w:val="00DC2D5D"/>
    <w:rsid w:val="00DC322B"/>
    <w:rsid w:val="00DC3261"/>
    <w:rsid w:val="00DC3D9A"/>
    <w:rsid w:val="00DC3E59"/>
    <w:rsid w:val="00DC40B3"/>
    <w:rsid w:val="00DC457B"/>
    <w:rsid w:val="00DC4878"/>
    <w:rsid w:val="00DC4AB7"/>
    <w:rsid w:val="00DC4BF3"/>
    <w:rsid w:val="00DC4BFC"/>
    <w:rsid w:val="00DC530C"/>
    <w:rsid w:val="00DC5DFC"/>
    <w:rsid w:val="00DC607E"/>
    <w:rsid w:val="00DC60BD"/>
    <w:rsid w:val="00DC6147"/>
    <w:rsid w:val="00DC63C8"/>
    <w:rsid w:val="00DC688F"/>
    <w:rsid w:val="00DC6BBF"/>
    <w:rsid w:val="00DC7022"/>
    <w:rsid w:val="00DC7115"/>
    <w:rsid w:val="00DC72E6"/>
    <w:rsid w:val="00DC737B"/>
    <w:rsid w:val="00DC739F"/>
    <w:rsid w:val="00DC7794"/>
    <w:rsid w:val="00DC7B8C"/>
    <w:rsid w:val="00DC7C88"/>
    <w:rsid w:val="00DD01D5"/>
    <w:rsid w:val="00DD064E"/>
    <w:rsid w:val="00DD0832"/>
    <w:rsid w:val="00DD0BB9"/>
    <w:rsid w:val="00DD1163"/>
    <w:rsid w:val="00DD1186"/>
    <w:rsid w:val="00DD1AD2"/>
    <w:rsid w:val="00DD1D46"/>
    <w:rsid w:val="00DD21AD"/>
    <w:rsid w:val="00DD2631"/>
    <w:rsid w:val="00DD2D81"/>
    <w:rsid w:val="00DD2EE9"/>
    <w:rsid w:val="00DD30FF"/>
    <w:rsid w:val="00DD31AE"/>
    <w:rsid w:val="00DD3230"/>
    <w:rsid w:val="00DD330B"/>
    <w:rsid w:val="00DD367B"/>
    <w:rsid w:val="00DD370B"/>
    <w:rsid w:val="00DD3A9F"/>
    <w:rsid w:val="00DD3B61"/>
    <w:rsid w:val="00DD3DAE"/>
    <w:rsid w:val="00DD3F4D"/>
    <w:rsid w:val="00DD459A"/>
    <w:rsid w:val="00DD45D1"/>
    <w:rsid w:val="00DD4AA4"/>
    <w:rsid w:val="00DD4BD9"/>
    <w:rsid w:val="00DD4D9E"/>
    <w:rsid w:val="00DD4F96"/>
    <w:rsid w:val="00DD5172"/>
    <w:rsid w:val="00DD520A"/>
    <w:rsid w:val="00DD53B7"/>
    <w:rsid w:val="00DD55BB"/>
    <w:rsid w:val="00DD5776"/>
    <w:rsid w:val="00DD57DD"/>
    <w:rsid w:val="00DD5A85"/>
    <w:rsid w:val="00DD5DD7"/>
    <w:rsid w:val="00DD5FDE"/>
    <w:rsid w:val="00DD63BA"/>
    <w:rsid w:val="00DD6890"/>
    <w:rsid w:val="00DD6F57"/>
    <w:rsid w:val="00DD7222"/>
    <w:rsid w:val="00DD762F"/>
    <w:rsid w:val="00DD7CF9"/>
    <w:rsid w:val="00DD7F62"/>
    <w:rsid w:val="00DE003F"/>
    <w:rsid w:val="00DE0046"/>
    <w:rsid w:val="00DE032A"/>
    <w:rsid w:val="00DE0424"/>
    <w:rsid w:val="00DE0432"/>
    <w:rsid w:val="00DE0610"/>
    <w:rsid w:val="00DE0681"/>
    <w:rsid w:val="00DE0C98"/>
    <w:rsid w:val="00DE0D51"/>
    <w:rsid w:val="00DE0FA0"/>
    <w:rsid w:val="00DE101F"/>
    <w:rsid w:val="00DE11B4"/>
    <w:rsid w:val="00DE12A2"/>
    <w:rsid w:val="00DE1589"/>
    <w:rsid w:val="00DE15EC"/>
    <w:rsid w:val="00DE1E8F"/>
    <w:rsid w:val="00DE236D"/>
    <w:rsid w:val="00DE26FF"/>
    <w:rsid w:val="00DE2718"/>
    <w:rsid w:val="00DE2AD3"/>
    <w:rsid w:val="00DE2B70"/>
    <w:rsid w:val="00DE2CD5"/>
    <w:rsid w:val="00DE2FFF"/>
    <w:rsid w:val="00DE32A9"/>
    <w:rsid w:val="00DE35D9"/>
    <w:rsid w:val="00DE3A65"/>
    <w:rsid w:val="00DE3B33"/>
    <w:rsid w:val="00DE3C16"/>
    <w:rsid w:val="00DE3C9F"/>
    <w:rsid w:val="00DE3D69"/>
    <w:rsid w:val="00DE4288"/>
    <w:rsid w:val="00DE461E"/>
    <w:rsid w:val="00DE4A4C"/>
    <w:rsid w:val="00DE4DB8"/>
    <w:rsid w:val="00DE4DD5"/>
    <w:rsid w:val="00DE4E59"/>
    <w:rsid w:val="00DE4EF1"/>
    <w:rsid w:val="00DE507F"/>
    <w:rsid w:val="00DE512B"/>
    <w:rsid w:val="00DE5728"/>
    <w:rsid w:val="00DE5831"/>
    <w:rsid w:val="00DE5925"/>
    <w:rsid w:val="00DE5F49"/>
    <w:rsid w:val="00DE5F82"/>
    <w:rsid w:val="00DE61A1"/>
    <w:rsid w:val="00DE6329"/>
    <w:rsid w:val="00DE63BB"/>
    <w:rsid w:val="00DE63F3"/>
    <w:rsid w:val="00DE6473"/>
    <w:rsid w:val="00DE6515"/>
    <w:rsid w:val="00DE6680"/>
    <w:rsid w:val="00DE694B"/>
    <w:rsid w:val="00DE69D8"/>
    <w:rsid w:val="00DE7388"/>
    <w:rsid w:val="00DE79B3"/>
    <w:rsid w:val="00DE7BC6"/>
    <w:rsid w:val="00DE7E4A"/>
    <w:rsid w:val="00DE7FD3"/>
    <w:rsid w:val="00DF0140"/>
    <w:rsid w:val="00DF0374"/>
    <w:rsid w:val="00DF0571"/>
    <w:rsid w:val="00DF067C"/>
    <w:rsid w:val="00DF06AB"/>
    <w:rsid w:val="00DF08EE"/>
    <w:rsid w:val="00DF0F6A"/>
    <w:rsid w:val="00DF1F0E"/>
    <w:rsid w:val="00DF1FFE"/>
    <w:rsid w:val="00DF25FE"/>
    <w:rsid w:val="00DF2711"/>
    <w:rsid w:val="00DF28B2"/>
    <w:rsid w:val="00DF2B96"/>
    <w:rsid w:val="00DF2F8F"/>
    <w:rsid w:val="00DF339D"/>
    <w:rsid w:val="00DF34BB"/>
    <w:rsid w:val="00DF35EC"/>
    <w:rsid w:val="00DF3B7C"/>
    <w:rsid w:val="00DF3E85"/>
    <w:rsid w:val="00DF489A"/>
    <w:rsid w:val="00DF4DC2"/>
    <w:rsid w:val="00DF5237"/>
    <w:rsid w:val="00DF5430"/>
    <w:rsid w:val="00DF5954"/>
    <w:rsid w:val="00DF5B83"/>
    <w:rsid w:val="00DF5CBF"/>
    <w:rsid w:val="00DF5D82"/>
    <w:rsid w:val="00DF5DBC"/>
    <w:rsid w:val="00DF5E45"/>
    <w:rsid w:val="00DF5F4C"/>
    <w:rsid w:val="00DF6454"/>
    <w:rsid w:val="00DF66C9"/>
    <w:rsid w:val="00DF6A0D"/>
    <w:rsid w:val="00DF6D6E"/>
    <w:rsid w:val="00DF71A0"/>
    <w:rsid w:val="00DF7324"/>
    <w:rsid w:val="00DF73A9"/>
    <w:rsid w:val="00DF742E"/>
    <w:rsid w:val="00DF777D"/>
    <w:rsid w:val="00DF7846"/>
    <w:rsid w:val="00DF7A60"/>
    <w:rsid w:val="00DF7FE3"/>
    <w:rsid w:val="00E000A7"/>
    <w:rsid w:val="00E0010D"/>
    <w:rsid w:val="00E00345"/>
    <w:rsid w:val="00E00397"/>
    <w:rsid w:val="00E00930"/>
    <w:rsid w:val="00E00983"/>
    <w:rsid w:val="00E00C39"/>
    <w:rsid w:val="00E00F54"/>
    <w:rsid w:val="00E0100C"/>
    <w:rsid w:val="00E01205"/>
    <w:rsid w:val="00E0130D"/>
    <w:rsid w:val="00E01450"/>
    <w:rsid w:val="00E01637"/>
    <w:rsid w:val="00E0173B"/>
    <w:rsid w:val="00E01A7A"/>
    <w:rsid w:val="00E01BEC"/>
    <w:rsid w:val="00E01FD8"/>
    <w:rsid w:val="00E0211E"/>
    <w:rsid w:val="00E021DC"/>
    <w:rsid w:val="00E02A4F"/>
    <w:rsid w:val="00E02D59"/>
    <w:rsid w:val="00E0325C"/>
    <w:rsid w:val="00E038CE"/>
    <w:rsid w:val="00E038E3"/>
    <w:rsid w:val="00E03AE0"/>
    <w:rsid w:val="00E03CC2"/>
    <w:rsid w:val="00E041A5"/>
    <w:rsid w:val="00E04739"/>
    <w:rsid w:val="00E04995"/>
    <w:rsid w:val="00E04AFF"/>
    <w:rsid w:val="00E04CD3"/>
    <w:rsid w:val="00E04CDA"/>
    <w:rsid w:val="00E04EC7"/>
    <w:rsid w:val="00E04FC4"/>
    <w:rsid w:val="00E05066"/>
    <w:rsid w:val="00E0511C"/>
    <w:rsid w:val="00E053A0"/>
    <w:rsid w:val="00E059A4"/>
    <w:rsid w:val="00E06356"/>
    <w:rsid w:val="00E06627"/>
    <w:rsid w:val="00E06E2E"/>
    <w:rsid w:val="00E07316"/>
    <w:rsid w:val="00E073D9"/>
    <w:rsid w:val="00E077E4"/>
    <w:rsid w:val="00E079AA"/>
    <w:rsid w:val="00E07F87"/>
    <w:rsid w:val="00E10060"/>
    <w:rsid w:val="00E1020D"/>
    <w:rsid w:val="00E104E7"/>
    <w:rsid w:val="00E10558"/>
    <w:rsid w:val="00E107F6"/>
    <w:rsid w:val="00E10A61"/>
    <w:rsid w:val="00E10F34"/>
    <w:rsid w:val="00E1155A"/>
    <w:rsid w:val="00E11A14"/>
    <w:rsid w:val="00E11C95"/>
    <w:rsid w:val="00E11DBB"/>
    <w:rsid w:val="00E11F87"/>
    <w:rsid w:val="00E127E7"/>
    <w:rsid w:val="00E12894"/>
    <w:rsid w:val="00E12C90"/>
    <w:rsid w:val="00E13380"/>
    <w:rsid w:val="00E13A06"/>
    <w:rsid w:val="00E13AB5"/>
    <w:rsid w:val="00E13D26"/>
    <w:rsid w:val="00E13E42"/>
    <w:rsid w:val="00E141D2"/>
    <w:rsid w:val="00E14C61"/>
    <w:rsid w:val="00E14DCF"/>
    <w:rsid w:val="00E15126"/>
    <w:rsid w:val="00E15176"/>
    <w:rsid w:val="00E15B39"/>
    <w:rsid w:val="00E15C5C"/>
    <w:rsid w:val="00E15C7E"/>
    <w:rsid w:val="00E15F64"/>
    <w:rsid w:val="00E1604C"/>
    <w:rsid w:val="00E16193"/>
    <w:rsid w:val="00E1620D"/>
    <w:rsid w:val="00E16665"/>
    <w:rsid w:val="00E16996"/>
    <w:rsid w:val="00E16B3E"/>
    <w:rsid w:val="00E16C81"/>
    <w:rsid w:val="00E16CE1"/>
    <w:rsid w:val="00E16D25"/>
    <w:rsid w:val="00E16DFB"/>
    <w:rsid w:val="00E16E33"/>
    <w:rsid w:val="00E16F19"/>
    <w:rsid w:val="00E17A64"/>
    <w:rsid w:val="00E17DE9"/>
    <w:rsid w:val="00E2027B"/>
    <w:rsid w:val="00E2066F"/>
    <w:rsid w:val="00E207C8"/>
    <w:rsid w:val="00E20B4E"/>
    <w:rsid w:val="00E20C2C"/>
    <w:rsid w:val="00E20E67"/>
    <w:rsid w:val="00E21525"/>
    <w:rsid w:val="00E2189F"/>
    <w:rsid w:val="00E21E95"/>
    <w:rsid w:val="00E21F2C"/>
    <w:rsid w:val="00E2214C"/>
    <w:rsid w:val="00E2268E"/>
    <w:rsid w:val="00E22816"/>
    <w:rsid w:val="00E23480"/>
    <w:rsid w:val="00E2355F"/>
    <w:rsid w:val="00E23A5E"/>
    <w:rsid w:val="00E23A81"/>
    <w:rsid w:val="00E23C5F"/>
    <w:rsid w:val="00E242F9"/>
    <w:rsid w:val="00E24336"/>
    <w:rsid w:val="00E243BC"/>
    <w:rsid w:val="00E249CA"/>
    <w:rsid w:val="00E24D2D"/>
    <w:rsid w:val="00E24E59"/>
    <w:rsid w:val="00E24E9A"/>
    <w:rsid w:val="00E25055"/>
    <w:rsid w:val="00E25351"/>
    <w:rsid w:val="00E2565D"/>
    <w:rsid w:val="00E25A18"/>
    <w:rsid w:val="00E25C61"/>
    <w:rsid w:val="00E25E5F"/>
    <w:rsid w:val="00E25FDA"/>
    <w:rsid w:val="00E26021"/>
    <w:rsid w:val="00E263AA"/>
    <w:rsid w:val="00E2657F"/>
    <w:rsid w:val="00E26B2B"/>
    <w:rsid w:val="00E27698"/>
    <w:rsid w:val="00E27880"/>
    <w:rsid w:val="00E278B4"/>
    <w:rsid w:val="00E27E26"/>
    <w:rsid w:val="00E302AA"/>
    <w:rsid w:val="00E30344"/>
    <w:rsid w:val="00E303A8"/>
    <w:rsid w:val="00E3043C"/>
    <w:rsid w:val="00E304A0"/>
    <w:rsid w:val="00E305BE"/>
    <w:rsid w:val="00E3079A"/>
    <w:rsid w:val="00E307AD"/>
    <w:rsid w:val="00E30903"/>
    <w:rsid w:val="00E30A9C"/>
    <w:rsid w:val="00E30B60"/>
    <w:rsid w:val="00E30CDA"/>
    <w:rsid w:val="00E30D63"/>
    <w:rsid w:val="00E30E39"/>
    <w:rsid w:val="00E30ECB"/>
    <w:rsid w:val="00E311C8"/>
    <w:rsid w:val="00E3137F"/>
    <w:rsid w:val="00E314F9"/>
    <w:rsid w:val="00E3155B"/>
    <w:rsid w:val="00E3161D"/>
    <w:rsid w:val="00E31AC1"/>
    <w:rsid w:val="00E31CE3"/>
    <w:rsid w:val="00E31DC3"/>
    <w:rsid w:val="00E320DE"/>
    <w:rsid w:val="00E323A5"/>
    <w:rsid w:val="00E32404"/>
    <w:rsid w:val="00E32730"/>
    <w:rsid w:val="00E32978"/>
    <w:rsid w:val="00E32C32"/>
    <w:rsid w:val="00E32CFC"/>
    <w:rsid w:val="00E33130"/>
    <w:rsid w:val="00E3347C"/>
    <w:rsid w:val="00E34161"/>
    <w:rsid w:val="00E34741"/>
    <w:rsid w:val="00E34CB1"/>
    <w:rsid w:val="00E34FB6"/>
    <w:rsid w:val="00E35245"/>
    <w:rsid w:val="00E35433"/>
    <w:rsid w:val="00E355B6"/>
    <w:rsid w:val="00E359F7"/>
    <w:rsid w:val="00E35D8E"/>
    <w:rsid w:val="00E35E60"/>
    <w:rsid w:val="00E36436"/>
    <w:rsid w:val="00E3669F"/>
    <w:rsid w:val="00E36765"/>
    <w:rsid w:val="00E36997"/>
    <w:rsid w:val="00E36FEB"/>
    <w:rsid w:val="00E37097"/>
    <w:rsid w:val="00E3718C"/>
    <w:rsid w:val="00E3736E"/>
    <w:rsid w:val="00E37673"/>
    <w:rsid w:val="00E37AAB"/>
    <w:rsid w:val="00E37B04"/>
    <w:rsid w:val="00E37B99"/>
    <w:rsid w:val="00E37C76"/>
    <w:rsid w:val="00E37CF3"/>
    <w:rsid w:val="00E37E75"/>
    <w:rsid w:val="00E37F17"/>
    <w:rsid w:val="00E37F42"/>
    <w:rsid w:val="00E37F79"/>
    <w:rsid w:val="00E40050"/>
    <w:rsid w:val="00E40087"/>
    <w:rsid w:val="00E40106"/>
    <w:rsid w:val="00E401A6"/>
    <w:rsid w:val="00E4082F"/>
    <w:rsid w:val="00E40D58"/>
    <w:rsid w:val="00E4146E"/>
    <w:rsid w:val="00E414E3"/>
    <w:rsid w:val="00E41B22"/>
    <w:rsid w:val="00E41E6C"/>
    <w:rsid w:val="00E4226F"/>
    <w:rsid w:val="00E4255A"/>
    <w:rsid w:val="00E42596"/>
    <w:rsid w:val="00E42633"/>
    <w:rsid w:val="00E42664"/>
    <w:rsid w:val="00E42EB2"/>
    <w:rsid w:val="00E42F5B"/>
    <w:rsid w:val="00E4320C"/>
    <w:rsid w:val="00E4322F"/>
    <w:rsid w:val="00E4398A"/>
    <w:rsid w:val="00E43B04"/>
    <w:rsid w:val="00E43EBE"/>
    <w:rsid w:val="00E445CF"/>
    <w:rsid w:val="00E44677"/>
    <w:rsid w:val="00E447D7"/>
    <w:rsid w:val="00E44C2F"/>
    <w:rsid w:val="00E44CAC"/>
    <w:rsid w:val="00E44DDE"/>
    <w:rsid w:val="00E451F0"/>
    <w:rsid w:val="00E4531A"/>
    <w:rsid w:val="00E45788"/>
    <w:rsid w:val="00E458B5"/>
    <w:rsid w:val="00E45C2F"/>
    <w:rsid w:val="00E45C6C"/>
    <w:rsid w:val="00E460D6"/>
    <w:rsid w:val="00E4620F"/>
    <w:rsid w:val="00E46274"/>
    <w:rsid w:val="00E463D1"/>
    <w:rsid w:val="00E467DE"/>
    <w:rsid w:val="00E46BF9"/>
    <w:rsid w:val="00E46E11"/>
    <w:rsid w:val="00E46ECE"/>
    <w:rsid w:val="00E470F6"/>
    <w:rsid w:val="00E47344"/>
    <w:rsid w:val="00E476D9"/>
    <w:rsid w:val="00E476DE"/>
    <w:rsid w:val="00E47872"/>
    <w:rsid w:val="00E478D3"/>
    <w:rsid w:val="00E47F58"/>
    <w:rsid w:val="00E50391"/>
    <w:rsid w:val="00E50522"/>
    <w:rsid w:val="00E509E0"/>
    <w:rsid w:val="00E50E98"/>
    <w:rsid w:val="00E50F34"/>
    <w:rsid w:val="00E50F9A"/>
    <w:rsid w:val="00E51422"/>
    <w:rsid w:val="00E5152A"/>
    <w:rsid w:val="00E51556"/>
    <w:rsid w:val="00E515E4"/>
    <w:rsid w:val="00E51A18"/>
    <w:rsid w:val="00E523D6"/>
    <w:rsid w:val="00E52434"/>
    <w:rsid w:val="00E5258E"/>
    <w:rsid w:val="00E526D2"/>
    <w:rsid w:val="00E52766"/>
    <w:rsid w:val="00E5289F"/>
    <w:rsid w:val="00E52DB3"/>
    <w:rsid w:val="00E52F93"/>
    <w:rsid w:val="00E5381D"/>
    <w:rsid w:val="00E53C9F"/>
    <w:rsid w:val="00E53E68"/>
    <w:rsid w:val="00E53F82"/>
    <w:rsid w:val="00E540C7"/>
    <w:rsid w:val="00E5459B"/>
    <w:rsid w:val="00E54618"/>
    <w:rsid w:val="00E546DB"/>
    <w:rsid w:val="00E54C7E"/>
    <w:rsid w:val="00E54DDF"/>
    <w:rsid w:val="00E54F95"/>
    <w:rsid w:val="00E552FF"/>
    <w:rsid w:val="00E555C5"/>
    <w:rsid w:val="00E55A57"/>
    <w:rsid w:val="00E56925"/>
    <w:rsid w:val="00E56938"/>
    <w:rsid w:val="00E57049"/>
    <w:rsid w:val="00E571E0"/>
    <w:rsid w:val="00E57B37"/>
    <w:rsid w:val="00E57E11"/>
    <w:rsid w:val="00E57FEA"/>
    <w:rsid w:val="00E600CE"/>
    <w:rsid w:val="00E6020B"/>
    <w:rsid w:val="00E607AE"/>
    <w:rsid w:val="00E60B53"/>
    <w:rsid w:val="00E60BC7"/>
    <w:rsid w:val="00E60D4C"/>
    <w:rsid w:val="00E60EFD"/>
    <w:rsid w:val="00E6104A"/>
    <w:rsid w:val="00E61073"/>
    <w:rsid w:val="00E610F8"/>
    <w:rsid w:val="00E612D8"/>
    <w:rsid w:val="00E61692"/>
    <w:rsid w:val="00E61965"/>
    <w:rsid w:val="00E61C02"/>
    <w:rsid w:val="00E61EEE"/>
    <w:rsid w:val="00E6208B"/>
    <w:rsid w:val="00E620A6"/>
    <w:rsid w:val="00E62239"/>
    <w:rsid w:val="00E622ED"/>
    <w:rsid w:val="00E62B13"/>
    <w:rsid w:val="00E630CC"/>
    <w:rsid w:val="00E6339D"/>
    <w:rsid w:val="00E63596"/>
    <w:rsid w:val="00E64156"/>
    <w:rsid w:val="00E64683"/>
    <w:rsid w:val="00E647E1"/>
    <w:rsid w:val="00E64946"/>
    <w:rsid w:val="00E64ABC"/>
    <w:rsid w:val="00E64BF3"/>
    <w:rsid w:val="00E65199"/>
    <w:rsid w:val="00E65540"/>
    <w:rsid w:val="00E65AAF"/>
    <w:rsid w:val="00E65BDF"/>
    <w:rsid w:val="00E667D6"/>
    <w:rsid w:val="00E66BBB"/>
    <w:rsid w:val="00E66E4E"/>
    <w:rsid w:val="00E672BB"/>
    <w:rsid w:val="00E67D29"/>
    <w:rsid w:val="00E67EFB"/>
    <w:rsid w:val="00E7003A"/>
    <w:rsid w:val="00E700F6"/>
    <w:rsid w:val="00E707DE"/>
    <w:rsid w:val="00E7087E"/>
    <w:rsid w:val="00E7094C"/>
    <w:rsid w:val="00E70CFB"/>
    <w:rsid w:val="00E71332"/>
    <w:rsid w:val="00E71712"/>
    <w:rsid w:val="00E719A3"/>
    <w:rsid w:val="00E71B63"/>
    <w:rsid w:val="00E71B8B"/>
    <w:rsid w:val="00E71C78"/>
    <w:rsid w:val="00E71ECC"/>
    <w:rsid w:val="00E720EE"/>
    <w:rsid w:val="00E722D8"/>
    <w:rsid w:val="00E725FF"/>
    <w:rsid w:val="00E73177"/>
    <w:rsid w:val="00E73459"/>
    <w:rsid w:val="00E735F4"/>
    <w:rsid w:val="00E73680"/>
    <w:rsid w:val="00E741DF"/>
    <w:rsid w:val="00E74E65"/>
    <w:rsid w:val="00E74F43"/>
    <w:rsid w:val="00E751EC"/>
    <w:rsid w:val="00E755C5"/>
    <w:rsid w:val="00E757B9"/>
    <w:rsid w:val="00E75BE6"/>
    <w:rsid w:val="00E75EA0"/>
    <w:rsid w:val="00E763F8"/>
    <w:rsid w:val="00E76A0A"/>
    <w:rsid w:val="00E76D19"/>
    <w:rsid w:val="00E774B3"/>
    <w:rsid w:val="00E774BE"/>
    <w:rsid w:val="00E77F3F"/>
    <w:rsid w:val="00E8012E"/>
    <w:rsid w:val="00E801C9"/>
    <w:rsid w:val="00E803BF"/>
    <w:rsid w:val="00E80516"/>
    <w:rsid w:val="00E80FDF"/>
    <w:rsid w:val="00E81311"/>
    <w:rsid w:val="00E817BF"/>
    <w:rsid w:val="00E81870"/>
    <w:rsid w:val="00E81907"/>
    <w:rsid w:val="00E81B07"/>
    <w:rsid w:val="00E82303"/>
    <w:rsid w:val="00E823B9"/>
    <w:rsid w:val="00E826E0"/>
    <w:rsid w:val="00E82A4A"/>
    <w:rsid w:val="00E82BF5"/>
    <w:rsid w:val="00E82CB2"/>
    <w:rsid w:val="00E82E76"/>
    <w:rsid w:val="00E83279"/>
    <w:rsid w:val="00E836FA"/>
    <w:rsid w:val="00E83814"/>
    <w:rsid w:val="00E83C6C"/>
    <w:rsid w:val="00E8472F"/>
    <w:rsid w:val="00E84A83"/>
    <w:rsid w:val="00E84AE7"/>
    <w:rsid w:val="00E84BCA"/>
    <w:rsid w:val="00E84CFB"/>
    <w:rsid w:val="00E84D48"/>
    <w:rsid w:val="00E84FEF"/>
    <w:rsid w:val="00E852FB"/>
    <w:rsid w:val="00E8573A"/>
    <w:rsid w:val="00E85834"/>
    <w:rsid w:val="00E8588E"/>
    <w:rsid w:val="00E85A6B"/>
    <w:rsid w:val="00E860B3"/>
    <w:rsid w:val="00E86633"/>
    <w:rsid w:val="00E867B3"/>
    <w:rsid w:val="00E86998"/>
    <w:rsid w:val="00E86D3B"/>
    <w:rsid w:val="00E86DA8"/>
    <w:rsid w:val="00E871C0"/>
    <w:rsid w:val="00E8722F"/>
    <w:rsid w:val="00E87631"/>
    <w:rsid w:val="00E879B5"/>
    <w:rsid w:val="00E87FBE"/>
    <w:rsid w:val="00E902FB"/>
    <w:rsid w:val="00E90353"/>
    <w:rsid w:val="00E9071B"/>
    <w:rsid w:val="00E90807"/>
    <w:rsid w:val="00E9095B"/>
    <w:rsid w:val="00E90C6F"/>
    <w:rsid w:val="00E9111F"/>
    <w:rsid w:val="00E91287"/>
    <w:rsid w:val="00E91964"/>
    <w:rsid w:val="00E919FA"/>
    <w:rsid w:val="00E91FDE"/>
    <w:rsid w:val="00E92015"/>
    <w:rsid w:val="00E92393"/>
    <w:rsid w:val="00E925CE"/>
    <w:rsid w:val="00E926DB"/>
    <w:rsid w:val="00E9276C"/>
    <w:rsid w:val="00E92B58"/>
    <w:rsid w:val="00E92C45"/>
    <w:rsid w:val="00E92F9C"/>
    <w:rsid w:val="00E931C1"/>
    <w:rsid w:val="00E934E1"/>
    <w:rsid w:val="00E93BDF"/>
    <w:rsid w:val="00E93EA1"/>
    <w:rsid w:val="00E93FB2"/>
    <w:rsid w:val="00E940DA"/>
    <w:rsid w:val="00E941C7"/>
    <w:rsid w:val="00E94431"/>
    <w:rsid w:val="00E947D3"/>
    <w:rsid w:val="00E94B09"/>
    <w:rsid w:val="00E94EA0"/>
    <w:rsid w:val="00E94FD9"/>
    <w:rsid w:val="00E95437"/>
    <w:rsid w:val="00E95887"/>
    <w:rsid w:val="00E95D4D"/>
    <w:rsid w:val="00E95E15"/>
    <w:rsid w:val="00E9606A"/>
    <w:rsid w:val="00E9616E"/>
    <w:rsid w:val="00E9630E"/>
    <w:rsid w:val="00E963AB"/>
    <w:rsid w:val="00E96745"/>
    <w:rsid w:val="00E96E40"/>
    <w:rsid w:val="00E96FD6"/>
    <w:rsid w:val="00E970D2"/>
    <w:rsid w:val="00E97269"/>
    <w:rsid w:val="00E972D3"/>
    <w:rsid w:val="00E973B1"/>
    <w:rsid w:val="00E9756A"/>
    <w:rsid w:val="00E97573"/>
    <w:rsid w:val="00E975B7"/>
    <w:rsid w:val="00E97621"/>
    <w:rsid w:val="00E977A6"/>
    <w:rsid w:val="00E979A7"/>
    <w:rsid w:val="00E97AD1"/>
    <w:rsid w:val="00E97C00"/>
    <w:rsid w:val="00E97D49"/>
    <w:rsid w:val="00EA018C"/>
    <w:rsid w:val="00EA03F8"/>
    <w:rsid w:val="00EA06BB"/>
    <w:rsid w:val="00EA0B57"/>
    <w:rsid w:val="00EA0BBD"/>
    <w:rsid w:val="00EA0DA6"/>
    <w:rsid w:val="00EA0E0D"/>
    <w:rsid w:val="00EA0FCC"/>
    <w:rsid w:val="00EA11D3"/>
    <w:rsid w:val="00EA13C4"/>
    <w:rsid w:val="00EA142F"/>
    <w:rsid w:val="00EA1797"/>
    <w:rsid w:val="00EA1928"/>
    <w:rsid w:val="00EA1A73"/>
    <w:rsid w:val="00EA23E7"/>
    <w:rsid w:val="00EA23EE"/>
    <w:rsid w:val="00EA27AE"/>
    <w:rsid w:val="00EA2C3D"/>
    <w:rsid w:val="00EA3020"/>
    <w:rsid w:val="00EA34F6"/>
    <w:rsid w:val="00EA3949"/>
    <w:rsid w:val="00EA3A3F"/>
    <w:rsid w:val="00EA4251"/>
    <w:rsid w:val="00EA4446"/>
    <w:rsid w:val="00EA4766"/>
    <w:rsid w:val="00EA4879"/>
    <w:rsid w:val="00EA493A"/>
    <w:rsid w:val="00EA4C94"/>
    <w:rsid w:val="00EA4D8C"/>
    <w:rsid w:val="00EA54FF"/>
    <w:rsid w:val="00EA56FA"/>
    <w:rsid w:val="00EA5E42"/>
    <w:rsid w:val="00EA5FBD"/>
    <w:rsid w:val="00EA607F"/>
    <w:rsid w:val="00EA647D"/>
    <w:rsid w:val="00EA6539"/>
    <w:rsid w:val="00EA69B1"/>
    <w:rsid w:val="00EA69BC"/>
    <w:rsid w:val="00EA6EFD"/>
    <w:rsid w:val="00EA6F6E"/>
    <w:rsid w:val="00EA720C"/>
    <w:rsid w:val="00EA7386"/>
    <w:rsid w:val="00EA748B"/>
    <w:rsid w:val="00EA7679"/>
    <w:rsid w:val="00EA77C1"/>
    <w:rsid w:val="00EA7837"/>
    <w:rsid w:val="00EB02C3"/>
    <w:rsid w:val="00EB07DE"/>
    <w:rsid w:val="00EB09CD"/>
    <w:rsid w:val="00EB0A82"/>
    <w:rsid w:val="00EB0D1E"/>
    <w:rsid w:val="00EB101D"/>
    <w:rsid w:val="00EB1023"/>
    <w:rsid w:val="00EB1211"/>
    <w:rsid w:val="00EB1384"/>
    <w:rsid w:val="00EB139A"/>
    <w:rsid w:val="00EB13EC"/>
    <w:rsid w:val="00EB1431"/>
    <w:rsid w:val="00EB157D"/>
    <w:rsid w:val="00EB1A3A"/>
    <w:rsid w:val="00EB1BD8"/>
    <w:rsid w:val="00EB1CF3"/>
    <w:rsid w:val="00EB22BA"/>
    <w:rsid w:val="00EB2591"/>
    <w:rsid w:val="00EB2686"/>
    <w:rsid w:val="00EB277B"/>
    <w:rsid w:val="00EB27AC"/>
    <w:rsid w:val="00EB284B"/>
    <w:rsid w:val="00EB3162"/>
    <w:rsid w:val="00EB32DC"/>
    <w:rsid w:val="00EB38E8"/>
    <w:rsid w:val="00EB3ADE"/>
    <w:rsid w:val="00EB3B3E"/>
    <w:rsid w:val="00EB3B7C"/>
    <w:rsid w:val="00EB3CDA"/>
    <w:rsid w:val="00EB3ED7"/>
    <w:rsid w:val="00EB4131"/>
    <w:rsid w:val="00EB4667"/>
    <w:rsid w:val="00EB47B7"/>
    <w:rsid w:val="00EB486A"/>
    <w:rsid w:val="00EB4A3B"/>
    <w:rsid w:val="00EB4E04"/>
    <w:rsid w:val="00EB4ED9"/>
    <w:rsid w:val="00EB53B6"/>
    <w:rsid w:val="00EB546B"/>
    <w:rsid w:val="00EB55D6"/>
    <w:rsid w:val="00EB57AC"/>
    <w:rsid w:val="00EB6165"/>
    <w:rsid w:val="00EB616E"/>
    <w:rsid w:val="00EB619C"/>
    <w:rsid w:val="00EB62B9"/>
    <w:rsid w:val="00EB6404"/>
    <w:rsid w:val="00EB64E8"/>
    <w:rsid w:val="00EB6713"/>
    <w:rsid w:val="00EB6E44"/>
    <w:rsid w:val="00EB71F0"/>
    <w:rsid w:val="00EB7236"/>
    <w:rsid w:val="00EC0351"/>
    <w:rsid w:val="00EC0524"/>
    <w:rsid w:val="00EC090F"/>
    <w:rsid w:val="00EC0F85"/>
    <w:rsid w:val="00EC1566"/>
    <w:rsid w:val="00EC1A28"/>
    <w:rsid w:val="00EC1EEF"/>
    <w:rsid w:val="00EC202D"/>
    <w:rsid w:val="00EC245D"/>
    <w:rsid w:val="00EC2995"/>
    <w:rsid w:val="00EC2BF7"/>
    <w:rsid w:val="00EC2E11"/>
    <w:rsid w:val="00EC3119"/>
    <w:rsid w:val="00EC3460"/>
    <w:rsid w:val="00EC3581"/>
    <w:rsid w:val="00EC35E4"/>
    <w:rsid w:val="00EC36A5"/>
    <w:rsid w:val="00EC3A4E"/>
    <w:rsid w:val="00EC4009"/>
    <w:rsid w:val="00EC449B"/>
    <w:rsid w:val="00EC46D2"/>
    <w:rsid w:val="00EC46EE"/>
    <w:rsid w:val="00EC49E4"/>
    <w:rsid w:val="00EC4DFC"/>
    <w:rsid w:val="00EC5137"/>
    <w:rsid w:val="00EC534D"/>
    <w:rsid w:val="00EC574C"/>
    <w:rsid w:val="00EC61BB"/>
    <w:rsid w:val="00EC62E6"/>
    <w:rsid w:val="00EC6C96"/>
    <w:rsid w:val="00EC6D20"/>
    <w:rsid w:val="00EC6E5E"/>
    <w:rsid w:val="00EC7684"/>
    <w:rsid w:val="00EC7A92"/>
    <w:rsid w:val="00ED00FB"/>
    <w:rsid w:val="00ED03CB"/>
    <w:rsid w:val="00ED059A"/>
    <w:rsid w:val="00ED061C"/>
    <w:rsid w:val="00ED0D33"/>
    <w:rsid w:val="00ED11FB"/>
    <w:rsid w:val="00ED12BE"/>
    <w:rsid w:val="00ED15BD"/>
    <w:rsid w:val="00ED173E"/>
    <w:rsid w:val="00ED186A"/>
    <w:rsid w:val="00ED1974"/>
    <w:rsid w:val="00ED19AD"/>
    <w:rsid w:val="00ED19AF"/>
    <w:rsid w:val="00ED1BED"/>
    <w:rsid w:val="00ED27A2"/>
    <w:rsid w:val="00ED2AD2"/>
    <w:rsid w:val="00ED3029"/>
    <w:rsid w:val="00ED3038"/>
    <w:rsid w:val="00ED35EA"/>
    <w:rsid w:val="00ED3693"/>
    <w:rsid w:val="00ED39D3"/>
    <w:rsid w:val="00ED3A32"/>
    <w:rsid w:val="00ED3EA2"/>
    <w:rsid w:val="00ED3F9D"/>
    <w:rsid w:val="00ED417F"/>
    <w:rsid w:val="00ED50FD"/>
    <w:rsid w:val="00ED5371"/>
    <w:rsid w:val="00ED5659"/>
    <w:rsid w:val="00ED57BB"/>
    <w:rsid w:val="00ED595E"/>
    <w:rsid w:val="00ED606D"/>
    <w:rsid w:val="00ED6146"/>
    <w:rsid w:val="00ED6439"/>
    <w:rsid w:val="00ED65C7"/>
    <w:rsid w:val="00ED668A"/>
    <w:rsid w:val="00ED721A"/>
    <w:rsid w:val="00ED740D"/>
    <w:rsid w:val="00ED75B8"/>
    <w:rsid w:val="00ED75D7"/>
    <w:rsid w:val="00ED7821"/>
    <w:rsid w:val="00ED7A45"/>
    <w:rsid w:val="00ED7BAE"/>
    <w:rsid w:val="00ED7BB2"/>
    <w:rsid w:val="00ED7BD3"/>
    <w:rsid w:val="00EE0162"/>
    <w:rsid w:val="00EE04CB"/>
    <w:rsid w:val="00EE0A60"/>
    <w:rsid w:val="00EE0B23"/>
    <w:rsid w:val="00EE0EC5"/>
    <w:rsid w:val="00EE1398"/>
    <w:rsid w:val="00EE142F"/>
    <w:rsid w:val="00EE16F7"/>
    <w:rsid w:val="00EE1808"/>
    <w:rsid w:val="00EE1C2A"/>
    <w:rsid w:val="00EE1C9F"/>
    <w:rsid w:val="00EE1ED6"/>
    <w:rsid w:val="00EE203F"/>
    <w:rsid w:val="00EE21FD"/>
    <w:rsid w:val="00EE2497"/>
    <w:rsid w:val="00EE278A"/>
    <w:rsid w:val="00EE27FE"/>
    <w:rsid w:val="00EE2A5C"/>
    <w:rsid w:val="00EE2B2F"/>
    <w:rsid w:val="00EE2DE0"/>
    <w:rsid w:val="00EE3299"/>
    <w:rsid w:val="00EE330A"/>
    <w:rsid w:val="00EE379B"/>
    <w:rsid w:val="00EE3ADF"/>
    <w:rsid w:val="00EE3C24"/>
    <w:rsid w:val="00EE3E0B"/>
    <w:rsid w:val="00EE3EC2"/>
    <w:rsid w:val="00EE4191"/>
    <w:rsid w:val="00EE4224"/>
    <w:rsid w:val="00EE4241"/>
    <w:rsid w:val="00EE4724"/>
    <w:rsid w:val="00EE4965"/>
    <w:rsid w:val="00EE49A1"/>
    <w:rsid w:val="00EE50EE"/>
    <w:rsid w:val="00EE5145"/>
    <w:rsid w:val="00EE518D"/>
    <w:rsid w:val="00EE5521"/>
    <w:rsid w:val="00EE562C"/>
    <w:rsid w:val="00EE575A"/>
    <w:rsid w:val="00EE5DDA"/>
    <w:rsid w:val="00EE5EE3"/>
    <w:rsid w:val="00EE5EFB"/>
    <w:rsid w:val="00EE63BE"/>
    <w:rsid w:val="00EE651D"/>
    <w:rsid w:val="00EE659C"/>
    <w:rsid w:val="00EE677D"/>
    <w:rsid w:val="00EE6EEF"/>
    <w:rsid w:val="00EE70D1"/>
    <w:rsid w:val="00EE714D"/>
    <w:rsid w:val="00EE721F"/>
    <w:rsid w:val="00EE7491"/>
    <w:rsid w:val="00EE7A74"/>
    <w:rsid w:val="00EE7E90"/>
    <w:rsid w:val="00EF031C"/>
    <w:rsid w:val="00EF050E"/>
    <w:rsid w:val="00EF0819"/>
    <w:rsid w:val="00EF1169"/>
    <w:rsid w:val="00EF1189"/>
    <w:rsid w:val="00EF1377"/>
    <w:rsid w:val="00EF14B9"/>
    <w:rsid w:val="00EF199C"/>
    <w:rsid w:val="00EF1BC6"/>
    <w:rsid w:val="00EF1C0A"/>
    <w:rsid w:val="00EF1C84"/>
    <w:rsid w:val="00EF1F6A"/>
    <w:rsid w:val="00EF215F"/>
    <w:rsid w:val="00EF2471"/>
    <w:rsid w:val="00EF3030"/>
    <w:rsid w:val="00EF3247"/>
    <w:rsid w:val="00EF32AF"/>
    <w:rsid w:val="00EF3315"/>
    <w:rsid w:val="00EF343B"/>
    <w:rsid w:val="00EF37D2"/>
    <w:rsid w:val="00EF3A63"/>
    <w:rsid w:val="00EF3F09"/>
    <w:rsid w:val="00EF4026"/>
    <w:rsid w:val="00EF417A"/>
    <w:rsid w:val="00EF4337"/>
    <w:rsid w:val="00EF460E"/>
    <w:rsid w:val="00EF4798"/>
    <w:rsid w:val="00EF4870"/>
    <w:rsid w:val="00EF4A3C"/>
    <w:rsid w:val="00EF4C52"/>
    <w:rsid w:val="00EF4DD5"/>
    <w:rsid w:val="00EF4E78"/>
    <w:rsid w:val="00EF4F85"/>
    <w:rsid w:val="00EF504A"/>
    <w:rsid w:val="00EF5053"/>
    <w:rsid w:val="00EF51A2"/>
    <w:rsid w:val="00EF5960"/>
    <w:rsid w:val="00EF6259"/>
    <w:rsid w:val="00EF6336"/>
    <w:rsid w:val="00EF679E"/>
    <w:rsid w:val="00EF73D2"/>
    <w:rsid w:val="00EF7711"/>
    <w:rsid w:val="00EF7AC6"/>
    <w:rsid w:val="00EF7B07"/>
    <w:rsid w:val="00EF7BB0"/>
    <w:rsid w:val="00EF7DE7"/>
    <w:rsid w:val="00EF7DFC"/>
    <w:rsid w:val="00F00730"/>
    <w:rsid w:val="00F00947"/>
    <w:rsid w:val="00F009FD"/>
    <w:rsid w:val="00F00AAD"/>
    <w:rsid w:val="00F00D2A"/>
    <w:rsid w:val="00F00DEA"/>
    <w:rsid w:val="00F01037"/>
    <w:rsid w:val="00F01183"/>
    <w:rsid w:val="00F01D54"/>
    <w:rsid w:val="00F02532"/>
    <w:rsid w:val="00F025DF"/>
    <w:rsid w:val="00F0283B"/>
    <w:rsid w:val="00F02906"/>
    <w:rsid w:val="00F02E94"/>
    <w:rsid w:val="00F02FE1"/>
    <w:rsid w:val="00F0312E"/>
    <w:rsid w:val="00F034CC"/>
    <w:rsid w:val="00F03513"/>
    <w:rsid w:val="00F03593"/>
    <w:rsid w:val="00F0393A"/>
    <w:rsid w:val="00F03961"/>
    <w:rsid w:val="00F03966"/>
    <w:rsid w:val="00F03A90"/>
    <w:rsid w:val="00F03B58"/>
    <w:rsid w:val="00F03C51"/>
    <w:rsid w:val="00F0428A"/>
    <w:rsid w:val="00F04340"/>
    <w:rsid w:val="00F04A67"/>
    <w:rsid w:val="00F04D50"/>
    <w:rsid w:val="00F051C8"/>
    <w:rsid w:val="00F053A3"/>
    <w:rsid w:val="00F0553E"/>
    <w:rsid w:val="00F05718"/>
    <w:rsid w:val="00F0599C"/>
    <w:rsid w:val="00F059FF"/>
    <w:rsid w:val="00F05D8F"/>
    <w:rsid w:val="00F05F77"/>
    <w:rsid w:val="00F061AF"/>
    <w:rsid w:val="00F0622D"/>
    <w:rsid w:val="00F06491"/>
    <w:rsid w:val="00F06732"/>
    <w:rsid w:val="00F06776"/>
    <w:rsid w:val="00F06A4D"/>
    <w:rsid w:val="00F06B44"/>
    <w:rsid w:val="00F06D01"/>
    <w:rsid w:val="00F0718C"/>
    <w:rsid w:val="00F07C17"/>
    <w:rsid w:val="00F100C5"/>
    <w:rsid w:val="00F105C5"/>
    <w:rsid w:val="00F10B0A"/>
    <w:rsid w:val="00F10BAA"/>
    <w:rsid w:val="00F10D78"/>
    <w:rsid w:val="00F1128F"/>
    <w:rsid w:val="00F1160A"/>
    <w:rsid w:val="00F118D2"/>
    <w:rsid w:val="00F12366"/>
    <w:rsid w:val="00F1267E"/>
    <w:rsid w:val="00F12811"/>
    <w:rsid w:val="00F12A80"/>
    <w:rsid w:val="00F12C39"/>
    <w:rsid w:val="00F12DA8"/>
    <w:rsid w:val="00F1334A"/>
    <w:rsid w:val="00F135BC"/>
    <w:rsid w:val="00F13891"/>
    <w:rsid w:val="00F138CF"/>
    <w:rsid w:val="00F13C16"/>
    <w:rsid w:val="00F14468"/>
    <w:rsid w:val="00F149BD"/>
    <w:rsid w:val="00F149C4"/>
    <w:rsid w:val="00F14A0D"/>
    <w:rsid w:val="00F14AD9"/>
    <w:rsid w:val="00F14BFB"/>
    <w:rsid w:val="00F14CB2"/>
    <w:rsid w:val="00F14E7D"/>
    <w:rsid w:val="00F15019"/>
    <w:rsid w:val="00F159EC"/>
    <w:rsid w:val="00F15DF1"/>
    <w:rsid w:val="00F160AF"/>
    <w:rsid w:val="00F1610C"/>
    <w:rsid w:val="00F161D4"/>
    <w:rsid w:val="00F16257"/>
    <w:rsid w:val="00F163A6"/>
    <w:rsid w:val="00F1649B"/>
    <w:rsid w:val="00F172A9"/>
    <w:rsid w:val="00F176EC"/>
    <w:rsid w:val="00F17A16"/>
    <w:rsid w:val="00F2083F"/>
    <w:rsid w:val="00F20A78"/>
    <w:rsid w:val="00F20F34"/>
    <w:rsid w:val="00F20F4C"/>
    <w:rsid w:val="00F20F7E"/>
    <w:rsid w:val="00F2140E"/>
    <w:rsid w:val="00F217DE"/>
    <w:rsid w:val="00F21A13"/>
    <w:rsid w:val="00F21B53"/>
    <w:rsid w:val="00F21C60"/>
    <w:rsid w:val="00F21F72"/>
    <w:rsid w:val="00F21FD8"/>
    <w:rsid w:val="00F2210E"/>
    <w:rsid w:val="00F223CB"/>
    <w:rsid w:val="00F22866"/>
    <w:rsid w:val="00F229EB"/>
    <w:rsid w:val="00F22A2A"/>
    <w:rsid w:val="00F22AB8"/>
    <w:rsid w:val="00F22D4A"/>
    <w:rsid w:val="00F22F0F"/>
    <w:rsid w:val="00F235AA"/>
    <w:rsid w:val="00F236D4"/>
    <w:rsid w:val="00F237B7"/>
    <w:rsid w:val="00F23A0B"/>
    <w:rsid w:val="00F23C4E"/>
    <w:rsid w:val="00F23F4B"/>
    <w:rsid w:val="00F23FE8"/>
    <w:rsid w:val="00F2406C"/>
    <w:rsid w:val="00F243FB"/>
    <w:rsid w:val="00F2462F"/>
    <w:rsid w:val="00F24F66"/>
    <w:rsid w:val="00F257BC"/>
    <w:rsid w:val="00F257D5"/>
    <w:rsid w:val="00F25BB2"/>
    <w:rsid w:val="00F25DA7"/>
    <w:rsid w:val="00F25F6A"/>
    <w:rsid w:val="00F25F92"/>
    <w:rsid w:val="00F26353"/>
    <w:rsid w:val="00F2676C"/>
    <w:rsid w:val="00F268AD"/>
    <w:rsid w:val="00F26D41"/>
    <w:rsid w:val="00F26F33"/>
    <w:rsid w:val="00F270EE"/>
    <w:rsid w:val="00F27215"/>
    <w:rsid w:val="00F272D3"/>
    <w:rsid w:val="00F2753F"/>
    <w:rsid w:val="00F27543"/>
    <w:rsid w:val="00F275F0"/>
    <w:rsid w:val="00F276E6"/>
    <w:rsid w:val="00F27BC9"/>
    <w:rsid w:val="00F27F82"/>
    <w:rsid w:val="00F30174"/>
    <w:rsid w:val="00F30747"/>
    <w:rsid w:val="00F3074D"/>
    <w:rsid w:val="00F309FB"/>
    <w:rsid w:val="00F30C44"/>
    <w:rsid w:val="00F30EBD"/>
    <w:rsid w:val="00F30EC5"/>
    <w:rsid w:val="00F30EEA"/>
    <w:rsid w:val="00F30FC1"/>
    <w:rsid w:val="00F312F6"/>
    <w:rsid w:val="00F31371"/>
    <w:rsid w:val="00F313F5"/>
    <w:rsid w:val="00F314E0"/>
    <w:rsid w:val="00F314F4"/>
    <w:rsid w:val="00F31A88"/>
    <w:rsid w:val="00F31AE6"/>
    <w:rsid w:val="00F31D06"/>
    <w:rsid w:val="00F31E4A"/>
    <w:rsid w:val="00F31EF2"/>
    <w:rsid w:val="00F321D9"/>
    <w:rsid w:val="00F321E6"/>
    <w:rsid w:val="00F32422"/>
    <w:rsid w:val="00F3246B"/>
    <w:rsid w:val="00F328C6"/>
    <w:rsid w:val="00F32996"/>
    <w:rsid w:val="00F32F55"/>
    <w:rsid w:val="00F32F93"/>
    <w:rsid w:val="00F33201"/>
    <w:rsid w:val="00F33412"/>
    <w:rsid w:val="00F33787"/>
    <w:rsid w:val="00F33EA6"/>
    <w:rsid w:val="00F33F94"/>
    <w:rsid w:val="00F3447A"/>
    <w:rsid w:val="00F3451F"/>
    <w:rsid w:val="00F346E2"/>
    <w:rsid w:val="00F34A62"/>
    <w:rsid w:val="00F34AA8"/>
    <w:rsid w:val="00F34AC6"/>
    <w:rsid w:val="00F34BC3"/>
    <w:rsid w:val="00F34BFF"/>
    <w:rsid w:val="00F34DA0"/>
    <w:rsid w:val="00F34F3E"/>
    <w:rsid w:val="00F351EA"/>
    <w:rsid w:val="00F35628"/>
    <w:rsid w:val="00F3565A"/>
    <w:rsid w:val="00F356EC"/>
    <w:rsid w:val="00F35731"/>
    <w:rsid w:val="00F35906"/>
    <w:rsid w:val="00F359C5"/>
    <w:rsid w:val="00F35E64"/>
    <w:rsid w:val="00F361A0"/>
    <w:rsid w:val="00F367DC"/>
    <w:rsid w:val="00F3684E"/>
    <w:rsid w:val="00F36F7E"/>
    <w:rsid w:val="00F372BC"/>
    <w:rsid w:val="00F37310"/>
    <w:rsid w:val="00F37A53"/>
    <w:rsid w:val="00F37A64"/>
    <w:rsid w:val="00F4031C"/>
    <w:rsid w:val="00F40400"/>
    <w:rsid w:val="00F40603"/>
    <w:rsid w:val="00F40685"/>
    <w:rsid w:val="00F40A54"/>
    <w:rsid w:val="00F40F07"/>
    <w:rsid w:val="00F410F0"/>
    <w:rsid w:val="00F41396"/>
    <w:rsid w:val="00F417FC"/>
    <w:rsid w:val="00F41C47"/>
    <w:rsid w:val="00F41C66"/>
    <w:rsid w:val="00F41F96"/>
    <w:rsid w:val="00F4232E"/>
    <w:rsid w:val="00F42529"/>
    <w:rsid w:val="00F42776"/>
    <w:rsid w:val="00F42AFB"/>
    <w:rsid w:val="00F42C0A"/>
    <w:rsid w:val="00F42C8D"/>
    <w:rsid w:val="00F42DBB"/>
    <w:rsid w:val="00F430D2"/>
    <w:rsid w:val="00F438A1"/>
    <w:rsid w:val="00F43AEE"/>
    <w:rsid w:val="00F44258"/>
    <w:rsid w:val="00F4449E"/>
    <w:rsid w:val="00F446B6"/>
    <w:rsid w:val="00F447F0"/>
    <w:rsid w:val="00F4495A"/>
    <w:rsid w:val="00F44979"/>
    <w:rsid w:val="00F44B03"/>
    <w:rsid w:val="00F44CD5"/>
    <w:rsid w:val="00F44EEB"/>
    <w:rsid w:val="00F4528F"/>
    <w:rsid w:val="00F45D3B"/>
    <w:rsid w:val="00F4606E"/>
    <w:rsid w:val="00F4626A"/>
    <w:rsid w:val="00F4662F"/>
    <w:rsid w:val="00F4740F"/>
    <w:rsid w:val="00F47557"/>
    <w:rsid w:val="00F477C2"/>
    <w:rsid w:val="00F47A2B"/>
    <w:rsid w:val="00F47B39"/>
    <w:rsid w:val="00F47B72"/>
    <w:rsid w:val="00F47EEE"/>
    <w:rsid w:val="00F501F9"/>
    <w:rsid w:val="00F50300"/>
    <w:rsid w:val="00F504D4"/>
    <w:rsid w:val="00F507CC"/>
    <w:rsid w:val="00F517D5"/>
    <w:rsid w:val="00F517EA"/>
    <w:rsid w:val="00F51E2D"/>
    <w:rsid w:val="00F51F49"/>
    <w:rsid w:val="00F51FB6"/>
    <w:rsid w:val="00F520F2"/>
    <w:rsid w:val="00F52AF5"/>
    <w:rsid w:val="00F52B9B"/>
    <w:rsid w:val="00F52E2C"/>
    <w:rsid w:val="00F52E63"/>
    <w:rsid w:val="00F533FD"/>
    <w:rsid w:val="00F53690"/>
    <w:rsid w:val="00F538F3"/>
    <w:rsid w:val="00F539DE"/>
    <w:rsid w:val="00F53AEC"/>
    <w:rsid w:val="00F53BBC"/>
    <w:rsid w:val="00F53E53"/>
    <w:rsid w:val="00F5423E"/>
    <w:rsid w:val="00F5429E"/>
    <w:rsid w:val="00F54B22"/>
    <w:rsid w:val="00F54BA0"/>
    <w:rsid w:val="00F54EB9"/>
    <w:rsid w:val="00F5523F"/>
    <w:rsid w:val="00F55349"/>
    <w:rsid w:val="00F55700"/>
    <w:rsid w:val="00F55784"/>
    <w:rsid w:val="00F5581B"/>
    <w:rsid w:val="00F5644F"/>
    <w:rsid w:val="00F56861"/>
    <w:rsid w:val="00F568F5"/>
    <w:rsid w:val="00F56A6D"/>
    <w:rsid w:val="00F56AB6"/>
    <w:rsid w:val="00F56BE7"/>
    <w:rsid w:val="00F57303"/>
    <w:rsid w:val="00F57660"/>
    <w:rsid w:val="00F576CF"/>
    <w:rsid w:val="00F57944"/>
    <w:rsid w:val="00F57990"/>
    <w:rsid w:val="00F57A88"/>
    <w:rsid w:val="00F607CA"/>
    <w:rsid w:val="00F60872"/>
    <w:rsid w:val="00F60977"/>
    <w:rsid w:val="00F60B3A"/>
    <w:rsid w:val="00F60E95"/>
    <w:rsid w:val="00F60ED2"/>
    <w:rsid w:val="00F61135"/>
    <w:rsid w:val="00F611C7"/>
    <w:rsid w:val="00F61325"/>
    <w:rsid w:val="00F618DE"/>
    <w:rsid w:val="00F61B96"/>
    <w:rsid w:val="00F61D71"/>
    <w:rsid w:val="00F624FC"/>
    <w:rsid w:val="00F626F8"/>
    <w:rsid w:val="00F62918"/>
    <w:rsid w:val="00F6291D"/>
    <w:rsid w:val="00F62E04"/>
    <w:rsid w:val="00F63080"/>
    <w:rsid w:val="00F63349"/>
    <w:rsid w:val="00F63BDA"/>
    <w:rsid w:val="00F64131"/>
    <w:rsid w:val="00F6456A"/>
    <w:rsid w:val="00F645A2"/>
    <w:rsid w:val="00F648D2"/>
    <w:rsid w:val="00F64BA5"/>
    <w:rsid w:val="00F64C77"/>
    <w:rsid w:val="00F64CF8"/>
    <w:rsid w:val="00F653EE"/>
    <w:rsid w:val="00F665A3"/>
    <w:rsid w:val="00F66663"/>
    <w:rsid w:val="00F66688"/>
    <w:rsid w:val="00F66AA4"/>
    <w:rsid w:val="00F66B36"/>
    <w:rsid w:val="00F67015"/>
    <w:rsid w:val="00F67360"/>
    <w:rsid w:val="00F67380"/>
    <w:rsid w:val="00F674B8"/>
    <w:rsid w:val="00F677C6"/>
    <w:rsid w:val="00F67EC8"/>
    <w:rsid w:val="00F67F99"/>
    <w:rsid w:val="00F703F1"/>
    <w:rsid w:val="00F70430"/>
    <w:rsid w:val="00F706BC"/>
    <w:rsid w:val="00F7094E"/>
    <w:rsid w:val="00F70B55"/>
    <w:rsid w:val="00F70BC3"/>
    <w:rsid w:val="00F70C78"/>
    <w:rsid w:val="00F70C8E"/>
    <w:rsid w:val="00F71234"/>
    <w:rsid w:val="00F71310"/>
    <w:rsid w:val="00F71650"/>
    <w:rsid w:val="00F723CC"/>
    <w:rsid w:val="00F7295D"/>
    <w:rsid w:val="00F72ABD"/>
    <w:rsid w:val="00F72D93"/>
    <w:rsid w:val="00F72FAE"/>
    <w:rsid w:val="00F73294"/>
    <w:rsid w:val="00F7354C"/>
    <w:rsid w:val="00F735BC"/>
    <w:rsid w:val="00F73F0F"/>
    <w:rsid w:val="00F74040"/>
    <w:rsid w:val="00F7414D"/>
    <w:rsid w:val="00F74587"/>
    <w:rsid w:val="00F745BB"/>
    <w:rsid w:val="00F74922"/>
    <w:rsid w:val="00F74989"/>
    <w:rsid w:val="00F74A72"/>
    <w:rsid w:val="00F74D3F"/>
    <w:rsid w:val="00F74ECD"/>
    <w:rsid w:val="00F74F50"/>
    <w:rsid w:val="00F75263"/>
    <w:rsid w:val="00F757BE"/>
    <w:rsid w:val="00F75AB6"/>
    <w:rsid w:val="00F75CAA"/>
    <w:rsid w:val="00F75EC6"/>
    <w:rsid w:val="00F76211"/>
    <w:rsid w:val="00F76698"/>
    <w:rsid w:val="00F76B17"/>
    <w:rsid w:val="00F774BD"/>
    <w:rsid w:val="00F77503"/>
    <w:rsid w:val="00F77805"/>
    <w:rsid w:val="00F7780F"/>
    <w:rsid w:val="00F77BA2"/>
    <w:rsid w:val="00F77FD6"/>
    <w:rsid w:val="00F80470"/>
    <w:rsid w:val="00F80AAA"/>
    <w:rsid w:val="00F80D79"/>
    <w:rsid w:val="00F810D1"/>
    <w:rsid w:val="00F81315"/>
    <w:rsid w:val="00F81496"/>
    <w:rsid w:val="00F81601"/>
    <w:rsid w:val="00F81D7D"/>
    <w:rsid w:val="00F81E05"/>
    <w:rsid w:val="00F81FAB"/>
    <w:rsid w:val="00F8237E"/>
    <w:rsid w:val="00F82465"/>
    <w:rsid w:val="00F824E6"/>
    <w:rsid w:val="00F82C8A"/>
    <w:rsid w:val="00F82CE7"/>
    <w:rsid w:val="00F82F70"/>
    <w:rsid w:val="00F83348"/>
    <w:rsid w:val="00F834EB"/>
    <w:rsid w:val="00F83560"/>
    <w:rsid w:val="00F83A31"/>
    <w:rsid w:val="00F83BE2"/>
    <w:rsid w:val="00F83FBA"/>
    <w:rsid w:val="00F84027"/>
    <w:rsid w:val="00F841E8"/>
    <w:rsid w:val="00F84573"/>
    <w:rsid w:val="00F84EA8"/>
    <w:rsid w:val="00F850A2"/>
    <w:rsid w:val="00F857FD"/>
    <w:rsid w:val="00F85F62"/>
    <w:rsid w:val="00F85FD3"/>
    <w:rsid w:val="00F86089"/>
    <w:rsid w:val="00F8641A"/>
    <w:rsid w:val="00F8641F"/>
    <w:rsid w:val="00F86440"/>
    <w:rsid w:val="00F86DA7"/>
    <w:rsid w:val="00F86E0F"/>
    <w:rsid w:val="00F86E81"/>
    <w:rsid w:val="00F87388"/>
    <w:rsid w:val="00F8764F"/>
    <w:rsid w:val="00F8770D"/>
    <w:rsid w:val="00F87952"/>
    <w:rsid w:val="00F87AE3"/>
    <w:rsid w:val="00F87B56"/>
    <w:rsid w:val="00F87D36"/>
    <w:rsid w:val="00F87F43"/>
    <w:rsid w:val="00F900F4"/>
    <w:rsid w:val="00F9041E"/>
    <w:rsid w:val="00F9055F"/>
    <w:rsid w:val="00F9059E"/>
    <w:rsid w:val="00F90960"/>
    <w:rsid w:val="00F90A17"/>
    <w:rsid w:val="00F90BAD"/>
    <w:rsid w:val="00F910B9"/>
    <w:rsid w:val="00F91418"/>
    <w:rsid w:val="00F9169D"/>
    <w:rsid w:val="00F91B54"/>
    <w:rsid w:val="00F91D81"/>
    <w:rsid w:val="00F922CB"/>
    <w:rsid w:val="00F922D8"/>
    <w:rsid w:val="00F92339"/>
    <w:rsid w:val="00F92687"/>
    <w:rsid w:val="00F92812"/>
    <w:rsid w:val="00F92869"/>
    <w:rsid w:val="00F928B4"/>
    <w:rsid w:val="00F92A10"/>
    <w:rsid w:val="00F92DDF"/>
    <w:rsid w:val="00F92EB2"/>
    <w:rsid w:val="00F9300E"/>
    <w:rsid w:val="00F9324F"/>
    <w:rsid w:val="00F9394A"/>
    <w:rsid w:val="00F93BC3"/>
    <w:rsid w:val="00F93F52"/>
    <w:rsid w:val="00F94098"/>
    <w:rsid w:val="00F94A37"/>
    <w:rsid w:val="00F959A7"/>
    <w:rsid w:val="00F95C05"/>
    <w:rsid w:val="00F96110"/>
    <w:rsid w:val="00F96832"/>
    <w:rsid w:val="00F9696B"/>
    <w:rsid w:val="00F96996"/>
    <w:rsid w:val="00F96ACE"/>
    <w:rsid w:val="00F96B40"/>
    <w:rsid w:val="00F96EAC"/>
    <w:rsid w:val="00F96EFC"/>
    <w:rsid w:val="00F97144"/>
    <w:rsid w:val="00F971CD"/>
    <w:rsid w:val="00F97499"/>
    <w:rsid w:val="00F97936"/>
    <w:rsid w:val="00F97A96"/>
    <w:rsid w:val="00FA02DB"/>
    <w:rsid w:val="00FA05D3"/>
    <w:rsid w:val="00FA116A"/>
    <w:rsid w:val="00FA1427"/>
    <w:rsid w:val="00FA1495"/>
    <w:rsid w:val="00FA2374"/>
    <w:rsid w:val="00FA2401"/>
    <w:rsid w:val="00FA25E9"/>
    <w:rsid w:val="00FA26CD"/>
    <w:rsid w:val="00FA279C"/>
    <w:rsid w:val="00FA27B8"/>
    <w:rsid w:val="00FA2977"/>
    <w:rsid w:val="00FA298B"/>
    <w:rsid w:val="00FA2B4D"/>
    <w:rsid w:val="00FA2BB4"/>
    <w:rsid w:val="00FA312D"/>
    <w:rsid w:val="00FA3338"/>
    <w:rsid w:val="00FA358D"/>
    <w:rsid w:val="00FA3805"/>
    <w:rsid w:val="00FA3915"/>
    <w:rsid w:val="00FA3A18"/>
    <w:rsid w:val="00FA3EA2"/>
    <w:rsid w:val="00FA3EC6"/>
    <w:rsid w:val="00FA42A5"/>
    <w:rsid w:val="00FA4728"/>
    <w:rsid w:val="00FA4874"/>
    <w:rsid w:val="00FA49F2"/>
    <w:rsid w:val="00FA4DED"/>
    <w:rsid w:val="00FA58EC"/>
    <w:rsid w:val="00FA5CC8"/>
    <w:rsid w:val="00FA5F5D"/>
    <w:rsid w:val="00FA5FB4"/>
    <w:rsid w:val="00FA60E3"/>
    <w:rsid w:val="00FA6D75"/>
    <w:rsid w:val="00FA7191"/>
    <w:rsid w:val="00FA74D2"/>
    <w:rsid w:val="00FA76AB"/>
    <w:rsid w:val="00FA7817"/>
    <w:rsid w:val="00FA7AA1"/>
    <w:rsid w:val="00FA7E79"/>
    <w:rsid w:val="00FA7FCC"/>
    <w:rsid w:val="00FB0049"/>
    <w:rsid w:val="00FB009B"/>
    <w:rsid w:val="00FB01DE"/>
    <w:rsid w:val="00FB022A"/>
    <w:rsid w:val="00FB0280"/>
    <w:rsid w:val="00FB04D3"/>
    <w:rsid w:val="00FB06B1"/>
    <w:rsid w:val="00FB09CF"/>
    <w:rsid w:val="00FB0FA2"/>
    <w:rsid w:val="00FB1080"/>
    <w:rsid w:val="00FB113D"/>
    <w:rsid w:val="00FB13A6"/>
    <w:rsid w:val="00FB1733"/>
    <w:rsid w:val="00FB1857"/>
    <w:rsid w:val="00FB1AF2"/>
    <w:rsid w:val="00FB1B1F"/>
    <w:rsid w:val="00FB1B45"/>
    <w:rsid w:val="00FB209B"/>
    <w:rsid w:val="00FB2411"/>
    <w:rsid w:val="00FB2A89"/>
    <w:rsid w:val="00FB2D8B"/>
    <w:rsid w:val="00FB2F61"/>
    <w:rsid w:val="00FB2F6C"/>
    <w:rsid w:val="00FB37FB"/>
    <w:rsid w:val="00FB3B22"/>
    <w:rsid w:val="00FB3E5B"/>
    <w:rsid w:val="00FB3F4C"/>
    <w:rsid w:val="00FB41D1"/>
    <w:rsid w:val="00FB4591"/>
    <w:rsid w:val="00FB461E"/>
    <w:rsid w:val="00FB49AD"/>
    <w:rsid w:val="00FB4A38"/>
    <w:rsid w:val="00FB5034"/>
    <w:rsid w:val="00FB5091"/>
    <w:rsid w:val="00FB511C"/>
    <w:rsid w:val="00FB5130"/>
    <w:rsid w:val="00FB5256"/>
    <w:rsid w:val="00FB54E8"/>
    <w:rsid w:val="00FB55C6"/>
    <w:rsid w:val="00FB5613"/>
    <w:rsid w:val="00FB5AF9"/>
    <w:rsid w:val="00FB5BF7"/>
    <w:rsid w:val="00FB6A14"/>
    <w:rsid w:val="00FB6A38"/>
    <w:rsid w:val="00FB6F18"/>
    <w:rsid w:val="00FB74DE"/>
    <w:rsid w:val="00FB7578"/>
    <w:rsid w:val="00FB7615"/>
    <w:rsid w:val="00FB7FA8"/>
    <w:rsid w:val="00FB7FB6"/>
    <w:rsid w:val="00FC00CD"/>
    <w:rsid w:val="00FC0500"/>
    <w:rsid w:val="00FC07FD"/>
    <w:rsid w:val="00FC08A6"/>
    <w:rsid w:val="00FC095D"/>
    <w:rsid w:val="00FC0C0F"/>
    <w:rsid w:val="00FC0F49"/>
    <w:rsid w:val="00FC11B6"/>
    <w:rsid w:val="00FC1238"/>
    <w:rsid w:val="00FC12DC"/>
    <w:rsid w:val="00FC1792"/>
    <w:rsid w:val="00FC1D5C"/>
    <w:rsid w:val="00FC2AD6"/>
    <w:rsid w:val="00FC3247"/>
    <w:rsid w:val="00FC32CD"/>
    <w:rsid w:val="00FC3453"/>
    <w:rsid w:val="00FC36D8"/>
    <w:rsid w:val="00FC38DF"/>
    <w:rsid w:val="00FC3A78"/>
    <w:rsid w:val="00FC3B02"/>
    <w:rsid w:val="00FC3EE7"/>
    <w:rsid w:val="00FC42EA"/>
    <w:rsid w:val="00FC481D"/>
    <w:rsid w:val="00FC4915"/>
    <w:rsid w:val="00FC4A64"/>
    <w:rsid w:val="00FC4ADC"/>
    <w:rsid w:val="00FC4BD7"/>
    <w:rsid w:val="00FC5431"/>
    <w:rsid w:val="00FC54F4"/>
    <w:rsid w:val="00FC5756"/>
    <w:rsid w:val="00FC6046"/>
    <w:rsid w:val="00FC60E6"/>
    <w:rsid w:val="00FC6328"/>
    <w:rsid w:val="00FC6424"/>
    <w:rsid w:val="00FC7633"/>
    <w:rsid w:val="00FC77A4"/>
    <w:rsid w:val="00FC77F2"/>
    <w:rsid w:val="00FC7E4D"/>
    <w:rsid w:val="00FC7EB0"/>
    <w:rsid w:val="00FD0096"/>
    <w:rsid w:val="00FD00DD"/>
    <w:rsid w:val="00FD0210"/>
    <w:rsid w:val="00FD0272"/>
    <w:rsid w:val="00FD034C"/>
    <w:rsid w:val="00FD06A1"/>
    <w:rsid w:val="00FD073D"/>
    <w:rsid w:val="00FD0A6A"/>
    <w:rsid w:val="00FD0E90"/>
    <w:rsid w:val="00FD1677"/>
    <w:rsid w:val="00FD1691"/>
    <w:rsid w:val="00FD1FEA"/>
    <w:rsid w:val="00FD21E6"/>
    <w:rsid w:val="00FD2284"/>
    <w:rsid w:val="00FD22CA"/>
    <w:rsid w:val="00FD23B0"/>
    <w:rsid w:val="00FD260C"/>
    <w:rsid w:val="00FD27A8"/>
    <w:rsid w:val="00FD27B4"/>
    <w:rsid w:val="00FD2E98"/>
    <w:rsid w:val="00FD37FF"/>
    <w:rsid w:val="00FD3CF2"/>
    <w:rsid w:val="00FD41C3"/>
    <w:rsid w:val="00FD4741"/>
    <w:rsid w:val="00FD4858"/>
    <w:rsid w:val="00FD4E21"/>
    <w:rsid w:val="00FD4F5A"/>
    <w:rsid w:val="00FD51BB"/>
    <w:rsid w:val="00FD52E1"/>
    <w:rsid w:val="00FD547B"/>
    <w:rsid w:val="00FD56D8"/>
    <w:rsid w:val="00FD58BE"/>
    <w:rsid w:val="00FD5A14"/>
    <w:rsid w:val="00FD5CEB"/>
    <w:rsid w:val="00FD5DF0"/>
    <w:rsid w:val="00FD6141"/>
    <w:rsid w:val="00FD62A4"/>
    <w:rsid w:val="00FD63CC"/>
    <w:rsid w:val="00FD65D9"/>
    <w:rsid w:val="00FD6A02"/>
    <w:rsid w:val="00FD6A9F"/>
    <w:rsid w:val="00FD6C34"/>
    <w:rsid w:val="00FD7190"/>
    <w:rsid w:val="00FD73D1"/>
    <w:rsid w:val="00FD7F88"/>
    <w:rsid w:val="00FE042F"/>
    <w:rsid w:val="00FE0DD6"/>
    <w:rsid w:val="00FE10DB"/>
    <w:rsid w:val="00FE1151"/>
    <w:rsid w:val="00FE15EF"/>
    <w:rsid w:val="00FE186B"/>
    <w:rsid w:val="00FE1B3C"/>
    <w:rsid w:val="00FE1DB6"/>
    <w:rsid w:val="00FE1E44"/>
    <w:rsid w:val="00FE1FA2"/>
    <w:rsid w:val="00FE2438"/>
    <w:rsid w:val="00FE24E0"/>
    <w:rsid w:val="00FE253E"/>
    <w:rsid w:val="00FE2D2C"/>
    <w:rsid w:val="00FE2D3B"/>
    <w:rsid w:val="00FE2E2D"/>
    <w:rsid w:val="00FE2F28"/>
    <w:rsid w:val="00FE318C"/>
    <w:rsid w:val="00FE3197"/>
    <w:rsid w:val="00FE34CB"/>
    <w:rsid w:val="00FE3938"/>
    <w:rsid w:val="00FE3957"/>
    <w:rsid w:val="00FE3A5D"/>
    <w:rsid w:val="00FE3BB2"/>
    <w:rsid w:val="00FE3BB8"/>
    <w:rsid w:val="00FE3F86"/>
    <w:rsid w:val="00FE453A"/>
    <w:rsid w:val="00FE4BC7"/>
    <w:rsid w:val="00FE5852"/>
    <w:rsid w:val="00FE59AD"/>
    <w:rsid w:val="00FE5A35"/>
    <w:rsid w:val="00FE5F45"/>
    <w:rsid w:val="00FE61EE"/>
    <w:rsid w:val="00FE62CF"/>
    <w:rsid w:val="00FE6720"/>
    <w:rsid w:val="00FE6BB8"/>
    <w:rsid w:val="00FE6EAD"/>
    <w:rsid w:val="00FE6F52"/>
    <w:rsid w:val="00FE73B8"/>
    <w:rsid w:val="00FE74DB"/>
    <w:rsid w:val="00FE785B"/>
    <w:rsid w:val="00FE79A5"/>
    <w:rsid w:val="00FE7D1D"/>
    <w:rsid w:val="00FE7E97"/>
    <w:rsid w:val="00FE7F3D"/>
    <w:rsid w:val="00FF00DE"/>
    <w:rsid w:val="00FF05F7"/>
    <w:rsid w:val="00FF0E40"/>
    <w:rsid w:val="00FF0E86"/>
    <w:rsid w:val="00FF0F63"/>
    <w:rsid w:val="00FF10D9"/>
    <w:rsid w:val="00FF1257"/>
    <w:rsid w:val="00FF148B"/>
    <w:rsid w:val="00FF1725"/>
    <w:rsid w:val="00FF1971"/>
    <w:rsid w:val="00FF1FED"/>
    <w:rsid w:val="00FF214B"/>
    <w:rsid w:val="00FF225A"/>
    <w:rsid w:val="00FF2279"/>
    <w:rsid w:val="00FF24A9"/>
    <w:rsid w:val="00FF2A34"/>
    <w:rsid w:val="00FF2A97"/>
    <w:rsid w:val="00FF2E53"/>
    <w:rsid w:val="00FF30A1"/>
    <w:rsid w:val="00FF3278"/>
    <w:rsid w:val="00FF32CC"/>
    <w:rsid w:val="00FF348E"/>
    <w:rsid w:val="00FF3516"/>
    <w:rsid w:val="00FF38EC"/>
    <w:rsid w:val="00FF3BB7"/>
    <w:rsid w:val="00FF4290"/>
    <w:rsid w:val="00FF4481"/>
    <w:rsid w:val="00FF4B31"/>
    <w:rsid w:val="00FF5256"/>
    <w:rsid w:val="00FF5814"/>
    <w:rsid w:val="00FF5D40"/>
    <w:rsid w:val="00FF5D84"/>
    <w:rsid w:val="00FF61E2"/>
    <w:rsid w:val="00FF6536"/>
    <w:rsid w:val="00FF686C"/>
    <w:rsid w:val="00FF69EF"/>
    <w:rsid w:val="00FF6D23"/>
    <w:rsid w:val="00FF72BA"/>
    <w:rsid w:val="00FF7622"/>
    <w:rsid w:val="00FF777A"/>
    <w:rsid w:val="00FF7CE9"/>
    <w:rsid w:val="00FF7E55"/>
    <w:rsid w:val="038C484B"/>
    <w:rsid w:val="039553C3"/>
    <w:rsid w:val="0700B2E2"/>
    <w:rsid w:val="07D609D4"/>
    <w:rsid w:val="07F54DFB"/>
    <w:rsid w:val="080ACD13"/>
    <w:rsid w:val="08D07E8E"/>
    <w:rsid w:val="091B4E58"/>
    <w:rsid w:val="09B9CBB9"/>
    <w:rsid w:val="0A7D4F48"/>
    <w:rsid w:val="0AA1740F"/>
    <w:rsid w:val="0AA74669"/>
    <w:rsid w:val="0CBBB8DC"/>
    <w:rsid w:val="0DB6729A"/>
    <w:rsid w:val="0DDBF13D"/>
    <w:rsid w:val="0EBA1CF4"/>
    <w:rsid w:val="116DE5B1"/>
    <w:rsid w:val="12C35E42"/>
    <w:rsid w:val="14B443E5"/>
    <w:rsid w:val="157FF576"/>
    <w:rsid w:val="159325F2"/>
    <w:rsid w:val="16992924"/>
    <w:rsid w:val="16CA09D4"/>
    <w:rsid w:val="16FB3255"/>
    <w:rsid w:val="1986F39B"/>
    <w:rsid w:val="19B59BAB"/>
    <w:rsid w:val="19CD41F1"/>
    <w:rsid w:val="1B49D218"/>
    <w:rsid w:val="1C05C3B8"/>
    <w:rsid w:val="1C6267BE"/>
    <w:rsid w:val="1C6802B5"/>
    <w:rsid w:val="1CEC949E"/>
    <w:rsid w:val="1D0F2DD6"/>
    <w:rsid w:val="1D1B0514"/>
    <w:rsid w:val="1E12DBE8"/>
    <w:rsid w:val="2050CE96"/>
    <w:rsid w:val="206FAB50"/>
    <w:rsid w:val="21AC0CB9"/>
    <w:rsid w:val="21C2A04A"/>
    <w:rsid w:val="22EA1689"/>
    <w:rsid w:val="244CAB5C"/>
    <w:rsid w:val="24C0C328"/>
    <w:rsid w:val="258CE749"/>
    <w:rsid w:val="266843D2"/>
    <w:rsid w:val="27026DB1"/>
    <w:rsid w:val="2B3C03C2"/>
    <w:rsid w:val="2BEA7927"/>
    <w:rsid w:val="2E52276F"/>
    <w:rsid w:val="3295FD8B"/>
    <w:rsid w:val="33D64597"/>
    <w:rsid w:val="35B363D3"/>
    <w:rsid w:val="374057A1"/>
    <w:rsid w:val="37678814"/>
    <w:rsid w:val="37D79F9B"/>
    <w:rsid w:val="387F4CF8"/>
    <w:rsid w:val="399FF34D"/>
    <w:rsid w:val="3A4689D8"/>
    <w:rsid w:val="3AE662D7"/>
    <w:rsid w:val="3AF927C3"/>
    <w:rsid w:val="3D22FC1E"/>
    <w:rsid w:val="3D4EE1D7"/>
    <w:rsid w:val="3E476A17"/>
    <w:rsid w:val="3F9C8B71"/>
    <w:rsid w:val="413F30C7"/>
    <w:rsid w:val="426FEE8E"/>
    <w:rsid w:val="450C75C2"/>
    <w:rsid w:val="46679D5F"/>
    <w:rsid w:val="46BAFF59"/>
    <w:rsid w:val="4707D032"/>
    <w:rsid w:val="471EB8E8"/>
    <w:rsid w:val="474D38BA"/>
    <w:rsid w:val="47D4118B"/>
    <w:rsid w:val="47E8E176"/>
    <w:rsid w:val="48039500"/>
    <w:rsid w:val="48F322D7"/>
    <w:rsid w:val="496ECDB1"/>
    <w:rsid w:val="49B08CD9"/>
    <w:rsid w:val="49B233DD"/>
    <w:rsid w:val="49DAA522"/>
    <w:rsid w:val="4C19DDEF"/>
    <w:rsid w:val="50D691E8"/>
    <w:rsid w:val="52DAE674"/>
    <w:rsid w:val="52E00077"/>
    <w:rsid w:val="542F903D"/>
    <w:rsid w:val="54A629A9"/>
    <w:rsid w:val="54C60BB6"/>
    <w:rsid w:val="567AED49"/>
    <w:rsid w:val="57DD3144"/>
    <w:rsid w:val="586ED7F4"/>
    <w:rsid w:val="593A0B34"/>
    <w:rsid w:val="5A178DFD"/>
    <w:rsid w:val="5AEE10CC"/>
    <w:rsid w:val="5CB59708"/>
    <w:rsid w:val="5D00F666"/>
    <w:rsid w:val="5FEDCA0D"/>
    <w:rsid w:val="603C4BD2"/>
    <w:rsid w:val="60B958F4"/>
    <w:rsid w:val="60D187BC"/>
    <w:rsid w:val="61CFB5F7"/>
    <w:rsid w:val="63EA2446"/>
    <w:rsid w:val="6482AB71"/>
    <w:rsid w:val="66BE3E8F"/>
    <w:rsid w:val="677C0919"/>
    <w:rsid w:val="684D0F0B"/>
    <w:rsid w:val="690A7540"/>
    <w:rsid w:val="6B2674A3"/>
    <w:rsid w:val="6BD9BA59"/>
    <w:rsid w:val="6F160AD2"/>
    <w:rsid w:val="6F2B2D62"/>
    <w:rsid w:val="72485196"/>
    <w:rsid w:val="729E880A"/>
    <w:rsid w:val="74D84805"/>
    <w:rsid w:val="76459939"/>
    <w:rsid w:val="769C2ECD"/>
    <w:rsid w:val="774F3B0C"/>
    <w:rsid w:val="77E609C5"/>
    <w:rsid w:val="790CAAA8"/>
    <w:rsid w:val="79E2F445"/>
    <w:rsid w:val="7C47BB0D"/>
    <w:rsid w:val="7D422436"/>
    <w:rsid w:val="7DA76AB7"/>
    <w:rsid w:val="7F05DBF7"/>
    <w:rsid w:val="7F3F88C9"/>
    <w:rsid w:val="7FE55C1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1B7F1"/>
  <w15:chartTrackingRefBased/>
  <w15:docId w15:val="{55A0293F-8DFA-4654-9CEA-F0994627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977"/>
    <w:rPr>
      <w:sz w:val="24"/>
    </w:rPr>
  </w:style>
  <w:style w:type="paragraph" w:styleId="Heading1">
    <w:name w:val="heading 1"/>
    <w:aliases w:val="Heading 1 numbered"/>
    <w:basedOn w:val="Normal"/>
    <w:next w:val="Normal"/>
    <w:link w:val="Heading1Char"/>
    <w:uiPriority w:val="9"/>
    <w:qFormat/>
    <w:rsid w:val="00E13A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63EE"/>
    <w:pPr>
      <w:keepNext/>
      <w:keepLines/>
      <w:spacing w:before="40" w:after="0"/>
      <w:outlineLvl w:val="1"/>
    </w:pPr>
    <w:rPr>
      <w:rFonts w:eastAsiaTheme="majorEastAsia" w:cstheme="majorBidi"/>
      <w:b/>
      <w:color w:val="1F3864" w:themeColor="accent1" w:themeShade="80"/>
      <w:sz w:val="32"/>
      <w:szCs w:val="26"/>
    </w:rPr>
  </w:style>
  <w:style w:type="paragraph" w:styleId="Heading3">
    <w:name w:val="heading 3"/>
    <w:basedOn w:val="Normal"/>
    <w:next w:val="Normal"/>
    <w:link w:val="Heading3Char"/>
    <w:uiPriority w:val="9"/>
    <w:unhideWhenUsed/>
    <w:qFormat/>
    <w:rsid w:val="002627FE"/>
    <w:pPr>
      <w:keepNext/>
      <w:keepLines/>
      <w:spacing w:before="40" w:after="0"/>
      <w:outlineLvl w:val="2"/>
    </w:pPr>
    <w:rPr>
      <w:rFonts w:eastAsiaTheme="majorEastAsia" w:cstheme="majorBidi"/>
      <w:b/>
      <w:color w:val="1EB8C3"/>
      <w:sz w:val="28"/>
      <w:szCs w:val="24"/>
    </w:rPr>
  </w:style>
  <w:style w:type="paragraph" w:styleId="Heading4">
    <w:name w:val="heading 4"/>
    <w:basedOn w:val="Normal"/>
    <w:next w:val="Normal"/>
    <w:link w:val="Heading4Char"/>
    <w:uiPriority w:val="9"/>
    <w:unhideWhenUsed/>
    <w:qFormat/>
    <w:rsid w:val="00F52AF5"/>
    <w:pPr>
      <w:keepNext/>
      <w:keepLines/>
      <w:spacing w:before="40" w:after="0"/>
      <w:outlineLvl w:val="3"/>
    </w:pPr>
    <w:rPr>
      <w:rFonts w:ascii="Calibri-Light" w:eastAsiaTheme="majorEastAsia" w:hAnsi="Calibri-Light" w:cstheme="majorBidi"/>
      <w:b/>
      <w:iCs/>
      <w:color w:val="2F5496" w:themeColor="accent1" w:themeShade="BF"/>
    </w:rPr>
  </w:style>
  <w:style w:type="paragraph" w:styleId="Heading5">
    <w:name w:val="heading 5"/>
    <w:basedOn w:val="Normal"/>
    <w:next w:val="Normal"/>
    <w:link w:val="Heading5Char"/>
    <w:uiPriority w:val="9"/>
    <w:unhideWhenUsed/>
    <w:qFormat/>
    <w:rsid w:val="0013362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umbered Char"/>
    <w:basedOn w:val="DefaultParagraphFont"/>
    <w:link w:val="Heading1"/>
    <w:uiPriority w:val="9"/>
    <w:rsid w:val="00E13A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63EE"/>
    <w:rPr>
      <w:rFonts w:eastAsiaTheme="majorEastAsia" w:cstheme="majorBidi"/>
      <w:b/>
      <w:color w:val="1F3864" w:themeColor="accent1" w:themeShade="80"/>
      <w:sz w:val="32"/>
      <w:szCs w:val="26"/>
    </w:rPr>
  </w:style>
  <w:style w:type="character" w:customStyle="1" w:styleId="Heading3Char">
    <w:name w:val="Heading 3 Char"/>
    <w:basedOn w:val="DefaultParagraphFont"/>
    <w:link w:val="Heading3"/>
    <w:uiPriority w:val="9"/>
    <w:rsid w:val="002627FE"/>
    <w:rPr>
      <w:rFonts w:eastAsiaTheme="majorEastAsia" w:cstheme="majorBidi"/>
      <w:b/>
      <w:color w:val="1EB8C3"/>
      <w:sz w:val="28"/>
      <w:szCs w:val="24"/>
    </w:rPr>
  </w:style>
  <w:style w:type="paragraph" w:styleId="ListParagraph">
    <w:name w:val="List Paragraph"/>
    <w:aliases w:val="List Paragraph - Bullet Point,Rec para,Recommendation,List Paragraph11,Dot pt,F5 List Paragraph,No Spacing1,List Paragraph Char Char Char,Indicator Text,Numbered Para 1,Bullet 1,MAIN CONTENT,List Paragraph12,List Paragraph2"/>
    <w:basedOn w:val="Normal"/>
    <w:link w:val="ListParagraphChar"/>
    <w:uiPriority w:val="34"/>
    <w:qFormat/>
    <w:rsid w:val="00E13A06"/>
    <w:pPr>
      <w:ind w:left="720"/>
      <w:contextualSpacing/>
    </w:pPr>
  </w:style>
  <w:style w:type="paragraph" w:customStyle="1" w:styleId="Default">
    <w:name w:val="Default"/>
    <w:rsid w:val="00AF4838"/>
    <w:pPr>
      <w:autoSpaceDE w:val="0"/>
      <w:autoSpaceDN w:val="0"/>
      <w:adjustRightInd w:val="0"/>
      <w:spacing w:after="0" w:line="240" w:lineRule="auto"/>
    </w:pPr>
    <w:rPr>
      <w:rFonts w:ascii="Calibri-Light" w:hAnsi="Calibri-Light" w:cs="Calibri-Light"/>
      <w:color w:val="000000"/>
      <w:sz w:val="24"/>
      <w:szCs w:val="24"/>
    </w:rPr>
  </w:style>
  <w:style w:type="table" w:styleId="TableGrid">
    <w:name w:val="Table Grid"/>
    <w:basedOn w:val="TableNormal"/>
    <w:uiPriority w:val="39"/>
    <w:rsid w:val="00AF4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 Bullet Point Char,Rec para Char,Recommendation Char,List Paragraph11 Char,Dot pt Char,F5 List Paragraph Char,No Spacing1 Char,List Paragraph Char Char Char Char,Indicator Text Char,Numbered Para 1 Char,Bullet 1 Char"/>
    <w:basedOn w:val="DefaultParagraphFont"/>
    <w:link w:val="ListParagraph"/>
    <w:uiPriority w:val="34"/>
    <w:qFormat/>
    <w:locked/>
    <w:rsid w:val="00AF4838"/>
  </w:style>
  <w:style w:type="paragraph" w:styleId="Caption">
    <w:name w:val="caption"/>
    <w:basedOn w:val="Normal"/>
    <w:next w:val="Normal"/>
    <w:autoRedefine/>
    <w:uiPriority w:val="35"/>
    <w:unhideWhenUsed/>
    <w:qFormat/>
    <w:rsid w:val="00EE63BE"/>
    <w:pPr>
      <w:keepNext/>
      <w:widowControl w:val="0"/>
      <w:tabs>
        <w:tab w:val="left" w:pos="1418"/>
      </w:tabs>
      <w:autoSpaceDE w:val="0"/>
      <w:autoSpaceDN w:val="0"/>
      <w:spacing w:after="60" w:line="240" w:lineRule="auto"/>
    </w:pPr>
    <w:rPr>
      <w:rFonts w:ascii="Calibri" w:hAnsi="Calibri"/>
      <w:b/>
      <w:iCs/>
      <w:color w:val="44546A" w:themeColor="text2"/>
      <w:sz w:val="20"/>
      <w:szCs w:val="18"/>
      <w:lang w:val="en-US"/>
    </w:rPr>
  </w:style>
  <w:style w:type="character" w:styleId="CommentReference">
    <w:name w:val="annotation reference"/>
    <w:basedOn w:val="DefaultParagraphFont"/>
    <w:uiPriority w:val="99"/>
    <w:semiHidden/>
    <w:unhideWhenUsed/>
    <w:rsid w:val="00D1054D"/>
    <w:rPr>
      <w:sz w:val="16"/>
      <w:szCs w:val="16"/>
    </w:rPr>
  </w:style>
  <w:style w:type="paragraph" w:styleId="CommentText">
    <w:name w:val="annotation text"/>
    <w:basedOn w:val="Normal"/>
    <w:link w:val="CommentTextChar"/>
    <w:uiPriority w:val="99"/>
    <w:unhideWhenUsed/>
    <w:rsid w:val="00D1054D"/>
    <w:pPr>
      <w:spacing w:line="240" w:lineRule="auto"/>
    </w:pPr>
    <w:rPr>
      <w:sz w:val="20"/>
      <w:szCs w:val="20"/>
    </w:rPr>
  </w:style>
  <w:style w:type="character" w:customStyle="1" w:styleId="CommentTextChar">
    <w:name w:val="Comment Text Char"/>
    <w:basedOn w:val="DefaultParagraphFont"/>
    <w:link w:val="CommentText"/>
    <w:uiPriority w:val="99"/>
    <w:rsid w:val="00D1054D"/>
    <w:rPr>
      <w:sz w:val="20"/>
      <w:szCs w:val="20"/>
    </w:rPr>
  </w:style>
  <w:style w:type="paragraph" w:styleId="CommentSubject">
    <w:name w:val="annotation subject"/>
    <w:basedOn w:val="CommentText"/>
    <w:next w:val="CommentText"/>
    <w:link w:val="CommentSubjectChar"/>
    <w:uiPriority w:val="99"/>
    <w:semiHidden/>
    <w:unhideWhenUsed/>
    <w:rsid w:val="00D1054D"/>
    <w:rPr>
      <w:b/>
      <w:bCs/>
    </w:rPr>
  </w:style>
  <w:style w:type="character" w:customStyle="1" w:styleId="CommentSubjectChar">
    <w:name w:val="Comment Subject Char"/>
    <w:basedOn w:val="CommentTextChar"/>
    <w:link w:val="CommentSubject"/>
    <w:uiPriority w:val="99"/>
    <w:semiHidden/>
    <w:rsid w:val="00D1054D"/>
    <w:rPr>
      <w:b/>
      <w:bCs/>
      <w:sz w:val="20"/>
      <w:szCs w:val="20"/>
    </w:rPr>
  </w:style>
  <w:style w:type="character" w:customStyle="1" w:styleId="Heading4Char">
    <w:name w:val="Heading 4 Char"/>
    <w:basedOn w:val="DefaultParagraphFont"/>
    <w:link w:val="Heading4"/>
    <w:uiPriority w:val="9"/>
    <w:rsid w:val="00F52AF5"/>
    <w:rPr>
      <w:rFonts w:ascii="Calibri-Light" w:eastAsiaTheme="majorEastAsia" w:hAnsi="Calibri-Light" w:cstheme="majorBidi"/>
      <w:b/>
      <w:iCs/>
      <w:color w:val="2F5496" w:themeColor="accent1" w:themeShade="BF"/>
      <w:sz w:val="24"/>
    </w:rPr>
  </w:style>
  <w:style w:type="character" w:customStyle="1" w:styleId="normaltextrun">
    <w:name w:val="normaltextrun"/>
    <w:basedOn w:val="DefaultParagraphFont"/>
    <w:rsid w:val="00807BDE"/>
  </w:style>
  <w:style w:type="character" w:customStyle="1" w:styleId="eop">
    <w:name w:val="eop"/>
    <w:basedOn w:val="DefaultParagraphFont"/>
    <w:rsid w:val="00061EA8"/>
  </w:style>
  <w:style w:type="paragraph" w:customStyle="1" w:styleId="pf0">
    <w:name w:val="pf0"/>
    <w:basedOn w:val="Normal"/>
    <w:rsid w:val="00D61DFC"/>
    <w:pPr>
      <w:spacing w:before="100" w:beforeAutospacing="1" w:after="100" w:afterAutospacing="1" w:line="240" w:lineRule="auto"/>
    </w:pPr>
    <w:rPr>
      <w:rFonts w:ascii="Yu Gothic Light" w:eastAsia="Yu Gothic Light" w:hAnsi="Yu Gothic Light" w:cs="Yu Gothic Light"/>
      <w:szCs w:val="24"/>
      <w:lang w:eastAsia="en-NZ"/>
    </w:rPr>
  </w:style>
  <w:style w:type="character" w:customStyle="1" w:styleId="cf01">
    <w:name w:val="cf01"/>
    <w:basedOn w:val="DefaultParagraphFont"/>
    <w:rsid w:val="00D61DFC"/>
    <w:rPr>
      <w:rFonts w:ascii="Courier New" w:hAnsi="Courier New" w:cs="Courier New" w:hint="default"/>
      <w:sz w:val="18"/>
      <w:szCs w:val="18"/>
    </w:rPr>
  </w:style>
  <w:style w:type="paragraph" w:styleId="FootnoteText">
    <w:name w:val="footnote text"/>
    <w:basedOn w:val="Normal"/>
    <w:link w:val="FootnoteTextChar"/>
    <w:uiPriority w:val="99"/>
    <w:semiHidden/>
    <w:unhideWhenUsed/>
    <w:rsid w:val="00C50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05E"/>
    <w:rPr>
      <w:sz w:val="20"/>
      <w:szCs w:val="20"/>
    </w:rPr>
  </w:style>
  <w:style w:type="character" w:styleId="FootnoteReference">
    <w:name w:val="footnote reference"/>
    <w:basedOn w:val="DefaultParagraphFont"/>
    <w:uiPriority w:val="99"/>
    <w:semiHidden/>
    <w:unhideWhenUsed/>
    <w:rsid w:val="00C5005E"/>
    <w:rPr>
      <w:vertAlign w:val="superscript"/>
    </w:rPr>
  </w:style>
  <w:style w:type="character" w:styleId="Hyperlink">
    <w:name w:val="Hyperlink"/>
    <w:aliases w:val="A+C Hyperlink"/>
    <w:basedOn w:val="DefaultParagraphFont"/>
    <w:uiPriority w:val="99"/>
    <w:unhideWhenUsed/>
    <w:rsid w:val="00C5005E"/>
    <w:rPr>
      <w:color w:val="0563C1" w:themeColor="hyperlink"/>
      <w:u w:val="single"/>
    </w:rPr>
  </w:style>
  <w:style w:type="character" w:styleId="UnresolvedMention">
    <w:name w:val="Unresolved Mention"/>
    <w:basedOn w:val="DefaultParagraphFont"/>
    <w:uiPriority w:val="99"/>
    <w:unhideWhenUsed/>
    <w:rsid w:val="00C5005E"/>
    <w:rPr>
      <w:color w:val="605E5C"/>
      <w:shd w:val="clear" w:color="auto" w:fill="E1DFDD"/>
    </w:rPr>
  </w:style>
  <w:style w:type="paragraph" w:styleId="Subtitle">
    <w:name w:val="Subtitle"/>
    <w:basedOn w:val="Normal"/>
    <w:next w:val="Normal"/>
    <w:link w:val="SubtitleChar"/>
    <w:uiPriority w:val="11"/>
    <w:qFormat/>
    <w:rsid w:val="003973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73BA"/>
    <w:rPr>
      <w:rFonts w:eastAsiaTheme="minorEastAsia"/>
      <w:color w:val="5A5A5A" w:themeColor="text1" w:themeTint="A5"/>
      <w:spacing w:val="15"/>
    </w:rPr>
  </w:style>
  <w:style w:type="table" w:styleId="PlainTable1">
    <w:name w:val="Plain Table 1"/>
    <w:basedOn w:val="TableNormal"/>
    <w:uiPriority w:val="41"/>
    <w:rsid w:val="00167CE8"/>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37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C76"/>
  </w:style>
  <w:style w:type="paragraph" w:styleId="Footer">
    <w:name w:val="footer"/>
    <w:basedOn w:val="Normal"/>
    <w:link w:val="FooterChar"/>
    <w:uiPriority w:val="99"/>
    <w:unhideWhenUsed/>
    <w:rsid w:val="00E37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C76"/>
  </w:style>
  <w:style w:type="paragraph" w:customStyle="1" w:styleId="TableText">
    <w:name w:val="TableText"/>
    <w:basedOn w:val="Normal"/>
    <w:link w:val="TableTextChar"/>
    <w:qFormat/>
    <w:rsid w:val="005C51C0"/>
    <w:pPr>
      <w:spacing w:before="60" w:after="60" w:line="240" w:lineRule="atLeast"/>
    </w:pPr>
    <w:rPr>
      <w:rFonts w:ascii="Calibri-Light" w:eastAsiaTheme="minorEastAsia" w:hAnsi="Calibri-Light"/>
      <w:sz w:val="18"/>
      <w:lang w:eastAsia="en-NZ"/>
    </w:rPr>
  </w:style>
  <w:style w:type="paragraph" w:customStyle="1" w:styleId="TableTextbold">
    <w:name w:val="TableText bold"/>
    <w:basedOn w:val="TableText"/>
    <w:rsid w:val="005C51C0"/>
    <w:rPr>
      <w:b/>
    </w:rPr>
  </w:style>
  <w:style w:type="character" w:customStyle="1" w:styleId="TableTextChar">
    <w:name w:val="TableText Char"/>
    <w:link w:val="TableText"/>
    <w:rsid w:val="005C51C0"/>
    <w:rPr>
      <w:rFonts w:ascii="Calibri-Light" w:eastAsiaTheme="minorEastAsia" w:hAnsi="Calibri-Light"/>
      <w:sz w:val="18"/>
      <w:lang w:eastAsia="en-NZ"/>
    </w:rPr>
  </w:style>
  <w:style w:type="character" w:styleId="FollowedHyperlink">
    <w:name w:val="FollowedHyperlink"/>
    <w:basedOn w:val="DefaultParagraphFont"/>
    <w:uiPriority w:val="99"/>
    <w:semiHidden/>
    <w:unhideWhenUsed/>
    <w:rsid w:val="001E3AEB"/>
    <w:rPr>
      <w:color w:val="954F72" w:themeColor="followedHyperlink"/>
      <w:u w:val="single"/>
    </w:rPr>
  </w:style>
  <w:style w:type="paragraph" w:styleId="Revision">
    <w:name w:val="Revision"/>
    <w:hidden/>
    <w:uiPriority w:val="99"/>
    <w:semiHidden/>
    <w:rsid w:val="009636B3"/>
    <w:pPr>
      <w:spacing w:after="0" w:line="240" w:lineRule="auto"/>
    </w:pPr>
  </w:style>
  <w:style w:type="paragraph" w:styleId="TOCHeading">
    <w:name w:val="TOC Heading"/>
    <w:basedOn w:val="Heading1"/>
    <w:next w:val="Normal"/>
    <w:uiPriority w:val="39"/>
    <w:unhideWhenUsed/>
    <w:qFormat/>
    <w:rsid w:val="000A4694"/>
    <w:pPr>
      <w:outlineLvl w:val="9"/>
    </w:pPr>
    <w:rPr>
      <w:lang w:val="en-US"/>
    </w:rPr>
  </w:style>
  <w:style w:type="paragraph" w:styleId="TOC2">
    <w:name w:val="toc 2"/>
    <w:basedOn w:val="Normal"/>
    <w:next w:val="Normal"/>
    <w:autoRedefine/>
    <w:uiPriority w:val="39"/>
    <w:unhideWhenUsed/>
    <w:rsid w:val="000A4694"/>
    <w:pPr>
      <w:spacing w:after="100"/>
      <w:ind w:left="240"/>
    </w:pPr>
  </w:style>
  <w:style w:type="paragraph" w:styleId="TOC3">
    <w:name w:val="toc 3"/>
    <w:basedOn w:val="Normal"/>
    <w:next w:val="Normal"/>
    <w:autoRedefine/>
    <w:uiPriority w:val="39"/>
    <w:unhideWhenUsed/>
    <w:rsid w:val="000A4694"/>
    <w:pPr>
      <w:spacing w:after="100"/>
      <w:ind w:left="480"/>
    </w:pPr>
  </w:style>
  <w:style w:type="paragraph" w:styleId="Bibliography">
    <w:name w:val="Bibliography"/>
    <w:basedOn w:val="Normal"/>
    <w:next w:val="Normal"/>
    <w:uiPriority w:val="37"/>
    <w:unhideWhenUsed/>
    <w:rsid w:val="0015151F"/>
  </w:style>
  <w:style w:type="character" w:customStyle="1" w:styleId="cf11">
    <w:name w:val="cf11"/>
    <w:basedOn w:val="DefaultParagraphFont"/>
    <w:rsid w:val="003E303E"/>
    <w:rPr>
      <w:rFonts w:ascii="Courier New" w:hAnsi="Courier New" w:cs="Courier New" w:hint="default"/>
      <w:sz w:val="18"/>
      <w:szCs w:val="18"/>
      <w:u w:val="single"/>
    </w:rPr>
  </w:style>
  <w:style w:type="paragraph" w:styleId="TOC1">
    <w:name w:val="toc 1"/>
    <w:basedOn w:val="Normal"/>
    <w:next w:val="Normal"/>
    <w:autoRedefine/>
    <w:uiPriority w:val="39"/>
    <w:unhideWhenUsed/>
    <w:rsid w:val="005460E1"/>
    <w:pPr>
      <w:spacing w:after="100"/>
    </w:pPr>
  </w:style>
  <w:style w:type="paragraph" w:customStyle="1" w:styleId="TableParagraph">
    <w:name w:val="Table Paragraph"/>
    <w:basedOn w:val="Normal"/>
    <w:uiPriority w:val="1"/>
    <w:qFormat/>
    <w:rsid w:val="00E25055"/>
    <w:pPr>
      <w:widowControl w:val="0"/>
      <w:autoSpaceDE w:val="0"/>
      <w:autoSpaceDN w:val="0"/>
      <w:spacing w:after="0" w:line="240" w:lineRule="auto"/>
      <w:jc w:val="center"/>
    </w:pPr>
    <w:rPr>
      <w:rFonts w:ascii="Calibri-Light" w:eastAsia="Calibri-Light" w:hAnsi="Calibri-Light" w:cs="Calibri-Light"/>
      <w:color w:val="000000" w:themeColor="text1"/>
      <w:sz w:val="22"/>
      <w:lang w:val="en-US"/>
    </w:rPr>
  </w:style>
  <w:style w:type="character" w:styleId="Mention">
    <w:name w:val="Mention"/>
    <w:basedOn w:val="DefaultParagraphFont"/>
    <w:uiPriority w:val="99"/>
    <w:unhideWhenUsed/>
    <w:rsid w:val="006732B3"/>
    <w:rPr>
      <w:color w:val="2B579A"/>
      <w:shd w:val="clear" w:color="auto" w:fill="E1DFDD"/>
    </w:rPr>
  </w:style>
  <w:style w:type="paragraph" w:customStyle="1" w:styleId="Heading1nonumber">
    <w:name w:val="Heading 1 no number"/>
    <w:basedOn w:val="Heading1"/>
    <w:link w:val="Heading1nonumberChar"/>
    <w:qFormat/>
    <w:rsid w:val="00132166"/>
    <w:pPr>
      <w:spacing w:before="360" w:after="120" w:line="276" w:lineRule="auto"/>
    </w:pPr>
    <w:rPr>
      <w:rFonts w:ascii="Calibri-Light" w:hAnsi="Calibri-Light" w:cstheme="minorBidi"/>
      <w:b/>
      <w:color w:val="1F3864" w:themeColor="accent1" w:themeShade="80"/>
      <w:sz w:val="44"/>
      <w:szCs w:val="44"/>
    </w:rPr>
  </w:style>
  <w:style w:type="character" w:customStyle="1" w:styleId="Heading1nonumberChar">
    <w:name w:val="Heading 1 no number Char"/>
    <w:basedOn w:val="DefaultParagraphFont"/>
    <w:link w:val="Heading1nonumber"/>
    <w:rsid w:val="00132166"/>
    <w:rPr>
      <w:rFonts w:ascii="Calibri-Light" w:eastAsiaTheme="majorEastAsia" w:hAnsi="Calibri-Light"/>
      <w:b/>
      <w:color w:val="1F3864" w:themeColor="accent1" w:themeShade="80"/>
      <w:sz w:val="44"/>
      <w:szCs w:val="44"/>
    </w:rPr>
  </w:style>
  <w:style w:type="character" w:customStyle="1" w:styleId="Heading5Char">
    <w:name w:val="Heading 5 Char"/>
    <w:basedOn w:val="DefaultParagraphFont"/>
    <w:link w:val="Heading5"/>
    <w:uiPriority w:val="9"/>
    <w:rsid w:val="00133622"/>
    <w:rPr>
      <w:rFonts w:asciiTheme="majorHAnsi" w:eastAsiaTheme="majorEastAsia" w:hAnsiTheme="majorHAnsi" w:cstheme="majorBidi"/>
      <w:color w:val="2F5496" w:themeColor="accent1" w:themeShade="BF"/>
      <w:sz w:val="24"/>
    </w:rPr>
  </w:style>
  <w:style w:type="paragraph" w:styleId="EndnoteText">
    <w:name w:val="endnote text"/>
    <w:basedOn w:val="Normal"/>
    <w:link w:val="EndnoteTextChar"/>
    <w:uiPriority w:val="99"/>
    <w:semiHidden/>
    <w:unhideWhenUsed/>
    <w:rsid w:val="009F21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F219B"/>
    <w:rPr>
      <w:sz w:val="20"/>
      <w:szCs w:val="20"/>
    </w:rPr>
  </w:style>
  <w:style w:type="character" w:styleId="EndnoteReference">
    <w:name w:val="endnote reference"/>
    <w:basedOn w:val="DefaultParagraphFont"/>
    <w:uiPriority w:val="99"/>
    <w:semiHidden/>
    <w:unhideWhenUsed/>
    <w:rsid w:val="009F219B"/>
    <w:rPr>
      <w:vertAlign w:val="superscript"/>
    </w:rPr>
  </w:style>
  <w:style w:type="paragraph" w:customStyle="1" w:styleId="Bodybullets">
    <w:name w:val="Body bullets"/>
    <w:basedOn w:val="pf0"/>
    <w:qFormat/>
    <w:rsid w:val="00EA13C4"/>
    <w:pPr>
      <w:numPr>
        <w:numId w:val="69"/>
      </w:numPr>
      <w:spacing w:before="120" w:beforeAutospacing="0" w:after="120" w:afterAutospacing="0" w:line="276" w:lineRule="auto"/>
      <w:contextualSpacing/>
    </w:pPr>
    <w:rPr>
      <w:rFonts w:asciiTheme="minorHAnsi" w:hAnsiTheme="minorHAnsi" w:cstheme="minorHAnsi"/>
    </w:rPr>
  </w:style>
  <w:style w:type="paragraph" w:customStyle="1" w:styleId="Tableheading">
    <w:name w:val="Table heading"/>
    <w:basedOn w:val="Normal"/>
    <w:qFormat/>
    <w:rsid w:val="00870C1F"/>
    <w:pPr>
      <w:spacing w:after="0" w:line="240" w:lineRule="auto"/>
    </w:pPr>
    <w:rPr>
      <w:b/>
      <w:sz w:val="22"/>
    </w:rPr>
  </w:style>
  <w:style w:type="table" w:styleId="GridTable5Dark-Accent5">
    <w:name w:val="Grid Table 5 Dark Accent 5"/>
    <w:basedOn w:val="TableNormal"/>
    <w:uiPriority w:val="50"/>
    <w:rsid w:val="00E25055"/>
    <w:pPr>
      <w:widowControl w:val="0"/>
      <w:autoSpaceDE w:val="0"/>
      <w:autoSpaceDN w:val="0"/>
      <w:spacing w:after="0" w:line="240" w:lineRule="auto"/>
    </w:pPr>
    <w:rPr>
      <w:rFonts w:ascii="Calibri" w:hAnsi="Calibr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Sourceline">
    <w:name w:val="Source line"/>
    <w:basedOn w:val="BodyText"/>
    <w:next w:val="BodyText"/>
    <w:link w:val="SourcelineChar"/>
    <w:qFormat/>
    <w:rsid w:val="00E25055"/>
    <w:pPr>
      <w:spacing w:before="120" w:line="276" w:lineRule="auto"/>
    </w:pPr>
    <w:rPr>
      <w:rFonts w:ascii="Calibri" w:hAnsi="Calibri"/>
      <w:color w:val="000000" w:themeColor="text1"/>
      <w:sz w:val="20"/>
      <w:szCs w:val="28"/>
    </w:rPr>
  </w:style>
  <w:style w:type="character" w:customStyle="1" w:styleId="SourcelineChar">
    <w:name w:val="Source line Char"/>
    <w:basedOn w:val="BodyTextChar"/>
    <w:link w:val="Sourceline"/>
    <w:rsid w:val="00E25055"/>
    <w:rPr>
      <w:rFonts w:ascii="Calibri" w:hAnsi="Calibri"/>
      <w:color w:val="000000" w:themeColor="text1"/>
      <w:sz w:val="20"/>
      <w:szCs w:val="28"/>
    </w:rPr>
  </w:style>
  <w:style w:type="paragraph" w:styleId="BodyText">
    <w:name w:val="Body Text"/>
    <w:basedOn w:val="Normal"/>
    <w:link w:val="BodyTextChar"/>
    <w:uiPriority w:val="1"/>
    <w:semiHidden/>
    <w:unhideWhenUsed/>
    <w:qFormat/>
    <w:rsid w:val="00E25055"/>
    <w:pPr>
      <w:spacing w:after="120"/>
    </w:pPr>
  </w:style>
  <w:style w:type="character" w:customStyle="1" w:styleId="BodyTextChar">
    <w:name w:val="Body Text Char"/>
    <w:basedOn w:val="DefaultParagraphFont"/>
    <w:link w:val="BodyText"/>
    <w:uiPriority w:val="1"/>
    <w:semiHidden/>
    <w:rsid w:val="00E250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96">
      <w:bodyDiv w:val="1"/>
      <w:marLeft w:val="0"/>
      <w:marRight w:val="0"/>
      <w:marTop w:val="0"/>
      <w:marBottom w:val="0"/>
      <w:divBdr>
        <w:top w:val="none" w:sz="0" w:space="0" w:color="auto"/>
        <w:left w:val="none" w:sz="0" w:space="0" w:color="auto"/>
        <w:bottom w:val="none" w:sz="0" w:space="0" w:color="auto"/>
        <w:right w:val="none" w:sz="0" w:space="0" w:color="auto"/>
      </w:divBdr>
    </w:div>
    <w:div w:id="1979630">
      <w:bodyDiv w:val="1"/>
      <w:marLeft w:val="0"/>
      <w:marRight w:val="0"/>
      <w:marTop w:val="0"/>
      <w:marBottom w:val="0"/>
      <w:divBdr>
        <w:top w:val="none" w:sz="0" w:space="0" w:color="auto"/>
        <w:left w:val="none" w:sz="0" w:space="0" w:color="auto"/>
        <w:bottom w:val="none" w:sz="0" w:space="0" w:color="auto"/>
        <w:right w:val="none" w:sz="0" w:space="0" w:color="auto"/>
      </w:divBdr>
    </w:div>
    <w:div w:id="8067389">
      <w:bodyDiv w:val="1"/>
      <w:marLeft w:val="0"/>
      <w:marRight w:val="0"/>
      <w:marTop w:val="0"/>
      <w:marBottom w:val="0"/>
      <w:divBdr>
        <w:top w:val="none" w:sz="0" w:space="0" w:color="auto"/>
        <w:left w:val="none" w:sz="0" w:space="0" w:color="auto"/>
        <w:bottom w:val="none" w:sz="0" w:space="0" w:color="auto"/>
        <w:right w:val="none" w:sz="0" w:space="0" w:color="auto"/>
      </w:divBdr>
    </w:div>
    <w:div w:id="30612978">
      <w:bodyDiv w:val="1"/>
      <w:marLeft w:val="0"/>
      <w:marRight w:val="0"/>
      <w:marTop w:val="0"/>
      <w:marBottom w:val="0"/>
      <w:divBdr>
        <w:top w:val="none" w:sz="0" w:space="0" w:color="auto"/>
        <w:left w:val="none" w:sz="0" w:space="0" w:color="auto"/>
        <w:bottom w:val="none" w:sz="0" w:space="0" w:color="auto"/>
        <w:right w:val="none" w:sz="0" w:space="0" w:color="auto"/>
      </w:divBdr>
    </w:div>
    <w:div w:id="34082784">
      <w:bodyDiv w:val="1"/>
      <w:marLeft w:val="0"/>
      <w:marRight w:val="0"/>
      <w:marTop w:val="0"/>
      <w:marBottom w:val="0"/>
      <w:divBdr>
        <w:top w:val="none" w:sz="0" w:space="0" w:color="auto"/>
        <w:left w:val="none" w:sz="0" w:space="0" w:color="auto"/>
        <w:bottom w:val="none" w:sz="0" w:space="0" w:color="auto"/>
        <w:right w:val="none" w:sz="0" w:space="0" w:color="auto"/>
      </w:divBdr>
    </w:div>
    <w:div w:id="61220505">
      <w:bodyDiv w:val="1"/>
      <w:marLeft w:val="0"/>
      <w:marRight w:val="0"/>
      <w:marTop w:val="0"/>
      <w:marBottom w:val="0"/>
      <w:divBdr>
        <w:top w:val="none" w:sz="0" w:space="0" w:color="auto"/>
        <w:left w:val="none" w:sz="0" w:space="0" w:color="auto"/>
        <w:bottom w:val="none" w:sz="0" w:space="0" w:color="auto"/>
        <w:right w:val="none" w:sz="0" w:space="0" w:color="auto"/>
      </w:divBdr>
    </w:div>
    <w:div w:id="90708969">
      <w:bodyDiv w:val="1"/>
      <w:marLeft w:val="0"/>
      <w:marRight w:val="0"/>
      <w:marTop w:val="0"/>
      <w:marBottom w:val="0"/>
      <w:divBdr>
        <w:top w:val="none" w:sz="0" w:space="0" w:color="auto"/>
        <w:left w:val="none" w:sz="0" w:space="0" w:color="auto"/>
        <w:bottom w:val="none" w:sz="0" w:space="0" w:color="auto"/>
        <w:right w:val="none" w:sz="0" w:space="0" w:color="auto"/>
      </w:divBdr>
    </w:div>
    <w:div w:id="92556652">
      <w:bodyDiv w:val="1"/>
      <w:marLeft w:val="0"/>
      <w:marRight w:val="0"/>
      <w:marTop w:val="0"/>
      <w:marBottom w:val="0"/>
      <w:divBdr>
        <w:top w:val="none" w:sz="0" w:space="0" w:color="auto"/>
        <w:left w:val="none" w:sz="0" w:space="0" w:color="auto"/>
        <w:bottom w:val="none" w:sz="0" w:space="0" w:color="auto"/>
        <w:right w:val="none" w:sz="0" w:space="0" w:color="auto"/>
      </w:divBdr>
    </w:div>
    <w:div w:id="162206394">
      <w:bodyDiv w:val="1"/>
      <w:marLeft w:val="0"/>
      <w:marRight w:val="0"/>
      <w:marTop w:val="0"/>
      <w:marBottom w:val="0"/>
      <w:divBdr>
        <w:top w:val="none" w:sz="0" w:space="0" w:color="auto"/>
        <w:left w:val="none" w:sz="0" w:space="0" w:color="auto"/>
        <w:bottom w:val="none" w:sz="0" w:space="0" w:color="auto"/>
        <w:right w:val="none" w:sz="0" w:space="0" w:color="auto"/>
      </w:divBdr>
    </w:div>
    <w:div w:id="166558907">
      <w:bodyDiv w:val="1"/>
      <w:marLeft w:val="0"/>
      <w:marRight w:val="0"/>
      <w:marTop w:val="0"/>
      <w:marBottom w:val="0"/>
      <w:divBdr>
        <w:top w:val="none" w:sz="0" w:space="0" w:color="auto"/>
        <w:left w:val="none" w:sz="0" w:space="0" w:color="auto"/>
        <w:bottom w:val="none" w:sz="0" w:space="0" w:color="auto"/>
        <w:right w:val="none" w:sz="0" w:space="0" w:color="auto"/>
      </w:divBdr>
    </w:div>
    <w:div w:id="185094496">
      <w:bodyDiv w:val="1"/>
      <w:marLeft w:val="0"/>
      <w:marRight w:val="0"/>
      <w:marTop w:val="0"/>
      <w:marBottom w:val="0"/>
      <w:divBdr>
        <w:top w:val="none" w:sz="0" w:space="0" w:color="auto"/>
        <w:left w:val="none" w:sz="0" w:space="0" w:color="auto"/>
        <w:bottom w:val="none" w:sz="0" w:space="0" w:color="auto"/>
        <w:right w:val="none" w:sz="0" w:space="0" w:color="auto"/>
      </w:divBdr>
    </w:div>
    <w:div w:id="228463795">
      <w:bodyDiv w:val="1"/>
      <w:marLeft w:val="0"/>
      <w:marRight w:val="0"/>
      <w:marTop w:val="0"/>
      <w:marBottom w:val="0"/>
      <w:divBdr>
        <w:top w:val="none" w:sz="0" w:space="0" w:color="auto"/>
        <w:left w:val="none" w:sz="0" w:space="0" w:color="auto"/>
        <w:bottom w:val="none" w:sz="0" w:space="0" w:color="auto"/>
        <w:right w:val="none" w:sz="0" w:space="0" w:color="auto"/>
      </w:divBdr>
    </w:div>
    <w:div w:id="234554375">
      <w:bodyDiv w:val="1"/>
      <w:marLeft w:val="0"/>
      <w:marRight w:val="0"/>
      <w:marTop w:val="0"/>
      <w:marBottom w:val="0"/>
      <w:divBdr>
        <w:top w:val="none" w:sz="0" w:space="0" w:color="auto"/>
        <w:left w:val="none" w:sz="0" w:space="0" w:color="auto"/>
        <w:bottom w:val="none" w:sz="0" w:space="0" w:color="auto"/>
        <w:right w:val="none" w:sz="0" w:space="0" w:color="auto"/>
      </w:divBdr>
    </w:div>
    <w:div w:id="245070930">
      <w:bodyDiv w:val="1"/>
      <w:marLeft w:val="0"/>
      <w:marRight w:val="0"/>
      <w:marTop w:val="0"/>
      <w:marBottom w:val="0"/>
      <w:divBdr>
        <w:top w:val="none" w:sz="0" w:space="0" w:color="auto"/>
        <w:left w:val="none" w:sz="0" w:space="0" w:color="auto"/>
        <w:bottom w:val="none" w:sz="0" w:space="0" w:color="auto"/>
        <w:right w:val="none" w:sz="0" w:space="0" w:color="auto"/>
      </w:divBdr>
    </w:div>
    <w:div w:id="276377726">
      <w:bodyDiv w:val="1"/>
      <w:marLeft w:val="0"/>
      <w:marRight w:val="0"/>
      <w:marTop w:val="0"/>
      <w:marBottom w:val="0"/>
      <w:divBdr>
        <w:top w:val="none" w:sz="0" w:space="0" w:color="auto"/>
        <w:left w:val="none" w:sz="0" w:space="0" w:color="auto"/>
        <w:bottom w:val="none" w:sz="0" w:space="0" w:color="auto"/>
        <w:right w:val="none" w:sz="0" w:space="0" w:color="auto"/>
      </w:divBdr>
    </w:div>
    <w:div w:id="310133114">
      <w:bodyDiv w:val="1"/>
      <w:marLeft w:val="0"/>
      <w:marRight w:val="0"/>
      <w:marTop w:val="0"/>
      <w:marBottom w:val="0"/>
      <w:divBdr>
        <w:top w:val="none" w:sz="0" w:space="0" w:color="auto"/>
        <w:left w:val="none" w:sz="0" w:space="0" w:color="auto"/>
        <w:bottom w:val="none" w:sz="0" w:space="0" w:color="auto"/>
        <w:right w:val="none" w:sz="0" w:space="0" w:color="auto"/>
      </w:divBdr>
    </w:div>
    <w:div w:id="331228003">
      <w:bodyDiv w:val="1"/>
      <w:marLeft w:val="0"/>
      <w:marRight w:val="0"/>
      <w:marTop w:val="0"/>
      <w:marBottom w:val="0"/>
      <w:divBdr>
        <w:top w:val="none" w:sz="0" w:space="0" w:color="auto"/>
        <w:left w:val="none" w:sz="0" w:space="0" w:color="auto"/>
        <w:bottom w:val="none" w:sz="0" w:space="0" w:color="auto"/>
        <w:right w:val="none" w:sz="0" w:space="0" w:color="auto"/>
      </w:divBdr>
    </w:div>
    <w:div w:id="342896094">
      <w:bodyDiv w:val="1"/>
      <w:marLeft w:val="0"/>
      <w:marRight w:val="0"/>
      <w:marTop w:val="0"/>
      <w:marBottom w:val="0"/>
      <w:divBdr>
        <w:top w:val="none" w:sz="0" w:space="0" w:color="auto"/>
        <w:left w:val="none" w:sz="0" w:space="0" w:color="auto"/>
        <w:bottom w:val="none" w:sz="0" w:space="0" w:color="auto"/>
        <w:right w:val="none" w:sz="0" w:space="0" w:color="auto"/>
      </w:divBdr>
    </w:div>
    <w:div w:id="343359278">
      <w:bodyDiv w:val="1"/>
      <w:marLeft w:val="0"/>
      <w:marRight w:val="0"/>
      <w:marTop w:val="0"/>
      <w:marBottom w:val="0"/>
      <w:divBdr>
        <w:top w:val="none" w:sz="0" w:space="0" w:color="auto"/>
        <w:left w:val="none" w:sz="0" w:space="0" w:color="auto"/>
        <w:bottom w:val="none" w:sz="0" w:space="0" w:color="auto"/>
        <w:right w:val="none" w:sz="0" w:space="0" w:color="auto"/>
      </w:divBdr>
    </w:div>
    <w:div w:id="363793887">
      <w:bodyDiv w:val="1"/>
      <w:marLeft w:val="0"/>
      <w:marRight w:val="0"/>
      <w:marTop w:val="0"/>
      <w:marBottom w:val="0"/>
      <w:divBdr>
        <w:top w:val="none" w:sz="0" w:space="0" w:color="auto"/>
        <w:left w:val="none" w:sz="0" w:space="0" w:color="auto"/>
        <w:bottom w:val="none" w:sz="0" w:space="0" w:color="auto"/>
        <w:right w:val="none" w:sz="0" w:space="0" w:color="auto"/>
      </w:divBdr>
    </w:div>
    <w:div w:id="367414569">
      <w:bodyDiv w:val="1"/>
      <w:marLeft w:val="0"/>
      <w:marRight w:val="0"/>
      <w:marTop w:val="0"/>
      <w:marBottom w:val="0"/>
      <w:divBdr>
        <w:top w:val="none" w:sz="0" w:space="0" w:color="auto"/>
        <w:left w:val="none" w:sz="0" w:space="0" w:color="auto"/>
        <w:bottom w:val="none" w:sz="0" w:space="0" w:color="auto"/>
        <w:right w:val="none" w:sz="0" w:space="0" w:color="auto"/>
      </w:divBdr>
    </w:div>
    <w:div w:id="379523080">
      <w:bodyDiv w:val="1"/>
      <w:marLeft w:val="0"/>
      <w:marRight w:val="0"/>
      <w:marTop w:val="0"/>
      <w:marBottom w:val="0"/>
      <w:divBdr>
        <w:top w:val="none" w:sz="0" w:space="0" w:color="auto"/>
        <w:left w:val="none" w:sz="0" w:space="0" w:color="auto"/>
        <w:bottom w:val="none" w:sz="0" w:space="0" w:color="auto"/>
        <w:right w:val="none" w:sz="0" w:space="0" w:color="auto"/>
      </w:divBdr>
    </w:div>
    <w:div w:id="387798481">
      <w:bodyDiv w:val="1"/>
      <w:marLeft w:val="0"/>
      <w:marRight w:val="0"/>
      <w:marTop w:val="0"/>
      <w:marBottom w:val="0"/>
      <w:divBdr>
        <w:top w:val="none" w:sz="0" w:space="0" w:color="auto"/>
        <w:left w:val="none" w:sz="0" w:space="0" w:color="auto"/>
        <w:bottom w:val="none" w:sz="0" w:space="0" w:color="auto"/>
        <w:right w:val="none" w:sz="0" w:space="0" w:color="auto"/>
      </w:divBdr>
    </w:div>
    <w:div w:id="430972944">
      <w:bodyDiv w:val="1"/>
      <w:marLeft w:val="0"/>
      <w:marRight w:val="0"/>
      <w:marTop w:val="0"/>
      <w:marBottom w:val="0"/>
      <w:divBdr>
        <w:top w:val="none" w:sz="0" w:space="0" w:color="auto"/>
        <w:left w:val="none" w:sz="0" w:space="0" w:color="auto"/>
        <w:bottom w:val="none" w:sz="0" w:space="0" w:color="auto"/>
        <w:right w:val="none" w:sz="0" w:space="0" w:color="auto"/>
      </w:divBdr>
    </w:div>
    <w:div w:id="433406434">
      <w:bodyDiv w:val="1"/>
      <w:marLeft w:val="0"/>
      <w:marRight w:val="0"/>
      <w:marTop w:val="0"/>
      <w:marBottom w:val="0"/>
      <w:divBdr>
        <w:top w:val="none" w:sz="0" w:space="0" w:color="auto"/>
        <w:left w:val="none" w:sz="0" w:space="0" w:color="auto"/>
        <w:bottom w:val="none" w:sz="0" w:space="0" w:color="auto"/>
        <w:right w:val="none" w:sz="0" w:space="0" w:color="auto"/>
      </w:divBdr>
    </w:div>
    <w:div w:id="442962671">
      <w:bodyDiv w:val="1"/>
      <w:marLeft w:val="0"/>
      <w:marRight w:val="0"/>
      <w:marTop w:val="0"/>
      <w:marBottom w:val="0"/>
      <w:divBdr>
        <w:top w:val="none" w:sz="0" w:space="0" w:color="auto"/>
        <w:left w:val="none" w:sz="0" w:space="0" w:color="auto"/>
        <w:bottom w:val="none" w:sz="0" w:space="0" w:color="auto"/>
        <w:right w:val="none" w:sz="0" w:space="0" w:color="auto"/>
      </w:divBdr>
    </w:div>
    <w:div w:id="509832077">
      <w:bodyDiv w:val="1"/>
      <w:marLeft w:val="0"/>
      <w:marRight w:val="0"/>
      <w:marTop w:val="0"/>
      <w:marBottom w:val="0"/>
      <w:divBdr>
        <w:top w:val="none" w:sz="0" w:space="0" w:color="auto"/>
        <w:left w:val="none" w:sz="0" w:space="0" w:color="auto"/>
        <w:bottom w:val="none" w:sz="0" w:space="0" w:color="auto"/>
        <w:right w:val="none" w:sz="0" w:space="0" w:color="auto"/>
      </w:divBdr>
    </w:div>
    <w:div w:id="533612678">
      <w:bodyDiv w:val="1"/>
      <w:marLeft w:val="0"/>
      <w:marRight w:val="0"/>
      <w:marTop w:val="0"/>
      <w:marBottom w:val="0"/>
      <w:divBdr>
        <w:top w:val="none" w:sz="0" w:space="0" w:color="auto"/>
        <w:left w:val="none" w:sz="0" w:space="0" w:color="auto"/>
        <w:bottom w:val="none" w:sz="0" w:space="0" w:color="auto"/>
        <w:right w:val="none" w:sz="0" w:space="0" w:color="auto"/>
      </w:divBdr>
    </w:div>
    <w:div w:id="557671911">
      <w:bodyDiv w:val="1"/>
      <w:marLeft w:val="0"/>
      <w:marRight w:val="0"/>
      <w:marTop w:val="0"/>
      <w:marBottom w:val="0"/>
      <w:divBdr>
        <w:top w:val="none" w:sz="0" w:space="0" w:color="auto"/>
        <w:left w:val="none" w:sz="0" w:space="0" w:color="auto"/>
        <w:bottom w:val="none" w:sz="0" w:space="0" w:color="auto"/>
        <w:right w:val="none" w:sz="0" w:space="0" w:color="auto"/>
      </w:divBdr>
    </w:div>
    <w:div w:id="562255595">
      <w:bodyDiv w:val="1"/>
      <w:marLeft w:val="0"/>
      <w:marRight w:val="0"/>
      <w:marTop w:val="0"/>
      <w:marBottom w:val="0"/>
      <w:divBdr>
        <w:top w:val="none" w:sz="0" w:space="0" w:color="auto"/>
        <w:left w:val="none" w:sz="0" w:space="0" w:color="auto"/>
        <w:bottom w:val="none" w:sz="0" w:space="0" w:color="auto"/>
        <w:right w:val="none" w:sz="0" w:space="0" w:color="auto"/>
      </w:divBdr>
    </w:div>
    <w:div w:id="570458088">
      <w:bodyDiv w:val="1"/>
      <w:marLeft w:val="0"/>
      <w:marRight w:val="0"/>
      <w:marTop w:val="0"/>
      <w:marBottom w:val="0"/>
      <w:divBdr>
        <w:top w:val="none" w:sz="0" w:space="0" w:color="auto"/>
        <w:left w:val="none" w:sz="0" w:space="0" w:color="auto"/>
        <w:bottom w:val="none" w:sz="0" w:space="0" w:color="auto"/>
        <w:right w:val="none" w:sz="0" w:space="0" w:color="auto"/>
      </w:divBdr>
    </w:div>
    <w:div w:id="613949215">
      <w:bodyDiv w:val="1"/>
      <w:marLeft w:val="0"/>
      <w:marRight w:val="0"/>
      <w:marTop w:val="0"/>
      <w:marBottom w:val="0"/>
      <w:divBdr>
        <w:top w:val="none" w:sz="0" w:space="0" w:color="auto"/>
        <w:left w:val="none" w:sz="0" w:space="0" w:color="auto"/>
        <w:bottom w:val="none" w:sz="0" w:space="0" w:color="auto"/>
        <w:right w:val="none" w:sz="0" w:space="0" w:color="auto"/>
      </w:divBdr>
    </w:div>
    <w:div w:id="614940992">
      <w:bodyDiv w:val="1"/>
      <w:marLeft w:val="0"/>
      <w:marRight w:val="0"/>
      <w:marTop w:val="0"/>
      <w:marBottom w:val="0"/>
      <w:divBdr>
        <w:top w:val="none" w:sz="0" w:space="0" w:color="auto"/>
        <w:left w:val="none" w:sz="0" w:space="0" w:color="auto"/>
        <w:bottom w:val="none" w:sz="0" w:space="0" w:color="auto"/>
        <w:right w:val="none" w:sz="0" w:space="0" w:color="auto"/>
      </w:divBdr>
    </w:div>
    <w:div w:id="634022562">
      <w:bodyDiv w:val="1"/>
      <w:marLeft w:val="0"/>
      <w:marRight w:val="0"/>
      <w:marTop w:val="0"/>
      <w:marBottom w:val="0"/>
      <w:divBdr>
        <w:top w:val="none" w:sz="0" w:space="0" w:color="auto"/>
        <w:left w:val="none" w:sz="0" w:space="0" w:color="auto"/>
        <w:bottom w:val="none" w:sz="0" w:space="0" w:color="auto"/>
        <w:right w:val="none" w:sz="0" w:space="0" w:color="auto"/>
      </w:divBdr>
    </w:div>
    <w:div w:id="646059380">
      <w:bodyDiv w:val="1"/>
      <w:marLeft w:val="0"/>
      <w:marRight w:val="0"/>
      <w:marTop w:val="0"/>
      <w:marBottom w:val="0"/>
      <w:divBdr>
        <w:top w:val="none" w:sz="0" w:space="0" w:color="auto"/>
        <w:left w:val="none" w:sz="0" w:space="0" w:color="auto"/>
        <w:bottom w:val="none" w:sz="0" w:space="0" w:color="auto"/>
        <w:right w:val="none" w:sz="0" w:space="0" w:color="auto"/>
      </w:divBdr>
    </w:div>
    <w:div w:id="651299208">
      <w:bodyDiv w:val="1"/>
      <w:marLeft w:val="0"/>
      <w:marRight w:val="0"/>
      <w:marTop w:val="0"/>
      <w:marBottom w:val="0"/>
      <w:divBdr>
        <w:top w:val="none" w:sz="0" w:space="0" w:color="auto"/>
        <w:left w:val="none" w:sz="0" w:space="0" w:color="auto"/>
        <w:bottom w:val="none" w:sz="0" w:space="0" w:color="auto"/>
        <w:right w:val="none" w:sz="0" w:space="0" w:color="auto"/>
      </w:divBdr>
    </w:div>
    <w:div w:id="659693489">
      <w:bodyDiv w:val="1"/>
      <w:marLeft w:val="0"/>
      <w:marRight w:val="0"/>
      <w:marTop w:val="0"/>
      <w:marBottom w:val="0"/>
      <w:divBdr>
        <w:top w:val="none" w:sz="0" w:space="0" w:color="auto"/>
        <w:left w:val="none" w:sz="0" w:space="0" w:color="auto"/>
        <w:bottom w:val="none" w:sz="0" w:space="0" w:color="auto"/>
        <w:right w:val="none" w:sz="0" w:space="0" w:color="auto"/>
      </w:divBdr>
    </w:div>
    <w:div w:id="661350935">
      <w:bodyDiv w:val="1"/>
      <w:marLeft w:val="0"/>
      <w:marRight w:val="0"/>
      <w:marTop w:val="0"/>
      <w:marBottom w:val="0"/>
      <w:divBdr>
        <w:top w:val="none" w:sz="0" w:space="0" w:color="auto"/>
        <w:left w:val="none" w:sz="0" w:space="0" w:color="auto"/>
        <w:bottom w:val="none" w:sz="0" w:space="0" w:color="auto"/>
        <w:right w:val="none" w:sz="0" w:space="0" w:color="auto"/>
      </w:divBdr>
    </w:div>
    <w:div w:id="663704964">
      <w:bodyDiv w:val="1"/>
      <w:marLeft w:val="0"/>
      <w:marRight w:val="0"/>
      <w:marTop w:val="0"/>
      <w:marBottom w:val="0"/>
      <w:divBdr>
        <w:top w:val="none" w:sz="0" w:space="0" w:color="auto"/>
        <w:left w:val="none" w:sz="0" w:space="0" w:color="auto"/>
        <w:bottom w:val="none" w:sz="0" w:space="0" w:color="auto"/>
        <w:right w:val="none" w:sz="0" w:space="0" w:color="auto"/>
      </w:divBdr>
    </w:div>
    <w:div w:id="707995097">
      <w:bodyDiv w:val="1"/>
      <w:marLeft w:val="0"/>
      <w:marRight w:val="0"/>
      <w:marTop w:val="0"/>
      <w:marBottom w:val="0"/>
      <w:divBdr>
        <w:top w:val="none" w:sz="0" w:space="0" w:color="auto"/>
        <w:left w:val="none" w:sz="0" w:space="0" w:color="auto"/>
        <w:bottom w:val="none" w:sz="0" w:space="0" w:color="auto"/>
        <w:right w:val="none" w:sz="0" w:space="0" w:color="auto"/>
      </w:divBdr>
    </w:div>
    <w:div w:id="751851548">
      <w:bodyDiv w:val="1"/>
      <w:marLeft w:val="0"/>
      <w:marRight w:val="0"/>
      <w:marTop w:val="0"/>
      <w:marBottom w:val="0"/>
      <w:divBdr>
        <w:top w:val="none" w:sz="0" w:space="0" w:color="auto"/>
        <w:left w:val="none" w:sz="0" w:space="0" w:color="auto"/>
        <w:bottom w:val="none" w:sz="0" w:space="0" w:color="auto"/>
        <w:right w:val="none" w:sz="0" w:space="0" w:color="auto"/>
      </w:divBdr>
    </w:div>
    <w:div w:id="883829580">
      <w:bodyDiv w:val="1"/>
      <w:marLeft w:val="0"/>
      <w:marRight w:val="0"/>
      <w:marTop w:val="0"/>
      <w:marBottom w:val="0"/>
      <w:divBdr>
        <w:top w:val="none" w:sz="0" w:space="0" w:color="auto"/>
        <w:left w:val="none" w:sz="0" w:space="0" w:color="auto"/>
        <w:bottom w:val="none" w:sz="0" w:space="0" w:color="auto"/>
        <w:right w:val="none" w:sz="0" w:space="0" w:color="auto"/>
      </w:divBdr>
    </w:div>
    <w:div w:id="898905853">
      <w:bodyDiv w:val="1"/>
      <w:marLeft w:val="0"/>
      <w:marRight w:val="0"/>
      <w:marTop w:val="0"/>
      <w:marBottom w:val="0"/>
      <w:divBdr>
        <w:top w:val="none" w:sz="0" w:space="0" w:color="auto"/>
        <w:left w:val="none" w:sz="0" w:space="0" w:color="auto"/>
        <w:bottom w:val="none" w:sz="0" w:space="0" w:color="auto"/>
        <w:right w:val="none" w:sz="0" w:space="0" w:color="auto"/>
      </w:divBdr>
    </w:div>
    <w:div w:id="986519826">
      <w:bodyDiv w:val="1"/>
      <w:marLeft w:val="0"/>
      <w:marRight w:val="0"/>
      <w:marTop w:val="0"/>
      <w:marBottom w:val="0"/>
      <w:divBdr>
        <w:top w:val="none" w:sz="0" w:space="0" w:color="auto"/>
        <w:left w:val="none" w:sz="0" w:space="0" w:color="auto"/>
        <w:bottom w:val="none" w:sz="0" w:space="0" w:color="auto"/>
        <w:right w:val="none" w:sz="0" w:space="0" w:color="auto"/>
      </w:divBdr>
    </w:div>
    <w:div w:id="1003511487">
      <w:bodyDiv w:val="1"/>
      <w:marLeft w:val="0"/>
      <w:marRight w:val="0"/>
      <w:marTop w:val="0"/>
      <w:marBottom w:val="0"/>
      <w:divBdr>
        <w:top w:val="none" w:sz="0" w:space="0" w:color="auto"/>
        <w:left w:val="none" w:sz="0" w:space="0" w:color="auto"/>
        <w:bottom w:val="none" w:sz="0" w:space="0" w:color="auto"/>
        <w:right w:val="none" w:sz="0" w:space="0" w:color="auto"/>
      </w:divBdr>
    </w:div>
    <w:div w:id="1022975341">
      <w:bodyDiv w:val="1"/>
      <w:marLeft w:val="0"/>
      <w:marRight w:val="0"/>
      <w:marTop w:val="0"/>
      <w:marBottom w:val="0"/>
      <w:divBdr>
        <w:top w:val="none" w:sz="0" w:space="0" w:color="auto"/>
        <w:left w:val="none" w:sz="0" w:space="0" w:color="auto"/>
        <w:bottom w:val="none" w:sz="0" w:space="0" w:color="auto"/>
        <w:right w:val="none" w:sz="0" w:space="0" w:color="auto"/>
      </w:divBdr>
    </w:div>
    <w:div w:id="1024794793">
      <w:bodyDiv w:val="1"/>
      <w:marLeft w:val="0"/>
      <w:marRight w:val="0"/>
      <w:marTop w:val="0"/>
      <w:marBottom w:val="0"/>
      <w:divBdr>
        <w:top w:val="none" w:sz="0" w:space="0" w:color="auto"/>
        <w:left w:val="none" w:sz="0" w:space="0" w:color="auto"/>
        <w:bottom w:val="none" w:sz="0" w:space="0" w:color="auto"/>
        <w:right w:val="none" w:sz="0" w:space="0" w:color="auto"/>
      </w:divBdr>
    </w:div>
    <w:div w:id="1054698973">
      <w:bodyDiv w:val="1"/>
      <w:marLeft w:val="0"/>
      <w:marRight w:val="0"/>
      <w:marTop w:val="0"/>
      <w:marBottom w:val="0"/>
      <w:divBdr>
        <w:top w:val="none" w:sz="0" w:space="0" w:color="auto"/>
        <w:left w:val="none" w:sz="0" w:space="0" w:color="auto"/>
        <w:bottom w:val="none" w:sz="0" w:space="0" w:color="auto"/>
        <w:right w:val="none" w:sz="0" w:space="0" w:color="auto"/>
      </w:divBdr>
    </w:div>
    <w:div w:id="1078677624">
      <w:bodyDiv w:val="1"/>
      <w:marLeft w:val="0"/>
      <w:marRight w:val="0"/>
      <w:marTop w:val="0"/>
      <w:marBottom w:val="0"/>
      <w:divBdr>
        <w:top w:val="none" w:sz="0" w:space="0" w:color="auto"/>
        <w:left w:val="none" w:sz="0" w:space="0" w:color="auto"/>
        <w:bottom w:val="none" w:sz="0" w:space="0" w:color="auto"/>
        <w:right w:val="none" w:sz="0" w:space="0" w:color="auto"/>
      </w:divBdr>
    </w:div>
    <w:div w:id="1084451269">
      <w:bodyDiv w:val="1"/>
      <w:marLeft w:val="0"/>
      <w:marRight w:val="0"/>
      <w:marTop w:val="0"/>
      <w:marBottom w:val="0"/>
      <w:divBdr>
        <w:top w:val="none" w:sz="0" w:space="0" w:color="auto"/>
        <w:left w:val="none" w:sz="0" w:space="0" w:color="auto"/>
        <w:bottom w:val="none" w:sz="0" w:space="0" w:color="auto"/>
        <w:right w:val="none" w:sz="0" w:space="0" w:color="auto"/>
      </w:divBdr>
    </w:div>
    <w:div w:id="1088307667">
      <w:bodyDiv w:val="1"/>
      <w:marLeft w:val="0"/>
      <w:marRight w:val="0"/>
      <w:marTop w:val="0"/>
      <w:marBottom w:val="0"/>
      <w:divBdr>
        <w:top w:val="none" w:sz="0" w:space="0" w:color="auto"/>
        <w:left w:val="none" w:sz="0" w:space="0" w:color="auto"/>
        <w:bottom w:val="none" w:sz="0" w:space="0" w:color="auto"/>
        <w:right w:val="none" w:sz="0" w:space="0" w:color="auto"/>
      </w:divBdr>
    </w:div>
    <w:div w:id="1089161713">
      <w:bodyDiv w:val="1"/>
      <w:marLeft w:val="0"/>
      <w:marRight w:val="0"/>
      <w:marTop w:val="0"/>
      <w:marBottom w:val="0"/>
      <w:divBdr>
        <w:top w:val="none" w:sz="0" w:space="0" w:color="auto"/>
        <w:left w:val="none" w:sz="0" w:space="0" w:color="auto"/>
        <w:bottom w:val="none" w:sz="0" w:space="0" w:color="auto"/>
        <w:right w:val="none" w:sz="0" w:space="0" w:color="auto"/>
      </w:divBdr>
    </w:div>
    <w:div w:id="1091200763">
      <w:bodyDiv w:val="1"/>
      <w:marLeft w:val="0"/>
      <w:marRight w:val="0"/>
      <w:marTop w:val="0"/>
      <w:marBottom w:val="0"/>
      <w:divBdr>
        <w:top w:val="none" w:sz="0" w:space="0" w:color="auto"/>
        <w:left w:val="none" w:sz="0" w:space="0" w:color="auto"/>
        <w:bottom w:val="none" w:sz="0" w:space="0" w:color="auto"/>
        <w:right w:val="none" w:sz="0" w:space="0" w:color="auto"/>
      </w:divBdr>
    </w:div>
    <w:div w:id="1098871799">
      <w:bodyDiv w:val="1"/>
      <w:marLeft w:val="0"/>
      <w:marRight w:val="0"/>
      <w:marTop w:val="0"/>
      <w:marBottom w:val="0"/>
      <w:divBdr>
        <w:top w:val="none" w:sz="0" w:space="0" w:color="auto"/>
        <w:left w:val="none" w:sz="0" w:space="0" w:color="auto"/>
        <w:bottom w:val="none" w:sz="0" w:space="0" w:color="auto"/>
        <w:right w:val="none" w:sz="0" w:space="0" w:color="auto"/>
      </w:divBdr>
    </w:div>
    <w:div w:id="1143500492">
      <w:bodyDiv w:val="1"/>
      <w:marLeft w:val="0"/>
      <w:marRight w:val="0"/>
      <w:marTop w:val="0"/>
      <w:marBottom w:val="0"/>
      <w:divBdr>
        <w:top w:val="none" w:sz="0" w:space="0" w:color="auto"/>
        <w:left w:val="none" w:sz="0" w:space="0" w:color="auto"/>
        <w:bottom w:val="none" w:sz="0" w:space="0" w:color="auto"/>
        <w:right w:val="none" w:sz="0" w:space="0" w:color="auto"/>
      </w:divBdr>
    </w:div>
    <w:div w:id="1154029593">
      <w:bodyDiv w:val="1"/>
      <w:marLeft w:val="0"/>
      <w:marRight w:val="0"/>
      <w:marTop w:val="0"/>
      <w:marBottom w:val="0"/>
      <w:divBdr>
        <w:top w:val="none" w:sz="0" w:space="0" w:color="auto"/>
        <w:left w:val="none" w:sz="0" w:space="0" w:color="auto"/>
        <w:bottom w:val="none" w:sz="0" w:space="0" w:color="auto"/>
        <w:right w:val="none" w:sz="0" w:space="0" w:color="auto"/>
      </w:divBdr>
    </w:div>
    <w:div w:id="1166439012">
      <w:bodyDiv w:val="1"/>
      <w:marLeft w:val="0"/>
      <w:marRight w:val="0"/>
      <w:marTop w:val="0"/>
      <w:marBottom w:val="0"/>
      <w:divBdr>
        <w:top w:val="none" w:sz="0" w:space="0" w:color="auto"/>
        <w:left w:val="none" w:sz="0" w:space="0" w:color="auto"/>
        <w:bottom w:val="none" w:sz="0" w:space="0" w:color="auto"/>
        <w:right w:val="none" w:sz="0" w:space="0" w:color="auto"/>
      </w:divBdr>
    </w:div>
    <w:div w:id="1195270025">
      <w:bodyDiv w:val="1"/>
      <w:marLeft w:val="0"/>
      <w:marRight w:val="0"/>
      <w:marTop w:val="0"/>
      <w:marBottom w:val="0"/>
      <w:divBdr>
        <w:top w:val="none" w:sz="0" w:space="0" w:color="auto"/>
        <w:left w:val="none" w:sz="0" w:space="0" w:color="auto"/>
        <w:bottom w:val="none" w:sz="0" w:space="0" w:color="auto"/>
        <w:right w:val="none" w:sz="0" w:space="0" w:color="auto"/>
      </w:divBdr>
    </w:div>
    <w:div w:id="1265964641">
      <w:bodyDiv w:val="1"/>
      <w:marLeft w:val="0"/>
      <w:marRight w:val="0"/>
      <w:marTop w:val="0"/>
      <w:marBottom w:val="0"/>
      <w:divBdr>
        <w:top w:val="none" w:sz="0" w:space="0" w:color="auto"/>
        <w:left w:val="none" w:sz="0" w:space="0" w:color="auto"/>
        <w:bottom w:val="none" w:sz="0" w:space="0" w:color="auto"/>
        <w:right w:val="none" w:sz="0" w:space="0" w:color="auto"/>
      </w:divBdr>
    </w:div>
    <w:div w:id="1299535799">
      <w:bodyDiv w:val="1"/>
      <w:marLeft w:val="0"/>
      <w:marRight w:val="0"/>
      <w:marTop w:val="0"/>
      <w:marBottom w:val="0"/>
      <w:divBdr>
        <w:top w:val="none" w:sz="0" w:space="0" w:color="auto"/>
        <w:left w:val="none" w:sz="0" w:space="0" w:color="auto"/>
        <w:bottom w:val="none" w:sz="0" w:space="0" w:color="auto"/>
        <w:right w:val="none" w:sz="0" w:space="0" w:color="auto"/>
      </w:divBdr>
    </w:div>
    <w:div w:id="1301374895">
      <w:bodyDiv w:val="1"/>
      <w:marLeft w:val="0"/>
      <w:marRight w:val="0"/>
      <w:marTop w:val="0"/>
      <w:marBottom w:val="0"/>
      <w:divBdr>
        <w:top w:val="none" w:sz="0" w:space="0" w:color="auto"/>
        <w:left w:val="none" w:sz="0" w:space="0" w:color="auto"/>
        <w:bottom w:val="none" w:sz="0" w:space="0" w:color="auto"/>
        <w:right w:val="none" w:sz="0" w:space="0" w:color="auto"/>
      </w:divBdr>
    </w:div>
    <w:div w:id="1312757774">
      <w:bodyDiv w:val="1"/>
      <w:marLeft w:val="0"/>
      <w:marRight w:val="0"/>
      <w:marTop w:val="0"/>
      <w:marBottom w:val="0"/>
      <w:divBdr>
        <w:top w:val="none" w:sz="0" w:space="0" w:color="auto"/>
        <w:left w:val="none" w:sz="0" w:space="0" w:color="auto"/>
        <w:bottom w:val="none" w:sz="0" w:space="0" w:color="auto"/>
        <w:right w:val="none" w:sz="0" w:space="0" w:color="auto"/>
      </w:divBdr>
    </w:div>
    <w:div w:id="1326396324">
      <w:bodyDiv w:val="1"/>
      <w:marLeft w:val="0"/>
      <w:marRight w:val="0"/>
      <w:marTop w:val="0"/>
      <w:marBottom w:val="0"/>
      <w:divBdr>
        <w:top w:val="none" w:sz="0" w:space="0" w:color="auto"/>
        <w:left w:val="none" w:sz="0" w:space="0" w:color="auto"/>
        <w:bottom w:val="none" w:sz="0" w:space="0" w:color="auto"/>
        <w:right w:val="none" w:sz="0" w:space="0" w:color="auto"/>
      </w:divBdr>
    </w:div>
    <w:div w:id="1347247653">
      <w:bodyDiv w:val="1"/>
      <w:marLeft w:val="0"/>
      <w:marRight w:val="0"/>
      <w:marTop w:val="0"/>
      <w:marBottom w:val="0"/>
      <w:divBdr>
        <w:top w:val="none" w:sz="0" w:space="0" w:color="auto"/>
        <w:left w:val="none" w:sz="0" w:space="0" w:color="auto"/>
        <w:bottom w:val="none" w:sz="0" w:space="0" w:color="auto"/>
        <w:right w:val="none" w:sz="0" w:space="0" w:color="auto"/>
      </w:divBdr>
    </w:div>
    <w:div w:id="1353454893">
      <w:bodyDiv w:val="1"/>
      <w:marLeft w:val="0"/>
      <w:marRight w:val="0"/>
      <w:marTop w:val="0"/>
      <w:marBottom w:val="0"/>
      <w:divBdr>
        <w:top w:val="none" w:sz="0" w:space="0" w:color="auto"/>
        <w:left w:val="none" w:sz="0" w:space="0" w:color="auto"/>
        <w:bottom w:val="none" w:sz="0" w:space="0" w:color="auto"/>
        <w:right w:val="none" w:sz="0" w:space="0" w:color="auto"/>
      </w:divBdr>
    </w:div>
    <w:div w:id="1375471880">
      <w:bodyDiv w:val="1"/>
      <w:marLeft w:val="0"/>
      <w:marRight w:val="0"/>
      <w:marTop w:val="0"/>
      <w:marBottom w:val="0"/>
      <w:divBdr>
        <w:top w:val="none" w:sz="0" w:space="0" w:color="auto"/>
        <w:left w:val="none" w:sz="0" w:space="0" w:color="auto"/>
        <w:bottom w:val="none" w:sz="0" w:space="0" w:color="auto"/>
        <w:right w:val="none" w:sz="0" w:space="0" w:color="auto"/>
      </w:divBdr>
    </w:div>
    <w:div w:id="1386297169">
      <w:bodyDiv w:val="1"/>
      <w:marLeft w:val="0"/>
      <w:marRight w:val="0"/>
      <w:marTop w:val="0"/>
      <w:marBottom w:val="0"/>
      <w:divBdr>
        <w:top w:val="none" w:sz="0" w:space="0" w:color="auto"/>
        <w:left w:val="none" w:sz="0" w:space="0" w:color="auto"/>
        <w:bottom w:val="none" w:sz="0" w:space="0" w:color="auto"/>
        <w:right w:val="none" w:sz="0" w:space="0" w:color="auto"/>
      </w:divBdr>
    </w:div>
    <w:div w:id="1390687434">
      <w:bodyDiv w:val="1"/>
      <w:marLeft w:val="0"/>
      <w:marRight w:val="0"/>
      <w:marTop w:val="0"/>
      <w:marBottom w:val="0"/>
      <w:divBdr>
        <w:top w:val="none" w:sz="0" w:space="0" w:color="auto"/>
        <w:left w:val="none" w:sz="0" w:space="0" w:color="auto"/>
        <w:bottom w:val="none" w:sz="0" w:space="0" w:color="auto"/>
        <w:right w:val="none" w:sz="0" w:space="0" w:color="auto"/>
      </w:divBdr>
    </w:div>
    <w:div w:id="1391727733">
      <w:bodyDiv w:val="1"/>
      <w:marLeft w:val="0"/>
      <w:marRight w:val="0"/>
      <w:marTop w:val="0"/>
      <w:marBottom w:val="0"/>
      <w:divBdr>
        <w:top w:val="none" w:sz="0" w:space="0" w:color="auto"/>
        <w:left w:val="none" w:sz="0" w:space="0" w:color="auto"/>
        <w:bottom w:val="none" w:sz="0" w:space="0" w:color="auto"/>
        <w:right w:val="none" w:sz="0" w:space="0" w:color="auto"/>
      </w:divBdr>
    </w:div>
    <w:div w:id="1401707039">
      <w:bodyDiv w:val="1"/>
      <w:marLeft w:val="0"/>
      <w:marRight w:val="0"/>
      <w:marTop w:val="0"/>
      <w:marBottom w:val="0"/>
      <w:divBdr>
        <w:top w:val="none" w:sz="0" w:space="0" w:color="auto"/>
        <w:left w:val="none" w:sz="0" w:space="0" w:color="auto"/>
        <w:bottom w:val="none" w:sz="0" w:space="0" w:color="auto"/>
        <w:right w:val="none" w:sz="0" w:space="0" w:color="auto"/>
      </w:divBdr>
    </w:div>
    <w:div w:id="1419980838">
      <w:bodyDiv w:val="1"/>
      <w:marLeft w:val="0"/>
      <w:marRight w:val="0"/>
      <w:marTop w:val="0"/>
      <w:marBottom w:val="0"/>
      <w:divBdr>
        <w:top w:val="none" w:sz="0" w:space="0" w:color="auto"/>
        <w:left w:val="none" w:sz="0" w:space="0" w:color="auto"/>
        <w:bottom w:val="none" w:sz="0" w:space="0" w:color="auto"/>
        <w:right w:val="none" w:sz="0" w:space="0" w:color="auto"/>
      </w:divBdr>
    </w:div>
    <w:div w:id="1460954967">
      <w:bodyDiv w:val="1"/>
      <w:marLeft w:val="0"/>
      <w:marRight w:val="0"/>
      <w:marTop w:val="0"/>
      <w:marBottom w:val="0"/>
      <w:divBdr>
        <w:top w:val="none" w:sz="0" w:space="0" w:color="auto"/>
        <w:left w:val="none" w:sz="0" w:space="0" w:color="auto"/>
        <w:bottom w:val="none" w:sz="0" w:space="0" w:color="auto"/>
        <w:right w:val="none" w:sz="0" w:space="0" w:color="auto"/>
      </w:divBdr>
    </w:div>
    <w:div w:id="1489830671">
      <w:bodyDiv w:val="1"/>
      <w:marLeft w:val="0"/>
      <w:marRight w:val="0"/>
      <w:marTop w:val="0"/>
      <w:marBottom w:val="0"/>
      <w:divBdr>
        <w:top w:val="none" w:sz="0" w:space="0" w:color="auto"/>
        <w:left w:val="none" w:sz="0" w:space="0" w:color="auto"/>
        <w:bottom w:val="none" w:sz="0" w:space="0" w:color="auto"/>
        <w:right w:val="none" w:sz="0" w:space="0" w:color="auto"/>
      </w:divBdr>
    </w:div>
    <w:div w:id="1492792942">
      <w:bodyDiv w:val="1"/>
      <w:marLeft w:val="0"/>
      <w:marRight w:val="0"/>
      <w:marTop w:val="0"/>
      <w:marBottom w:val="0"/>
      <w:divBdr>
        <w:top w:val="none" w:sz="0" w:space="0" w:color="auto"/>
        <w:left w:val="none" w:sz="0" w:space="0" w:color="auto"/>
        <w:bottom w:val="none" w:sz="0" w:space="0" w:color="auto"/>
        <w:right w:val="none" w:sz="0" w:space="0" w:color="auto"/>
      </w:divBdr>
    </w:div>
    <w:div w:id="1500002571">
      <w:bodyDiv w:val="1"/>
      <w:marLeft w:val="0"/>
      <w:marRight w:val="0"/>
      <w:marTop w:val="0"/>
      <w:marBottom w:val="0"/>
      <w:divBdr>
        <w:top w:val="none" w:sz="0" w:space="0" w:color="auto"/>
        <w:left w:val="none" w:sz="0" w:space="0" w:color="auto"/>
        <w:bottom w:val="none" w:sz="0" w:space="0" w:color="auto"/>
        <w:right w:val="none" w:sz="0" w:space="0" w:color="auto"/>
      </w:divBdr>
    </w:div>
    <w:div w:id="1501045371">
      <w:bodyDiv w:val="1"/>
      <w:marLeft w:val="0"/>
      <w:marRight w:val="0"/>
      <w:marTop w:val="0"/>
      <w:marBottom w:val="0"/>
      <w:divBdr>
        <w:top w:val="none" w:sz="0" w:space="0" w:color="auto"/>
        <w:left w:val="none" w:sz="0" w:space="0" w:color="auto"/>
        <w:bottom w:val="none" w:sz="0" w:space="0" w:color="auto"/>
        <w:right w:val="none" w:sz="0" w:space="0" w:color="auto"/>
      </w:divBdr>
    </w:div>
    <w:div w:id="1542744064">
      <w:bodyDiv w:val="1"/>
      <w:marLeft w:val="0"/>
      <w:marRight w:val="0"/>
      <w:marTop w:val="0"/>
      <w:marBottom w:val="0"/>
      <w:divBdr>
        <w:top w:val="none" w:sz="0" w:space="0" w:color="auto"/>
        <w:left w:val="none" w:sz="0" w:space="0" w:color="auto"/>
        <w:bottom w:val="none" w:sz="0" w:space="0" w:color="auto"/>
        <w:right w:val="none" w:sz="0" w:space="0" w:color="auto"/>
      </w:divBdr>
    </w:div>
    <w:div w:id="1544169561">
      <w:bodyDiv w:val="1"/>
      <w:marLeft w:val="0"/>
      <w:marRight w:val="0"/>
      <w:marTop w:val="0"/>
      <w:marBottom w:val="0"/>
      <w:divBdr>
        <w:top w:val="none" w:sz="0" w:space="0" w:color="auto"/>
        <w:left w:val="none" w:sz="0" w:space="0" w:color="auto"/>
        <w:bottom w:val="none" w:sz="0" w:space="0" w:color="auto"/>
        <w:right w:val="none" w:sz="0" w:space="0" w:color="auto"/>
      </w:divBdr>
    </w:div>
    <w:div w:id="1545557277">
      <w:bodyDiv w:val="1"/>
      <w:marLeft w:val="0"/>
      <w:marRight w:val="0"/>
      <w:marTop w:val="0"/>
      <w:marBottom w:val="0"/>
      <w:divBdr>
        <w:top w:val="none" w:sz="0" w:space="0" w:color="auto"/>
        <w:left w:val="none" w:sz="0" w:space="0" w:color="auto"/>
        <w:bottom w:val="none" w:sz="0" w:space="0" w:color="auto"/>
        <w:right w:val="none" w:sz="0" w:space="0" w:color="auto"/>
      </w:divBdr>
    </w:div>
    <w:div w:id="1557162788">
      <w:bodyDiv w:val="1"/>
      <w:marLeft w:val="0"/>
      <w:marRight w:val="0"/>
      <w:marTop w:val="0"/>
      <w:marBottom w:val="0"/>
      <w:divBdr>
        <w:top w:val="none" w:sz="0" w:space="0" w:color="auto"/>
        <w:left w:val="none" w:sz="0" w:space="0" w:color="auto"/>
        <w:bottom w:val="none" w:sz="0" w:space="0" w:color="auto"/>
        <w:right w:val="none" w:sz="0" w:space="0" w:color="auto"/>
      </w:divBdr>
    </w:div>
    <w:div w:id="1561869841">
      <w:bodyDiv w:val="1"/>
      <w:marLeft w:val="0"/>
      <w:marRight w:val="0"/>
      <w:marTop w:val="0"/>
      <w:marBottom w:val="0"/>
      <w:divBdr>
        <w:top w:val="none" w:sz="0" w:space="0" w:color="auto"/>
        <w:left w:val="none" w:sz="0" w:space="0" w:color="auto"/>
        <w:bottom w:val="none" w:sz="0" w:space="0" w:color="auto"/>
        <w:right w:val="none" w:sz="0" w:space="0" w:color="auto"/>
      </w:divBdr>
    </w:div>
    <w:div w:id="1576090542">
      <w:bodyDiv w:val="1"/>
      <w:marLeft w:val="0"/>
      <w:marRight w:val="0"/>
      <w:marTop w:val="0"/>
      <w:marBottom w:val="0"/>
      <w:divBdr>
        <w:top w:val="none" w:sz="0" w:space="0" w:color="auto"/>
        <w:left w:val="none" w:sz="0" w:space="0" w:color="auto"/>
        <w:bottom w:val="none" w:sz="0" w:space="0" w:color="auto"/>
        <w:right w:val="none" w:sz="0" w:space="0" w:color="auto"/>
      </w:divBdr>
    </w:div>
    <w:div w:id="1587373988">
      <w:bodyDiv w:val="1"/>
      <w:marLeft w:val="0"/>
      <w:marRight w:val="0"/>
      <w:marTop w:val="0"/>
      <w:marBottom w:val="0"/>
      <w:divBdr>
        <w:top w:val="none" w:sz="0" w:space="0" w:color="auto"/>
        <w:left w:val="none" w:sz="0" w:space="0" w:color="auto"/>
        <w:bottom w:val="none" w:sz="0" w:space="0" w:color="auto"/>
        <w:right w:val="none" w:sz="0" w:space="0" w:color="auto"/>
      </w:divBdr>
    </w:div>
    <w:div w:id="1590459563">
      <w:bodyDiv w:val="1"/>
      <w:marLeft w:val="0"/>
      <w:marRight w:val="0"/>
      <w:marTop w:val="0"/>
      <w:marBottom w:val="0"/>
      <w:divBdr>
        <w:top w:val="none" w:sz="0" w:space="0" w:color="auto"/>
        <w:left w:val="none" w:sz="0" w:space="0" w:color="auto"/>
        <w:bottom w:val="none" w:sz="0" w:space="0" w:color="auto"/>
        <w:right w:val="none" w:sz="0" w:space="0" w:color="auto"/>
      </w:divBdr>
    </w:div>
    <w:div w:id="1592351140">
      <w:bodyDiv w:val="1"/>
      <w:marLeft w:val="0"/>
      <w:marRight w:val="0"/>
      <w:marTop w:val="0"/>
      <w:marBottom w:val="0"/>
      <w:divBdr>
        <w:top w:val="none" w:sz="0" w:space="0" w:color="auto"/>
        <w:left w:val="none" w:sz="0" w:space="0" w:color="auto"/>
        <w:bottom w:val="none" w:sz="0" w:space="0" w:color="auto"/>
        <w:right w:val="none" w:sz="0" w:space="0" w:color="auto"/>
      </w:divBdr>
    </w:div>
    <w:div w:id="1596745867">
      <w:bodyDiv w:val="1"/>
      <w:marLeft w:val="0"/>
      <w:marRight w:val="0"/>
      <w:marTop w:val="0"/>
      <w:marBottom w:val="0"/>
      <w:divBdr>
        <w:top w:val="none" w:sz="0" w:space="0" w:color="auto"/>
        <w:left w:val="none" w:sz="0" w:space="0" w:color="auto"/>
        <w:bottom w:val="none" w:sz="0" w:space="0" w:color="auto"/>
        <w:right w:val="none" w:sz="0" w:space="0" w:color="auto"/>
      </w:divBdr>
    </w:div>
    <w:div w:id="1603949747">
      <w:bodyDiv w:val="1"/>
      <w:marLeft w:val="0"/>
      <w:marRight w:val="0"/>
      <w:marTop w:val="0"/>
      <w:marBottom w:val="0"/>
      <w:divBdr>
        <w:top w:val="none" w:sz="0" w:space="0" w:color="auto"/>
        <w:left w:val="none" w:sz="0" w:space="0" w:color="auto"/>
        <w:bottom w:val="none" w:sz="0" w:space="0" w:color="auto"/>
        <w:right w:val="none" w:sz="0" w:space="0" w:color="auto"/>
      </w:divBdr>
    </w:div>
    <w:div w:id="1629310860">
      <w:bodyDiv w:val="1"/>
      <w:marLeft w:val="0"/>
      <w:marRight w:val="0"/>
      <w:marTop w:val="0"/>
      <w:marBottom w:val="0"/>
      <w:divBdr>
        <w:top w:val="none" w:sz="0" w:space="0" w:color="auto"/>
        <w:left w:val="none" w:sz="0" w:space="0" w:color="auto"/>
        <w:bottom w:val="none" w:sz="0" w:space="0" w:color="auto"/>
        <w:right w:val="none" w:sz="0" w:space="0" w:color="auto"/>
      </w:divBdr>
    </w:div>
    <w:div w:id="1666323240">
      <w:bodyDiv w:val="1"/>
      <w:marLeft w:val="0"/>
      <w:marRight w:val="0"/>
      <w:marTop w:val="0"/>
      <w:marBottom w:val="0"/>
      <w:divBdr>
        <w:top w:val="none" w:sz="0" w:space="0" w:color="auto"/>
        <w:left w:val="none" w:sz="0" w:space="0" w:color="auto"/>
        <w:bottom w:val="none" w:sz="0" w:space="0" w:color="auto"/>
        <w:right w:val="none" w:sz="0" w:space="0" w:color="auto"/>
      </w:divBdr>
    </w:div>
    <w:div w:id="1754937336">
      <w:bodyDiv w:val="1"/>
      <w:marLeft w:val="0"/>
      <w:marRight w:val="0"/>
      <w:marTop w:val="0"/>
      <w:marBottom w:val="0"/>
      <w:divBdr>
        <w:top w:val="none" w:sz="0" w:space="0" w:color="auto"/>
        <w:left w:val="none" w:sz="0" w:space="0" w:color="auto"/>
        <w:bottom w:val="none" w:sz="0" w:space="0" w:color="auto"/>
        <w:right w:val="none" w:sz="0" w:space="0" w:color="auto"/>
      </w:divBdr>
    </w:div>
    <w:div w:id="1782727921">
      <w:bodyDiv w:val="1"/>
      <w:marLeft w:val="0"/>
      <w:marRight w:val="0"/>
      <w:marTop w:val="0"/>
      <w:marBottom w:val="0"/>
      <w:divBdr>
        <w:top w:val="none" w:sz="0" w:space="0" w:color="auto"/>
        <w:left w:val="none" w:sz="0" w:space="0" w:color="auto"/>
        <w:bottom w:val="none" w:sz="0" w:space="0" w:color="auto"/>
        <w:right w:val="none" w:sz="0" w:space="0" w:color="auto"/>
      </w:divBdr>
    </w:div>
    <w:div w:id="1787045945">
      <w:bodyDiv w:val="1"/>
      <w:marLeft w:val="0"/>
      <w:marRight w:val="0"/>
      <w:marTop w:val="0"/>
      <w:marBottom w:val="0"/>
      <w:divBdr>
        <w:top w:val="none" w:sz="0" w:space="0" w:color="auto"/>
        <w:left w:val="none" w:sz="0" w:space="0" w:color="auto"/>
        <w:bottom w:val="none" w:sz="0" w:space="0" w:color="auto"/>
        <w:right w:val="none" w:sz="0" w:space="0" w:color="auto"/>
      </w:divBdr>
    </w:div>
    <w:div w:id="1798643845">
      <w:bodyDiv w:val="1"/>
      <w:marLeft w:val="0"/>
      <w:marRight w:val="0"/>
      <w:marTop w:val="0"/>
      <w:marBottom w:val="0"/>
      <w:divBdr>
        <w:top w:val="none" w:sz="0" w:space="0" w:color="auto"/>
        <w:left w:val="none" w:sz="0" w:space="0" w:color="auto"/>
        <w:bottom w:val="none" w:sz="0" w:space="0" w:color="auto"/>
        <w:right w:val="none" w:sz="0" w:space="0" w:color="auto"/>
      </w:divBdr>
    </w:div>
    <w:div w:id="1806387546">
      <w:bodyDiv w:val="1"/>
      <w:marLeft w:val="0"/>
      <w:marRight w:val="0"/>
      <w:marTop w:val="0"/>
      <w:marBottom w:val="0"/>
      <w:divBdr>
        <w:top w:val="none" w:sz="0" w:space="0" w:color="auto"/>
        <w:left w:val="none" w:sz="0" w:space="0" w:color="auto"/>
        <w:bottom w:val="none" w:sz="0" w:space="0" w:color="auto"/>
        <w:right w:val="none" w:sz="0" w:space="0" w:color="auto"/>
      </w:divBdr>
    </w:div>
    <w:div w:id="1824278500">
      <w:bodyDiv w:val="1"/>
      <w:marLeft w:val="0"/>
      <w:marRight w:val="0"/>
      <w:marTop w:val="0"/>
      <w:marBottom w:val="0"/>
      <w:divBdr>
        <w:top w:val="none" w:sz="0" w:space="0" w:color="auto"/>
        <w:left w:val="none" w:sz="0" w:space="0" w:color="auto"/>
        <w:bottom w:val="none" w:sz="0" w:space="0" w:color="auto"/>
        <w:right w:val="none" w:sz="0" w:space="0" w:color="auto"/>
      </w:divBdr>
    </w:div>
    <w:div w:id="1850488993">
      <w:bodyDiv w:val="1"/>
      <w:marLeft w:val="0"/>
      <w:marRight w:val="0"/>
      <w:marTop w:val="0"/>
      <w:marBottom w:val="0"/>
      <w:divBdr>
        <w:top w:val="none" w:sz="0" w:space="0" w:color="auto"/>
        <w:left w:val="none" w:sz="0" w:space="0" w:color="auto"/>
        <w:bottom w:val="none" w:sz="0" w:space="0" w:color="auto"/>
        <w:right w:val="none" w:sz="0" w:space="0" w:color="auto"/>
      </w:divBdr>
    </w:div>
    <w:div w:id="1867063888">
      <w:bodyDiv w:val="1"/>
      <w:marLeft w:val="0"/>
      <w:marRight w:val="0"/>
      <w:marTop w:val="0"/>
      <w:marBottom w:val="0"/>
      <w:divBdr>
        <w:top w:val="none" w:sz="0" w:space="0" w:color="auto"/>
        <w:left w:val="none" w:sz="0" w:space="0" w:color="auto"/>
        <w:bottom w:val="none" w:sz="0" w:space="0" w:color="auto"/>
        <w:right w:val="none" w:sz="0" w:space="0" w:color="auto"/>
      </w:divBdr>
    </w:div>
    <w:div w:id="1889871793">
      <w:bodyDiv w:val="1"/>
      <w:marLeft w:val="0"/>
      <w:marRight w:val="0"/>
      <w:marTop w:val="0"/>
      <w:marBottom w:val="0"/>
      <w:divBdr>
        <w:top w:val="none" w:sz="0" w:space="0" w:color="auto"/>
        <w:left w:val="none" w:sz="0" w:space="0" w:color="auto"/>
        <w:bottom w:val="none" w:sz="0" w:space="0" w:color="auto"/>
        <w:right w:val="none" w:sz="0" w:space="0" w:color="auto"/>
      </w:divBdr>
    </w:div>
    <w:div w:id="1904023373">
      <w:bodyDiv w:val="1"/>
      <w:marLeft w:val="0"/>
      <w:marRight w:val="0"/>
      <w:marTop w:val="0"/>
      <w:marBottom w:val="0"/>
      <w:divBdr>
        <w:top w:val="none" w:sz="0" w:space="0" w:color="auto"/>
        <w:left w:val="none" w:sz="0" w:space="0" w:color="auto"/>
        <w:bottom w:val="none" w:sz="0" w:space="0" w:color="auto"/>
        <w:right w:val="none" w:sz="0" w:space="0" w:color="auto"/>
      </w:divBdr>
    </w:div>
    <w:div w:id="1919051091">
      <w:bodyDiv w:val="1"/>
      <w:marLeft w:val="0"/>
      <w:marRight w:val="0"/>
      <w:marTop w:val="0"/>
      <w:marBottom w:val="0"/>
      <w:divBdr>
        <w:top w:val="none" w:sz="0" w:space="0" w:color="auto"/>
        <w:left w:val="none" w:sz="0" w:space="0" w:color="auto"/>
        <w:bottom w:val="none" w:sz="0" w:space="0" w:color="auto"/>
        <w:right w:val="none" w:sz="0" w:space="0" w:color="auto"/>
      </w:divBdr>
    </w:div>
    <w:div w:id="1933272427">
      <w:bodyDiv w:val="1"/>
      <w:marLeft w:val="0"/>
      <w:marRight w:val="0"/>
      <w:marTop w:val="0"/>
      <w:marBottom w:val="0"/>
      <w:divBdr>
        <w:top w:val="none" w:sz="0" w:space="0" w:color="auto"/>
        <w:left w:val="none" w:sz="0" w:space="0" w:color="auto"/>
        <w:bottom w:val="none" w:sz="0" w:space="0" w:color="auto"/>
        <w:right w:val="none" w:sz="0" w:space="0" w:color="auto"/>
      </w:divBdr>
    </w:div>
    <w:div w:id="1944218938">
      <w:bodyDiv w:val="1"/>
      <w:marLeft w:val="0"/>
      <w:marRight w:val="0"/>
      <w:marTop w:val="0"/>
      <w:marBottom w:val="0"/>
      <w:divBdr>
        <w:top w:val="none" w:sz="0" w:space="0" w:color="auto"/>
        <w:left w:val="none" w:sz="0" w:space="0" w:color="auto"/>
        <w:bottom w:val="none" w:sz="0" w:space="0" w:color="auto"/>
        <w:right w:val="none" w:sz="0" w:space="0" w:color="auto"/>
      </w:divBdr>
    </w:div>
    <w:div w:id="1946301395">
      <w:bodyDiv w:val="1"/>
      <w:marLeft w:val="0"/>
      <w:marRight w:val="0"/>
      <w:marTop w:val="0"/>
      <w:marBottom w:val="0"/>
      <w:divBdr>
        <w:top w:val="none" w:sz="0" w:space="0" w:color="auto"/>
        <w:left w:val="none" w:sz="0" w:space="0" w:color="auto"/>
        <w:bottom w:val="none" w:sz="0" w:space="0" w:color="auto"/>
        <w:right w:val="none" w:sz="0" w:space="0" w:color="auto"/>
      </w:divBdr>
    </w:div>
    <w:div w:id="1969431742">
      <w:bodyDiv w:val="1"/>
      <w:marLeft w:val="0"/>
      <w:marRight w:val="0"/>
      <w:marTop w:val="0"/>
      <w:marBottom w:val="0"/>
      <w:divBdr>
        <w:top w:val="none" w:sz="0" w:space="0" w:color="auto"/>
        <w:left w:val="none" w:sz="0" w:space="0" w:color="auto"/>
        <w:bottom w:val="none" w:sz="0" w:space="0" w:color="auto"/>
        <w:right w:val="none" w:sz="0" w:space="0" w:color="auto"/>
      </w:divBdr>
    </w:div>
    <w:div w:id="1970545629">
      <w:bodyDiv w:val="1"/>
      <w:marLeft w:val="0"/>
      <w:marRight w:val="0"/>
      <w:marTop w:val="0"/>
      <w:marBottom w:val="0"/>
      <w:divBdr>
        <w:top w:val="none" w:sz="0" w:space="0" w:color="auto"/>
        <w:left w:val="none" w:sz="0" w:space="0" w:color="auto"/>
        <w:bottom w:val="none" w:sz="0" w:space="0" w:color="auto"/>
        <w:right w:val="none" w:sz="0" w:space="0" w:color="auto"/>
      </w:divBdr>
    </w:div>
    <w:div w:id="2066947901">
      <w:bodyDiv w:val="1"/>
      <w:marLeft w:val="0"/>
      <w:marRight w:val="0"/>
      <w:marTop w:val="0"/>
      <w:marBottom w:val="0"/>
      <w:divBdr>
        <w:top w:val="none" w:sz="0" w:space="0" w:color="auto"/>
        <w:left w:val="none" w:sz="0" w:space="0" w:color="auto"/>
        <w:bottom w:val="none" w:sz="0" w:space="0" w:color="auto"/>
        <w:right w:val="none" w:sz="0" w:space="0" w:color="auto"/>
      </w:divBdr>
    </w:div>
    <w:div w:id="2086875174">
      <w:bodyDiv w:val="1"/>
      <w:marLeft w:val="0"/>
      <w:marRight w:val="0"/>
      <w:marTop w:val="0"/>
      <w:marBottom w:val="0"/>
      <w:divBdr>
        <w:top w:val="none" w:sz="0" w:space="0" w:color="auto"/>
        <w:left w:val="none" w:sz="0" w:space="0" w:color="auto"/>
        <w:bottom w:val="none" w:sz="0" w:space="0" w:color="auto"/>
        <w:right w:val="none" w:sz="0" w:space="0" w:color="auto"/>
      </w:divBdr>
    </w:div>
    <w:div w:id="2093314969">
      <w:bodyDiv w:val="1"/>
      <w:marLeft w:val="0"/>
      <w:marRight w:val="0"/>
      <w:marTop w:val="0"/>
      <w:marBottom w:val="0"/>
      <w:divBdr>
        <w:top w:val="none" w:sz="0" w:space="0" w:color="auto"/>
        <w:left w:val="none" w:sz="0" w:space="0" w:color="auto"/>
        <w:bottom w:val="none" w:sz="0" w:space="0" w:color="auto"/>
        <w:right w:val="none" w:sz="0" w:space="0" w:color="auto"/>
      </w:divBdr>
    </w:div>
    <w:div w:id="2104688893">
      <w:bodyDiv w:val="1"/>
      <w:marLeft w:val="0"/>
      <w:marRight w:val="0"/>
      <w:marTop w:val="0"/>
      <w:marBottom w:val="0"/>
      <w:divBdr>
        <w:top w:val="none" w:sz="0" w:space="0" w:color="auto"/>
        <w:left w:val="none" w:sz="0" w:space="0" w:color="auto"/>
        <w:bottom w:val="none" w:sz="0" w:space="0" w:color="auto"/>
        <w:right w:val="none" w:sz="0" w:space="0" w:color="auto"/>
      </w:divBdr>
    </w:div>
    <w:div w:id="2107574666">
      <w:bodyDiv w:val="1"/>
      <w:marLeft w:val="0"/>
      <w:marRight w:val="0"/>
      <w:marTop w:val="0"/>
      <w:marBottom w:val="0"/>
      <w:divBdr>
        <w:top w:val="none" w:sz="0" w:space="0" w:color="auto"/>
        <w:left w:val="none" w:sz="0" w:space="0" w:color="auto"/>
        <w:bottom w:val="none" w:sz="0" w:space="0" w:color="auto"/>
        <w:right w:val="none" w:sz="0" w:space="0" w:color="auto"/>
      </w:divBdr>
    </w:div>
    <w:div w:id="2108622820">
      <w:bodyDiv w:val="1"/>
      <w:marLeft w:val="0"/>
      <w:marRight w:val="0"/>
      <w:marTop w:val="0"/>
      <w:marBottom w:val="0"/>
      <w:divBdr>
        <w:top w:val="none" w:sz="0" w:space="0" w:color="auto"/>
        <w:left w:val="none" w:sz="0" w:space="0" w:color="auto"/>
        <w:bottom w:val="none" w:sz="0" w:space="0" w:color="auto"/>
        <w:right w:val="none" w:sz="0" w:space="0" w:color="auto"/>
      </w:divBdr>
    </w:div>
    <w:div w:id="212619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http://www.climatecommission.govt.nz"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wmf"/><Relationship Id="rId27" Type="http://schemas.openxmlformats.org/officeDocument/2006/relationships/hyperlink" Target="http://www.climatecommission.govt.nz" TargetMode="Externa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mpi.govt.nz/dmsdocument/37110-Deforestation-Intentions-Survey-2018" TargetMode="External"/><Relationship Id="rId3" Type="http://schemas.openxmlformats.org/officeDocument/2006/relationships/hyperlink" Target="https://www.mpi.govt.nz/forestry/forestry-in-the-emissions-trading-scheme/deforesting-and-the-ets/deforesting-forest-land/" TargetMode="External"/><Relationship Id="rId7" Type="http://schemas.openxmlformats.org/officeDocument/2006/relationships/hyperlink" Target="https://www.epa.govt.nz/industry-areas/emissions-trading-scheme/market-information/privately-held-units/" TargetMode="External"/><Relationship Id="rId2" Type="http://schemas.openxmlformats.org/officeDocument/2006/relationships/hyperlink" Target="https://environment.govt.nz/publications/second-emissions-reduction-plan-technical-annex/" TargetMode="External"/><Relationship Id="rId1" Type="http://schemas.openxmlformats.org/officeDocument/2006/relationships/hyperlink" Target="https://environment.govt.nz/assets/publications/climate-change/ERP2/Detailed-results-for-ERP2-projection-scenarios.xlsx" TargetMode="External"/><Relationship Id="rId6" Type="http://schemas.openxmlformats.org/officeDocument/2006/relationships/hyperlink" Target="https://environment.govt.nz/assets/publications/climate-change/nzets-nzu-surplus-advice.pdf" TargetMode="External"/><Relationship Id="rId5" Type="http://schemas.openxmlformats.org/officeDocument/2006/relationships/hyperlink" Target="https://www.methanex.com/news/release/methanex-reports-higher-production-and-adjusted-ebitda-in-fourth-quarter-2024" TargetMode="External"/><Relationship Id="rId4" Type="http://schemas.openxmlformats.org/officeDocument/2006/relationships/hyperlink" Target="https://environment.govt.nz/what-government-is-doing/areas-of-work/climate-change/ets/participating-in-the-nz-ets/results-of-the-2023-data-collection-process/" TargetMode="External"/><Relationship Id="rId9" Type="http://schemas.openxmlformats.org/officeDocument/2006/relationships/hyperlink" Target="https://www.climatecommission.govt.nz/our-work/advice-to-government-topic/nz-ets/our-advice-on-the-nz-ets/nzets-advice-2025-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t.nz/regulation/public/2020/0264/latest/LMS375230.html?src=qs" TargetMode="External"/></Relationships>
</file>

<file path=word/theme/theme1.xml><?xml version="1.0" encoding="utf-8"?>
<a:theme xmlns:a="http://schemas.openxmlformats.org/drawingml/2006/main" name="Word Theme 2025">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egacyMetadata xmlns="b30672e7-690a-4c93-a50a-a028bc8f475d" xsi:nil="true"/>
    <Channel xmlns="b30672e7-690a-4c93-a50a-a028bc8f475d" xsi:nil="true"/>
    <OTModifiedBy xmlns="b30672e7-690a-4c93-a50a-a028bc8f475d" xsi:nil="true"/>
    <Activity xmlns="70761194-623b-4751-a0da-29ad6551f95e">Advice</Activity>
    <Function xmlns="70761194-623b-4751-a0da-29ad6551f95e">Programmes and Projects</Function>
    <PraText1 xmlns="a9df0e0e-9b5b-47bc-81c1-d190dfb54f87" xsi:nil="true"/>
    <Year xmlns="70761194-623b-4751-a0da-29ad6551f95e" xsi:nil="true"/>
    <CategoryName xmlns="70761194-623b-4751-a0da-29ad6551f95e">04. Report</CategoryName>
    <CategoryValue xmlns="70761194-623b-4751-a0da-29ad6551f95e" xsi:nil="true"/>
    <AggregationStatus xmlns="a9df0e0e-9b5b-47bc-81c1-d190dfb54f87">Normal</AggregationStatus>
    <lcf76f155ced4ddcb4097134ff3c332f xmlns="987bcd1d-e1f1-4f53-92ab-ce8c6eb15727">
      <Terms xmlns="http://schemas.microsoft.com/office/infopath/2007/PartnerControls"/>
    </lcf76f155ced4ddcb4097134ff3c332f>
    <Narrative xmlns="a9df0e0e-9b5b-47bc-81c1-d190dfb54f87" xsi:nil="true"/>
    <PraText5 xmlns="a9df0e0e-9b5b-47bc-81c1-d190dfb54f87" xsi:nil="true"/>
    <TaxCatchAll xmlns="e963e69f-3f58-4e6f-b74a-87e86ca2e125" xsi:nil="true"/>
    <PRAType xmlns="70761194-623b-4751-a0da-29ad6551f95e" xsi:nil="true"/>
    <PraDate3 xmlns="a9df0e0e-9b5b-47bc-81c1-d190dfb54f87" xsi:nil="true"/>
    <PraDateTrigger xmlns="a9df0e0e-9b5b-47bc-81c1-d190dfb54f87" xsi:nil="true"/>
    <Project xmlns="70761194-623b-4751-a0da-29ad6551f95e" xsi:nil="true"/>
    <PraText4 xmlns="a9df0e0e-9b5b-47bc-81c1-d190dfb54f87" xsi:nil="true"/>
    <Subactivity xmlns="70761194-623b-4751-a0da-29ad6551f95e">2025 Advice</Subactivity>
    <PraDateDisposal xmlns="a9df0e0e-9b5b-47bc-81c1-d190dfb54f87" xsi:nil="true"/>
    <PraDate2 xmlns="a9df0e0e-9b5b-47bc-81c1-d190dfb54f87" xsi:nil="true"/>
    <PraText3 xmlns="a9df0e0e-9b5b-47bc-81c1-d190dfb54f87" xsi:nil="true"/>
    <DocumentType xmlns="02bffcbe-7cf8-467d-a91b-a3e0dbcae01e" xsi:nil="true"/>
    <AggregationNarrative xmlns="70761194-623b-4751-a0da-29ad6551f95e" xsi:nil="true"/>
    <Case xmlns="70761194-623b-4751-a0da-29ad6551f95e">ETS Unit and Price Settings</Case>
    <OTDocID xmlns="b30672e7-690a-4c93-a50a-a028bc8f475d" xsi:nil="true"/>
    <OTCreatedBy xmlns="b30672e7-690a-4c93-a50a-a028bc8f475d" xsi:nil="true"/>
    <PraDate1 xmlns="a9df0e0e-9b5b-47bc-81c1-d190dfb54f87" xsi:nil="true"/>
    <PraText2 xmlns="a9df0e0e-9b5b-47bc-81c1-d190dfb54f87" xsi:nil="true"/>
    <_dlc_DocId xmlns="e963e69f-3f58-4e6f-b74a-87e86ca2e125">ZRPJAS3TEE2M-297491816-1969</_dlc_DocId>
    <_dlc_DocIdUrl xmlns="e963e69f-3f58-4e6f-b74a-87e86ca2e125">
      <Url>https://climatechangegovt.sharepoint.com/sites/ETSUnitPrice22/_layouts/15/DocIdRedir.aspx?ID=ZRPJAS3TEE2M-297491816-1969</Url>
      <Description>ZRPJAS3TEE2M-297491816-1969</Description>
    </_dlc_DocIdUrl>
    <Expectation xmlns="987bcd1d-e1f1-4f53-92ab-ce8c6eb157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EDD070CD8C3B1241AF2B72868218A723" ma:contentTypeVersion="164" ma:contentTypeDescription="Create a new document." ma:contentTypeScope="" ma:versionID="778a83b86ddc45f787996ec26184b5b6">
  <xsd:schema xmlns:xsd="http://www.w3.org/2001/XMLSchema" xmlns:xs="http://www.w3.org/2001/XMLSchema" xmlns:p="http://schemas.microsoft.com/office/2006/metadata/properties" xmlns:ns2="e963e69f-3f58-4e6f-b74a-87e86ca2e125" xmlns:ns3="02bffcbe-7cf8-467d-a91b-a3e0dbcae01e" xmlns:ns4="a9df0e0e-9b5b-47bc-81c1-d190dfb54f87" xmlns:ns5="b30672e7-690a-4c93-a50a-a028bc8f475d" xmlns:ns6="70761194-623b-4751-a0da-29ad6551f95e" xmlns:ns7="987bcd1d-e1f1-4f53-92ab-ce8c6eb15727" targetNamespace="http://schemas.microsoft.com/office/2006/metadata/properties" ma:root="true" ma:fieldsID="30caeeb8509e744b18fbc02212b6cac4" ns2:_="" ns3:_="" ns4:_="" ns5:_="" ns6:_="" ns7:_="">
    <xsd:import namespace="e963e69f-3f58-4e6f-b74a-87e86ca2e125"/>
    <xsd:import namespace="02bffcbe-7cf8-467d-a91b-a3e0dbcae01e"/>
    <xsd:import namespace="a9df0e0e-9b5b-47bc-81c1-d190dfb54f87"/>
    <xsd:import namespace="b30672e7-690a-4c93-a50a-a028bc8f475d"/>
    <xsd:import namespace="70761194-623b-4751-a0da-29ad6551f95e"/>
    <xsd:import namespace="987bcd1d-e1f1-4f53-92ab-ce8c6eb157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Narrative" minOccurs="0"/>
                <xsd:element ref="ns5:OTDocID" minOccurs="0"/>
                <xsd:element ref="ns5:OTModifiedBy" minOccurs="0"/>
                <xsd:element ref="ns5:LegacyMetadata" minOccurs="0"/>
                <xsd:element ref="ns5:OTCreatedBy" minOccurs="0"/>
                <xsd:element ref="ns4:PraText3" minOccurs="0"/>
                <xsd:element ref="ns4:PraText4" minOccurs="0"/>
                <xsd:element ref="ns4:PraText5" minOccurs="0"/>
                <xsd:element ref="ns4:PraDate1" minOccurs="0"/>
                <xsd:element ref="ns4:PraDate2" minOccurs="0"/>
                <xsd:element ref="ns4:PraDate3" minOccurs="0"/>
                <xsd:element ref="ns4:PraDateTrigger" minOccurs="0"/>
                <xsd:element ref="ns4:PraDateDisposal" minOccurs="0"/>
                <xsd:element ref="ns6:Activity" minOccurs="0"/>
                <xsd:element ref="ns6:Function" minOccurs="0"/>
                <xsd:element ref="ns6:Subactivity" minOccurs="0"/>
                <xsd:element ref="ns6:Year" minOccurs="0"/>
                <xsd:element ref="ns6:Project" minOccurs="0"/>
                <xsd:element ref="ns6:AggregationNarrative" minOccurs="0"/>
                <xsd:element ref="ns6:Case" minOccurs="0"/>
                <xsd:element ref="ns6:CategoryName" minOccurs="0"/>
                <xsd:element ref="ns6:CategoryValue" minOccurs="0"/>
                <xsd:element ref="ns4:PraText1" minOccurs="0"/>
                <xsd:element ref="ns4:PraText2" minOccurs="0"/>
                <xsd:element ref="ns6:PRAType" minOccurs="0"/>
                <xsd:element ref="ns4:AggregationStatus" minOccurs="0"/>
                <xsd:element ref="ns5:Channel"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DateTaken" minOccurs="0"/>
                <xsd:element ref="ns7:MediaLengthInSeconds" minOccurs="0"/>
                <xsd:element ref="ns7:MediaServiceObjectDetectorVersions" minOccurs="0"/>
                <xsd:element ref="ns7:MediaServiceSearchProperties" minOccurs="0"/>
                <xsd:element ref="ns7:MediaServiceLocation" minOccurs="0"/>
                <xsd:element ref="ns7:MediaServiceGenerationTime" minOccurs="0"/>
                <xsd:element ref="ns7:MediaServiceEventHashCode" minOccurs="0"/>
                <xsd:element ref="ns7:lcf76f155ced4ddcb4097134ff3c332f" minOccurs="0"/>
                <xsd:element ref="ns2:TaxCatchAll" minOccurs="0"/>
                <xsd:element ref="ns7:MediaServiceOCR" minOccurs="0"/>
                <xsd:element ref="ns7:Expec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3e69f-3f58-4e6f-b74a-87e86ca2e1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CatchAll" ma:index="54" nillable="true" ma:displayName="Taxonomy Catch All Column" ma:hidden="true" ma:list="{efad8709-ae55-4347-b905-7e7cf6e9434f}" ma:internalName="TaxCatchAll" ma:showField="CatchAllData" ma:web="e963e69f-3f58-4e6f-b74a-87e86ca2e1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bffcbe-7cf8-467d-a91b-a3e0dbcae01e" elementFormDefault="qualified">
    <xsd:import namespace="http://schemas.microsoft.com/office/2006/documentManagement/types"/>
    <xsd:import namespace="http://schemas.microsoft.com/office/infopath/2007/PartnerControls"/>
    <xsd:element name="DocumentType" ma:index="11" nillable="true" ma:displayName="Document Type" ma:description="Specify the document type to help refine search and to classify the document"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schema>
  <xsd:schema xmlns:xsd="http://www.w3.org/2001/XMLSchema" xmlns:xs="http://www.w3.org/2001/XMLSchema" xmlns:dms="http://schemas.microsoft.com/office/2006/documentManagement/types" xmlns:pc="http://schemas.microsoft.com/office/infopath/2007/PartnerControls" targetNamespace="a9df0e0e-9b5b-47bc-81c1-d190dfb54f87" elementFormDefault="qualified">
    <xsd:import namespace="http://schemas.microsoft.com/office/2006/documentManagement/types"/>
    <xsd:import namespace="http://schemas.microsoft.com/office/infopath/2007/PartnerControls"/>
    <xsd:element name="Narrative" ma:index="12" nillable="true" ma:displayName="Narrative" ma:internalName="Narrative0" ma:readOnly="false">
      <xsd:simpleType>
        <xsd:restriction base="dms:Note">
          <xsd:maxLength value="255"/>
        </xsd:restriction>
      </xsd:simpleType>
    </xsd:element>
    <xsd:element name="PraText3" ma:index="17" nillable="true" ma:displayName="PRA Text 3" ma:hidden="true" ma:internalName="PraText30" ma:readOnly="false">
      <xsd:simpleType>
        <xsd:restriction base="dms:Text">
          <xsd:maxLength value="255"/>
        </xsd:restriction>
      </xsd:simpleType>
    </xsd:element>
    <xsd:element name="PraText4" ma:index="18" nillable="true" ma:displayName="PRA Text 4" ma:hidden="true" ma:internalName="PraText40" ma:readOnly="false">
      <xsd:simpleType>
        <xsd:restriction base="dms:Text">
          <xsd:maxLength value="255"/>
        </xsd:restriction>
      </xsd:simpleType>
    </xsd:element>
    <xsd:element name="PraText5" ma:index="19" nillable="true" ma:displayName="PRA Text 5" ma:hidden="true" ma:internalName="PraText50" ma:readOnly="false">
      <xsd:simpleType>
        <xsd:restriction base="dms:Text">
          <xsd:maxLength value="255"/>
        </xsd:restriction>
      </xsd:simpleType>
    </xsd:element>
    <xsd:element name="PraDate1" ma:index="20" nillable="true" ma:displayName="PRA Date 1" ma:format="DateTime" ma:hidden="true" ma:internalName="PraDate1" ma:readOnly="false">
      <xsd:simpleType>
        <xsd:restriction base="dms:DateTime"/>
      </xsd:simpleType>
    </xsd:element>
    <xsd:element name="PraDate2" ma:index="21" nillable="true" ma:displayName="PRA Date 2" ma:format="DateTime" ma:hidden="true" ma:internalName="PraDate2" ma:readOnly="false">
      <xsd:simpleType>
        <xsd:restriction base="dms:DateTime"/>
      </xsd:simpleType>
    </xsd:element>
    <xsd:element name="PraDate3" ma:index="22" nillable="true" ma:displayName="PRA Date 3" ma:format="DateTime" ma:hidden="true" ma:internalName="PraDate3" ma:readOnly="false">
      <xsd:simpleType>
        <xsd:restriction base="dms:DateTime"/>
      </xsd:simpleType>
    </xsd:element>
    <xsd:element name="PraDateTrigger" ma:index="23" nillable="true" ma:displayName="PRA Date Trigger" ma:format="DateTime" ma:hidden="true" ma:internalName="PraDateTrigger" ma:readOnly="false">
      <xsd:simpleType>
        <xsd:restriction base="dms:DateTime"/>
      </xsd:simpleType>
    </xsd:element>
    <xsd:element name="PraDateDisposal" ma:index="24" nillable="true" ma:displayName="PRA Date Disposal" ma:format="DateTime" ma:hidden="true" ma:internalName="PraDateDisposal0" ma:readOnly="false">
      <xsd:simpleType>
        <xsd:restriction base="dms:DateTime"/>
      </xsd:simpleType>
    </xsd:element>
    <xsd:element name="PraText1" ma:index="34" nillable="true" ma:displayName="PRA Text 1" ma:hidden="true" ma:internalName="PraText10" ma:readOnly="false">
      <xsd:simpleType>
        <xsd:restriction base="dms:Text">
          <xsd:maxLength value="255"/>
        </xsd:restriction>
      </xsd:simpleType>
    </xsd:element>
    <xsd:element name="PraText2" ma:index="35" nillable="true" ma:displayName="PRA Text 2" ma:hidden="true" ma:internalName="PraText20"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0"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schema>
  <xsd:schema xmlns:xsd="http://www.w3.org/2001/XMLSchema" xmlns:xs="http://www.w3.org/2001/XMLSchema" xmlns:dms="http://schemas.microsoft.com/office/2006/documentManagement/types" xmlns:pc="http://schemas.microsoft.com/office/infopath/2007/PartnerControls" targetNamespace="b30672e7-690a-4c93-a50a-a028bc8f475d" elementFormDefault="qualified">
    <xsd:import namespace="http://schemas.microsoft.com/office/2006/documentManagement/types"/>
    <xsd:import namespace="http://schemas.microsoft.com/office/infopath/2007/PartnerControls"/>
    <xsd:element name="OTDocID" ma:index="13" nillable="true" ma:displayName="OTDocID" ma:internalName="OTDocID" ma:readOnly="false">
      <xsd:simpleType>
        <xsd:restriction base="dms:Text">
          <xsd:maxLength value="255"/>
        </xsd:restriction>
      </xsd:simpleType>
    </xsd:element>
    <xsd:element name="OTModifiedBy" ma:index="14" nillable="true" ma:displayName="OTModifiedBy" ma:internalName="OTModifiedBy" ma:readOnly="false">
      <xsd:simpleType>
        <xsd:restriction base="dms:Text">
          <xsd:maxLength value="255"/>
        </xsd:restriction>
      </xsd:simpleType>
    </xsd:element>
    <xsd:element name="LegacyMetadata" ma:index="15" nillable="true" ma:displayName="LegacyMetadata" ma:internalName="LegacyMetadata" ma:readOnly="false">
      <xsd:simpleType>
        <xsd:restriction base="dms:Note">
          <xsd:maxLength value="255"/>
        </xsd:restriction>
      </xsd:simpleType>
    </xsd:element>
    <xsd:element name="OTCreatedBy" ma:index="16" nillable="true" ma:displayName="OTCreatedBy" ma:internalName="OTCreatedBy" ma:readOnly="false">
      <xsd:simpleType>
        <xsd:restriction base="dms:Text">
          <xsd:maxLength value="255"/>
        </xsd:restriction>
      </xsd:simpleType>
    </xsd:element>
    <xsd:element name="Channel" ma:index="38" nillable="true" ma:displayName="Channel"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61194-623b-4751-a0da-29ad6551f95e" elementFormDefault="qualified">
    <xsd:import namespace="http://schemas.microsoft.com/office/2006/documentManagement/types"/>
    <xsd:import namespace="http://schemas.microsoft.com/office/infopath/2007/PartnerControls"/>
    <xsd:element name="Activity" ma:index="25" nillable="true" ma:displayName="Activity" ma:default="Advice" ma:format="Dropdown" ma:hidden="true" ma:internalName="Activity" ma:readOnly="false">
      <xsd:simpleType>
        <xsd:union memberTypes="dms:Text">
          <xsd:simpleType>
            <xsd:restriction base="dms:Choice">
              <xsd:enumeration value="Advice"/>
            </xsd:restriction>
          </xsd:simpleType>
        </xsd:union>
      </xsd:simpleType>
    </xsd:element>
    <xsd:element name="Function" ma:index="26" nillable="true" ma:displayName="Function" ma:default="Programmes and Projects" ma:format="Dropdown" ma:hidden="true" ma:internalName="Function" ma:readOnly="false">
      <xsd:simpleType>
        <xsd:union memberTypes="dms:Text">
          <xsd:simpleType>
            <xsd:restriction base="dms:Choice">
              <xsd:enumeration value="Programmes and Projects"/>
            </xsd:restriction>
          </xsd:simpleType>
        </xsd:union>
      </xsd:simpleType>
    </xsd:element>
    <xsd:element name="Subactivity" ma:index="27" nillable="true" ma:displayName="Subactivity" ma:default="NA" ma:hidden="true" ma:internalName="Subactivity" ma:readOnly="false">
      <xsd:simpleType>
        <xsd:restriction base="dms:Text">
          <xsd:maxLength value="255"/>
        </xsd:restriction>
      </xsd:simpleType>
    </xsd:element>
    <xsd:element name="Year" ma:index="28" nillable="true" ma:displayName="Year" ma:format="Dropdown" ma:hidden="true" ma:internalName="Year" ma:readOnly="false">
      <xsd:simpleType>
        <xsd:restriction base="dms:Choice">
          <xsd:enumeration value="2019"/>
          <xsd:enumeration value="2020"/>
          <xsd:enumeration value="2021"/>
          <xsd:enumeration value="2022"/>
          <xsd:enumeration value="2023"/>
        </xsd:restriction>
      </xsd:simpleType>
    </xsd:element>
    <xsd:element name="Project" ma:index="29" nillable="true" ma:displayName="Project" ma:hidden="true" ma:internalName="Project" ma:readOnly="false">
      <xsd:simpleType>
        <xsd:restriction base="dms:Text">
          <xsd:maxLength value="255"/>
        </xsd:restriction>
      </xsd:simpleType>
    </xsd:element>
    <xsd:element name="AggregationNarrative" ma:index="30" nillable="true" ma:displayName="Aggregation Narrative" ma:hidden="true" ma:internalName="AggregationNarrative" ma:readOnly="false">
      <xsd:simpleType>
        <xsd:restriction base="dms:Text">
          <xsd:maxLength value="255"/>
        </xsd:restriction>
      </xsd:simpleType>
    </xsd:element>
    <xsd:element name="Case" ma:index="31" nillable="true" ma:displayName="Case" ma:default="ETS Unit and Price Settings" ma:format="Dropdown" ma:hidden="true" ma:internalName="Case" ma:readOnly="false">
      <xsd:simpleType>
        <xsd:restriction base="dms:Choice">
          <xsd:enumeration value="ETS Unit and Price Settings"/>
        </xsd:restriction>
      </xsd:simpleType>
    </xsd:element>
    <xsd:element name="CategoryName" ma:index="32" nillable="true" ma:displayName="Category" ma:default="NA" ma:hidden="true" ma:internalName="CategoryName" ma:readOnly="false">
      <xsd:simpleType>
        <xsd:restriction base="dms:Text">
          <xsd:maxLength value="255"/>
        </xsd:restriction>
      </xsd:simpleType>
    </xsd:element>
    <xsd:element name="CategoryValue" ma:index="33" nillable="true" ma:displayName="Category Value" ma:hidden="true" ma:internalName="CategoryValue" ma:readOnly="false">
      <xsd:simpleType>
        <xsd:restriction base="dms:Text">
          <xsd:maxLength value="255"/>
        </xsd:restriction>
      </xsd:simpleType>
    </xsd:element>
    <xsd:element name="PRAType" ma:index="36" nillable="true" ma:displayName="PRA Type"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bcd1d-e1f1-4f53-92ab-ce8c6eb15727"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ediaServiceLocation" ma:index="49" nillable="true" ma:displayName="Location" ma:indexed="true" ma:internalName="MediaServiceLocatio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284cdd8-0240-42f9-af2b-4d59cbd29a82" ma:termSetId="09814cd3-568e-fe90-9814-8d621ff8fb84" ma:anchorId="fba54fb3-c3e1-fe81-a776-ca4b69148c4d" ma:open="true" ma:isKeyword="false">
      <xsd:complexType>
        <xsd:sequence>
          <xsd:element ref="pc:Terms" minOccurs="0" maxOccurs="1"/>
        </xsd:sequence>
      </xsd:complexType>
    </xsd:element>
    <xsd:element name="MediaServiceOCR" ma:index="55" nillable="true" ma:displayName="Extracted Text" ma:internalName="MediaServiceOCR" ma:readOnly="true">
      <xsd:simpleType>
        <xsd:restriction base="dms:Note">
          <xsd:maxLength value="255"/>
        </xsd:restriction>
      </xsd:simpleType>
    </xsd:element>
    <xsd:element name="Expectation" ma:index="56" nillable="true" ma:displayName="QA/QC Expectation" ma:format="Dropdown" ma:internalName="Expectation">
      <xsd:complexType>
        <xsd:complexContent>
          <xsd:extension base="dms:MultiChoice">
            <xsd:sequence>
              <xsd:element name="Value" maxOccurs="unbounded" minOccurs="0" nillable="true">
                <xsd:simpleType>
                  <xsd:restriction base="dms:Choice">
                    <xsd:enumeration value="1. Our outputs meet the Board's approved scope"/>
                    <xsd:enumeration value="2. Our outputs address the required matters"/>
                    <xsd:enumeration value="3. We understand the broader context"/>
                    <xsd:enumeration value="4. Our outputs reflect we follow the proper delegations process"/>
                    <xsd:enumeration value="5. Our outputs reflect the Board approval of recommendations, findings, key messages, and advice"/>
                    <xsd:enumeration value="6. Our outputs consider the Crown-Māori relationship, te ao Māori, and specific effects on iwi and Māori"/>
                    <xsd:enumeration value="7. Our outputs are well evidenced"/>
                    <xsd:enumeration value="8. We follow the relevant approved methodology"/>
                    <xsd:enumeration value="9. Our outputs are compelling, clearly written and accessible"/>
                    <xsd:enumeration value="10. We respect and utilise the expertise of staff and Commissioners"/>
                    <xsd:enumeration value="11. Our reasoning is robust, and our process and reasoning are clearly explained"/>
                    <xsd:enumeration value="12. Our approach is externally tested or reviewed where appropriate (i.e., calculations)."/>
                    <xsd:enumeration value="13. We engage and consult adequately"/>
                    <xsd:enumeration value="14. When we engage, we treat stakeholders and iwi/Māori with respect and understand and consider stakeholders' and iwi/Māori views and input. The value of our engagement with iwi/Māori and/or stakeholders is demonstrated in our advice/outputs."/>
                    <xsd:enumeration value="15. Our data is openly available"/>
                    <xsd:enumeration value="16. We manage strategic risks"/>
                    <xsd:enumeration value="17. We manage conflicts of interest"/>
                    <xsd:enumeration value="18. We follow approved QA/QC process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Met24</b:Tag>
    <b:SourceType>InternetSite</b:SourceType>
    <b:Guid>{3D0D712A-A027-44F3-A017-CC1D3EB53E16}</b:Guid>
    <b:Title>Methanex Reports Higher Production and Adjusted EBITDA in Fourth Quarter 2024</b:Title>
    <b:Year>2024</b:Year>
    <b:Author>
      <b:Author>
        <b:Corporate>Methanex</b:Corporate>
      </b:Author>
    </b:Author>
    <b:URL>https://www.methanex.com/news/release/methanex-reports-higher-production-and-adjusted-ebitda-in-fourth-quarter-2024</b:URL>
    <b:RefOrder>5</b:RefOrder>
  </b:Source>
  <b:Source>
    <b:Tag>Env24</b:Tag>
    <b:SourceType>InternetSite</b:SourceType>
    <b:Guid>{8CADE3B6-036F-4E81-9592-6A84418AC190}</b:Guid>
    <b:Author>
      <b:Author>
        <b:Corporate>Environmental Protection Authority</b:Corporate>
      </b:Author>
    </b:Author>
    <b:Title>Privately held units</b:Title>
    <b:Year>2024</b:Year>
    <b:URL>https://www.epa.govt.nz/industry-areas/emissions-trading-scheme/market-information/privately-held-units/</b:URL>
    <b:RefOrder>6</b:RefOrder>
  </b:Source>
  <b:Source>
    <b:Tag>EY24</b:Tag>
    <b:SourceType>InternetSite</b:SourceType>
    <b:Guid>{FE5EB3C5-664D-4B93-AA96-4255ED1D1A5E}</b:Guid>
    <b:Title>New Zealand Emissions Trading Scheme NZU Surplus Advice</b:Title>
    <b:Year>2024</b:Year>
    <b:Author>
      <b:Author>
        <b:Corporate>Ernst &amp; Young</b:Corporate>
      </b:Author>
    </b:Author>
    <b:URL>https://environment.govt.nz/assets/publications/climate-change/nzets-nzu-surplus-advice.pdf</b:URL>
    <b:RefOrder>3</b:RefOrder>
  </b:Source>
  <b:Source>
    <b:Tag>HeP24</b:Tag>
    <b:SourceType>InternetSite</b:SourceType>
    <b:Guid>{3D661E17-7071-4DC2-B1C9-200C80F9D19B}</b:Guid>
    <b:Author>
      <b:Author>
        <b:Corporate>He Pou a Rangi Climate Change Commission</b:Corporate>
      </b:Author>
    </b:Author>
    <b:Title>Technical Annex 1: Unit limit settings</b:Title>
    <b:Year>2024</b:Year>
    <b:URL>https://www.climatecommission.govt.nz/public/ETS-advice/2024/20240228_Technical-Annex-1_Unit-limit-settings.pdf</b:URL>
    <b:RefOrder>4</b:RefOrder>
  </b:Source>
  <b:Source>
    <b:Tag>Min18</b:Tag>
    <b:SourceType>InternetSite</b:SourceType>
    <b:Guid>{AC495B01-82B8-40A1-B147-B4DCA7B193D5}</b:Guid>
    <b:Author>
      <b:Author>
        <b:NameList>
          <b:Person>
            <b:Last>MPI</b:Last>
          </b:Person>
        </b:NameList>
      </b:Author>
    </b:Author>
    <b:Title>Deforestation Intentions Survey</b:Title>
    <b:Year>2018</b:Year>
    <b:URL>https://www.mpi.govt.nz/dmsdocument/37110-Deforestation-Intentions-Survey-2018</b:URL>
    <b:RefOrder>7</b:RefOrder>
  </b:Source>
  <b:Source>
    <b:Tag>Wak241</b:Tag>
    <b:SourceType>Report</b:SourceType>
    <b:Guid>{FD751746-C98A-4407-8E5B-95A6AF5DF7D5}</b:Guid>
    <b:Title>Forest Reference Level for pre-1990 planted forests under the Paris Agreement</b:Title>
    <b:Year>2024</b:Year>
    <b:Publisher>Ministry for the Environment</b:Publisher>
    <b:Author>
      <b:Author>
        <b:NameList>
          <b:Person>
            <b:Last>Wakelin</b:Last>
            <b:Middle>J</b:Middle>
            <b:First>S</b:First>
          </b:Person>
        </b:NameList>
      </b:Author>
    </b:Author>
    <b:Institution>Scion</b:Institution>
    <b:URL>https://environment.govt.nz/assets/publications/climate-change/forest-reference-level-for-pre-1990-planted-forests-under-the-paris-agreement.pdf</b:URL>
    <b:RefOrder>1</b:RefOrder>
  </b:Source>
  <b:Source>
    <b:Tag>Wak24</b:Tag>
    <b:SourceType>Report</b:SourceType>
    <b:Guid>{0156D9CD-A508-4FFC-86F4-295E39037424}</b:Guid>
    <b:Author>
      <b:Author>
        <b:NameList>
          <b:Person>
            <b:Last>Wakelin</b:Last>
            <b:Middle>J</b:Middle>
            <b:First>S</b:First>
          </b:Person>
          <b:Person>
            <b:Last>Paul</b:Last>
            <b:Middle>S H</b:Middle>
            <b:First>T</b:First>
          </b:Person>
        </b:NameList>
      </b:Author>
    </b:Author>
    <b:Title>Forest Reference Level for Pre-1990 Natural Forests under the Paris Agreement</b:Title>
    <b:Year>2024</b:Year>
    <b:Publisher>Ministry for the Environment</b:Publisher>
    <b:Institution>Scion</b:Institution>
    <b:URL>https://environment.govt.nz/assets/publications/climate-change/forest-reference-level-for-pre-1990-natural-forests-under-the-paris-agreement.pdf</b:URL>
    <b:RefOrder>2</b:RefOrder>
  </b:Source>
</b:Sources>
</file>

<file path=customXml/itemProps1.xml><?xml version="1.0" encoding="utf-8"?>
<ds:datastoreItem xmlns:ds="http://schemas.openxmlformats.org/officeDocument/2006/customXml" ds:itemID="{42D55973-5376-4E0F-9E8B-6ECCE7AB47B6}">
  <ds:schemaRefs>
    <ds:schemaRef ds:uri="http://schemas.microsoft.com/sharepoint/events"/>
  </ds:schemaRefs>
</ds:datastoreItem>
</file>

<file path=customXml/itemProps2.xml><?xml version="1.0" encoding="utf-8"?>
<ds:datastoreItem xmlns:ds="http://schemas.openxmlformats.org/officeDocument/2006/customXml" ds:itemID="{41BE0C02-F97B-45CD-8E95-487C8175A423}">
  <ds:schemaRefs>
    <ds:schemaRef ds:uri="http://purl.org/dc/dcmitype/"/>
    <ds:schemaRef ds:uri="http://www.w3.org/XML/1998/namespace"/>
    <ds:schemaRef ds:uri="02bffcbe-7cf8-467d-a91b-a3e0dbcae01e"/>
    <ds:schemaRef ds:uri="70761194-623b-4751-a0da-29ad6551f95e"/>
    <ds:schemaRef ds:uri="http://schemas.microsoft.com/office/infopath/2007/PartnerControls"/>
    <ds:schemaRef ds:uri="a9df0e0e-9b5b-47bc-81c1-d190dfb54f87"/>
    <ds:schemaRef ds:uri="http://schemas.microsoft.com/office/2006/metadata/properties"/>
    <ds:schemaRef ds:uri="http://schemas.openxmlformats.org/package/2006/metadata/core-properties"/>
    <ds:schemaRef ds:uri="987bcd1d-e1f1-4f53-92ab-ce8c6eb15727"/>
    <ds:schemaRef ds:uri="http://purl.org/dc/elements/1.1/"/>
    <ds:schemaRef ds:uri="http://schemas.microsoft.com/office/2006/documentManagement/types"/>
    <ds:schemaRef ds:uri="b30672e7-690a-4c93-a50a-a028bc8f475d"/>
    <ds:schemaRef ds:uri="e963e69f-3f58-4e6f-b74a-87e86ca2e125"/>
    <ds:schemaRef ds:uri="http://purl.org/dc/terms/"/>
  </ds:schemaRefs>
</ds:datastoreItem>
</file>

<file path=customXml/itemProps3.xml><?xml version="1.0" encoding="utf-8"?>
<ds:datastoreItem xmlns:ds="http://schemas.openxmlformats.org/officeDocument/2006/customXml" ds:itemID="{A5370C2E-D297-45F9-9C92-EAAA9F28B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3e69f-3f58-4e6f-b74a-87e86ca2e125"/>
    <ds:schemaRef ds:uri="02bffcbe-7cf8-467d-a91b-a3e0dbcae01e"/>
    <ds:schemaRef ds:uri="a9df0e0e-9b5b-47bc-81c1-d190dfb54f87"/>
    <ds:schemaRef ds:uri="b30672e7-690a-4c93-a50a-a028bc8f475d"/>
    <ds:schemaRef ds:uri="70761194-623b-4751-a0da-29ad6551f95e"/>
    <ds:schemaRef ds:uri="987bcd1d-e1f1-4f53-92ab-ce8c6eb1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022CD-4442-4A3C-AA5E-071B4CF3FA83}">
  <ds:schemaRefs>
    <ds:schemaRef ds:uri="http://schemas.microsoft.com/sharepoint/v3/contenttype/forms"/>
  </ds:schemaRefs>
</ds:datastoreItem>
</file>

<file path=customXml/itemProps5.xml><?xml version="1.0" encoding="utf-8"?>
<ds:datastoreItem xmlns:ds="http://schemas.openxmlformats.org/officeDocument/2006/customXml" ds:itemID="{9147A6F6-4AA5-4DE7-B946-CAB81E1D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11188</Words>
  <Characters>63775</Characters>
  <Application>Microsoft Office Word</Application>
  <DocSecurity>4</DocSecurity>
  <Lines>531</Lines>
  <Paragraphs>149</Paragraphs>
  <ScaleCrop>false</ScaleCrop>
  <Company/>
  <LinksUpToDate>false</LinksUpToDate>
  <CharactersWithSpaces>74814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Chalk</dc:creator>
  <cp:keywords/>
  <dc:description/>
  <cp:lastModifiedBy>Sally Garden</cp:lastModifiedBy>
  <cp:revision>6053</cp:revision>
  <cp:lastPrinted>2025-04-07T22:27:00Z</cp:lastPrinted>
  <dcterms:created xsi:type="dcterms:W3CDTF">2024-11-21T17:09:00Z</dcterms:created>
  <dcterms:modified xsi:type="dcterms:W3CDTF">2025-04-16T04:51:00Z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0x010100EDD070CD8C3B1241AF2B72868218A723</vt:lpwstr>
  </property>
  <property fmtid="{D5CDD505-2E9C-101B-9397-08002B2CF9AE}" pid="3" name="MediaServiceImageTags">
    <vt:lpwstr/>
  </property>
  <property fmtid="{D5CDD505-2E9C-101B-9397-08002B2CF9AE}" pid="4" name="_dlc_DocIdItemGuid">
    <vt:lpwstr>a84ec0a6-bdaa-468d-93cc-6947f4b83581</vt:lpwstr>
  </property>
</Properties>
</file>